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1"/>
        <w:tabs>
          <w:tab w:val="right" w:pos="1022"/>
          <w:tab w:val="left" w:pos="1267"/>
          <w:tab w:val="left" w:pos="2218"/>
          <w:tab w:val="left" w:pos="2693"/>
          <w:tab w:val="left" w:pos="3182"/>
          <w:tab w:val="left" w:pos="3658"/>
          <w:tab w:val="left" w:pos="4133"/>
          <w:tab w:val="left" w:pos="4622"/>
          <w:tab w:val="left" w:pos="5098"/>
        </w:tabs>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59" w:hanging="1267"/>
        <w:rPr>
          <w:rtl/>
          <w:lang w:eastAsia="en-US"/>
        </w:rPr>
      </w:pPr>
      <w:r>
        <w:rPr>
          <w:rtl/>
          <w:lang w:eastAsia="en-US"/>
        </w:rPr>
        <w:t>اللجنة المعنية بالقضاء على التمييز ضد المرأة</w:t>
      </w:r>
    </w:p>
    <w:p w:rsidR="00000000" w:rsidRDefault="00000000">
      <w:pPr>
        <w:pStyle w:val="HCh"/>
        <w:tabs>
          <w:tab w:val="left" w:pos="1267"/>
          <w:tab w:val="left" w:pos="1930"/>
          <w:tab w:val="left" w:pos="2592"/>
          <w:tab w:val="left" w:pos="3254"/>
          <w:tab w:val="left" w:pos="3917"/>
          <w:tab w:val="left" w:pos="4579"/>
          <w:tab w:val="left" w:pos="5242"/>
          <w:tab w:val="left" w:pos="5904"/>
          <w:tab w:val="left" w:pos="6566"/>
        </w:tabs>
        <w:spacing w:after="120"/>
        <w:ind w:left="1264" w:right="1259"/>
        <w:rPr>
          <w:rtl/>
        </w:rPr>
      </w:pPr>
      <w:r>
        <w:rPr>
          <w:rtl/>
        </w:rPr>
        <w:t>النظر في التقارير المقدمة من الدول الأطراف بموجب المادة 18 من اتفاقية القضاء على جميع أشكال التمييز ضد 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59" w:hanging="1264"/>
        <w:rPr>
          <w:rtl/>
        </w:rPr>
      </w:pPr>
      <w:r>
        <w:rPr>
          <w:rtl/>
        </w:rPr>
        <w:tab/>
      </w:r>
      <w:r>
        <w:rPr>
          <w:rtl/>
        </w:rPr>
        <w:tab/>
        <w:t>التقرير الدوري الخامس للدول الأطراف</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كندا*</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DualTxt"/>
        <w:spacing w:line="300" w:lineRule="exact"/>
        <w:rPr>
          <w:rtl/>
        </w:rPr>
      </w:pPr>
      <w:r>
        <w:rPr>
          <w:rtl/>
        </w:rPr>
        <w:tab/>
        <w:t>_________</w:t>
      </w:r>
    </w:p>
    <w:p w:rsidR="00000000" w:rsidRDefault="00000000">
      <w:pPr>
        <w:pStyle w:val="DualTxt"/>
        <w:spacing w:line="300" w:lineRule="exact"/>
        <w:ind w:left="1264" w:right="1264"/>
        <w:rPr>
          <w:szCs w:val="26"/>
          <w:rtl/>
        </w:rPr>
      </w:pPr>
      <w:r>
        <w:rPr>
          <w:rtl/>
        </w:rPr>
        <w:tab/>
        <w:t>*</w:t>
      </w:r>
      <w:r>
        <w:rPr>
          <w:rtl/>
        </w:rPr>
        <w:tab/>
      </w:r>
      <w:r>
        <w:rPr>
          <w:szCs w:val="26"/>
          <w:rtl/>
        </w:rPr>
        <w:t xml:space="preserve">للاطلاع على التقرير الأوَّلي المقدَّم من حكومة كندا، أنظر </w:t>
      </w:r>
      <w:r>
        <w:rPr>
          <w:szCs w:val="26"/>
        </w:rPr>
        <w:t>CEDAW/C/5/Add.16</w:t>
      </w:r>
      <w:r>
        <w:rPr>
          <w:szCs w:val="26"/>
          <w:rtl/>
        </w:rPr>
        <w:t xml:space="preserve"> الذي نظرت فيه اللجنة في دورتها الرابعة. وللاطلاع على التقرير الدوري الثاني المقدَّم من حكومة كندا، أنظر </w:t>
      </w:r>
      <w:r>
        <w:rPr>
          <w:szCs w:val="26"/>
        </w:rPr>
        <w:t>CEDAW/C/13/Add.11</w:t>
      </w:r>
      <w:r>
        <w:rPr>
          <w:szCs w:val="26"/>
          <w:rtl/>
        </w:rPr>
        <w:t xml:space="preserve"> الذي نظرت فيه اللجنة في دورتها التاسعة. وللاطلاع على التقرير الدوري الثالث الذي قدمته حكومة كندا، أنظر </w:t>
      </w:r>
      <w:r>
        <w:rPr>
          <w:szCs w:val="26"/>
        </w:rPr>
        <w:t>CEDAW/C/CAN/3</w:t>
      </w:r>
      <w:r>
        <w:rPr>
          <w:szCs w:val="26"/>
          <w:rtl/>
        </w:rPr>
        <w:t xml:space="preserve"> الذي نظرت فيه اللجنة في دورتها السادسة عشرة. وللاطلاع على التقرير الدوري الرابع المقدَّم من حكومة كندا، أنظر </w:t>
      </w:r>
      <w:r>
        <w:rPr>
          <w:szCs w:val="26"/>
        </w:rPr>
        <w:t>CEDAW/C/CAN/4</w:t>
      </w:r>
      <w:r>
        <w:rPr>
          <w:szCs w:val="26"/>
          <w:rtl/>
        </w:rPr>
        <w:t xml:space="preserve"> الذي نظرت فيه اللجنة في دورتها السادسة عشرة. هذا وتصدر الوثيقة الحالية دون تحرير رسمي.</w:t>
      </w:r>
    </w:p>
    <w:p w:rsidR="00000000" w:rsidRDefault="00000000">
      <w:pPr>
        <w:pStyle w:val="DualTxt"/>
        <w:jc w:val="center"/>
        <w:rPr>
          <w:rtl/>
        </w:rPr>
      </w:pPr>
      <w:r>
        <w:rPr>
          <w:b/>
          <w:bCs/>
          <w:szCs w:val="34"/>
          <w:rtl/>
        </w:rPr>
        <w:t>المحتويات</w:t>
      </w:r>
      <w:r>
        <w:rPr>
          <w:rStyle w:val="FootnoteReference"/>
          <w:b/>
          <w:bCs/>
          <w:szCs w:val="34"/>
          <w:rtl/>
        </w:rPr>
        <w:footnoteReference w:customMarkFollows="1" w:id="1"/>
        <w:t>*</w:t>
      </w:r>
    </w:p>
    <w:tbl>
      <w:tblPr>
        <w:bidiVisual/>
        <w:tblW w:w="0" w:type="auto"/>
        <w:tblInd w:w="-106" w:type="dxa"/>
        <w:tblLayout w:type="fixed"/>
        <w:tblLook w:val="0000" w:firstRow="0" w:lastRow="0" w:firstColumn="0" w:lastColumn="0" w:noHBand="0" w:noVBand="0"/>
      </w:tblPr>
      <w:tblGrid>
        <w:gridCol w:w="1453"/>
        <w:gridCol w:w="7512"/>
        <w:gridCol w:w="1100"/>
      </w:tblGrid>
      <w:tr w:rsidR="00000000">
        <w:tblPrEx>
          <w:tblCellMar>
            <w:top w:w="0" w:type="dxa"/>
            <w:bottom w:w="0" w:type="dxa"/>
          </w:tblCellMar>
        </w:tblPrEx>
        <w:tc>
          <w:tcPr>
            <w:tcW w:w="1453" w:type="dxa"/>
          </w:tcPr>
          <w:p w:rsidR="00000000" w:rsidRDefault="00000000">
            <w:pPr>
              <w:pStyle w:val="DualTxt"/>
              <w:rPr>
                <w:rtl/>
              </w:rPr>
            </w:pPr>
          </w:p>
        </w:tc>
        <w:tc>
          <w:tcPr>
            <w:tcW w:w="7512" w:type="dxa"/>
          </w:tcPr>
          <w:p w:rsidR="00000000" w:rsidRDefault="00000000">
            <w:pPr>
              <w:pStyle w:val="DualTxt"/>
              <w:tabs>
                <w:tab w:val="clear" w:pos="662"/>
                <w:tab w:val="clear" w:pos="1325"/>
                <w:tab w:val="clear" w:pos="1987"/>
                <w:tab w:val="clear" w:pos="2650"/>
                <w:tab w:val="clear" w:pos="3312"/>
                <w:tab w:val="clear" w:pos="3974"/>
                <w:tab w:val="clear" w:pos="4637"/>
                <w:tab w:val="right" w:leader="dot" w:pos="9072"/>
              </w:tabs>
              <w:rPr>
                <w:rtl/>
              </w:rPr>
            </w:pPr>
          </w:p>
        </w:tc>
        <w:tc>
          <w:tcPr>
            <w:tcW w:w="1100" w:type="dxa"/>
          </w:tcPr>
          <w:p w:rsidR="00000000" w:rsidRDefault="00000000">
            <w:pPr>
              <w:pStyle w:val="DualTxt"/>
              <w:rPr>
                <w:rtl/>
              </w:rPr>
            </w:pPr>
            <w:r>
              <w:rPr>
                <w:rtl/>
              </w:rPr>
              <w:t>الصفحة</w:t>
            </w:r>
          </w:p>
        </w:tc>
      </w:tr>
      <w:tr w:rsidR="00000000">
        <w:tblPrEx>
          <w:tblCellMar>
            <w:top w:w="0" w:type="dxa"/>
            <w:bottom w:w="0" w:type="dxa"/>
          </w:tblCellMar>
        </w:tblPrEx>
        <w:trPr>
          <w:cantSplit/>
        </w:trPr>
        <w:tc>
          <w:tcPr>
            <w:tcW w:w="8965" w:type="dxa"/>
            <w:gridSpan w:val="2"/>
          </w:tcPr>
          <w:p w:rsidR="00000000" w:rsidRDefault="00000000">
            <w:pPr>
              <w:pStyle w:val="DualTxt"/>
              <w:tabs>
                <w:tab w:val="clear" w:pos="662"/>
                <w:tab w:val="clear" w:pos="1325"/>
                <w:tab w:val="clear" w:pos="1987"/>
                <w:tab w:val="clear" w:pos="2650"/>
                <w:tab w:val="clear" w:pos="3312"/>
                <w:tab w:val="clear" w:pos="3974"/>
                <w:tab w:val="clear" w:pos="4637"/>
                <w:tab w:val="right" w:leader="dot" w:pos="9072"/>
              </w:tabs>
              <w:rPr>
                <w:b/>
                <w:bCs/>
                <w:rtl/>
              </w:rPr>
            </w:pPr>
            <w:r>
              <w:rPr>
                <w:b/>
                <w:bCs/>
                <w:rtl/>
              </w:rPr>
              <w:t xml:space="preserve">مقدمة </w:t>
            </w:r>
            <w:r>
              <w:rPr>
                <w:rtl/>
              </w:rPr>
              <w:tab/>
            </w:r>
          </w:p>
        </w:tc>
        <w:tc>
          <w:tcPr>
            <w:tcW w:w="1100" w:type="dxa"/>
          </w:tcPr>
          <w:p w:rsidR="00000000" w:rsidRDefault="00000000">
            <w:pPr>
              <w:pStyle w:val="DualTxt"/>
              <w:rPr>
                <w:rtl/>
              </w:rPr>
            </w:pPr>
            <w:r>
              <w:rPr>
                <w:rtl/>
              </w:rPr>
              <w:t>3</w:t>
            </w:r>
          </w:p>
        </w:tc>
      </w:tr>
      <w:tr w:rsidR="00000000">
        <w:tblPrEx>
          <w:tblCellMar>
            <w:top w:w="0" w:type="dxa"/>
            <w:bottom w:w="0" w:type="dxa"/>
          </w:tblCellMar>
        </w:tblPrEx>
        <w:tc>
          <w:tcPr>
            <w:tcW w:w="1453" w:type="dxa"/>
          </w:tcPr>
          <w:p w:rsidR="00000000" w:rsidRDefault="00000000">
            <w:pPr>
              <w:pStyle w:val="DualTxt"/>
              <w:rPr>
                <w:rtl/>
              </w:rPr>
            </w:pPr>
            <w:r>
              <w:rPr>
                <w:rtl/>
              </w:rPr>
              <w:t>الجزء الأول -</w:t>
            </w:r>
          </w:p>
        </w:tc>
        <w:tc>
          <w:tcPr>
            <w:tcW w:w="7512" w:type="dxa"/>
          </w:tcPr>
          <w:p w:rsidR="00000000" w:rsidRDefault="00000000">
            <w:pPr>
              <w:pStyle w:val="DualTxt"/>
              <w:tabs>
                <w:tab w:val="clear" w:pos="662"/>
                <w:tab w:val="clear" w:pos="1325"/>
                <w:tab w:val="clear" w:pos="1987"/>
                <w:tab w:val="clear" w:pos="2650"/>
                <w:tab w:val="clear" w:pos="3312"/>
                <w:tab w:val="clear" w:pos="3974"/>
                <w:tab w:val="clear" w:pos="4637"/>
                <w:tab w:val="right" w:leader="dot" w:pos="9072"/>
              </w:tabs>
              <w:rPr>
                <w:rtl/>
              </w:rPr>
            </w:pPr>
            <w:r>
              <w:rPr>
                <w:rtl/>
              </w:rPr>
              <w:t>نظرة عامة</w:t>
            </w:r>
            <w:r>
              <w:rPr>
                <w:rtl/>
              </w:rPr>
              <w:tab/>
            </w:r>
          </w:p>
        </w:tc>
        <w:tc>
          <w:tcPr>
            <w:tcW w:w="1100" w:type="dxa"/>
          </w:tcPr>
          <w:p w:rsidR="00000000" w:rsidRDefault="00000000">
            <w:pPr>
              <w:pStyle w:val="DualTxt"/>
              <w:rPr>
                <w:rtl/>
              </w:rPr>
            </w:pPr>
            <w:r>
              <w:rPr>
                <w:rtl/>
              </w:rPr>
              <w:t>5</w:t>
            </w:r>
          </w:p>
        </w:tc>
      </w:tr>
      <w:tr w:rsidR="00000000">
        <w:tblPrEx>
          <w:tblCellMar>
            <w:top w:w="0" w:type="dxa"/>
            <w:bottom w:w="0" w:type="dxa"/>
          </w:tblCellMar>
        </w:tblPrEx>
        <w:tc>
          <w:tcPr>
            <w:tcW w:w="1453" w:type="dxa"/>
          </w:tcPr>
          <w:p w:rsidR="00000000" w:rsidRDefault="00000000">
            <w:pPr>
              <w:pStyle w:val="DualTxt"/>
              <w:rPr>
                <w:rtl/>
              </w:rPr>
            </w:pPr>
            <w:r>
              <w:rPr>
                <w:rtl/>
              </w:rPr>
              <w:t>الجزء الثاني -</w:t>
            </w:r>
          </w:p>
        </w:tc>
        <w:tc>
          <w:tcPr>
            <w:tcW w:w="7512" w:type="dxa"/>
          </w:tcPr>
          <w:p w:rsidR="00000000" w:rsidRDefault="00000000">
            <w:pPr>
              <w:pStyle w:val="DualTxt"/>
              <w:tabs>
                <w:tab w:val="clear" w:pos="662"/>
                <w:tab w:val="clear" w:pos="1325"/>
                <w:tab w:val="clear" w:pos="1987"/>
                <w:tab w:val="clear" w:pos="2650"/>
                <w:tab w:val="clear" w:pos="3312"/>
                <w:tab w:val="clear" w:pos="3974"/>
                <w:tab w:val="clear" w:pos="4637"/>
                <w:tab w:val="right" w:leader="dot" w:pos="9072"/>
              </w:tabs>
              <w:rPr>
                <w:rtl/>
              </w:rPr>
            </w:pPr>
            <w:r>
              <w:rPr>
                <w:rtl/>
              </w:rPr>
              <w:t>التدابير التي اتخذتها حكومة كندا</w:t>
            </w:r>
            <w:r>
              <w:rPr>
                <w:rtl/>
              </w:rPr>
              <w:tab/>
            </w:r>
          </w:p>
        </w:tc>
        <w:tc>
          <w:tcPr>
            <w:tcW w:w="1100" w:type="dxa"/>
          </w:tcPr>
          <w:p w:rsidR="00000000" w:rsidRDefault="00000000">
            <w:pPr>
              <w:pStyle w:val="DualTxt"/>
              <w:rPr>
                <w:rtl/>
              </w:rPr>
            </w:pPr>
            <w:r>
              <w:rPr>
                <w:rtl/>
              </w:rPr>
              <w:t>16</w:t>
            </w:r>
          </w:p>
        </w:tc>
      </w:tr>
      <w:tr w:rsidR="00000000">
        <w:tblPrEx>
          <w:tblCellMar>
            <w:top w:w="0" w:type="dxa"/>
            <w:bottom w:w="0" w:type="dxa"/>
          </w:tblCellMar>
        </w:tblPrEx>
        <w:tc>
          <w:tcPr>
            <w:tcW w:w="1453" w:type="dxa"/>
          </w:tcPr>
          <w:p w:rsidR="00000000" w:rsidRDefault="00000000">
            <w:pPr>
              <w:pStyle w:val="DualTxt"/>
              <w:rPr>
                <w:rtl/>
              </w:rPr>
            </w:pPr>
            <w:r>
              <w:rPr>
                <w:rtl/>
              </w:rPr>
              <w:t>الجزء الثالث -</w:t>
            </w:r>
          </w:p>
        </w:tc>
        <w:tc>
          <w:tcPr>
            <w:tcW w:w="7512" w:type="dxa"/>
          </w:tcPr>
          <w:p w:rsidR="00000000" w:rsidRDefault="00000000">
            <w:pPr>
              <w:pStyle w:val="DualTxt"/>
              <w:tabs>
                <w:tab w:val="clear" w:pos="662"/>
                <w:tab w:val="clear" w:pos="1325"/>
                <w:tab w:val="clear" w:pos="1987"/>
                <w:tab w:val="clear" w:pos="2650"/>
                <w:tab w:val="clear" w:pos="3312"/>
                <w:tab w:val="clear" w:pos="3974"/>
                <w:tab w:val="clear" w:pos="4637"/>
                <w:tab w:val="right" w:leader="dot" w:pos="9072"/>
              </w:tabs>
              <w:rPr>
                <w:rtl/>
              </w:rPr>
            </w:pPr>
            <w:r>
              <w:rPr>
                <w:rtl/>
              </w:rPr>
              <w:t>التدابير التي اتخذتها حكومات المقاطعات</w:t>
            </w:r>
            <w:r>
              <w:rPr>
                <w:rStyle w:val="FootnoteReference"/>
                <w:rtl/>
              </w:rPr>
              <w:footnoteReference w:customMarkFollows="1" w:id="2"/>
              <w:t>**</w:t>
            </w:r>
            <w:r>
              <w:rPr>
                <w:rtl/>
              </w:rPr>
              <w:tab/>
            </w:r>
          </w:p>
        </w:tc>
        <w:tc>
          <w:tcPr>
            <w:tcW w:w="1100" w:type="dxa"/>
          </w:tcPr>
          <w:p w:rsidR="00000000" w:rsidRDefault="00000000">
            <w:pPr>
              <w:pStyle w:val="DualTxt"/>
              <w:rPr>
                <w:rtl/>
              </w:rPr>
            </w:pPr>
            <w:r>
              <w:rPr>
                <w:rtl/>
              </w:rPr>
              <w:t>100</w:t>
            </w:r>
          </w:p>
        </w:tc>
      </w:tr>
      <w:tr w:rsidR="00000000">
        <w:tblPrEx>
          <w:tblCellMar>
            <w:top w:w="0" w:type="dxa"/>
            <w:bottom w:w="0" w:type="dxa"/>
          </w:tblCellMar>
        </w:tblPrEx>
        <w:tc>
          <w:tcPr>
            <w:tcW w:w="1453" w:type="dxa"/>
          </w:tcPr>
          <w:p w:rsidR="00000000" w:rsidRDefault="00000000">
            <w:pPr>
              <w:pStyle w:val="DualTxt"/>
              <w:rPr>
                <w:rtl/>
              </w:rPr>
            </w:pPr>
          </w:p>
        </w:tc>
        <w:tc>
          <w:tcPr>
            <w:tcW w:w="7512" w:type="dxa"/>
          </w:tcPr>
          <w:p w:rsidR="00000000" w:rsidRDefault="00000000">
            <w:pPr>
              <w:pStyle w:val="DualTxt"/>
              <w:tabs>
                <w:tab w:val="clear" w:pos="662"/>
                <w:tab w:val="clear" w:pos="1325"/>
                <w:tab w:val="clear" w:pos="1987"/>
                <w:tab w:val="clear" w:pos="2650"/>
                <w:tab w:val="clear" w:pos="3312"/>
                <w:tab w:val="clear" w:pos="3974"/>
                <w:tab w:val="clear" w:pos="4637"/>
                <w:tab w:val="right" w:leader="dot" w:pos="9072"/>
              </w:tabs>
              <w:rPr>
                <w:rtl/>
              </w:rPr>
            </w:pPr>
            <w:r>
              <w:rPr>
                <w:rtl/>
              </w:rPr>
              <w:t xml:space="preserve">نيوفاوندلاند </w:t>
            </w:r>
            <w:r>
              <w:rPr>
                <w:rtl/>
              </w:rPr>
              <w:tab/>
            </w:r>
          </w:p>
        </w:tc>
        <w:tc>
          <w:tcPr>
            <w:tcW w:w="1100" w:type="dxa"/>
          </w:tcPr>
          <w:p w:rsidR="00000000" w:rsidRDefault="00000000">
            <w:pPr>
              <w:pStyle w:val="DualTxt"/>
              <w:rPr>
                <w:rtl/>
              </w:rPr>
            </w:pPr>
            <w:r>
              <w:rPr>
                <w:rtl/>
              </w:rPr>
              <w:t>100</w:t>
            </w:r>
          </w:p>
        </w:tc>
      </w:tr>
      <w:tr w:rsidR="00000000">
        <w:tblPrEx>
          <w:tblCellMar>
            <w:top w:w="0" w:type="dxa"/>
            <w:bottom w:w="0" w:type="dxa"/>
          </w:tblCellMar>
        </w:tblPrEx>
        <w:tc>
          <w:tcPr>
            <w:tcW w:w="1453" w:type="dxa"/>
          </w:tcPr>
          <w:p w:rsidR="00000000" w:rsidRDefault="00000000">
            <w:pPr>
              <w:pStyle w:val="DualTxt"/>
              <w:rPr>
                <w:rtl/>
              </w:rPr>
            </w:pPr>
          </w:p>
        </w:tc>
        <w:tc>
          <w:tcPr>
            <w:tcW w:w="7512" w:type="dxa"/>
          </w:tcPr>
          <w:p w:rsidR="00000000" w:rsidRDefault="00000000">
            <w:pPr>
              <w:pStyle w:val="DualTxt"/>
              <w:tabs>
                <w:tab w:val="clear" w:pos="662"/>
                <w:tab w:val="clear" w:pos="1325"/>
                <w:tab w:val="clear" w:pos="1987"/>
                <w:tab w:val="clear" w:pos="2650"/>
                <w:tab w:val="clear" w:pos="3312"/>
                <w:tab w:val="clear" w:pos="3974"/>
                <w:tab w:val="clear" w:pos="4637"/>
                <w:tab w:val="right" w:leader="dot" w:pos="9072"/>
              </w:tabs>
              <w:rPr>
                <w:rtl/>
              </w:rPr>
            </w:pPr>
            <w:r>
              <w:rPr>
                <w:rtl/>
              </w:rPr>
              <w:t>جزيرة الأمير إدوارد</w:t>
            </w:r>
            <w:r>
              <w:rPr>
                <w:rtl/>
              </w:rPr>
              <w:tab/>
            </w:r>
          </w:p>
        </w:tc>
        <w:tc>
          <w:tcPr>
            <w:tcW w:w="1100" w:type="dxa"/>
          </w:tcPr>
          <w:p w:rsidR="00000000" w:rsidRDefault="00000000">
            <w:pPr>
              <w:pStyle w:val="DualTxt"/>
              <w:rPr>
                <w:rtl/>
              </w:rPr>
            </w:pPr>
            <w:r>
              <w:rPr>
                <w:rtl/>
              </w:rPr>
              <w:t>107</w:t>
            </w:r>
          </w:p>
        </w:tc>
      </w:tr>
      <w:tr w:rsidR="00000000">
        <w:tblPrEx>
          <w:tblCellMar>
            <w:top w:w="0" w:type="dxa"/>
            <w:bottom w:w="0" w:type="dxa"/>
          </w:tblCellMar>
        </w:tblPrEx>
        <w:tc>
          <w:tcPr>
            <w:tcW w:w="1453" w:type="dxa"/>
          </w:tcPr>
          <w:p w:rsidR="00000000" w:rsidRDefault="00000000">
            <w:pPr>
              <w:pStyle w:val="DualTxt"/>
              <w:rPr>
                <w:rtl/>
              </w:rPr>
            </w:pPr>
          </w:p>
        </w:tc>
        <w:tc>
          <w:tcPr>
            <w:tcW w:w="7512" w:type="dxa"/>
          </w:tcPr>
          <w:p w:rsidR="00000000" w:rsidRDefault="00000000">
            <w:pPr>
              <w:pStyle w:val="DualTxt"/>
              <w:tabs>
                <w:tab w:val="clear" w:pos="662"/>
                <w:tab w:val="clear" w:pos="1325"/>
                <w:tab w:val="clear" w:pos="1987"/>
                <w:tab w:val="clear" w:pos="2650"/>
                <w:tab w:val="clear" w:pos="3312"/>
                <w:tab w:val="clear" w:pos="3974"/>
                <w:tab w:val="clear" w:pos="4637"/>
                <w:tab w:val="right" w:leader="dot" w:pos="9072"/>
              </w:tabs>
              <w:rPr>
                <w:rtl/>
              </w:rPr>
            </w:pPr>
            <w:r>
              <w:rPr>
                <w:rtl/>
              </w:rPr>
              <w:t>نوفا سكوتشيا</w:t>
            </w:r>
            <w:r>
              <w:rPr>
                <w:rtl/>
              </w:rPr>
              <w:tab/>
            </w:r>
          </w:p>
        </w:tc>
        <w:tc>
          <w:tcPr>
            <w:tcW w:w="1100" w:type="dxa"/>
          </w:tcPr>
          <w:p w:rsidR="00000000" w:rsidRDefault="00000000">
            <w:pPr>
              <w:pStyle w:val="DualTxt"/>
              <w:rPr>
                <w:rtl/>
              </w:rPr>
            </w:pPr>
            <w:r>
              <w:rPr>
                <w:rtl/>
              </w:rPr>
              <w:t>110</w:t>
            </w:r>
          </w:p>
        </w:tc>
      </w:tr>
      <w:tr w:rsidR="00000000">
        <w:tblPrEx>
          <w:tblCellMar>
            <w:top w:w="0" w:type="dxa"/>
            <w:bottom w:w="0" w:type="dxa"/>
          </w:tblCellMar>
        </w:tblPrEx>
        <w:tc>
          <w:tcPr>
            <w:tcW w:w="1453" w:type="dxa"/>
          </w:tcPr>
          <w:p w:rsidR="00000000" w:rsidRDefault="00000000">
            <w:pPr>
              <w:pStyle w:val="DualTxt"/>
              <w:rPr>
                <w:rtl/>
              </w:rPr>
            </w:pPr>
          </w:p>
        </w:tc>
        <w:tc>
          <w:tcPr>
            <w:tcW w:w="7512" w:type="dxa"/>
          </w:tcPr>
          <w:p w:rsidR="00000000" w:rsidRDefault="00000000">
            <w:pPr>
              <w:pStyle w:val="DualTxt"/>
              <w:tabs>
                <w:tab w:val="clear" w:pos="662"/>
                <w:tab w:val="clear" w:pos="1325"/>
                <w:tab w:val="clear" w:pos="1987"/>
                <w:tab w:val="clear" w:pos="2650"/>
                <w:tab w:val="clear" w:pos="3312"/>
                <w:tab w:val="clear" w:pos="3974"/>
                <w:tab w:val="clear" w:pos="4637"/>
                <w:tab w:val="right" w:leader="dot" w:pos="9072"/>
              </w:tabs>
              <w:rPr>
                <w:rtl/>
              </w:rPr>
            </w:pPr>
            <w:r>
              <w:rPr>
                <w:rtl/>
              </w:rPr>
              <w:t>نيو برونزويك</w:t>
            </w:r>
            <w:r>
              <w:rPr>
                <w:rtl/>
              </w:rPr>
              <w:tab/>
            </w:r>
          </w:p>
        </w:tc>
        <w:tc>
          <w:tcPr>
            <w:tcW w:w="1100" w:type="dxa"/>
          </w:tcPr>
          <w:p w:rsidR="00000000" w:rsidRDefault="00000000">
            <w:pPr>
              <w:pStyle w:val="DualTxt"/>
              <w:rPr>
                <w:rtl/>
              </w:rPr>
            </w:pPr>
            <w:r>
              <w:rPr>
                <w:rtl/>
              </w:rPr>
              <w:t>136</w:t>
            </w:r>
          </w:p>
        </w:tc>
      </w:tr>
      <w:tr w:rsidR="00000000">
        <w:tblPrEx>
          <w:tblCellMar>
            <w:top w:w="0" w:type="dxa"/>
            <w:bottom w:w="0" w:type="dxa"/>
          </w:tblCellMar>
        </w:tblPrEx>
        <w:tc>
          <w:tcPr>
            <w:tcW w:w="1453" w:type="dxa"/>
          </w:tcPr>
          <w:p w:rsidR="00000000" w:rsidRDefault="00000000">
            <w:pPr>
              <w:pStyle w:val="DualTxt"/>
              <w:rPr>
                <w:rtl/>
              </w:rPr>
            </w:pPr>
          </w:p>
        </w:tc>
        <w:tc>
          <w:tcPr>
            <w:tcW w:w="7512" w:type="dxa"/>
          </w:tcPr>
          <w:p w:rsidR="00000000" w:rsidRDefault="00000000">
            <w:pPr>
              <w:pStyle w:val="DualTxt"/>
              <w:tabs>
                <w:tab w:val="clear" w:pos="662"/>
                <w:tab w:val="clear" w:pos="1325"/>
                <w:tab w:val="clear" w:pos="1987"/>
                <w:tab w:val="clear" w:pos="2650"/>
                <w:tab w:val="clear" w:pos="3312"/>
                <w:tab w:val="clear" w:pos="3974"/>
                <w:tab w:val="clear" w:pos="4637"/>
                <w:tab w:val="right" w:leader="dot" w:pos="9072"/>
              </w:tabs>
              <w:rPr>
                <w:rtl/>
              </w:rPr>
            </w:pPr>
            <w:r>
              <w:rPr>
                <w:rtl/>
              </w:rPr>
              <w:t>كيبيك</w:t>
            </w:r>
            <w:r>
              <w:rPr>
                <w:rtl/>
              </w:rPr>
              <w:tab/>
            </w:r>
          </w:p>
        </w:tc>
        <w:tc>
          <w:tcPr>
            <w:tcW w:w="1100" w:type="dxa"/>
          </w:tcPr>
          <w:p w:rsidR="00000000" w:rsidRDefault="00000000">
            <w:pPr>
              <w:pStyle w:val="DualTxt"/>
              <w:rPr>
                <w:rtl/>
              </w:rPr>
            </w:pPr>
            <w:r>
              <w:rPr>
                <w:rtl/>
              </w:rPr>
              <w:t>146</w:t>
            </w:r>
          </w:p>
        </w:tc>
      </w:tr>
      <w:tr w:rsidR="00000000">
        <w:tblPrEx>
          <w:tblCellMar>
            <w:top w:w="0" w:type="dxa"/>
            <w:bottom w:w="0" w:type="dxa"/>
          </w:tblCellMar>
        </w:tblPrEx>
        <w:tc>
          <w:tcPr>
            <w:tcW w:w="1453" w:type="dxa"/>
          </w:tcPr>
          <w:p w:rsidR="00000000" w:rsidRDefault="00000000">
            <w:pPr>
              <w:pStyle w:val="DualTxt"/>
              <w:rPr>
                <w:rtl/>
              </w:rPr>
            </w:pPr>
          </w:p>
        </w:tc>
        <w:tc>
          <w:tcPr>
            <w:tcW w:w="7512" w:type="dxa"/>
          </w:tcPr>
          <w:p w:rsidR="00000000" w:rsidRDefault="00000000">
            <w:pPr>
              <w:pStyle w:val="DualTxt"/>
              <w:tabs>
                <w:tab w:val="clear" w:pos="662"/>
                <w:tab w:val="clear" w:pos="1325"/>
                <w:tab w:val="clear" w:pos="1987"/>
                <w:tab w:val="clear" w:pos="2650"/>
                <w:tab w:val="clear" w:pos="3312"/>
                <w:tab w:val="clear" w:pos="3974"/>
                <w:tab w:val="clear" w:pos="4637"/>
                <w:tab w:val="right" w:leader="dot" w:pos="9072"/>
              </w:tabs>
              <w:rPr>
                <w:rtl/>
              </w:rPr>
            </w:pPr>
            <w:r>
              <w:rPr>
                <w:rtl/>
              </w:rPr>
              <w:t>أونتاريو</w:t>
            </w:r>
            <w:r>
              <w:rPr>
                <w:rtl/>
              </w:rPr>
              <w:tab/>
            </w:r>
          </w:p>
        </w:tc>
        <w:tc>
          <w:tcPr>
            <w:tcW w:w="1100" w:type="dxa"/>
          </w:tcPr>
          <w:p w:rsidR="00000000" w:rsidRDefault="00000000">
            <w:pPr>
              <w:pStyle w:val="DualTxt"/>
              <w:rPr>
                <w:rtl/>
              </w:rPr>
            </w:pPr>
            <w:r>
              <w:rPr>
                <w:rtl/>
              </w:rPr>
              <w:t>196</w:t>
            </w:r>
          </w:p>
        </w:tc>
      </w:tr>
      <w:tr w:rsidR="00000000">
        <w:tblPrEx>
          <w:tblCellMar>
            <w:top w:w="0" w:type="dxa"/>
            <w:bottom w:w="0" w:type="dxa"/>
          </w:tblCellMar>
        </w:tblPrEx>
        <w:tc>
          <w:tcPr>
            <w:tcW w:w="1453" w:type="dxa"/>
          </w:tcPr>
          <w:p w:rsidR="00000000" w:rsidRDefault="00000000">
            <w:pPr>
              <w:pStyle w:val="DualTxt"/>
              <w:rPr>
                <w:rtl/>
              </w:rPr>
            </w:pPr>
          </w:p>
        </w:tc>
        <w:tc>
          <w:tcPr>
            <w:tcW w:w="7512" w:type="dxa"/>
          </w:tcPr>
          <w:p w:rsidR="00000000" w:rsidRDefault="00000000">
            <w:pPr>
              <w:pStyle w:val="DualTxt"/>
              <w:tabs>
                <w:tab w:val="clear" w:pos="662"/>
                <w:tab w:val="clear" w:pos="1325"/>
                <w:tab w:val="clear" w:pos="1987"/>
                <w:tab w:val="clear" w:pos="2650"/>
                <w:tab w:val="clear" w:pos="3312"/>
                <w:tab w:val="clear" w:pos="3974"/>
                <w:tab w:val="clear" w:pos="4637"/>
                <w:tab w:val="right" w:leader="dot" w:pos="9072"/>
              </w:tabs>
              <w:rPr>
                <w:rtl/>
              </w:rPr>
            </w:pPr>
            <w:r>
              <w:rPr>
                <w:rtl/>
              </w:rPr>
              <w:t>مانيتوبا</w:t>
            </w:r>
            <w:r>
              <w:rPr>
                <w:rtl/>
              </w:rPr>
              <w:tab/>
            </w:r>
          </w:p>
        </w:tc>
        <w:tc>
          <w:tcPr>
            <w:tcW w:w="1100" w:type="dxa"/>
          </w:tcPr>
          <w:p w:rsidR="00000000" w:rsidRDefault="00000000">
            <w:pPr>
              <w:pStyle w:val="DualTxt"/>
              <w:rPr>
                <w:rtl/>
              </w:rPr>
            </w:pPr>
            <w:r>
              <w:rPr>
                <w:rtl/>
              </w:rPr>
              <w:t>210</w:t>
            </w:r>
          </w:p>
        </w:tc>
      </w:tr>
      <w:tr w:rsidR="00000000">
        <w:tblPrEx>
          <w:tblCellMar>
            <w:top w:w="0" w:type="dxa"/>
            <w:bottom w:w="0" w:type="dxa"/>
          </w:tblCellMar>
        </w:tblPrEx>
        <w:tc>
          <w:tcPr>
            <w:tcW w:w="1453" w:type="dxa"/>
          </w:tcPr>
          <w:p w:rsidR="00000000" w:rsidRDefault="00000000">
            <w:pPr>
              <w:pStyle w:val="DualTxt"/>
              <w:rPr>
                <w:rtl/>
              </w:rPr>
            </w:pPr>
          </w:p>
        </w:tc>
        <w:tc>
          <w:tcPr>
            <w:tcW w:w="7512" w:type="dxa"/>
          </w:tcPr>
          <w:p w:rsidR="00000000" w:rsidRDefault="00000000">
            <w:pPr>
              <w:pStyle w:val="DualTxt"/>
              <w:tabs>
                <w:tab w:val="clear" w:pos="662"/>
                <w:tab w:val="clear" w:pos="1325"/>
                <w:tab w:val="clear" w:pos="1987"/>
                <w:tab w:val="clear" w:pos="2650"/>
                <w:tab w:val="clear" w:pos="3312"/>
                <w:tab w:val="clear" w:pos="3974"/>
                <w:tab w:val="clear" w:pos="4637"/>
                <w:tab w:val="right" w:leader="dot" w:pos="9072"/>
              </w:tabs>
              <w:rPr>
                <w:rtl/>
              </w:rPr>
            </w:pPr>
            <w:r>
              <w:rPr>
                <w:rtl/>
              </w:rPr>
              <w:t>ساسكاتشيوان</w:t>
            </w:r>
            <w:r>
              <w:rPr>
                <w:rtl/>
              </w:rPr>
              <w:tab/>
            </w:r>
          </w:p>
        </w:tc>
        <w:tc>
          <w:tcPr>
            <w:tcW w:w="1100" w:type="dxa"/>
          </w:tcPr>
          <w:p w:rsidR="00000000" w:rsidRDefault="00000000">
            <w:pPr>
              <w:pStyle w:val="DualTxt"/>
              <w:rPr>
                <w:rtl/>
              </w:rPr>
            </w:pPr>
            <w:r>
              <w:rPr>
                <w:rtl/>
              </w:rPr>
              <w:t>220</w:t>
            </w:r>
          </w:p>
        </w:tc>
      </w:tr>
      <w:tr w:rsidR="00000000">
        <w:tblPrEx>
          <w:tblCellMar>
            <w:top w:w="0" w:type="dxa"/>
            <w:bottom w:w="0" w:type="dxa"/>
          </w:tblCellMar>
        </w:tblPrEx>
        <w:tc>
          <w:tcPr>
            <w:tcW w:w="1453" w:type="dxa"/>
          </w:tcPr>
          <w:p w:rsidR="00000000" w:rsidRDefault="00000000">
            <w:pPr>
              <w:pStyle w:val="DualTxt"/>
              <w:rPr>
                <w:rtl/>
              </w:rPr>
            </w:pPr>
          </w:p>
        </w:tc>
        <w:tc>
          <w:tcPr>
            <w:tcW w:w="7512" w:type="dxa"/>
          </w:tcPr>
          <w:p w:rsidR="00000000" w:rsidRDefault="00000000">
            <w:pPr>
              <w:pStyle w:val="DualTxt"/>
              <w:tabs>
                <w:tab w:val="clear" w:pos="662"/>
                <w:tab w:val="clear" w:pos="1325"/>
                <w:tab w:val="clear" w:pos="1987"/>
                <w:tab w:val="clear" w:pos="2650"/>
                <w:tab w:val="clear" w:pos="3312"/>
                <w:tab w:val="clear" w:pos="3974"/>
                <w:tab w:val="clear" w:pos="4637"/>
                <w:tab w:val="right" w:leader="dot" w:pos="9072"/>
              </w:tabs>
              <w:rPr>
                <w:rtl/>
              </w:rPr>
            </w:pPr>
            <w:r>
              <w:rPr>
                <w:rtl/>
              </w:rPr>
              <w:t>ألبرتا</w:t>
            </w:r>
            <w:r>
              <w:rPr>
                <w:rtl/>
              </w:rPr>
              <w:tab/>
            </w:r>
          </w:p>
        </w:tc>
        <w:tc>
          <w:tcPr>
            <w:tcW w:w="1100" w:type="dxa"/>
          </w:tcPr>
          <w:p w:rsidR="00000000" w:rsidRDefault="00000000">
            <w:pPr>
              <w:pStyle w:val="DualTxt"/>
              <w:rPr>
                <w:rtl/>
              </w:rPr>
            </w:pPr>
            <w:r>
              <w:rPr>
                <w:rtl/>
              </w:rPr>
              <w:t>228</w:t>
            </w:r>
          </w:p>
        </w:tc>
      </w:tr>
      <w:tr w:rsidR="00000000">
        <w:tblPrEx>
          <w:tblCellMar>
            <w:top w:w="0" w:type="dxa"/>
            <w:bottom w:w="0" w:type="dxa"/>
          </w:tblCellMar>
        </w:tblPrEx>
        <w:tc>
          <w:tcPr>
            <w:tcW w:w="1453" w:type="dxa"/>
          </w:tcPr>
          <w:p w:rsidR="00000000" w:rsidRDefault="00000000">
            <w:pPr>
              <w:pStyle w:val="DualTxt"/>
              <w:rPr>
                <w:rtl/>
              </w:rPr>
            </w:pPr>
          </w:p>
        </w:tc>
        <w:tc>
          <w:tcPr>
            <w:tcW w:w="7512" w:type="dxa"/>
          </w:tcPr>
          <w:p w:rsidR="00000000" w:rsidRDefault="00000000">
            <w:pPr>
              <w:pStyle w:val="DualTxt"/>
              <w:tabs>
                <w:tab w:val="clear" w:pos="662"/>
                <w:tab w:val="clear" w:pos="1325"/>
                <w:tab w:val="clear" w:pos="1987"/>
                <w:tab w:val="clear" w:pos="2650"/>
                <w:tab w:val="clear" w:pos="3312"/>
                <w:tab w:val="clear" w:pos="3974"/>
                <w:tab w:val="clear" w:pos="4637"/>
                <w:tab w:val="right" w:leader="dot" w:pos="9072"/>
              </w:tabs>
              <w:rPr>
                <w:rtl/>
              </w:rPr>
            </w:pPr>
            <w:r>
              <w:rPr>
                <w:rtl/>
              </w:rPr>
              <w:t>كولومبيا البريطانية</w:t>
            </w:r>
            <w:r>
              <w:rPr>
                <w:rtl/>
              </w:rPr>
              <w:tab/>
            </w:r>
          </w:p>
        </w:tc>
        <w:tc>
          <w:tcPr>
            <w:tcW w:w="1100" w:type="dxa"/>
          </w:tcPr>
          <w:p w:rsidR="00000000" w:rsidRDefault="00000000">
            <w:pPr>
              <w:pStyle w:val="DualTxt"/>
              <w:rPr>
                <w:rtl/>
              </w:rPr>
            </w:pPr>
            <w:r>
              <w:rPr>
                <w:rtl/>
              </w:rPr>
              <w:t>242</w:t>
            </w:r>
          </w:p>
        </w:tc>
      </w:tr>
      <w:tr w:rsidR="00000000">
        <w:tblPrEx>
          <w:tblCellMar>
            <w:top w:w="0" w:type="dxa"/>
            <w:bottom w:w="0" w:type="dxa"/>
          </w:tblCellMar>
        </w:tblPrEx>
        <w:tc>
          <w:tcPr>
            <w:tcW w:w="1453" w:type="dxa"/>
          </w:tcPr>
          <w:p w:rsidR="00000000" w:rsidRDefault="00000000">
            <w:pPr>
              <w:pStyle w:val="DualTxt"/>
              <w:rPr>
                <w:rtl/>
              </w:rPr>
            </w:pPr>
            <w:r>
              <w:rPr>
                <w:rtl/>
              </w:rPr>
              <w:t>الجزء الرابع -</w:t>
            </w:r>
          </w:p>
        </w:tc>
        <w:tc>
          <w:tcPr>
            <w:tcW w:w="7512" w:type="dxa"/>
          </w:tcPr>
          <w:p w:rsidR="00000000" w:rsidRDefault="00000000">
            <w:pPr>
              <w:pStyle w:val="DualTxt"/>
              <w:tabs>
                <w:tab w:val="clear" w:pos="662"/>
                <w:tab w:val="clear" w:pos="1325"/>
                <w:tab w:val="clear" w:pos="1987"/>
                <w:tab w:val="clear" w:pos="2650"/>
                <w:tab w:val="clear" w:pos="3312"/>
                <w:tab w:val="clear" w:pos="3974"/>
                <w:tab w:val="clear" w:pos="4637"/>
                <w:tab w:val="right" w:leader="dot" w:pos="9072"/>
              </w:tabs>
              <w:rPr>
                <w:rtl/>
              </w:rPr>
            </w:pPr>
            <w:r>
              <w:rPr>
                <w:rtl/>
              </w:rPr>
              <w:t>التدابير التي اتخذتها حكومات الأقاليم</w:t>
            </w:r>
            <w:r>
              <w:rPr>
                <w:rtl/>
              </w:rPr>
              <w:tab/>
            </w:r>
          </w:p>
        </w:tc>
        <w:tc>
          <w:tcPr>
            <w:tcW w:w="1100" w:type="dxa"/>
          </w:tcPr>
          <w:p w:rsidR="00000000" w:rsidRDefault="00000000">
            <w:pPr>
              <w:pStyle w:val="DualTxt"/>
              <w:rPr>
                <w:rtl/>
              </w:rPr>
            </w:pPr>
            <w:r>
              <w:rPr>
                <w:rtl/>
              </w:rPr>
              <w:t>250</w:t>
            </w:r>
          </w:p>
        </w:tc>
      </w:tr>
      <w:tr w:rsidR="00000000">
        <w:tblPrEx>
          <w:tblCellMar>
            <w:top w:w="0" w:type="dxa"/>
            <w:bottom w:w="0" w:type="dxa"/>
          </w:tblCellMar>
        </w:tblPrEx>
        <w:tc>
          <w:tcPr>
            <w:tcW w:w="1453" w:type="dxa"/>
          </w:tcPr>
          <w:p w:rsidR="00000000" w:rsidRDefault="00000000">
            <w:pPr>
              <w:pStyle w:val="DualTxt"/>
              <w:rPr>
                <w:rtl/>
              </w:rPr>
            </w:pPr>
          </w:p>
        </w:tc>
        <w:tc>
          <w:tcPr>
            <w:tcW w:w="7512" w:type="dxa"/>
          </w:tcPr>
          <w:p w:rsidR="00000000" w:rsidRDefault="00000000">
            <w:pPr>
              <w:pStyle w:val="DualTxt"/>
              <w:tabs>
                <w:tab w:val="clear" w:pos="662"/>
                <w:tab w:val="clear" w:pos="1325"/>
                <w:tab w:val="clear" w:pos="1987"/>
                <w:tab w:val="clear" w:pos="2650"/>
                <w:tab w:val="clear" w:pos="3312"/>
                <w:tab w:val="clear" w:pos="3974"/>
                <w:tab w:val="clear" w:pos="4637"/>
                <w:tab w:val="right" w:leader="dot" w:pos="9072"/>
              </w:tabs>
              <w:rPr>
                <w:rtl/>
              </w:rPr>
            </w:pPr>
            <w:r>
              <w:rPr>
                <w:rtl/>
              </w:rPr>
              <w:t>الأقاليم الشمالية الغربية</w:t>
            </w:r>
            <w:r>
              <w:rPr>
                <w:rtl/>
              </w:rPr>
              <w:tab/>
            </w:r>
          </w:p>
        </w:tc>
        <w:tc>
          <w:tcPr>
            <w:tcW w:w="1100" w:type="dxa"/>
          </w:tcPr>
          <w:p w:rsidR="00000000" w:rsidRDefault="00000000">
            <w:pPr>
              <w:pStyle w:val="DualTxt"/>
              <w:rPr>
                <w:rtl/>
              </w:rPr>
            </w:pPr>
            <w:r>
              <w:rPr>
                <w:rtl/>
              </w:rPr>
              <w:t>250</w:t>
            </w:r>
          </w:p>
        </w:tc>
      </w:tr>
      <w:tr w:rsidR="00000000">
        <w:tblPrEx>
          <w:tblCellMar>
            <w:top w:w="0" w:type="dxa"/>
            <w:bottom w:w="0" w:type="dxa"/>
          </w:tblCellMar>
        </w:tblPrEx>
        <w:tc>
          <w:tcPr>
            <w:tcW w:w="1453" w:type="dxa"/>
          </w:tcPr>
          <w:p w:rsidR="00000000" w:rsidRDefault="00000000">
            <w:pPr>
              <w:pStyle w:val="DualTxt"/>
              <w:rPr>
                <w:rtl/>
              </w:rPr>
            </w:pPr>
          </w:p>
        </w:tc>
        <w:tc>
          <w:tcPr>
            <w:tcW w:w="7512" w:type="dxa"/>
          </w:tcPr>
          <w:p w:rsidR="00000000" w:rsidRDefault="00000000">
            <w:pPr>
              <w:pStyle w:val="DualTxt"/>
              <w:tabs>
                <w:tab w:val="clear" w:pos="662"/>
                <w:tab w:val="clear" w:pos="1325"/>
                <w:tab w:val="clear" w:pos="1987"/>
                <w:tab w:val="clear" w:pos="2650"/>
                <w:tab w:val="clear" w:pos="3312"/>
                <w:tab w:val="clear" w:pos="3974"/>
                <w:tab w:val="clear" w:pos="4637"/>
                <w:tab w:val="right" w:leader="dot" w:pos="9072"/>
              </w:tabs>
              <w:rPr>
                <w:rtl/>
              </w:rPr>
            </w:pPr>
            <w:r>
              <w:rPr>
                <w:rtl/>
              </w:rPr>
              <w:t>يوكون</w:t>
            </w:r>
            <w:r>
              <w:rPr>
                <w:rtl/>
              </w:rPr>
              <w:tab/>
            </w:r>
          </w:p>
        </w:tc>
        <w:tc>
          <w:tcPr>
            <w:tcW w:w="1100" w:type="dxa"/>
          </w:tcPr>
          <w:p w:rsidR="00000000" w:rsidRDefault="00000000">
            <w:pPr>
              <w:pStyle w:val="DualTxt"/>
              <w:rPr>
                <w:rtl/>
              </w:rPr>
            </w:pPr>
            <w:r>
              <w:rPr>
                <w:rtl/>
              </w:rPr>
              <w:t>263</w:t>
            </w:r>
          </w:p>
        </w:tc>
      </w:tr>
    </w:tbl>
    <w:p w:rsidR="00000000" w:rsidRDefault="00000000">
      <w:pPr>
        <w:pStyle w:val="DualTxt"/>
        <w:rPr>
          <w:rtl/>
        </w:rPr>
      </w:pPr>
    </w:p>
    <w:p w:rsidR="00000000" w:rsidRDefault="00000000">
      <w:pPr>
        <w:pStyle w:val="DualTxt"/>
        <w:ind w:left="1264" w:right="1264"/>
        <w:rPr>
          <w:rtl/>
        </w:rPr>
      </w:pPr>
      <w:r>
        <w:rPr>
          <w:rtl/>
        </w:rPr>
        <w:tab/>
      </w:r>
      <w:r>
        <w:rPr>
          <w:rtl/>
        </w:rPr>
        <w:br w:type="page"/>
        <w:t>مقدمة</w:t>
      </w:r>
    </w:p>
    <w:p w:rsidR="00000000" w:rsidRDefault="00000000">
      <w:pPr>
        <w:pStyle w:val="SingleTxt"/>
        <w:rPr>
          <w:rtl/>
        </w:rPr>
      </w:pPr>
      <w:r>
        <w:rPr>
          <w:rtl/>
        </w:rPr>
        <w:t>1 -</w:t>
      </w:r>
      <w:r>
        <w:rPr>
          <w:rtl/>
        </w:rPr>
        <w:tab/>
        <w:t>صدَّقَت كندا على “اتفاقية القضاء على جميع أشكال التمييز ضد المرأة” في 10 كانون الأول/ديسمبر 1981 وقدَّمت تقريرها الأوَّلي في حزيران/يونيه 1983 وتقريرها الثاني في كانون الثاني/يناير 1988 وتقريرها الثالث في أيلول/سبتمبر 1992 ثم قدمت تقريرها الرابع في أيلول/سبتمبر 1995. وهذا هو التقرير الخامس الذي تقدمه حكومة كندا بموجب الاتفاقية. والفترة الرئيسية المشمولة به تمتد من 31 آذار/مارس 1994 إلى 31 آذار/مارس 1998 (مع إشارات ترد في هذا الموضع أو ذاك إلى التطورات ذات الأهمية الخاصة التي استجدت منذ ذلك الحين).</w:t>
      </w:r>
    </w:p>
    <w:p w:rsidR="00000000" w:rsidRDefault="00000000">
      <w:pPr>
        <w:pStyle w:val="SingleTxt"/>
        <w:rPr>
          <w:rtl/>
        </w:rPr>
      </w:pPr>
      <w:r>
        <w:rPr>
          <w:rtl/>
        </w:rPr>
        <w:t>2 -</w:t>
      </w:r>
      <w:r>
        <w:rPr>
          <w:rtl/>
        </w:rPr>
        <w:tab/>
        <w:t>وكندا دولة اتحادية تتألف من 10 مقاطعات (ألبرتا وكولومبيا البريطانية ومانيتوبا ونيوبرونزويك ونيوفاوندلاند ولابرادور إضافة إلى نوفا سكوتشيا وأونتاريو وجزيرة الأمير إدوارد وكيبيك وساسكاتشيوان) فضلا عن ثلاثة أقاليم (الأقاليم الشمالية الغربية ويوكون ونونافوت وقد خرج الإقليم الأخير إلى حيِّز الوجود في 1 نيسان/أبريل 1999). وفيما يُعد التصديق على المعاهدات الدولية من اختصاص حكومة كندا وحدها، إلا أن تنفيذها يتطلب المشاركة الفعَّالة من جانب الحكومات المحلية التي تتمتع بالاختصاص بشأن المواضيع المشمولة. وبموجب التقسيم الدستوري للسلطات في كندا، فإن الولاية القضائية بالنسبة إلى بعض المجالات التي تؤثِّر على حياة المرأة تدخل بصورة مشتركة ضمن اختصاص الحكومة الاتحادية وحكومات المقاطعات/الأقاليم. وفي الحالات الأخرى، فثمة جوانب تندرج فقط ضمن الولاية القضائية للمقاطعة/الإقليم مثل تقديم الخدمات الاجتماعية. أما المسؤولية الاتحادية البحتة فتشمل مجالات منها مثلا القانون الجنائي. وعليه فإن الجهود الرامية إلى تعزيز مساواة المرأة تقتضي التزاما وشراكة من جانب جميع مستويات الحكم.</w:t>
      </w:r>
    </w:p>
    <w:p w:rsidR="00000000" w:rsidRDefault="00000000">
      <w:pPr>
        <w:pStyle w:val="SingleTxt"/>
        <w:rPr>
          <w:rtl/>
        </w:rPr>
      </w:pPr>
      <w:r>
        <w:rPr>
          <w:rtl/>
        </w:rPr>
        <w:t>3 -</w:t>
      </w:r>
      <w:r>
        <w:rPr>
          <w:rtl/>
        </w:rPr>
        <w:tab/>
        <w:t>وترد المعلومات المتعلقة بالهيكل السياسي والقانوني في كندا في “الوثيقة الأساسية التي تشكِّل جزءا من تقارير الدول الأطراف: كندا” المقدَّمة من كندا إلى الأمم المتحدة في 1997 وهي تشكِّل جزءا من تقارير كندا الدورية (إلى الأمم المتحدة) في إطار المعاهدات الدولية لحقوق الإنسان.</w:t>
      </w:r>
    </w:p>
    <w:p w:rsidR="00000000" w:rsidRDefault="00000000">
      <w:pPr>
        <w:pStyle w:val="SingleTxt"/>
        <w:rPr>
          <w:rtl/>
        </w:rPr>
      </w:pPr>
      <w:r>
        <w:rPr>
          <w:rtl/>
        </w:rPr>
        <w:t>4 -</w:t>
      </w:r>
      <w:r>
        <w:rPr>
          <w:rtl/>
        </w:rPr>
        <w:tab/>
        <w:t>ويمكن الاطلاع على المزيد من المعلومات المتصلة بحالة المرأة في كندا في ردود كندا على استبيان الأمم المتحدة المتعلق بتنفيذ منهاج عمل بيجين.</w:t>
      </w:r>
    </w:p>
    <w:p w:rsidR="00000000" w:rsidRDefault="00000000">
      <w:pPr>
        <w:pStyle w:val="SingleTxt"/>
        <w:rPr>
          <w:rtl/>
        </w:rPr>
      </w:pPr>
      <w:r>
        <w:rPr>
          <w:rtl/>
        </w:rPr>
        <w:t>5 -</w:t>
      </w:r>
      <w:r>
        <w:rPr>
          <w:rtl/>
        </w:rPr>
        <w:tab/>
        <w:t>ويتألف هذا التقرير الدوري الخامس من أربعة أجزاء حيث يحوي الجزء الأول نظرة استهلالية عامة عن حالة المرأة في كندا فيما يشمل الجزء الثاني استعراضا للتدابير التي اتخذتها الحكومة الاتحادية فيما يتصل باتفاقية القضاء على جميع أشكال التمييز ضد المرأة. ويضم الجزء الثالث استعراضا أعدته حكومات المقاطعات للتدابير التي اتخذتها في هذا المضمار. أما الجزء الرابع فيضم استعراضا للتدابير التي اتخذتها حكومات الأقاليم وقد أعدته تلك الحكومات. ويتوخى التقرير، قدر الإمكان، اتباع المبادئ التوجيهية التي أصدرتها لجنة القضاء على التمييز ضد المرأة وقد رُوعيت التعليقات التي خلصت إليها اللجنة وكذلك الفقرة 323 من إعلان ومنهاج عمل بيجين الذي يدعو الدول الأطراف إلى إدراج معلومات عن التدابير المتخذة لتنفيذ منهاج العمل في تقاريرها المقدَّمة إلى اللجنة.</w:t>
      </w:r>
    </w:p>
    <w:p w:rsidR="00000000" w:rsidRDefault="00000000">
      <w:pPr>
        <w:pStyle w:val="SingleTxt"/>
        <w:rPr>
          <w:b/>
          <w:bCs/>
          <w:szCs w:val="34"/>
          <w:rtl/>
        </w:rPr>
      </w:pPr>
      <w:r>
        <w:rPr>
          <w:rtl/>
        </w:rPr>
        <w:br w:type="page"/>
      </w:r>
      <w:r>
        <w:rPr>
          <w:b/>
          <w:bCs/>
          <w:szCs w:val="34"/>
          <w:rtl/>
        </w:rPr>
        <w:t>الجزء الأول</w:t>
      </w:r>
    </w:p>
    <w:p w:rsidR="00000000" w:rsidRDefault="00000000">
      <w:pPr>
        <w:pStyle w:val="SingleTxt"/>
        <w:rPr>
          <w:b/>
          <w:bCs/>
          <w:szCs w:val="32"/>
          <w:rtl/>
        </w:rPr>
      </w:pPr>
      <w:r>
        <w:rPr>
          <w:b/>
          <w:bCs/>
          <w:szCs w:val="32"/>
          <w:rtl/>
        </w:rPr>
        <w:t>نظرة عامة</w:t>
      </w:r>
    </w:p>
    <w:p w:rsidR="00000000" w:rsidRDefault="00000000">
      <w:pPr>
        <w:pStyle w:val="SingleTxt"/>
        <w:rPr>
          <w:rtl/>
        </w:rPr>
      </w:pPr>
      <w:r>
        <w:rPr>
          <w:rtl/>
        </w:rPr>
        <w:t>6 -</w:t>
      </w:r>
      <w:r>
        <w:rPr>
          <w:rtl/>
        </w:rPr>
        <w:tab/>
        <w:t>في سنة 2000 يحيي الكنديون الذكرى السنوية الثلاثين لصدور التقرير المشهود المعنون “تقرير اللجنة الملكية عن وضع المرأة” وكذلك الذكرى السنوية الخامسة عشرة لسريان المادة 15 من الميثاق الكندي للحقوق والحريات الذي كان من شأنه النص رسميا على مساواة المرأة في إطار الدستور الكندي.</w:t>
      </w:r>
    </w:p>
    <w:p w:rsidR="00000000" w:rsidRDefault="00000000">
      <w:pPr>
        <w:pStyle w:val="SingleTxt"/>
        <w:rPr>
          <w:rtl/>
        </w:rPr>
      </w:pPr>
      <w:r>
        <w:rPr>
          <w:rtl/>
        </w:rPr>
        <w:t>7 -</w:t>
      </w:r>
      <w:r>
        <w:rPr>
          <w:rtl/>
        </w:rPr>
        <w:tab/>
        <w:t>وعلى مدار فترة الثلاثين سنة منذ قيام اللجنة الملكية المعنية بوضع المرأة، أحرزت كندا تقدما ملموسا في النهوض بوضع المرأة وقد أدت جهود بذلها أفراد وحكومات ومنظمات غير حكومية إلى تمكين كندا من جني كثير من الثمار الاجتماعية والاقتصادية التي أفادت الكنديين كافة. وكانت النساء والمنظمات النسائية بالذات من العناصر التي أدت إلى إحراز هذا التقدُّم.</w:t>
      </w:r>
    </w:p>
    <w:p w:rsidR="00000000" w:rsidRDefault="00000000">
      <w:pPr>
        <w:pStyle w:val="SingleTxt"/>
        <w:rPr>
          <w:rtl/>
        </w:rPr>
      </w:pPr>
      <w:r>
        <w:rPr>
          <w:rtl/>
        </w:rPr>
        <w:t>8 -</w:t>
      </w:r>
      <w:r>
        <w:rPr>
          <w:rtl/>
        </w:rPr>
        <w:tab/>
        <w:t>وتخضع التشريعات والسياسات والبرامج الكندية للميثاق الكندي للحقوق والحريات حيث يكفل البندان 15 و 28 من الميثاق الحماية الدستورية للمساواة بين الجنسين فيما يحظر البند 15 ممارسة التمييز على أساس من العرق أو الأصل القومي أو الإثني أو على أساس اللون أو الديانة أو نوع الجنس أو العمر أو الإعاقة العقلية أو الجسمية أو البدنية أو الفئات المناظرة التي تم تفسيرها لتشمل التوجُّه الجنسي. أما البند 28 فينص على “أنه بصرف النظر عن أي شيء يرد في هذا الميثاق، فإن الحقوق والحريات المشار إليها مكفولة بصورة متساوية للأشخاص من ذكور وإناث”. وينظِّم الميثاق بصورة عامة العلاقات بين الحكومات (الحكومة الاتحادية وحكومات المقاطعات والحكومات المحلية) والأفراد قبل أن ينظِّم العلاقات بين الأفراد أنفسهم. كما أن المدوَّنات القانونية لحقوق الإنسان، سواء على الصعيد الاتحادي أو صعيد المقاطعات توسِّع نطاق تدابير الحظر المماثلة ضد التمييز لكي تشمل القطاع الخاص.</w:t>
      </w:r>
    </w:p>
    <w:p w:rsidR="00000000" w:rsidRDefault="00000000">
      <w:pPr>
        <w:pStyle w:val="SingleTxt"/>
        <w:rPr>
          <w:rtl/>
        </w:rPr>
      </w:pPr>
      <w:r>
        <w:rPr>
          <w:rtl/>
        </w:rPr>
        <w:t>9 -</w:t>
      </w:r>
      <w:r>
        <w:rPr>
          <w:rtl/>
        </w:rPr>
        <w:tab/>
        <w:t>وكندا ملتزمة بتحقيق المساواة بين الجنسين وإقرار حقوق الإنسان للمرأة من خلال أنشطتنا المحلية والدولية. وتستند تدابير كندا في تعزيز المساواة الجنسانية إلى قناعة بأن الحقوق المتساوية للنساء هي عنصر لا غنى عنه للتقدم على طريق حقوق الإنسان والتطور الديمقراطي باعتبار أن التنمية المستدامة لن يتسنى تحقيقها إلا إذا كانت المرأة قادرة على المشاركة بوصفها عنصراً متساويا في اتخاذ القرارات المتعلقة بهذه التنمية وعنصراً مستفيداً منها.</w:t>
      </w:r>
    </w:p>
    <w:p w:rsidR="00000000" w:rsidRDefault="00000000">
      <w:pPr>
        <w:pStyle w:val="SingleTxt"/>
        <w:rPr>
          <w:rtl/>
        </w:rPr>
      </w:pPr>
      <w:r>
        <w:rPr>
          <w:rtl/>
        </w:rPr>
        <w:t>10 -</w:t>
      </w:r>
      <w:r>
        <w:rPr>
          <w:rtl/>
        </w:rPr>
        <w:tab/>
        <w:t>وقد دُعيت كندا، شأنها في ذلك شأن جميع الدول أعضاء الأمم المتحدة، إلى صياغة خطة وطنية لتعزيز وضع المرأة سواء داخل حدودها أو على الصعيد العالمي. وتُعد الخطة الاتحادية للمساواة بين الجنسين المقدمة عام 1995 في مؤتمر الأمم المتحدة العالمي الرابع المعني بالمرأة المعقود في بيجين، استجابة كندا لهذا الطلب وتأتي الخطة الاتحادية المذكورة إقرارا بالالتزامات وإطار عمل للمستقبل حيث تَطرح مبادرة تعاونية من جانب الوزارات والوكالات الاتحادية الأربع والعشرين التي تتصدرها الوزارة المعنية بوضع المرأة.</w:t>
      </w:r>
    </w:p>
    <w:p w:rsidR="00000000" w:rsidRDefault="00000000">
      <w:pPr>
        <w:pStyle w:val="SingleTxt"/>
        <w:rPr>
          <w:rtl/>
        </w:rPr>
      </w:pPr>
      <w:r>
        <w:rPr>
          <w:rtl/>
        </w:rPr>
        <w:t>11 -</w:t>
      </w:r>
      <w:r>
        <w:rPr>
          <w:rtl/>
        </w:rPr>
        <w:tab/>
        <w:t>وتتوخى الخطة الاتحادية تحقيق ثمانية أهداف:</w:t>
      </w:r>
    </w:p>
    <w:p w:rsidR="00000000" w:rsidRDefault="00000000">
      <w:pPr>
        <w:pStyle w:val="SingleTxt"/>
        <w:tabs>
          <w:tab w:val="left" w:pos="1628"/>
        </w:tabs>
        <w:rPr>
          <w:rtl/>
        </w:rPr>
      </w:pPr>
      <w:r>
        <w:rPr>
          <w:rtl/>
        </w:rPr>
        <w:tab/>
        <w:t>•</w:t>
      </w:r>
      <w:r>
        <w:rPr>
          <w:rtl/>
        </w:rPr>
        <w:tab/>
        <w:t>إجراء تحليل على أساس نوع الجنس يتم في جميع الوزارات والوكالات الاتحادية</w:t>
      </w:r>
    </w:p>
    <w:p w:rsidR="00000000" w:rsidRDefault="00000000">
      <w:pPr>
        <w:pStyle w:val="SingleTxt"/>
        <w:tabs>
          <w:tab w:val="left" w:pos="1628"/>
        </w:tabs>
        <w:rPr>
          <w:rtl/>
        </w:rPr>
      </w:pPr>
      <w:r>
        <w:rPr>
          <w:rtl/>
        </w:rPr>
        <w:tab/>
        <w:t>•</w:t>
      </w:r>
      <w:r>
        <w:rPr>
          <w:rtl/>
        </w:rPr>
        <w:tab/>
        <w:t>تحسين استقلال ورفاه المرأة في المجال الاقتصادي</w:t>
      </w:r>
    </w:p>
    <w:p w:rsidR="00000000" w:rsidRDefault="00000000">
      <w:pPr>
        <w:pStyle w:val="SingleTxt"/>
        <w:tabs>
          <w:tab w:val="left" w:pos="1628"/>
        </w:tabs>
        <w:rPr>
          <w:rtl/>
        </w:rPr>
      </w:pPr>
      <w:r>
        <w:rPr>
          <w:rtl/>
        </w:rPr>
        <w:tab/>
        <w:t>•</w:t>
      </w:r>
      <w:r>
        <w:rPr>
          <w:rtl/>
        </w:rPr>
        <w:tab/>
        <w:t>تحسين رعاية المرأة من الناحيتين الجسمانية والنفسانية</w:t>
      </w:r>
    </w:p>
    <w:p w:rsidR="00000000" w:rsidRDefault="00000000">
      <w:pPr>
        <w:pStyle w:val="SingleTxt"/>
        <w:tabs>
          <w:tab w:val="left" w:pos="1628"/>
        </w:tabs>
        <w:rPr>
          <w:rtl/>
        </w:rPr>
      </w:pPr>
      <w:r>
        <w:rPr>
          <w:rtl/>
        </w:rPr>
        <w:tab/>
        <w:t>•</w:t>
      </w:r>
      <w:r>
        <w:rPr>
          <w:rtl/>
        </w:rPr>
        <w:tab/>
        <w:t>تقليل العنف في المجتمع ولا سيما العنف الموجَّه ضد المرأة والطفل</w:t>
      </w:r>
    </w:p>
    <w:p w:rsidR="00000000" w:rsidRDefault="00000000">
      <w:pPr>
        <w:pStyle w:val="SingleTxt"/>
        <w:tabs>
          <w:tab w:val="left" w:pos="1628"/>
        </w:tabs>
        <w:rPr>
          <w:rtl/>
        </w:rPr>
      </w:pPr>
      <w:r>
        <w:rPr>
          <w:rtl/>
        </w:rPr>
        <w:tab/>
        <w:t>•</w:t>
      </w:r>
      <w:r>
        <w:rPr>
          <w:rtl/>
        </w:rPr>
        <w:tab/>
        <w:t>تعزيز المساواة بين الجنسين في جميع جوانب الحياة الثقافية في كندا</w:t>
      </w:r>
    </w:p>
    <w:p w:rsidR="00000000" w:rsidRDefault="00000000">
      <w:pPr>
        <w:pStyle w:val="SingleTxt"/>
        <w:tabs>
          <w:tab w:val="left" w:pos="1628"/>
        </w:tabs>
        <w:rPr>
          <w:rtl/>
        </w:rPr>
      </w:pPr>
      <w:r>
        <w:rPr>
          <w:rtl/>
        </w:rPr>
        <w:tab/>
        <w:t>•</w:t>
      </w:r>
      <w:r>
        <w:rPr>
          <w:rtl/>
        </w:rPr>
        <w:tab/>
        <w:t>دمج منظورات المرأة ضمن إدارة شؤون الحكم</w:t>
      </w:r>
    </w:p>
    <w:p w:rsidR="00000000" w:rsidRDefault="00000000">
      <w:pPr>
        <w:pStyle w:val="SingleTxt"/>
        <w:tabs>
          <w:tab w:val="left" w:pos="1628"/>
        </w:tabs>
        <w:rPr>
          <w:rtl/>
        </w:rPr>
      </w:pPr>
      <w:r>
        <w:rPr>
          <w:rtl/>
        </w:rPr>
        <w:tab/>
        <w:t>•</w:t>
      </w:r>
      <w:r>
        <w:rPr>
          <w:rtl/>
        </w:rPr>
        <w:tab/>
        <w:t>تعزيز ودعم المساواة الجنسانية الشاملة</w:t>
      </w:r>
    </w:p>
    <w:p w:rsidR="00000000" w:rsidRDefault="00000000">
      <w:pPr>
        <w:pStyle w:val="SingleTxt"/>
        <w:tabs>
          <w:tab w:val="left" w:pos="1628"/>
        </w:tabs>
        <w:rPr>
          <w:rtl/>
        </w:rPr>
      </w:pPr>
      <w:r>
        <w:rPr>
          <w:rtl/>
        </w:rPr>
        <w:tab/>
        <w:t>•</w:t>
      </w:r>
      <w:r>
        <w:rPr>
          <w:rtl/>
        </w:rPr>
        <w:tab/>
        <w:t>تعزيز المساواة الجنسانية لموظفي الوزارات والوكالات الاتحادية</w:t>
      </w:r>
    </w:p>
    <w:p w:rsidR="00000000" w:rsidRDefault="00000000">
      <w:pPr>
        <w:pStyle w:val="SingleTxt"/>
        <w:tabs>
          <w:tab w:val="left" w:pos="1628"/>
        </w:tabs>
        <w:rPr>
          <w:rtl/>
        </w:rPr>
      </w:pPr>
      <w:r>
        <w:rPr>
          <w:rtl/>
        </w:rPr>
        <w:t>12 -</w:t>
      </w:r>
      <w:r>
        <w:rPr>
          <w:rtl/>
        </w:rPr>
        <w:tab/>
        <w:t>وترد بمزيد من التفصيل في الجزء الثاني من هذا التقرير، مناقشة كثير من التدابير المحدَّدة التي اتخذتها كندا من أجل تحقيق هذه الأهداف. وأبرز ما في هذا الصدد ما يلي:</w:t>
      </w:r>
    </w:p>
    <w:p w:rsidR="00000000" w:rsidRDefault="00000000">
      <w:pPr>
        <w:pStyle w:val="SingleTxt"/>
        <w:tabs>
          <w:tab w:val="left" w:pos="1628"/>
        </w:tabs>
        <w:ind w:left="1927" w:right="1264" w:hanging="663"/>
        <w:rPr>
          <w:rtl/>
        </w:rPr>
      </w:pPr>
      <w:r>
        <w:rPr>
          <w:rtl/>
        </w:rPr>
        <w:tab/>
      </w:r>
      <w:r>
        <w:rPr>
          <w:rtl/>
        </w:rPr>
        <w:tab/>
        <w:t>•</w:t>
      </w:r>
      <w:r>
        <w:rPr>
          <w:rtl/>
        </w:rPr>
        <w:tab/>
        <w:t>الأدلة والندوات التي تم إعدادها عن التحليل المستند إلى نوع الجنس وهو ما اضطلعت به وزارات اتحادية عديدة. وقد تم تحسين البحوث والمعلومات من خلال إدراج أسئلة عن العمل غير المأجور في تعداد عام 1996.</w:t>
      </w:r>
    </w:p>
    <w:p w:rsidR="00000000" w:rsidRDefault="00000000">
      <w:pPr>
        <w:pStyle w:val="SingleTxt"/>
        <w:tabs>
          <w:tab w:val="left" w:pos="1628"/>
        </w:tabs>
        <w:ind w:left="1927" w:right="1264" w:hanging="663"/>
        <w:rPr>
          <w:rtl/>
        </w:rPr>
      </w:pPr>
      <w:r>
        <w:rPr>
          <w:rtl/>
        </w:rPr>
        <w:tab/>
      </w:r>
      <w:r>
        <w:rPr>
          <w:rtl/>
        </w:rPr>
        <w:tab/>
        <w:t>•</w:t>
      </w:r>
      <w:r>
        <w:rPr>
          <w:rtl/>
        </w:rPr>
        <w:tab/>
        <w:t>طرح مبادرة على المستوى الاتحادي ومستوى المقاطعة/الإقليم من أجل وضع مؤشرات جنسانية محددة. وفي عام 1997 نَشر الوزراء المسؤولون عن وضع المرأة “المؤشرات الجنسانية للمساواة الاقتصادية”.</w:t>
      </w:r>
    </w:p>
    <w:p w:rsidR="00000000" w:rsidRDefault="00000000">
      <w:pPr>
        <w:pStyle w:val="SingleTxt"/>
        <w:tabs>
          <w:tab w:val="left" w:pos="1628"/>
        </w:tabs>
        <w:ind w:left="1927" w:right="1264" w:hanging="663"/>
        <w:rPr>
          <w:rtl/>
        </w:rPr>
      </w:pPr>
      <w:r>
        <w:rPr>
          <w:rtl/>
        </w:rPr>
        <w:tab/>
      </w:r>
      <w:r>
        <w:rPr>
          <w:rtl/>
        </w:rPr>
        <w:tab/>
        <w:t>•</w:t>
      </w:r>
      <w:r>
        <w:rPr>
          <w:rtl/>
        </w:rPr>
        <w:tab/>
        <w:t>مشروع الحكومة الاتحادية المعنون “استجماع القوة: خطة عمل كندا للسكان الأصليين” الذي يمثل استجابة إزاء التقرير الختامي للجنة الملكية المعنية بشعوب السكان الأصليين وتشمل كثيرا من المبادرات التي لها أثرها على نساء السكان الأصليين.</w:t>
      </w:r>
    </w:p>
    <w:p w:rsidR="00000000" w:rsidRDefault="00000000">
      <w:pPr>
        <w:pStyle w:val="SingleTxt"/>
        <w:tabs>
          <w:tab w:val="left" w:pos="1628"/>
        </w:tabs>
        <w:ind w:left="1927" w:right="1264" w:hanging="663"/>
        <w:rPr>
          <w:rtl/>
        </w:rPr>
      </w:pPr>
      <w:r>
        <w:rPr>
          <w:rtl/>
        </w:rPr>
        <w:tab/>
      </w:r>
      <w:r>
        <w:rPr>
          <w:rtl/>
        </w:rPr>
        <w:tab/>
        <w:t>•</w:t>
      </w:r>
      <w:r>
        <w:rPr>
          <w:rtl/>
        </w:rPr>
        <w:tab/>
        <w:t>أضيف موضوع التوجُّه الجنسي بوصفه مجالا محظورا من مجالات التمييز بموجب القانون الكندي لحقوق الإنسان الذي يُطبَّق على التوظيف في مجال تقديم السلع والخدمات من جانب الحكومة الاتحادية ودوائر الأعمال التجارية المنظمة اتحاديا مثل المصارف وشركات الطيران.</w:t>
      </w:r>
    </w:p>
    <w:p w:rsidR="00000000" w:rsidRDefault="00000000">
      <w:pPr>
        <w:pStyle w:val="SingleTxt"/>
        <w:tabs>
          <w:tab w:val="left" w:pos="1628"/>
        </w:tabs>
        <w:ind w:left="1927" w:right="1264" w:hanging="663"/>
        <w:rPr>
          <w:rtl/>
        </w:rPr>
      </w:pPr>
      <w:r>
        <w:rPr>
          <w:rtl/>
        </w:rPr>
        <w:tab/>
      </w:r>
      <w:r>
        <w:rPr>
          <w:rtl/>
        </w:rPr>
        <w:tab/>
        <w:t>•</w:t>
      </w:r>
      <w:r>
        <w:rPr>
          <w:rtl/>
        </w:rPr>
        <w:tab/>
        <w:t>هناك التزام مستمر بخفض العنف الأُسري من خلال مواصلة التمويل للمرحلة الثالثة من مبادرة العنف الأُسري.</w:t>
      </w:r>
    </w:p>
    <w:p w:rsidR="00000000" w:rsidRDefault="00000000">
      <w:pPr>
        <w:pStyle w:val="SingleTxt"/>
        <w:tabs>
          <w:tab w:val="left" w:pos="1628"/>
        </w:tabs>
        <w:ind w:left="1927" w:right="1264" w:hanging="663"/>
        <w:rPr>
          <w:rtl/>
        </w:rPr>
      </w:pPr>
      <w:r>
        <w:rPr>
          <w:rtl/>
        </w:rPr>
        <w:tab/>
      </w:r>
      <w:r>
        <w:rPr>
          <w:rtl/>
        </w:rPr>
        <w:tab/>
        <w:t>•</w:t>
      </w:r>
      <w:r>
        <w:rPr>
          <w:rtl/>
        </w:rPr>
        <w:tab/>
        <w:t>أدى برنامج دعم المأوى الممول بمبلغ 4.3 مليون دولار إلى تطوير أنواع المأوى المتاحة حاليا للنساء من ضحايا العنف لكي تصل إلى مستويات مقبولة وتلبي احتياجات الأطفال والمتعاملات الأكبر سنا والأشخاص من ذوي الإعاقة. ومنذ عام 1995، تم بموجب هذا البرنامج دعم 000 3 من وحدات المأوى.</w:t>
      </w:r>
    </w:p>
    <w:p w:rsidR="00000000" w:rsidRDefault="00000000">
      <w:pPr>
        <w:pStyle w:val="SingleTxt"/>
        <w:tabs>
          <w:tab w:val="left" w:pos="1628"/>
        </w:tabs>
        <w:ind w:left="1927" w:right="1264" w:hanging="663"/>
        <w:rPr>
          <w:rtl/>
        </w:rPr>
      </w:pPr>
      <w:r>
        <w:rPr>
          <w:rtl/>
        </w:rPr>
        <w:tab/>
      </w:r>
      <w:r>
        <w:rPr>
          <w:rtl/>
        </w:rPr>
        <w:tab/>
        <w:t>•</w:t>
      </w:r>
      <w:r>
        <w:rPr>
          <w:rtl/>
        </w:rPr>
        <w:tab/>
        <w:t>تشمل مبادرات العدالة الجنائية قيودا فرضت على امتلاك واستعمال الأسلحة النارية ووضع حدود على الدفاع في حالات التعاطي الذاتي للمسكرات، مع الأخذ بتعهدات أنجع لإشاعة السلام والنص على أحكام أطول للمعاقبة على جرائم الكراهية وحظر ممارسة تشويه الأعضاء التناسلية للأنثى.</w:t>
      </w:r>
    </w:p>
    <w:p w:rsidR="00000000" w:rsidRDefault="00000000">
      <w:pPr>
        <w:pStyle w:val="SingleTxt"/>
        <w:tabs>
          <w:tab w:val="left" w:pos="1628"/>
        </w:tabs>
        <w:ind w:left="1927" w:right="1264" w:hanging="663"/>
        <w:rPr>
          <w:rtl/>
        </w:rPr>
      </w:pPr>
      <w:r>
        <w:rPr>
          <w:rtl/>
        </w:rPr>
        <w:tab/>
      </w:r>
      <w:r>
        <w:rPr>
          <w:rtl/>
        </w:rPr>
        <w:tab/>
        <w:t>•</w:t>
      </w:r>
      <w:r>
        <w:rPr>
          <w:rtl/>
        </w:rPr>
        <w:tab/>
        <w:t>طرأت تحسينات على الظروف المعيشية للنساء الصادر بحقهّن أحكام اتحادية.</w:t>
      </w:r>
    </w:p>
    <w:p w:rsidR="00000000" w:rsidRDefault="00000000">
      <w:pPr>
        <w:pStyle w:val="SingleTxt"/>
        <w:tabs>
          <w:tab w:val="left" w:pos="1628"/>
        </w:tabs>
        <w:ind w:left="1927" w:right="1264" w:hanging="663"/>
        <w:rPr>
          <w:rtl/>
        </w:rPr>
      </w:pPr>
      <w:r>
        <w:rPr>
          <w:rtl/>
        </w:rPr>
        <w:tab/>
      </w:r>
      <w:r>
        <w:rPr>
          <w:rtl/>
        </w:rPr>
        <w:tab/>
        <w:t>•</w:t>
      </w:r>
      <w:r>
        <w:rPr>
          <w:rtl/>
        </w:rPr>
        <w:tab/>
        <w:t>تم تعزيز قانون التكافؤ في التوظيف.</w:t>
      </w:r>
    </w:p>
    <w:p w:rsidR="00000000" w:rsidRDefault="00000000">
      <w:pPr>
        <w:pStyle w:val="SingleTxt"/>
        <w:tabs>
          <w:tab w:val="left" w:pos="1628"/>
        </w:tabs>
        <w:ind w:left="1927" w:right="1264" w:hanging="663"/>
        <w:rPr>
          <w:rtl/>
        </w:rPr>
      </w:pPr>
      <w:r>
        <w:rPr>
          <w:rtl/>
        </w:rPr>
        <w:tab/>
      </w:r>
      <w:r>
        <w:rPr>
          <w:rtl/>
        </w:rPr>
        <w:tab/>
        <w:t>•</w:t>
      </w:r>
      <w:r>
        <w:rPr>
          <w:rtl/>
        </w:rPr>
        <w:tab/>
        <w:t>تكفل استراتيجية الفرص الكندية زيادة إمكانية الحصول على التعليم ما بعد الثانوي للأشخاص العائلين ولذوي الإعاقات.</w:t>
      </w:r>
    </w:p>
    <w:p w:rsidR="00000000" w:rsidRDefault="00000000">
      <w:pPr>
        <w:pStyle w:val="SingleTxt"/>
        <w:tabs>
          <w:tab w:val="left" w:pos="1628"/>
        </w:tabs>
        <w:ind w:left="1927" w:right="1264" w:hanging="663"/>
        <w:rPr>
          <w:rtl/>
        </w:rPr>
      </w:pPr>
      <w:r>
        <w:rPr>
          <w:rtl/>
        </w:rPr>
        <w:tab/>
      </w:r>
      <w:r>
        <w:rPr>
          <w:rtl/>
        </w:rPr>
        <w:tab/>
        <w:t>•</w:t>
      </w:r>
      <w:r>
        <w:rPr>
          <w:rtl/>
        </w:rPr>
        <w:tab/>
        <w:t>تم في ميزانية عام 1998 العمل بائتمان لمقدمي الرعاية وهو يعترف جزئيا بالعمل غير المأجور ومعظمه تزاوله نساء.</w:t>
      </w:r>
    </w:p>
    <w:p w:rsidR="00000000" w:rsidRDefault="00000000">
      <w:pPr>
        <w:pStyle w:val="SingleTxt"/>
        <w:tabs>
          <w:tab w:val="left" w:pos="1628"/>
        </w:tabs>
        <w:ind w:left="1927" w:right="1264" w:hanging="663"/>
        <w:rPr>
          <w:rtl/>
        </w:rPr>
      </w:pPr>
      <w:r>
        <w:rPr>
          <w:rtl/>
        </w:rPr>
        <w:tab/>
      </w:r>
      <w:r>
        <w:rPr>
          <w:rtl/>
        </w:rPr>
        <w:tab/>
        <w:t>•</w:t>
      </w:r>
      <w:r>
        <w:rPr>
          <w:rtl/>
        </w:rPr>
        <w:tab/>
        <w:t>تم تنفيذ استحقاق الطفولة الوطني الجديد في 1 تموز/يوليه 1998 بوصفه مجهودا مشتركا من جانب الحكومة الاتحادية وحكومات المقاطعات/الأقاليم حيث أن ما يقرب من نصف المستفيدين منه هم أُسَر الوالد الوحيد التي تترأسها نساء.</w:t>
      </w:r>
    </w:p>
    <w:p w:rsidR="00000000" w:rsidRDefault="00000000">
      <w:pPr>
        <w:pStyle w:val="SingleTxt"/>
        <w:tabs>
          <w:tab w:val="left" w:pos="1628"/>
        </w:tabs>
        <w:ind w:left="1927" w:right="1264" w:hanging="663"/>
        <w:rPr>
          <w:rtl/>
        </w:rPr>
      </w:pPr>
      <w:r>
        <w:rPr>
          <w:rtl/>
        </w:rPr>
        <w:tab/>
      </w:r>
      <w:r>
        <w:rPr>
          <w:rtl/>
        </w:rPr>
        <w:tab/>
        <w:t>•</w:t>
      </w:r>
      <w:r>
        <w:rPr>
          <w:rtl/>
        </w:rPr>
        <w:tab/>
        <w:t>تم في عام 1997 العمل باستحقاق ضريبة الطفولة في كندا وقوامها 6 بلايين دولار ثم طرأت عليه زيادة لاحقة.</w:t>
      </w:r>
    </w:p>
    <w:p w:rsidR="00000000" w:rsidRDefault="00000000">
      <w:pPr>
        <w:pStyle w:val="SingleTxt"/>
        <w:tabs>
          <w:tab w:val="left" w:pos="1628"/>
        </w:tabs>
        <w:ind w:left="1927" w:right="1264" w:hanging="663"/>
        <w:rPr>
          <w:rtl/>
        </w:rPr>
      </w:pPr>
      <w:r>
        <w:rPr>
          <w:rtl/>
        </w:rPr>
        <w:tab/>
      </w:r>
      <w:r>
        <w:rPr>
          <w:rtl/>
        </w:rPr>
        <w:tab/>
        <w:t>•</w:t>
      </w:r>
      <w:r>
        <w:rPr>
          <w:rtl/>
        </w:rPr>
        <w:tab/>
        <w:t>تم في عام 1996 إنشاء مراكز تفوُّق معنية بصحة المرأة.</w:t>
      </w:r>
    </w:p>
    <w:p w:rsidR="00000000" w:rsidRDefault="00000000">
      <w:pPr>
        <w:pStyle w:val="SingleTxt"/>
        <w:tabs>
          <w:tab w:val="left" w:pos="1628"/>
        </w:tabs>
        <w:ind w:left="1927" w:right="1264" w:hanging="663"/>
        <w:rPr>
          <w:rtl/>
        </w:rPr>
      </w:pPr>
      <w:r>
        <w:rPr>
          <w:rtl/>
        </w:rPr>
        <w:tab/>
      </w:r>
      <w:r>
        <w:rPr>
          <w:rtl/>
        </w:rPr>
        <w:tab/>
        <w:t>•</w:t>
      </w:r>
      <w:r>
        <w:rPr>
          <w:rtl/>
        </w:rPr>
        <w:tab/>
        <w:t>أُدخِلَت إصلاحات رئيسية على نظام دعم الطفولة.</w:t>
      </w:r>
    </w:p>
    <w:p w:rsidR="00000000" w:rsidRDefault="00000000">
      <w:pPr>
        <w:pStyle w:val="SingleTxt"/>
        <w:tabs>
          <w:tab w:val="left" w:pos="1628"/>
        </w:tabs>
        <w:ind w:left="1264" w:right="1264"/>
        <w:rPr>
          <w:rtl/>
        </w:rPr>
      </w:pPr>
      <w:r>
        <w:rPr>
          <w:rtl/>
        </w:rPr>
        <w:t>13 -</w:t>
      </w:r>
      <w:r>
        <w:rPr>
          <w:rtl/>
        </w:rPr>
        <w:tab/>
        <w:t>مع ذلك فلا يزال هناك تقسيم مُميَّز للعمل الجنساني في كندا. وفي معظم سنوات القرن العشرين كان عمل الرجل يتركز في مجال الاقتصاد السوقي المأجور فيما كان عمل المرأة يتألف إلى حدٍ كبير من أنشطة غير مدفوعة الأجر تتصل بإدارة شؤون الأسرة المعيشية ورعاية الأطفال وأفراد الأسرة.</w:t>
      </w:r>
    </w:p>
    <w:p w:rsidR="00000000" w:rsidRDefault="00000000">
      <w:pPr>
        <w:pStyle w:val="SingleTxt"/>
        <w:tabs>
          <w:tab w:val="left" w:pos="1628"/>
        </w:tabs>
        <w:ind w:left="1264" w:right="1264"/>
        <w:rPr>
          <w:rtl/>
        </w:rPr>
      </w:pPr>
      <w:r>
        <w:rPr>
          <w:rtl/>
        </w:rPr>
        <w:t>14 -</w:t>
      </w:r>
      <w:r>
        <w:rPr>
          <w:rtl/>
        </w:rPr>
        <w:tab/>
        <w:t>ومنذ الخمسينيات، زادت بأكثر من الضعف مشاركة المرأة في قوة العمل المأجور. وكادت المرأة تشكل ما يقرب من النصف (46 في المائة) من جميع العاملين بأجر في كندا. ولكن من ناحية أخرى شهِدَت مشاركة الرجل في قوة العمل انخفاضا محدودا ولكن مضطرد يرجع في معظمه إلى الإحالة إلى التقاعد المبكِّر. ومع ذلك فلا يزال الرجال بصورة أرجح من النساء إلى حدٍ ما مشاركين مأجورين في قوة العمل ويمضون وقتا أطول على الإجمال في العمل لقاء أجر.</w:t>
      </w:r>
    </w:p>
    <w:p w:rsidR="00000000" w:rsidRDefault="00000000">
      <w:pPr>
        <w:pStyle w:val="SingleTxt"/>
        <w:tabs>
          <w:tab w:val="left" w:pos="1628"/>
        </w:tabs>
        <w:ind w:left="1264" w:right="1264"/>
        <w:rPr>
          <w:rtl/>
        </w:rPr>
      </w:pPr>
      <w:r>
        <w:rPr>
          <w:rtl/>
        </w:rPr>
        <w:t>15 -</w:t>
      </w:r>
      <w:r>
        <w:rPr>
          <w:rtl/>
        </w:rPr>
        <w:tab/>
        <w:t>وفي الماضي، كانت قلة من النساء ممن لديهن أطفال يعملن مقابل أجر. ففي الستينات كانت المشاركة في قوة العمل منخفضة للغاية بالنسبة للمرأة ذات الأطفال دون السادسة وكان بوسع المرأة على مدار حياتها أن تتوقع مولد أربعة أطفال في المتوسط. واليوم انخفض معدل الخصوبة دون معدل الإحلال لطفلين لكل امرأة، كما أصبحت النساء من ذوات الأطفال يشكلن جانبا كبيرا من الزيادة في مشاركة المرأة في قوة العمل حيث أن أكثر من 6نساء من بين 10 نساء ممن يكون أصغر أطفالهن في سن ما قبل المدرسة أصبحن مستخدَمات في وظائف ومعظمهن يعملن لقاء أجر على أساس من التفرغ الكامل.</w:t>
      </w:r>
    </w:p>
    <w:p w:rsidR="00000000" w:rsidRDefault="00000000">
      <w:pPr>
        <w:pStyle w:val="SingleTxt"/>
        <w:tabs>
          <w:tab w:val="left" w:pos="1628"/>
        </w:tabs>
        <w:ind w:left="1264" w:right="1264"/>
        <w:rPr>
          <w:rtl/>
        </w:rPr>
      </w:pPr>
      <w:r>
        <w:rPr>
          <w:rtl/>
        </w:rPr>
        <w:t>16 -</w:t>
      </w:r>
      <w:r>
        <w:rPr>
          <w:rtl/>
        </w:rPr>
        <w:tab/>
        <w:t>وفيما يتعلق بالعمل المأجور، فبرغم أوجه التقدُّم المرموقة التي تم إحرازها من أجل زيادة تمثيل المرأة في جميع أنواع الحرف، ما زالت المرأة تجنح إلى التركُّز في الوظائف التي تتوازى مع أنواع الأعمال غير المأجورة في مجالات البيت والرعاية التي دأبت المرأة تاريخيا على أدائها في المنزل. وفي أواخر التسعينيات كان ما يقرب من 68.5 في المائة من النساء المستخدَمات يعملن في مجالات التدريس والتمريض والأعمال المكتبية والمبيعات والخدمات. كما أن من الأرجح أن تزيد نسبة النساء أكثر من نسبة الرجال بين المستخدمين في أعمال غير معيارية (أعمال لا يُستخدَم فيها الموظف لوقت كامل على مدار السنة بأكملها لدى رب عمل واحد) ويتضح ذلك بصورة خاصة فيما يتعلق بالأعمال بدوام جزئي (أقل من 30 ساعة من العمل المأجور أسبوعيا) حيث تشكل النساء 70 في المائة من قوة العمل بدوام جزئي. وتتصف الوظائف غير المعيارية التي تهيمن عليها النساء بأنها نمطيا ذات أجور منخفضة ومزايا أقل سواء في مجال المعاشات التقاعدية أو نظم العلاج.</w:t>
      </w:r>
    </w:p>
    <w:p w:rsidR="00000000" w:rsidRDefault="00000000">
      <w:pPr>
        <w:pStyle w:val="SingleTxt"/>
        <w:tabs>
          <w:tab w:val="left" w:pos="1628"/>
        </w:tabs>
        <w:ind w:left="1264" w:right="1264"/>
        <w:rPr>
          <w:rtl/>
        </w:rPr>
      </w:pPr>
      <w:r>
        <w:rPr>
          <w:rtl/>
        </w:rPr>
        <w:t>17 -</w:t>
      </w:r>
      <w:r>
        <w:rPr>
          <w:rtl/>
        </w:rPr>
        <w:tab/>
        <w:t>إلا أن جميع البالغين في كندا بشكل عام يزاولون أعمالا غير مأجورة. وتبدو بعض أنواع العمل غير المأجور وكأنها مشتركة على نحو أكبر بين الرجل والمرأة. وعلى سبيل المثال تؤدي المرأة أكثر من 70 في المائة من عمليات إعداد وجبات الطعام والتنظيف والعناية بالملابس ورعاية الأطفال وغيرهم من الأشخاص المعالين. وهذه الواجبات تشكل في مجموعها أكثر من نصف مجمل الوقت المنقضي في العمل غير المأجور في عام 1998. أما نوعية العمل غير المأجور الذي يؤديه الرجال عامة فتشمل عمليات الإصلاح والصيانة، فيما تشمل الواجبات التي تشارك فيها المرأة والرجل بصورة متساوية إدارة شؤون الأسرة والتسوق والنقل والسفر في حين أن الرجل مسؤول على نحو أكبر عن ما يكاد يقل عن نصف الوقت المنفق على هذه النوعيات من العمل غير المأجور.</w:t>
      </w:r>
    </w:p>
    <w:p w:rsidR="00000000" w:rsidRDefault="00000000">
      <w:pPr>
        <w:pStyle w:val="SingleTxt"/>
        <w:tabs>
          <w:tab w:val="left" w:pos="1628"/>
        </w:tabs>
        <w:ind w:left="1264" w:right="1264"/>
        <w:rPr>
          <w:rtl/>
        </w:rPr>
      </w:pPr>
      <w:r>
        <w:rPr>
          <w:rtl/>
        </w:rPr>
        <w:t>18 -</w:t>
      </w:r>
      <w:r>
        <w:rPr>
          <w:rtl/>
        </w:rPr>
        <w:tab/>
        <w:t>وبالإضافة إلى أوجه اللامساواة الجنسانية، فإن تجارب العمل المأجور وغير المأجور تختلف بدورها بين صفوف النساء. وعلى سبيل المثال فإن فئات عديدة من النساء بمن فيهن النساء المنتميات إلى جماعة أقلية واضحة ونساء السكان الأصليين والنساء من ذوات الإعاقات، من المحتمل أن يشاركن في العمل المأجور بصورة أقل من عموم النساء في كندا. وفي هذه الحالة يشهدن معدلات أكبر للبطالة. والنساء من ذوات الأطفال في سن ما قبل المدرسة يُكرِّسن وقتا أطول للعمل غير المأجور بالمقارنة مع النساء اللائي ليس لديهن أطفال أو اللائي أصبح أطفالهن أكبر سنا. أما النساء الأكبر سنا فهن في الغالب الأرجح اللائي يتولين أمر الرعاية غير المأجورة للأقارب المسنين.</w:t>
      </w:r>
    </w:p>
    <w:p w:rsidR="00000000" w:rsidRDefault="00000000">
      <w:pPr>
        <w:pStyle w:val="SingleTxt"/>
        <w:tabs>
          <w:tab w:val="left" w:pos="1628"/>
        </w:tabs>
        <w:ind w:left="1264" w:right="1264"/>
        <w:rPr>
          <w:rtl/>
        </w:rPr>
      </w:pPr>
      <w:r>
        <w:rPr>
          <w:rtl/>
        </w:rPr>
        <w:t>19 -</w:t>
      </w:r>
      <w:r>
        <w:rPr>
          <w:rtl/>
        </w:rPr>
        <w:tab/>
        <w:t>وتُمضي النساء في كندا ما يقرب من نفس المدى الزمني لأداء أعمال ذات قيمة اقتصادية (مأجورة وغير مأجورة) أسوة بالرجال. وفي عام 1998، كان متوسط عبء العمل الإجمالي هو 7.8 ساعة لكلا الجنسين. ومع ذلك جاء توزيع الوقت مختلفا على أساس أن كمّ الوقت المنفَق في العمل المأجور لم يعوِّض عنه انخفاض في الوقت المنفَق في العمل غير المأجور. وعلى سبيل المثال فالنساء من ذوات الأطفال، المستخدَمات بدوام كامل أنفقن 10 ساعات يوميا في المتوسط للعمل، بالمقارنة مع 8 ساعات يوميا للنساء غير المستخدَمات ولهن أطفال. ومع تزايد مشاركة المرأة في قوة العمل المأجور، أصبحت المسؤولية عن الأعمال المنزلية مشتركة بصورة أرجح مع شريكها برغم أن مساهمات الرجل لا تزيد بشكل يحقق التكافؤ بين الطرفين.</w:t>
      </w:r>
    </w:p>
    <w:p w:rsidR="00000000" w:rsidRDefault="00000000">
      <w:pPr>
        <w:pStyle w:val="SingleTxt"/>
        <w:tabs>
          <w:tab w:val="left" w:pos="1628"/>
        </w:tabs>
        <w:ind w:left="1264" w:right="1264"/>
        <w:rPr>
          <w:rtl/>
        </w:rPr>
      </w:pPr>
      <w:r>
        <w:rPr>
          <w:rtl/>
        </w:rPr>
        <w:t>20 -</w:t>
      </w:r>
      <w:r>
        <w:rPr>
          <w:rtl/>
        </w:rPr>
        <w:tab/>
        <w:t>وبسبب التقسيم المتواصل للعمل بين الجنسين، فلاتزال المرأة هي التي تحد من مزاولتها للعمل المأجور من أجل رعاية معاليها وغيرهم من أفراد الأسرة. فالنساء مسؤولات عن أكثر من 70 في المائة من مجمل الوقت الذي ينفق على مساعدة ورعاية الأطفال وسائر أفراد الأسرة. والنساء ينفقن أيضا في المتوسط أكثر من ضعف الوقت الذي يمضيه الرجال وهم يقدِّمون الرعاية الأوَّلية للطفولة. ومن ثم فالخلل كبير بين الجنسين في الأُسر المعيشية حين يكون الزوجان مُستخدَمين بدوام كامل. وفضلا عن ذلك فالمرأة ذات الأطفال تجنح إلى تغيير ترتيبات العمل المأجور الذي تؤديه لكي تلبي مطالب عمل غير مأجور بينما يكون لسن الطفل أو لوجود الأطفال أثر محدود على أنماط عمل الرجل سواء كان مأجورا أو غير مأجور. ومن شأن الكفاح لإيجاد توازن بين مسؤوليات العمل المأجور وغير المأجور أن يؤدي إلى ارتفاع مستويات التوتر وخاصة بين النساء الموظفات ممن يعلن أطفالا صغارا. وهذا التوتر يقتضي ضريبته بدوره من صحة المرأة نفسها كما أن الاتجاه إلى تجريد نظام الرعاية الصحية في كندا من طابعه المؤسسي رَتَّب أعباء متزايدة على النساء بوصفهن مقدِّمات للرعاية في المنزل.</w:t>
      </w:r>
    </w:p>
    <w:p w:rsidR="00000000" w:rsidRDefault="00000000">
      <w:pPr>
        <w:pStyle w:val="SingleTxt"/>
        <w:tabs>
          <w:tab w:val="left" w:pos="1628"/>
        </w:tabs>
        <w:ind w:left="1264" w:right="1264"/>
        <w:rPr>
          <w:rtl/>
        </w:rPr>
      </w:pPr>
      <w:r>
        <w:rPr>
          <w:rtl/>
        </w:rPr>
        <w:t>21 -</w:t>
      </w:r>
      <w:r>
        <w:rPr>
          <w:rtl/>
        </w:rPr>
        <w:tab/>
        <w:t>وفي الأسئلة المتعلقة بالعمل غير المأجور في تعداد عام 1996، أجاب فرد واحد من بين 6 أفراد (نحو 17 في المائة من مجتمع العينة من سن 15 وما فوقها) بأنه يقدِّم نوعا من الرعاية إلى كبار السن. وقد تم تعريف ذلك على أنه يشمل أنشطة من قبيل تهيئة رعاية شخصية إلى فرد مُسِن من أفراد الأسرة وزيارة المسنين والتحادث معهم بالهاتف ومساعدتهم في التسوُّق أو في شؤونهم المصرفية أو في تناولهم الأدوية. وأفاد عدد كبير من النساء أكثر من الرجال (19 في المائة مقابل 14 في المائة) بأنهن يُقدِّمن هذه الرعاية. أما الوقت المستغرَق في رعاية المسنين فكان يتوقف إلى حدٍ كبير على ما إذا كان الفرد له والدان مسنان أو أقارب مسنون آخرون. وأوضحت بيانات التعداد بأن النسبة التي أفادت بقضاء ساعات من الرعاية للمسنين زادت كلما اقترب المستجيبون من متوسط العمر ثم بدأت في التناقص. والأفراد الذين تتراوح أعمارهم بين 45 و 54 سنة شكَّلوا أكبر نسبة (23 في المائة) بين الأفراد الذين كانوا يقدِّمون رعاية غير مأجورة للمسنين.</w:t>
      </w:r>
    </w:p>
    <w:p w:rsidR="00000000" w:rsidRDefault="00000000">
      <w:pPr>
        <w:pStyle w:val="SingleTxt"/>
        <w:tabs>
          <w:tab w:val="left" w:pos="1628"/>
        </w:tabs>
        <w:ind w:left="1264" w:right="1264"/>
        <w:rPr>
          <w:rtl/>
        </w:rPr>
      </w:pPr>
      <w:r>
        <w:rPr>
          <w:rtl/>
        </w:rPr>
        <w:t>22 -</w:t>
      </w:r>
      <w:r>
        <w:rPr>
          <w:rtl/>
        </w:rPr>
        <w:tab/>
        <w:t>وبرغم أن النساء يؤدين أعمالا أكثر من الرجال بصورة إجمالية فإن دخولهن أقل. وبمقارنة متوسط الدخل الإجمالي قبل خصم الضرائب، تتلقى المرأة في كندا إيرادا يقل بنسبة 38 في المائة عن إيراد الرجل (في عام 1997) وهذه الهوَّة تتصل بعددٍ من العوامل منها مثلا تركُّز النساء في الوظائف بدوام جزئي أو في الأعمال غير المعيارية إضافة إلى عوامل المسؤوليات الأُسرية وزيادة تمثيل المرأة في قطاع الوالد الوحيد وكبار السن ممن تكون إيراداتهم قليلة أو معدومة، فضلا عن قصور تمثيل المرأة بين صفوف الحاصلين على تعليمٍ عالٍ. ومع ذلك فما برحت هوَّة الدخول تضيق باستمرار منذ عام 1986 عندما كان الرقم هو 51 في المائة. وكان من شأن نظام الضرائب التصاعدية في كندا والآثار الناجمة عن إعادة توزيع تحويلات المدفوعات الحكومية أن ساعد أيضا على تحسين توازن الجنسين في مجال الإيرادات، وبعد خصم الضرائب أصبحت المرأة تتلقى دخلا أقل بنسبة 33 في المائة من الرجل.</w:t>
      </w:r>
    </w:p>
    <w:p w:rsidR="00000000" w:rsidRDefault="00000000">
      <w:pPr>
        <w:pStyle w:val="SingleTxt"/>
        <w:tabs>
          <w:tab w:val="left" w:pos="1628"/>
        </w:tabs>
        <w:ind w:left="1264" w:right="1264"/>
        <w:rPr>
          <w:rtl/>
        </w:rPr>
      </w:pPr>
      <w:r>
        <w:rPr>
          <w:rtl/>
        </w:rPr>
        <w:t>23 -</w:t>
      </w:r>
      <w:r>
        <w:rPr>
          <w:rtl/>
        </w:rPr>
        <w:tab/>
        <w:t>ويعيش عدد من النساء أكبر من عدد الرجال في ظل ظروف الفقر. ولأن الاستقلال والرفاه في المجال الاقتصادي يرتبطان بالحصول على دخل من قوة العمل المأجور، زادت احتمالات أن تتعيش المرأة أكثر من الرجل على دخول منخفضة. بل إن ثمة فئات معيَّنة من النساء يعشن في ظل ظروف يحفها الخطر بصورة خاصة. فما يقرب من 49 في المائة من جميع النساء المُسنات يعشن بمفردهن، كما أن 56 في المائة من النساء في عائلة الوالد الوحيد يعشن في رِبقة الفقر. ونجم عن ذلك آثار مباشرة بالنسبة إلى رفاه الأطفال لأن الذين يعيشون منهم مع أم وحيدة يشكلون 40 في المائة من جميع الأطفال الذين يعيشون في ظل ظروف الفقر في عام 1997. وبرغم أن معدل الدخل المنخفض ما زال مرتفعا بين صفوف المسنين، فقد تحسَّنت الأوضاع منذ بدايات الثمانينيات عندما كان نحو 70 في المائة من المسنات الوحيدات يتلقين دخولا منخفضة.</w:t>
      </w:r>
    </w:p>
    <w:p w:rsidR="00000000" w:rsidRDefault="00000000">
      <w:pPr>
        <w:pStyle w:val="SingleTxt"/>
        <w:tabs>
          <w:tab w:val="left" w:pos="1628"/>
        </w:tabs>
        <w:ind w:left="1264" w:right="1264"/>
        <w:rPr>
          <w:rtl/>
        </w:rPr>
      </w:pPr>
      <w:r>
        <w:rPr>
          <w:rtl/>
        </w:rPr>
        <w:t>24 -</w:t>
      </w:r>
      <w:r>
        <w:rPr>
          <w:rtl/>
        </w:rPr>
        <w:tab/>
        <w:t>وكانت النساء في عام 1997 يشكلن نسبة 54 في المائة من جميع الأفراد الذين يعيشون في مستوى أقل من مقيـــاس إحصـــاءات كندا لمحدِّدات الدخل المنخفض كما أن 19 في المائة من السكان من الإناث و 24 في المائة من جميع النساء البالغات من العمر 65 سنة وأكثر كُن يعشن دون مقياس إحصاءات كندا لمحدِّدات الدخل المنخفض في ذلك العام.</w:t>
      </w:r>
    </w:p>
    <w:p w:rsidR="00000000" w:rsidRDefault="00000000">
      <w:pPr>
        <w:pStyle w:val="SingleTxt"/>
        <w:tabs>
          <w:tab w:val="left" w:pos="1628"/>
        </w:tabs>
        <w:ind w:left="1264" w:right="1264"/>
        <w:rPr>
          <w:rtl/>
        </w:rPr>
      </w:pPr>
      <w:r>
        <w:rPr>
          <w:rtl/>
        </w:rPr>
        <w:t>25 -</w:t>
      </w:r>
      <w:r>
        <w:rPr>
          <w:rtl/>
        </w:rPr>
        <w:tab/>
        <w:t>وفي عام 1995 كان هناك نسبة 37 في المائة من نساء الأقليات الواضحة و 43 في المائة من نساء السكان الأصليين غير مقيمات في محميات أو في الأقاليم ويعشن في ظل ظروف دخل منخفض، ويصدق نفس الأمر في عام 1997 على 56 في المائة من النساء اللائي كُن يقمن بدور الوالد الوحيد.</w:t>
      </w:r>
    </w:p>
    <w:p w:rsidR="00000000" w:rsidRDefault="00000000">
      <w:pPr>
        <w:pStyle w:val="SingleTxt"/>
        <w:tabs>
          <w:tab w:val="left" w:pos="1628"/>
        </w:tabs>
        <w:ind w:left="1264" w:right="1264"/>
        <w:rPr>
          <w:rtl/>
        </w:rPr>
      </w:pPr>
      <w:r>
        <w:rPr>
          <w:rtl/>
        </w:rPr>
        <w:t>26 -</w:t>
      </w:r>
      <w:r>
        <w:rPr>
          <w:rtl/>
        </w:rPr>
        <w:tab/>
        <w:t>ويعمد كثير من برامج السياسات الاجتماعية إلى تحديد الاستحقاقات على أساس استخدام الأُسرة بوصفها الوحدة الأساسية للإدارة. إلا أنه طرأت تغيُّرات ملموسة على تنظيم الحياة الأسرية في كندا على مدار العقود القليلة الأخيرة، مما  يشكل تحديا أمام صانعي السياسات في مجال وضع البرامج التي تعرّف الطابع الشامل للعمل غير المأجور وتشجِّع على الاستقلال الاقتصادي والمساواة الجنسانية وتتفق مع الأهداف الوطنية والاجتماعية العريضة.</w:t>
      </w:r>
    </w:p>
    <w:p w:rsidR="00000000" w:rsidRDefault="00000000">
      <w:pPr>
        <w:pStyle w:val="SingleTxt"/>
        <w:tabs>
          <w:tab w:val="left" w:pos="1628"/>
        </w:tabs>
        <w:ind w:left="1264" w:right="1264"/>
        <w:rPr>
          <w:rtl/>
        </w:rPr>
      </w:pPr>
      <w:r>
        <w:rPr>
          <w:rtl/>
        </w:rPr>
        <w:t>27 -</w:t>
      </w:r>
      <w:r>
        <w:rPr>
          <w:rtl/>
        </w:rPr>
        <w:tab/>
        <w:t>وتزداد أشكال الأسرة تنوعا في كندا، كما أن نسبة متنامية من الأفراد يعيشون وحدهم. وقد أسهم الكثير من العوامل في تنوع التركيبات الأسرية، ومن ذلك مثلا أن معدل الزواج انخفض مع تأخير سن الزواج. وفي الوقت نفسه، ارتفع معدل الطلاق ارتفاعا شديدا منذ أواخر الستينيات. وجاء ذلك إلى حد كبير نتيجة التشريعات الصادرة في عام 1968 التي خففت من قيود الطلاق. كما أن الاتجاهات السائدة في الطلاق، فضلا عن زيادة طرأت على المواليد خارج الرابطة الزواجية أسهمت في زيادة عدد عائلات الوالد الوحيد. وفي عام 1996 كانت العائلات التي يرأسها والد واحد (أكثر من 80 في المائة نساء) تشكل نحو أسرة واحدة من كل 6 أسر في كندا بزيادة أسرة واحدة من بين 10 أسر في عام 1981.</w:t>
      </w:r>
    </w:p>
    <w:p w:rsidR="00000000" w:rsidRDefault="00000000">
      <w:pPr>
        <w:pStyle w:val="SingleTxt"/>
        <w:tabs>
          <w:tab w:val="left" w:pos="1628"/>
        </w:tabs>
        <w:ind w:left="1264" w:right="1264"/>
        <w:rPr>
          <w:rtl/>
        </w:rPr>
      </w:pPr>
      <w:r>
        <w:rPr>
          <w:rtl/>
        </w:rPr>
        <w:t>28 -</w:t>
      </w:r>
      <w:r>
        <w:rPr>
          <w:rtl/>
        </w:rPr>
        <w:tab/>
        <w:t>كذلك ينعكس الموقف المتغيِّر للكنديين إزاء رابطة الزواج في زيادة شيوع علاقات القانون العرفي. فعلى مدار السنوات الخمس عشرة الأخيرة تضاعفت حصة أسر المتزوجين في ظل القانون العرفي من 6 في المائة إلى 12 في المائة. وثمة زيادة في الاعتراف بعلاقات المِثلية الجنسية. وقد أدى النجاح في تخطي التحديات التي شهدتها أحكام المساواة في الميثاق الكندي للحقوق والحريات إلى زيادة الاعتراف بأسر الزوجين من نفس الجنس. وهذا أفضى بدوره إلى أن جعل الحكومات الكندية وأرباب العمل يقومون بمراجعة السياسات المتصلة بوضعية الأسرة ومدى استحقاقها لنيل المزايا الاجتماعية واستحقاقات الموظفين.</w:t>
      </w:r>
    </w:p>
    <w:p w:rsidR="00000000" w:rsidRDefault="00000000">
      <w:pPr>
        <w:pStyle w:val="SingleTxt"/>
        <w:tabs>
          <w:tab w:val="left" w:pos="1628"/>
        </w:tabs>
        <w:ind w:left="1264" w:right="1264"/>
        <w:rPr>
          <w:rtl/>
        </w:rPr>
      </w:pPr>
      <w:r>
        <w:rPr>
          <w:rtl/>
        </w:rPr>
        <w:t>29 -</w:t>
      </w:r>
      <w:r>
        <w:rPr>
          <w:rtl/>
        </w:rPr>
        <w:tab/>
        <w:t>ونتيجة زيادة مشاركة المرأة في العمل المأجور، أصبحت أُسر الكاسب المزدوج هي المعيار في كندا، حيث يعمل الشريكان من أجل تقاضي أجر في 61 في المائة من عائلة الشريكين. وفي نصف أسر الكسبة المزدوجين، يعمل الشريكان بدوام كامل. على أن النسبة المئوية لعائلات الشريكين ظلت مستقرة نسبيا في عقد التسعينات بعد عقدين من الزيادة. إلا أن نسبة الأسر التي لا يملك أي من شريكيها إيرادات زادت بالتدريج بما يعكس شيوخة السكان ونشوء الاتجاه نحو التقاعد المبكر من العمل المأجور. وقد أصبحت المرأة هي الكاسب الوحيد بالنسبة إلى عدد متزايد من الأسر مما أسهم في هوَّة دخْلية متزايدة بين أسر الكاسبَيْن والكاسب الواحد لأن النساء يجنحن إلى اكتساب مبالغ تقل عن الرجال في قوة العمل المأجور.</w:t>
      </w:r>
    </w:p>
    <w:p w:rsidR="00000000" w:rsidRDefault="00000000">
      <w:pPr>
        <w:pStyle w:val="SingleTxt"/>
        <w:tabs>
          <w:tab w:val="left" w:pos="1628"/>
        </w:tabs>
        <w:ind w:left="1264" w:right="1264"/>
        <w:rPr>
          <w:rtl/>
        </w:rPr>
      </w:pPr>
      <w:r>
        <w:rPr>
          <w:rtl/>
        </w:rPr>
        <w:t>30 -</w:t>
      </w:r>
      <w:r>
        <w:rPr>
          <w:rtl/>
        </w:rPr>
        <w:tab/>
        <w:t>ويعيش غالبية الأطفال الكنديين في أسر الأبوين حيث يكون الوالدان مُستخدَمين في قوة العمل. وفي عام 1996 كان ثمة 4.8 مليون طفل دون الخامسة عشرة يعيشون في أسرة والدين حيث كان الوالدان يعملان في حالة 60 في المائة من هؤلاء الأطفال، وهو ما يزيد عن نسبة 43 في المائة في عام 1981 وعن نسبة 58 في المائة في عام 1991.</w:t>
      </w:r>
    </w:p>
    <w:p w:rsidR="00000000" w:rsidRDefault="00000000">
      <w:pPr>
        <w:pStyle w:val="SingleTxt"/>
        <w:tabs>
          <w:tab w:val="left" w:pos="1628"/>
        </w:tabs>
        <w:ind w:left="1264" w:right="1264"/>
        <w:rPr>
          <w:rtl/>
        </w:rPr>
      </w:pPr>
      <w:r>
        <w:rPr>
          <w:rtl/>
        </w:rPr>
        <w:t>31 -</w:t>
      </w:r>
      <w:r>
        <w:rPr>
          <w:rtl/>
        </w:rPr>
        <w:tab/>
        <w:t>وقد أوضح تعداد 1996 أن الاتجاهات بالنسبة إلى الأطفال فيما قبل المدرسة دون السادسة هي نفسها المتعلقة بجميع الأطفال دون الخامسة عشرة. ونسبة أطفال ما قبل المدرسة الذين كان آباؤهم يعملون رجالا ونساءً في مقابل أجور زادت بدورها خلال السنوات الخمس عشرة الأخيرة. وفي عام 1996 كان كلا الوالدين يعملان في حالة 56 في المائة من هؤلاء الأطفال في سن ما قبل المدرسة بالمقارنة إلى 38 في المائة عام 1981 و 52 في المائة عام 1991. أما نسبة أطفال ما قبل المدرسة الذين يعيشون في أسرة والد واحد هو الأم التي كانت تعمل مقابل أجر، فقد انخفضت بصورة طفيفة خلال السنوات الخمس عشرة الأخيرة. ففي عام 1996 كانت الأم الوحيدة مستخدَمة في حالة 38 في المائة من هؤلاء الأطفال بالمقارنة مع 41 في المائة عام 1981.</w:t>
      </w:r>
    </w:p>
    <w:p w:rsidR="00000000" w:rsidRDefault="00000000">
      <w:pPr>
        <w:pStyle w:val="SingleTxt"/>
        <w:tabs>
          <w:tab w:val="left" w:pos="1628"/>
        </w:tabs>
        <w:ind w:left="1264" w:right="1264"/>
        <w:rPr>
          <w:rtl/>
        </w:rPr>
      </w:pPr>
      <w:r>
        <w:rPr>
          <w:rtl/>
        </w:rPr>
        <w:t>32 -</w:t>
      </w:r>
      <w:r>
        <w:rPr>
          <w:rtl/>
        </w:rPr>
        <w:tab/>
        <w:t>وأوضح تعداد 1996 أيضا أن نسبة 35 في المائة فقط من الوالدات الوحيدات أكملن شهادة التعليم ما بعد الثانوي أو حصلن على درجة علمية، بالمقارنة إلى نحو 53 في المائة من النساء اللائي يعشن مع شركاء.</w:t>
      </w:r>
    </w:p>
    <w:p w:rsidR="00000000" w:rsidRDefault="00000000">
      <w:pPr>
        <w:pStyle w:val="SingleTxt"/>
        <w:tabs>
          <w:tab w:val="left" w:pos="1628"/>
        </w:tabs>
        <w:ind w:left="1264" w:right="1264"/>
        <w:rPr>
          <w:rtl/>
        </w:rPr>
      </w:pPr>
      <w:r>
        <w:rPr>
          <w:rtl/>
        </w:rPr>
        <w:t>33 -</w:t>
      </w:r>
      <w:r>
        <w:rPr>
          <w:rtl/>
        </w:rPr>
        <w:tab/>
        <w:t>وفي الوقت نفسه، فإن عدد أسر الوالدين التي كان واحد منهما ملازما للبيت لإدارة شؤون الأسرة ورعاية الأطفال انخفض انخفاضا مشهودا منذ عام 1976. وأدى ذلك إلى أن أقل من أسرة واحدة ضمن خمس أسر ذات أطفال دون السادسة عشرة كان بها والد ملازم للبيت في عام 1997 بالمقارنة مع نصف الأسر في عام 1976. أما نسبة الأسر التي كان الأب ملازما فيها للبيت لرعاية الأطفال فقد ظلت قريبة من 1 في المائة.</w:t>
      </w:r>
    </w:p>
    <w:p w:rsidR="00000000" w:rsidRDefault="00000000">
      <w:pPr>
        <w:pStyle w:val="SingleTxt"/>
        <w:tabs>
          <w:tab w:val="left" w:pos="1628"/>
        </w:tabs>
        <w:ind w:left="1264" w:right="1264"/>
        <w:rPr>
          <w:rtl/>
        </w:rPr>
      </w:pPr>
      <w:r>
        <w:rPr>
          <w:rtl/>
        </w:rPr>
        <w:t>34 -</w:t>
      </w:r>
      <w:r>
        <w:rPr>
          <w:rtl/>
        </w:rPr>
        <w:tab/>
        <w:t>والتعليم هو مفتاح مساواة المرأة. وينجم عنه أثر عميق بالنسبة إلى حصول المرأة على فرص العمل وعلى استقلال المرأة الاقتصادي. ويقتضي الطابع المتغيِّر للاستخدام في كندا وغيرها أن يكون الكنديون مستعدين لإجراء تغييرات عديدة في السلك المهني خلال حياتهم كبالغين. بالإضافة إلى ذلك فإن نشوء اقتصاد ومجتمع قائمين على المعرفة في كندا جعل من حصول المرأة على التعليم والتدريب أمرا أكثر من حتمي فيما أصبحت الميادين التقنية والعلمية هي العناصر الرئيسية للنمو. إلا أن المرأة تتلقى قدرا أقل من التدريب الذي يموِّله أرباب العمل وفيما تتماثل معدلات المرأة والرجل من حيث المشاركة في التدريب المتصل بالعمل إلا أن النساء يتلقين ساعات تدريبية أقل.</w:t>
      </w:r>
    </w:p>
    <w:p w:rsidR="00000000" w:rsidRDefault="00000000">
      <w:pPr>
        <w:pStyle w:val="SingleTxt"/>
        <w:tabs>
          <w:tab w:val="left" w:pos="1628"/>
        </w:tabs>
        <w:ind w:left="1264" w:right="1264"/>
        <w:rPr>
          <w:rtl/>
        </w:rPr>
      </w:pPr>
      <w:r>
        <w:rPr>
          <w:rtl/>
        </w:rPr>
        <w:t>35 -</w:t>
      </w:r>
      <w:r>
        <w:rPr>
          <w:rtl/>
        </w:rPr>
        <w:tab/>
        <w:t>وبصفة عامة زادت فرص الحصول على التعليم العالي. وعلى سبيل المثال ففي عام 1996 كان هناك نسبة 12 في المائة من النساء ممن بلغـــن الخامســة عشرة من العمر وأكثر و 14 في المائة من الرجال، من خريجي الجامعات مقابل عام 1971 حيث كانت النسبة 3 في المائة للنساء و 7 في المائة للرجال من الحاصلين على درجة جامعية. وما برحت الهوَّة تضيق حيث باتت النساء يشكلن أغلبية طفيفة من الطلاب في الجامعات الكندية. واعتبارا من عام 1998 تخرج عدد من النساء من مؤسسات ما بعد التعليم الثانوي أكبر من الرجال.</w:t>
      </w:r>
    </w:p>
    <w:p w:rsidR="00000000" w:rsidRDefault="00000000">
      <w:pPr>
        <w:pStyle w:val="SingleTxt"/>
        <w:tabs>
          <w:tab w:val="left" w:pos="1628"/>
        </w:tabs>
        <w:ind w:left="1264" w:right="1264"/>
        <w:rPr>
          <w:rtl/>
        </w:rPr>
      </w:pPr>
      <w:r>
        <w:rPr>
          <w:rtl/>
        </w:rPr>
        <w:t>36 -</w:t>
      </w:r>
      <w:r>
        <w:rPr>
          <w:rtl/>
        </w:rPr>
        <w:tab/>
        <w:t xml:space="preserve">وفي الفترة 1997 </w:t>
      </w:r>
      <w:r>
        <w:t>–</w:t>
      </w:r>
      <w:r>
        <w:rPr>
          <w:rtl/>
        </w:rPr>
        <w:t xml:space="preserve"> 1998، شكلت المرأة نحو 29 في المائة من طلاب الجامعات في مجال الرياضيات والعلوم ونسبة 22 في المائة من الطلبة الدارسين للهندسة والعلوم التطبيقية وتلك مجالات أساسية للنمو في الاقتصاد والمجتمع القائمين على أساس المعرفة. على أن المرأة ما زالت تعاني من انخفاض التمثيل في برامج الدكتوراه وفي هيئات التدريس بالمعاهد والجامعات. كما أن معدلات الحصــول علـــى التعليـــم العالــي من جانب نساء السكان الأصليين ما زالت تتعثر خلف نساء السكان غير الأصليين.</w:t>
      </w:r>
    </w:p>
    <w:p w:rsidR="00000000" w:rsidRDefault="00000000">
      <w:pPr>
        <w:pStyle w:val="SingleTxt"/>
        <w:tabs>
          <w:tab w:val="left" w:pos="1628"/>
        </w:tabs>
        <w:ind w:left="1264" w:right="1264"/>
        <w:rPr>
          <w:rtl/>
        </w:rPr>
      </w:pPr>
      <w:r>
        <w:rPr>
          <w:rtl/>
        </w:rPr>
        <w:t>37 -</w:t>
      </w:r>
      <w:r>
        <w:rPr>
          <w:rtl/>
        </w:rPr>
        <w:tab/>
        <w:t>وبرغم أن المرأة في كندا تتمتع بأجل متوقع للحياة أطول من الرجل (بواقع 6 سنوات) فإن العُزلة والإصابة بالمرض أو الإعاقة قد تشكل السمات المميزة لهذه السنوات الإضافية. ويُعد مرض الأوعية الدموية هو السبب الرئيسي للوفاة بين النساء في كندا وفيما أن سرطان الثدي هو أكثر أنواع السرطان تشخيصا بين النساء فإن سرطان الرئة هو السبب الرئيسي للموت بهذا المرض بالنسبة للنساء.</w:t>
      </w:r>
    </w:p>
    <w:p w:rsidR="00000000" w:rsidRDefault="00000000">
      <w:pPr>
        <w:pStyle w:val="SingleTxt"/>
        <w:tabs>
          <w:tab w:val="left" w:pos="1628"/>
        </w:tabs>
        <w:ind w:left="1264" w:right="1264"/>
        <w:rPr>
          <w:rtl/>
        </w:rPr>
      </w:pPr>
      <w:r>
        <w:rPr>
          <w:rtl/>
        </w:rPr>
        <w:t>38 -</w:t>
      </w:r>
      <w:r>
        <w:rPr>
          <w:rtl/>
        </w:rPr>
        <w:tab/>
        <w:t>وفي كندا حققت المرأة أوجه تقدُّم من حيث العدد والتأثير في عملية صنع القرار السياسي والاقتصادي والاجتماعي على مدار العقد الماضي. وفي الوقت نفسه فما زالت تعاني من انخفاض تمثيلها في مواقع صنع القرار. وعلى سبيل المثال ففي أعقاب الانتخابات الاتحادية لعام 1997 دخل إلى مجلس العموم في كندا أكبر عدد في تاريخ كندا من النائبات اللائي جرى انتخابهن  حيث كان 20 في المائة من أعضاء المجلس من النساء. وعلى سبيل المقارنة كان 18.4 في المائة من أعضاء المجالس التشريعية بالمقاطعات من النساء.</w:t>
      </w:r>
    </w:p>
    <w:p w:rsidR="00000000" w:rsidRDefault="00000000">
      <w:pPr>
        <w:pStyle w:val="SingleTxt"/>
        <w:tabs>
          <w:tab w:val="left" w:pos="1628"/>
        </w:tabs>
        <w:ind w:left="1264" w:right="1264"/>
        <w:rPr>
          <w:rtl/>
        </w:rPr>
      </w:pPr>
      <w:r>
        <w:rPr>
          <w:rtl/>
        </w:rPr>
        <w:t>39 -</w:t>
      </w:r>
      <w:r>
        <w:rPr>
          <w:rtl/>
        </w:rPr>
        <w:tab/>
        <w:t>وأوضـــح استقصـــاء عام 1993 عن العنْف الموجَّه ضد المرأة في إحصاءات كندا أن 51 في المائة من جميع الكنديات تعرضن لحادثة واحدة على الأقل من حوادث العنف البدني أو الجنسي منذ سن السادسة عشرة. وكان هناك نسبة 29 في المائة من النساء اللائي سبق لهن الزواج أو عشن في ظل روابط القانون العرفي تعرضن لاعتداء جسماني أو جنسي من جانب شركائهن في مرحلة ما خلال العلاقة المذكورة. كذلك عانى الأطفال من جرّاء العنف الموجَّه ضد أمهاتهم في 4 من بين 10 من حالات الزواج التي أفيد عن وقوع العنف فيها.</w:t>
      </w:r>
    </w:p>
    <w:p w:rsidR="00000000" w:rsidRDefault="00000000">
      <w:pPr>
        <w:pStyle w:val="SingleTxt"/>
        <w:tabs>
          <w:tab w:val="left" w:pos="1628"/>
        </w:tabs>
        <w:ind w:left="1264" w:right="1264"/>
        <w:rPr>
          <w:rtl/>
        </w:rPr>
      </w:pPr>
      <w:r>
        <w:rPr>
          <w:rtl/>
        </w:rPr>
        <w:t>40 -</w:t>
      </w:r>
      <w:r>
        <w:rPr>
          <w:rtl/>
        </w:rPr>
        <w:tab/>
        <w:t>أما معدلات الاعتداء الجنسي وغير الجنسي الموجَّه ضد المرأة التي أُبْلِغَت للشرطة فقد زادت منذ سريان إصلاحات القانون الجنائي في عام 1983. وعندما قِيست بعد 10 سنوات من ذلك التاريخ، زادت البلاغات التي تفيد بوقوع الاعتداء الجنسي بنسبة 152 في المائة والتقارير عن العدوان البدني بنسبة 62 في المائة.</w:t>
      </w:r>
    </w:p>
    <w:p w:rsidR="00000000" w:rsidRDefault="00000000">
      <w:pPr>
        <w:pStyle w:val="SingleTxt"/>
        <w:tabs>
          <w:tab w:val="left" w:pos="1628"/>
        </w:tabs>
        <w:ind w:left="1264" w:right="1264"/>
        <w:rPr>
          <w:rtl/>
        </w:rPr>
      </w:pPr>
      <w:r>
        <w:rPr>
          <w:rtl/>
        </w:rPr>
        <w:t>41 -</w:t>
      </w:r>
      <w:r>
        <w:rPr>
          <w:rtl/>
        </w:rPr>
        <w:tab/>
        <w:t>وطبقا لاستقصاء عن جرائم القتل أجرته هيئة إحصاءات كندا في عام 1996، أفيد بأن النساء المتزوجات من المرجَّح أن تزيد حالات قتلهن 7 مرات على يد زوج منها على يد شخص غريب.</w:t>
      </w:r>
    </w:p>
    <w:p w:rsidR="00000000" w:rsidRDefault="00000000">
      <w:pPr>
        <w:pStyle w:val="SingleTxt"/>
        <w:tabs>
          <w:tab w:val="left" w:pos="1628"/>
        </w:tabs>
        <w:ind w:left="1264" w:right="1264"/>
        <w:rPr>
          <w:rtl/>
        </w:rPr>
      </w:pPr>
      <w:r>
        <w:rPr>
          <w:rtl/>
        </w:rPr>
        <w:t>42 -</w:t>
      </w:r>
      <w:r>
        <w:rPr>
          <w:rtl/>
        </w:rPr>
        <w:tab/>
        <w:t>ولمواصلة بذل جهود فعَّالة للتصدي للعنف الموجَّه ضد المرأة، ينبغي أن تُحدَّد بوضوح الأسباب الجذرية لهذا العنف ومنها مثلا السياق الاجتماعي لاختلالات القوة بين الأطراف والمواقف والقيم المنتظمة والمتواصلة، فضلا عن الاستضعاف أمام العنف الذي يتم التعرُّض له بصور متباينة من جانب مختلف الجماعات والفئات العمرية للنساء. وهذا يشمل نساء مجتمعات السكان الأصليين والنساء المهاجرات ونساء الأقليات الواضحة والنساء اللاجئات والنساء من ذوات الإعاقات والعاملات المقيمات في المنازل والنساء من الأقليات اللغوية والنساء المُسنات والنساء الشابات. وفي واقع الأمر، فإن استقصاء العنف الموجَّه ضد المرأة لعام 1993 وجد أن معدل المجني عليهن من الشابات في الأشهر السابقة مباشرة على إجراء الدراسة كاد يبلغ ثلاثة أضعاف المعدَّل بين نساء المجموعة العمرية 18 إلى 24 سنة (27 في المائة) من النساء بشكل عام (10 في المائة).</w:t>
      </w:r>
    </w:p>
    <w:p w:rsidR="00000000" w:rsidRDefault="00000000">
      <w:pPr>
        <w:pStyle w:val="SingleTxt"/>
        <w:tabs>
          <w:tab w:val="left" w:pos="1628"/>
        </w:tabs>
        <w:ind w:left="1264" w:right="1264"/>
        <w:rPr>
          <w:rtl/>
        </w:rPr>
      </w:pPr>
      <w:r>
        <w:rPr>
          <w:rtl/>
        </w:rPr>
        <w:t>43 -</w:t>
      </w:r>
      <w:r>
        <w:rPr>
          <w:rtl/>
        </w:rPr>
        <w:tab/>
        <w:t>على أنه لا توجد صورة واضحة حتى الآن عمَّا إذا كان العنف الموجَّه ضد المرأة قد نقص أو زاد في كندا. فالتقارير المستقاة من عيِّنة من 61 هيئة للشرطة في جميع أنحاء كندا تشير إلى أنه بين عامي 1993 و 1996 انخفض عدد الحالات المُبلغ عنها للاعتداء الزواجي بنسبة 7 في المائة. وتبدو هذه الإحصاءات مبشرة إلا أن عــددا كبيرا من الحالات ما زال بعيدا عن أن يصل إلى علم الشرطة ومن بين النساء اللائي أَبلغن بتعرُّضهن كضحايا للعنف الزواجي في استقصاء العنف الموجَّه ضد المرأة، اقتصر الأمر على 26 في المائة هن اللائي أبلغن الشرطة عن تعرضهن لحادثة عنف.</w:t>
      </w:r>
    </w:p>
    <w:p w:rsidR="00000000" w:rsidRDefault="00000000">
      <w:pPr>
        <w:pStyle w:val="SingleTxt"/>
        <w:tabs>
          <w:tab w:val="left" w:pos="1628"/>
        </w:tabs>
        <w:ind w:left="1264" w:right="1264"/>
        <w:rPr>
          <w:rtl/>
        </w:rPr>
      </w:pPr>
      <w:r>
        <w:rPr>
          <w:rtl/>
        </w:rPr>
        <w:t>44 -</w:t>
      </w:r>
      <w:r>
        <w:rPr>
          <w:rtl/>
        </w:rPr>
        <w:tab/>
        <w:t xml:space="preserve">وتنشر هيئة إحصاءات كندا كذلك استعراضا إحصائيا سنويا للعنف الأُسري بعنوان “العنف الأُسري في كندا: نبذة إحصائية” (متاحة على </w:t>
      </w:r>
      <w:hyperlink r:id="rId13" w:history="1">
        <w:r>
          <w:rPr>
            <w:rStyle w:val="Hyperlink"/>
          </w:rPr>
          <w:t>http://www.statcan.ca</w:t>
        </w:r>
      </w:hyperlink>
      <w:r>
        <w:rPr>
          <w:rtl/>
        </w:rPr>
        <w:t>) وفي عام 2000 تَنشر إحصاءات كندا نتائج استقصائها الاجتماعي العام عن دورة إيذاء الضحايا بحيث تقدِّم معلومات عن اتجاهات العنف الموجَّه ضد المرأة ومعلومات أساسية عن تجربة العنف بين عموم السكان ولا سيما بين صفوف البالغين الأكبر سنا.</w:t>
      </w:r>
    </w:p>
    <w:p w:rsidR="00000000" w:rsidRDefault="00000000">
      <w:pPr>
        <w:pStyle w:val="SingleTxt"/>
        <w:tabs>
          <w:tab w:val="left" w:pos="1628"/>
        </w:tabs>
        <w:ind w:left="1264" w:right="1264"/>
        <w:rPr>
          <w:rtl/>
        </w:rPr>
      </w:pPr>
      <w:r>
        <w:rPr>
          <w:rtl/>
        </w:rPr>
        <w:t>45 -</w:t>
      </w:r>
      <w:r>
        <w:rPr>
          <w:rtl/>
        </w:rPr>
        <w:tab/>
        <w:t>وقد أصدرت هيئة إحصاءات كندا منشورا بعنوان “المرأة والرجل في كندا: نظرة إحصائية” وهو تقرير تم إعداده لحساب وزارة وضع المرأة في كندا ويعرض التقرير لقطة عن المساواة الجنسانية في كندا باستخدام بيانات من عام 1997.</w:t>
      </w:r>
    </w:p>
    <w:p w:rsidR="00000000" w:rsidRDefault="00000000">
      <w:pPr>
        <w:pStyle w:val="SingleTxt"/>
        <w:tabs>
          <w:tab w:val="left" w:pos="1628"/>
        </w:tabs>
        <w:ind w:left="1264" w:right="1264"/>
        <w:rPr>
          <w:rtl/>
        </w:rPr>
      </w:pPr>
      <w:r>
        <w:rPr>
          <w:rtl/>
        </w:rPr>
        <w:t>46 -</w:t>
      </w:r>
      <w:r>
        <w:rPr>
          <w:rtl/>
        </w:rPr>
        <w:tab/>
        <w:t xml:space="preserve">وسوف يتاح استعراض أشمل عن وضع المرأة الكندية مع نشر الطبعة الرابعة من تقرير “المرأة في كندا </w:t>
      </w:r>
      <w:r>
        <w:t>–</w:t>
      </w:r>
      <w:r>
        <w:rPr>
          <w:rtl/>
        </w:rPr>
        <w:t xml:space="preserve"> تقرير إحصائي” المقرر أن يتم إنجازه وإصداره من جانب هيئة إحصاءات كندا في عام 2000.</w:t>
      </w:r>
    </w:p>
    <w:p w:rsidR="00000000" w:rsidRDefault="00000000">
      <w:pPr>
        <w:pStyle w:val="SingleTxt"/>
        <w:tabs>
          <w:tab w:val="left" w:pos="1628"/>
        </w:tabs>
        <w:ind w:left="1264" w:right="1264"/>
        <w:rPr>
          <w:b/>
          <w:bCs/>
          <w:szCs w:val="34"/>
          <w:rtl/>
        </w:rPr>
      </w:pPr>
      <w:r>
        <w:rPr>
          <w:rtl/>
        </w:rPr>
        <w:br w:type="page"/>
      </w:r>
      <w:r>
        <w:rPr>
          <w:b/>
          <w:bCs/>
          <w:szCs w:val="34"/>
          <w:rtl/>
        </w:rPr>
        <w:t>الجزء الثاني</w:t>
      </w:r>
    </w:p>
    <w:p w:rsidR="00000000" w:rsidRDefault="00000000">
      <w:pPr>
        <w:pStyle w:val="SingleTxt"/>
        <w:tabs>
          <w:tab w:val="left" w:pos="1628"/>
        </w:tabs>
        <w:ind w:left="1264" w:right="1264"/>
        <w:rPr>
          <w:szCs w:val="34"/>
          <w:rtl/>
        </w:rPr>
      </w:pPr>
      <w:r>
        <w:rPr>
          <w:b/>
          <w:bCs/>
          <w:szCs w:val="34"/>
          <w:rtl/>
        </w:rPr>
        <w:t>التدابير التي اتخذتها حكومة كندا</w:t>
      </w:r>
    </w:p>
    <w:p w:rsidR="00000000" w:rsidRDefault="00000000">
      <w:pPr>
        <w:pStyle w:val="SingleTxt"/>
        <w:tabs>
          <w:tab w:val="left" w:pos="1628"/>
        </w:tabs>
        <w:ind w:left="1264" w:right="1264"/>
        <w:rPr>
          <w:rtl/>
        </w:rPr>
      </w:pPr>
      <w:r>
        <w:rPr>
          <w:b/>
          <w:bCs/>
          <w:szCs w:val="32"/>
          <w:rtl/>
        </w:rPr>
        <w:t>المادة 2: تدابير منع التمييز</w:t>
      </w:r>
    </w:p>
    <w:p w:rsidR="00000000" w:rsidRDefault="00000000">
      <w:pPr>
        <w:pStyle w:val="SingleTxt"/>
        <w:tabs>
          <w:tab w:val="left" w:pos="1628"/>
        </w:tabs>
        <w:ind w:left="1264" w:right="1264"/>
        <w:rPr>
          <w:rtl/>
        </w:rPr>
      </w:pPr>
      <w:r>
        <w:rPr>
          <w:rtl/>
        </w:rPr>
        <w:t>47 -</w:t>
      </w:r>
      <w:r>
        <w:rPr>
          <w:rtl/>
        </w:rPr>
        <w:tab/>
        <w:t>في عام 1982، دخل الميثاق الكندي للحقوق والحريات حيز النفاذ. ويُعرف هذا الميثاق أيضا بالقانون الدستوري لعام 1982 وينص على إسباغ الحماية الدستورية على حقوق الأفراد. وطبقا للبند 1 فهو يضمن الحقوق والحريات الواردة فيه “وهي رهن فقط بالحدود المعقولة التي يرسمها القانون على النحو الذي يمكن تسويغه بصورة واضحة في مجتمع حر وديمقراطي” ونتيجة لذلك، فأي قانون أو لائحة أو مرسوم يصدر عن أيٍ من مستويات الحكم في كندا أو عن أي هيئة حكومية، فضلا عن جميع أحكام المحاكم، لا بد وأن يتفق مع الميثاق المذكور في إطار معنى البند 1. وينطبق الميثاق على العلاقات بين فرد والحكومة قبل أن ينطبق على العلاقات بين الأفراد الذين تشملهم شرائع الحقوق المعمول بها في المقاطعات.</w:t>
      </w:r>
    </w:p>
    <w:p w:rsidR="00000000" w:rsidRDefault="00000000">
      <w:pPr>
        <w:pStyle w:val="SingleTxt"/>
        <w:tabs>
          <w:tab w:val="left" w:pos="1628"/>
        </w:tabs>
        <w:ind w:left="1264" w:right="1264"/>
        <w:rPr>
          <w:rtl/>
        </w:rPr>
      </w:pPr>
      <w:r>
        <w:rPr>
          <w:rtl/>
        </w:rPr>
        <w:t>48 -</w:t>
      </w:r>
      <w:r>
        <w:rPr>
          <w:rtl/>
        </w:rPr>
        <w:tab/>
        <w:t>ويكفل الفصل 15 من الميثاق الحماية المتكافئة والإفادة المتساوية من القانون لجميع الكنديين بغير تمييز، فيما يضمن البند 28 أن تنطبق جميع الحقوق التي يشملها الميثاق بصورة متساوية على الرجل والمرأة. ويحظر القانون الكندي لحقوق الإنسان الصادر في عام 1977 التمييز في التعيينات وفي الخدمات التي تتم ضمن الولاية القانونية الاتحادية. وينص القانون على قائمة من الأسس المحظورة للتمييز التي تم توسيعها في العام الماضي لكي تشمل التوجُّه الجنسي. وينشئ القانون الكندي لحقوق الإنسان اللجنة الكندية لحقوق الإنسان التي تتولى تحقيق وتسوية شكاوى التمييز ورفع القضايا بشأنها. كما ينشئ المحكمة الكندية لحقوق الإنسان التي تنظر في الشكاوى وتبتّ في أمرها. كما جاءت التعديلات التي أدخلت على القانون الكندي لحقوق الإنسان في عام 1998 لتضفي على المحكمة صفة الهيئة القضائية الدائمة.</w:t>
      </w:r>
    </w:p>
    <w:p w:rsidR="00000000" w:rsidRDefault="00000000">
      <w:pPr>
        <w:pStyle w:val="SingleTxt"/>
        <w:tabs>
          <w:tab w:val="left" w:pos="1628"/>
        </w:tabs>
        <w:ind w:left="1264" w:right="1264"/>
        <w:rPr>
          <w:rtl/>
        </w:rPr>
      </w:pPr>
      <w:r>
        <w:rPr>
          <w:rtl/>
        </w:rPr>
        <w:t>49 -</w:t>
      </w:r>
      <w:r>
        <w:rPr>
          <w:rtl/>
        </w:rPr>
        <w:tab/>
        <w:t>وقد تم العمل بقانون الطعون القضائية الذي أنشئ أصلا في عام 1985 من جانب وزارة شؤون الدولة سابقا لكي يموِّل القضايا الخاصة التي تشمل طعونا في السياسات والقوانين أو الممارسات الاتحادية المتصلة بحقوق المساواة التي يحميها البندان 15 و 28 من الميثاق. على أن البرنامج ما لبث أن توقف في عام 1992، ولكن في أعقاب طلبات جماهيرية واسعة النطاق أعيد العمل به في تشرين الأول/أكتوبر 1994. والبرنامج الحالي يقدِّم التمويل لطعون مختارة في القانون أو السياسات أو الممارسات الاتحادية باستثناء الشكاوى المرفوعة بموجب القانون الكندي لحقوق الإنسان.</w:t>
      </w:r>
    </w:p>
    <w:p w:rsidR="00000000" w:rsidRDefault="00000000">
      <w:pPr>
        <w:pStyle w:val="SingleTxt"/>
        <w:tabs>
          <w:tab w:val="left" w:pos="1628"/>
        </w:tabs>
        <w:ind w:left="1264" w:right="1264"/>
        <w:rPr>
          <w:rtl/>
        </w:rPr>
      </w:pPr>
      <w:r>
        <w:rPr>
          <w:rtl/>
        </w:rPr>
        <w:t>50 -</w:t>
      </w:r>
      <w:r>
        <w:rPr>
          <w:rtl/>
        </w:rPr>
        <w:tab/>
        <w:t>وبالإضافة إلى الصكوك القانونية التي تقصد إلى مكافحة التمييز، يعمل عدد من الوكالات الأخرى على نشر التدابير المناهضة للتمييز على مستويات المقاطعات أو الأقاليم أو على الصعيد الاتحادي. وعلى سبيل المثال، فإن اللجنة القانونية لكندا التي تم إنشاؤها في 1 تموز/يوليه 1997 بموجب “قانون اللجنة القانونية لكندا” لها صلاحية إشراك الكنديين في تجديد القانون بما يكفل أن يكون القانون عمليا ومستجيبا وفعَّالا ومتكافئا في إقامة العدل ومن حيث إمكانية انطباقه على الجميع. واللجنة المذكورة هيئة مستقلة من هيئات الحكومة الاتحادية وقد تشكلت كي تزوِّد الحكومة بمشورة مستقلة واسعة القاعدة بشأن قضايا السياسات القانونية. وتشمل مشاريع اللجنة متابعة تاريخ إيذاء الأطفال في المؤسسات الحكومية وعلاقات البالغين التي تدور حول الإعالة والتكافل والعلاقات التي تشمل كبار السن والعدالة التحوُّلية وعلاقات التغيير في موقع العمل ودور التشريعات وضبط وإدارة عمليات البحث العلمي التي تجعل البشر موضوعا لها.</w:t>
      </w:r>
    </w:p>
    <w:p w:rsidR="00000000" w:rsidRDefault="00000000">
      <w:pPr>
        <w:pStyle w:val="SingleTxt"/>
        <w:tabs>
          <w:tab w:val="left" w:pos="1628"/>
        </w:tabs>
        <w:ind w:left="1264" w:right="1264"/>
        <w:rPr>
          <w:rtl/>
        </w:rPr>
      </w:pPr>
      <w:r>
        <w:rPr>
          <w:b/>
          <w:bCs/>
          <w:szCs w:val="32"/>
          <w:rtl/>
        </w:rPr>
        <w:t>المادة 2 (ح): حماية الحقوق القانونية للمرأة</w:t>
      </w:r>
    </w:p>
    <w:p w:rsidR="00000000" w:rsidRDefault="00000000">
      <w:pPr>
        <w:pStyle w:val="SingleTxt"/>
        <w:tabs>
          <w:tab w:val="left" w:pos="1628"/>
        </w:tabs>
        <w:ind w:left="1264" w:right="1264"/>
        <w:rPr>
          <w:rtl/>
        </w:rPr>
      </w:pPr>
      <w:r>
        <w:rPr>
          <w:rtl/>
        </w:rPr>
        <w:t>51 -</w:t>
      </w:r>
      <w:r>
        <w:rPr>
          <w:rtl/>
        </w:rPr>
        <w:tab/>
        <w:t>نظرت المحكمة العليا لكندا في عدة قضايا مهمة تتعلق بمساواة المرأة خلال فترة الإبلاغ. وبرغم أن كثيرا من القضايا الوارد ذكرها فيما يلي لا يتعلق بالتمييز على أساس نوع الجنس، إلا أنها مهمة بالنسبة إلى مساواة المرأة بل وتتسم بأهمية خاصة للمرأة المعرَّضة لسلبيات مضاعفة، سواء من جرَّاء خصائص شخصية كالإعاقة أو الديانة أو الحالة الزواجية أو التوجُّه الجنسي أو الأصل العِرقي. وهذه القضايا تنشأ عن ادعاءات بالتمييز وفقا للبند 15 (1) من الميثاق أو بمقتضى تشريعات حقوق الإنسان. ويندرج في ذلك أيضا القضايا التي تتعلق بمساواة المرأة أمام القانون الجنائي.</w:t>
      </w:r>
    </w:p>
    <w:p w:rsidR="00000000" w:rsidRDefault="00000000">
      <w:pPr>
        <w:pStyle w:val="SingleTxt"/>
        <w:tabs>
          <w:tab w:val="left" w:pos="1628"/>
        </w:tabs>
        <w:ind w:left="1264" w:right="1264"/>
        <w:rPr>
          <w:rtl/>
        </w:rPr>
      </w:pPr>
      <w:r>
        <w:rPr>
          <w:b/>
          <w:bCs/>
          <w:rtl/>
        </w:rPr>
        <w:t>البند 15 (1)</w:t>
      </w:r>
    </w:p>
    <w:p w:rsidR="00000000" w:rsidRDefault="00000000">
      <w:pPr>
        <w:pStyle w:val="SingleTxt"/>
        <w:tabs>
          <w:tab w:val="left" w:pos="1628"/>
        </w:tabs>
        <w:ind w:left="1264" w:right="1264"/>
        <w:rPr>
          <w:rtl/>
        </w:rPr>
      </w:pPr>
      <w:r>
        <w:rPr>
          <w:rtl/>
        </w:rPr>
        <w:t>52 -</w:t>
      </w:r>
      <w:r>
        <w:rPr>
          <w:rtl/>
        </w:rPr>
        <w:tab/>
        <w:t xml:space="preserve">في قضية </w:t>
      </w:r>
      <w:r>
        <w:t>Eldridge</w:t>
      </w:r>
      <w:r>
        <w:rPr>
          <w:i/>
          <w:iCs/>
          <w:rtl/>
        </w:rPr>
        <w:t xml:space="preserve"> ضد كولومبيا البريطانية</w:t>
      </w:r>
      <w:r>
        <w:rPr>
          <w:rtl/>
        </w:rPr>
        <w:t xml:space="preserve"> (المدعي العــام) [1997] </w:t>
      </w:r>
      <w:r>
        <w:t>3 S.C.R. 624</w:t>
      </w:r>
      <w:r>
        <w:rPr>
          <w:rtl/>
        </w:rPr>
        <w:t xml:space="preserve">، أكدت المحكمة العليا من جديد أن البند 15 (1) من الميثاق يكفل الحماية ضد التمييز المباشر فضلا عما ينجم عنه من آثار سلبية. والنوع الآخر من التمييز لا يتطلب توافر غاية أو نية تمييزية ولكن يقتصر على أن ينشأ عن التدبير ذي الصلة أثر يؤدي إلى حرمان الفرد من الحماية المتكافئة أو من الإفادة المتساوية من القانون. ورأت المحكمة أن عدم توفير ترجمة فورية بلغة الإشارة للمرضى الذين يعانون الصمم في المستشفيات عند الاقتضاء من أجل التواصل الفعَّال معهم، أمر ينتهك الحقــوق المتساويــة للمدَّعين. وكــان المدَّعون في قضية </w:t>
      </w:r>
      <w:r>
        <w:t>Eldridge</w:t>
      </w:r>
      <w:r>
        <w:rPr>
          <w:rtl/>
        </w:rPr>
        <w:t xml:space="preserve"> امرأة صمَّاء تحتاج إلى علاج طبي لإصابتها بمرض السكر, وزوجين يعانيان من الصمم كانا حاضرين في وقت مولد طفلتيهما التوأم.</w:t>
      </w:r>
    </w:p>
    <w:p w:rsidR="00000000" w:rsidRDefault="00000000">
      <w:pPr>
        <w:pStyle w:val="SingleTxt"/>
        <w:tabs>
          <w:tab w:val="left" w:pos="1628"/>
        </w:tabs>
        <w:ind w:left="1264" w:right="1264"/>
        <w:rPr>
          <w:rtl/>
        </w:rPr>
      </w:pPr>
      <w:r>
        <w:rPr>
          <w:rtl/>
        </w:rPr>
        <w:t>53 -</w:t>
      </w:r>
      <w:r>
        <w:rPr>
          <w:rtl/>
        </w:rPr>
        <w:tab/>
        <w:t xml:space="preserve">وأحرِزَت أوجه تقدَّم مرموق أيضا خلال فترة الاستعراض فيما يتعلق بالحقوق المتساوية للنساء الممارسات للسحاق. ففي قضية </w:t>
      </w:r>
      <w:r>
        <w:t>Egan</w:t>
      </w:r>
      <w:r>
        <w:rPr>
          <w:rtl/>
        </w:rPr>
        <w:t xml:space="preserve"> ضـد كنــــدا [1995] </w:t>
      </w:r>
      <w:r>
        <w:t>2 S.C.R. 513</w:t>
      </w:r>
      <w:r>
        <w:rPr>
          <w:rtl/>
        </w:rPr>
        <w:t xml:space="preserve">، رأت المحكمة العليا أنه برغم أن “التوجُّه الجنسي” لا يرد بوصفه واحدا من أسس التمييز في البند 15 (1) إلا أنه يشكِّل مبررا مماثلا يمكن أن يستند إليه ادِّعاءات التمييز. وفي قضية </w:t>
      </w:r>
      <w:r>
        <w:t>Vriend</w:t>
      </w:r>
      <w:r>
        <w:rPr>
          <w:rtl/>
        </w:rPr>
        <w:t xml:space="preserve"> ضد ألبرتا [1998] </w:t>
      </w:r>
      <w:r>
        <w:t>1 S.C.R. 493</w:t>
      </w:r>
      <w:r>
        <w:rPr>
          <w:rtl/>
        </w:rPr>
        <w:t>، رأت اللجنة أن تشريعات حقوق الإنسان الإقليمية التي أغفلت مبرر التوجُّه الجنسي إنما تنتهك البند 15 (1).</w:t>
      </w:r>
    </w:p>
    <w:p w:rsidR="00000000" w:rsidRDefault="00000000">
      <w:pPr>
        <w:pStyle w:val="SingleTxt"/>
        <w:tabs>
          <w:tab w:val="left" w:pos="1628"/>
        </w:tabs>
        <w:ind w:left="1264" w:right="1264"/>
        <w:rPr>
          <w:rtl/>
        </w:rPr>
      </w:pPr>
      <w:r>
        <w:rPr>
          <w:rtl/>
        </w:rPr>
        <w:t>54 -</w:t>
      </w:r>
      <w:r>
        <w:rPr>
          <w:rtl/>
        </w:rPr>
        <w:tab/>
        <w:t xml:space="preserve">سلَّمت أغلبية في المحكمة العليا في قضية </w:t>
      </w:r>
      <w:r>
        <w:t>Miron</w:t>
      </w:r>
      <w:r>
        <w:rPr>
          <w:rtl/>
        </w:rPr>
        <w:t xml:space="preserve"> ضد </w:t>
      </w:r>
      <w:r>
        <w:t>Trudel</w:t>
      </w:r>
      <w:r>
        <w:rPr>
          <w:rtl/>
        </w:rPr>
        <w:t xml:space="preserve"> [1995] </w:t>
      </w:r>
      <w:r>
        <w:t>2 S.C.R. 418</w:t>
      </w:r>
      <w:r>
        <w:rPr>
          <w:rtl/>
        </w:rPr>
        <w:t xml:space="preserve"> بـ “الحالة الزواجية” بوصفها مبررا مناظرا لعملية التمييز. ووجدت أن استبعاد أزواج القانون العرفي (غير المتزوجين) من استحقاقات تأمين الحوادث أمر ينتهك ما لهم من حقوق المساواة.</w:t>
      </w:r>
    </w:p>
    <w:p w:rsidR="00000000" w:rsidRDefault="00000000">
      <w:pPr>
        <w:pStyle w:val="SingleTxt"/>
        <w:tabs>
          <w:tab w:val="left" w:pos="1628"/>
        </w:tabs>
        <w:ind w:left="1264" w:right="1264"/>
        <w:rPr>
          <w:rtl/>
        </w:rPr>
      </w:pPr>
      <w:r>
        <w:rPr>
          <w:rtl/>
        </w:rPr>
        <w:t>55 -</w:t>
      </w:r>
      <w:r>
        <w:rPr>
          <w:rtl/>
        </w:rPr>
        <w:tab/>
        <w:t xml:space="preserve">في قضية </w:t>
      </w:r>
      <w:r>
        <w:t>Thibaudeau</w:t>
      </w:r>
      <w:r>
        <w:rPr>
          <w:rtl/>
        </w:rPr>
        <w:t xml:space="preserve"> ضد كندا [1995] </w:t>
      </w:r>
      <w:r>
        <w:t>2 S.C.R. 627</w:t>
      </w:r>
      <w:r>
        <w:rPr>
          <w:rtl/>
        </w:rPr>
        <w:t xml:space="preserve"> خلصت أغلبية بالمحكمة العليا إلى أن الشرط القانوني الذي يؤكد أنه عندما يحسب والدان منفصلان أو مطلقان إيرادهما للأغراض الضريبية، يتعيَّن عليهما أن يدرجا المبالغ الواردة من شركائهما السابقين من أجل إعانة الطفل وأن هذا لا يشكل تمييزا على أساس نوع الجنس. ووجدت المحكمة أن الشرط لا يرتب عبئا أو يمثل مشكلة سلبية لدى فحص حالة الوحدة الأُسرية فيما بعد الطلاق.</w:t>
      </w:r>
    </w:p>
    <w:p w:rsidR="00000000" w:rsidRDefault="00000000">
      <w:pPr>
        <w:pStyle w:val="SingleTxt"/>
        <w:tabs>
          <w:tab w:val="left" w:pos="1628"/>
        </w:tabs>
        <w:ind w:left="1264" w:right="1264"/>
        <w:rPr>
          <w:rtl/>
        </w:rPr>
      </w:pPr>
      <w:r>
        <w:rPr>
          <w:rtl/>
        </w:rPr>
        <w:t>56 -</w:t>
      </w:r>
      <w:r>
        <w:rPr>
          <w:rtl/>
        </w:rPr>
        <w:tab/>
        <w:t xml:space="preserve">في معرض الاستجابة إلى ردود الفعل المناهِضة من جانب النساء والمنظمات النسائية ووسائل الإعلام إزاء الحكم الصادر في قضية </w:t>
      </w:r>
      <w:r>
        <w:t>Thibaudeau</w:t>
      </w:r>
      <w:r>
        <w:rPr>
          <w:rtl/>
        </w:rPr>
        <w:t>، استجابت الحكومة الاتحادية إزاء هذه الشواغل من خلال مشروع القانون جيم-93 الذي أدخل تعديلا على قانون ضرائب الإيراد فألغى هذه المعاملة لإعانة الطفل ثم حظي بموافقة ملكية في 25 نيسان/أبريل 1997. وبموجب القواعد الجديدة، فإن مبلغ إعانة الطفل المدفوعة عملا باتفاق مكتوب أو طبقا لأمر صادر من المحكمة في أو بعد 1 أيار/مايو 1997 لم يُعد يُستقطع للقائم بالسداد ولا يُدرج في إيراد المستفيد للأغراض الضريبية.</w:t>
      </w:r>
    </w:p>
    <w:p w:rsidR="00000000" w:rsidRDefault="00000000">
      <w:pPr>
        <w:pStyle w:val="SingleTxt"/>
        <w:tabs>
          <w:tab w:val="left" w:pos="1628"/>
        </w:tabs>
        <w:ind w:left="1264" w:right="1264"/>
        <w:rPr>
          <w:rtl/>
        </w:rPr>
      </w:pPr>
      <w:r>
        <w:rPr>
          <w:rtl/>
        </w:rPr>
        <w:t>57 -</w:t>
      </w:r>
      <w:r>
        <w:rPr>
          <w:rtl/>
        </w:rPr>
        <w:tab/>
        <w:t xml:space="preserve">في قضية </w:t>
      </w:r>
      <w:r>
        <w:t>Benner</w:t>
      </w:r>
      <w:r>
        <w:rPr>
          <w:rtl/>
        </w:rPr>
        <w:t>، رأت المحكمة أن فرض شروط إضافية لمنح الجنسية للأطفال المولودين بالخارج قبل 15 شباط/فبراير 1977 لأم كندية (مقابل أب كندي) يشكِّل تمييزا على أساس نوع الجنس.</w:t>
      </w:r>
    </w:p>
    <w:p w:rsidR="00000000" w:rsidRDefault="00000000">
      <w:pPr>
        <w:pStyle w:val="SingleTxt"/>
        <w:tabs>
          <w:tab w:val="left" w:pos="1628"/>
        </w:tabs>
        <w:ind w:left="1264" w:right="1264"/>
        <w:rPr>
          <w:rtl/>
        </w:rPr>
      </w:pPr>
      <w:r>
        <w:rPr>
          <w:rtl/>
        </w:rPr>
        <w:t>58 -</w:t>
      </w:r>
      <w:r>
        <w:rPr>
          <w:rtl/>
        </w:rPr>
        <w:tab/>
        <w:t xml:space="preserve">في قضية </w:t>
      </w:r>
      <w:r>
        <w:t>R.v.</w:t>
      </w:r>
      <w:r>
        <w:rPr>
          <w:rtl/>
        </w:rPr>
        <w:t xml:space="preserve"> ضد </w:t>
      </w:r>
      <w:r>
        <w:t>S.</w:t>
      </w:r>
      <w:r>
        <w:rPr>
          <w:rtl/>
        </w:rPr>
        <w:t xml:space="preserve">، [1997] </w:t>
      </w:r>
      <w:r>
        <w:t>3 S.C.R. 485</w:t>
      </w:r>
      <w:r>
        <w:rPr>
          <w:rtl/>
        </w:rPr>
        <w:t>، طُلب إلى المحكمة أن تحدَّد ما إذا كانت التعليقات التي أبدتها قاضية سوداء حول معاملة الشرطة للأقليات تثير مخاوف معقولة إزاء وجود تحيُّز. لكن أغلبية بالمحكمة وجدت أن الملاحظات لا تنطوي على سبب معقول يدعو للتخوف من التحيُّز وأن القضاة بشكل عام ينبغي أن يكونوا على بيِّنة من السياق الاجتماعي بما في ذلك غلبة التحيُّزات العرقية أو الجنسانية في مجتمع بعينه لدى إصدارهم قراراتهم.</w:t>
      </w:r>
    </w:p>
    <w:p w:rsidR="00000000" w:rsidRDefault="00000000">
      <w:pPr>
        <w:pStyle w:val="SingleTxt"/>
        <w:tabs>
          <w:tab w:val="left" w:pos="1628"/>
        </w:tabs>
        <w:ind w:left="1264" w:right="1264"/>
        <w:rPr>
          <w:rtl/>
        </w:rPr>
      </w:pPr>
      <w:r>
        <w:rPr>
          <w:b/>
          <w:bCs/>
          <w:rtl/>
        </w:rPr>
        <w:t>تشريعات حقوق الإنسان</w:t>
      </w:r>
    </w:p>
    <w:p w:rsidR="00000000" w:rsidRDefault="00000000">
      <w:pPr>
        <w:pStyle w:val="SingleTxt"/>
        <w:tabs>
          <w:tab w:val="left" w:pos="1628"/>
        </w:tabs>
        <w:ind w:left="1264" w:right="1264"/>
        <w:rPr>
          <w:rtl/>
        </w:rPr>
      </w:pPr>
      <w:r>
        <w:rPr>
          <w:rtl/>
        </w:rPr>
        <w:t>59 -</w:t>
      </w:r>
      <w:r>
        <w:rPr>
          <w:rtl/>
        </w:rPr>
        <w:tab/>
        <w:t xml:space="preserve">في قضية </w:t>
      </w:r>
      <w:r>
        <w:t>Gibbs</w:t>
      </w:r>
      <w:r>
        <w:rPr>
          <w:rtl/>
        </w:rPr>
        <w:t xml:space="preserve"> ضد باتلفورد ودستركت التعاونية المحدودة [1996] </w:t>
      </w:r>
      <w:r>
        <w:t>3 S.C.R. 566</w:t>
      </w:r>
      <w:r>
        <w:rPr>
          <w:rtl/>
        </w:rPr>
        <w:t>، أكدت المحكمة من جديد أن تشريعات حقوق الإنسان “أساسية” أو “شبه دستورية” وأنه ينبغي تفسيرها بطريقة واسعة وغائية. ورأت المحكمة أن موظفة قد تعرَّضت للتمييز عندما أُلغيت استحقاقات تأمين الإعاقة لها بعد فترة عامين لأنها عانت من إعاقة عقلية مقابل إعاقة جسمية.</w:t>
      </w:r>
    </w:p>
    <w:p w:rsidR="00000000" w:rsidRDefault="00000000">
      <w:pPr>
        <w:pStyle w:val="SingleTxt"/>
        <w:tabs>
          <w:tab w:val="left" w:pos="1628"/>
        </w:tabs>
        <w:ind w:left="1264" w:right="1264"/>
        <w:rPr>
          <w:rtl/>
        </w:rPr>
      </w:pPr>
      <w:r>
        <w:rPr>
          <w:rtl/>
        </w:rPr>
        <w:t>60 -</w:t>
      </w:r>
      <w:r>
        <w:rPr>
          <w:rtl/>
        </w:rPr>
        <w:tab/>
        <w:t>وكان ثمة قضايا عديدة معروضة أمام محاكم المستويات الأدنى وتتعلق بتكافؤ الأجور واللوائح الاتحادية فضلا عن بعض اللوائح الإقليمية لحقوق الإنسان وتشمل أحكاما تُجسِّد المبدأ العام الذي يقول بضرورة أن يتقاضى الرجل والمرأة أجرا متساويا عن العمل المتساوي القيمة. على أن المنازعات في هذه القضايا كثيرا ما تتصل بالمنهجية المُستخدَمة لمقارنة متغيِّرات الأجور بين الفئات المهنية التي يسودها الذكور والفئات المهنية التي تسودها الإناث.</w:t>
      </w:r>
    </w:p>
    <w:p w:rsidR="00000000" w:rsidRDefault="00000000">
      <w:pPr>
        <w:pStyle w:val="SingleTxt"/>
        <w:tabs>
          <w:tab w:val="left" w:pos="1628"/>
        </w:tabs>
        <w:ind w:left="1264" w:right="1264"/>
        <w:rPr>
          <w:rtl/>
        </w:rPr>
      </w:pPr>
      <w:r>
        <w:rPr>
          <w:b/>
          <w:bCs/>
          <w:rtl/>
        </w:rPr>
        <w:t>مساواة المرأة في إطار القانون الجنائي.</w:t>
      </w:r>
    </w:p>
    <w:p w:rsidR="00000000" w:rsidRDefault="00000000">
      <w:pPr>
        <w:pStyle w:val="SingleTxt"/>
        <w:tabs>
          <w:tab w:val="left" w:pos="1628"/>
        </w:tabs>
        <w:ind w:left="1264" w:right="1264"/>
        <w:rPr>
          <w:rtl/>
        </w:rPr>
      </w:pPr>
      <w:r>
        <w:rPr>
          <w:rtl/>
        </w:rPr>
        <w:t>61 -</w:t>
      </w:r>
      <w:r>
        <w:rPr>
          <w:rtl/>
        </w:rPr>
        <w:tab/>
        <w:t xml:space="preserve">في قضية </w:t>
      </w:r>
      <w:r>
        <w:t>R.</w:t>
      </w:r>
      <w:r>
        <w:rPr>
          <w:rtl/>
        </w:rPr>
        <w:t xml:space="preserve"> ضد </w:t>
      </w:r>
      <w:r>
        <w:t>Biddle</w:t>
      </w:r>
      <w:r>
        <w:rPr>
          <w:rtl/>
        </w:rPr>
        <w:t xml:space="preserve"> [1995] </w:t>
      </w:r>
      <w:r>
        <w:t>1 S.C.R. 761</w:t>
      </w:r>
      <w:r>
        <w:rPr>
          <w:rtl/>
        </w:rPr>
        <w:t>، كان من المسائل المعروضة أمام المحكمة ما إذا كان استخدام سلطة التاج لتشكيل هيئة المحلفين يشكِّل سوء استعمال  السلطة في عملية اختيار المحلَّفين أو يخلق تخوفا معقولا من مغبة التحيُّز. وقد أدين المدعي في جريمتي اعتداء أسفرتا عن ضرر بدني وجريمتي خنق بهدف ارتكاب جريمة خاضعة للعقوبة. وكانت الضحيتان امرأتين. وقد نجح التاج في تشكيل هيئة محلَّفين كلها من النساء وفيما قررت أغلبية أعضاء المحكمة أنه ليس من الضروري النظر في هذه المسألة، وجد إثنان من أعضاء المحكمة (نساء) أنه لا يتوافر سوء استعمال السلطة بالنسبة للنظام المعمول به عند تشكيل هيئة محلفين تكون كلها من النساء. وفضلا عن ذلك فلا قرينة على أن من شأن هيئة محلفين نسائية تماما ألا تتصرف بصورة محايدة لدى النظر في القضية المعروضة. وبخلاف ذلك فإن الأمر ينطوي على الانطلاق من افتراضات نمطية لا محل لها. وكان بيان مكلهلن ذا أهمية خاصة حين قال.“لست أرى سببا يدعو للافتراض أن هيئة محلفين كلها من النساء لا يمكن أن تكون محايدة فقد درجوا على مدى قرون على افتراض الحياد في هيئات محلفين كانت كلها من الرجال”.</w:t>
      </w:r>
    </w:p>
    <w:p w:rsidR="00000000" w:rsidRDefault="00000000">
      <w:pPr>
        <w:pStyle w:val="SingleTxt"/>
        <w:tabs>
          <w:tab w:val="left" w:pos="1628"/>
        </w:tabs>
        <w:ind w:left="1264" w:right="1264"/>
        <w:rPr>
          <w:rtl/>
        </w:rPr>
      </w:pPr>
      <w:r>
        <w:rPr>
          <w:rtl/>
        </w:rPr>
        <w:t>62 -</w:t>
      </w:r>
      <w:r>
        <w:rPr>
          <w:rtl/>
        </w:rPr>
        <w:tab/>
        <w:t xml:space="preserve">وفي قضية </w:t>
      </w:r>
      <w:r>
        <w:t>R.</w:t>
      </w:r>
      <w:r>
        <w:rPr>
          <w:rtl/>
        </w:rPr>
        <w:t xml:space="preserve">. ضد </w:t>
      </w:r>
      <w:r>
        <w:t>Dark</w:t>
      </w:r>
      <w:r>
        <w:rPr>
          <w:rtl/>
        </w:rPr>
        <w:t xml:space="preserve"> [1994] </w:t>
      </w:r>
      <w:r>
        <w:t>3 S.C.R. 63</w:t>
      </w:r>
      <w:r>
        <w:rPr>
          <w:rtl/>
        </w:rPr>
        <w:t xml:space="preserve">، رأت المحكمة أن من مخالفة الدستور عدم السماح باعتبار حالة السُكْر الإرادي دفاعا مسموحا به لدى توافر ركن القصد الجنائي العام. ففي قضية </w:t>
      </w:r>
      <w:r>
        <w:t>Daviault</w:t>
      </w:r>
      <w:r>
        <w:rPr>
          <w:rtl/>
        </w:rPr>
        <w:t>، هاجم المتهم جنسيا امرأة معاقة في الخامسة والستين من العمر، ولكن بُرئت ساحته في المحاكمة عندما توافر شك معقول حول ما إذا كان لديه الحد الأدنى من نية ارتكاب الجريمة لأنه كان تأثير السُكْر البيِّن. وأدى هذا الحكم إلى انتقادات واسعة النطاق من جانب الجماعات النسائية وغيرها. وفي معرض الاستجابة، عدَّلت الحكومة الاتحادية القانون الجنائي ليحدِّد أن الدفع بحالة سُكر إرادي لن يتاح بالنسبة إلى جرائم معيَّنة (بما فيها الاعتداء) حينما يسلك المتهم سلوكا ينحرف به بوضوح عن معيار السلوك الواجب مراعاته بشكل عام في المجتمع الكندي.</w:t>
      </w:r>
    </w:p>
    <w:p w:rsidR="00000000" w:rsidRDefault="00000000">
      <w:pPr>
        <w:pStyle w:val="SingleTxt"/>
        <w:tabs>
          <w:tab w:val="left" w:pos="1628"/>
        </w:tabs>
        <w:ind w:left="1264" w:right="1264"/>
        <w:rPr>
          <w:rtl/>
        </w:rPr>
      </w:pPr>
      <w:r>
        <w:rPr>
          <w:rtl/>
        </w:rPr>
        <w:t>63 -</w:t>
      </w:r>
      <w:r>
        <w:rPr>
          <w:rtl/>
        </w:rPr>
        <w:tab/>
        <w:t xml:space="preserve">في قضية </w:t>
      </w:r>
      <w:r>
        <w:t>R.</w:t>
      </w:r>
      <w:r>
        <w:rPr>
          <w:rtl/>
        </w:rPr>
        <w:t xml:space="preserve">. ضد </w:t>
      </w:r>
      <w:r>
        <w:t>Park</w:t>
      </w:r>
      <w:r>
        <w:rPr>
          <w:rtl/>
        </w:rPr>
        <w:t xml:space="preserve"> [1995] </w:t>
      </w:r>
      <w:r>
        <w:t>2 S.C.R. 836</w:t>
      </w:r>
      <w:r>
        <w:rPr>
          <w:rtl/>
        </w:rPr>
        <w:t>، أعادت المحكمة العليا لكندا الاتهام بالاعتداء الجنسي. وفي تلك القضية، دفع المدعي بأنه لم يكن ثمة معاشرة جنسية حدثت أو أنه كان على اعتقاد خاطئ بأن المجني عليها قد وافقت على الجماع الجنسي. وفي معرض بيان الأسباب، أسهبت لوريه توبيه في مسألة الموافقة في محاكمات الاعتداء الجنسي معربة عن الرأي بأنه من أجل مناهضة التصورات النمطية التي تساور الرجال فيما يتعلق بهذه الموافقة، ينبغي تحويل التركيز من التساؤل عما إذا كان ثمة عبارات أو تصرفات تتسق مع عدم الموافقة إلى التساؤل حول تصرفات أو عبارات من جانب الشاكية مما فهمه المتهم بأمانة ولكن بالخطأ على أنه موافقة. وقد أثيرت هذه القضية سابقة على بند قانون العقوبات الذي ينص على معني “الموافقة” في جرائم العدوان الجنسي. وهذه الأحكام تتطلب بعامة أن يكون المتهم قد اتخذ خطوات معقولة ومحدَّدة بما يكفل تلقي أشكال الموافقة من جانب الشاكية من أجل مباشرة النشاط الجنسي.</w:t>
      </w:r>
    </w:p>
    <w:p w:rsidR="00000000" w:rsidRDefault="00000000">
      <w:pPr>
        <w:pStyle w:val="SingleTxt"/>
        <w:tabs>
          <w:tab w:val="left" w:pos="1628"/>
        </w:tabs>
        <w:ind w:left="1264" w:right="1264"/>
        <w:rPr>
          <w:rtl/>
        </w:rPr>
      </w:pPr>
      <w:r>
        <w:rPr>
          <w:rtl/>
        </w:rPr>
        <w:t>64 -</w:t>
      </w:r>
      <w:r>
        <w:rPr>
          <w:rtl/>
        </w:rPr>
        <w:tab/>
        <w:t xml:space="preserve">أعـــادت أغلبيـــة في المحكمـــة العليـــا لكندا التأكيد في قضية </w:t>
      </w:r>
      <w:r>
        <w:t>R.</w:t>
      </w:r>
      <w:r>
        <w:rPr>
          <w:rtl/>
        </w:rPr>
        <w:t xml:space="preserve"> ضد </w:t>
      </w:r>
      <w:r>
        <w:t>O'Conor</w:t>
      </w:r>
      <w:r>
        <w:rPr>
          <w:rtl/>
        </w:rPr>
        <w:t xml:space="preserve"> [1995] </w:t>
      </w:r>
      <w:r>
        <w:t>4 S.C.R. 411</w:t>
      </w:r>
      <w:r>
        <w:rPr>
          <w:rtl/>
        </w:rPr>
        <w:t xml:space="preserve">، على أنه من واجب التاج الكشف عن جميع السجلات ذات الصلة التي تكون في حوزة الدفاع بما في ذلك السجلات العلاجية للمجني عليه (في هذه القضية هي السجلات الاستشارية في الاعتداء الجنسي) وفيما يتعلق بالسجلات الموجودة في حوزة طرف ثالث (بالمقارنة مع سجلات الدولة) أكدت المحكمة في قضية </w:t>
      </w:r>
      <w:r>
        <w:t>O'Conor</w:t>
      </w:r>
      <w:r>
        <w:rPr>
          <w:rtl/>
        </w:rPr>
        <w:t xml:space="preserve"> إجراءً لتقديم مثل هذه السجلات. على أن أقلية من القضاة ارتأت أنه لدى تحديد ما إذا كانت السجلات الخاصة التي في حوزة طرف ثالث ينبغي الكشف عنها للدفاع، فإن حق المتهم في الادلاء بالرد كاملا وإبداء الدفوع ينبغي موازنته مع حق الضحية في الخصوصية وفي المساواة بغير تمييز. وفي أعقاب هذا القرار، تم تعديل قانون العقوبات بما يرسي إجراءً محددا للكشف عن السجلات الخاصة الموجودة في حوزة التاج أو عند طرف ثالث لصالح محامي الدفاع حينما يكون المتهم متهما باعتداء جنسي. ويقصد هذا الإجراء إلى حماية الخصوصية والحقوق المتساوية للمجني عليهم في الجرائم الجنسية، فيما يقصد في الوقت ذاته إلى حفظ حق المتهم في محاكمة عادلة. وقد أيَّدت المحكمة العليا في كندا مؤخرا التعديلات الأخيرة بوصفها دستورية.</w:t>
      </w:r>
    </w:p>
    <w:p w:rsidR="00000000" w:rsidRDefault="00000000">
      <w:pPr>
        <w:pStyle w:val="SingleTxt"/>
        <w:tabs>
          <w:tab w:val="left" w:pos="1628"/>
        </w:tabs>
        <w:ind w:left="1264" w:right="1264"/>
        <w:rPr>
          <w:szCs w:val="34"/>
          <w:rtl/>
        </w:rPr>
      </w:pPr>
      <w:r>
        <w:rPr>
          <w:b/>
          <w:bCs/>
          <w:szCs w:val="34"/>
          <w:rtl/>
        </w:rPr>
        <w:t>المادة 2 (د): السلطات والمؤسسات العامة</w:t>
      </w:r>
    </w:p>
    <w:p w:rsidR="00000000" w:rsidRDefault="00000000">
      <w:pPr>
        <w:pStyle w:val="SingleTxt"/>
        <w:tabs>
          <w:tab w:val="left" w:pos="1628"/>
        </w:tabs>
        <w:ind w:left="1264" w:right="1264"/>
        <w:rPr>
          <w:rtl/>
        </w:rPr>
      </w:pPr>
      <w:r>
        <w:rPr>
          <w:rtl/>
        </w:rPr>
        <w:t>65 -</w:t>
      </w:r>
      <w:r>
        <w:rPr>
          <w:rtl/>
        </w:rPr>
        <w:tab/>
        <w:t>“إعداد المسرح للقرن الجديد: الخطة الاتحادية للمساواة الجنسانية” تم إصدارها في كندا في 11 آب/أغسطس 1995 وأوُدِعت لدى مؤتمر الأمم المتحدة الرابع المعني بالمرأة في بيجين. وتمثل الخطة الاتحادية مبادرة تعاونية شاركت فيها 24 من الوزارات والوكالات الاتحادية كان على رأسها وزارة وضع المرأة في كندا وهي تمثل إطار ودليل العمل لكندا من أجل تنفيذ منهاج عمل بيجين.</w:t>
      </w:r>
    </w:p>
    <w:p w:rsidR="00000000" w:rsidRDefault="00000000">
      <w:pPr>
        <w:pStyle w:val="SingleTxt"/>
        <w:tabs>
          <w:tab w:val="left" w:pos="1628"/>
        </w:tabs>
        <w:ind w:left="1264" w:right="1264"/>
        <w:rPr>
          <w:rtl/>
        </w:rPr>
      </w:pPr>
      <w:r>
        <w:rPr>
          <w:rtl/>
        </w:rPr>
        <w:t>66 -</w:t>
      </w:r>
      <w:r>
        <w:rPr>
          <w:rtl/>
        </w:rPr>
        <w:tab/>
        <w:t>على أن أبرز تدابير الخطة الاتحادية من الناحية الاستراتيجية هي سياسة تقتضي من الوزارات والوكالات الاتحادية إجراء تحليل على أساس جنساني للسياسات والتشريعات المطروحة مستقبلا. كما يمثل هذا التحليل منهجية رئيسية لإدماج المنظور الجنساني ضمن مسار الأنشطة الرئيسية، ويتم تطويره ليكفل ما ينبغي أن تقصد إليه السياسات الاتحادية والنتائج المتعلقة بالمساواة لكل من المرأة والرجل وسوف تساعد الحكومة الاتحادية على احترام أحكام المساواة التي ينص عليها الميثاق الكندي للحقوق والحريات وكذلك الالتزامات الدولية.</w:t>
      </w:r>
    </w:p>
    <w:p w:rsidR="00000000" w:rsidRDefault="00000000">
      <w:pPr>
        <w:pStyle w:val="SingleTxt"/>
        <w:tabs>
          <w:tab w:val="left" w:pos="1628"/>
        </w:tabs>
        <w:ind w:left="1264" w:right="1264"/>
        <w:rPr>
          <w:rtl/>
        </w:rPr>
      </w:pPr>
      <w:r>
        <w:rPr>
          <w:rtl/>
        </w:rPr>
        <w:t>67 -</w:t>
      </w:r>
      <w:r>
        <w:rPr>
          <w:rtl/>
        </w:rPr>
        <w:tab/>
        <w:t>وما برحت وزارة وضع المرأة تقود هذه العملية التحليلية متعاونة في ذلك مع سائر الحكومات في البلد فضلا عن الوزارات والوكالات الاتحادية في عملية تنفيذه التي خُططت لتستغرق 5 سنوات. كما قامت الوزارة المذكورة بوضع سلسلة من الأدوات والمعينات التي تقصد إلى تعزيز قدراتها على تنفيذ التحليل الجنساني وقامت بتزويد سائر الوزارات والوكالات بهذه الأدوات والمعينات. ويتصدر هذا المجال المنشور المعنون “التحليل الجنساني: دليل لصنع السياسات” الصادر في آذار/مارس 1996 بالإضافة إلى سلسلة من العروض المقدمة إلى الوزارات والوكالات وقد بدأت في خريف عام 1996.</w:t>
      </w:r>
    </w:p>
    <w:p w:rsidR="00000000" w:rsidRDefault="00000000">
      <w:pPr>
        <w:pStyle w:val="SingleTxt"/>
        <w:tabs>
          <w:tab w:val="left" w:pos="1628"/>
        </w:tabs>
        <w:ind w:left="1264" w:right="1264"/>
        <w:rPr>
          <w:rtl/>
        </w:rPr>
      </w:pPr>
      <w:r>
        <w:rPr>
          <w:rtl/>
        </w:rPr>
        <w:t>68 -</w:t>
      </w:r>
      <w:r>
        <w:rPr>
          <w:rtl/>
        </w:rPr>
        <w:tab/>
        <w:t>وبرغم أن تنفيذ التحليل الجنساني في مجال السياسة العامة لا يزال في طور المهد، إلا أن كندا بذلت بعض الجهود الملموسة في هذا الشأن. وثمة أمثلة من الإنجازات الرئيسية التي تم تحقيقها في هذا المجال وهي تشمل:</w:t>
      </w:r>
    </w:p>
    <w:p w:rsidR="00000000" w:rsidRDefault="00000000">
      <w:pPr>
        <w:pStyle w:val="SingleTxt"/>
        <w:tabs>
          <w:tab w:val="left" w:pos="1628"/>
        </w:tabs>
        <w:ind w:left="1927" w:right="1264" w:hanging="663"/>
        <w:rPr>
          <w:rtl/>
        </w:rPr>
      </w:pPr>
      <w:r>
        <w:rPr>
          <w:rtl/>
        </w:rPr>
        <w:tab/>
      </w:r>
      <w:r>
        <w:rPr>
          <w:rtl/>
        </w:rPr>
        <w:tab/>
        <w:t>•</w:t>
      </w:r>
      <w:r>
        <w:rPr>
          <w:rtl/>
        </w:rPr>
        <w:tab/>
        <w:t>وضع الأدوات والمنهجيات اللازمة لتنفيذ التحليل الجنساني بما في ذلك دليل وكتيِّب لصانعي السياسات</w:t>
      </w:r>
    </w:p>
    <w:p w:rsidR="00000000" w:rsidRDefault="00000000">
      <w:pPr>
        <w:pStyle w:val="SingleTxt"/>
        <w:tabs>
          <w:tab w:val="left" w:pos="1628"/>
        </w:tabs>
        <w:ind w:left="1264" w:right="1264"/>
        <w:rPr>
          <w:rtl/>
        </w:rPr>
      </w:pPr>
      <w:r>
        <w:rPr>
          <w:rtl/>
        </w:rPr>
        <w:tab/>
      </w:r>
      <w:r>
        <w:rPr>
          <w:rtl/>
        </w:rPr>
        <w:tab/>
        <w:t>•</w:t>
      </w:r>
      <w:r>
        <w:rPr>
          <w:rtl/>
        </w:rPr>
        <w:tab/>
        <w:t>عقد دورات إعلامية عن التحليل الجنساني للمديرين والموظفين</w:t>
      </w:r>
    </w:p>
    <w:p w:rsidR="00000000" w:rsidRDefault="00000000">
      <w:pPr>
        <w:pStyle w:val="SingleTxt"/>
        <w:tabs>
          <w:tab w:val="left" w:pos="1628"/>
        </w:tabs>
        <w:ind w:left="1927" w:right="1264" w:hanging="663"/>
        <w:rPr>
          <w:rtl/>
        </w:rPr>
      </w:pPr>
      <w:r>
        <w:rPr>
          <w:rtl/>
        </w:rPr>
        <w:tab/>
      </w:r>
      <w:r>
        <w:rPr>
          <w:rtl/>
        </w:rPr>
        <w:tab/>
        <w:t>•</w:t>
      </w:r>
      <w:r>
        <w:rPr>
          <w:rtl/>
        </w:rPr>
        <w:tab/>
        <w:t>التشجيع على الحوار حول التحليل الجنساني من خلال عقد الحلقات النقاشية والموائد المستديرة وحلقات العمل والندوات والمؤتمرات مع مستويات الحكومات والمنظمات النسائية وغيرها من العناصر غير الحكومية الفاعلة.</w:t>
      </w:r>
    </w:p>
    <w:p w:rsidR="00000000" w:rsidRDefault="00000000">
      <w:pPr>
        <w:pStyle w:val="SingleTxt"/>
        <w:tabs>
          <w:tab w:val="left" w:pos="1628"/>
        </w:tabs>
        <w:ind w:left="1927" w:right="1264" w:hanging="663"/>
        <w:rPr>
          <w:rtl/>
        </w:rPr>
      </w:pPr>
      <w:r>
        <w:rPr>
          <w:rtl/>
        </w:rPr>
        <w:tab/>
      </w:r>
      <w:r>
        <w:rPr>
          <w:rtl/>
        </w:rPr>
        <w:tab/>
        <w:t>•</w:t>
      </w:r>
      <w:r>
        <w:rPr>
          <w:rtl/>
        </w:rPr>
        <w:tab/>
        <w:t>المساهمة في وضع الإحصاءات والمؤشرات لدعم التحليل الجنساني، ومن ذلك مثلا “مؤشرات المساواة الاقتصادية بين الجنسين، إعداد بيانات تتعلق بالمرأة: دليل للمصادر الرئيسية في هيئة كندا للإحصاءات ودليل للمؤشرات المراعية لنوع الجنس” ويلحق بهذا كتيِّب خاص.</w:t>
      </w:r>
    </w:p>
    <w:p w:rsidR="00000000" w:rsidRDefault="00000000">
      <w:pPr>
        <w:pStyle w:val="SingleTxt"/>
        <w:tabs>
          <w:tab w:val="left" w:pos="1628"/>
        </w:tabs>
        <w:ind w:left="1927" w:right="1264" w:hanging="663"/>
        <w:rPr>
          <w:rtl/>
        </w:rPr>
      </w:pPr>
      <w:r>
        <w:rPr>
          <w:rtl/>
        </w:rPr>
        <w:tab/>
      </w:r>
      <w:r>
        <w:rPr>
          <w:rtl/>
        </w:rPr>
        <w:tab/>
        <w:t>•</w:t>
      </w:r>
      <w:r>
        <w:rPr>
          <w:rtl/>
        </w:rPr>
        <w:tab/>
        <w:t>تطوير البحوث على أساس جنساني في حكومة كندا ومع النظراء في الحكومات الأخرى والمنظمات الدولية.</w:t>
      </w:r>
    </w:p>
    <w:p w:rsidR="00000000" w:rsidRDefault="00000000">
      <w:pPr>
        <w:pStyle w:val="SingleTxt"/>
        <w:tabs>
          <w:tab w:val="left" w:pos="1628"/>
        </w:tabs>
        <w:ind w:left="1264" w:right="1264"/>
        <w:rPr>
          <w:rtl/>
        </w:rPr>
      </w:pPr>
      <w:r>
        <w:rPr>
          <w:rtl/>
        </w:rPr>
        <w:t>69 -</w:t>
      </w:r>
      <w:r>
        <w:rPr>
          <w:rtl/>
        </w:rPr>
        <w:tab/>
        <w:t>وقد قامت عدة وزارات ووكالات ضمن الحكومة الاتحادية بأنشطة محددة لدعم تحليل السياسات والبرامج على أساس جنساني كل ضمن ولايتها. وهذا يشمل إنتاج مواد التدريب المُهيأة خصيصا للغرض المطلوب لكي تُلبي الاحتياجات الخاصة بكل جهة. ومن أمثلة ذلك ما يلي:</w:t>
      </w:r>
    </w:p>
    <w:p w:rsidR="00000000" w:rsidRDefault="00000000">
      <w:pPr>
        <w:pStyle w:val="SingleTxt"/>
        <w:tabs>
          <w:tab w:val="left" w:pos="1628"/>
        </w:tabs>
        <w:ind w:left="1264" w:right="1264"/>
        <w:rPr>
          <w:rtl/>
        </w:rPr>
      </w:pPr>
      <w:r>
        <w:rPr>
          <w:rtl/>
        </w:rPr>
        <w:t>70 -</w:t>
      </w:r>
      <w:r>
        <w:rPr>
          <w:rtl/>
        </w:rPr>
        <w:tab/>
        <w:t>في عام 1996، أنشأت وزارة العدل مبادرة المساواة بين الجنسين على ثلاث سنوات وتولى رئاستها المستشار الأقدم المعني بالمساواة الجنسانية مزودا بسلطة تنفيذ تحليل المساواة الجنساني في جميع أنشطة الوزارات. وفي العام التالي، اعتمدت الوزارة سياسة التحليل للمساواة الجنسانية. وتلى ذلك وضع ونشر تقرير بعنوان “التنوع والعدالة: منظورات جنسانية، دليل لتحليل المساواة الجنسانية”. وأنشأت الوزارة أيضا شبكة داخلية للاختصاصيين في موضوع المساواة بين الجنسين في كل قطاع لكي يعملوا بوصفهم مصادر مرجعية لزملائهم في وضع السياسات والمراجع والتشريعات والفتاوى القانونية والبحوث. وأخيرا ففي عام 1998 بدأت وزارة العدل توفير سُبل التدريب على تحليل المساواة الجنسانية للقانونيين على مستوى الوزارة ككل بما في ذلك المكاتب الإقليمية في طول البلاد وعرضها.</w:t>
      </w:r>
    </w:p>
    <w:p w:rsidR="00000000" w:rsidRDefault="00000000">
      <w:pPr>
        <w:pStyle w:val="SingleTxt"/>
        <w:tabs>
          <w:tab w:val="left" w:pos="1628"/>
        </w:tabs>
        <w:ind w:left="1264" w:right="1264"/>
        <w:rPr>
          <w:rtl/>
        </w:rPr>
      </w:pPr>
      <w:r>
        <w:rPr>
          <w:rtl/>
        </w:rPr>
        <w:t>71 -</w:t>
      </w:r>
      <w:r>
        <w:rPr>
          <w:rtl/>
        </w:rPr>
        <w:tab/>
        <w:t>كما وَضَعت وزارة تنمية الموارد البشرية لكندا منشورا بعنوان معلومات أساسية ودليل للتحليل الجنساني، وهو مهيأ ليلبي احتياجات وأنشطة الوزارة المذكورة. وصدر عن نائب الوزير أيضا مذكرة للمديرين تُشجع على استخدام التحليل الجنساني المذكور أعلاه كجزء من عمليات وضع السياسات الفعَّالة وإعداد البرامج على صعيد الوزارة.</w:t>
      </w:r>
    </w:p>
    <w:p w:rsidR="00000000" w:rsidRDefault="00000000">
      <w:pPr>
        <w:pStyle w:val="SingleTxt"/>
        <w:tabs>
          <w:tab w:val="left" w:pos="1628"/>
        </w:tabs>
        <w:ind w:left="1264" w:right="1264"/>
        <w:rPr>
          <w:rtl/>
        </w:rPr>
      </w:pPr>
      <w:r>
        <w:rPr>
          <w:rtl/>
        </w:rPr>
        <w:t>72 -</w:t>
      </w:r>
      <w:r>
        <w:rPr>
          <w:rtl/>
        </w:rPr>
        <w:tab/>
        <w:t>وتشمل استراتيجية صحة المرأة في وزارة الصحة الكندية التزاما بتنفيذ تحليل جنساني للبحوث والسياسات والبرامج التي تتولى الوزارة أمرها. ويجري وضع الأدوات والطرائق ومواد التدريب الملائمة للقطاع الصحي بما من شأنه المساعدة على تنفيذ التقييمات ذات الأثر الجنساني. كما تُعقد حلقات عمل وتُنشأ شبكات لصحة المرأة في مختلف فروع الوزارة. كذلك يستخدم مكتب صحة المرأة إطار الكمنولث لوضع نظام لإدارة الشؤون الجنسانية في القطاع الصحي. وبالإضافة إلى ذلك، فباعتبار المكتب المذكور رئيسا للفريق العامل التابع للكمنولث والمعني بالمساواة الجنسانية والمؤشرات الصحية، فقد بدأ المكتب العمل من أجل وضع إطار نظري لنظام متعلق بمؤشرات المساواة بين الجنسين والمؤشرات الصحية.</w:t>
      </w:r>
    </w:p>
    <w:p w:rsidR="00000000" w:rsidRDefault="00000000">
      <w:pPr>
        <w:pStyle w:val="SingleTxt"/>
        <w:tabs>
          <w:tab w:val="left" w:pos="1628"/>
        </w:tabs>
        <w:ind w:left="1264" w:right="1264"/>
        <w:rPr>
          <w:rtl/>
        </w:rPr>
      </w:pPr>
      <w:r>
        <w:rPr>
          <w:rtl/>
        </w:rPr>
        <w:t>73 -</w:t>
      </w:r>
      <w:r>
        <w:rPr>
          <w:rtl/>
        </w:rPr>
        <w:tab/>
        <w:t>وتتولى شعبة مساواة الجنسين، ضمن إطار الوكالة الكندية للتنمية الدولية، مسؤولية تدقيق سياسة الوكالة وممارساتها الإيجابية في مجال مساواة الجنسين وتشمل أنشطة الشعبة ما يلي:</w:t>
      </w:r>
    </w:p>
    <w:p w:rsidR="00000000" w:rsidRDefault="00000000">
      <w:pPr>
        <w:pStyle w:val="SingleTxt"/>
        <w:tabs>
          <w:tab w:val="left" w:pos="1628"/>
        </w:tabs>
        <w:ind w:left="1927" w:right="1264" w:hanging="663"/>
        <w:rPr>
          <w:rtl/>
        </w:rPr>
      </w:pPr>
      <w:r>
        <w:rPr>
          <w:rtl/>
        </w:rPr>
        <w:tab/>
      </w:r>
      <w:r>
        <w:rPr>
          <w:rtl/>
        </w:rPr>
        <w:tab/>
        <w:t>•</w:t>
      </w:r>
      <w:r>
        <w:rPr>
          <w:rtl/>
        </w:rPr>
        <w:tab/>
        <w:t>وضع الآليات الكفيلة بإدماج المنظورات الجنسانية ضمن الأنشطة الرئيسية للوكالة فيما يتعلق بنظم الإدارة والتخطيط وتقييم الأداء.</w:t>
      </w:r>
    </w:p>
    <w:p w:rsidR="00000000" w:rsidRDefault="00000000">
      <w:pPr>
        <w:pStyle w:val="SingleTxt"/>
        <w:tabs>
          <w:tab w:val="left" w:pos="1628"/>
        </w:tabs>
        <w:ind w:left="1927" w:right="1264" w:hanging="663"/>
        <w:rPr>
          <w:rtl/>
        </w:rPr>
      </w:pPr>
      <w:r>
        <w:rPr>
          <w:rtl/>
        </w:rPr>
        <w:tab/>
      </w:r>
      <w:r>
        <w:rPr>
          <w:rtl/>
        </w:rPr>
        <w:tab/>
        <w:t>•</w:t>
      </w:r>
      <w:r>
        <w:rPr>
          <w:rtl/>
        </w:rPr>
        <w:tab/>
        <w:t>تقديم مساهمات إلى قاعدة معلومات الوكالة عن مساواة الجنسين</w:t>
      </w:r>
    </w:p>
    <w:p w:rsidR="00000000" w:rsidRDefault="00000000">
      <w:pPr>
        <w:pStyle w:val="SingleTxt"/>
        <w:tabs>
          <w:tab w:val="left" w:pos="1628"/>
        </w:tabs>
        <w:ind w:left="1927" w:right="1264" w:hanging="663"/>
        <w:rPr>
          <w:rtl/>
        </w:rPr>
      </w:pPr>
      <w:r>
        <w:rPr>
          <w:rtl/>
        </w:rPr>
        <w:tab/>
      </w:r>
      <w:r>
        <w:rPr>
          <w:rtl/>
        </w:rPr>
        <w:tab/>
        <w:t>•</w:t>
      </w:r>
      <w:r>
        <w:rPr>
          <w:rtl/>
        </w:rPr>
        <w:tab/>
        <w:t>المشاركة في المؤتمرات ومناسبات الحوار الدولي حول السياسات فيما يتعلق بمساواة الجنسين</w:t>
      </w:r>
    </w:p>
    <w:p w:rsidR="00000000" w:rsidRDefault="00000000">
      <w:pPr>
        <w:pStyle w:val="SingleTxt"/>
        <w:tabs>
          <w:tab w:val="left" w:pos="1628"/>
        </w:tabs>
        <w:ind w:left="1927" w:right="1264" w:hanging="663"/>
        <w:rPr>
          <w:rtl/>
        </w:rPr>
      </w:pPr>
      <w:r>
        <w:rPr>
          <w:rtl/>
        </w:rPr>
        <w:tab/>
      </w:r>
      <w:r>
        <w:rPr>
          <w:rtl/>
        </w:rPr>
        <w:tab/>
        <w:t>•</w:t>
      </w:r>
      <w:r>
        <w:rPr>
          <w:rtl/>
        </w:rPr>
        <w:tab/>
        <w:t>إدارة شؤون المعلومات المتعلقة بقضايا مساواة الجنسين ولا سيما الدروس المستفادة من تنفيذ سياسات مساواة الجنسين في البلدان النامية</w:t>
      </w:r>
    </w:p>
    <w:p w:rsidR="00000000" w:rsidRDefault="00000000">
      <w:pPr>
        <w:pStyle w:val="SingleTxt"/>
        <w:tabs>
          <w:tab w:val="left" w:pos="1628"/>
        </w:tabs>
        <w:ind w:left="1264" w:right="1264"/>
        <w:rPr>
          <w:rtl/>
        </w:rPr>
      </w:pPr>
      <w:r>
        <w:rPr>
          <w:rtl/>
        </w:rPr>
        <w:t>74 -</w:t>
      </w:r>
      <w:r>
        <w:rPr>
          <w:rtl/>
        </w:rPr>
        <w:tab/>
        <w:t>ومن المقرر إدماج نتائج التحليل الجنساني ومساواة الجنسين في جميع المبادرات التعاونية الدولية التي تتولى أمرها الوكالة الكندية للتنمية الدولية برغم أن التطبيق سوف يتباين على صعيد الفروع والبرامج والمشاريع.</w:t>
      </w:r>
    </w:p>
    <w:p w:rsidR="00000000" w:rsidRDefault="00000000">
      <w:pPr>
        <w:pStyle w:val="SingleTxt"/>
        <w:tabs>
          <w:tab w:val="left" w:pos="1628"/>
        </w:tabs>
        <w:ind w:left="1264" w:right="1264"/>
        <w:rPr>
          <w:rtl/>
        </w:rPr>
      </w:pPr>
      <w:r>
        <w:rPr>
          <w:rtl/>
        </w:rPr>
        <w:t>75 -</w:t>
      </w:r>
      <w:r>
        <w:rPr>
          <w:rtl/>
        </w:rPr>
        <w:tab/>
        <w:t xml:space="preserve">وقد شددت الوكالة الكندية للتنمية الدولية على أهمية إدماج الاعتبارات الجنسانية في جميع سياساتها وبرامجها ومشاريعها. فسياستها بشأن تخفيف حدة الفقر وبشأن الاستراتيجية الصحية (وقد صدرت في كلا المجالين عام 1996) وسياستها في عام 1997 </w:t>
      </w:r>
      <w:r>
        <w:rPr>
          <w:w w:val="98"/>
          <w:rtl/>
        </w:rPr>
        <w:t>بشأن الاحتياجات البشرية الأساسية، تدرك جميعا مدى الحاجة لمعالجة أمر مساواة الجنسين. وعلى صعيد البرامج والمشاريع، وُضِعت مبادئ توجيهية لتعزيز التطبيق المنهجي للتحليل الجنساني إضافة إلى دليل عن المؤشرات المراعية لنوع الجنــس وقـــد تم توزيعـــها على نط</w:t>
      </w:r>
      <w:r>
        <w:rPr>
          <w:rtl/>
        </w:rPr>
        <w:t>اق واسع. وفي عام 1998 بدأت الوكالة سلسلة من المشاورات المستفيضة بما في ذلك مشاورة بالحاسوب مع الشركاء في كندا وفي جميع أنحاء العالم لتنقيح سياستها بشأن مساواة الجنسين. وعلى أساس هذه المشاورات وُضعت سياسة مستكملة اتبعت نهجا متماسكا من ناحية إدماج الاعتبارات الجنسية ومن ناحية الحقوق والواجبات من أجل أن تخدم بشكل أفضل صانعي السياسات والعاملين في الميدان.</w:t>
      </w:r>
    </w:p>
    <w:p w:rsidR="00000000" w:rsidRDefault="00000000">
      <w:pPr>
        <w:pStyle w:val="SingleTxt"/>
        <w:tabs>
          <w:tab w:val="left" w:pos="1628"/>
        </w:tabs>
        <w:ind w:left="1264" w:right="1264"/>
        <w:rPr>
          <w:rtl/>
        </w:rPr>
      </w:pPr>
      <w:r>
        <w:rPr>
          <w:rtl/>
        </w:rPr>
        <w:t>76 -</w:t>
      </w:r>
      <w:r>
        <w:rPr>
          <w:rtl/>
        </w:rPr>
        <w:tab/>
        <w:t>ويعمل المنسِّق الوزاري المعني بشؤون المساواة الدولية للمرأة ضمن إطار شعبة حقوق الإنسان والشؤون الإنسانية والمساواة الدولية للمرأة بوزارة الخارجية والتجارة الدولية. وهذا المنسِّق يترأس قسم المساواة الدولية للمرأة الذي يعد بمثابة مركز التنسيق المعني بنوع الجنس ضمن الوزارة لتعزيز المساواة الجنسانية وحقوق الإنسان للمرأة بما في ذلك دمج المنظورات الجنسانية في عمليات صنع وتنفيذ السياسة الخارجية.</w:t>
      </w:r>
    </w:p>
    <w:p w:rsidR="00000000" w:rsidRDefault="00000000">
      <w:pPr>
        <w:pStyle w:val="SingleTxt"/>
        <w:tabs>
          <w:tab w:val="left" w:pos="1628"/>
        </w:tabs>
        <w:ind w:left="1264" w:right="1264"/>
        <w:rPr>
          <w:rtl/>
        </w:rPr>
      </w:pPr>
      <w:r>
        <w:rPr>
          <w:rtl/>
        </w:rPr>
        <w:t>77 -</w:t>
      </w:r>
      <w:r>
        <w:rPr>
          <w:rtl/>
        </w:rPr>
        <w:tab/>
        <w:t>وقد قامت وزارة الشؤون الهندية والتنمية الشمالية بوضع سياساتها بشأن تحليل المساواة الجنسانية، وتقتضي استخدام التحليل المذكور في العمليات التشريعية وعمليات وضع السياسات والبرامج مع ضرورة دمجه ضمن جميع أعمال الوزارة بما في ذلك:</w:t>
      </w:r>
    </w:p>
    <w:p w:rsidR="00000000" w:rsidRDefault="00000000">
      <w:pPr>
        <w:pStyle w:val="SingleTxt"/>
        <w:tabs>
          <w:tab w:val="left" w:pos="1628"/>
        </w:tabs>
        <w:ind w:left="1927" w:right="1264" w:hanging="663"/>
        <w:rPr>
          <w:rtl/>
        </w:rPr>
      </w:pPr>
      <w:r>
        <w:rPr>
          <w:rtl/>
        </w:rPr>
        <w:tab/>
      </w:r>
      <w:r>
        <w:rPr>
          <w:rtl/>
        </w:rPr>
        <w:tab/>
        <w:t>•</w:t>
      </w:r>
      <w:r>
        <w:rPr>
          <w:rtl/>
        </w:rPr>
        <w:tab/>
        <w:t>وضع وتنفيذ السياسات والبرامج وخطط الاتصالات واللوائح والتشريعات والمشاورات والمفاوضات (بحيث يشمل دون أن يقتصر على اتفاقات الحكم الذاتي والمطالبات وحقوق الأراضي التعاهدية والإطار الضريبي والأيلولة)</w:t>
      </w:r>
    </w:p>
    <w:p w:rsidR="00000000" w:rsidRDefault="00000000">
      <w:pPr>
        <w:pStyle w:val="SingleTxt"/>
        <w:tabs>
          <w:tab w:val="left" w:pos="1628"/>
        </w:tabs>
        <w:ind w:left="1927" w:right="1264" w:hanging="663"/>
        <w:rPr>
          <w:rtl/>
        </w:rPr>
      </w:pPr>
      <w:r>
        <w:rPr>
          <w:rtl/>
        </w:rPr>
        <w:tab/>
      </w:r>
      <w:r>
        <w:rPr>
          <w:rtl/>
        </w:rPr>
        <w:tab/>
        <w:t>•</w:t>
      </w:r>
      <w:r>
        <w:rPr>
          <w:rtl/>
        </w:rPr>
        <w:tab/>
        <w:t>التعليمات والاستراتيجيات المتعلقة بالبحوث والتعاقدات وقرارات وإجراءات التقاضي في المنازعات (هذه السياسة وُضعت بالتشاور مع اللجنة الاستشارية للوزارة المعنية بالمساواة الجنسانية ومع الوزارات الحكومية الأخرى. وتم أيضا وضع الدليل لتحليل المساواة الجنسانية الذي يشرح أسلوب تطبيق التحليل المذكور في الأعمال اليومية على أن يجري توزيعه ضمن إطار الوزارة)</w:t>
      </w:r>
    </w:p>
    <w:p w:rsidR="00000000" w:rsidRDefault="00000000">
      <w:pPr>
        <w:pStyle w:val="SingleTxt"/>
        <w:tabs>
          <w:tab w:val="left" w:pos="1628"/>
        </w:tabs>
        <w:ind w:left="1927" w:right="1264" w:hanging="663"/>
        <w:rPr>
          <w:rtl/>
        </w:rPr>
      </w:pPr>
      <w:r>
        <w:rPr>
          <w:b/>
          <w:bCs/>
          <w:rtl/>
        </w:rPr>
        <w:t>بحوث السياسات ذات الأساس الجنساني</w:t>
      </w:r>
    </w:p>
    <w:p w:rsidR="00000000" w:rsidRDefault="00000000">
      <w:pPr>
        <w:pStyle w:val="SingleTxt"/>
        <w:tabs>
          <w:tab w:val="left" w:pos="1628"/>
        </w:tabs>
        <w:ind w:left="1264" w:right="1264"/>
        <w:rPr>
          <w:rtl/>
        </w:rPr>
      </w:pPr>
      <w:r>
        <w:rPr>
          <w:rtl/>
        </w:rPr>
        <w:t>78 -</w:t>
      </w:r>
      <w:r>
        <w:rPr>
          <w:rtl/>
        </w:rPr>
        <w:tab/>
        <w:t xml:space="preserve">تم كذلك تطوير مبادرات جديدة ومهمة في مجال البحوث ذات الأساس الجنساني لدعم التحليل المستند إلى نوع الجنس. وعلى سبيل المثال أنشأت وزارة وضع المرأة في كندا الصندوق التابع لها المتعلق ببحوث السياسات في ضوء مُدخلات ناجمة عن المشاورات المستفيضة التي تمت على المستوى الوطني وعُقدت بين آذار/مارس وأيار/مايو 1996. وقد تمثل الغرض الأساسي من الصندوق في دعم التفكير التطلعي وبحوث السياسات المستقلة والمهمة من الناحية الوطنية والمتعلقة بقضايا المساواة بين الجنسين. ويدعم صندوق بحوث السياسات إجراء البحث العلمي الذي يحدد ثغرات السياسة والاتجاهات والمسائل الناشئة ويقدِّم توصيات عملية وحلولا بديلة للسياسات والبرامج التي تؤثِّر على المرأة. وثمة لجنة خارجية غير حكومية صغيرة يعينها الناخبون وتؤدي دورا رئيسيا في تحديد الأولويات ومواضيع البحوث واختيار مقترحات البحث التي يتم تمويلها، كما تمارس إجراءات رقابة الجودة على منتجات البحوث النهائية. أما مواضيع بحوث السياسات التي تم التطرق إليها حتى الآن فتشمل حصول المرأة على سبيل الانتصاف، وعمل المرأة المأجور وغير المأجور وتعرُّض المرأة لطائلة الفقر ودمج التنوع النسائي في البحوث والتنمية والتحليل المتعلق بالسياسات. وما أن يتم البحث، حتى يتاح مجانا للجمهور كما أنه متاح على موقع الوزارة المذكورة على الشبكة العالمية </w:t>
      </w:r>
      <w:hyperlink r:id="rId14" w:history="1">
        <w:r>
          <w:rPr>
            <w:rStyle w:val="Hyperlink"/>
          </w:rPr>
          <w:t>http://www.swc-cfc.gc.ca</w:t>
        </w:r>
      </w:hyperlink>
      <w:r>
        <w:rPr>
          <w:rtl/>
        </w:rPr>
        <w:t>.</w:t>
      </w:r>
    </w:p>
    <w:p w:rsidR="00000000" w:rsidRDefault="00000000">
      <w:pPr>
        <w:pStyle w:val="SingleTxt"/>
        <w:tabs>
          <w:tab w:val="left" w:pos="1628"/>
        </w:tabs>
        <w:ind w:left="1264" w:right="1264"/>
        <w:rPr>
          <w:rtl/>
        </w:rPr>
      </w:pPr>
      <w:r>
        <w:rPr>
          <w:rtl/>
        </w:rPr>
        <w:t>79 -</w:t>
      </w:r>
      <w:r>
        <w:rPr>
          <w:rtl/>
        </w:rPr>
        <w:tab/>
        <w:t>وثمة أمثلة أخرى عن مبادرات البحوث تمت ضمن إطار الحكومة الاتحادية وتشمل منظورا جنسانيا وتتمثل في مبادرة العواصم ومبادرة بحوث السياسات.</w:t>
      </w:r>
    </w:p>
    <w:p w:rsidR="00000000" w:rsidRDefault="00000000">
      <w:pPr>
        <w:pStyle w:val="SingleTxt"/>
        <w:tabs>
          <w:tab w:val="left" w:pos="1628"/>
        </w:tabs>
        <w:ind w:left="1264" w:right="1264"/>
        <w:rPr>
          <w:rtl/>
        </w:rPr>
      </w:pPr>
      <w:r>
        <w:rPr>
          <w:rtl/>
        </w:rPr>
        <w:t>80 -</w:t>
      </w:r>
      <w:r>
        <w:rPr>
          <w:rtl/>
        </w:rPr>
        <w:tab/>
        <w:t>وتقوم هيئة جامعة للوزارات والوكالات الاتحادية بتقديم التمويل الأساسي لمبادرة العواصم التي تتدارس عملية إدماج المهاجرين وآثار الهجرة الدولية على المراكز الحضرية. ومن المقرر دمج منظور جنساني في جميع البحوث مع تطبيقه على عملية وضع السياسات.</w:t>
      </w:r>
    </w:p>
    <w:p w:rsidR="00000000" w:rsidRDefault="00000000">
      <w:pPr>
        <w:pStyle w:val="SingleTxt"/>
        <w:tabs>
          <w:tab w:val="left" w:pos="1628"/>
        </w:tabs>
        <w:ind w:left="1264" w:right="1264"/>
        <w:rPr>
          <w:rtl/>
        </w:rPr>
      </w:pPr>
      <w:r>
        <w:rPr>
          <w:rtl/>
        </w:rPr>
        <w:t>81 -</w:t>
      </w:r>
      <w:r>
        <w:rPr>
          <w:rtl/>
        </w:rPr>
        <w:tab/>
        <w:t>ويهدف التكليف بمبادرة بحوث السياسات الذي انطلق في تموز/يوليه 1996 إلى بناء ركيزة متينة من البحوث الأفقية التي يمكن على أساسها وضع قرارات السياسة العامة. وتجمع هذه المبادرة بين 30 وزارة ووكالة تحادية بما فيها وزارة وضع المرأة التي تضطلع بدور ناشط في ضمان إدراج منظور جنساني ضمن مسار جميع الأنشطة البحثية.</w:t>
      </w:r>
    </w:p>
    <w:p w:rsidR="00000000" w:rsidRDefault="00000000">
      <w:pPr>
        <w:pStyle w:val="SingleTxt"/>
        <w:tabs>
          <w:tab w:val="left" w:pos="1628"/>
        </w:tabs>
        <w:ind w:left="1264" w:right="1264"/>
        <w:rPr>
          <w:szCs w:val="32"/>
          <w:rtl/>
        </w:rPr>
      </w:pPr>
      <w:r>
        <w:rPr>
          <w:b/>
          <w:bCs/>
          <w:szCs w:val="32"/>
          <w:rtl/>
        </w:rPr>
        <w:t>المادة 2 (و): التغيُّرات التشريعية</w:t>
      </w:r>
    </w:p>
    <w:p w:rsidR="00000000" w:rsidRDefault="00000000">
      <w:pPr>
        <w:pStyle w:val="SingleTxt"/>
        <w:tabs>
          <w:tab w:val="left" w:pos="1628"/>
        </w:tabs>
        <w:ind w:left="1264" w:right="1264"/>
        <w:rPr>
          <w:rtl/>
        </w:rPr>
      </w:pPr>
      <w:r>
        <w:rPr>
          <w:rtl/>
        </w:rPr>
        <w:t>82 -</w:t>
      </w:r>
      <w:r>
        <w:rPr>
          <w:rtl/>
        </w:rPr>
        <w:tab/>
        <w:t>في عام 1996 تم تعديل القانون الكندي لحقوق الإنسان ليشمل التوجُّه الجنسي بوصفه أحد الأسس المحظورة للتمييز.</w:t>
      </w:r>
    </w:p>
    <w:p w:rsidR="00000000" w:rsidRDefault="00000000">
      <w:pPr>
        <w:pStyle w:val="SingleTxt"/>
        <w:tabs>
          <w:tab w:val="left" w:pos="1628"/>
        </w:tabs>
        <w:ind w:left="1264" w:right="1264"/>
        <w:rPr>
          <w:rtl/>
        </w:rPr>
      </w:pPr>
      <w:r>
        <w:rPr>
          <w:rtl/>
        </w:rPr>
        <w:t>83 -</w:t>
      </w:r>
      <w:r>
        <w:rPr>
          <w:rtl/>
        </w:rPr>
        <w:tab/>
        <w:t>وفي عام 1998 أصدرت حكومة كندا التعديلات التي تكفل تعزيز الأحكام الحمائية الشاملة للقانون الكندي لحقوق الإنسان. وهذه التعديلات شملت إضافة واجب عاجل يتحمله أرباب العمل ومقدمو الخدمات من أجل تلبية احتياجات الأشخاص المحميين بموجب القانون (إلى درجة المشقة التي يصعب تحملها) فضلا عن إنشاء محكمة دائمة لحقوق الإنسان وإضفاء تحسينات على أوجه الانتصاف التي يكفلها القانون.</w:t>
      </w:r>
    </w:p>
    <w:p w:rsidR="00000000" w:rsidRDefault="00000000">
      <w:pPr>
        <w:pStyle w:val="SingleTxt"/>
        <w:tabs>
          <w:tab w:val="left" w:pos="1628"/>
        </w:tabs>
        <w:ind w:left="1264" w:right="1264"/>
        <w:rPr>
          <w:szCs w:val="32"/>
          <w:rtl/>
        </w:rPr>
      </w:pPr>
      <w:r>
        <w:rPr>
          <w:b/>
          <w:bCs/>
          <w:szCs w:val="32"/>
          <w:rtl/>
        </w:rPr>
        <w:t>المادة 2 (ز): الأحكام الجزائية</w:t>
      </w:r>
    </w:p>
    <w:p w:rsidR="00000000" w:rsidRDefault="00000000">
      <w:pPr>
        <w:pStyle w:val="SingleTxt"/>
        <w:tabs>
          <w:tab w:val="left" w:pos="1628"/>
        </w:tabs>
        <w:ind w:left="1264" w:right="1264"/>
        <w:rPr>
          <w:rtl/>
        </w:rPr>
      </w:pPr>
      <w:r>
        <w:rPr>
          <w:rtl/>
        </w:rPr>
        <w:t>84 -</w:t>
      </w:r>
      <w:r>
        <w:rPr>
          <w:rtl/>
        </w:rPr>
        <w:tab/>
        <w:t>اتخذت إجراءات بين عامي 1994 و 1998 لتفعيل البندين 81 و 84 من قانون الإصلاحيات والإفراج المشروط (الصادر عام 1992) وهذان الحكمان نصهما كالتالي:</w:t>
      </w:r>
    </w:p>
    <w:p w:rsidR="00000000" w:rsidRDefault="00000000">
      <w:pPr>
        <w:pStyle w:val="SingleTxt"/>
        <w:tabs>
          <w:tab w:val="left" w:pos="2904"/>
        </w:tabs>
        <w:ind w:left="1264" w:right="1264"/>
        <w:rPr>
          <w:rtl/>
        </w:rPr>
      </w:pPr>
      <w:r>
        <w:rPr>
          <w:rtl/>
        </w:rPr>
        <w:tab/>
      </w:r>
      <w:r>
        <w:rPr>
          <w:rtl/>
        </w:rPr>
        <w:tab/>
        <w:t>البـند 81</w:t>
      </w:r>
      <w:r>
        <w:rPr>
          <w:rtl/>
        </w:rPr>
        <w:tab/>
        <w:t xml:space="preserve">“للوزيــــر، أو لأي شخص مُخــوَّل من جانب الوزير، أن يدخل في </w:t>
      </w:r>
      <w:r>
        <w:rPr>
          <w:rtl/>
        </w:rPr>
        <w:tab/>
      </w:r>
      <w:r>
        <w:rPr>
          <w:rtl/>
        </w:rPr>
        <w:tab/>
      </w:r>
      <w:r>
        <w:rPr>
          <w:rtl/>
        </w:rPr>
        <w:tab/>
      </w:r>
      <w:r>
        <w:rPr>
          <w:rtl/>
        </w:rPr>
        <w:tab/>
      </w:r>
      <w:r>
        <w:rPr>
          <w:rtl/>
        </w:rPr>
        <w:tab/>
        <w:t xml:space="preserve">اتفاق مع مجتمع للسكان الأصليــين من أجل توفير الخدمات </w:t>
      </w:r>
      <w:r>
        <w:rPr>
          <w:rtl/>
        </w:rPr>
        <w:tab/>
      </w:r>
      <w:r>
        <w:rPr>
          <w:rtl/>
        </w:rPr>
        <w:tab/>
      </w:r>
      <w:r>
        <w:rPr>
          <w:rtl/>
        </w:rPr>
        <w:tab/>
      </w:r>
      <w:r>
        <w:rPr>
          <w:rtl/>
        </w:rPr>
        <w:tab/>
      </w:r>
      <w:r>
        <w:rPr>
          <w:rtl/>
        </w:rPr>
        <w:tab/>
        <w:t xml:space="preserve">الإصلاحيةللمجرمين من السكان الأصليين مع توفير المدفوعات من </w:t>
      </w:r>
      <w:r>
        <w:rPr>
          <w:rtl/>
        </w:rPr>
        <w:tab/>
      </w:r>
      <w:r>
        <w:rPr>
          <w:rtl/>
        </w:rPr>
        <w:tab/>
      </w:r>
      <w:r>
        <w:rPr>
          <w:rtl/>
        </w:rPr>
        <w:tab/>
      </w:r>
      <w:r>
        <w:rPr>
          <w:rtl/>
        </w:rPr>
        <w:tab/>
      </w:r>
      <w:r>
        <w:rPr>
          <w:rtl/>
        </w:rPr>
        <w:tab/>
        <w:t>جانب الوزير أو من يخوِّله فيما يتعلق بتقديم هذه الخدمات.</w:t>
      </w:r>
    </w:p>
    <w:p w:rsidR="00000000" w:rsidRDefault="00000000">
      <w:pPr>
        <w:pStyle w:val="SingleTxt"/>
        <w:tabs>
          <w:tab w:val="left" w:pos="2904"/>
        </w:tabs>
        <w:ind w:left="1264" w:right="1264"/>
        <w:rPr>
          <w:rtl/>
        </w:rPr>
      </w:pPr>
      <w:r>
        <w:rPr>
          <w:rtl/>
        </w:rPr>
        <w:tab/>
      </w:r>
      <w:r>
        <w:rPr>
          <w:rtl/>
        </w:rPr>
        <w:tab/>
        <w:t>البند 84</w:t>
      </w:r>
      <w:r>
        <w:rPr>
          <w:rtl/>
        </w:rPr>
        <w:tab/>
        <w:t xml:space="preserve">“عندما يتقدم نزيل بطلب للعفو ويكون قد أعرب عن اهتمام بأن </w:t>
      </w:r>
      <w:r>
        <w:rPr>
          <w:rtl/>
        </w:rPr>
        <w:tab/>
      </w:r>
      <w:r>
        <w:rPr>
          <w:rtl/>
        </w:rPr>
        <w:tab/>
      </w:r>
      <w:r>
        <w:rPr>
          <w:rtl/>
        </w:rPr>
        <w:tab/>
      </w:r>
      <w:r>
        <w:rPr>
          <w:rtl/>
        </w:rPr>
        <w:tab/>
        <w:t xml:space="preserve">يُفرَج عنه إلى مجتمع للسكان الأصليين، تقوم الدائرة، في حال موافقة </w:t>
      </w:r>
      <w:r>
        <w:rPr>
          <w:rtl/>
        </w:rPr>
        <w:tab/>
      </w:r>
      <w:r>
        <w:rPr>
          <w:rtl/>
        </w:rPr>
        <w:tab/>
      </w:r>
      <w:r>
        <w:rPr>
          <w:rtl/>
        </w:rPr>
        <w:tab/>
      </w:r>
      <w:r>
        <w:rPr>
          <w:rtl/>
        </w:rPr>
        <w:tab/>
        <w:t>النزيل، بتزويد مجتمع السكان الأصليين بما يلي:</w:t>
      </w:r>
    </w:p>
    <w:p w:rsidR="00000000" w:rsidRDefault="00000000">
      <w:pPr>
        <w:pStyle w:val="SingleTxt"/>
        <w:tabs>
          <w:tab w:val="left" w:pos="2904"/>
        </w:tabs>
        <w:ind w:left="1264" w:right="1264"/>
        <w:rPr>
          <w:rtl/>
        </w:rPr>
      </w:pPr>
      <w:r>
        <w:rPr>
          <w:rtl/>
        </w:rPr>
        <w:tab/>
      </w:r>
      <w:r>
        <w:rPr>
          <w:rtl/>
        </w:rPr>
        <w:tab/>
        <w:t>“(أ)</w:t>
      </w:r>
      <w:r>
        <w:rPr>
          <w:rtl/>
        </w:rPr>
        <w:tab/>
        <w:t>اخطار كاف عن طلب النزيل الحصول على إفراج مشروط” و</w:t>
      </w:r>
    </w:p>
    <w:p w:rsidR="00000000" w:rsidRDefault="00000000">
      <w:pPr>
        <w:pStyle w:val="SingleTxt"/>
        <w:tabs>
          <w:tab w:val="left" w:pos="2904"/>
        </w:tabs>
        <w:ind w:left="1264" w:right="1264"/>
        <w:rPr>
          <w:rtl/>
        </w:rPr>
      </w:pPr>
      <w:r>
        <w:rPr>
          <w:rtl/>
        </w:rPr>
        <w:tab/>
      </w:r>
      <w:r>
        <w:rPr>
          <w:rtl/>
        </w:rPr>
        <w:tab/>
        <w:t>“(ب)</w:t>
      </w:r>
      <w:r>
        <w:rPr>
          <w:rtl/>
        </w:rPr>
        <w:tab/>
        <w:t xml:space="preserve">فرصة لاقتراح خطة للإفراج عن النزيل وإدماجه داخل مجتمع السكان </w:t>
      </w:r>
      <w:r>
        <w:rPr>
          <w:rtl/>
        </w:rPr>
        <w:tab/>
      </w:r>
      <w:r>
        <w:rPr>
          <w:rtl/>
        </w:rPr>
        <w:tab/>
      </w:r>
      <w:r>
        <w:rPr>
          <w:rtl/>
        </w:rPr>
        <w:tab/>
        <w:t>الأصليين”.</w:t>
      </w:r>
    </w:p>
    <w:p w:rsidR="00000000" w:rsidRDefault="00000000">
      <w:pPr>
        <w:pStyle w:val="SingleTxt"/>
        <w:tabs>
          <w:tab w:val="left" w:pos="2904"/>
        </w:tabs>
        <w:ind w:left="1264" w:right="1264"/>
        <w:rPr>
          <w:rtl/>
        </w:rPr>
      </w:pPr>
      <w:r>
        <w:rPr>
          <w:rtl/>
        </w:rPr>
        <w:tab/>
      </w:r>
      <w:r>
        <w:rPr>
          <w:rtl/>
        </w:rPr>
        <w:tab/>
        <w:t xml:space="preserve">ويقصد البندان 81 و 84 إلى زيادة إعادة إدماج النساء ممن يحتمل أن يرتكبن </w:t>
      </w:r>
      <w:r>
        <w:rPr>
          <w:rtl/>
        </w:rPr>
        <w:tab/>
      </w:r>
      <w:r>
        <w:rPr>
          <w:rtl/>
        </w:rPr>
        <w:tab/>
        <w:t>جرائم ضمن مجتمعات السكان الأصليين من خلال توفير الدعم المجتمعي.</w:t>
      </w:r>
    </w:p>
    <w:p w:rsidR="00000000" w:rsidRDefault="00000000">
      <w:pPr>
        <w:pStyle w:val="SingleTxt"/>
        <w:tabs>
          <w:tab w:val="left" w:pos="2904"/>
        </w:tabs>
        <w:ind w:left="1264" w:right="1264"/>
        <w:rPr>
          <w:rtl/>
        </w:rPr>
      </w:pPr>
      <w:r>
        <w:rPr>
          <w:b/>
          <w:bCs/>
          <w:rtl/>
        </w:rPr>
        <w:t>الأنشطة الدولية</w:t>
      </w:r>
    </w:p>
    <w:p w:rsidR="00000000" w:rsidRDefault="00000000">
      <w:pPr>
        <w:pStyle w:val="SingleTxt"/>
        <w:tabs>
          <w:tab w:val="left" w:pos="2904"/>
        </w:tabs>
        <w:ind w:left="1264" w:right="1264"/>
        <w:rPr>
          <w:rtl/>
        </w:rPr>
      </w:pPr>
      <w:r>
        <w:rPr>
          <w:rtl/>
        </w:rPr>
        <w:t>85 -</w:t>
      </w:r>
      <w:r>
        <w:rPr>
          <w:rtl/>
        </w:rPr>
        <w:tab/>
        <w:t>منذ انعقاد مؤتمر الأمم المتحدة العالمي الرابع المعني بالمرأة في عام 1995، واصلت كندا الدعوة إلى إدماج منظور جنساني في أعمال المحافل الدولية. وهذا يشمل المنظمات المتعددة الأطراف مثل الأمم المتحدة ومنظمة التعاون والتنمية في الميدان الاقتصادي والكمنولث والفرنكفونية ومنظمة الدول الأمريكية.</w:t>
      </w:r>
    </w:p>
    <w:p w:rsidR="00000000" w:rsidRDefault="00000000">
      <w:pPr>
        <w:pStyle w:val="SingleTxt"/>
        <w:tabs>
          <w:tab w:val="left" w:pos="2904"/>
        </w:tabs>
        <w:ind w:left="1264" w:right="1264"/>
        <w:rPr>
          <w:rtl/>
        </w:rPr>
      </w:pPr>
      <w:r>
        <w:rPr>
          <w:rtl/>
        </w:rPr>
        <w:t>86 -</w:t>
      </w:r>
      <w:r>
        <w:rPr>
          <w:rtl/>
        </w:rPr>
        <w:tab/>
        <w:t>ودأبت كندا على التأكيد على أهمية التنفيذ الكامل لحقوق الإنسان للمرأة في علاقاتها مع البلدان الأخرى وكذلك في المؤتمرات الدولية والعالمية بما في ذلك المؤتمر الدولي للسكان والتنمية ومؤتمر الأمم المتحدة العالمي الرابع. وعلى سبيل المثال استلمت كندا زمام القيادة لتأكيد أن وثيقة مؤتمر الموئل الثاني لعام 1996 المعنونة “جدول أعمال الموئل وخطة العمل العالمية” تعترف بتمكين المرأة وبمشاركتها الكاملة والمتكافئة في الحياة السياسية والاجتماعية والاقتصادية على أساس أن ذلك أمر لا غنى عنه للتوصل إلى مستوطنات بشرية مستدامة.</w:t>
      </w:r>
    </w:p>
    <w:p w:rsidR="00000000" w:rsidRDefault="00000000">
      <w:pPr>
        <w:pStyle w:val="SingleTxt"/>
        <w:tabs>
          <w:tab w:val="left" w:pos="2904"/>
        </w:tabs>
        <w:ind w:left="1264" w:right="1264"/>
        <w:rPr>
          <w:rtl/>
        </w:rPr>
      </w:pPr>
      <w:r>
        <w:rPr>
          <w:rtl/>
        </w:rPr>
        <w:t>87 -</w:t>
      </w:r>
      <w:r>
        <w:rPr>
          <w:rtl/>
        </w:rPr>
        <w:tab/>
        <w:t>وتشمل جهود كندا المبذولة على المستوى الدولي فيما يتعلق بمساواة الجنسين، تعزيز ودعم أعمال المنظمات الدولية لإدماج الاعتبارات الجنسانية، ومن ذلك مثلا المجلس الاقتصادي والاجتماعي للأمم المتحدة الذي اعتمد نتائج متفقا عليها بشأن إدماج المنظور الجنساني ضمن مسار الأنشطة الرئيسية. وتُبذَل أيضا جهود أخرى في نفس السياق في الكمنولث ومنظمة الدول الأمريكية ومنظمة الأمن والتعاون في أوروبا ومنظمة التعاون الاقتصادي لآسيا والمحيط الهادئ.</w:t>
      </w:r>
    </w:p>
    <w:p w:rsidR="00000000" w:rsidRDefault="00000000">
      <w:pPr>
        <w:pStyle w:val="SingleTxt"/>
        <w:tabs>
          <w:tab w:val="left" w:pos="2904"/>
        </w:tabs>
        <w:ind w:left="1264" w:right="1264"/>
        <w:rPr>
          <w:rtl/>
        </w:rPr>
      </w:pPr>
      <w:r>
        <w:rPr>
          <w:rtl/>
        </w:rPr>
        <w:t>88 -</w:t>
      </w:r>
      <w:r>
        <w:rPr>
          <w:rtl/>
        </w:rPr>
        <w:tab/>
        <w:t>وقد أيدت كندا بقوة اعتماد بروتوكول اختياري فعَّال لاتفاقية الأمم المتحدة للقضاء على جميع أشكال التمييز ضد المرأة بما أدى إلى استحداث آلية لشكاوى الأفراد وإجراء للتحقيق. وكانت كندا من البلدان التي اقترحت أصلا أن يُصاغ إعلان وبرنامج عمل فيينا (الصادر في المؤتمر العالمي لعام 1993 المعني بحقوق الإنسان) من أجل الدعوة لبروتوكول اختياري للاتفاقية المذكورة أعلاه. وهو ما تم اعتماده ومن ثم إعادة التأكيد عليه في منهاج عمل بيجين.</w:t>
      </w:r>
    </w:p>
    <w:p w:rsidR="00000000" w:rsidRDefault="00000000">
      <w:pPr>
        <w:pStyle w:val="SingleTxt"/>
        <w:tabs>
          <w:tab w:val="left" w:pos="2904"/>
        </w:tabs>
        <w:ind w:left="1264" w:right="1264"/>
        <w:rPr>
          <w:rtl/>
        </w:rPr>
      </w:pPr>
      <w:r>
        <w:rPr>
          <w:rtl/>
        </w:rPr>
        <w:t>89 -</w:t>
      </w:r>
      <w:r>
        <w:rPr>
          <w:rtl/>
        </w:rPr>
        <w:tab/>
        <w:t>وتؤيد كندا تعزيز اللجنة المعنية بالقضاء على التمييز ضد المرأة التي تشرف على تنفيذ الاتفاقية المذكورة. وللتعويض عن غياب الوقت المتاح لاجتماع اللجنة وكان أقصر مدة متاحة لأي من الهيئات الست المعنية برصد حقوق الإنسان. فقد طُرح تعديل على المادة 20 (1) وقبلته كندا رسميا.</w:t>
      </w:r>
    </w:p>
    <w:p w:rsidR="00000000" w:rsidRDefault="00000000">
      <w:pPr>
        <w:pStyle w:val="SingleTxt"/>
        <w:tabs>
          <w:tab w:val="left" w:pos="2904"/>
        </w:tabs>
        <w:ind w:left="1264" w:right="1264"/>
        <w:rPr>
          <w:rtl/>
        </w:rPr>
      </w:pPr>
      <w:r>
        <w:rPr>
          <w:b/>
          <w:bCs/>
          <w:szCs w:val="32"/>
          <w:rtl/>
        </w:rPr>
        <w:t>المادة 3: التدابير المتخذة لكفالة النهوض بالمرأة</w:t>
      </w:r>
    </w:p>
    <w:p w:rsidR="00000000" w:rsidRDefault="00000000">
      <w:pPr>
        <w:pStyle w:val="SingleTxt"/>
        <w:tabs>
          <w:tab w:val="left" w:pos="2904"/>
        </w:tabs>
        <w:ind w:left="1264" w:right="1264"/>
        <w:rPr>
          <w:rtl/>
        </w:rPr>
      </w:pPr>
      <w:r>
        <w:rPr>
          <w:b/>
          <w:bCs/>
          <w:rtl/>
        </w:rPr>
        <w:t>تخفيف العنف الموجَّه ضد المرأة</w:t>
      </w:r>
    </w:p>
    <w:p w:rsidR="00000000" w:rsidRDefault="00000000">
      <w:pPr>
        <w:pStyle w:val="SingleTxt"/>
        <w:tabs>
          <w:tab w:val="left" w:pos="2904"/>
        </w:tabs>
        <w:ind w:left="1264" w:right="1264"/>
        <w:rPr>
          <w:rtl/>
        </w:rPr>
      </w:pPr>
      <w:r>
        <w:rPr>
          <w:rtl/>
        </w:rPr>
        <w:t>90 -</w:t>
      </w:r>
      <w:r>
        <w:rPr>
          <w:rtl/>
        </w:rPr>
        <w:tab/>
        <w:t>من الأهداف الرئيسية التي تتوخاها كندا في خطتها الاتحادية للمساواة بين الجنسين ما يتمثل في “تخفيف العنف في المجتمع ولا سيما العنف الموجَّه ضد المرأة والطفل”.</w:t>
      </w:r>
    </w:p>
    <w:p w:rsidR="00000000" w:rsidRDefault="00000000">
      <w:pPr>
        <w:pStyle w:val="SingleTxt"/>
        <w:tabs>
          <w:tab w:val="left" w:pos="2904"/>
        </w:tabs>
        <w:ind w:left="1264" w:right="1264"/>
        <w:rPr>
          <w:rtl/>
        </w:rPr>
      </w:pPr>
      <w:r>
        <w:rPr>
          <w:rtl/>
        </w:rPr>
        <w:t>91 -</w:t>
      </w:r>
      <w:r>
        <w:rPr>
          <w:rtl/>
        </w:rPr>
        <w:tab/>
        <w:t>وفي عام 1997، أكدت الحكومة الاتحادية التزامها بتخفيف العنف الأُسري في كندا ولا سيما العنف الموجَّه ضد المرأة وأطفالها من خلال المرحلة الثالثة من مبادرة العنف الأُسري. وبموجب هذه المبادرة، تتعاون الوزارات الاتحادية على منع العنف الأُسري من خلال إدماج التدابير الوقائية في صُلب السياسات وعمليات البرمجة. ويُتاح تمويل إضافي متواصل لدعم البحوث ونشر المعلومات من خلال دار التنسيق الوطنية المعنية بالعنف الأُسري وتحمُّل التكاليف المتصلة بعملية التنسيق. وتتسم النتائج الرئيسية المتوقعة من هذا النهج الأفقي بالفعالية والكفاءة، كما يراعى تنسيق العمل لدى وضع وبرمجة السياسات الاتحادية مع تعزيز الوقاية من العنف الأُسري وتحسين سُبل الرد عليه ووضع وتنفيذ الأنشطة المجتمعية وزيادة الوعي الجماهيري وتقليل التغاضي في المجتمع عن العنف الأُسري. أما الوزارات الاتحادية الثلاث عشرة التي تتعاون حاليا في هذه الاستراتيجية فتتطرق نحو معالجة قضايا الإسكان والتنمية الدولية والهجرة والإصلاحيات والثقافة والعدالة ومساعدة الموظفين والصحة والسياسة الاجتماعية وشعوب السكان الأصليين وإنفاذ القوانين وجمع البيانات الوطنية والمساواة بين الجنسين.</w:t>
      </w:r>
    </w:p>
    <w:p w:rsidR="00000000" w:rsidRDefault="00000000">
      <w:pPr>
        <w:pStyle w:val="SingleTxt"/>
        <w:tabs>
          <w:tab w:val="left" w:pos="2904"/>
        </w:tabs>
        <w:ind w:left="1264" w:right="1264"/>
        <w:rPr>
          <w:rtl/>
        </w:rPr>
      </w:pPr>
      <w:r>
        <w:rPr>
          <w:rtl/>
        </w:rPr>
        <w:t>92 -</w:t>
      </w:r>
      <w:r>
        <w:rPr>
          <w:rtl/>
        </w:rPr>
        <w:tab/>
        <w:t>ويعتمد نموذج التدخل الاتحادي على الشراكة مع حكومات المقاطعات والأقاليم والمحليات والمنظمات غير الحكومية والمؤسسات الأكاديمية والجمعيات المهنية والشركات والأفراد من أجل إعداد وتنفيذ وتقييم عمليات البرمجة وصولا إلى تحقيق الفعالية في هذا المجال.</w:t>
      </w:r>
    </w:p>
    <w:p w:rsidR="00000000" w:rsidRDefault="00000000">
      <w:pPr>
        <w:pStyle w:val="SingleTxt"/>
        <w:tabs>
          <w:tab w:val="left" w:pos="2904"/>
        </w:tabs>
        <w:ind w:left="1264" w:right="1264"/>
        <w:rPr>
          <w:rtl/>
        </w:rPr>
      </w:pPr>
      <w:r>
        <w:rPr>
          <w:rtl/>
        </w:rPr>
        <w:t>93 -</w:t>
      </w:r>
      <w:r>
        <w:rPr>
          <w:rtl/>
        </w:rPr>
        <w:tab/>
        <w:t>وفي إطار المبادرة الحالية المعنية بالعنف الأُسري، تم تنفيذ عدد من الأنشطة المهمة. وعلى سبيل المثال عُقدت اجتماعات لفريق محوري للسياسات معني بالعنف الموجَّه ضد المرأة من أجل تقاسم المعلومات وتحديد الأولويات في مجالات من قبيل نشر الوعي العام وإجراءات الوقاية والتدخل والبحوث، كما عُقد اجتماع لفريق خبراء بشأن تكلفة العنف. وأُجريت البحوث على مسألة التشرُّد والعنف داخل الأُسرة إضافة إلى مشروعين جاريين لاستعراض أثر الإصدار المشروط للأحكام في قضايا العنف الأُسري وتدارس فعالية البرامج النموذجية لمعالجة مرتكبي العنف الأُسري.</w:t>
      </w:r>
    </w:p>
    <w:p w:rsidR="00000000" w:rsidRDefault="00000000">
      <w:pPr>
        <w:pStyle w:val="SingleTxt"/>
        <w:tabs>
          <w:tab w:val="left" w:pos="2904"/>
        </w:tabs>
        <w:ind w:left="1264" w:right="1264"/>
        <w:rPr>
          <w:rtl/>
        </w:rPr>
      </w:pPr>
      <w:r>
        <w:rPr>
          <w:rtl/>
        </w:rPr>
        <w:t>94 -</w:t>
      </w:r>
      <w:r>
        <w:rPr>
          <w:rtl/>
        </w:rPr>
        <w:tab/>
        <w:t>وسوف يتم في عام 2002 إعداد تقرير لخمس سنوات من شأنه تلخيص وتقييم المنجزات التي تمت في المرحلة الراهنة من مبادرة العنف الأُسري وذلك لحساب الأمانة العامة لمجلس الخزانة.</w:t>
      </w:r>
    </w:p>
    <w:p w:rsidR="00000000" w:rsidRDefault="00000000">
      <w:pPr>
        <w:pStyle w:val="SingleTxt"/>
        <w:tabs>
          <w:tab w:val="left" w:pos="2904"/>
        </w:tabs>
        <w:ind w:left="1264" w:right="1264"/>
        <w:rPr>
          <w:rtl/>
        </w:rPr>
      </w:pPr>
      <w:r>
        <w:rPr>
          <w:rtl/>
        </w:rPr>
        <w:t>95 -</w:t>
      </w:r>
      <w:r>
        <w:rPr>
          <w:rtl/>
        </w:rPr>
        <w:tab/>
        <w:t xml:space="preserve">وتدعم مبادرة العنف الأُسري عدة أنشطة تقصد إلى التقليل من حالات العنف الموجَّه ضد المرأة. ففي الفترة 1997 </w:t>
      </w:r>
      <w:r>
        <w:t>–</w:t>
      </w:r>
      <w:r>
        <w:rPr>
          <w:rtl/>
        </w:rPr>
        <w:t xml:space="preserve"> 1998 بلغ التمويل من الحكومة الاتحادية الموجَّه تحديداً للعنف الأُسري 30.7 مليون دولار. وهذا الرقم يشمل مخصصات مباشرة لدعم دور الإيواء ومعالجة العنف الأُسري على المستوى الاتحادي وعمليات التحويل إلى دور المأوى للأقوام الأولى ومشاريع منع العنف الأُسري في المحميات. ويشمل كذلك اعتمادا سنويا إضافيا بمبلغ 7 ملايين دولار تشترك فيه الوزارات للتعامل مع الثغرات غير المحددة وتشغيل مركز تنسيق وطني معني بالعنف الأُسري وتنسيق مبادرة العنف الأُسري. على أنه لا يعكس النفقات اللازمة لتشغيل الأعمال العادية بالوزارات ومنها مثلا عمليات الشرطة المتواصلة التي تضطلع بها شرطة الخيَّالة الملكية الكندية وبرامج المنع التي تستهدف نزلاء السجون من جانب دوائر الإصلاحيات في كندا والمبادرات المتخذة في مجال الإسكان التي تتخذها الهيئة الكندية للرهن العقاري والإسكان وكلها تشمل عناصر يقصد بها منع وقوع العنف داخل الأسرة.</w:t>
      </w:r>
    </w:p>
    <w:p w:rsidR="00000000" w:rsidRDefault="00000000">
      <w:pPr>
        <w:pStyle w:val="SingleTxt"/>
        <w:tabs>
          <w:tab w:val="left" w:pos="2904"/>
        </w:tabs>
        <w:ind w:left="1264" w:right="1264"/>
        <w:rPr>
          <w:rtl/>
        </w:rPr>
      </w:pPr>
      <w:r>
        <w:rPr>
          <w:rtl/>
        </w:rPr>
        <w:t>96 -</w:t>
      </w:r>
      <w:r>
        <w:rPr>
          <w:rtl/>
        </w:rPr>
        <w:tab/>
        <w:t>وثمة مبادرات كندية أخرى تركِّز الأولوية على المسائل المتصلة بالسلامة والصحة والرفاه للمرأة وتساعد على التصدي للعنف الموجه ضد المرأة برغم أنها ليست موجهة تحديدا إلى منع العنف الأسري.</w:t>
      </w:r>
    </w:p>
    <w:p w:rsidR="00000000" w:rsidRDefault="00000000">
      <w:pPr>
        <w:pStyle w:val="SingleTxt"/>
        <w:tabs>
          <w:tab w:val="left" w:pos="2904"/>
        </w:tabs>
        <w:ind w:left="1264" w:right="1264"/>
        <w:rPr>
          <w:rtl/>
        </w:rPr>
      </w:pPr>
      <w:r>
        <w:rPr>
          <w:rtl/>
        </w:rPr>
        <w:t>97 -</w:t>
      </w:r>
      <w:r>
        <w:rPr>
          <w:rtl/>
        </w:rPr>
        <w:tab/>
        <w:t>وتعد الدراسة الاستقصائية الوطنية التتبعية عن الأطفال والشباب دراسة طويلة الأجل يتم إجراؤها بواسطة وزارة تنمية الموارد البشرية وإحصاءات كندا وتفحص طائفة متنوعة من العوامل التي من المتصور أنها تؤثر على نمو وتطور الطفل. وقد بدأت الدراسة عام 1994 مع جمع البيانات على مدى فترات قوام كل منها سنتان مواكبة لنمو الطفل من وليد إلى بالغ. ويتألف الاستقصاء من استبيان للوالدين والطفل يقدَّم في البيت إضافة إلى استبيان للمدرس ومدير المدرسة يقدَّم في المدرسة. وتتصل بعض الأسئلة بإساءة معاملة الطفل ومن ذلك مثلا وقوع حوادث تدعو للصدة مثل الإيذاء أو الصراع بين الوالدين أو اتباع الوالدين أسلوب العقاب البدني. واستنادا إلى البحث والتوصيات المقدمة إلى الحكومات والمجتمعات المحلية والأفراد سوف يستخدَم هذا كله لتعزيز نماء الأطفال.</w:t>
      </w:r>
    </w:p>
    <w:p w:rsidR="00000000" w:rsidRDefault="00000000">
      <w:pPr>
        <w:pStyle w:val="SingleTxt"/>
        <w:tabs>
          <w:tab w:val="left" w:pos="2904"/>
        </w:tabs>
        <w:ind w:left="1264" w:right="1264"/>
        <w:rPr>
          <w:rtl/>
        </w:rPr>
      </w:pPr>
      <w:r>
        <w:rPr>
          <w:rtl/>
        </w:rPr>
        <w:t>98 -</w:t>
      </w:r>
      <w:r>
        <w:rPr>
          <w:rtl/>
        </w:rPr>
        <w:tab/>
        <w:t>ويتطلب التزام الحكومة إزاء التنوع وحقوق الإنسان أن يكون من حق جميع الكنديين التمتع بالكرامة والاحترام في المعاملة بصرف النظر عن الاختلافات الإثنية أو العرقية أو الدينية أو الجنسانية أو غيرها. ويعمل برنامج التنوع الثقافي بالاشتراك مع الوزارات الاتحادية الأخرى كوزارة العدل والنائب العام ووزارة الصناعة الكندية من أجل وضع استراتيجية متناسقة لمكافحة جرائم الكراهية والأنشطة المتحيِّزة.</w:t>
      </w:r>
    </w:p>
    <w:p w:rsidR="00000000" w:rsidRDefault="00000000">
      <w:pPr>
        <w:pStyle w:val="SingleTxt"/>
        <w:tabs>
          <w:tab w:val="left" w:pos="2904"/>
        </w:tabs>
        <w:ind w:left="1264" w:right="1264"/>
        <w:rPr>
          <w:rtl/>
        </w:rPr>
      </w:pPr>
      <w:r>
        <w:rPr>
          <w:rtl/>
        </w:rPr>
        <w:t>99 -</w:t>
      </w:r>
      <w:r>
        <w:rPr>
          <w:rtl/>
        </w:rPr>
        <w:tab/>
        <w:t>وتعمل الاستراتيجية الوطنية من أجل سلامة المجتمعات ومنع الجريمة على تعزيز الإجراءات المتكاملة التي يتخذها كبار الشركاء الحكوميين وغير الحكوميين من أجل تقليل وقوع الجريمة أو الاعتداء ومساعدة المجتمعات المحلية على وضع وتنفيذ حلول مجتمعية الأساس للمشاكل التي تسهم في وقوع الجرائم والاعتداء ولا سيما العنف الذي يتعرض له الشباب أو النساء أو شعوب السكان الأصليين. ويتمثل الهدف أيضا في زيادة الوعي العام ودعم النُهج الفعَّالة لمنع الجريمة. وقد انطلقت المرحلة الأولى في عام 1994 وتتألف أساسا من تنسيق سلسلة من المبادرات الاتحادية التي أكدت على اتباع نموذج استباقي للتنمية الاجتماعية من أجل منع الجريمة. كما أكدت على بناء شراكات تتم على المستويات الاتحادية ومستوى المقاطعات/الأقاليم والمجتمعات المحلية. أما المرحلة الثانية التي أُعلن عنها عام 1998 فتتيح للحكومة الاتحادية أن توسع آفاق مشاركتها وتدعم المجتمعات المحلية في تصميم وتنفيذ طرق مبتكرة ومستدامة لمنع الجريمة.</w:t>
      </w:r>
    </w:p>
    <w:p w:rsidR="00000000" w:rsidRDefault="00000000">
      <w:pPr>
        <w:pStyle w:val="SingleTxt"/>
        <w:tabs>
          <w:tab w:val="left" w:pos="2904"/>
        </w:tabs>
        <w:ind w:left="1264" w:right="1264"/>
        <w:rPr>
          <w:rtl/>
        </w:rPr>
      </w:pPr>
      <w:r>
        <w:rPr>
          <w:rtl/>
        </w:rPr>
        <w:t>100 -</w:t>
      </w:r>
      <w:r>
        <w:rPr>
          <w:rtl/>
        </w:rPr>
        <w:tab/>
        <w:t>كما يشكِّل التصدي للعنف في الأقوام الأولى ومجتمعات الأنيويت أولوية بالنسبة للحكومة الاتحادية. ويُقدَّم الدعم الاتحادي للخدمات ذات الأساس المجتمعي من أجل المساعدة على منع العنف الموجَّه ضد المرأة والتدخل فيه ومعالجته وكذلك لصالح تقييم البحوث والتدريب المهني مما يزيد من الوعي بالأذى الذي يتم واستكشاف طرق العلاج.</w:t>
      </w:r>
    </w:p>
    <w:p w:rsidR="00000000" w:rsidRDefault="00000000">
      <w:pPr>
        <w:pStyle w:val="SingleTxt"/>
        <w:tabs>
          <w:tab w:val="left" w:pos="2904"/>
        </w:tabs>
        <w:ind w:left="1264" w:right="1264"/>
        <w:rPr>
          <w:rtl/>
        </w:rPr>
      </w:pPr>
      <w:r>
        <w:rPr>
          <w:b/>
          <w:bCs/>
          <w:rtl/>
        </w:rPr>
        <w:t>تدابير العدالة الجنائية</w:t>
      </w:r>
    </w:p>
    <w:p w:rsidR="00000000" w:rsidRDefault="00000000">
      <w:pPr>
        <w:pStyle w:val="SingleTxt"/>
        <w:tabs>
          <w:tab w:val="left" w:pos="2904"/>
        </w:tabs>
        <w:ind w:left="1264" w:right="1264"/>
        <w:rPr>
          <w:rtl/>
        </w:rPr>
      </w:pPr>
      <w:r>
        <w:rPr>
          <w:rtl/>
        </w:rPr>
        <w:t>101 -</w:t>
      </w:r>
      <w:r>
        <w:rPr>
          <w:rtl/>
        </w:rPr>
        <w:tab/>
        <w:t>العنف الموجَّه ضد المرأة، بما في ذلك الاعتداء الجسمي والجنسي يُعد جريمة بموجب القانون الجنائي. وتشارك وزارة العدل في مبادرة العنف الأُسري. وفي إطار سياسة وبرامج الاستجابات التي تعتمدها فقد بادرت الوزارة إلى تعديل القانون الجنائي من خلال عدة تدابير تقصد إلى توفير الحماية المعزَّزة للنساء والأطفال من العنف والأذى الجنسي.</w:t>
      </w:r>
    </w:p>
    <w:p w:rsidR="00000000" w:rsidRDefault="00000000">
      <w:pPr>
        <w:pStyle w:val="SingleTxt"/>
        <w:tabs>
          <w:tab w:val="left" w:pos="2904"/>
        </w:tabs>
        <w:ind w:left="1264" w:right="1264"/>
        <w:rPr>
          <w:rtl/>
        </w:rPr>
      </w:pPr>
      <w:r>
        <w:rPr>
          <w:rtl/>
        </w:rPr>
        <w:t>102 -</w:t>
      </w:r>
      <w:r>
        <w:rPr>
          <w:rtl/>
        </w:rPr>
        <w:tab/>
        <w:t xml:space="preserve">وقد شمل مشروع القانون جيم </w:t>
      </w:r>
      <w:r>
        <w:t>–</w:t>
      </w:r>
      <w:r>
        <w:rPr>
          <w:rtl/>
        </w:rPr>
        <w:t xml:space="preserve"> 24 (تعديلات شاملة) أكثر من 100 تعديل على القانون الجنائي وهذه التعديلات التي أعلنت عام 1995 ضمت تعهدات للسلام (أوامر حماية صادرة من المحكمة) واتصفت بكونها أيسر منالا وأكثر فعالية كما زادت الحد الأقصى للعقوبة عن الجناية من ستة أشهر إلى سنتين إضافة إلى إعادة تصنيف بعض الجرائم (المعروفة بوصفها الإجراء المزدوج أو الجرائم المتداخلة). وهذا يسمح للمدعي العام أن يختار إما أن تكون الدعوى بإجراءات موجزة أو عن طريق توجيه لائحة اتهام. ويفضَّل مواصلة سير الدعوة بطريقة الاتهام الموجز في بعض الأحوال وخاصة في الحالات التي تشمل العنف الموجه للمرأة لأن ذلك يتيح تجنُّب أن تدلي المجني عليها بالشهادة مرتين.</w:t>
      </w:r>
    </w:p>
    <w:p w:rsidR="00000000" w:rsidRDefault="00000000">
      <w:pPr>
        <w:pStyle w:val="SingleTxt"/>
        <w:tabs>
          <w:tab w:val="left" w:pos="2904"/>
        </w:tabs>
        <w:ind w:left="1264" w:right="1264"/>
        <w:rPr>
          <w:rtl/>
        </w:rPr>
      </w:pPr>
      <w:r>
        <w:rPr>
          <w:rtl/>
        </w:rPr>
        <w:t>103 -</w:t>
      </w:r>
      <w:r>
        <w:rPr>
          <w:rtl/>
        </w:rPr>
        <w:tab/>
        <w:t xml:space="preserve">ثم جاء مشروع القانون جيم </w:t>
      </w:r>
      <w:r>
        <w:t>–</w:t>
      </w:r>
      <w:r>
        <w:rPr>
          <w:rtl/>
        </w:rPr>
        <w:t xml:space="preserve"> 72 (الوقوع الإرادي تحت تأثير المسكرات) ليزيد من وضوح القانون الجنائي ويبيِّن أن الوقوع تحت تأثير المخدِّر الكحولي لا يشكِّل دفاعا إزاء أي من جرائم القصد العام بارتكاب العنف ومنها مثلا التهَجُّم الجنسي أو العدوان وقد دخل حيِّز التنفيذ في عام 1995.</w:t>
      </w:r>
    </w:p>
    <w:p w:rsidR="00000000" w:rsidRDefault="00000000">
      <w:pPr>
        <w:pStyle w:val="SingleTxt"/>
        <w:tabs>
          <w:tab w:val="left" w:pos="2904"/>
        </w:tabs>
        <w:ind w:left="1264" w:right="1264"/>
        <w:rPr>
          <w:rtl/>
        </w:rPr>
      </w:pPr>
      <w:r>
        <w:rPr>
          <w:rtl/>
        </w:rPr>
        <w:t>104 -</w:t>
      </w:r>
      <w:r>
        <w:rPr>
          <w:rtl/>
        </w:rPr>
        <w:tab/>
        <w:t xml:space="preserve">مشروع القانون جيم </w:t>
      </w:r>
      <w:r>
        <w:t>–</w:t>
      </w:r>
      <w:r>
        <w:rPr>
          <w:rtl/>
        </w:rPr>
        <w:t xml:space="preserve"> 41 (إصدار الأحكام) شمل تعديلات على بنود إصدار الأحكام بالقانون الجنائي. وهذه التعديلات، التي أعلنت في عام 1995، تنص على أن المجرم لدى ارتكابه الجريمة أو الإيذاء بحق زوجه أو طفله أو شخص يكون في عهدته أو تحت سلطته، فإن ذلك يُعد عامل تشديد لأغراض استصدار الحكم. كما عُدِّلت أحكام الانتصاف لكي يصبح من حق المجني عليه أن يطلب تعويضا عن المصاريف الفعلية والمعقولة التي يتكبدها من أجل انتقاله من بيت الجاني تحاشيا للضرر البدني.</w:t>
      </w:r>
    </w:p>
    <w:p w:rsidR="00000000" w:rsidRDefault="00000000">
      <w:pPr>
        <w:pStyle w:val="SingleTxt"/>
        <w:tabs>
          <w:tab w:val="left" w:pos="2904"/>
        </w:tabs>
        <w:ind w:left="1264" w:right="1264"/>
        <w:rPr>
          <w:rtl/>
        </w:rPr>
      </w:pPr>
      <w:r>
        <w:rPr>
          <w:rtl/>
        </w:rPr>
        <w:t>105 -</w:t>
      </w:r>
      <w:r>
        <w:rPr>
          <w:rtl/>
        </w:rPr>
        <w:tab/>
        <w:t xml:space="preserve">مشروع القانون جيم </w:t>
      </w:r>
      <w:r>
        <w:t>–</w:t>
      </w:r>
      <w:r>
        <w:rPr>
          <w:rtl/>
        </w:rPr>
        <w:t xml:space="preserve"> 27 (بغاء الأطفال والسياحة الجنسية باستخدام الأطفال والتحرش الجنائي وتشويه الأعضاء التناسلية الأنثوية). وقد شمل أحكاما لتيسير الإدلاء بشهادة من جانب صغار المجني عليهم وشهود الاستغلال الجنسي. وبالإضافة إلى ذلك فالتشريع المعلن عام 1997 يسمح بمقاضاة الكنديين الذين يسافرون إلى الخارج ويقومون باستغلال الأطفال جنسيا كما يشدِّد العقوبات على الذين يستغلون البغايا حديثي السن والذين يقتلون من يطاردون من الضحايا. ويوضح أن ممارسة تشويه الأعضاء التناسلية الأنثوية تشكل جريمة.</w:t>
      </w:r>
    </w:p>
    <w:p w:rsidR="00000000" w:rsidRDefault="00000000">
      <w:pPr>
        <w:pStyle w:val="SingleTxt"/>
        <w:tabs>
          <w:tab w:val="left" w:pos="2904"/>
        </w:tabs>
        <w:ind w:left="1264" w:right="1264"/>
        <w:rPr>
          <w:rtl/>
        </w:rPr>
      </w:pPr>
      <w:r>
        <w:rPr>
          <w:rtl/>
        </w:rPr>
        <w:t>106 -</w:t>
      </w:r>
      <w:r>
        <w:rPr>
          <w:rtl/>
        </w:rPr>
        <w:tab/>
        <w:t xml:space="preserve">مشروع القانون جيم </w:t>
      </w:r>
      <w:r>
        <w:t>–</w:t>
      </w:r>
      <w:r>
        <w:rPr>
          <w:rtl/>
        </w:rPr>
        <w:t xml:space="preserve"> 46 (تقديم السجلات في إجراءات التقاضي بشأن جريمة جنسية) ويحمي ضحايا الجرائم الجنسية بتقييده تقديم سجلات المعلومات الشخصية مثل السجلات المتعلقة بالتحليل النفسي والعلاج النفسي والاستشارات النفسية. وقد أُعلن القانون في عام 1997.</w:t>
      </w:r>
    </w:p>
    <w:p w:rsidR="00000000" w:rsidRDefault="00000000">
      <w:pPr>
        <w:pStyle w:val="SingleTxt"/>
        <w:tabs>
          <w:tab w:val="left" w:pos="2904"/>
        </w:tabs>
        <w:ind w:left="1264" w:right="1264"/>
        <w:rPr>
          <w:rtl/>
        </w:rPr>
      </w:pPr>
      <w:r>
        <w:rPr>
          <w:rtl/>
        </w:rPr>
        <w:t>107 -</w:t>
      </w:r>
      <w:r>
        <w:rPr>
          <w:rtl/>
        </w:rPr>
        <w:tab/>
        <w:t>وفي عام 1996 أدخلت الحكومة الاتحادية العمل بقانون الرقابة على الأسلحة النارية. وتشمل العناصر الرئيسية للقانون ترخيص حيازة الأسلحة النارية وإنشاء نظام وطني لتسجيل جميع الأسلحة النارية والنص على حدٍ أدنى إلزامي للحكم بأربع سنوات سجنا وحظر مدى الحياة على حيازة سلاح ناري مقيد أو محظور لدى الإدانة في جرائم عنف محدَّدة منها الاعتداء الجنسي باستخدام سلاح والاعتداء الجنسي البالغ الخطورة. وهذه التدابير تقصد إلى ضمان مزيد من السلامة المجتمعية ولسوف ينجم عنها أثر بالنسبة لسلامة المرأة. ومن شأن تسجيل الأسلحة النارية أن يُعزِّز سلامة المرأة بتنبيه الشرطة إلى وجود أسلحة نارية في مسارح جريمة العنف الأسري. ولدى البتّ في طلبات شهادات حيازة أسلحة نارية، لا بد أن تؤخذ في الاعتبار عوامل الخطورة المرتبطة بحوادث العنف الأسري ومن ثم فالطلبات تقتضي موافقة الزوج.</w:t>
      </w:r>
    </w:p>
    <w:p w:rsidR="00000000" w:rsidRDefault="00000000">
      <w:pPr>
        <w:pStyle w:val="SingleTxt"/>
        <w:tabs>
          <w:tab w:val="left" w:pos="2904"/>
        </w:tabs>
        <w:ind w:left="1264" w:right="1264"/>
        <w:rPr>
          <w:rtl/>
        </w:rPr>
      </w:pPr>
      <w:r>
        <w:rPr>
          <w:rtl/>
        </w:rPr>
        <w:t>108 -</w:t>
      </w:r>
      <w:r>
        <w:rPr>
          <w:rtl/>
        </w:rPr>
        <w:tab/>
        <w:t>وأما أحكام قانون العقوبات المتصلة بالدفع بحالات الاستفزاز والدفاع عن النفس والدفاع عن الممتلكات فما زالت قيد الاستعراض نتيجة الشواغل التي أعرب عنها استقصاء قضائي وعدد من الجماعات النسائية بأن هذه الأحكام لا يجري تطبيقها بطريقة مراعية للعنصر الجنساني.</w:t>
      </w:r>
    </w:p>
    <w:p w:rsidR="00000000" w:rsidRDefault="00000000">
      <w:pPr>
        <w:pStyle w:val="SingleTxt"/>
        <w:tabs>
          <w:tab w:val="left" w:pos="2904"/>
        </w:tabs>
        <w:ind w:left="1264" w:right="1264"/>
        <w:rPr>
          <w:rtl/>
        </w:rPr>
      </w:pPr>
      <w:r>
        <w:rPr>
          <w:rtl/>
        </w:rPr>
        <w:t>109 -</w:t>
      </w:r>
      <w:r>
        <w:rPr>
          <w:rtl/>
        </w:rPr>
        <w:tab/>
        <w:t>كما تعكف الحكومة الاتحادية على استعراض عملية مرحلية كانت قيد التنفيذ منذ عام 1992 من أجل الاستجابة للطلبات التي يقدمها الضحايا الذين يحاولون تغيير هويتهم فرارا من أذى زواجي يهدد حياتهم. ومن خلال هذه العملية، يُزوَّد الضحايا برقم ضمان اجتماعي جديد منفصل إلكترونيا (بمعنى أنه غير متصل بالحاسوب) كما أن نظام المعاشات التقاعدية وسجلات الضرائب والاستحقاقات الاجتماعية في كندا أعيد أنشاؤه بصورة مأمونة في إطار رقم الضمان الاجتماعي الجديد. وبحكم الشواغل المُعرب عنها بشأن سلامة العميل، استهلت الحكومة الاتحادية مشروعا وزاريا مشتركا لإنجاز أعمال متعمقة على مستوى المقاطعات والأقاليم لتحديد ما إذا كان بالإمكان تنفيذ برنامج هويات جديدة مُنسَّق على الصعيد الوطني. وتسعى هذه المبادرة إلى دعم استراتيجيات الخدمات المقدمة للمجني عليهم من خلال تصديها لمعالجة شواغل ضحايا العنف الأسري الجسيم فيما يتعلق بجوانب السلامة والتعويض ومنع حدوث المزيد من العنف.</w:t>
      </w:r>
    </w:p>
    <w:p w:rsidR="00000000" w:rsidRDefault="00000000">
      <w:pPr>
        <w:pStyle w:val="SingleTxt"/>
        <w:tabs>
          <w:tab w:val="left" w:pos="2904"/>
        </w:tabs>
        <w:ind w:left="1264" w:right="1264"/>
        <w:rPr>
          <w:rtl/>
        </w:rPr>
      </w:pPr>
      <w:r>
        <w:rPr>
          <w:rtl/>
        </w:rPr>
        <w:t>110 -</w:t>
      </w:r>
      <w:r>
        <w:rPr>
          <w:rtl/>
        </w:rPr>
        <w:tab/>
        <w:t>وثمة مبادرات أخرى في مجال نظام العدالة تقصد إلى تحسين نظام العدالة الجنائية بجعله أيسر منالا بالنسبة إلى الفئات المستضعفة بمن فيها نساء السكان الأصليين والنساء من ذوات الإعاقات.</w:t>
      </w:r>
    </w:p>
    <w:p w:rsidR="00000000" w:rsidRDefault="00000000">
      <w:pPr>
        <w:pStyle w:val="SingleTxt"/>
        <w:tabs>
          <w:tab w:val="left" w:pos="2904"/>
        </w:tabs>
        <w:ind w:left="1264" w:right="1264"/>
        <w:rPr>
          <w:rtl/>
        </w:rPr>
      </w:pPr>
      <w:r>
        <w:rPr>
          <w:rtl/>
        </w:rPr>
        <w:t>111 -</w:t>
      </w:r>
      <w:r>
        <w:rPr>
          <w:rtl/>
        </w:rPr>
        <w:tab/>
        <w:t>وقد اعتمدت مقاطعة ساسكاتشيوان أول قانون لضحايا العنف المنزلي في كندا في شباط/فبراير 1995 ويقصد التشريع المدني المذكور إلى توفير بديل وهو عبارة عن استجابة غير جنائية لضحايا العنف الأسري. وتشمل هذه الأحكام أوامر بالتدخل في حالة الطوارئ يمكن أن تتيح للضحية الانفراد بشغل المنزل وتقيد قدرة الجاني على التواصل مع الضحية أو مع أفراد عائلة الضحية أو الاقتراب منهم. ويمكن لأوامر مساعدة الضحايا أن تشمل تعويضات نقدية من الجاني وتصاريح بدخول المكان تسمح لضباط الشرطة الحصول على إذن بدخول منزل يشتبه في أنه يشهد عنفا أسريا. والمرحلة الثانية من تقييم لفعالية قانون ضحايا العنف المنزلي سيتم إنجازها في عام 1999.</w:t>
      </w:r>
    </w:p>
    <w:p w:rsidR="00000000" w:rsidRDefault="00000000">
      <w:pPr>
        <w:pStyle w:val="SingleTxt"/>
        <w:tabs>
          <w:tab w:val="left" w:pos="2904"/>
        </w:tabs>
        <w:ind w:left="1264" w:right="1264"/>
        <w:rPr>
          <w:rtl/>
        </w:rPr>
      </w:pPr>
      <w:r>
        <w:rPr>
          <w:rtl/>
        </w:rPr>
        <w:t>112 -</w:t>
      </w:r>
      <w:r>
        <w:rPr>
          <w:rtl/>
        </w:rPr>
        <w:tab/>
        <w:t>وقد عمدت ولايات تشريعية أخرى في كندا إلى إنفاذ قوانين مماثلة، فقانون ضحايا العنف الأسري في جزيرة الأمير إدوارد هو أول قانون بالمقاطعات يشمل الإيذاء العاطفي كشكل من أشكال العنف. ويُعد قانون العنف المنزلي ومنع المطاردة والحماية وتعويض المجني عليهم وما ينجم عن ذلك من تعديلات، هو الأول من نوعه الذي يتصدى لمعالجة التعويض عن التحرش وقد أنفذت يوكون قانونها لمنع العنف الأسري وقانون منع الجريمة ومؤسسة خدمات المجني عليهم. ومن جانبها فإن قانون ألبرتا وهو قانون الحماية ضد العنف الأسري دخل إلى المجلس التشريعي خلال دورة الربيع لعام 1998.</w:t>
      </w:r>
    </w:p>
    <w:p w:rsidR="00000000" w:rsidRDefault="00000000">
      <w:pPr>
        <w:pStyle w:val="SingleTxt"/>
        <w:tabs>
          <w:tab w:val="left" w:pos="2904"/>
        </w:tabs>
        <w:ind w:left="1264" w:right="1264"/>
        <w:rPr>
          <w:rtl/>
        </w:rPr>
      </w:pPr>
      <w:r>
        <w:rPr>
          <w:b/>
          <w:bCs/>
          <w:rtl/>
        </w:rPr>
        <w:t>التدريب والتثقيف في نظام العدالة الجنائية</w:t>
      </w:r>
    </w:p>
    <w:p w:rsidR="00000000" w:rsidRDefault="00000000">
      <w:pPr>
        <w:pStyle w:val="SingleTxt"/>
        <w:tabs>
          <w:tab w:val="left" w:pos="2904"/>
        </w:tabs>
        <w:ind w:left="1264" w:right="1264"/>
        <w:rPr>
          <w:rtl/>
        </w:rPr>
      </w:pPr>
      <w:r>
        <w:rPr>
          <w:rtl/>
        </w:rPr>
        <w:t>113 -</w:t>
      </w:r>
      <w:r>
        <w:rPr>
          <w:rtl/>
        </w:rPr>
        <w:tab/>
        <w:t>منذ كانون الثاني/يناير 1997، أدى مشروع التثقيف في المجال الاجتماعي في المعهد القضائي الوطني إلى وضع وتنفيذ سلسلة من البرامج التي تتدارس السياق الاجتماعي لاتخاذ القرارات القضائية بالمحاكم في طول البلاد وعرضها. وخلال هذه البرامج تدارس القضاة مسائل من قبيل المساواة وعدم التحيُّز واستقلال القضاء وعملية صنع القرار، فضلا عن النظر في احتياجات المرأة والمجتمعات المحرومة كمجتمعات شعوب السكان الأصليين والأقليات العرقية. وتتاح البرامج سواء للقضاة المعينين اتحاديا أو المعيَّنين على مستوى المقاطعات.</w:t>
      </w:r>
    </w:p>
    <w:p w:rsidR="00000000" w:rsidRDefault="00000000">
      <w:pPr>
        <w:pStyle w:val="SingleTxt"/>
        <w:tabs>
          <w:tab w:val="left" w:pos="2904"/>
        </w:tabs>
        <w:ind w:left="1264" w:right="1264"/>
        <w:rPr>
          <w:rtl/>
        </w:rPr>
      </w:pPr>
      <w:r>
        <w:rPr>
          <w:rtl/>
        </w:rPr>
        <w:t>114 -</w:t>
      </w:r>
      <w:r>
        <w:rPr>
          <w:rtl/>
        </w:rPr>
        <w:tab/>
        <w:t>وفي إطار مبادرة العنف الأسري، توفِّر الحكومة الاتحادية سبل التدريب في مجال العنف الأسري ضمن اختصاصها في قطاع العدالة. وقد تلقى هذا التدريب أيضا العاملون في شرطة الخيالة الكندية الملكية وفي دائرة كندا للإصلاحيات وأعضاء مجلس الإفراج المشروط.</w:t>
      </w:r>
    </w:p>
    <w:p w:rsidR="00000000" w:rsidRDefault="00000000">
      <w:pPr>
        <w:pStyle w:val="SingleTxt"/>
        <w:tabs>
          <w:tab w:val="left" w:pos="2904"/>
        </w:tabs>
        <w:ind w:left="1264" w:right="1264"/>
        <w:rPr>
          <w:rtl/>
        </w:rPr>
      </w:pPr>
      <w:r>
        <w:rPr>
          <w:rtl/>
        </w:rPr>
        <w:t>115 -</w:t>
      </w:r>
      <w:r>
        <w:rPr>
          <w:rtl/>
        </w:rPr>
        <w:tab/>
        <w:t>وفي إطار مبادرة العنف الأسري، استضافت وزارة العدل في كندا، في آذار/مارس 1998، المنتدى المعني بقضايا الإيذاء الزواجية، المعقود على المستوى الاتحادي ومستوى المقاطعات والأقاليم لمناقشة وتبادل أفضل الممارسات من جانب الشرطة والمدعين العامين ودوائر خدمة المجني عليهم وخبراء السياسات فيما يتعلق بحالات الإيذاء بين الزوجين.</w:t>
      </w:r>
    </w:p>
    <w:p w:rsidR="00000000" w:rsidRDefault="00000000">
      <w:pPr>
        <w:pStyle w:val="SingleTxt"/>
        <w:tabs>
          <w:tab w:val="left" w:pos="2904"/>
        </w:tabs>
        <w:ind w:left="1264" w:right="1264"/>
        <w:rPr>
          <w:rtl/>
        </w:rPr>
      </w:pPr>
      <w:r>
        <w:rPr>
          <w:rtl/>
        </w:rPr>
        <w:t>116 -</w:t>
      </w:r>
      <w:r>
        <w:rPr>
          <w:rtl/>
        </w:rPr>
        <w:tab/>
        <w:t>ونظَّمت كلية الشرطة الكندية الدورة الأولى المعنية بالعنف الأسري على المستوى القومي بالتعاون مع رؤساء الأقوام الأولى في رابطة الشرطة بتمويل مقدَّم من مديرية شرطة السكان الأصليين في دائرة المحامي العام لكندا. وقُدِّمت الدورة في خمس مناسبات: أيار/مايو 1994 وآذار/مارس 1995 و 1996 و 1997 ثم كانون الثاني/يناير 1998. وقصدت الدورة إلى تزويد ضباط الشرطة في الأقوام الأولى بالمهارات والخبرات لكي يتعاملوا مع العنف الأسري في المحميات. وهذه الدورة التي تستغرق ثلاثة أسابيع تهيئ سُبل التدريب على تقنيات التحقيق بما في ذلك مواجهة الجاني ومؤازرة ضحايا العنف الأسري ومحاولة توجيه المجني عليه والمعتدي نحو الموارد السليمة سواء على المستوى المجتمعي أو مستوى نظام العدالة. وبعد تدريب ضباط الشرطة في الأقوام الأولى في مجال التحقيق في العنف الأسري يصبح بوسعهم أن يعملوا على مساعدة النساء اللائي يعشن في المحميات لكي يشعرن بمزيد من الاطمئنان عند إبلاغ الشرطة عن الجرائم التي تقع.</w:t>
      </w:r>
    </w:p>
    <w:p w:rsidR="00000000" w:rsidRDefault="00000000">
      <w:pPr>
        <w:pStyle w:val="SingleTxt"/>
        <w:tabs>
          <w:tab w:val="left" w:pos="2904"/>
        </w:tabs>
        <w:ind w:left="1264" w:right="1264"/>
        <w:rPr>
          <w:rtl/>
        </w:rPr>
      </w:pPr>
      <w:r>
        <w:rPr>
          <w:b/>
          <w:bCs/>
          <w:rtl/>
        </w:rPr>
        <w:t>دعم الإجراءات المجتمعية</w:t>
      </w:r>
    </w:p>
    <w:p w:rsidR="00000000" w:rsidRDefault="00000000">
      <w:pPr>
        <w:pStyle w:val="SingleTxt"/>
        <w:tabs>
          <w:tab w:val="left" w:pos="2904"/>
        </w:tabs>
        <w:ind w:left="1264" w:right="1264"/>
        <w:rPr>
          <w:rtl/>
        </w:rPr>
      </w:pPr>
      <w:r>
        <w:rPr>
          <w:rtl/>
        </w:rPr>
        <w:t>117 -</w:t>
      </w:r>
      <w:r>
        <w:rPr>
          <w:rtl/>
        </w:rPr>
        <w:tab/>
        <w:t>تقدِّم الحكومة الاتحادية التمويل للمشاريع التي تتصدى للعنف الموجه ضد المرأة في طائفة متنوعة من السياقات المجتمعية وفيما يلي بعض الأمثلة:</w:t>
      </w:r>
    </w:p>
    <w:p w:rsidR="00000000" w:rsidRDefault="00000000">
      <w:pPr>
        <w:pStyle w:val="SingleTxt"/>
        <w:tabs>
          <w:tab w:val="left" w:pos="2904"/>
        </w:tabs>
        <w:ind w:left="1264" w:right="1264"/>
        <w:rPr>
          <w:rtl/>
        </w:rPr>
      </w:pPr>
      <w:r>
        <w:rPr>
          <w:rtl/>
        </w:rPr>
        <w:t>118 -</w:t>
      </w:r>
      <w:r>
        <w:rPr>
          <w:rtl/>
        </w:rPr>
        <w:tab/>
        <w:t>شبكات مراكز الصداقة مع السكان الأصليين طوَّرت إطاراً للخدمات والبرامج التي تلبي احتياجات المرأة الحضرية في مجتمعات السكان الأصليين. وقام فريق العمل النسائي المجتمعي في الأقاليم الشمالية الغربية بتطوير سلسلة نماذج تدريبية مجتمعية بثلاث من لغات السكان الأصليين.</w:t>
      </w:r>
    </w:p>
    <w:p w:rsidR="00000000" w:rsidRDefault="00000000">
      <w:pPr>
        <w:pStyle w:val="SingleTxt"/>
        <w:tabs>
          <w:tab w:val="left" w:pos="2904"/>
        </w:tabs>
        <w:ind w:left="1264" w:right="1264"/>
        <w:rPr>
          <w:rtl/>
        </w:rPr>
      </w:pPr>
      <w:r>
        <w:rPr>
          <w:rtl/>
        </w:rPr>
        <w:t>119 -</w:t>
      </w:r>
      <w:r>
        <w:rPr>
          <w:rtl/>
        </w:rPr>
        <w:tab/>
        <w:t>ائتلاف كلغاري لمناهضة العنف الأسري بتمويل من وزارة وضع المرأة عمل على نطاق واسع مع دور مأوى النساء ومنازل الانتقال ليكفل تلبية احتياجات النساء المهاجرات ونساء الأقليات الواضحة. وأدى المشروع إلى تغييرات في السياسات والإجراءات التي تتخذها الوكالات على صعيد حركة دور المأوى بأسرها، شاملا في ذلك مجالات عدة مثل التزويد بالموظفين وتدريبهم والتغذية ورعاية الطفولة والمفسِّرين الثقافيين.</w:t>
      </w:r>
    </w:p>
    <w:p w:rsidR="00000000" w:rsidRDefault="00000000">
      <w:pPr>
        <w:pStyle w:val="SingleTxt"/>
        <w:tabs>
          <w:tab w:val="left" w:pos="2904"/>
        </w:tabs>
        <w:ind w:left="1264" w:right="1264"/>
        <w:rPr>
          <w:rtl/>
        </w:rPr>
      </w:pPr>
      <w:r>
        <w:rPr>
          <w:rtl/>
        </w:rPr>
        <w:t>120 -</w:t>
      </w:r>
      <w:r>
        <w:rPr>
          <w:rtl/>
        </w:rPr>
        <w:tab/>
        <w:t>فريق نساء إكوي يوك الذي أنشئ عام 1988 ليمثل مصالح النساء من السكان الأصليين في أمة نشوابي اسكي بشمالي اونتاريو. والنساء المنتميات إلى 25 من مجتمعات الأقوام الأولى المعزولة ممثَّلات في هذا المجال وكانت وزارة وضع المرأة في كندا شريكا رئيسيا في دعم أكوي يوك لكي يتم وضع وتنفيذ استراتيجية ثلاثية السنوات مناهضة للعنف في المجتمعات الشمالية. كما توضع أدلة تدريب مناهضة للعنف على أساس لقاءات مع النساء في مجتمعات الأقوام الأولى. وهذه الأدلة الصادرة بالإنكليزية ولغة أوجي كري كانت تُستخدم على نطاق واسع في تدريب العاملين في المجالات الصحية والاجتماعية. وبالإضافة إلى ذلك تم تدريب النساء المحليات على تنظيم حلقات عمل ومؤازرة النساء في تلك المجتمعات المحلية.</w:t>
      </w:r>
    </w:p>
    <w:p w:rsidR="00000000" w:rsidRDefault="00000000">
      <w:pPr>
        <w:pStyle w:val="SingleTxt"/>
        <w:tabs>
          <w:tab w:val="left" w:pos="2904"/>
        </w:tabs>
        <w:ind w:left="1264" w:right="1264"/>
        <w:rPr>
          <w:rtl/>
        </w:rPr>
      </w:pPr>
      <w:r>
        <w:rPr>
          <w:rtl/>
        </w:rPr>
        <w:t>121 -</w:t>
      </w:r>
      <w:r>
        <w:rPr>
          <w:rtl/>
        </w:rPr>
        <w:tab/>
        <w:t>وفي إطار مبادرة العنف الأسري، بُذلت جهود لزيادة سُبل الحصول على المعلومات والوصول إلى الخدمات وهذه الجهود كثيرا ما انصبت على المجتمع المحلي. وفي عام 1995 أصدرت الحكومة كتيِّبا للنساء المهاجرات تحت عنوان “الأذى خطأ بأي لغة” كما كانت الحكومة أحد الأطراف الرئيسية التي تولت إصدار وثيقة رابطة الصحة العقلية الكندية تحت عنوان “التآزر ضد العنف: جدول أعمال لإجراءات متضافرة".</w:t>
      </w:r>
    </w:p>
    <w:p w:rsidR="00000000" w:rsidRDefault="00000000">
      <w:pPr>
        <w:pStyle w:val="SingleTxt"/>
        <w:tabs>
          <w:tab w:val="left" w:pos="2904"/>
        </w:tabs>
        <w:ind w:left="1264" w:right="1264"/>
        <w:rPr>
          <w:rtl/>
        </w:rPr>
      </w:pPr>
      <w:r>
        <w:rPr>
          <w:rtl/>
        </w:rPr>
        <w:t>122 -</w:t>
      </w:r>
      <w:r>
        <w:rPr>
          <w:rtl/>
        </w:rPr>
        <w:tab/>
        <w:t>وقد اعتُمد لبرنامج التعددية الثقافية التابع لوزارة التراث في كندا مبلغ سنوي قدره 000 215 دولار لبرامج منع العنف الأسري ضمن إطار مبادرة العنف الأسري ولصالح المجتمعات العرقية ومجتمعات الأقليات الواضحة، ولا سيما أعضاء المجتمعات المذكورة الذين لا يجيدون لا الإنكليزية ولا الفرنسية. ويعمل البرنامج المذكور مع شركاء من منظمات غير حكومية محلية في أكبر المراكز الحضرية الكندية الثلاثة من أجل وضع برامج لغوية تراثية بشأن العنف الأسري، منها ما يتعلق بإيذاء الأطفال، فضلا عن تشغيل البث في محطات إذاعية وتليفزيونية إثنية. كما تعاون مع كبرى محطات التليفزيون الكندي المتعددة اللغات على إعداد إعلان خدمة عامة مدته ثلاثون ثانية عن أثر العنف الأسري على الأطفال. وتم إنتاج الإعلان في 14 لغة وجرى بثه في جميع محطات التليفزيون الإثنية الرئيسية في جميع أنحاء كندا.</w:t>
      </w:r>
    </w:p>
    <w:p w:rsidR="00000000" w:rsidRDefault="00000000">
      <w:pPr>
        <w:pStyle w:val="SingleTxt"/>
        <w:tabs>
          <w:tab w:val="left" w:pos="2904"/>
        </w:tabs>
        <w:ind w:left="1264" w:right="1264"/>
        <w:rPr>
          <w:rtl/>
        </w:rPr>
      </w:pPr>
      <w:r>
        <w:rPr>
          <w:rtl/>
        </w:rPr>
        <w:t>123 -</w:t>
      </w:r>
      <w:r>
        <w:rPr>
          <w:rtl/>
        </w:rPr>
        <w:tab/>
        <w:t>ومن عام 1992 إلى عام 1995، وباسم مبادرة العنف الأسري، قُدِّم تمويل من جانب مجلس بحوث العلوم الاجتماعية والإنسانية ووزارة الصحة بكندا لإنشاء خمسة مراكز بحوث تعنى بالعنف الأسري والعنف الموجَّه ضد المرأة في كل أنحاء كندا. وعلى أساس شراكات فيما بين العاملين الميدانيين وموظفي الحكومة والأكاديميين، يواصل كل مركز إجراء بحوث مشتركة تتاح نتائجها من مركز التنسيق الوطني بوزارة صحة كندا المعني بالعنف الأسري. وفي عام 1996 شكَّلت المراكز تحالفا وفي عام 1998 قدَّمت وزارة وضع المرأة مساعدات مالية للتحالف لوضع توصيات من أجل استراتيجية وطنية متعلقة بمنع العنف الأسري وبالطفلة الأنثى.</w:t>
      </w:r>
    </w:p>
    <w:p w:rsidR="00000000" w:rsidRDefault="00000000">
      <w:pPr>
        <w:pStyle w:val="SingleTxt"/>
        <w:tabs>
          <w:tab w:val="left" w:pos="2904"/>
        </w:tabs>
        <w:ind w:left="1264" w:right="1264"/>
        <w:rPr>
          <w:rtl/>
        </w:rPr>
      </w:pPr>
      <w:r>
        <w:rPr>
          <w:b/>
          <w:bCs/>
          <w:rtl/>
        </w:rPr>
        <w:t>مبادرات التوعية والتثقيف</w:t>
      </w:r>
    </w:p>
    <w:p w:rsidR="00000000" w:rsidRDefault="00000000">
      <w:pPr>
        <w:pStyle w:val="SingleTxt"/>
        <w:tabs>
          <w:tab w:val="left" w:pos="2904"/>
        </w:tabs>
        <w:ind w:left="1264" w:right="1264"/>
        <w:rPr>
          <w:rtl/>
        </w:rPr>
      </w:pPr>
      <w:r>
        <w:rPr>
          <w:rtl/>
        </w:rPr>
        <w:t>124 -</w:t>
      </w:r>
      <w:r>
        <w:rPr>
          <w:rtl/>
        </w:rPr>
        <w:tab/>
        <w:t>عن طريق المجلس الوطني للفيلم، تواصل الحكومة الاتحادية إنتاج الأفلام التي تحفز على الحوار وتعزِّز العمل بشأن مسألة العنف الموجَّه ضد المرأة. ومنذ عام 1995، دعم مجلس الفيلم إنتاج أكثر من 10 أعمال بالإنكليزية والفرنسية تركِّز على العنف الموجَّه ضد المرأة بما في ذلك أعمال بعنوان “من الحب إلى العنف: ثلاث نساء يتكلمن” و “لا يجوز لك أن تضرب امرأة” و “رسائل مختلطة: صور المرأة في وسائل الإعلام”. وعن طريق شراكة مع مركز التنسيق الوطني المعني بالعنف الأسري، وُزِّعت هذه الأفلام على 38 من المكتبات الشريكة في كل أنحاء كندا.</w:t>
      </w:r>
    </w:p>
    <w:p w:rsidR="00000000" w:rsidRDefault="00000000">
      <w:pPr>
        <w:pStyle w:val="SingleTxt"/>
        <w:tabs>
          <w:tab w:val="left" w:pos="2904"/>
        </w:tabs>
        <w:ind w:left="1264" w:right="1264"/>
        <w:rPr>
          <w:rtl/>
        </w:rPr>
      </w:pPr>
      <w:r>
        <w:rPr>
          <w:rtl/>
        </w:rPr>
        <w:t>125 -</w:t>
      </w:r>
      <w:r>
        <w:rPr>
          <w:rtl/>
        </w:rPr>
        <w:tab/>
        <w:t>كما أعدت وزارة العدل في كندا مواد إعلامية متنوعة لتوعية الكنديين بحقوقهم ومسؤولياتهم بموجب القانون بما في ذلك كتيِّب بعنوان “المضايقة جريمة اسمها التحرُّش الجنائي” بالإضافة إلى دليل يشرح كيفية إجراء تحليل للمساواة الجنسانية في إطار الدعاوى المرفوعة في قضايا العنف الأسري. وأعدت الوزارة كذلك مواد إعلامية حول الإيذاء بين الزوجين للنساء المهاجرات ومقدمي الخدمات لهن وكذلك حول تعهدات إشاعة السلام.</w:t>
      </w:r>
    </w:p>
    <w:p w:rsidR="00000000" w:rsidRDefault="00000000">
      <w:pPr>
        <w:pStyle w:val="SingleTxt"/>
        <w:tabs>
          <w:tab w:val="left" w:pos="2904"/>
        </w:tabs>
        <w:ind w:left="1264" w:right="1264"/>
        <w:rPr>
          <w:rtl/>
        </w:rPr>
      </w:pPr>
      <w:r>
        <w:rPr>
          <w:rtl/>
        </w:rPr>
        <w:t>126 -</w:t>
      </w:r>
      <w:r>
        <w:rPr>
          <w:rtl/>
        </w:rPr>
        <w:tab/>
        <w:t>وفي عام 1995، قدَّم الفريق العامل الاتحادي المشترك بين الوزارات والمعني بتشويه الأعضاء التناسلية الأنثوية دعما للمشاورات المجتمعية التي دارت حول هذا الموضوع مع إعداد استعراض للأدبيات الصادرة في هذا الشأن. وفي عام 1998 نُظِّمت حلقة عمل لنموذج تدريبي للمجتمعات المحلية من أجل التصدي للجوانب الصحية والقانونية والثقافية لهذه الممارسة.</w:t>
      </w:r>
    </w:p>
    <w:p w:rsidR="00000000" w:rsidRDefault="00000000">
      <w:pPr>
        <w:pStyle w:val="SingleTxt"/>
        <w:tabs>
          <w:tab w:val="left" w:pos="2904"/>
        </w:tabs>
        <w:ind w:left="1264" w:right="1264"/>
        <w:rPr>
          <w:rtl/>
        </w:rPr>
      </w:pPr>
      <w:r>
        <w:rPr>
          <w:rtl/>
        </w:rPr>
        <w:t>127 -</w:t>
      </w:r>
      <w:r>
        <w:rPr>
          <w:rtl/>
        </w:rPr>
        <w:tab/>
        <w:t>وفي نيسان/أبريل 1995، أطلقت الحكومة الاتحادية، في إطار مبادرة العنف الأسري، وبالاشتراك مع الرابطة الكندية للإذاعيين، حملة وطنية من جزأين تقصد إلى زيادة الوعي بشأن العنف وتغيير اتجاهات الأهالي إزاء العنف. ومن العناصر الرئيسية لتلك الحملة التي كان عنوانها “ارفع صوتك ضد العنف” جاءت الإذاعة التي بُثت على نطاق قومي لسلسلة من إعلانات الخدمة العامة الإذاعية والتليفزيونية. وركَّزت المرحلة الأولى من الحملة على رسائل تقصد إلى زيادة الوعي بشأن العنف بشكل عام.</w:t>
      </w:r>
    </w:p>
    <w:p w:rsidR="00000000" w:rsidRDefault="00000000">
      <w:pPr>
        <w:pStyle w:val="SingleTxt"/>
        <w:tabs>
          <w:tab w:val="left" w:pos="2904"/>
        </w:tabs>
        <w:ind w:left="1264" w:right="1264"/>
        <w:rPr>
          <w:rtl/>
        </w:rPr>
      </w:pPr>
      <w:r>
        <w:rPr>
          <w:rtl/>
        </w:rPr>
        <w:t>128 -</w:t>
      </w:r>
      <w:r>
        <w:rPr>
          <w:rtl/>
        </w:rPr>
        <w:tab/>
        <w:t>أما المرحلة الثانية من الحملة فقد بدأت في نيسان/أبريل 1996 واستغرقت سنة كاملة وجاء عنوانها “العنف: تستطيع أن تحدث تغييرا” وتجاوزت مجرد زيادة الوعي بقضية العنف إلى حيث قدَّمت معلومات عملية للكنديين لاتخاذ إجراءات ضد العنف. ودارت حول سلسلة جديدة من الإعلانات التليفزيونية والإذاعية عن مواضيع العنف الموجَّه ضد المرأة والعنف الموجه ضد الطفل والتوعية الإعلامية. ولدعم هذه الحملة تم وضع مواد مطبوعة ومن ثم توزيعها على المجتمعات المحلية على صعيد كندا بأسرها.</w:t>
      </w:r>
    </w:p>
    <w:p w:rsidR="00000000" w:rsidRDefault="00000000">
      <w:pPr>
        <w:pStyle w:val="SingleTxt"/>
        <w:tabs>
          <w:tab w:val="left" w:pos="2904"/>
        </w:tabs>
        <w:ind w:left="1264" w:right="1264"/>
        <w:rPr>
          <w:rtl/>
        </w:rPr>
      </w:pPr>
      <w:r>
        <w:rPr>
          <w:rtl/>
        </w:rPr>
        <w:t>129 -</w:t>
      </w:r>
      <w:r>
        <w:rPr>
          <w:rtl/>
        </w:rPr>
        <w:tab/>
        <w:t>وخلصت عملية تقييم للمرحلة الثانية من هذه المبادرة إلى أن الحملة كانت ناجحة حيث أوضحت أن مسائل العنف، بما في ذلك العنف الأسري، كانت موضع انشغال للكنديين، وأن إعلانات الخدمة العامة التليفزيونية والإذاعية لقيت قبولا حسنا، وأن المواد المطبوعة كانت مفيدة بالنسبة لطائفة عريضة من العاملين الميدانيين ومن وكالات الخدمة وغير ذلك من العناصر التي تتعامل في هذا الموضوع.</w:t>
      </w:r>
    </w:p>
    <w:p w:rsidR="00000000" w:rsidRDefault="00000000">
      <w:pPr>
        <w:pStyle w:val="SingleTxt"/>
        <w:tabs>
          <w:tab w:val="left" w:pos="2904"/>
        </w:tabs>
        <w:ind w:left="1264" w:right="1264"/>
        <w:rPr>
          <w:rtl/>
        </w:rPr>
      </w:pPr>
      <w:r>
        <w:rPr>
          <w:rtl/>
        </w:rPr>
        <w:t>130 -</w:t>
      </w:r>
      <w:r>
        <w:rPr>
          <w:rtl/>
        </w:rPr>
        <w:tab/>
        <w:t>وفي حزيران/يونيه 1996، أصدر منتدى الوزراء المسؤولين عن وضع المرأة على مستوى الاتحاد والمقاطعات والأقاليم، دليلا مرجعيا بعنوان “ما وراء العنف: نحو آفاق أكثر طموحاً” وهذا الدليل يصنِّف مبادرات منع العنف والتدخُّل لمنعه على صعيد البلد ويرمي إلى مساعدة الحكومات والمنظمات المجتمعية على تقاسم المعلومات بشأن أفضل الممارسات وتحاشي الازدواجية غير اللازمة.</w:t>
      </w:r>
    </w:p>
    <w:p w:rsidR="00000000" w:rsidRDefault="00000000">
      <w:pPr>
        <w:pStyle w:val="SingleTxt"/>
        <w:tabs>
          <w:tab w:val="left" w:pos="2904"/>
        </w:tabs>
        <w:ind w:left="1264" w:right="1264"/>
        <w:rPr>
          <w:rtl/>
        </w:rPr>
      </w:pPr>
      <w:r>
        <w:rPr>
          <w:rtl/>
        </w:rPr>
        <w:t>131 -</w:t>
      </w:r>
      <w:r>
        <w:rPr>
          <w:rtl/>
        </w:rPr>
        <w:tab/>
        <w:t>ومن أجل الاحتفال بيوم الذكرى والعمل الوطني لمناهضة العنف ضد المرأة في كندا (6 كانون الأول/ديسمبر) في عام 1998 صدر “إعلان إكاليت المعني بالعنف الموجَّه ضد المرأة” عن الوزراء المسؤولين عن وضع المرأة على صعيد الاتحاد والمقاطعات والأقاليم. ويعكس الإعلان الرؤية المشتركة للوزراء المعنيين بوضع المرأة في كندا بشأن مجتمعات آمنة وصحية في كل منطقة من البلاد. وكذلك التزامات الحكومة بإنهاء العنف الموجَّه ضد المرأة.</w:t>
      </w:r>
    </w:p>
    <w:p w:rsidR="00000000" w:rsidRDefault="00000000">
      <w:pPr>
        <w:pStyle w:val="SingleTxt"/>
        <w:tabs>
          <w:tab w:val="left" w:pos="2904"/>
        </w:tabs>
        <w:ind w:left="1264" w:right="1264"/>
        <w:rPr>
          <w:rtl/>
        </w:rPr>
      </w:pPr>
      <w:r>
        <w:rPr>
          <w:b/>
          <w:bCs/>
          <w:rtl/>
        </w:rPr>
        <w:t>دور إيواء النساء اللائي يفارقن حالات الإيذاء</w:t>
      </w:r>
    </w:p>
    <w:p w:rsidR="00000000" w:rsidRDefault="00000000">
      <w:pPr>
        <w:pStyle w:val="SingleTxt"/>
        <w:tabs>
          <w:tab w:val="left" w:pos="2904"/>
        </w:tabs>
        <w:ind w:left="1264" w:right="1264"/>
        <w:rPr>
          <w:rtl/>
        </w:rPr>
      </w:pPr>
      <w:r>
        <w:rPr>
          <w:rtl/>
        </w:rPr>
        <w:t>132 -</w:t>
      </w:r>
      <w:r>
        <w:rPr>
          <w:rtl/>
        </w:rPr>
        <w:tab/>
        <w:t>يتاح في دور الانتقال في كندا أكثر من 000 85 مكانا لنزول النساء والأطفال المعالين كل سنة. ونسبة 80 في المائة من هؤلاء النساء يعمدن إلى الفرار من حالات تعرُّضهن للأذى. ومن 1 نيسان/أبريل 1997 إلى 31 آذار/مارس 1998، كان هناك 792 90 من حالات الالتحاق إلى 413 مرفقا أجابت على سؤال الاستقصاء ومنها 962 47 امرأة و830 42 طفلا. وفي زاوية ملتقطة في 20 نيسان/أبريل 1998 كان هناك 422 من دور الإيواء التي قدَّمت بيانات أفـــادت فيهـــا أن لديها 115 6 مقيما منهم 918 2 امرأة و197 3 طفلا بصحبتهن. وما يقرب من 80 في المائة من النساء والأطفال الذين يعيشون في دور المأوى في ذلك اليوم كانوا قد نزلوا فيها فرارا من أن يلحقهم الأذى. وهؤلاء النساء كن هاربات من إيذاء سيكولوجي (78 في المائة) أو عدوان بدني (67 في المائة) أو تهديدات (48 في المائة) فضلا عن الاعتداء الجنسي (26 في المائة) . أما حالات الالتحاق التي لم تكن معرَّضة للإيذاء سواء للنساء أو الأطفال فقد نجمت بصورة عامة عن مشاكل الإسكان (ما يكاد يقارب ثلاثة أرباع هؤلاء النساء التحقن لأسباب لا تتصل بحالات الإيذاء).</w:t>
      </w:r>
    </w:p>
    <w:p w:rsidR="00000000" w:rsidRDefault="00000000">
      <w:pPr>
        <w:pStyle w:val="SingleTxt"/>
        <w:tabs>
          <w:tab w:val="left" w:pos="2904"/>
        </w:tabs>
        <w:ind w:left="1264" w:right="1264"/>
        <w:rPr>
          <w:rtl/>
        </w:rPr>
      </w:pPr>
      <w:r>
        <w:rPr>
          <w:rtl/>
        </w:rPr>
        <w:t>133 -</w:t>
      </w:r>
      <w:r>
        <w:rPr>
          <w:rtl/>
        </w:rPr>
        <w:tab/>
        <w:t xml:space="preserve">وقد وظَّفت الحكومة الاتحادية استثمارات كبيرة لبناء وتدعيم دور المأوى في كندا وجاء التزامها بتقديم وتدعيم الإسكان للنساء والأطفال في حالات الأزمات ليشكِّل إجراءً مستمرا عن طريق برنامج تدعيم المأوى بحجم 4.3 مليون دولار الذي بدأ في عام 1996. ثم عملت الحكومة الاتحادية على رفع مستوى ما هو قائم حاليا من إسكان المرحلة الثانية ودور المأوى في حالات الطوارئ كي ما تُلبي المعايير المقبولة من ناحية الصحة والسلامة والأمن فضلا عن تلبية احتياجات الأطفال والعملاء المسنين والأشخاص من ذوي الإعاقات. كما شيَّدت دور مأوى جديدة في حالات طوارئ العنف الأسري في مجتمعات الأقوام الأولى. وافتتحت في الفترة 1998 </w:t>
      </w:r>
      <w:r>
        <w:t>–</w:t>
      </w:r>
      <w:r>
        <w:rPr>
          <w:rtl/>
        </w:rPr>
        <w:t xml:space="preserve"> 1999. ومنذ عام 1995 كانت 000 3 من دور المأوى قد تم تعزيزها بموجب هذا البرنامج.</w:t>
      </w:r>
    </w:p>
    <w:p w:rsidR="00000000" w:rsidRDefault="00000000">
      <w:pPr>
        <w:pStyle w:val="SingleTxt"/>
        <w:tabs>
          <w:tab w:val="left" w:pos="2904"/>
        </w:tabs>
        <w:ind w:left="1264" w:right="1264"/>
        <w:rPr>
          <w:rtl/>
        </w:rPr>
      </w:pPr>
      <w:r>
        <w:rPr>
          <w:rtl/>
        </w:rPr>
        <w:t>134 -</w:t>
      </w:r>
      <w:r>
        <w:rPr>
          <w:rtl/>
        </w:rPr>
        <w:tab/>
        <w:t xml:space="preserve">على أن أكبر فترة للنمو جاءت في عقد الثمانينات حين بدأت قضايا العنف الموجَّه ضد المرأة والعنف الأسري تسترعي الاهتمام على جميع مستويات الحكم. وجاء معظم النمو بين عامي 1989 و 1998 نتيجة تطوير دور المأوى في مجتمعات السكان الأصليين وبالمناطق الريفية. وعلى سبيل المثال ففي عام 1998 كان 46 من دور المأوى تخدم المناطق الريفية (وقد تكون قد خدمت كذلك مناطق في المدن وضواحيها) ثم 29 في المائة قدَّمت خدمات إلى المحميات. على أن دور المأوى المأمونة حاليا في كندا تستوعب نحو 000 90 امرأة وطفل سنويا. وسوف يتم تقييم لبرنامج الحكومة الاتحادية لتعزيز المأوى في الفترة 2000 </w:t>
      </w:r>
      <w:r>
        <w:t>–</w:t>
      </w:r>
      <w:r>
        <w:rPr>
          <w:rtl/>
        </w:rPr>
        <w:t xml:space="preserve"> 2001. وفي إطار هذا التقييم سيتم تدارس مسألة “الاحتياج” ودرجة معالجة البرنامج لهذا الجانب قدر الإمكان.</w:t>
      </w:r>
    </w:p>
    <w:p w:rsidR="00000000" w:rsidRDefault="00000000">
      <w:pPr>
        <w:pStyle w:val="SingleTxt"/>
        <w:tabs>
          <w:tab w:val="left" w:pos="2904"/>
        </w:tabs>
        <w:ind w:left="1264" w:right="1264"/>
        <w:rPr>
          <w:rtl/>
        </w:rPr>
      </w:pPr>
      <w:r>
        <w:rPr>
          <w:b/>
          <w:bCs/>
          <w:rtl/>
        </w:rPr>
        <w:t>أحوال المرأة في السجن الاتحادي</w:t>
      </w:r>
    </w:p>
    <w:p w:rsidR="00000000" w:rsidRDefault="00000000">
      <w:pPr>
        <w:pStyle w:val="SingleTxt"/>
        <w:tabs>
          <w:tab w:val="left" w:pos="2904"/>
        </w:tabs>
        <w:ind w:left="1264" w:right="1264"/>
        <w:rPr>
          <w:rtl/>
        </w:rPr>
      </w:pPr>
      <w:r>
        <w:rPr>
          <w:rtl/>
        </w:rPr>
        <w:t>135 -</w:t>
      </w:r>
      <w:r>
        <w:rPr>
          <w:rtl/>
        </w:rPr>
        <w:tab/>
        <w:t>تشكِّل النساء اللائي يقضين فترات بمقتضى صدور أحكام اتحادية نحو 4 في المائة من مجموع المذنبين الاتحاديين. وأكثر من نصف النساء المذنبات البالغ عددهن 850 امرأة موجودات في المجتمع على أساس إفراج مشروط.</w:t>
      </w:r>
    </w:p>
    <w:p w:rsidR="00000000" w:rsidRDefault="00000000">
      <w:pPr>
        <w:pStyle w:val="SingleTxt"/>
        <w:tabs>
          <w:tab w:val="left" w:pos="2904"/>
        </w:tabs>
        <w:ind w:left="1264" w:right="1264"/>
        <w:rPr>
          <w:rtl/>
        </w:rPr>
      </w:pPr>
      <w:r>
        <w:rPr>
          <w:rtl/>
        </w:rPr>
        <w:t>136 -</w:t>
      </w:r>
      <w:r>
        <w:rPr>
          <w:rtl/>
        </w:rPr>
        <w:tab/>
        <w:t>وفي عام 1990، أوصت قوة العمل المعنية بالنساء الصادر بحقِّهن أحكام اتحادية بأن يستعاض عن السجن الاتحادي الوحيد للنساء بأربعة مرافق إقليمية بالإضافة إلى نُزل علاجي للسكان الأصليين. كما أوصت قوة العمل بأن يتم تشغيل هذه المرافق على أساس نموذج العيش في المجتمع المحلي وأن يتم وضع برامج تكون المرأة محورها.</w:t>
      </w:r>
    </w:p>
    <w:p w:rsidR="00000000" w:rsidRDefault="00000000">
      <w:pPr>
        <w:pStyle w:val="SingleTxt"/>
        <w:tabs>
          <w:tab w:val="left" w:pos="2904"/>
        </w:tabs>
        <w:ind w:left="1264" w:right="1264"/>
        <w:rPr>
          <w:rtl/>
        </w:rPr>
      </w:pPr>
      <w:r>
        <w:rPr>
          <w:rtl/>
        </w:rPr>
        <w:t>137 -</w:t>
      </w:r>
      <w:r>
        <w:rPr>
          <w:rtl/>
        </w:rPr>
        <w:tab/>
        <w:t xml:space="preserve">وهذه المرافق الجديدة الخمسة التي تستوعب النساء على أساس حدٍ متوسطٍ وأدنى من الأمن، بدأت تعمل منذ نهاية السنة المالية 1996 </w:t>
      </w:r>
      <w:r>
        <w:t>–</w:t>
      </w:r>
      <w:r>
        <w:rPr>
          <w:rtl/>
        </w:rPr>
        <w:t xml:space="preserve"> 1997 وهي قائمة في نوفاسكوتشيا وكيبيك وأونتاريو وساسكاتشيوان وألبرتا. وأصبحت الآن نسبة 85 في المائة من النساء من الصادر ضدهن أحكام اتحادية من نزيلات تلك المرافق.</w:t>
      </w:r>
    </w:p>
    <w:p w:rsidR="00000000" w:rsidRDefault="00000000">
      <w:pPr>
        <w:pStyle w:val="SingleTxt"/>
        <w:tabs>
          <w:tab w:val="left" w:pos="2904"/>
        </w:tabs>
        <w:ind w:left="1264" w:right="1264"/>
        <w:rPr>
          <w:rtl/>
        </w:rPr>
      </w:pPr>
      <w:r>
        <w:rPr>
          <w:rtl/>
        </w:rPr>
        <w:t>138 -</w:t>
      </w:r>
      <w:r>
        <w:rPr>
          <w:rtl/>
        </w:rPr>
        <w:tab/>
        <w:t>وفي نيسان/أبريل 1996، أي بأشهر قليلة قبل افتتاح المرافق الجديدة، أصدرت لجنة التحقيق في الشغب الذي شهده سجن كنغستون للنساء تقريرها. وهذه اللجنة المعروفة باسم لجنة أربور أيَّدت بشكل عام دائرة الإصلاحيات في كندا في خططها للمرافق الجديدة، ولكنها قدمت توصيات عديدة تهدف لاتخاذ المزيد من الخطوات التي تضمن استمرار إضفاء التحسينات في إدارة أمور المذنبات. وفي معرض الاستجابة لهذا التقرير التزمت الحكومة الاتحادية باتخاذ تدابير رئيسية عديدة تشمل ما يلي:</w:t>
      </w:r>
    </w:p>
    <w:p w:rsidR="00000000" w:rsidRDefault="00000000">
      <w:pPr>
        <w:pStyle w:val="SingleTxt"/>
        <w:tabs>
          <w:tab w:val="left" w:pos="2904"/>
        </w:tabs>
        <w:ind w:left="1264" w:right="1264"/>
        <w:rPr>
          <w:rtl/>
        </w:rPr>
      </w:pPr>
      <w:r>
        <w:rPr>
          <w:rtl/>
        </w:rPr>
        <w:t>139 -</w:t>
      </w:r>
      <w:r>
        <w:rPr>
          <w:rtl/>
        </w:rPr>
        <w:tab/>
        <w:t>تم تعيين نائب للمفوِّض المعني بإصلاحيات النساء لتولي المسؤولية عن وضع جميع السياسات والبرامج المتعلقة بالنساء المذنبات في نظام الإصلاحيات الاتحادية.</w:t>
      </w:r>
    </w:p>
    <w:p w:rsidR="00000000" w:rsidRDefault="00000000">
      <w:pPr>
        <w:pStyle w:val="SingleTxt"/>
        <w:tabs>
          <w:tab w:val="left" w:pos="2904"/>
        </w:tabs>
        <w:ind w:left="1264" w:right="1264"/>
        <w:rPr>
          <w:rtl/>
        </w:rPr>
      </w:pPr>
      <w:r>
        <w:rPr>
          <w:rtl/>
        </w:rPr>
        <w:t>140 -</w:t>
      </w:r>
      <w:r>
        <w:rPr>
          <w:rtl/>
        </w:rPr>
        <w:tab/>
        <w:t>تم تعيين مراقب خارجي كي يتولى عمليات الإشراف والإبلاغ السنوي على مدار الثلاث سنوات القادمة بشأن الآثار المنتظمة، في حال وجودها، الناجمة عن توظيف أفراد من الجنسين في المؤسسات النسائية الإقليمية. وبدأ المشروع في كانون الثاني/يناير 1998 حيث صدر التقرير السنوي الثاني في عام 1990 ويجري الآن تنفيذ المشروع في مرحلته النهائية.</w:t>
      </w:r>
    </w:p>
    <w:p w:rsidR="00000000" w:rsidRDefault="00000000">
      <w:pPr>
        <w:pStyle w:val="SingleTxt"/>
        <w:tabs>
          <w:tab w:val="left" w:pos="2904"/>
        </w:tabs>
        <w:ind w:left="1264" w:right="1264"/>
        <w:rPr>
          <w:rtl/>
        </w:rPr>
      </w:pPr>
      <w:r>
        <w:rPr>
          <w:rtl/>
        </w:rPr>
        <w:t>141 -</w:t>
      </w:r>
      <w:r>
        <w:rPr>
          <w:rtl/>
        </w:rPr>
        <w:tab/>
        <w:t>عدلت دائرة الإصلاحيات في كندا سياستها بما يؤكد أنه لن يكون في مؤسسة النساء بحال من الأحوال فريق استجابة لحالات الطوارئ المؤسسية مؤلف فقط من الذكور ويجري استخدامه كأداة لأول استجابة. كما لن يشارك موظفون من الرجال قط، بل ولن يشهدوا أي تفتيش ذاتي للنزيلات من الإناث.</w:t>
      </w:r>
    </w:p>
    <w:p w:rsidR="00000000" w:rsidRDefault="00000000">
      <w:pPr>
        <w:pStyle w:val="SingleTxt"/>
        <w:tabs>
          <w:tab w:val="left" w:pos="2904"/>
        </w:tabs>
        <w:ind w:left="1264" w:right="1264"/>
        <w:rPr>
          <w:rtl/>
        </w:rPr>
      </w:pPr>
      <w:r>
        <w:rPr>
          <w:rtl/>
        </w:rPr>
        <w:t>142 -</w:t>
      </w:r>
      <w:r>
        <w:rPr>
          <w:rtl/>
        </w:rPr>
        <w:tab/>
        <w:t>يوجد حاليا أمر حصري في مؤسسة إدمونتون للنساء ويخوِّل دائرة الإصلاحيات في كندا سلطة أن تقتصر على النساء فقط كموظفات في الميدان لمدة ثلاث سنوات ريثما تصدر التوصيات النهائية لمراقب التوظيف من الجنسين.</w:t>
      </w:r>
    </w:p>
    <w:p w:rsidR="00000000" w:rsidRDefault="00000000">
      <w:pPr>
        <w:pStyle w:val="SingleTxt"/>
        <w:tabs>
          <w:tab w:val="left" w:pos="2904"/>
        </w:tabs>
        <w:ind w:left="1264" w:right="1264"/>
        <w:rPr>
          <w:rtl/>
        </w:rPr>
      </w:pPr>
      <w:r>
        <w:rPr>
          <w:rtl/>
        </w:rPr>
        <w:t>143 -</w:t>
      </w:r>
      <w:r>
        <w:rPr>
          <w:rtl/>
        </w:rPr>
        <w:tab/>
        <w:t>لم يقتصر تشغيل المرافق الجديدة للنساء على التصميم المادي فقط ولكن تعدى الأمر إلى إقرار استراتيجية جديدة معنية بالنساء المذنبات وبرنامج فريد في بابه لاختيار وتدريب الموظفين. وبالإضافة إلى التدريب المعياري لموظف الإصلاحية، يُطلب إلى الموظفين الميدانيين المشاركة في دورة تدريب نموذجية محورها المرأة تستغرق 10 أيام.</w:t>
      </w:r>
    </w:p>
    <w:p w:rsidR="00000000" w:rsidRDefault="00000000">
      <w:pPr>
        <w:pStyle w:val="SingleTxt"/>
        <w:tabs>
          <w:tab w:val="left" w:pos="2904"/>
        </w:tabs>
        <w:ind w:left="1264" w:right="1264"/>
        <w:rPr>
          <w:rtl/>
        </w:rPr>
      </w:pPr>
      <w:r>
        <w:rPr>
          <w:rtl/>
        </w:rPr>
        <w:t>144 -</w:t>
      </w:r>
      <w:r>
        <w:rPr>
          <w:rtl/>
        </w:rPr>
        <w:tab/>
        <w:t xml:space="preserve">يُعد نُزل أوكيماو أوشي للنساء من شعوب السكان الأصليين هو المؤسسة الأولى من نوعها في كندا، وقد تم تطويره بمشاركة من مجتمع الأقوام الأولى ولمصلحة هذا المجتمع. أما غالبية الموظفين، بمن فيهن كيكاوينو (مديرة المؤسسة </w:t>
      </w:r>
      <w:r>
        <w:t>–</w:t>
      </w:r>
      <w:r>
        <w:rPr>
          <w:rtl/>
        </w:rPr>
        <w:t xml:space="preserve"> “أمنا” بلغة الكري) فهم منحدرون من أصول السكان الأصليين. وقد تم افتتاح النُزل المذكور في عام 1996 قرب مابل كريك في ساسكاتشيوان وتبلغ طاقة استيعابه 28 من المذنبات. كما أن عمليات التدخل لدى النساء تستند إلى أعراف السكان الأصليين مع تركيز شديد على الثقافة والجوانب الروحية. وهناك تتاح خدمات موقعية على سبيل التفرغ لكبار السن كما أن من العناصر الرئيسية في هذا الصدد تلك الرابطة القوية بين البرامج وبين مجتمع السكان الأصليين الأوسع. كما يتاح للمذنبات في النُزل المذكور فرصة المشاركة في برنامج الإقامة الذي يجمع بين الأم والطفل.</w:t>
      </w:r>
    </w:p>
    <w:p w:rsidR="00000000" w:rsidRDefault="00000000">
      <w:pPr>
        <w:pStyle w:val="SingleTxt"/>
        <w:tabs>
          <w:tab w:val="left" w:pos="2904"/>
        </w:tabs>
        <w:ind w:left="1264" w:right="1264"/>
        <w:rPr>
          <w:rtl/>
        </w:rPr>
      </w:pPr>
      <w:r>
        <w:rPr>
          <w:rtl/>
        </w:rPr>
        <w:t>145 -</w:t>
      </w:r>
      <w:r>
        <w:rPr>
          <w:rtl/>
        </w:rPr>
        <w:tab/>
        <w:t>وفي ظل وجود المرافق الإقليمية، هيأت دائرة الإصلاحيات في كندا بيئة تزوِّد المرأة بالفرص المطلوبة من أجل أن تتحمل المسؤولية وتتعلم مهارات جديدة وتنجح في العودة إلى المجتمع الذي تنتمي إليه. وتستند عمليات التصميم والتشغيل المؤسسية إلى نموذج للحياة داخل مجتمع. فالسكن للنزيلات يُقدَّم من خلال مساكن منفصلة ولكنها تتجمع خلف مبنى رئيسي يشمل مكاتب الموظفين وحيِّز تنفيذ البرنامج ووحدة رعاية صحية وساحة للزيارات. ولكل مرفق وحدة أمن مُعزَّزة تضم زنازين تُستخدَم للعَزل وكذلك للاستقبال الأوَّلي بالنسبة للنزيلات الجُدد. وتستوعب كل دار عددا يتراوح بين 6 و 10 نساء وتشمل حيِّزا للمعيشة المشتركة ومطبخا وحيِّزا للطعام وحمامات وغرفة منافع/غسيل وممرا يفضي إلى الطابق الأرضي والنساء في كل دار مسؤولات عن جميع احتياجاتهن اليومية للمعيشة بما في ذلك الطهي والتنظيف والغسيل وما إليه. وليس هناك موظفون في الدور وإن كان الأمر يشهد تفتيشات منتظمة. وفضلا عن ذلك فالمرافق يحدق بها جميعا سور مزوَّد بنظام للاحتجاز كما أن الأبواب والنوافذ مزوَّدة بأجهزة إنذار في كل دار.</w:t>
      </w:r>
    </w:p>
    <w:p w:rsidR="00000000" w:rsidRDefault="00000000">
      <w:pPr>
        <w:pStyle w:val="SingleTxt"/>
        <w:tabs>
          <w:tab w:val="left" w:pos="2904"/>
        </w:tabs>
        <w:ind w:left="1264" w:right="1264"/>
        <w:rPr>
          <w:rtl/>
        </w:rPr>
      </w:pPr>
      <w:r>
        <w:rPr>
          <w:rtl/>
        </w:rPr>
        <w:t>146 -</w:t>
      </w:r>
      <w:r>
        <w:rPr>
          <w:rtl/>
        </w:rPr>
        <w:tab/>
        <w:t xml:space="preserve">وخلال الفترة 1996 </w:t>
      </w:r>
      <w:r>
        <w:t>–</w:t>
      </w:r>
      <w:r>
        <w:rPr>
          <w:rtl/>
        </w:rPr>
        <w:t xml:space="preserve"> 1997 أصبح من الواضح أن مفهوم الحياة داخل المجتمع وأن تصميم هذه المرافق لا يلبيان احتياجات الأمن القصوى بالنسبة للنساء من ذوات الاحتياجات الماسَّة من حيث الصحة العقلية سواء من ناحية الأمن أو البرامج. وعلى أساس استعراض شامل للعمليات وتقييم للنزيلات أصبح واضحا أن بعضهن يمكن أن يشكلن خطرا جسيما على السلامة بصورة لا سبيل إلى القبول بها أو أن وضعهن من حيث الصحة العقلية بلغ الدرجة التي لا يمكن معها ممارسة التدخل العيادي الملائم في الأجل الطويل  في إطار عملية العيش المجتمعي بالمؤسسات الإقليمية. وبعد تدارس عدد من الخيارات، يتم استخدام أماكن للسكن متاحة في المرافق القائمة حيث يُفصَل النساء في الإقامة عن الرجال باعتبار ذلك تدبيرا مرحلياً.</w:t>
      </w:r>
    </w:p>
    <w:p w:rsidR="00000000" w:rsidRDefault="00000000">
      <w:pPr>
        <w:pStyle w:val="SingleTxt"/>
        <w:tabs>
          <w:tab w:val="left" w:pos="2904"/>
        </w:tabs>
        <w:ind w:left="1264" w:right="1264"/>
        <w:rPr>
          <w:rtl/>
        </w:rPr>
      </w:pPr>
      <w:r>
        <w:rPr>
          <w:rtl/>
        </w:rPr>
        <w:t>147 -</w:t>
      </w:r>
      <w:r>
        <w:rPr>
          <w:rtl/>
        </w:rPr>
        <w:tab/>
        <w:t>كذلك فقد قامت دائرة كندا للإصلاحيات بتنفيذ برنامجين مكثَّفين لعلاج الصحة العقلية أحدهما في المركز الإقليمي النفساني في منطقة بريري والآخر في سجن النساء في أونتاريو للنساء اللائي يعانين مشاكل صعبة في مجال الصحة العقلية.</w:t>
      </w:r>
    </w:p>
    <w:p w:rsidR="00000000" w:rsidRDefault="00000000">
      <w:pPr>
        <w:pStyle w:val="SingleTxt"/>
        <w:tabs>
          <w:tab w:val="left" w:pos="2904"/>
        </w:tabs>
        <w:ind w:left="1264" w:right="1264"/>
        <w:rPr>
          <w:rtl/>
        </w:rPr>
      </w:pPr>
      <w:r>
        <w:rPr>
          <w:rtl/>
        </w:rPr>
        <w:t>148 -</w:t>
      </w:r>
      <w:r>
        <w:rPr>
          <w:rtl/>
        </w:rPr>
        <w:tab/>
        <w:t>وتمثِّل مبادرة النساء المذنبات في دائرة الإصلاحيات بكندا طريقة جديدة ومبتكرة لإسكان النساء ومساعدتهن. وحتى الآن ثبت أنها نهج ناجح في التدخلات التقويمية بالنسبة للنساء المذنبات. ومن المتوقع أن تستمر المبادرة في التطور ضمن إطار الاستجابة الجنسانية الذي تم إقراره في تقرير قوة العمل الصادر عن 1990 بعنوان “خلق الخيارات”.</w:t>
      </w:r>
    </w:p>
    <w:p w:rsidR="00000000" w:rsidRDefault="00000000">
      <w:pPr>
        <w:pStyle w:val="SingleTxt"/>
        <w:tabs>
          <w:tab w:val="left" w:pos="2904"/>
        </w:tabs>
        <w:ind w:left="1264" w:right="1264"/>
        <w:rPr>
          <w:rtl/>
        </w:rPr>
      </w:pPr>
      <w:r>
        <w:rPr>
          <w:b/>
          <w:bCs/>
          <w:rtl/>
        </w:rPr>
        <w:t>تقديم الدعم للمرأة في مجتمع السكان الأصليين</w:t>
      </w:r>
    </w:p>
    <w:p w:rsidR="00000000" w:rsidRDefault="00000000">
      <w:pPr>
        <w:pStyle w:val="SingleTxt"/>
        <w:tabs>
          <w:tab w:val="left" w:pos="2904"/>
        </w:tabs>
        <w:ind w:left="1264" w:right="1264"/>
        <w:rPr>
          <w:rtl/>
        </w:rPr>
      </w:pPr>
      <w:r>
        <w:rPr>
          <w:rtl/>
        </w:rPr>
        <w:t>149 -</w:t>
      </w:r>
      <w:r>
        <w:rPr>
          <w:rtl/>
        </w:rPr>
        <w:tab/>
        <w:t>في كانون الثاني/يناير 1998، أطلقت حكومة كندا خطة العمل للسكان الأصليين بعنوان استجماع القوى وهي خطة شاملة طويلة الأجل تهدف إلى التنمية الصحية لمجتمعات السكان الأصليين من أجل أن تكون مكتفية ذاتيا وقابلة للاستمرار اقتصاديا.</w:t>
      </w:r>
    </w:p>
    <w:p w:rsidR="00000000" w:rsidRDefault="00000000">
      <w:pPr>
        <w:pStyle w:val="SingleTxt"/>
        <w:tabs>
          <w:tab w:val="left" w:pos="2904"/>
        </w:tabs>
        <w:ind w:left="1264" w:right="1264"/>
        <w:rPr>
          <w:rtl/>
        </w:rPr>
      </w:pPr>
      <w:r>
        <w:rPr>
          <w:rtl/>
        </w:rPr>
        <w:t>150 -</w:t>
      </w:r>
      <w:r>
        <w:rPr>
          <w:rtl/>
        </w:rPr>
        <w:tab/>
        <w:t>وخطة استجماع القوى تطرح التزامات ضمن إطار أربعة مواضيع: تجديد الشراكات، وتدعيم إدارة الحكم على مستوى مجتمع السكان الأصليي،ن وتطوير علاقة مالية جديدة وبناء المجتمعات المحلية والأفراد والاقتصادات على أسس متينة. والهدف الذي يتوخاه هذا الجدول المتكامل للأعمال هو تحسين الظروف المعيشية وتنمية المهارات المرتبطة بالعمالة وتعزيز التطور الاقتصادي.</w:t>
      </w:r>
    </w:p>
    <w:p w:rsidR="00000000" w:rsidRDefault="00000000">
      <w:pPr>
        <w:pStyle w:val="SingleTxt"/>
        <w:tabs>
          <w:tab w:val="left" w:pos="2904"/>
        </w:tabs>
        <w:ind w:left="1264" w:right="1264"/>
        <w:rPr>
          <w:rtl/>
        </w:rPr>
      </w:pPr>
      <w:r>
        <w:rPr>
          <w:rtl/>
        </w:rPr>
        <w:t>151 -</w:t>
      </w:r>
      <w:r>
        <w:rPr>
          <w:rtl/>
        </w:rPr>
        <w:tab/>
        <w:t>وتعيش نساء السكان الأصليين في فقر، ومن ثم يستفدن من مبادرات استجماع القوة المتكاملة والعديدة وبخاصة:</w:t>
      </w:r>
    </w:p>
    <w:p w:rsidR="00000000" w:rsidRDefault="00000000">
      <w:pPr>
        <w:pStyle w:val="SingleTxt"/>
        <w:tabs>
          <w:tab w:val="left" w:pos="1628"/>
          <w:tab w:val="left" w:pos="2904"/>
        </w:tabs>
        <w:ind w:left="1927" w:right="1264" w:hanging="663"/>
        <w:rPr>
          <w:rtl/>
        </w:rPr>
      </w:pPr>
      <w:r>
        <w:rPr>
          <w:rtl/>
        </w:rPr>
        <w:tab/>
      </w:r>
      <w:r>
        <w:rPr>
          <w:rtl/>
        </w:rPr>
        <w:tab/>
        <w:t>•</w:t>
      </w:r>
      <w:r>
        <w:rPr>
          <w:rtl/>
        </w:rPr>
        <w:tab/>
        <w:t>وضع إطار لإصلاحات برامج الرعاية مع التركيز على التنمية الاقتصادية وإيجاد فرص العمل</w:t>
      </w:r>
    </w:p>
    <w:p w:rsidR="00000000" w:rsidRDefault="00000000">
      <w:pPr>
        <w:pStyle w:val="SingleTxt"/>
        <w:tabs>
          <w:tab w:val="left" w:pos="1628"/>
          <w:tab w:val="left" w:pos="2904"/>
        </w:tabs>
        <w:ind w:left="1927" w:right="1264" w:hanging="663"/>
        <w:rPr>
          <w:rtl/>
        </w:rPr>
      </w:pPr>
      <w:r>
        <w:rPr>
          <w:rtl/>
        </w:rPr>
        <w:tab/>
      </w:r>
      <w:r>
        <w:rPr>
          <w:rtl/>
        </w:rPr>
        <w:tab/>
        <w:t>•</w:t>
      </w:r>
      <w:r>
        <w:rPr>
          <w:rtl/>
        </w:rPr>
        <w:tab/>
        <w:t>استراتيجية تنمية الموارد البشرية للسكان الأصليين التي تشمل برامج سوق العمل ورعاية الأطفال</w:t>
      </w:r>
    </w:p>
    <w:p w:rsidR="00000000" w:rsidRDefault="00000000">
      <w:pPr>
        <w:pStyle w:val="SingleTxt"/>
        <w:tabs>
          <w:tab w:val="left" w:pos="1628"/>
          <w:tab w:val="left" w:pos="2904"/>
        </w:tabs>
        <w:ind w:left="1927" w:right="1264" w:hanging="663"/>
        <w:rPr>
          <w:rtl/>
        </w:rPr>
      </w:pPr>
      <w:r>
        <w:rPr>
          <w:rtl/>
        </w:rPr>
        <w:tab/>
      </w:r>
      <w:r>
        <w:rPr>
          <w:rtl/>
        </w:rPr>
        <w:tab/>
        <w:t>•</w:t>
      </w:r>
      <w:r>
        <w:rPr>
          <w:rtl/>
        </w:rPr>
        <w:tab/>
        <w:t>مبادرة مشاركة السكان الأصليين في قوة العمل التي تزيد من فرص التعيين والاستخدام والاستبقاء والترقية للسكان الأصليين</w:t>
      </w:r>
    </w:p>
    <w:p w:rsidR="00000000" w:rsidRDefault="00000000">
      <w:pPr>
        <w:pStyle w:val="SingleTxt"/>
        <w:tabs>
          <w:tab w:val="left" w:pos="1628"/>
          <w:tab w:val="left" w:pos="2904"/>
        </w:tabs>
        <w:ind w:left="1927" w:right="1264" w:hanging="663"/>
        <w:rPr>
          <w:rtl/>
        </w:rPr>
      </w:pPr>
      <w:r>
        <w:rPr>
          <w:rtl/>
        </w:rPr>
        <w:tab/>
      </w:r>
      <w:r>
        <w:rPr>
          <w:rtl/>
        </w:rPr>
        <w:tab/>
        <w:t>•</w:t>
      </w:r>
      <w:r>
        <w:rPr>
          <w:rtl/>
        </w:rPr>
        <w:tab/>
        <w:t>زيادة التمويل لأغراض الإسكان ومشاريع المياه والصرف الصحي في المحميات</w:t>
      </w:r>
    </w:p>
    <w:p w:rsidR="00000000" w:rsidRDefault="00000000">
      <w:pPr>
        <w:pStyle w:val="SingleTxt"/>
        <w:tabs>
          <w:tab w:val="left" w:pos="1628"/>
          <w:tab w:val="left" w:pos="2904"/>
        </w:tabs>
        <w:ind w:left="1264" w:right="1264"/>
        <w:rPr>
          <w:rtl/>
        </w:rPr>
      </w:pPr>
      <w:r>
        <w:rPr>
          <w:rtl/>
        </w:rPr>
        <w:t>152 -</w:t>
      </w:r>
      <w:r>
        <w:rPr>
          <w:rtl/>
        </w:rPr>
        <w:tab/>
        <w:t xml:space="preserve">وقد اضطلعت كندا بعمليات بحث وتطوير لصالح دعم منظمي المشاريع من السكان الأصليين. وتشمل البرامج في هذا الصدد: هيئة التجارة والأعمال للسكان الأصليين في كندا، وصندوق الفرص ومركز تنمية الأعمال للسكان الأصليين، واستراتيجية التجارة والأعمال للشباب من السكان الأصليين في كندا ودليل التصدير والتجارة للسكان الأصليين. وهذه البرامج مفيدة بالذات للمرأة من شعوب السكان الأصليين باعتبار أن زيادة أعداد النساء في مجال الاستخدام لحساب النفس يبلغ ضعف نظيره للنساء بشكل عام. وثمة برنامج إضافي هو استراتيجية المشتروات للأعمال التجارية للسكان الأصليين وقد تم تطويره من جانب وزارة الشؤون الهندية والتنمية الشمالية، وتدعمه وزارة الخدمات والأشغال الحكومية في كندا. وفي عام 1998 </w:t>
      </w:r>
      <w:r>
        <w:t>–</w:t>
      </w:r>
      <w:r>
        <w:rPr>
          <w:rtl/>
        </w:rPr>
        <w:t xml:space="preserve"> 1999، مُنح 130 من العقود لشركات ممولة للسكان الأصليين.</w:t>
      </w:r>
    </w:p>
    <w:p w:rsidR="00000000" w:rsidRDefault="00000000">
      <w:pPr>
        <w:pStyle w:val="SingleTxt"/>
        <w:tabs>
          <w:tab w:val="left" w:pos="1628"/>
          <w:tab w:val="left" w:pos="2904"/>
        </w:tabs>
        <w:ind w:left="1264" w:right="1264"/>
        <w:rPr>
          <w:rtl/>
        </w:rPr>
      </w:pPr>
      <w:r>
        <w:rPr>
          <w:b/>
          <w:bCs/>
          <w:rtl/>
        </w:rPr>
        <w:t>النساء اللاجئات</w:t>
      </w:r>
    </w:p>
    <w:p w:rsidR="00000000" w:rsidRDefault="00000000">
      <w:pPr>
        <w:pStyle w:val="SingleTxt"/>
        <w:tabs>
          <w:tab w:val="left" w:pos="1628"/>
          <w:tab w:val="left" w:pos="2904"/>
        </w:tabs>
        <w:ind w:left="1264" w:right="1264"/>
        <w:rPr>
          <w:rtl/>
        </w:rPr>
      </w:pPr>
      <w:r>
        <w:rPr>
          <w:rtl/>
        </w:rPr>
        <w:t>153 -</w:t>
      </w:r>
      <w:r>
        <w:rPr>
          <w:rtl/>
        </w:rPr>
        <w:tab/>
        <w:t>صدر منشور عن مجلس استعراض الهجرة بعنوان “مبادئ توجيهية بشأن ادعاءات النساء اللاجئات عن خشية الاضطهاد على أساس نوع الجنس”. والمنشور صادر أساسا في عام 1993 ثم جرى استكماله في عام 1996 لتوضيح وتدعيم المبدأ القائل بأن الفصل في مسألة الاضطهاد الجنساني إنما يتطلب تبيان الصلات بين جنس المرأة والاضطهاد موضع الخشية وبين واحدٍ أو أكثر من الأسس العديدة للاضطهاد.</w:t>
      </w:r>
    </w:p>
    <w:p w:rsidR="00000000" w:rsidRDefault="00000000">
      <w:pPr>
        <w:pStyle w:val="SingleTxt"/>
        <w:tabs>
          <w:tab w:val="left" w:pos="1628"/>
          <w:tab w:val="left" w:pos="2904"/>
        </w:tabs>
        <w:ind w:left="1264" w:right="1264"/>
        <w:rPr>
          <w:rtl/>
        </w:rPr>
      </w:pPr>
      <w:r>
        <w:rPr>
          <w:rtl/>
        </w:rPr>
        <w:t>154 -</w:t>
      </w:r>
      <w:r>
        <w:rPr>
          <w:rtl/>
        </w:rPr>
        <w:tab/>
        <w:t>وقد أصبحت المبادئ التوجيهية تأخذ في اعتبارها قرارات المحكمة العليا لكندا التي تؤكد أن نوع الجنس يشكل الأساس لاستحقاق الحماية للفرد“بوصفه عضواً في فئة اجتماعية معيَّنة” وذلك يشكِّل أحد أسس الاعتراف باتفاقية مركز اللاجئين. وفضلا عن ذلك فالمبادئ التوجيهية المعدَّلة توضِّح أنه في سياق الحرب الأهلية ينبغي الاعتراف بالعنف الجنسي بوصفه اضطهادا جنسانيا.</w:t>
      </w:r>
    </w:p>
    <w:p w:rsidR="00000000" w:rsidRDefault="00000000">
      <w:pPr>
        <w:pStyle w:val="SingleTxt"/>
        <w:tabs>
          <w:tab w:val="left" w:pos="1628"/>
          <w:tab w:val="left" w:pos="2904"/>
        </w:tabs>
        <w:ind w:left="1264" w:right="1264"/>
        <w:rPr>
          <w:rtl/>
        </w:rPr>
      </w:pPr>
      <w:r>
        <w:rPr>
          <w:rtl/>
        </w:rPr>
        <w:t>155 -</w:t>
      </w:r>
      <w:r>
        <w:rPr>
          <w:rtl/>
        </w:rPr>
        <w:tab/>
        <w:t xml:space="preserve">وفي إطار الاستجابة إلى طلب من مفوض الأمم المتحدة السامي لشؤون اللاجئين في عام 1998، استضافت وزارة الجنسية والهجرة في كندا حلقة عمل دولية لموظفي الحكومات وللمنظمات غير الحكومية ولبرنامج النساء المعرَّضات للخطر الذين شاركوا في الحلقة لتدارس التحديات سواء التي تواجه الحكومات أو المنظمات غير الحكومية في تنفيذ البرامج الرامية إلى حماية النساء اللاجئات. وأعقب حلقة العمل المذكورة عقد حلقة عمل وطنية بشأن برنامج كندا للنساء المعرَّضات للخطر. وفي ضوء نتائج هاتين الحلقتين جاء مشروع الحماية العاجلة المنفَّذ عام 1999 وقد تم تجريبه على النساء اللائي تمس حاجتهن لحماية عاجلة وشمل التعجيل بالبت في اختيارهن وتوطينهن. والنساء المعرَّضات للخطر والمحتاجات لحماية عاجلة أصبح الآن يتم اختيارهن في مدى 24 ساعة ثم يتم توطينهن في كندا في غضون 48 </w:t>
      </w:r>
      <w:r>
        <w:t>–</w:t>
      </w:r>
      <w:r>
        <w:rPr>
          <w:rtl/>
        </w:rPr>
        <w:t xml:space="preserve"> 72 ساعة.</w:t>
      </w:r>
    </w:p>
    <w:p w:rsidR="00000000" w:rsidRDefault="00000000">
      <w:pPr>
        <w:pStyle w:val="SingleTxt"/>
        <w:tabs>
          <w:tab w:val="left" w:pos="1628"/>
          <w:tab w:val="left" w:pos="2904"/>
        </w:tabs>
        <w:ind w:left="1264" w:right="1264"/>
        <w:rPr>
          <w:rtl/>
        </w:rPr>
      </w:pPr>
      <w:r>
        <w:rPr>
          <w:b/>
          <w:bCs/>
          <w:rtl/>
        </w:rPr>
        <w:t>المقترحات الرامية إلى إصلاح قوانين الهجرة</w:t>
      </w:r>
    </w:p>
    <w:p w:rsidR="00000000" w:rsidRDefault="00000000">
      <w:pPr>
        <w:pStyle w:val="SingleTxt"/>
        <w:tabs>
          <w:tab w:val="left" w:pos="1628"/>
          <w:tab w:val="left" w:pos="2904"/>
        </w:tabs>
        <w:ind w:left="1264" w:right="1264"/>
        <w:rPr>
          <w:rtl/>
        </w:rPr>
      </w:pPr>
      <w:r>
        <w:rPr>
          <w:rtl/>
        </w:rPr>
        <w:t>156 -</w:t>
      </w:r>
      <w:r>
        <w:rPr>
          <w:rtl/>
        </w:rPr>
        <w:tab/>
        <w:t>في تشرين الثاني/نوفمبر 1996، أنشئ فريق استشاري مستقل لاستعراض القوانين المتعلقة بالهجرة وحماية المهاجرين. وعلى أساس تقرير الفريق الاستشاري لاستعراض القوانين (الصادر في كانون الثاني/يناير 1998) وعقب مشاورات عامة، طرحت وزارة الجنسية والهجرة مقترحات لإصلاح قوانين الهجرة في كندا. وهذه المقترحات قُدِّمت في وثيقة بعنوان “البناء على أساس وطيد للقرن الحادي والعشرين: اتجاهات جديدة لسياسات وتشريعات الهجرة واللاجئين”. وتشمل هذه الوثيقة مقترحات عديدة ذات أهمية خاصة بالنسبة للنساء اللائي يُنظر في أمرهن بغرض الهجرة.</w:t>
      </w:r>
    </w:p>
    <w:p w:rsidR="00000000" w:rsidRDefault="00000000">
      <w:pPr>
        <w:pStyle w:val="SingleTxt"/>
        <w:tabs>
          <w:tab w:val="left" w:pos="1628"/>
          <w:tab w:val="left" w:pos="2904"/>
        </w:tabs>
        <w:ind w:left="1264" w:right="1264"/>
        <w:rPr>
          <w:rtl/>
        </w:rPr>
      </w:pPr>
      <w:r>
        <w:rPr>
          <w:rtl/>
        </w:rPr>
        <w:t>157 -</w:t>
      </w:r>
      <w:r>
        <w:rPr>
          <w:rtl/>
        </w:rPr>
        <w:tab/>
        <w:t>وقد اقترحت اللجنة أن يتم مناقشة تخفيض ممكن (مع حكومات المقاطعات والأقاليم) في فترات الكفالة بالنسبة للأزواج والأطفال حيث المدة حاليا هي 10 سنوات لجميع الفئات بينما هي في كيبك 3 سنوات للأزواج. واتساقا مع القيم الكندية ومع السياسات الوطنية المهمة دعما للأسر والأطفال كان المقتَرَح حظر الكفالة بواسطة الأفراد المقصِّرين في أداء التزاماتهم بموجب أحكام من المحاكم (النفقة أو رعاية الطفل) وكذلك الأفراد المدانين في جرائم تشمل جريمة العنف المنزلي. ومن شأن إنفاذ حكم يوقف التزامات الكفالة في حالة ما كان الفرد الكفيل أو المهاجر موضع الكفالة مداناً بالعنف ضد الشخص الآخر، أن يعترف كذلك بالقرينة الدامغة بوجود الخطر على المجني عليه يمثله أي اتصال مع الشخص المدان.</w:t>
      </w:r>
    </w:p>
    <w:p w:rsidR="00000000" w:rsidRDefault="00000000">
      <w:pPr>
        <w:pStyle w:val="SingleTxt"/>
        <w:tabs>
          <w:tab w:val="left" w:pos="1628"/>
          <w:tab w:val="left" w:pos="2904"/>
        </w:tabs>
        <w:ind w:left="1264" w:right="1264"/>
        <w:rPr>
          <w:rtl/>
        </w:rPr>
      </w:pPr>
      <w:r>
        <w:rPr>
          <w:rtl/>
        </w:rPr>
        <w:t>158 -</w:t>
      </w:r>
      <w:r>
        <w:rPr>
          <w:rtl/>
        </w:rPr>
        <w:tab/>
        <w:t>وفي مجال اختيار المهاجرين، اقترحت الحكومة إجراء المزيد من البحث من أجل تحديد الأسلوب الذي يتبعه نظام جديد للاختيار كي يأخذ في اعتباره الإمكانيات التي يساهم بها الأزواج من الناحيتين الاجتماعية والاقتصادية. كما تدارست الحكومة سياساتها في مجال التوظيف لأزواج العاملين الأجانب المؤقتين، وأقرت برنامجا نموذجيا للأزواج من شأنه أن يكفل تلقائيا إصدار تصاريح العمل للأزواج الذين يصاحبون العاملين الأجانب من ذوي المهارات العالية الذين يدخلون كندا لفترة تزيد على ستة أشهر. ويجري حاليا النظر في برامج تتسم بطبيعة دائمة أكثر.</w:t>
      </w:r>
    </w:p>
    <w:p w:rsidR="00000000" w:rsidRDefault="00000000">
      <w:pPr>
        <w:pStyle w:val="SingleTxt"/>
        <w:tabs>
          <w:tab w:val="left" w:pos="1628"/>
          <w:tab w:val="left" w:pos="2904"/>
        </w:tabs>
        <w:ind w:left="1264" w:right="1264"/>
        <w:rPr>
          <w:rtl/>
        </w:rPr>
      </w:pPr>
      <w:r>
        <w:rPr>
          <w:b/>
          <w:bCs/>
          <w:rtl/>
        </w:rPr>
        <w:t>الأنشطة الدولية</w:t>
      </w:r>
    </w:p>
    <w:p w:rsidR="00000000" w:rsidRDefault="00000000">
      <w:pPr>
        <w:pStyle w:val="SingleTxt"/>
        <w:tabs>
          <w:tab w:val="left" w:pos="1628"/>
          <w:tab w:val="left" w:pos="2904"/>
        </w:tabs>
        <w:ind w:left="1264" w:right="1264"/>
        <w:rPr>
          <w:rtl/>
        </w:rPr>
      </w:pPr>
      <w:r>
        <w:rPr>
          <w:rtl/>
        </w:rPr>
        <w:t>159 -</w:t>
      </w:r>
      <w:r>
        <w:rPr>
          <w:rtl/>
        </w:rPr>
        <w:tab/>
        <w:t>تواصل كندا تعزيز دمج المنظور الجنساني ضمن الأنشطة الرئيسية في برامج وسياسات مفوضية الأمم المتحدة لشؤون اللاجئين. وقد كانت كندا من أبرز الدعاة إلى أن يتم داخل المفوضية المذكورة تعيين منسِّق أقدم للنساء اللاجئات في عام 1989 ووافقت على تزويد هذا المنصب بالموظفين والتمويل لمدة ثلاث سنوات. وقد وضَع المنسِّق الأقدم مبادئ توجيهية للمفوضية بشأن النساء اللاجئات وقد أصبح المنصب وظيفة دائمة في نطاق المفوضية مرتبطة بوحدة سياسات البرامج. ويُنظر إلى هذا المنصب بوصفه وسيلة مهمة لإدماج منظور جنساني في صلب الأنشطة المعمول بها. وما زالت كندا تؤيد بقوة أعمال المفوضية في هذا المضمار. وفضلا عن ذلك كانت كندا وسوف تظل، ناشطة في المناقشات التي تجريها اللجنة التنفيذية لمفوضية الأمم المتحدة لشؤون اللاجئين بشأن النتائج المتصلة بالاضطهاد على أساس نوع الجنس وبالنساء اللاجئات. وما برحت كندا تدعم التقارير التي تقدمها المفوضية بشأن الخطوات المتخذة لدمج الشواغل الجنسانية في صلب أنشطتها بما في ذلك الجهود المبذولة لمتابعة تنفيذ منهاج عمل بيجين.</w:t>
      </w:r>
    </w:p>
    <w:p w:rsidR="00000000" w:rsidRDefault="00000000">
      <w:pPr>
        <w:pStyle w:val="SingleTxt"/>
        <w:tabs>
          <w:tab w:val="left" w:pos="1628"/>
          <w:tab w:val="left" w:pos="2904"/>
        </w:tabs>
        <w:ind w:left="1264" w:right="1264"/>
        <w:rPr>
          <w:rtl/>
        </w:rPr>
      </w:pPr>
      <w:r>
        <w:rPr>
          <w:rtl/>
        </w:rPr>
        <w:t>160 -</w:t>
      </w:r>
      <w:r>
        <w:rPr>
          <w:rtl/>
        </w:rPr>
        <w:tab/>
        <w:t>وتنشط وزارة الخارجية والتجارة الدولية، في إطار لجنة الأمم المتحدة المعنية بوضع المرأة ولجنة حقوق الإنسان والجمعية العامة للأمم المتحدة، لتأييد القرارات التي تدعو إلى القضاء على العنف الموجَّه ضد المرأة بمن في ذلك الطفلة الأنثى، وللنظر إلى العنف الموجَّه ضد النساء بوصفه انتهاكا لما للمرأة من حقوق الإنسان وكذلك للقضاء على الممارسات التقليدية أو العرفية التي تؤثر على صحة النساء والفتيات بما في ذلك تشويه الأعضاء الجنسية للأنثى.</w:t>
      </w:r>
    </w:p>
    <w:p w:rsidR="00000000" w:rsidRDefault="00000000">
      <w:pPr>
        <w:pStyle w:val="SingleTxt"/>
        <w:tabs>
          <w:tab w:val="left" w:pos="1628"/>
          <w:tab w:val="left" w:pos="2904"/>
        </w:tabs>
        <w:ind w:left="1264" w:right="1264"/>
        <w:rPr>
          <w:rtl/>
        </w:rPr>
      </w:pPr>
      <w:r>
        <w:rPr>
          <w:rtl/>
        </w:rPr>
        <w:t>161 -</w:t>
      </w:r>
      <w:r>
        <w:rPr>
          <w:rtl/>
        </w:rPr>
        <w:tab/>
        <w:t>ونتيجة للقرار الذي تصدرته كندا في لجنة حقوق الإنسان عام 1994 تم تعيين مقررة خاصة معنية بالعنف (هي الآن في ولايتها الثالثة على مستوى اللجنة في عام 2000). وهذه المبادرة التي قادتها كندا في لجنة حقوق الإنسان ما برحت تحظى بتأييد متزايد حيث يزيد عدد المشاركين في دعمها على 70 من كل المجموعات الإقليمية.</w:t>
      </w:r>
    </w:p>
    <w:p w:rsidR="00000000" w:rsidRDefault="00000000">
      <w:pPr>
        <w:pStyle w:val="SingleTxt"/>
        <w:tabs>
          <w:tab w:val="left" w:pos="1628"/>
          <w:tab w:val="left" w:pos="2904"/>
        </w:tabs>
        <w:ind w:left="1264" w:right="1264"/>
        <w:rPr>
          <w:rtl/>
        </w:rPr>
      </w:pPr>
      <w:r>
        <w:rPr>
          <w:rtl/>
        </w:rPr>
        <w:t>162 -</w:t>
      </w:r>
      <w:r>
        <w:rPr>
          <w:rtl/>
        </w:rPr>
        <w:tab/>
        <w:t>كذلك أطلقت وزارة الخارجية والتجارة الدولية مؤخرا مبادرة جديدة للبحوث ووضع السياسات بشأن نوع الجنس وبناء السلام. وتركِّز هذه المبادرة على التجارب والتقارير والآثار والمنظورات الجنسانية الطابع والناجمة عن الصراع المسلح. ويسعى هذا الجهد السياسي إلى العمل، من منظور جنساني، على معالجة القضايا العريضة لإقرار السلام وتحقيق الأمن للبشر ووقف العنف. كما يتمثل الهدف في إدماج منظور جنساني في صلب سياسات بناء السلام وبرامج تنفيذ السلام التي تتولى الوزارة أمرها.</w:t>
      </w:r>
    </w:p>
    <w:p w:rsidR="00000000" w:rsidRDefault="00000000">
      <w:pPr>
        <w:pStyle w:val="SingleTxt"/>
        <w:tabs>
          <w:tab w:val="left" w:pos="1628"/>
          <w:tab w:val="left" w:pos="2904"/>
        </w:tabs>
        <w:ind w:left="1264" w:right="1264"/>
        <w:rPr>
          <w:rtl/>
        </w:rPr>
      </w:pPr>
      <w:r>
        <w:rPr>
          <w:rtl/>
        </w:rPr>
        <w:t>163 -</w:t>
      </w:r>
      <w:r>
        <w:rPr>
          <w:rtl/>
        </w:rPr>
        <w:tab/>
        <w:t>وتشارك وزارة الخارجية والتجارة الدولية في تطوير مبادرة التدريب المشتركة بين كندا والمملكة المتحدة بشأن التوعية الجنسانية للمشاركين المدنيين والعسكريين في عمليات السلام. والمنهج التدريبي الذي يتم وضعه سوف يعزِّز الوعي بالأبعاد الجنسانية لعمليات السلام ويزوِّد المشاركين بالقدرة على استخدام التحليلات الجنسانية في الميدان. ويتم هذا من خلال التزويد بالمهارات والأدوات العملية. ومن المتوقع أن ينفَّذ المشروع بداية في شهر آذار/مارس 2000.</w:t>
      </w:r>
    </w:p>
    <w:p w:rsidR="00000000" w:rsidRDefault="00000000">
      <w:pPr>
        <w:pStyle w:val="SingleTxt"/>
        <w:tabs>
          <w:tab w:val="left" w:pos="1628"/>
          <w:tab w:val="left" w:pos="2904"/>
        </w:tabs>
        <w:ind w:left="1264" w:right="1264"/>
        <w:rPr>
          <w:rtl/>
        </w:rPr>
      </w:pPr>
      <w:r>
        <w:rPr>
          <w:rtl/>
        </w:rPr>
        <w:t>164 -</w:t>
      </w:r>
      <w:r>
        <w:rPr>
          <w:rtl/>
        </w:rPr>
        <w:tab/>
        <w:t>وشارك مركز بيرسون لحفظ السلام بدوره في ترتيب دورة التدريب الجنساني لحفظة السلام، وهي دورة تقصد إلى توعية المشاركين في عمليات حفظ السلام إزاء الصدمات التي يمكن أن تنتاب النساء المحليات في مناطق العملية بما في ذلك الآثار الثقافية والدينية الناجمة عنها.</w:t>
      </w:r>
    </w:p>
    <w:p w:rsidR="00000000" w:rsidRDefault="00000000">
      <w:pPr>
        <w:pStyle w:val="SingleTxt"/>
        <w:tabs>
          <w:tab w:val="left" w:pos="1628"/>
          <w:tab w:val="left" w:pos="2904"/>
        </w:tabs>
        <w:ind w:left="1264" w:right="1264"/>
        <w:rPr>
          <w:b/>
          <w:bCs/>
          <w:rtl/>
        </w:rPr>
      </w:pPr>
      <w:r>
        <w:rPr>
          <w:b/>
          <w:bCs/>
          <w:szCs w:val="32"/>
          <w:rtl/>
        </w:rPr>
        <w:t>المادة 4: التدابير الخاصة المؤقتة</w:t>
      </w:r>
    </w:p>
    <w:p w:rsidR="00000000" w:rsidRDefault="00000000">
      <w:pPr>
        <w:pStyle w:val="SingleTxt"/>
        <w:tabs>
          <w:tab w:val="left" w:pos="1628"/>
          <w:tab w:val="left" w:pos="2904"/>
        </w:tabs>
        <w:ind w:left="1264" w:right="1264"/>
        <w:rPr>
          <w:rtl/>
        </w:rPr>
      </w:pPr>
      <w:r>
        <w:rPr>
          <w:b/>
          <w:bCs/>
          <w:rtl/>
        </w:rPr>
        <w:t>مساواة المرأة ودورها في القطاع المنظَّم اتحاديا</w:t>
      </w:r>
    </w:p>
    <w:p w:rsidR="00000000" w:rsidRDefault="00000000">
      <w:pPr>
        <w:pStyle w:val="SingleTxt"/>
        <w:tabs>
          <w:tab w:val="left" w:pos="1628"/>
          <w:tab w:val="left" w:pos="2904"/>
        </w:tabs>
        <w:ind w:left="1264" w:right="1264"/>
        <w:rPr>
          <w:rtl/>
        </w:rPr>
      </w:pPr>
      <w:r>
        <w:rPr>
          <w:rtl/>
        </w:rPr>
        <w:t>165 -</w:t>
      </w:r>
      <w:r>
        <w:rPr>
          <w:rtl/>
        </w:rPr>
        <w:tab/>
        <w:t>الحكومة الاتحادية هي واحد من أكبر أرباب عمل النساء في البلاد. وبهذه الصفة تتحمل المسؤولية عن استلام زمام القيادة في تعزيز المساواة الجنسانية في سلك الخدمة العامة. والحكومة الاتحادية ملتزمة بزيادة توظيف المرأة وإتاحة فرص التطور والترقية أمامها ضمن صفوف الخدمة الاتحادية العامة. ومن الأهداف الرئيسية الموضحة ضمن الخطة الاتحادية لمساواة الجنسين ما يتمثل في النهوض بمساواة الجنسين بين مستخدِمي الوزارات والوكالات الاتحادية.</w:t>
      </w:r>
    </w:p>
    <w:p w:rsidR="00000000" w:rsidRDefault="00000000">
      <w:pPr>
        <w:pStyle w:val="SingleTxt"/>
        <w:tabs>
          <w:tab w:val="left" w:pos="1628"/>
          <w:tab w:val="left" w:pos="2904"/>
        </w:tabs>
        <w:ind w:left="1264" w:right="1264"/>
        <w:rPr>
          <w:rtl/>
        </w:rPr>
      </w:pPr>
      <w:r>
        <w:rPr>
          <w:rtl/>
        </w:rPr>
        <w:t>166 -</w:t>
      </w:r>
      <w:r>
        <w:rPr>
          <w:rtl/>
        </w:rPr>
        <w:tab/>
        <w:t>وقد ارتفع تمثيل المرأة في سلك الخدمة الاتحادية العامة من 42 في المائة عام 1987 إلى 49.5 في المائة عام 1996 كما زاد هذا الرقم في عام 1998 إلى 50.5 في المائة. وبرغم أوجه التقدُّم هذه، ما زال يتعين على المرأة في الوظائف العامة أن تحقق التكافؤ الجنساني مع الرجل فيما يتعلق بالتطور الوظيفي والفرص المتاحة من أجل التقدم والأمن الوظيفي.</w:t>
      </w:r>
    </w:p>
    <w:p w:rsidR="00000000" w:rsidRDefault="00000000">
      <w:pPr>
        <w:pStyle w:val="SingleTxt"/>
        <w:tabs>
          <w:tab w:val="left" w:pos="1628"/>
          <w:tab w:val="left" w:pos="2904"/>
        </w:tabs>
        <w:ind w:left="1264" w:right="1264"/>
        <w:rPr>
          <w:rtl/>
        </w:rPr>
      </w:pPr>
      <w:r>
        <w:rPr>
          <w:rtl/>
        </w:rPr>
        <w:t>167 -</w:t>
      </w:r>
      <w:r>
        <w:rPr>
          <w:rtl/>
        </w:rPr>
        <w:tab/>
        <w:t>ويتخذ حاليا عدد من المبادرات لتحسين تمثيل المرأة في المهن غير التقليدية في سلك الخدمة العامة.</w:t>
      </w:r>
    </w:p>
    <w:p w:rsidR="00000000" w:rsidRDefault="00000000">
      <w:pPr>
        <w:pStyle w:val="SingleTxt"/>
        <w:tabs>
          <w:tab w:val="left" w:pos="1628"/>
          <w:tab w:val="left" w:pos="2904"/>
        </w:tabs>
        <w:ind w:left="1264" w:right="1264"/>
        <w:rPr>
          <w:rtl/>
        </w:rPr>
      </w:pPr>
      <w:r>
        <w:rPr>
          <w:rtl/>
        </w:rPr>
        <w:t>168 -</w:t>
      </w:r>
      <w:r>
        <w:rPr>
          <w:rtl/>
        </w:rPr>
        <w:tab/>
        <w:t>وهناك حملات للتوظيف يتم تنظيمها لاجتذاب النساء للعمل في المهن غير التقليدية والبرامج غير التقليدية ولتيسير التحوُّل من مجال موظفي الدعم الإداري إلى المجالات الوظيفية السريعة النمو والتي يكثر عليها الطلب ومنها مثلا علوم الحاسوب.</w:t>
      </w:r>
    </w:p>
    <w:p w:rsidR="00000000" w:rsidRDefault="00000000">
      <w:pPr>
        <w:pStyle w:val="SingleTxt"/>
        <w:tabs>
          <w:tab w:val="left" w:pos="1628"/>
          <w:tab w:val="left" w:pos="2904"/>
        </w:tabs>
        <w:ind w:left="1264" w:right="1264"/>
        <w:rPr>
          <w:rtl/>
        </w:rPr>
      </w:pPr>
      <w:r>
        <w:rPr>
          <w:rtl/>
        </w:rPr>
        <w:t>169 -</w:t>
      </w:r>
      <w:r>
        <w:rPr>
          <w:rtl/>
        </w:rPr>
        <w:tab/>
        <w:t>وثمة وزارات أدخلت العمل ببرامج خاصة للتعليم من أجل تعزيز فرص الترقية المتاحة للمرأة في المهن غير التقليدية.</w:t>
      </w:r>
    </w:p>
    <w:p w:rsidR="00000000" w:rsidRDefault="00000000">
      <w:pPr>
        <w:pStyle w:val="SingleTxt"/>
        <w:tabs>
          <w:tab w:val="left" w:pos="1628"/>
          <w:tab w:val="left" w:pos="2904"/>
        </w:tabs>
        <w:ind w:left="1264" w:right="1264"/>
        <w:rPr>
          <w:rtl/>
        </w:rPr>
      </w:pPr>
      <w:r>
        <w:rPr>
          <w:rtl/>
        </w:rPr>
        <w:t>170-</w:t>
      </w:r>
      <w:r>
        <w:rPr>
          <w:rtl/>
        </w:rPr>
        <w:tab/>
        <w:t>وثمة وزارات أخرى رسمت أهدافا تتوخى مشاركة المرأة في برامج التوظيف واجتياز الحواجز الوظيفية.</w:t>
      </w:r>
    </w:p>
    <w:p w:rsidR="00000000" w:rsidRDefault="00000000">
      <w:pPr>
        <w:pStyle w:val="SingleTxt"/>
        <w:tabs>
          <w:tab w:val="left" w:pos="1628"/>
          <w:tab w:val="left" w:pos="2904"/>
        </w:tabs>
        <w:ind w:left="1264" w:right="1264"/>
        <w:rPr>
          <w:rtl/>
        </w:rPr>
      </w:pPr>
      <w:r>
        <w:rPr>
          <w:rtl/>
        </w:rPr>
        <w:t>171-</w:t>
      </w:r>
      <w:r>
        <w:rPr>
          <w:rtl/>
        </w:rPr>
        <w:tab/>
        <w:t>وتهدف مبادرة رئيسية إلى دعم الهدف الذي يتوخى تحسين تمثيل المرأة في القطاع العام وقد تم تعزيزها بسريان قانون الإنصاف في التوظيف في 24 تشرين الأول/أكتوبر 1996. وعمل القانون الجديد على دعم قانون الإنصاف في التوظيف السابق لعام 1986 وما زال ينطبق على مُستخدِمي القطاع الخاص في ظل الولاية الاتحادية ويشمل جميع الموظفين في القطاع الاتحادي العام. وبالإضافة إلى ذلك يعطي القانون إلى اللجنة الكندية لحقوق الإنسان سلطة إجراء مراجعات محاسبية والتحقق وضمان الامتثال للإنصاف التوظيفي مع توضيح المسؤوليات الحالية الملقاة على عاتق رب العمل فضلا عن تيسير الإجراءات التنظيمية. وحيثما لا يتحقق الامتثال ضمن فترة معيَّنة، فللجنة المذكورة أعلاه أن تصدر “توجيهات” تأمر فيها بهذا الامتثال.</w:t>
      </w:r>
    </w:p>
    <w:p w:rsidR="00000000" w:rsidRDefault="00000000">
      <w:pPr>
        <w:pStyle w:val="SingleTxt"/>
        <w:tabs>
          <w:tab w:val="left" w:pos="1628"/>
          <w:tab w:val="left" w:pos="2904"/>
        </w:tabs>
        <w:ind w:left="1264" w:right="1264"/>
        <w:rPr>
          <w:rtl/>
        </w:rPr>
      </w:pPr>
      <w:r>
        <w:rPr>
          <w:rtl/>
        </w:rPr>
        <w:t>172 -</w:t>
      </w:r>
      <w:r>
        <w:rPr>
          <w:rtl/>
        </w:rPr>
        <w:tab/>
        <w:t>ومن شأن قانون الإنصاف التوظيفي لعام 1996 أن يعزِّز مبدأ الجدارة من خلال ما يكفله من ضرورة النظر في أمر جميع المرشحين المؤهلين للحصول على فرص التوظيف. ويذكر القانون تحديدا أن الالتزام بتنفيذ الإنصاف التوظيفي لا يتطلب من رب العمل أن يوظِّف أو يرقي أشخاص غير مؤهلين.</w:t>
      </w:r>
    </w:p>
    <w:p w:rsidR="00000000" w:rsidRDefault="00000000">
      <w:pPr>
        <w:pStyle w:val="SingleTxt"/>
        <w:tabs>
          <w:tab w:val="left" w:pos="1628"/>
          <w:tab w:val="left" w:pos="2904"/>
        </w:tabs>
        <w:ind w:left="1264" w:right="1264"/>
        <w:rPr>
          <w:rtl/>
        </w:rPr>
      </w:pPr>
      <w:r>
        <w:rPr>
          <w:rtl/>
        </w:rPr>
        <w:t>173 -</w:t>
      </w:r>
      <w:r>
        <w:rPr>
          <w:rtl/>
        </w:rPr>
        <w:tab/>
        <w:t>ويقتضي القانون من أرباب العمل الخاضعين للأنظمة الاتحادية أن يتحركوا قُدما لإيجاد قوة عمل أكثر تمثيلا من خلال وضع خطة للإنصاف التوظيفي وتنفيذها، على أن تقوم الخطة على أساس تحليل دقيق لقوة العمل لدى رب العمل واستعراض لأنظمة التشغيل من أجل تحديد الحواجز القائمة، وأن تشمل أهدافا عددية مرنة (وليس حصصا جامدة) من أجل توظيف وترقية أفراد ينتمون إلى فئات محددة في المجموعات المهنية التي تعاني من قصور في تمثيلها. والفئات الأربع المحددة هي المرأة وشعوب السكان الأصليين والأشخاص من ذوي الإعاقات وأعضاء الأقليات الواضحة. وهذه الأهداف، التي ينبغي في معظم الحالات أن تكون أكثر من مجرد المتاح في قوة العمل، تقصد إلى أن تشكل أدوات لتخطيط القوى البشرية. وينبغي دعمها بتدابير كافية خاصة تكفل تحقيقها. ويُطلب إلى أرباب العمل بذل كل جهود معقولة لتنفيذ خططهم وتحقيق الأهداف التي يرسمونها وإن كان القصور في تحقيق تلك الأهداف لا ينجم عنه تلقائيا فرض جزاءات.</w:t>
      </w:r>
    </w:p>
    <w:p w:rsidR="00000000" w:rsidRDefault="00000000">
      <w:pPr>
        <w:pStyle w:val="SingleTxt"/>
        <w:tabs>
          <w:tab w:val="left" w:pos="1628"/>
          <w:tab w:val="left" w:pos="2904"/>
        </w:tabs>
        <w:ind w:left="1264" w:right="1264"/>
        <w:rPr>
          <w:rtl/>
        </w:rPr>
      </w:pPr>
      <w:r>
        <w:rPr>
          <w:rtl/>
        </w:rPr>
        <w:t>174 -</w:t>
      </w:r>
      <w:r>
        <w:rPr>
          <w:rtl/>
        </w:rPr>
        <w:tab/>
        <w:t>وبموجب القانون لا بد أن يقدِّم أرباب العمل تقارير سنوية عما أحرزوه من تقدِّم، كما أن هذه التقارير تتاح للجمهور العام. وفي أول حزيران/يونيه من كل سنة، يقدِّم أرباب العمل المشمولون بالقانون (نحو 340 صاحب عمل و 000 568 مُستخدِم) تقريرا إلى وزير العمل عن حالة العمالة في الفئات المحددة الأربع عن السنة السابقة.</w:t>
      </w:r>
    </w:p>
    <w:p w:rsidR="00000000" w:rsidRDefault="00000000">
      <w:pPr>
        <w:pStyle w:val="SingleTxt"/>
        <w:tabs>
          <w:tab w:val="left" w:pos="1628"/>
          <w:tab w:val="left" w:pos="2904"/>
        </w:tabs>
        <w:ind w:left="1264" w:right="1264"/>
        <w:rPr>
          <w:rtl/>
        </w:rPr>
      </w:pPr>
      <w:r>
        <w:rPr>
          <w:rtl/>
        </w:rPr>
        <w:t>175 -</w:t>
      </w:r>
      <w:r>
        <w:rPr>
          <w:rtl/>
        </w:rPr>
        <w:tab/>
        <w:t>وتوضح التقارير التي يقدمها أرباب العمل ويغطيها قانون الإنصاف التوظيفي أن الفئات المحددة الأربع ما زالت ممثَّلة بأقل من المطلوب في معظم الفئات المهنية والقطاعات الصناعية في جميع أنحاء كندا.</w:t>
      </w:r>
    </w:p>
    <w:p w:rsidR="00000000" w:rsidRDefault="00000000">
      <w:pPr>
        <w:pStyle w:val="SingleTxt"/>
        <w:tabs>
          <w:tab w:val="left" w:pos="1628"/>
          <w:tab w:val="left" w:pos="2904"/>
        </w:tabs>
        <w:ind w:left="1264" w:right="1264"/>
        <w:rPr>
          <w:rtl/>
        </w:rPr>
      </w:pPr>
      <w:r>
        <w:rPr>
          <w:rtl/>
        </w:rPr>
        <w:t>176 -</w:t>
      </w:r>
      <w:r>
        <w:rPr>
          <w:rtl/>
        </w:rPr>
        <w:tab/>
        <w:t>أما الإنصاف التوظيفي بالنسبة إلى سلك الخدمة العامة (التابعون لمجلس الخزانة كرب  عمل) فيتم حاليا سَن تشريعات خاصة بهم في قانون الإدارة المالية من خلال سريان قانون إصلاح الخدمة العامة في عام 1992.</w:t>
      </w:r>
    </w:p>
    <w:p w:rsidR="00000000" w:rsidRDefault="00000000">
      <w:pPr>
        <w:pStyle w:val="SingleTxt"/>
        <w:tabs>
          <w:tab w:val="left" w:pos="1628"/>
          <w:tab w:val="left" w:pos="2904"/>
        </w:tabs>
        <w:ind w:left="1264" w:right="1264"/>
        <w:rPr>
          <w:rtl/>
        </w:rPr>
      </w:pPr>
      <w:r>
        <w:rPr>
          <w:rtl/>
        </w:rPr>
        <w:t>177 -</w:t>
      </w:r>
      <w:r>
        <w:rPr>
          <w:rtl/>
        </w:rPr>
        <w:tab/>
        <w:t xml:space="preserve">وبالإضافة إلى ذلك تقدم وزارة تنمية الموارد البشرية في كندا  تقريرا سنويا عن الإنصاف التوظيفي إلى البرلمان. ويوضح تقرير عام 1998 (الصادر في شباط/فبراير 1999) أن التمثيل الشامل للمرأة في قوة العمل بموجب القانون كان 44.57 في المائة عام 1997 مقابل 44.81 في المائة عام 1996 (مقارنة إلى التمثيل الشامل في قوة العمل الكندية البالغ 46.4 في المائة طبقا لتعداد عام 1996). ويرجع النقصان أساسا إلى حقيقة أن عددا من النساء أنهيت خدماتهن بما يجاوز بكثير عدد النساء اللائي تم استخدامهن في قوة العمل بموجب القانون عام 1997 وبالذات في القطاع المصرفي. وبرغم نقصان طفيف عن فترة 1996 </w:t>
      </w:r>
      <w:r>
        <w:t>–</w:t>
      </w:r>
      <w:r>
        <w:rPr>
          <w:rtl/>
        </w:rPr>
        <w:t xml:space="preserve"> 1997 في التمثيل الشامل للمرأة في قوة العمل إلا أن تمثيلها زاد في الأعمال بدوام كامل وفي حركات الترقيات.</w:t>
      </w:r>
    </w:p>
    <w:p w:rsidR="00000000" w:rsidRDefault="00000000">
      <w:pPr>
        <w:pStyle w:val="SingleTxt"/>
        <w:tabs>
          <w:tab w:val="left" w:pos="1628"/>
          <w:tab w:val="left" w:pos="2904"/>
        </w:tabs>
        <w:ind w:left="1264" w:right="1264"/>
        <w:rPr>
          <w:rtl/>
        </w:rPr>
      </w:pPr>
      <w:r>
        <w:rPr>
          <w:rtl/>
        </w:rPr>
        <w:t>178 -</w:t>
      </w:r>
      <w:r>
        <w:rPr>
          <w:rtl/>
        </w:rPr>
        <w:tab/>
        <w:t>وفي القطاع المصرفي، نقص عدد الوظائف التي درجت المرأة على شغلها تقليديا نقصانا ملحوظا في السنوات العشر السابقة ولم تقم المصارف بتوظيف عدد كافٍ من النساء في وظائف أخرى للتعويض عن هذا النقصان. وفي عام 1997 شكَّلت النساء 73.79 في المائة من جميع المستخدَمين في القطاع المصرفي مقابل 74.76 في المائة عام 1996. ومع ذلك طرأت زيادات في بعض المجالات الرئيسية ومنها مثلا في عدد المديرات من النساء.</w:t>
      </w:r>
    </w:p>
    <w:p w:rsidR="00000000" w:rsidRDefault="00000000">
      <w:pPr>
        <w:pStyle w:val="SingleTxt"/>
        <w:tabs>
          <w:tab w:val="left" w:pos="1628"/>
          <w:tab w:val="left" w:pos="2904"/>
        </w:tabs>
        <w:ind w:left="1264" w:right="1264"/>
        <w:rPr>
          <w:rtl/>
        </w:rPr>
      </w:pPr>
      <w:r>
        <w:rPr>
          <w:rtl/>
        </w:rPr>
        <w:t>179 -</w:t>
      </w:r>
      <w:r>
        <w:rPr>
          <w:rtl/>
        </w:rPr>
        <w:tab/>
        <w:t>وبلغ متوسط راتب المرأة العاملة بدوام كامل في القطاع الخاص المنظَّم اتحاديا من قوة العمل بموجب القانون 282 39 دولارا عام 1997 مقابل 727 51 دولارا للرجل.</w:t>
      </w:r>
    </w:p>
    <w:p w:rsidR="00000000" w:rsidRDefault="00000000">
      <w:pPr>
        <w:pStyle w:val="SingleTxt"/>
        <w:tabs>
          <w:tab w:val="left" w:pos="1628"/>
          <w:tab w:val="left" w:pos="2904"/>
        </w:tabs>
        <w:ind w:left="1264" w:right="1264"/>
        <w:rPr>
          <w:rtl/>
        </w:rPr>
      </w:pPr>
      <w:r>
        <w:rPr>
          <w:rtl/>
        </w:rPr>
        <w:t>180 -</w:t>
      </w:r>
      <w:r>
        <w:rPr>
          <w:rtl/>
        </w:rPr>
        <w:tab/>
        <w:t>وزادت المرأة من نصيبها في الترقيات بالوظائف الدائمة في القطاع الخاص من 55.96 في المائة عام 1996 إلى 56.59 في المائة عام 1997. وفي عام 1998 ارتفع الرقم ليصبح 57.6 في المائة.</w:t>
      </w:r>
    </w:p>
    <w:p w:rsidR="00000000" w:rsidRDefault="00000000">
      <w:pPr>
        <w:pStyle w:val="SingleTxt"/>
        <w:tabs>
          <w:tab w:val="left" w:pos="1628"/>
          <w:tab w:val="left" w:pos="2904"/>
        </w:tabs>
        <w:ind w:left="1264" w:right="1264"/>
        <w:rPr>
          <w:rtl/>
        </w:rPr>
      </w:pPr>
      <w:r>
        <w:rPr>
          <w:rtl/>
        </w:rPr>
        <w:t>181 -</w:t>
      </w:r>
      <w:r>
        <w:rPr>
          <w:rtl/>
        </w:rPr>
        <w:tab/>
        <w:t>وفي القطاع الخاص الخاضع لقانون الإنصاف التوظيفي، تقاضت المرأة في الفئات المحددة الثالثة الأخرى متوسط مرتبات أدنى من مرتبات جميع النساء في قوة العمل. وجاء تمثيل الأشخاص من ذوي الإعاقات منخفضا بصورة ملموسة من 2.66 في المائة عام 1996 إلى 2.31 في المائة عام 1997. وشكَّلت النساء من ذوات الإعاقة ما يقرب من 85 في المائة من هذا الانخفاض.</w:t>
      </w:r>
    </w:p>
    <w:p w:rsidR="00000000" w:rsidRDefault="00000000">
      <w:pPr>
        <w:pStyle w:val="SingleTxt"/>
        <w:tabs>
          <w:tab w:val="left" w:pos="1628"/>
          <w:tab w:val="left" w:pos="2904"/>
        </w:tabs>
        <w:ind w:left="1264" w:right="1264"/>
        <w:rPr>
          <w:rtl/>
        </w:rPr>
      </w:pPr>
      <w:r>
        <w:rPr>
          <w:rtl/>
        </w:rPr>
        <w:t>182 -</w:t>
      </w:r>
      <w:r>
        <w:rPr>
          <w:rtl/>
        </w:rPr>
        <w:tab/>
        <w:t>وبالإضافة إلى قانون الإنصاف التوظيفي، اتخذت الحكومة الاتحادية مبادرات أخرى من أجل النهوض بتمثيل المرأة في الخدمة الاتحادية العامة.</w:t>
      </w:r>
    </w:p>
    <w:p w:rsidR="00000000" w:rsidRDefault="00000000">
      <w:pPr>
        <w:pStyle w:val="SingleTxt"/>
        <w:tabs>
          <w:tab w:val="left" w:pos="1628"/>
          <w:tab w:val="left" w:pos="2904"/>
        </w:tabs>
        <w:ind w:left="1264" w:right="1264"/>
        <w:rPr>
          <w:rtl/>
        </w:rPr>
      </w:pPr>
      <w:r>
        <w:rPr>
          <w:rtl/>
        </w:rPr>
        <w:t>183 -</w:t>
      </w:r>
      <w:r>
        <w:rPr>
          <w:rtl/>
        </w:rPr>
        <w:tab/>
        <w:t xml:space="preserve">وقد أعلنت أمانة مجلس الخزانة عن برنامج التدابير الإيجابية الجديد للإنصاف التوظيفي التابع لها في عام 1998 بوصفه برنامجا لاحقا على برنامج مبادرات التدابير الخاصة الذي انتهى في آذار/مارس 1998. ومع حلول الفترة 1997 </w:t>
      </w:r>
      <w:r>
        <w:t>–</w:t>
      </w:r>
      <w:r>
        <w:rPr>
          <w:rtl/>
        </w:rPr>
        <w:t xml:space="preserve"> 1998، كان برنامج مبادرات التدابير الخاصة قد قام مع الوزارات الحكومية الاتحادية بتمويل 166 برنامجا لتدابير خاصة لصالح الفئات المحددة الأربع بكلفة 32.5 مليون دولار. وكثير من هذه البرامج صُمِّمت لكي تلبي أهداف التدابير الخاصة بالمرأة، كما شملت بعض البرامج جوانب التنمية الوظيفية وتحويل النساء إلى مهن غير تقليدية بعيدة عن فئات الدعم الإداري كما شملت المساواة في موقع العمل والبرامج الخاصة بالتعليم التعويضي.</w:t>
      </w:r>
    </w:p>
    <w:p w:rsidR="00000000" w:rsidRDefault="00000000">
      <w:pPr>
        <w:pStyle w:val="SingleTxt"/>
        <w:tabs>
          <w:tab w:val="left" w:pos="1628"/>
          <w:tab w:val="left" w:pos="2904"/>
        </w:tabs>
        <w:ind w:left="1264" w:right="1264"/>
        <w:rPr>
          <w:rtl/>
        </w:rPr>
      </w:pPr>
      <w:r>
        <w:rPr>
          <w:rtl/>
        </w:rPr>
        <w:t>184 -</w:t>
      </w:r>
      <w:r>
        <w:rPr>
          <w:rtl/>
        </w:rPr>
        <w:tab/>
        <w:t xml:space="preserve">ويعد برنامج التدابير الإيجابية الجديد للإنصاف التوظيفي برنامجا مرحليا مدته 4 سنوات يبدأ من الفترة 1998 </w:t>
      </w:r>
      <w:r>
        <w:t>–</w:t>
      </w:r>
      <w:r>
        <w:rPr>
          <w:rtl/>
        </w:rPr>
        <w:t xml:space="preserve"> 1999 إلى الفترة 2001 </w:t>
      </w:r>
      <w:r>
        <w:t>–</w:t>
      </w:r>
      <w:r>
        <w:rPr>
          <w:rtl/>
        </w:rPr>
        <w:t xml:space="preserve"> 2002. ويقصد إلى تعزيز المزيد من الاكتفاء الذاتي للوزارات والوكالات في تحقيق أهداف الإنصاف التوظيفي الخاصة بها والوفاء بالالتزامات التي يقتضيها القانون. كما أنه يضع الوكالات المركزية في موقف أفضل تضطلع فيه بمسؤولياتها التي يقضي بها القانون من أجل تحقيق الوفاء بالأولويات في مجال الإنصاف التوظيفي على صعيد النظام بأكمله. ويرمي البرنامج إلى تعزيز مشاريع الشراكة بين الوزارات المتعددة التي تعالج أمر الحواجز التي تحول بين تحقيق الإنصاف التوظيفي وإنشاء صندوق للتدخل لصالح المبادرات الاستراتيجية وتوفير المشورة المهنية لأفراد الفئات المحددة وإنشاء مركز موارد للإنصاف التوظيفي لصالح الأشخاص من ذوي الإعاقات.</w:t>
      </w:r>
    </w:p>
    <w:p w:rsidR="00000000" w:rsidRDefault="00000000">
      <w:pPr>
        <w:pStyle w:val="SingleTxt"/>
        <w:tabs>
          <w:tab w:val="left" w:pos="1628"/>
          <w:tab w:val="left" w:pos="2904"/>
        </w:tabs>
        <w:ind w:left="1264" w:right="1264"/>
        <w:rPr>
          <w:rtl/>
        </w:rPr>
      </w:pPr>
      <w:r>
        <w:rPr>
          <w:rtl/>
        </w:rPr>
        <w:t>185 -</w:t>
      </w:r>
      <w:r>
        <w:rPr>
          <w:rtl/>
        </w:rPr>
        <w:tab/>
        <w:t>كما أن برنامج التدريب الإداري مُصمَّم لكي يجتذب خريجي الجامعات المؤهلين سواء من داخل أو خارج سلك الخدمة العامة ومن ثم تنميتهم إلى حيث مستوى الإدارة الوسطى واعتبارا من آذار/مارس 1996 كانت نسبة 55 في المائة من المشاركين فيه من النساء.</w:t>
      </w:r>
    </w:p>
    <w:p w:rsidR="00000000" w:rsidRDefault="00000000">
      <w:pPr>
        <w:pStyle w:val="SingleTxt"/>
        <w:tabs>
          <w:tab w:val="left" w:pos="1628"/>
          <w:tab w:val="left" w:pos="2904"/>
        </w:tabs>
        <w:ind w:left="1264" w:right="1264"/>
        <w:rPr>
          <w:rtl/>
        </w:rPr>
      </w:pPr>
      <w:r>
        <w:rPr>
          <w:rtl/>
        </w:rPr>
        <w:t>186 -</w:t>
      </w:r>
      <w:r>
        <w:rPr>
          <w:rtl/>
        </w:rPr>
        <w:tab/>
        <w:t>وهناك برنامج التنوُّع في القيادة الذي يتولى تقييم خبرة الطامحين من المستوى الأعلى ومديري الفئات المتمتعة بالإنصاف الوظيفي ويشمل عنصرا لتنمية مهارات المرأة من أجل ممارسة المهن غير التقليدية.</w:t>
      </w:r>
    </w:p>
    <w:p w:rsidR="00000000" w:rsidRDefault="00000000">
      <w:pPr>
        <w:pStyle w:val="SingleTxt"/>
        <w:tabs>
          <w:tab w:val="left" w:pos="1628"/>
          <w:tab w:val="left" w:pos="2904"/>
        </w:tabs>
        <w:ind w:left="1264" w:right="1264"/>
        <w:rPr>
          <w:rtl/>
        </w:rPr>
      </w:pPr>
      <w:r>
        <w:rPr>
          <w:rtl/>
        </w:rPr>
        <w:t>187 -</w:t>
      </w:r>
      <w:r>
        <w:rPr>
          <w:rtl/>
        </w:rPr>
        <w:tab/>
        <w:t>كما يسعى برنامج التنسيب المهني والبرنامج الدولي إلى كفالة ترشيح النساء المؤهلات كمشاركات في تلك البرامج كلما كان ذلك ممكنا. ويقصد من برنامج التنسيب المهني تنمية القدرات الإدارية لدى الموظفين العموميين الواعدين من خلال تكليفهم بأداء عدة مهام. واعتبارا من 31 آذار/مارس 1997 كانت نسبة 62 في المائة من المشاركين في هذا البرنامج من النساء. ويحدد البرنامج الدولي المرشَّحين المؤهلين من أجل اكتساب خبرة العمل في منظمات دولية.</w:t>
      </w:r>
    </w:p>
    <w:p w:rsidR="00000000" w:rsidRDefault="00000000">
      <w:pPr>
        <w:pStyle w:val="SingleTxt"/>
        <w:tabs>
          <w:tab w:val="left" w:pos="1628"/>
          <w:tab w:val="left" w:pos="2904"/>
        </w:tabs>
        <w:ind w:left="1264" w:right="1264"/>
        <w:rPr>
          <w:rtl/>
        </w:rPr>
      </w:pPr>
      <w:r>
        <w:rPr>
          <w:rtl/>
        </w:rPr>
        <w:t>188 -</w:t>
      </w:r>
      <w:r>
        <w:rPr>
          <w:rtl/>
        </w:rPr>
        <w:tab/>
        <w:t>وتم اتخاذ عدد من الخطوات تهيئة بيئة داعمة ومتسمة بمزيد من المرونة للعمل في سلك الخدمة العامة الاتحادية. وثمة تركيز على التعلُّم والتنمية، والموازنة بين العمل والأسرة، والشعور بالاعتزاز والاعتراف بمنجزات الفرد والجماعة. كما يتم الترويج لقيمة وإمكانات المساواة بين الجنسين والتنوُّع ضمن قوة العمل. وقد جرى توسيع المزايا المقدمة في مجال العلاج الطبي وعلاج الأسنان لتشمل الموظفين من شركاء المثلية الجنسية.</w:t>
      </w:r>
    </w:p>
    <w:p w:rsidR="00000000" w:rsidRDefault="00000000">
      <w:pPr>
        <w:pStyle w:val="SingleTxt"/>
        <w:tabs>
          <w:tab w:val="left" w:pos="1628"/>
          <w:tab w:val="left" w:pos="2904"/>
        </w:tabs>
        <w:ind w:left="1264" w:right="1264"/>
        <w:rPr>
          <w:rtl/>
        </w:rPr>
      </w:pPr>
      <w:r>
        <w:rPr>
          <w:rtl/>
        </w:rPr>
        <w:t>189 -</w:t>
      </w:r>
      <w:r>
        <w:rPr>
          <w:rtl/>
        </w:rPr>
        <w:tab/>
        <w:t>وقد اتسم العمل بسياسة مرنة في موقع العمل على صعيد الحكومة كلها بالطابع الإيجابي مما أتاح للموظفين العموميين أن يفيدوا من عدد من ترتيبات العمل المرنة. ومن ذلك مثلا العمل عن بعد، وساعات العمل المكثَّفة وتقاسم الوظائف والعمل بدوام جزئي وأجازات الرعاية النهارية والأجازات الممولة ذاتيا. وهذه المبادرات تخدم بالذات الموظفين الذين يلتمسون طرقا أفضل للموازنة بين مسؤولياتهم الأسرية والمهنية.</w:t>
      </w:r>
    </w:p>
    <w:p w:rsidR="00000000" w:rsidRDefault="00000000">
      <w:pPr>
        <w:pStyle w:val="SingleTxt"/>
        <w:tabs>
          <w:tab w:val="left" w:pos="1628"/>
          <w:tab w:val="left" w:pos="2904"/>
        </w:tabs>
        <w:ind w:left="1264" w:right="1264"/>
        <w:rPr>
          <w:rtl/>
        </w:rPr>
      </w:pPr>
      <w:r>
        <w:rPr>
          <w:rtl/>
        </w:rPr>
        <w:t>190 -</w:t>
      </w:r>
      <w:r>
        <w:rPr>
          <w:rtl/>
        </w:rPr>
        <w:tab/>
        <w:t>وفي عام 1994 تم العمل بسياسة معزَّزة في مجال التحرُّش وقد أُدخلت في سلك الخدمة الاتحادية العامة لتشمل سُبل الحصول على وساطة محايدة وإمكانيات لحل المنازعات ووسائل جديدة ومعتمدة لمعالجة شكاوى التحرُّش. ونتيجة لذلك تعكف جميع الوزارات على استعراض واستكمال وتحسين سياسات وإجراءات التحرُّش الخاصة بها. كما نُظِّمت برامج تدريبية في كثير من الوزارات بشأن العلاقات بين الأشخاص وبشأن التحرُّش والتعسف في استخدام السلطة وسُبل حل المنازعات.</w:t>
      </w:r>
    </w:p>
    <w:p w:rsidR="00000000" w:rsidRDefault="00000000">
      <w:pPr>
        <w:pStyle w:val="SingleTxt"/>
        <w:tabs>
          <w:tab w:val="left" w:pos="1628"/>
          <w:tab w:val="left" w:pos="2904"/>
        </w:tabs>
        <w:ind w:left="1264" w:right="1264"/>
        <w:rPr>
          <w:rtl/>
        </w:rPr>
      </w:pPr>
      <w:r>
        <w:rPr>
          <w:rtl/>
        </w:rPr>
        <w:t>191 -</w:t>
      </w:r>
      <w:r>
        <w:rPr>
          <w:rtl/>
        </w:rPr>
        <w:tab/>
        <w:t>وطرأت تغييرات كذلك على التصميم المادي لمواقع العمل والمناطق المتاخمة لها بتحسين السلامة الفعلية للنساء الموظفات بسلك الخدمة العامة الاتحادية وشمل ذلك تشذيب الأشجار لإزالة أماكن الاختباء على طول المماشي الخارجية مع تحسين الإضاءة في ساحات صَف السيارات. وأجرت بعض الوزارات عمليات تفتيش ومراجعة للسلامة الشخصية فيما نظمت وزارات أخرى دورات للدفاع عن النفس أو قدمت معلومات في هذا الشأن إلى مستخدِميها.</w:t>
      </w:r>
    </w:p>
    <w:p w:rsidR="00000000" w:rsidRDefault="00000000">
      <w:pPr>
        <w:pStyle w:val="SingleTxt"/>
        <w:tabs>
          <w:tab w:val="left" w:pos="1628"/>
          <w:tab w:val="left" w:pos="2904"/>
        </w:tabs>
        <w:ind w:left="1264" w:right="1264"/>
        <w:rPr>
          <w:b/>
          <w:bCs/>
          <w:szCs w:val="32"/>
          <w:rtl/>
        </w:rPr>
      </w:pPr>
    </w:p>
    <w:p w:rsidR="00000000" w:rsidRDefault="00000000">
      <w:pPr>
        <w:pStyle w:val="SingleTxt"/>
        <w:tabs>
          <w:tab w:val="left" w:pos="1628"/>
          <w:tab w:val="left" w:pos="2904"/>
        </w:tabs>
        <w:ind w:left="1264" w:right="1264"/>
        <w:rPr>
          <w:szCs w:val="32"/>
          <w:rtl/>
        </w:rPr>
      </w:pPr>
      <w:r>
        <w:rPr>
          <w:b/>
          <w:bCs/>
          <w:szCs w:val="32"/>
          <w:rtl/>
        </w:rPr>
        <w:t>المادة 5: القضاء على الصور النمطية الجامدة</w:t>
      </w:r>
    </w:p>
    <w:p w:rsidR="00000000" w:rsidRDefault="00000000">
      <w:pPr>
        <w:pStyle w:val="SingleTxt"/>
        <w:tabs>
          <w:tab w:val="left" w:pos="1628"/>
          <w:tab w:val="left" w:pos="2904"/>
        </w:tabs>
        <w:ind w:left="1264" w:right="1264"/>
        <w:rPr>
          <w:rtl/>
        </w:rPr>
      </w:pPr>
      <w:r>
        <w:rPr>
          <w:rtl/>
        </w:rPr>
        <w:t>192 -</w:t>
      </w:r>
      <w:r>
        <w:rPr>
          <w:rtl/>
        </w:rPr>
        <w:tab/>
        <w:t>ترد في إطار المادة 3 مناقشة لبرامج التوعية والتثقيف في مجال العنف الموجَّه ضد المرأة. ويرد أيضا في إطار المادة 13 مناقشة لتعزيز دور المرأة القدوة في مجال الألعاب الرياضية والاحتفال بمنجزات المرأة عبر التاريخ.</w:t>
      </w:r>
    </w:p>
    <w:p w:rsidR="00000000" w:rsidRDefault="00000000">
      <w:pPr>
        <w:pStyle w:val="SingleTxt"/>
        <w:tabs>
          <w:tab w:val="left" w:pos="1628"/>
          <w:tab w:val="left" w:pos="2904"/>
        </w:tabs>
        <w:ind w:left="1264" w:right="1264"/>
        <w:rPr>
          <w:rtl/>
        </w:rPr>
      </w:pPr>
      <w:r>
        <w:rPr>
          <w:rtl/>
        </w:rPr>
        <w:t>193 -</w:t>
      </w:r>
      <w:r>
        <w:rPr>
          <w:rtl/>
        </w:rPr>
        <w:tab/>
        <w:t xml:space="preserve">وقدَّم برنامج المرأة الذي تقوم على إدارته وزارة وضع المرأة في كندا 1.6 مليون دولار على شكل منح ومساهمات في الفترة 1996 </w:t>
      </w:r>
      <w:r>
        <w:t>–</w:t>
      </w:r>
      <w:r>
        <w:rPr>
          <w:rtl/>
        </w:rPr>
        <w:t xml:space="preserve"> 1997 إلى الجماعات التي تنشد المساواة لكي تتصدى لمعالجة قضايا من قبيل الاعتداء الجنسي والعنف الأسري والمصنَّفات الإباحية وصورة المرأة في وسائل الإعلام.</w:t>
      </w:r>
    </w:p>
    <w:p w:rsidR="00000000" w:rsidRDefault="00000000">
      <w:pPr>
        <w:pStyle w:val="SingleTxt"/>
        <w:tabs>
          <w:tab w:val="left" w:pos="1628"/>
          <w:tab w:val="left" w:pos="2904"/>
        </w:tabs>
        <w:ind w:left="1264" w:right="1264"/>
        <w:rPr>
          <w:rtl/>
        </w:rPr>
      </w:pPr>
      <w:r>
        <w:rPr>
          <w:rtl/>
        </w:rPr>
        <w:t>194 -</w:t>
      </w:r>
      <w:r>
        <w:rPr>
          <w:rtl/>
        </w:rPr>
        <w:tab/>
        <w:t xml:space="preserve">كما قدَّم برنامج المرأة التابع للوزارة المذكورة في الفترة 1995 </w:t>
      </w:r>
      <w:r>
        <w:t>–</w:t>
      </w:r>
      <w:r>
        <w:rPr>
          <w:rtl/>
        </w:rPr>
        <w:t xml:space="preserve"> 1996 تمويلا إلى لجنة كندا للطلاب من أجل إعداد ملف متعدد الوسائط عن المسائل التي تعني النساء الشابات بعنوان “تحدي الافتراضات”. وفي الفترة 1997 </w:t>
      </w:r>
      <w:r>
        <w:t>–</w:t>
      </w:r>
      <w:r>
        <w:rPr>
          <w:rtl/>
        </w:rPr>
        <w:t xml:space="preserve"> 1998 قدمت الوزارة تمويلا إلى اللجنة لعقد مؤتمر وطني بالفيديو بعنوان “نحن نتحدى هذه الصور”. وأشرك المؤتمر شابات في وضع منظورات نقدية عن أثر وسائل الإعلام على الشابات وتحديد التوصيات المتصلة بالصورة السلبية للفتاة في وسائل الإعلام من أجل التأثير على المهنيين الإعلاميين ومن سواهم من صانعي القرارات.</w:t>
      </w:r>
    </w:p>
    <w:p w:rsidR="00000000" w:rsidRDefault="00000000">
      <w:pPr>
        <w:pStyle w:val="SingleTxt"/>
        <w:tabs>
          <w:tab w:val="left" w:pos="1628"/>
          <w:tab w:val="left" w:pos="2904"/>
        </w:tabs>
        <w:ind w:left="1264" w:right="1264"/>
        <w:rPr>
          <w:rtl/>
        </w:rPr>
      </w:pPr>
      <w:r>
        <w:rPr>
          <w:rtl/>
        </w:rPr>
        <w:t>195 -</w:t>
      </w:r>
      <w:r>
        <w:rPr>
          <w:rtl/>
        </w:rPr>
        <w:tab/>
        <w:t>وفي آذار/مارس 1997 عقدت الوزارة المائدة المستديرة عن صورة المرأة الشابة في وسائل الإعلام وضم المشاركون ممثلين عن دوائر الصناعة ووكالات الإعلام والناشرين ومحرري الأزياء ومخرجي التليفزيون بالإضافة إلى أكاديميين وممثلين عن هيئة “ميديا ووتش” الإعلامية من ذوي الخبرات بشأن أثر الصور الإعلامية على النساء الشابات. ومن بين الشواغل التي طُرحت للمناقشة العلاقة بين صورة المرأة كضحية للعنف وبين العنف الموجَّه ضد المرأة وتصوير المرأة الشابة في إطار جنسي وهذا الحوار ما زال مستمرا.</w:t>
      </w:r>
    </w:p>
    <w:p w:rsidR="00000000" w:rsidRDefault="00000000">
      <w:pPr>
        <w:pStyle w:val="SingleTxt"/>
        <w:tabs>
          <w:tab w:val="left" w:pos="1628"/>
          <w:tab w:val="left" w:pos="2904"/>
        </w:tabs>
        <w:ind w:left="1264" w:right="1264"/>
        <w:rPr>
          <w:szCs w:val="32"/>
          <w:rtl/>
        </w:rPr>
      </w:pPr>
      <w:r>
        <w:rPr>
          <w:b/>
          <w:bCs/>
          <w:szCs w:val="32"/>
          <w:rtl/>
        </w:rPr>
        <w:t>المادة 6: الاتجار بالنساء والبغاء</w:t>
      </w:r>
    </w:p>
    <w:p w:rsidR="00000000" w:rsidRDefault="00000000">
      <w:pPr>
        <w:pStyle w:val="SingleTxt"/>
        <w:tabs>
          <w:tab w:val="left" w:pos="1628"/>
          <w:tab w:val="left" w:pos="2904"/>
        </w:tabs>
        <w:ind w:left="1264" w:right="1264"/>
        <w:rPr>
          <w:rtl/>
        </w:rPr>
      </w:pPr>
      <w:r>
        <w:rPr>
          <w:rtl/>
        </w:rPr>
        <w:t>176 -</w:t>
      </w:r>
      <w:r>
        <w:rPr>
          <w:rtl/>
        </w:rPr>
        <w:tab/>
        <w:t>البغاء في حد ذاته لا يُعد أمرا غير مشروع في كندا ولكن عددا من الأنشطة المرتبطة بالبغاء هي المحظورة. فمن الجرائم إدارة بيت سيئ السمعة (ماخور) أو التردد عليه أو امتهان “القوادة” أو التعيش على مكاسب “الدعارة” باعتبار أن هذا كله مخالف للقانون. وأخيرا فمن الجرائم العمل علنا على الاتصال لغرض ممارسة الدعارة (وينطبق هذا على الزبون والبغي على السواء).</w:t>
      </w:r>
    </w:p>
    <w:p w:rsidR="00000000" w:rsidRDefault="00000000">
      <w:pPr>
        <w:pStyle w:val="SingleTxt"/>
        <w:tabs>
          <w:tab w:val="left" w:pos="1628"/>
          <w:tab w:val="left" w:pos="2904"/>
        </w:tabs>
        <w:ind w:left="1264" w:right="1264"/>
        <w:rPr>
          <w:rtl/>
        </w:rPr>
      </w:pPr>
      <w:r>
        <w:rPr>
          <w:rtl/>
        </w:rPr>
        <w:t>197 -</w:t>
      </w:r>
      <w:r>
        <w:rPr>
          <w:rtl/>
        </w:rPr>
        <w:tab/>
        <w:t>وفي 15 كانون الأول/ديسمبر 1998 أصدر الفريق العامل المعني بالبغاء على مستوى الاتحاد والمقاطعات والأقاليم تقريره الختامي المعنون “تقرير وتوصيات فيما يتعلق بالقوانين والسياسات والممارسات المتصلة بالأنشطة المتعلقة بالبغاء”. وقد إنشئ الفريق العامل في عام 1992 من جانب نواب وزراء العدل في الاتحاد والمقاطعات والأقاليم وتتمثل ولايته في استعراض القوانين والسياسات والممارسات فيما يتعلق بالأنشطة المتصلة بالبغاء مع تقديم توصيات في هذا الصدد. وقد ركَّز الفريق العامل أنشطته على مسائل الشباب الذين يتم توريطهم في البغاء والأضرار المرتبطة بدعارة الشوارع. وقد أثيرت مسألة العنف الموجَّه ضد البغايا على نحو متكرر باعتبارها تؤثر على الشباب وعلى بغايا الشوارع جميعا. واتضح للفريق العامل أنه برغم سلسلة من تعديلات قانون العقوبات التي تمت على مدى السنوات الخمس والعشرين الأخيرة فإن ثمة قرائن دامغة على أن القانون الحالي لا يتم العمل به.</w:t>
      </w:r>
    </w:p>
    <w:p w:rsidR="00000000" w:rsidRDefault="00000000">
      <w:pPr>
        <w:pStyle w:val="SingleTxt"/>
        <w:tabs>
          <w:tab w:val="left" w:pos="1628"/>
          <w:tab w:val="left" w:pos="2904"/>
        </w:tabs>
        <w:ind w:left="1264" w:right="1264"/>
        <w:rPr>
          <w:rtl/>
        </w:rPr>
      </w:pPr>
      <w:r>
        <w:rPr>
          <w:rtl/>
        </w:rPr>
        <w:t>198 -</w:t>
      </w:r>
      <w:r>
        <w:rPr>
          <w:rtl/>
        </w:rPr>
        <w:tab/>
        <w:t>وأوصى الفريق العامل بأن الاستجابة إزاء توريط الشباب في البغاء لا بد أن تشمل استراتيجيات للتدخل الاجتماعي وتدابير أنجع لتوقيف ومقاضاة الذين يستغلون الشباب جنسيا. وأي استجابة في هذا الصدد لا بد أن تتصدى للمسألة من منظور الجناية على الشباب.</w:t>
      </w:r>
    </w:p>
    <w:p w:rsidR="00000000" w:rsidRDefault="00000000">
      <w:pPr>
        <w:pStyle w:val="SingleTxt"/>
        <w:tabs>
          <w:tab w:val="left" w:pos="1628"/>
          <w:tab w:val="left" w:pos="2904"/>
        </w:tabs>
        <w:ind w:left="1264" w:right="1264"/>
        <w:rPr>
          <w:rtl/>
        </w:rPr>
      </w:pPr>
      <w:r>
        <w:rPr>
          <w:rtl/>
        </w:rPr>
        <w:t>199 -</w:t>
      </w:r>
      <w:r>
        <w:rPr>
          <w:rtl/>
        </w:rPr>
        <w:tab/>
        <w:t>وتعمل الحكومة الكندية على مستوى مشترك بين الوزارات من أجل وضع سياسات محلية لمعالجة مسألة الاتجار بالنساء في كندا. وثمة فريق عامل حكومي اتحادي مشترك بين الوزارات يتدارس المسائل المتصلة بالاتجار بالنساء في إطار الاستعدادات للمفاوضات المتعلقة باتفاقية الأمم المتحدة بشأن الجريمة المنظمة عبر الوطنية.</w:t>
      </w:r>
    </w:p>
    <w:p w:rsidR="00000000" w:rsidRDefault="00000000">
      <w:pPr>
        <w:pStyle w:val="SingleTxt"/>
        <w:tabs>
          <w:tab w:val="left" w:pos="1628"/>
          <w:tab w:val="left" w:pos="2904"/>
        </w:tabs>
        <w:ind w:left="1264" w:right="1264"/>
        <w:rPr>
          <w:rtl/>
        </w:rPr>
      </w:pPr>
      <w:r>
        <w:rPr>
          <w:rtl/>
        </w:rPr>
        <w:t>200 -</w:t>
      </w:r>
      <w:r>
        <w:rPr>
          <w:rtl/>
        </w:rPr>
        <w:tab/>
        <w:t>وتؤيد كندا وضع البروتوكول المتعلق بمنع وقمع ومعاقبة الاتجار بالأشخاص وبخاصة النساء والأطفال المكمل لاتفاقية الأمم المتحدة لمكافحة الجريمة المنظمة عبر الوطنية. كما تؤكد كندا على أهمية إدراج أوجه الحماية والضمانات المتعلقة بحقوق الإنسان وعند الاقتضاء إدراج مادة بشأن التمييز.</w:t>
      </w:r>
    </w:p>
    <w:p w:rsidR="00000000" w:rsidRDefault="00000000">
      <w:pPr>
        <w:pStyle w:val="SingleTxt"/>
        <w:tabs>
          <w:tab w:val="left" w:pos="1628"/>
          <w:tab w:val="left" w:pos="2904"/>
        </w:tabs>
        <w:ind w:left="1264" w:right="1264"/>
        <w:rPr>
          <w:rtl/>
        </w:rPr>
      </w:pPr>
      <w:r>
        <w:rPr>
          <w:rtl/>
        </w:rPr>
        <w:t>201 -</w:t>
      </w:r>
      <w:r>
        <w:rPr>
          <w:rtl/>
        </w:rPr>
        <w:tab/>
        <w:t>وفي عام 1996 عيَّن وزير الخارجية مستشاراً خاصاً معنياً بحقوق الطفل أوكلت إليه ولاية تقضي بأن يسدي المشورة بشأن قضايا الطفل، وأن يتواصل في هذا الشأن مع المنظمات غير الحكومية والدوائر الأكاديمية ودوائر التجارة والأعمال والجمهور العام، ويشارك بفعالية في الأنشطة الوطنية والدولية المتعلقة بحقوق الطفل. كما يترأس المستشار الخاص لجنة وزارية تتولى متابعة جدول أعمال مؤتمر استكهلم لعام 1996 المعني بالاستغلال الجنسي التجاري للأطفال. وينصب محور اهتمام اللجنة على المساعدة على وضع ودعم استراتيجية كندية تتفق مع الاتجاهات المطروحة في تقرير المقرر العام التي تم إعدادها من جانب المقرر الخاص للأمم المتحدة بشأن بيع الأطفال وبغاء الأطفال واستخدام الأطفال في المصنَّفات الإباحية.</w:t>
      </w:r>
    </w:p>
    <w:p w:rsidR="00000000" w:rsidRDefault="00000000">
      <w:pPr>
        <w:pStyle w:val="SingleTxt"/>
        <w:tabs>
          <w:tab w:val="left" w:pos="1628"/>
          <w:tab w:val="left" w:pos="2904"/>
        </w:tabs>
        <w:ind w:left="1264" w:right="1264"/>
        <w:rPr>
          <w:rtl/>
        </w:rPr>
      </w:pPr>
      <w:r>
        <w:rPr>
          <w:rtl/>
        </w:rPr>
        <w:t>202 -</w:t>
      </w:r>
      <w:r>
        <w:rPr>
          <w:rtl/>
        </w:rPr>
        <w:tab/>
        <w:t>وقامت اللجنة الوزارية بدور فعَّال في عقد مؤتمر القمة المعني بالشباب من ضحايا الاستغلال الجنسي في آذار/مارس 1998 في فكتوريا، كولومبيا البريطانية. وأتاحت القمة منبرا أمام ضحايا الإيذاء الجنسي لكي يرووا من خلاله تجاربهم الشخصية وجمعت بين الشباب (الفتيات أساسا) من الأمريكيتين ممن واجهوا تجارب في مجال الاستغلال التجاري للجنس. وقد نجحوا في صياغة إعلان وخطة عمل. وتعكف كندا حاليا على استكشاف الوسائل الكفيلة بوضع آليات الدعم للشباب ولا سيما الفتيات للعودة إلى مجتمعاتهم، وهذا يشمل إعادة التأهيل وإسداء المشورة والتعليم والتدريب وإعادة الدمج بين صفوف المجتمع وفي القوى العاملة.</w:t>
      </w:r>
    </w:p>
    <w:p w:rsidR="00000000" w:rsidRDefault="00000000">
      <w:pPr>
        <w:pStyle w:val="SingleTxt"/>
        <w:tabs>
          <w:tab w:val="left" w:pos="1628"/>
          <w:tab w:val="left" w:pos="2904"/>
        </w:tabs>
        <w:ind w:left="1264" w:right="1264"/>
        <w:rPr>
          <w:rtl/>
        </w:rPr>
      </w:pPr>
      <w:r>
        <w:rPr>
          <w:rtl/>
        </w:rPr>
        <w:t>203 -</w:t>
      </w:r>
      <w:r>
        <w:rPr>
          <w:rtl/>
        </w:rPr>
        <w:tab/>
        <w:t>كما كانت كندا طرفا أكثر من داعم لما تم مبكرا من اعتماد البروتوكول الاختياري لاتفاقية حقوق الطفل المتعلق ببيع الأطفال واستخدام الأطفال في المصنفات الإباحية وبغاء الأطفال وقد نشطت كثيرا في إطار المفاوضات الرامية إلى كفالة إلزام الدول بالنص لكي تُجرِّم هذه الممارسات وتتخذ التدابير الكفيلة بحماية الضحايا من الأطفال.</w:t>
      </w:r>
    </w:p>
    <w:p w:rsidR="00000000" w:rsidRDefault="00000000">
      <w:pPr>
        <w:pStyle w:val="SingleTxt"/>
        <w:tabs>
          <w:tab w:val="left" w:pos="1628"/>
          <w:tab w:val="left" w:pos="2904"/>
        </w:tabs>
        <w:ind w:left="1264" w:right="1264"/>
        <w:rPr>
          <w:rtl/>
        </w:rPr>
      </w:pPr>
      <w:r>
        <w:rPr>
          <w:rtl/>
        </w:rPr>
        <w:t>204 -</w:t>
      </w:r>
      <w:r>
        <w:rPr>
          <w:rtl/>
        </w:rPr>
        <w:tab/>
        <w:t>وتدعم الوكالة الكندية للتنمية الدولية عددا من المبادرات الرامية إلى منع استغلال المرأة في البلدان النامية بما في ذلك الاتجار بالنساء. ومن خلال الصندوق التابع لها في جنوب شرقي آسيا للتنمية المؤسسية والقانونية، دعمت الوكالة الكندية الإجراءات المتخذة على الصعيدين الوطني والدولي لمكافحة وتقليل، ومن ثم القضاء في نهاية المطاف، على استغلال العمال المهاجرين وبخاصة الاتجار في النساء في إطار صناعة الجنس في منطقة الميكونغ.</w:t>
      </w:r>
    </w:p>
    <w:p w:rsidR="00000000" w:rsidRDefault="00000000">
      <w:pPr>
        <w:pStyle w:val="SingleTxt"/>
        <w:tabs>
          <w:tab w:val="left" w:pos="1628"/>
          <w:tab w:val="left" w:pos="2904"/>
        </w:tabs>
        <w:ind w:left="1264" w:right="1264"/>
        <w:rPr>
          <w:rtl/>
        </w:rPr>
      </w:pPr>
      <w:r>
        <w:rPr>
          <w:rtl/>
        </w:rPr>
        <w:t>205 -</w:t>
      </w:r>
      <w:r>
        <w:rPr>
          <w:rtl/>
        </w:rPr>
        <w:tab/>
        <w:t>وقد ظلت الجهود الرامية إلى منع الاتجار بالنساء تركِّز تاريخيا على مكافحة الهجرة غير المشروعة ومعاقبة الذين يخالفون قانون الهجرة. إلا أنه يتوافر الفهم حاليا بأن الأمر يستلزم اتباع نهج أوسع نطاقا لا يركِّز فقط على منع الهجرة غير القانونية ولكن يدرك ويحمي حقوق الإنسان للمرأة التي تخضع للاتجار ويحاكم الذين يمارسون هذا الاتجار ويسهلون ممارسته. ولوضع السياسات والبرامج التي تلبي متطلبات هذا الإطار الأوسع، أصبح من المهم توفير فهم جيد لأسلوب ممارسة الاتجار في كندا. ولكن لا يتوافر للأسف سوى قدر محدود من المعلومات العملية بشأن درجة وطبيعة الاتجار بالنساء في كندا وبشأن الآثار المترتبة عليه بالنسبة للسياسات التي تتبعها الحكومات على مستوى المحليات والمقاطعات والصعيد الاتحادي مما يعزَّز هذا النهج الأوسع.</w:t>
      </w:r>
    </w:p>
    <w:p w:rsidR="00000000" w:rsidRDefault="00000000">
      <w:pPr>
        <w:pStyle w:val="SingleTxt"/>
        <w:tabs>
          <w:tab w:val="left" w:pos="1628"/>
          <w:tab w:val="left" w:pos="2904"/>
        </w:tabs>
        <w:ind w:left="1264" w:right="1264"/>
        <w:rPr>
          <w:rtl/>
        </w:rPr>
      </w:pPr>
      <w:r>
        <w:rPr>
          <w:rtl/>
        </w:rPr>
        <w:t>206 -</w:t>
      </w:r>
      <w:r>
        <w:rPr>
          <w:rtl/>
        </w:rPr>
        <w:tab/>
        <w:t>ويعكف فريق عامل حكومي اتحادي مشترك بين الوزارات ومعني بمسألة، الاتجار، على تدارس القضايا المتصلة بالاتجار بالنساء استعدادا للمفاوضات بشأن اتفاقية الأمم المتحدة المتعلقة بالجريمة المنظمة عبر الوطنية.</w:t>
      </w:r>
    </w:p>
    <w:p w:rsidR="00000000" w:rsidRDefault="00000000">
      <w:pPr>
        <w:pStyle w:val="SingleTxt"/>
        <w:tabs>
          <w:tab w:val="left" w:pos="1628"/>
          <w:tab w:val="left" w:pos="2904"/>
        </w:tabs>
        <w:ind w:left="1264" w:right="1264"/>
        <w:rPr>
          <w:rtl/>
        </w:rPr>
      </w:pPr>
      <w:r>
        <w:rPr>
          <w:rtl/>
        </w:rPr>
        <w:t>207 -</w:t>
      </w:r>
      <w:r>
        <w:rPr>
          <w:rtl/>
        </w:rPr>
        <w:tab/>
        <w:t>وقد تعاقدت وزارة وضع المرأة من أجل تنفيذ أربعة مشاريع بحثية عن البعد الكندي للاتجار في النساء، ومن المتوقع أن تؤدي هذه البحوث إلى توفير رؤية أوسع نطاقا بشأن حدود المشكلة في كندا، وأن تقترح اتباع النُهج القانونية والاجتماعية الممكنة لمعالجة المسألة على أن تؤخذ في الاعتبار جوانب الاختصاصات المختلفة ومن المقرر أن يتم إنجاز المشاريع بحلول عام 2001.</w:t>
      </w:r>
    </w:p>
    <w:p w:rsidR="00000000" w:rsidRDefault="00000000">
      <w:pPr>
        <w:pStyle w:val="SingleTxt"/>
        <w:tabs>
          <w:tab w:val="left" w:pos="1628"/>
          <w:tab w:val="left" w:pos="2904"/>
        </w:tabs>
        <w:ind w:left="1264" w:right="1264"/>
        <w:rPr>
          <w:rtl/>
        </w:rPr>
      </w:pPr>
      <w:r>
        <w:rPr>
          <w:rtl/>
        </w:rPr>
        <w:t xml:space="preserve">208 </w:t>
      </w:r>
      <w:r>
        <w:t>–</w:t>
      </w:r>
      <w:r>
        <w:rPr>
          <w:rtl/>
        </w:rPr>
        <w:t>وعقدت وزارة وضع المرأة سلسلة من الموائد المستديرة لدراسة الجوانب المختلفة من مسألة استغلال الأطفال مع تركيز على استغلال البنات والشابات. وكان أولها في كانون الأول/ديسمبر 1996، وهي المائدة المستديرة بشأن استغلال الأطفال في السياحة الجنسية وقد وَفَد إليها ممثلون من صناعة السفر والسياحة ومجموعات أخرى منها مثلا منظمة أطفال الشوارع الدولية، ومنظمة القضاء على البغاء في السياحة الآسيوية لمناقشة سُبل مساهمة الكنديين في حل مشكلة استغلال الأطفال جنسيا في السياحة. وعُقدت بعد ذلك مائدة مستديرة في آذار/مارس 1998 وأسفرت عن مشروع خطة عمل لحملة تثقيف وطنية مناهضة للاستغلال الجنسي التجاري للأطفال. وهذه الحملة التي كان عنوانها “البراءة المسروقة” جمعت بين ممثلي صناعة السفر والسياحة الكندية والمنظمات غير الحكومية والحكومات لتنسيق الجهود الرامية للتصدي لهذه المشكلة سواء هنا أو في الخارج.</w:t>
      </w:r>
    </w:p>
    <w:p w:rsidR="00000000" w:rsidRDefault="00000000">
      <w:pPr>
        <w:pStyle w:val="SingleTxt"/>
        <w:tabs>
          <w:tab w:val="left" w:pos="1628"/>
          <w:tab w:val="left" w:pos="2904"/>
        </w:tabs>
        <w:ind w:left="1264" w:right="1264"/>
        <w:rPr>
          <w:rtl/>
        </w:rPr>
      </w:pPr>
      <w:r>
        <w:rPr>
          <w:rtl/>
        </w:rPr>
        <w:t>209 -</w:t>
      </w:r>
      <w:r>
        <w:rPr>
          <w:rtl/>
        </w:rPr>
        <w:tab/>
        <w:t>كذلك قدَّم برنامج المرأة الذي تديره وزارة وضع المرأة تمويلا لعدد من الأنشطة التي اضطلعت بها المنظمات غير الحكومية في هذا المجال بما في ذلك: المركز النسائي للبغايا الشابات في مونتريال من أجل شن حملة توعية وتثقيف جماهيرية بشأن مسائل الحياة في الشوارع والاستغلال الجنسي التجاري والعنف الموجَّه ضد المرأة. أما مشروع الجانب الآخر من الشارع فلسوف يُدرِّب عشرا من الشابات من فتيات الشوارع لتسهيل عقد حلقات عمل في مونتريال وسان جيروم ودرامونفيل وبكنغهام وهال. وبالإضافة إلى ذلك قدَّم برنامج المرأة التمويل إلى مشروع تراسي التذكاري الذي تم تنفيذه في فانكوفر بواسطة هيئة المشورة والتثقيف لبدائل البغاء من أجل النظر في الدعارة بعيدا عن الشوارع. وفي ساسكاتشيوان قُدِّم التمويل دعما لمشروع بعنوان مجتمعات سسكاتون للأطفال لبدء عملية تنفيذ الاستراتيجيات والتوصيات التي وضعها الفريق العامل من أجل القضاء على استغلال الأطفال جنسيا من جانب القوَّادين والصعاليك. وقد شمل العمل مع جماعات محلية ومع الوزارات والوكالات الحكومية لإقرار مسؤوليات مالية ووضع جداول زمنية لتنفيذ التوصيات. وتشمل نتائج هذا العمل إنشاء دور آمنة وبرامج للمداواة والعلاج للضحايا الذين يتراوح عمرهم بين 7 سنوات و 15 سنة مع وضع بروتوكولات للخدمة فيما بين مختلف الوكالات المشاركة.</w:t>
      </w:r>
    </w:p>
    <w:p w:rsidR="00000000" w:rsidRDefault="00000000">
      <w:pPr>
        <w:pStyle w:val="SingleTxt"/>
        <w:tabs>
          <w:tab w:val="left" w:pos="1628"/>
          <w:tab w:val="left" w:pos="2904"/>
        </w:tabs>
        <w:ind w:left="1264" w:right="1264"/>
        <w:rPr>
          <w:rtl/>
        </w:rPr>
      </w:pPr>
      <w:r>
        <w:rPr>
          <w:rtl/>
        </w:rPr>
        <w:t>210 -</w:t>
      </w:r>
      <w:r>
        <w:rPr>
          <w:rtl/>
        </w:rPr>
        <w:tab/>
        <w:t>وتدعم وزارة وضع المرأة كذلك الإجراءات ذات الأساس المجتمعي بشأن الاتجار بالنساء وعلى سبيل المثال ففي ربيع عام 1997 قدَّمت الوزارة مساعدات مالية إلى المنتدى الاستشاري الإقليمي في أمريكا الشمالية المعني بالاتجار بالنساء، المعقود بواسطة التحالف العالمي لمناهضة الاتجار في النساء بكندا. وهذا المنتدى عُقد في فيكتوريا، كولومبيا البريطانية.</w:t>
      </w:r>
    </w:p>
    <w:p w:rsidR="00000000" w:rsidRDefault="00000000">
      <w:pPr>
        <w:pStyle w:val="SingleTxt"/>
        <w:tabs>
          <w:tab w:val="left" w:pos="1628"/>
          <w:tab w:val="left" w:pos="2904"/>
        </w:tabs>
        <w:ind w:left="1264" w:right="1264"/>
        <w:rPr>
          <w:rtl/>
        </w:rPr>
      </w:pPr>
      <w:r>
        <w:rPr>
          <w:rtl/>
        </w:rPr>
        <w:t>211 -</w:t>
      </w:r>
      <w:r>
        <w:rPr>
          <w:rtl/>
        </w:rPr>
        <w:tab/>
        <w:t>وفي الآونة الأخيرة قدمت الوزارة تمويلا إلى شبكة تورنتو المناهضة للاتجار في النساء لتوثيق تجارب النساء المقبوض عليهن في إطار عملية أورفان في تورنتو في أيلول/سبتمبر 1997.</w:t>
      </w:r>
    </w:p>
    <w:p w:rsidR="00000000" w:rsidRDefault="00000000">
      <w:pPr>
        <w:pStyle w:val="SingleTxt"/>
        <w:tabs>
          <w:tab w:val="left" w:pos="1628"/>
          <w:tab w:val="left" w:pos="2904"/>
        </w:tabs>
        <w:ind w:left="1264" w:right="1264"/>
        <w:rPr>
          <w:szCs w:val="32"/>
          <w:rtl/>
        </w:rPr>
      </w:pPr>
      <w:r>
        <w:rPr>
          <w:b/>
          <w:bCs/>
          <w:szCs w:val="32"/>
          <w:rtl/>
        </w:rPr>
        <w:t>المادة 7: المرأة في السياسة والحياة العامة</w:t>
      </w:r>
    </w:p>
    <w:p w:rsidR="00000000" w:rsidRDefault="00000000">
      <w:pPr>
        <w:pStyle w:val="SingleTxt"/>
        <w:tabs>
          <w:tab w:val="left" w:pos="1628"/>
          <w:tab w:val="left" w:pos="2904"/>
        </w:tabs>
        <w:ind w:left="1264" w:right="1264"/>
        <w:rPr>
          <w:rtl/>
        </w:rPr>
      </w:pPr>
      <w:r>
        <w:rPr>
          <w:rtl/>
        </w:rPr>
        <w:t>212 -</w:t>
      </w:r>
      <w:r>
        <w:rPr>
          <w:rtl/>
        </w:rPr>
        <w:tab/>
        <w:t>من الأهداف الرئيسية لكندا، الموضحة في الخطة الاتحادية للمساواة بين الجنسين ما يتمثل في إدماج منظورات المرأة في إدارة شؤون الحكم. وتسلِّم الحكومة الاتحادية بأن تعزيز مشاركة المرأة وتمثيلها في مستويات الحكم وصنع القرار على جميع مستويات الحياة السياسية والاجتماعية، خطوة لا غنى عنها في تحسين وضع المرأة ورفاهها. كما أنه شرط أساسي لمساواة المرأة وعنصر لا غنى عنه في احترام ما للمرأة من حقوق الإنسان.</w:t>
      </w:r>
    </w:p>
    <w:p w:rsidR="00000000" w:rsidRDefault="00000000">
      <w:pPr>
        <w:pStyle w:val="SingleTxt"/>
        <w:tabs>
          <w:tab w:val="left" w:pos="1628"/>
          <w:tab w:val="left" w:pos="2904"/>
        </w:tabs>
        <w:ind w:left="1264" w:right="1264"/>
        <w:rPr>
          <w:rtl/>
        </w:rPr>
      </w:pPr>
      <w:r>
        <w:rPr>
          <w:rtl/>
        </w:rPr>
        <w:t>213 -</w:t>
      </w:r>
      <w:r>
        <w:rPr>
          <w:rtl/>
        </w:rPr>
        <w:tab/>
        <w:t>وبرغم ما حققته المرأة من أوجه تقدُّم كثيرة في أدوارها القيادية إلا أنها ما زالت منقوصة التمثيل في مجالات أساسية كالسياسة وقطاع الشركات والأعمال التجارية. والنساء ما زلن كذلك أقلية بين المهنيين العاملين في ميادين من قبيل العلوم الطبيعية والهندسة والرياضيات.</w:t>
      </w:r>
    </w:p>
    <w:p w:rsidR="00000000" w:rsidRDefault="00000000">
      <w:pPr>
        <w:pStyle w:val="SingleTxt"/>
        <w:tabs>
          <w:tab w:val="left" w:pos="1628"/>
          <w:tab w:val="left" w:pos="2904"/>
        </w:tabs>
        <w:ind w:left="1264" w:right="1264"/>
        <w:rPr>
          <w:rtl/>
        </w:rPr>
      </w:pPr>
      <w:r>
        <w:rPr>
          <w:b/>
          <w:bCs/>
          <w:rtl/>
        </w:rPr>
        <w:t>التمثيل في البرلمان الاتحادي</w:t>
      </w:r>
    </w:p>
    <w:p w:rsidR="00000000" w:rsidRDefault="00000000">
      <w:pPr>
        <w:pStyle w:val="SingleTxt"/>
        <w:tabs>
          <w:tab w:val="left" w:pos="1628"/>
          <w:tab w:val="left" w:pos="2904"/>
        </w:tabs>
        <w:ind w:left="1264" w:right="1264"/>
        <w:rPr>
          <w:rtl/>
        </w:rPr>
      </w:pPr>
      <w:r>
        <w:rPr>
          <w:rtl/>
        </w:rPr>
        <w:t>214 -</w:t>
      </w:r>
      <w:r>
        <w:rPr>
          <w:rtl/>
        </w:rPr>
        <w:tab/>
        <w:t>اعتبارا من كانون الأول/ديسمبر 1998 سوف يبلغ عدد النساء 60 (أو 19.9 في المائة) من بين أعضاء مجلس العموم المنتخبين البالغ عددهم 301، وهذا يمثل زيادة من 13.6 في المائة في عام 1990 و 5 في المائة عام 1980.</w:t>
      </w:r>
    </w:p>
    <w:p w:rsidR="00000000" w:rsidRDefault="00000000">
      <w:pPr>
        <w:pStyle w:val="SingleTxt"/>
        <w:tabs>
          <w:tab w:val="left" w:pos="1628"/>
          <w:tab w:val="left" w:pos="2904"/>
        </w:tabs>
        <w:ind w:left="1264" w:right="1264"/>
        <w:rPr>
          <w:rtl/>
        </w:rPr>
      </w:pPr>
      <w:r>
        <w:rPr>
          <w:rtl/>
        </w:rPr>
        <w:t>215 -</w:t>
      </w:r>
      <w:r>
        <w:rPr>
          <w:rtl/>
        </w:rPr>
        <w:tab/>
        <w:t>وضمن أعضاء مجلس الشيوخ المعينين، يبلغ عدد النساء 32 عضوا من بين الأعضاء البالغ عددهم 104 أو 30.8 في المائة أي بزيادة من 13.5 في المائة عام 1990 و 10.2 في المائة عام 1980.</w:t>
      </w:r>
    </w:p>
    <w:p w:rsidR="00000000" w:rsidRDefault="00000000">
      <w:pPr>
        <w:pStyle w:val="SingleTxt"/>
        <w:tabs>
          <w:tab w:val="left" w:pos="1628"/>
          <w:tab w:val="left" w:pos="2904"/>
        </w:tabs>
        <w:ind w:left="1264" w:right="1264"/>
        <w:rPr>
          <w:rtl/>
        </w:rPr>
      </w:pPr>
      <w:r>
        <w:rPr>
          <w:b/>
          <w:bCs/>
          <w:rtl/>
        </w:rPr>
        <w:t>التمثيل في المجالس والتعيينات القضائية</w:t>
      </w:r>
    </w:p>
    <w:p w:rsidR="00000000" w:rsidRDefault="00000000">
      <w:pPr>
        <w:pStyle w:val="SingleTxt"/>
        <w:tabs>
          <w:tab w:val="left" w:pos="1628"/>
          <w:tab w:val="left" w:pos="2904"/>
        </w:tabs>
        <w:ind w:left="1264" w:right="1264"/>
        <w:rPr>
          <w:rtl/>
        </w:rPr>
      </w:pPr>
      <w:r>
        <w:rPr>
          <w:rtl/>
        </w:rPr>
        <w:t>216 -</w:t>
      </w:r>
      <w:r>
        <w:rPr>
          <w:rtl/>
        </w:rPr>
        <w:tab/>
        <w:t>تعمل الحكومة الاتحادية على ضمان مراعاة التوازن الجنساني لدى ترشيح أفراد للتعيينات للمجالس والوكالات الاتحادية. وقد وضعت بعض الوزارات مبادئ توجيهية في هذا الصدد فيما تقوم وزارات أخرى بإنشاء مصارف معلومات عن النساء المؤهلات اللائي يمكن النظر في تعيينهن بالمجالس واللجان الرئيسية.</w:t>
      </w:r>
    </w:p>
    <w:p w:rsidR="00000000" w:rsidRDefault="00000000">
      <w:pPr>
        <w:pStyle w:val="SingleTxt"/>
        <w:tabs>
          <w:tab w:val="left" w:pos="1628"/>
          <w:tab w:val="left" w:pos="2904"/>
        </w:tabs>
        <w:ind w:left="1264" w:right="1264"/>
        <w:rPr>
          <w:rtl/>
        </w:rPr>
      </w:pPr>
      <w:r>
        <w:rPr>
          <w:rtl/>
        </w:rPr>
        <w:t>217 -</w:t>
      </w:r>
      <w:r>
        <w:rPr>
          <w:rtl/>
        </w:rPr>
        <w:tab/>
        <w:t>وبين 1 نيسان/أبريل 1994 و 31 آذار/مارس 1998 تمت تعيينات بلغ مجموعها 021 3 تعيينا للمجالس واللجان الاتحادية منها 930 1 للرجال و 091 1 للنساء.</w:t>
      </w:r>
    </w:p>
    <w:p w:rsidR="00000000" w:rsidRDefault="00000000">
      <w:pPr>
        <w:pStyle w:val="SingleTxt"/>
        <w:tabs>
          <w:tab w:val="left" w:pos="1628"/>
          <w:tab w:val="left" w:pos="2904"/>
        </w:tabs>
        <w:ind w:left="1264" w:right="1264"/>
        <w:rPr>
          <w:rtl/>
        </w:rPr>
      </w:pPr>
      <w:r>
        <w:rPr>
          <w:rtl/>
        </w:rPr>
        <w:t>218 -</w:t>
      </w:r>
      <w:r>
        <w:rPr>
          <w:rtl/>
        </w:rPr>
        <w:tab/>
        <w:t>وتواصل الحكومة الاتحادية جهودها للتوصية بتعيين نساء في سلك القضاء الاتحادي. وفي عام 1997 بلغت التعيينات القضائية 39 منها 17 للنساء بينما كان في عام 1998 عدد التعيينات هو 55 ومنها 17 للنساء.</w:t>
      </w:r>
    </w:p>
    <w:p w:rsidR="00000000" w:rsidRDefault="00000000">
      <w:pPr>
        <w:pStyle w:val="SingleTxt"/>
        <w:tabs>
          <w:tab w:val="left" w:pos="1628"/>
          <w:tab w:val="left" w:pos="2904"/>
        </w:tabs>
        <w:ind w:left="1264" w:right="1264"/>
        <w:rPr>
          <w:rtl/>
        </w:rPr>
      </w:pPr>
      <w:r>
        <w:rPr>
          <w:rtl/>
        </w:rPr>
        <w:t>219 -</w:t>
      </w:r>
      <w:r>
        <w:rPr>
          <w:rtl/>
        </w:rPr>
        <w:tab/>
        <w:t>وفي عام 1997، أنشأت وزارة الصناعة في كندا وهيئة النساء الكنديات في مجال الاتصالات برنامج تبادل لرعاية النمو المهني والشخصي بالنسبة للموظفين من ذوي الإمكانيات الرفيعة في مجال دوائر الأعمال والحكومة. وفي إطار برنامج التبادل المذكور تقدَّم منح كل سنة إلى اثنين من المرشحين من القطاع الخاص وإلى اثنين من موظفي وزارة الصناعة بكندا التي تعد مشاركتها في هذا البرنامج أمرا مكمِّلا لمنحة “جين سوفيه” القائمة حاليا وهي عبارة عن برنامج بعثة داخلية ممول من وزارة التراث الكندية ووزارة وضع المرأة إحياءً لذكرى أول سيدة تتولى منصب الحاكم العام في كندا.</w:t>
      </w:r>
    </w:p>
    <w:p w:rsidR="00000000" w:rsidRDefault="00000000">
      <w:pPr>
        <w:pStyle w:val="SingleTxt"/>
        <w:tabs>
          <w:tab w:val="left" w:pos="1628"/>
          <w:tab w:val="left" w:pos="2904"/>
        </w:tabs>
        <w:ind w:left="1264" w:right="1264"/>
        <w:rPr>
          <w:rtl/>
        </w:rPr>
      </w:pPr>
      <w:r>
        <w:rPr>
          <w:b/>
          <w:bCs/>
          <w:rtl/>
        </w:rPr>
        <w:t>المرأة في شرطة الخيالة الملكية الكندية</w:t>
      </w:r>
    </w:p>
    <w:p w:rsidR="00000000" w:rsidRDefault="00000000">
      <w:pPr>
        <w:pStyle w:val="SingleTxt"/>
        <w:tabs>
          <w:tab w:val="left" w:pos="1628"/>
          <w:tab w:val="left" w:pos="2904"/>
        </w:tabs>
        <w:ind w:left="1264" w:right="1264"/>
        <w:rPr>
          <w:rtl/>
        </w:rPr>
      </w:pPr>
      <w:r>
        <w:rPr>
          <w:rtl/>
        </w:rPr>
        <w:t>220 -</w:t>
      </w:r>
      <w:r>
        <w:rPr>
          <w:rtl/>
        </w:rPr>
        <w:tab/>
        <w:t>خلال عام 1996 أصبح واضحا أن كثيرا من مقدمات الطلبات من النساء لم ينجحن في اجتياز اختبار التقييم المطلوب للقدرات البدنية للالتحاق بشرطة الخيالة الملكية الكندية. وكان السبب الرئيسي هو الافتقار إلى قوة الجزء الأعلى من الجسم. ولتخفيف حدة المشكلة أعد موظفو التجنيد برنامجا تدريبيا مُصمَّما خصيصا للنساء المتقدمات لإعدادهن لاجتياز اختبـــار التقييـــم المذكـــور أعـــلاه، وذلـــك (بمساعدة الشعبة “باء”) (نيوفاوندلاند) ومنسِّق للياقة الجسمية</w:t>
      </w:r>
      <w:r>
        <w:t>–</w:t>
      </w:r>
      <w:r>
        <w:rPr>
          <w:rtl/>
        </w:rPr>
        <w:t xml:space="preserve"> وأساليب الحياة وشعبة </w:t>
      </w:r>
      <w:r>
        <w:t>“Depot”</w:t>
      </w:r>
      <w:r>
        <w:rPr>
          <w:rtl/>
        </w:rPr>
        <w:t xml:space="preserve"> (سابقا أكاديمية التدريب لشرطة الخيالة الملكية الكندية). وهذا البرنامج متاح لجميع طالبي الالتحاق بصرف النظر عن نوع الجنس ومنذ بدايته لوحظ تحسن واسع النطاق في نتائج اختبارات التقييم المذكور أعلاه بالنسبة للنساء من طالبات الالتحاق.</w:t>
      </w:r>
    </w:p>
    <w:p w:rsidR="00000000" w:rsidRDefault="00000000">
      <w:pPr>
        <w:pStyle w:val="SingleTxt"/>
        <w:tabs>
          <w:tab w:val="left" w:pos="1628"/>
          <w:tab w:val="left" w:pos="2904"/>
        </w:tabs>
        <w:ind w:left="1264" w:right="1264"/>
        <w:rPr>
          <w:rtl/>
        </w:rPr>
      </w:pPr>
      <w:r>
        <w:rPr>
          <w:rtl/>
        </w:rPr>
        <w:t>221 -</w:t>
      </w:r>
      <w:r>
        <w:rPr>
          <w:rtl/>
        </w:rPr>
        <w:tab/>
        <w:t>وما زالت شرطة الخيالة الملكية الكندية تتخذ مبادرات لكي يصبح عدد أفراد التعليم لديها متفقا مع نسبة النساء ومع الأقليات الواضحة وأعضاء مجتمعات السكان الأصليين على صعيد قوة العمل في جميع أفرع الفرقة المذكورة. كما أن السياسة المتعلقة بتعيين طالبي الالتحاق من الفئات المحددة تم إقرارها على أساس الحاجة لجعل شرطة الخيالة الملكية الكندية ممثلة للجمهور الذي تخدمه، ولكفالة أن تعزز عملية التجنيد المبادئ التي تقوم عليها ممارسة مهام الشرطة على مستوى المجتمعات المحلية.</w:t>
      </w:r>
    </w:p>
    <w:p w:rsidR="00000000" w:rsidRDefault="00000000">
      <w:pPr>
        <w:pStyle w:val="SingleTxt"/>
        <w:tabs>
          <w:tab w:val="left" w:pos="1628"/>
          <w:tab w:val="left" w:pos="2904"/>
        </w:tabs>
        <w:ind w:left="1264" w:right="1264"/>
        <w:rPr>
          <w:rtl/>
        </w:rPr>
      </w:pPr>
      <w:r>
        <w:rPr>
          <w:b/>
          <w:bCs/>
          <w:rtl/>
        </w:rPr>
        <w:t>المرأة في القوات الكندية المسلحة</w:t>
      </w:r>
    </w:p>
    <w:p w:rsidR="00000000" w:rsidRDefault="00000000">
      <w:pPr>
        <w:pStyle w:val="SingleTxt"/>
        <w:tabs>
          <w:tab w:val="left" w:pos="1628"/>
          <w:tab w:val="left" w:pos="2904"/>
        </w:tabs>
        <w:ind w:left="1264" w:right="1264"/>
        <w:rPr>
          <w:rtl/>
        </w:rPr>
      </w:pPr>
      <w:r>
        <w:rPr>
          <w:rtl/>
        </w:rPr>
        <w:t>222 -</w:t>
      </w:r>
      <w:r>
        <w:rPr>
          <w:rtl/>
        </w:rPr>
        <w:tab/>
        <w:t>في عام 1989 خلصت محكمة لحقوق الإنسان إلى أن استبعاد النساء المؤهلات من الاضطلاع بالأدوار القتالية لا سبيل إلى تبريره. وأمرت القوات الكندية بوضع خطة تكفل أن يتواصل إدماج المرأة “بصورة مطردة ومنتظمة ومتسقة” من أجل المشاركة الكاملة في عمليات القتال في مدى 10 سنوات. على أن الإدماج الكامل لا يعني أنه يتعين جعل النساء نصف عدد أفراد القوات الكندية بل ينطوي الأمر على ضرورة إزالة الحواجز بحيث أن النساء اللائي يلبين المعايير المطلوبة ويرغبن في أداء الخدمة يمكنهن أن ينخرطن في مهن قتالية وغير ذلك من المجالات التي كانت في الماضي تضع حدودا على عدد النساء ممن يمكن أن يخدمن في مهن محددة.</w:t>
      </w:r>
    </w:p>
    <w:p w:rsidR="00000000" w:rsidRDefault="00000000">
      <w:pPr>
        <w:pStyle w:val="SingleTxt"/>
        <w:tabs>
          <w:tab w:val="left" w:pos="1628"/>
          <w:tab w:val="left" w:pos="2904"/>
        </w:tabs>
        <w:ind w:left="1264" w:right="1264"/>
        <w:rPr>
          <w:rtl/>
        </w:rPr>
      </w:pPr>
      <w:r>
        <w:rPr>
          <w:rtl/>
        </w:rPr>
        <w:t>223 -</w:t>
      </w:r>
      <w:r>
        <w:rPr>
          <w:rtl/>
        </w:rPr>
        <w:tab/>
        <w:t>واعتبارا من أيلول/سبتمبر 1997 كانت المرأة تشكِّل 10.6 في المائة من القوة الفعالة بالقوات الكندية. ومع ذلك في عام 1998 ظلت النساء يشكلن 4.8 في المائة فقط من أعضاء المهن القتالية في البحرية والجيش والقوة الجوية. وفي عام 1997 نظَّمت القيادة البرية حملة تجنيد هادفة لزيادة عدد النساء في المهن القتالية من خلال العملية منيرفا التي استهدفت تحقيق الاستبقاء والترقية المهنية والقضاء على الحواجز المنهجية بحلول عام 1999. وطلب الجيش أن تشكل المرأة 25 في المائة من مجنديه بما يتيح وجود كتلة حرجة من أجل التدريب والتشغيل بالوحدات المختلفة. وابتداء من كانون الثاني/يناير 1998، شن الجيش حملة إعلانات بكلفة 1.5 مليون دولار تهدف إلى تجنيد النساء للمشاة والمدرعات والمدفعية ولسلاح المهندسين. ومن عام 1989 إلى عام 1997 التحقت 245 امرأة بجميع المهن القتالية الأربع في سلك صف الضباط. واعتبارا من تشرين الثاني/نوفمبر 1998، وفي الأشهر الأربعة التي أعقبت إنجاز الحملة، تقدمت 368 امرأة بطلبات للالتحاق بمهنة مسلحة واحدة قتالية على الأقل. واستقبلت مراكز التجنيد طلبات عديدة من نساء يرغبن في التحول من الاحتياط الابتدائي إلى مواقع الأسلحة في القوة القتالية النظامية.</w:t>
      </w:r>
    </w:p>
    <w:p w:rsidR="00000000" w:rsidRDefault="00000000">
      <w:pPr>
        <w:pStyle w:val="SingleTxt"/>
        <w:tabs>
          <w:tab w:val="left" w:pos="1628"/>
          <w:tab w:val="left" w:pos="2904"/>
        </w:tabs>
        <w:ind w:left="1264" w:right="1264"/>
        <w:rPr>
          <w:rtl/>
        </w:rPr>
      </w:pPr>
      <w:r>
        <w:rPr>
          <w:rtl/>
        </w:rPr>
        <w:t>224 -</w:t>
      </w:r>
      <w:r>
        <w:rPr>
          <w:rtl/>
        </w:rPr>
        <w:tab/>
        <w:t>واتخذت قيادة البحرية عدة مبادرات مختلفة بما في ذلك إجراء دراسة عن الأسباب التي تفضي بالمرأة إلى ترك البحرية مع إعادة فحص سياساتها في مجال دعم الأسر.</w:t>
      </w:r>
    </w:p>
    <w:p w:rsidR="00000000" w:rsidRDefault="00000000">
      <w:pPr>
        <w:pStyle w:val="SingleTxt"/>
        <w:tabs>
          <w:tab w:val="left" w:pos="1628"/>
          <w:tab w:val="left" w:pos="2904"/>
        </w:tabs>
        <w:ind w:left="1264" w:right="1264"/>
        <w:rPr>
          <w:rtl/>
        </w:rPr>
      </w:pPr>
      <w:r>
        <w:rPr>
          <w:rtl/>
        </w:rPr>
        <w:t>225 -</w:t>
      </w:r>
      <w:r>
        <w:rPr>
          <w:rtl/>
        </w:rPr>
        <w:tab/>
        <w:t>أما المبادرات الأخرى التي اتخذتها القوات الكندية فتشمل جهودا لتصميم سفنها المستجدة وتلك التي يتم إعادة تأهيلها بطريقة تتيح أماكن إيواء مرنة بحيث تلبي احتياجات طاقم مختلط من ذكور وإناث. ويتم كذلك تعديل خوذات الاشتباك والحقائب العسكرية وأحذية القتال والسترات الواقية لكفالة أن يكون للنساء نفس مستوى الحماية والراحة أسوة بزملائهن من الرجال. وتُدرج مسائل التنوع في عمليات التلقين والحلقات الدراسية للمستوى الأعلى في وزارة الدفاع الوطني والقوات الكندية، كما يتم التطرق بإسهاب إلى مسائل نوع الجنس في برنامج القضاء على التحرُّش الذي تعتمده الوزارة. وثمة دورة للتوعية إزاء التحرُّش ووضع معيار للتحرُّش ومنع النزعة العرقية وقد أصبح هذا البرنامج إلزاميا لكل فرد في وزارة الدفاع الوطني والقوات الكندية. ويتم إدراج عنصر يتعلق بالإدماج الجنساني ضمن مناهج التدريب الأساسية للمجندين والضباط.</w:t>
      </w:r>
    </w:p>
    <w:p w:rsidR="00000000" w:rsidRDefault="00000000">
      <w:pPr>
        <w:pStyle w:val="SingleTxt"/>
        <w:tabs>
          <w:tab w:val="left" w:pos="1628"/>
          <w:tab w:val="left" w:pos="2904"/>
        </w:tabs>
        <w:ind w:left="1264" w:right="1264"/>
        <w:rPr>
          <w:rtl/>
        </w:rPr>
      </w:pPr>
      <w:r>
        <w:rPr>
          <w:rtl/>
        </w:rPr>
        <w:t>226 -</w:t>
      </w:r>
      <w:r>
        <w:rPr>
          <w:rtl/>
        </w:rPr>
        <w:tab/>
        <w:t xml:space="preserve">واستُحدثت دائرة التحقيق الوطني بالقوات الكندية في أيلول/سبتمبر 1997 لكي تتولى التحقيق في تقارير سوء السلوك الجنسي، وهي مستقلة عن التسلسل القيادي في العمليات وتشكل هيئة تحقيق مزودة بسلطة التوصية بتوجيه تُهم جنائية عند اللزوم. وهذه الدائرة تُعد تطويرا لفرع خاص من أفرع الشرطة العسكرية وهي متخصصة في إجراء التحقيقات في المسائل الحساسة وتهدف إلى تنمية الخبرة من خلال هذا التركيز المتخصص من جانبها. وهي تتمتع بالسلطة لكي تقدِّم للمحاكمة مباشرة قضايا الاعتداء الجنسي وبهذا فهي تلغي الحاجة لوجود ضابط </w:t>
      </w:r>
      <w:r>
        <w:t>–</w:t>
      </w:r>
      <w:r>
        <w:rPr>
          <w:rtl/>
        </w:rPr>
        <w:t xml:space="preserve"> يمكن أن يكـون قد خدم في منصب أعلى مباشر بالنسبة للمجني عليه أو للجاني أو لكليهما </w:t>
      </w:r>
      <w:r>
        <w:t>–</w:t>
      </w:r>
      <w:r>
        <w:rPr>
          <w:rtl/>
        </w:rPr>
        <w:t xml:space="preserve"> لكي يصدر القرار النهائي بتوجيه الاتهام. على أن الدائرة المذكورة لا ولاية لها في إجراء تحقيقات في حالات التحرُّش الجنسي التي يتم معالجتها من خلال السُبل الأخرى.</w:t>
      </w:r>
    </w:p>
    <w:p w:rsidR="00000000" w:rsidRDefault="00000000">
      <w:pPr>
        <w:pStyle w:val="SingleTxt"/>
        <w:tabs>
          <w:tab w:val="left" w:pos="1628"/>
          <w:tab w:val="left" w:pos="2904"/>
        </w:tabs>
        <w:ind w:left="1264" w:right="1264"/>
        <w:rPr>
          <w:rtl/>
        </w:rPr>
      </w:pPr>
      <w:r>
        <w:rPr>
          <w:rtl/>
        </w:rPr>
        <w:t>227 -</w:t>
      </w:r>
      <w:r>
        <w:rPr>
          <w:rtl/>
        </w:rPr>
        <w:tab/>
        <w:t>وأصدرت دائرة التحقيقات الوطنية إحصاءات في تموز/يوليه 1998 بشأن التحقيقات التي كانت تجريها في ادعاءات إساءة السلوك الجنسي وبين كانون الثاني/يناير وحزيران/يونيه 1998 كانت الدائرة قد تلقت تقارير بوقوع 97 اعتداءً جنسيا و 13 من التهم الأخرى التي ترتبط بالناحية الجنسية.</w:t>
      </w:r>
    </w:p>
    <w:p w:rsidR="00000000" w:rsidRDefault="00000000">
      <w:pPr>
        <w:pStyle w:val="SingleTxt"/>
        <w:tabs>
          <w:tab w:val="left" w:pos="1628"/>
          <w:tab w:val="left" w:pos="2904"/>
        </w:tabs>
        <w:ind w:left="1264" w:right="1264"/>
        <w:rPr>
          <w:rtl/>
        </w:rPr>
      </w:pPr>
      <w:r>
        <w:rPr>
          <w:rtl/>
        </w:rPr>
        <w:t>228 -</w:t>
      </w:r>
      <w:r>
        <w:rPr>
          <w:rtl/>
        </w:rPr>
        <w:tab/>
        <w:t>وفي أعقاب سلسلة من التقارير الصحفية المتعلقة بحوادث الملاحقة والاعتداءات الجنسية بين صفوف القوات الكندية في ربيع عام 1998، بذلت القوات الكندية جهودا للنهوض بالتزامها بالقضاء على هذه الأنماط السلوكية غير المقبولة. وفي أيار/مايو 1998 أنشأت وزارة الدفاع الوطني خطا ساخنا وطنيا من نوع الرقم 800 1 للإبلاغ عن حوادث الاعتداء الجنسي فيما تقوم دائرة التحقيقات الوطنية بالتحقيق في الحوادث المُبلغ عنها. وفي حزيران/يونيه 1998 تم تعيين أول أمين عسكري للمظالم لكي يصبح بمثابة مركز تنسيق غير رسمي معني بالشكاوى. وفي تشرين الثاني/نوفمبر 1998 أعلن وزير الدفاع الوطني إعادة إنشاء مجلس استشاري معني بإدماج الجنسين برئاسة سندرا بيرون، الكابتن السابق في الكتيبة الملكية الثانية والعشرين. التي كانت قد تركت السلك العسكري عام 1996 بعد أن تعرضت للتحرُّش من جانب زملائها العسكريين.</w:t>
      </w:r>
    </w:p>
    <w:p w:rsidR="00000000" w:rsidRDefault="00000000">
      <w:pPr>
        <w:pStyle w:val="SingleTxt"/>
        <w:tabs>
          <w:tab w:val="left" w:pos="1628"/>
          <w:tab w:val="left" w:pos="2904"/>
        </w:tabs>
        <w:ind w:left="1264" w:right="1264"/>
        <w:rPr>
          <w:rtl/>
        </w:rPr>
      </w:pPr>
      <w:r>
        <w:rPr>
          <w:rtl/>
        </w:rPr>
        <w:t>229 -</w:t>
      </w:r>
      <w:r>
        <w:rPr>
          <w:rtl/>
        </w:rPr>
        <w:tab/>
        <w:t xml:space="preserve">وجاء مؤخرا صدور القانون جيم </w:t>
      </w:r>
      <w:r>
        <w:t>–</w:t>
      </w:r>
      <w:r>
        <w:rPr>
          <w:rtl/>
        </w:rPr>
        <w:t xml:space="preserve"> 25 ليضفي تحسينات كبيرة على فعالية نظام العدالة العسكرية فيما يتعلق بالتعامل مع شكاوى الاعتداء الجنسي في السلك العسكري. وهذا القانون الذي قصد إلى تعديل قانون الدفاع الوطني نال الموافقة الملكية في 10 كانون الأول/ديسمبر 1998. ومن بين التعديلات المتعلقة بالجرائم الجنسية في السلك العسكري ونظام العدالة العسكرية تعديل يتسم بأهمية خاصة بالنسبة للمرأة. فالقانون الجديد يؤدي إلى تمكين نظام العدالة العسكرية من معالجة هذه المسائل مباشرة بدلا من تقديم قضايا الاعتداء الجنسي لكي تنظر فيها محكمة مدنية في ظل القانون الجنائي كما كان الحال من قبل. ونتيجة لذلك يمكن المحاكمة على قضايا الاعتداء الجنسي في إطار نظام العدالة العسكرية. ومن المتوقع أن يؤدي ذلك إلى معالجة أسرع وأكثر جدية للشكاوى المقدمة في هذا الشأن.</w:t>
      </w:r>
    </w:p>
    <w:p w:rsidR="00000000" w:rsidRDefault="00000000">
      <w:pPr>
        <w:pStyle w:val="SingleTxt"/>
        <w:tabs>
          <w:tab w:val="left" w:pos="1628"/>
          <w:tab w:val="left" w:pos="2904"/>
        </w:tabs>
        <w:ind w:left="1264" w:right="1264"/>
        <w:rPr>
          <w:rtl/>
        </w:rPr>
      </w:pPr>
      <w:r>
        <w:rPr>
          <w:b/>
          <w:bCs/>
          <w:rtl/>
        </w:rPr>
        <w:t>المرأة في مواقع السلطة وصنع القرار</w:t>
      </w:r>
    </w:p>
    <w:p w:rsidR="00000000" w:rsidRDefault="00000000">
      <w:pPr>
        <w:pStyle w:val="SingleTxt"/>
        <w:tabs>
          <w:tab w:val="left" w:pos="1628"/>
          <w:tab w:val="left" w:pos="2904"/>
        </w:tabs>
        <w:ind w:left="1264" w:right="1264"/>
        <w:rPr>
          <w:rtl/>
        </w:rPr>
      </w:pPr>
      <w:r>
        <w:rPr>
          <w:rtl/>
        </w:rPr>
        <w:t>230 -</w:t>
      </w:r>
      <w:r>
        <w:rPr>
          <w:rtl/>
        </w:rPr>
        <w:tab/>
        <w:t>تواصل الحكومة الاتحادية ممارستها بإجراء مشاورات مستمرة مع المنظمات النسائية ومع سائر القيادات المجتمعية بشأن المسائل الرئيسية التي تشغل المرأة. وعلى سبيل المثال، فمنذ عام 1994، تشاور وزير العدل ووزير الدولة لشؤون وضع المرأة مع المنظمات النسائية بشأن مسألة المرأة والعنف. وعُقدت مشاورات مماثلة بشأن التطورات في مراكز التفوُّق المعنية بصحة المرأة وبشأن مسائل تتعلق بالتنمية المستدامة، كما تُعقد مشاورات نصف سنوية مع قيادات النساء المزارعات على المستوى الوطني.</w:t>
      </w:r>
    </w:p>
    <w:p w:rsidR="00000000" w:rsidRDefault="00000000">
      <w:pPr>
        <w:pStyle w:val="SingleTxt"/>
        <w:tabs>
          <w:tab w:val="left" w:pos="1628"/>
          <w:tab w:val="left" w:pos="2904"/>
        </w:tabs>
        <w:ind w:left="1264" w:right="1264"/>
        <w:rPr>
          <w:rtl/>
        </w:rPr>
      </w:pPr>
      <w:r>
        <w:rPr>
          <w:rtl/>
        </w:rPr>
        <w:t>231 -</w:t>
      </w:r>
      <w:r>
        <w:rPr>
          <w:rtl/>
        </w:rPr>
        <w:tab/>
        <w:t>وفي إطار خطة استجماع القوى، وهي خطة العمل لشعوب السكان الأصليين في كندا، تعمل وزارة التراث الكندي مع الجماعات النسائية للسكان الأصليين (في المحميات وخارجها)، بصورة أساسية، من أجل تدعيم قدرتها على المستوى المجتمعي، فضلا عن توفير قدر من الدعم على مستوى المقاطعات/الأقاليم وعلى المستوى الوطني حيث يتمثل الهدف في كفالة المشاركة الكاملة والمتكافئة للمرأة من السكان الأصليين في المشاورات واتخاذ القرار في الأمور التي تتعلق بمبادرات الحكم الذاتي للسكان الأصليين.</w:t>
      </w:r>
    </w:p>
    <w:p w:rsidR="00000000" w:rsidRDefault="00000000">
      <w:pPr>
        <w:pStyle w:val="SingleTxt"/>
        <w:tabs>
          <w:tab w:val="left" w:pos="1628"/>
          <w:tab w:val="left" w:pos="2904"/>
        </w:tabs>
        <w:ind w:left="1264" w:right="1264"/>
        <w:rPr>
          <w:rtl/>
        </w:rPr>
      </w:pPr>
      <w:r>
        <w:rPr>
          <w:rtl/>
        </w:rPr>
        <w:t>232 -</w:t>
      </w:r>
      <w:r>
        <w:rPr>
          <w:rtl/>
        </w:rPr>
        <w:tab/>
        <w:t>وعملت وزارة الخارجية والتجارة الدولية على تعزيز مشاركة نساء السكان الأصليين في مواقع السلطة واتخاذ القرار من خلال دعوة قيادات منظمات السكان الأصليين النسائية الوطنية إلى المشاورات التي عقدتها الوزارة المذكورة بشأن قضايا السكان الأصليين على المستوى الدولي. فمثلا، تبنت الوزارة إيفاد نساء من السكان الأصليين لحضور الجلسات التي عقدتها بعثة المنظمة العالمية للملكية الفكرية لتقصي الحقائق، التي أوفدت إلى كندا بشأن حقوق الملكية الفكرية وشعوب السكان الأصليين خلال جولتها في جميع أنحاء كندا في تشرين الثاني/نوفمبر 1998.</w:t>
      </w:r>
    </w:p>
    <w:p w:rsidR="00000000" w:rsidRDefault="00000000">
      <w:pPr>
        <w:pStyle w:val="SingleTxt"/>
        <w:tabs>
          <w:tab w:val="left" w:pos="1628"/>
          <w:tab w:val="left" w:pos="2904"/>
        </w:tabs>
        <w:ind w:left="1264" w:right="1264"/>
        <w:rPr>
          <w:rtl/>
        </w:rPr>
      </w:pPr>
      <w:r>
        <w:rPr>
          <w:rtl/>
        </w:rPr>
        <w:t>233 -</w:t>
      </w:r>
      <w:r>
        <w:rPr>
          <w:rtl/>
        </w:rPr>
        <w:tab/>
        <w:t xml:space="preserve">وفي الفترة 1996 </w:t>
      </w:r>
      <w:r>
        <w:t>–</w:t>
      </w:r>
      <w:r>
        <w:rPr>
          <w:rtl/>
        </w:rPr>
        <w:t xml:space="preserve"> 1997، قدمت وزارة وضع المرأة تمويلا من خلال برنامج المرأة، لدعم نحو 33 مشروعا حيث بلغ مجموع المنح المقدمة ما يعادل 422 579 دولارا تعزيزا لسلسلة من المشاريع التي تمت على الصُعد الوطنية والإقليمية والمحلية وترمي إلى التصدي لمسألة مشاركة المرأة في صنع القرار. وعلى سبيل المثال، قُدِّم التمويل إلى رابطة مانيتوبا للمرأة والقانون لزيادة وعي المرأة بنظام التعيينات على المستوى الاتحادي والمجالات التي تحتاج إلى أن تشغل مناصبها النساء المؤهلات والمعنيات بالأمر. وفي أونتاريو، تلقت منظمة خطة تورنتو النسائية تمويلا لتنظيم حلقات عمل ترمي إلى حفز المرأة على المشاركة في الانتخابات المحلية وفي مسائل إدارة الحكم المحلي بشكل عام. وفي كيبك، تلقى مجلس التنسيق للجماعات النسائية في شرقي كيبك تمويلا لعقد أربعة اجتماعات إقليمية وكان الهدف من إشراك 27 من الجماعات النسائية و 50 امرأة ممن يتمتعن بعضوية هيئات صنع القرار الإقليمية هو زيادة تمثيل المرأة في تلك الهيئات وتحسين الروابط الداعمة بين صفوفهن.</w:t>
      </w:r>
    </w:p>
    <w:p w:rsidR="00000000" w:rsidRDefault="00000000">
      <w:pPr>
        <w:pStyle w:val="SingleTxt"/>
        <w:tabs>
          <w:tab w:val="left" w:pos="1628"/>
          <w:tab w:val="left" w:pos="2904"/>
        </w:tabs>
        <w:ind w:left="1264" w:right="1264"/>
        <w:rPr>
          <w:rtl/>
        </w:rPr>
      </w:pPr>
      <w:r>
        <w:rPr>
          <w:rtl/>
        </w:rPr>
        <w:t>234 -</w:t>
      </w:r>
      <w:r>
        <w:rPr>
          <w:rtl/>
        </w:rPr>
        <w:tab/>
        <w:t>كما قدَّمت حكومة كندا دعما تمويليا للمشاريع التي اضطلعت بها المنظمات النسائية وغيرها من الهيئات التي تنشد تحقيق المساواة من أجل معالجة قضية مشاركة المرأة في مجال صنع القرار. ومما يتسم بأهمية خاصة تمويل جماعات النساء من السكان الأصليين للمشاركة في عملية الحكم الذاتي. فمن خلال هذا التمويل يتم صياغة علاقة جديدة مع مجتمع السكان الأصليين وتشمل المبادرات التمويلية ما يلي.</w:t>
      </w:r>
    </w:p>
    <w:p w:rsidR="00000000" w:rsidRDefault="00000000">
      <w:pPr>
        <w:pStyle w:val="SingleTxt"/>
        <w:tabs>
          <w:tab w:val="left" w:pos="1628"/>
          <w:tab w:val="left" w:pos="2904"/>
        </w:tabs>
        <w:ind w:left="1264" w:right="1264"/>
        <w:rPr>
          <w:rtl/>
        </w:rPr>
      </w:pPr>
      <w:r>
        <w:rPr>
          <w:rtl/>
        </w:rPr>
        <w:t>235 -</w:t>
      </w:r>
      <w:r>
        <w:rPr>
          <w:rtl/>
        </w:rPr>
        <w:tab/>
      </w:r>
      <w:r>
        <w:rPr>
          <w:w w:val="100"/>
          <w:rtl/>
        </w:rPr>
        <w:t>في معرض الاستجابة لقيام إقليم “نونافوت” بوصفه أحدث إقليم شمالي في كندا، قامت رابطة الإنويت النسائية لكندا بتنفيذ استراتيجية تعليمية لتوليد الدعم الجماهيري من أجل مساواة الجنسين في المجلس التشريعي في “نونافوت” والمشاركــة الكاملة للمــرأة من</w:t>
      </w:r>
      <w:r>
        <w:rPr>
          <w:rtl/>
        </w:rPr>
        <w:t xml:space="preserve"> الإنويت في جهود الحكم الذاتي. وقد تحقق ذلك بفضل مساعدة مالية من برنامج المرأة. كما ركَّزت أعمال الرابطة المذكورة أعلاه على الاقتراح بمساواة الجنسين في المجلس التشريعي في “نونافوت” وشجعت على مشاركة المرأة في الاقتراع بشأن المساواة بينهما. كما عَقدت جلسات تثقيفية واستراتيجية مع النساء من جميع أنحاء مناطق الشمال، وهيأت موقعا على الشبكة العالمية لنشر المعلومات على صعيد عملية الاستفتاء بأكملها، وقامت بتوعية النساء بشأن أساليب استخدام أدوات الاتصال السلكي واللاسلكي ومعلومات الطريق السريع الإلكتروني في التواصل الشبكي وبناء التحالفات. وفي نهاية المطاف، وبرغم أن نتائج الاستفتاء لم تؤد إلى تبني اقتراح مساواة الجنسين إلا أن الأمر شهد حوارا جماهيريا واسع النطاق حول الاقتراح مما مهد الأرضية لمناقشات ستتم مستقبلا في مجال السياسة العامة بشأن المساواة بين الجنسين.</w:t>
      </w:r>
    </w:p>
    <w:p w:rsidR="00000000" w:rsidRDefault="00000000">
      <w:pPr>
        <w:pStyle w:val="SingleTxt"/>
        <w:tabs>
          <w:tab w:val="left" w:pos="1628"/>
          <w:tab w:val="left" w:pos="2904"/>
        </w:tabs>
        <w:ind w:left="1264" w:right="1264"/>
        <w:rPr>
          <w:rtl/>
        </w:rPr>
      </w:pPr>
      <w:r>
        <w:rPr>
          <w:rtl/>
        </w:rPr>
        <w:t>236 -</w:t>
      </w:r>
      <w:r>
        <w:rPr>
          <w:rtl/>
        </w:rPr>
        <w:tab/>
        <w:t xml:space="preserve">أما رابطة نساء السكان الأصليين في نوفاسكوتشيا فتدارست أمر الدور التقليدي للمرأة المنتمية إلى الميك ماك في عملية الحكم الذاتي. ومن خلال جهودها نجحت الرابطة في الحصول على مركز رسمي لدى المنتدى الثلاثي لنوفاسكوتشيا </w:t>
      </w:r>
      <w:r>
        <w:t>–</w:t>
      </w:r>
      <w:r>
        <w:rPr>
          <w:rtl/>
        </w:rPr>
        <w:t xml:space="preserve"> كندا المعني بالحكم الذاتي للسكان الأصليين في عام 1997 بما سهَّل مشاركة نساء السكان الأصليين في وضع السياسات العامة المتعلقة بقضية الحكم الذاتي بكل دقتها للسكان الأصليين في نوفاسكوتشيا.</w:t>
      </w:r>
    </w:p>
    <w:p w:rsidR="00000000" w:rsidRDefault="00000000">
      <w:pPr>
        <w:pStyle w:val="SingleTxt"/>
        <w:tabs>
          <w:tab w:val="left" w:pos="1628"/>
          <w:tab w:val="left" w:pos="2904"/>
        </w:tabs>
        <w:ind w:left="1264" w:right="1264"/>
        <w:rPr>
          <w:rtl/>
        </w:rPr>
      </w:pPr>
      <w:r>
        <w:rPr>
          <w:rtl/>
        </w:rPr>
        <w:t>237 -</w:t>
      </w:r>
      <w:r>
        <w:rPr>
          <w:rtl/>
        </w:rPr>
        <w:tab/>
        <w:t xml:space="preserve">وتلقت شبكة العمل النسائية للسكان الأصليين تمويلا في الفترة 1997 </w:t>
      </w:r>
      <w:r>
        <w:t>–</w:t>
      </w:r>
      <w:r>
        <w:rPr>
          <w:rtl/>
        </w:rPr>
        <w:t xml:space="preserve"> 1998 لإجراء بحوث عن أثر القانون جيم </w:t>
      </w:r>
      <w:r>
        <w:t>–</w:t>
      </w:r>
      <w:r>
        <w:rPr>
          <w:rtl/>
        </w:rPr>
        <w:t xml:space="preserve"> 31 (تعديل على القانون الهندي) بشأن المرأة من السكان الأصليين، وقد تعلَّق الأمر بحجم حالات عدم التكافؤ في المكانة والعضوية ومن ثم الوصول إلى مواقع ومراكز صنع القرار. ومن خلال مقابلات واستبيانات يتم إجراء البحث أساسا بين صفوف نساء السكان الأصليين في الحضر في جميع أنحاء المقاطعة لتحديد المسائل المتصلة بالعضوية الجماعية وسُبُل الوصول إلى الأوطان الأصلية وحقوق المرأة من السكان الأصليين. وفي إطار شراكة مع جماعات حضرية أخرى من السكان الأصليين، يتم وضع استراتيجية للتصدي للمشاكل المحددة وتحسين فرص وصول المرأة إلى عضوية الهيئات وإلى عملية الحكم الذاتي.</w:t>
      </w:r>
    </w:p>
    <w:p w:rsidR="00000000" w:rsidRDefault="00000000">
      <w:pPr>
        <w:pStyle w:val="SingleTxt"/>
        <w:tabs>
          <w:tab w:val="left" w:pos="1628"/>
          <w:tab w:val="left" w:pos="2904"/>
        </w:tabs>
        <w:ind w:left="1264" w:right="1264"/>
        <w:rPr>
          <w:rtl/>
        </w:rPr>
      </w:pPr>
      <w:r>
        <w:rPr>
          <w:rtl/>
        </w:rPr>
        <w:t>238 -</w:t>
      </w:r>
      <w:r>
        <w:rPr>
          <w:rtl/>
        </w:rPr>
        <w:tab/>
        <w:t>ومن خلال حكومة كندا، يعمل الصندوق الكندي للتكيُّف والتنمية الريفية على تقديم مبلغ 000 80 دولار إلى منظمات النساء المزارعات والريفيات لكي تتولى تنظيم حلقات عمل في مجال التخطيط الاستراتيجي وتنمية المهارات القيادية من أجل تفعيل وتعزيز قيادة المنظمات.</w:t>
      </w:r>
    </w:p>
    <w:p w:rsidR="00000000" w:rsidRDefault="00000000">
      <w:pPr>
        <w:pStyle w:val="SingleTxt"/>
        <w:tabs>
          <w:tab w:val="left" w:pos="1628"/>
          <w:tab w:val="left" w:pos="2904"/>
        </w:tabs>
        <w:ind w:left="1264" w:right="1264"/>
        <w:rPr>
          <w:rtl/>
        </w:rPr>
      </w:pPr>
      <w:r>
        <w:rPr>
          <w:rtl/>
        </w:rPr>
        <w:t>239 -</w:t>
      </w:r>
      <w:r>
        <w:rPr>
          <w:rtl/>
        </w:rPr>
        <w:tab/>
        <w:t>وقدَّمت وزارة الشؤون الهندية والتنمية الشمالية إلى رابطة نساء السكان الأصليين في كندا تمويلا لمشروع بمبلغ 000 250 دولار لعقد مؤتمر وطني بشأن القانون جيم-31. وقد عُقد في آذار/مارس 1998 ثم عُقد مؤتمر متابعة وطني في أيار/مايو 1999 وقد قُدِّم من أجله مبلغ 000 45 دولار.</w:t>
      </w:r>
    </w:p>
    <w:p w:rsidR="00000000" w:rsidRDefault="00000000">
      <w:pPr>
        <w:pStyle w:val="SingleTxt"/>
        <w:tabs>
          <w:tab w:val="left" w:pos="1628"/>
          <w:tab w:val="left" w:pos="2904"/>
        </w:tabs>
        <w:ind w:left="1264" w:right="1264"/>
        <w:rPr>
          <w:szCs w:val="32"/>
          <w:rtl/>
        </w:rPr>
      </w:pPr>
      <w:r>
        <w:rPr>
          <w:b/>
          <w:bCs/>
          <w:szCs w:val="32"/>
          <w:rtl/>
        </w:rPr>
        <w:t>المادة 8: المرأة في مجال التمثيل الدولي</w:t>
      </w:r>
    </w:p>
    <w:p w:rsidR="00000000" w:rsidRDefault="00000000">
      <w:pPr>
        <w:pStyle w:val="SingleTxt"/>
        <w:tabs>
          <w:tab w:val="left" w:pos="1628"/>
          <w:tab w:val="left" w:pos="2904"/>
        </w:tabs>
        <w:ind w:left="1264" w:right="1264"/>
        <w:rPr>
          <w:rtl/>
        </w:rPr>
      </w:pPr>
      <w:r>
        <w:rPr>
          <w:rtl/>
        </w:rPr>
        <w:t>240 -</w:t>
      </w:r>
      <w:r>
        <w:rPr>
          <w:rtl/>
        </w:rPr>
        <w:tab/>
        <w:t>أحرزت وزارة الخارجية والتجارة الدولية تقدما في السنوات الخمس الأخيرة نحو هدف الوصول إلى قوى عاملة عمل تعكس تنوع سوق العمل الكندية. كما يتم إحراز تقدُّم من أجل الوفاء بالالتزامات التي يفرضها قانون الإنصاف التوظيفي. وبالإضافة إلى ذلك فوزارة الخارجية والتجارة الدولية ملتزمة بتحسين آفاق التطور المهني للنساء من خلال زيادة تمثيلهن في إدارات الوزارة وتيسير وصولهن إلى ممارسة المهن غير التقليدية. كما تتواصل الجهود لتنفيذ تدابير التواصل الرامية إلى توظيف أفراد من الأقليات الواضحة وأشخاص من ذوي الإعاقات ومن شعوب السكان الأصليين.</w:t>
      </w:r>
    </w:p>
    <w:p w:rsidR="00000000" w:rsidRDefault="00000000">
      <w:pPr>
        <w:pStyle w:val="SingleTxt"/>
        <w:tabs>
          <w:tab w:val="left" w:pos="1628"/>
          <w:tab w:val="left" w:pos="2904"/>
        </w:tabs>
        <w:ind w:left="1264" w:right="1264"/>
        <w:rPr>
          <w:rtl/>
        </w:rPr>
      </w:pPr>
      <w:r>
        <w:rPr>
          <w:rtl/>
        </w:rPr>
        <w:t>241 -</w:t>
      </w:r>
      <w:r>
        <w:rPr>
          <w:rtl/>
        </w:rPr>
        <w:tab/>
        <w:t xml:space="preserve">وفي الفترة 1998 </w:t>
      </w:r>
      <w:r>
        <w:t>–</w:t>
      </w:r>
      <w:r>
        <w:rPr>
          <w:rtl/>
        </w:rPr>
        <w:t xml:space="preserve"> 1999، أصبحت النساء يشكلن 44.7 في المائة من قوة العمل بوزارة الخارجية وتلك زيادة في التمثيل الذي بلغ 40.8 في المائة في 31 آذار/مارس 1994. وفي فئة موظفي السلك الخارجي، تشكل المرأة 28.4 في المائة بزيادة من 22.8 في المائة عام 1994. ويتواصل التقدُّم في توظيف النساء. ففي الفترة 1998 </w:t>
      </w:r>
      <w:r>
        <w:t>–</w:t>
      </w:r>
      <w:r>
        <w:rPr>
          <w:rtl/>
        </w:rPr>
        <w:t xml:space="preserve"> 1999، كان 49 في المائة من الموظفين الجدد من النساء. وذلك نقصان طفيف بالمقارنة مع نسبة 52 في المائة في 31 آذار/مارس 1994. كما يتحقق تقدُّم في التزام وزارة الخارجية بضمان أن يكون 50 في المائة من المرشحين الذين تجري مقابلتهم سنويا من النساء. وتحسّن أيضا معدل الترقيات بين النساء. ففي الفترة 1998 </w:t>
      </w:r>
      <w:r>
        <w:t>–</w:t>
      </w:r>
      <w:r>
        <w:rPr>
          <w:rtl/>
        </w:rPr>
        <w:t xml:space="preserve"> 1999، كانت نسبة 45.5 في المائة من الذين حصلوا على الترقيات من النساء بالمقارنة إلى نسبة 36.7 في المائة في الفترة 1994 </w:t>
      </w:r>
      <w:r>
        <w:t>–</w:t>
      </w:r>
      <w:r>
        <w:rPr>
          <w:rtl/>
        </w:rPr>
        <w:t xml:space="preserve"> 1995. أما معدل ترك الخدمة للنساء في الفترة 1998 </w:t>
      </w:r>
      <w:r>
        <w:t>–</w:t>
      </w:r>
      <w:r>
        <w:rPr>
          <w:rtl/>
        </w:rPr>
        <w:t xml:space="preserve"> 1999 فكان 46.6 في المائة ويعد ذلك تحسناً بدوره يقارن بتاريخ 31 آذار/مارس 1994 حين كان المعدل هو 51.5 في المائة.</w:t>
      </w:r>
    </w:p>
    <w:p w:rsidR="00000000" w:rsidRDefault="00000000">
      <w:pPr>
        <w:pStyle w:val="SingleTxt"/>
        <w:tabs>
          <w:tab w:val="left" w:pos="1628"/>
          <w:tab w:val="left" w:pos="2904"/>
        </w:tabs>
        <w:ind w:left="1264" w:right="1264"/>
        <w:rPr>
          <w:rtl/>
        </w:rPr>
      </w:pPr>
      <w:r>
        <w:rPr>
          <w:rtl/>
        </w:rPr>
        <w:t>242 -</w:t>
      </w:r>
      <w:r>
        <w:rPr>
          <w:rtl/>
        </w:rPr>
        <w:tab/>
        <w:t>ويبلغ المعدل الحالي لتمثيل المرأة في فئة المديرين بوزارة الخارجية والتجارة الدولية 13.3 في المائة مقارنة بنسبة 8.7 في المائة عام 1994. وفي عام 1999، كانت نسبة 16.6 في المائة من رؤساء البعثات من النساء وتلك زيادة ملموسة من نسبة 10 في المائة عام 1994.</w:t>
      </w:r>
    </w:p>
    <w:p w:rsidR="00000000" w:rsidRDefault="00000000">
      <w:pPr>
        <w:pStyle w:val="SingleTxt"/>
        <w:tabs>
          <w:tab w:val="left" w:pos="1628"/>
          <w:tab w:val="left" w:pos="2904"/>
        </w:tabs>
        <w:ind w:left="1264" w:right="1264"/>
        <w:rPr>
          <w:rtl/>
        </w:rPr>
      </w:pPr>
      <w:r>
        <w:rPr>
          <w:rtl/>
        </w:rPr>
        <w:t>243 -</w:t>
      </w:r>
      <w:r>
        <w:rPr>
          <w:rtl/>
        </w:rPr>
        <w:tab/>
        <w:t xml:space="preserve">وفي الفترة 1998 </w:t>
      </w:r>
      <w:r>
        <w:t>–</w:t>
      </w:r>
      <w:r>
        <w:rPr>
          <w:rtl/>
        </w:rPr>
        <w:t xml:space="preserve"> 1999، شكلت النساء نسبة 28.68 في المائة من الموظفين فيما وراء البحار بالوكالة الكندية للتنمية الدولية. ومنهن كانت نسبة 5.71 في المائة يشغلن مناصب في الإدارة و 88.57  في المائة يعملن في الخدمات البرنامجية والإدارية ونسبة 2.86 في المائة في مجال الاقتصاد و 2.86 في المائة كن من السلك الخارجي.</w:t>
      </w:r>
    </w:p>
    <w:p w:rsidR="00000000" w:rsidRDefault="00000000">
      <w:pPr>
        <w:pStyle w:val="SingleTxt"/>
        <w:tabs>
          <w:tab w:val="left" w:pos="1628"/>
          <w:tab w:val="left" w:pos="2904"/>
        </w:tabs>
        <w:ind w:left="1264" w:right="1264"/>
        <w:rPr>
          <w:rtl/>
        </w:rPr>
      </w:pPr>
      <w:r>
        <w:rPr>
          <w:rtl/>
        </w:rPr>
        <w:t>244 -</w:t>
      </w:r>
      <w:r>
        <w:rPr>
          <w:rtl/>
        </w:rPr>
        <w:tab/>
        <w:t>وقد استهلت وزارة الخارجية والتجارة الدولية تدابير نوعية لتحسين الآفاق الوظيفية المتاحة للمرأة الموظفة في السلك الخارجي ومن بينها إتاحة فرص للتطور والتعليم وتهيئة ترتيبات مرنة للأداء مثل العمل عن بعد أو تقاسم الوظائف وترتيبات لاستيعاب العطلات الدينية ومسؤوليات مقدمي الرعاية وتوفير التمويل اللازم للحصول على معدات خاصة للأشخاص من ذوي الإعاقات.</w:t>
      </w:r>
    </w:p>
    <w:p w:rsidR="00000000" w:rsidRDefault="00000000">
      <w:pPr>
        <w:pStyle w:val="SingleTxt"/>
        <w:tabs>
          <w:tab w:val="left" w:pos="1628"/>
          <w:tab w:val="left" w:pos="2904"/>
        </w:tabs>
        <w:ind w:left="1264" w:right="1264"/>
        <w:rPr>
          <w:rtl/>
        </w:rPr>
      </w:pPr>
      <w:r>
        <w:rPr>
          <w:rtl/>
        </w:rPr>
        <w:t>245 -</w:t>
      </w:r>
      <w:r>
        <w:rPr>
          <w:rtl/>
        </w:rPr>
        <w:tab/>
        <w:t>وعملت وزارة الخارجية على تعزيز وتحسين آليات الوزارة بالنسبة للنهوض المهني بالنساء من السكان الأصليين في مجال الوظائف العامة من خلال جهود مستشار الوزارة لشؤون الإنصاف التوظيفي. وعملا بأحكام قانون الإنصاف المذكور. وقد خدمت سيدة من الإنويت سفيرا لكندا لشؤون الدائرة القطبية على مدى عدة سنوات وهي تمثل قيادة قوية في المجلس القطبي بوصفها أكبر مسؤول كندي على هذا المستوى. وتشغل نساء أخريات من السكان الأصليين مناصب على مستوى المديرين وفي بعثات كندا بالخارج.</w:t>
      </w:r>
    </w:p>
    <w:p w:rsidR="00000000" w:rsidRDefault="00000000">
      <w:pPr>
        <w:pStyle w:val="SingleTxt"/>
        <w:tabs>
          <w:tab w:val="left" w:pos="1628"/>
          <w:tab w:val="left" w:pos="2904"/>
        </w:tabs>
        <w:ind w:left="1264" w:right="1264"/>
        <w:rPr>
          <w:rtl/>
        </w:rPr>
      </w:pPr>
      <w:r>
        <w:rPr>
          <w:rtl/>
        </w:rPr>
        <w:t>246 -</w:t>
      </w:r>
      <w:r>
        <w:rPr>
          <w:rtl/>
        </w:rPr>
        <w:tab/>
        <w:t>ونجحت وزارة وضع المرأة في كندا في تأمين مشاركة ممثلينا من المنظمات الكندية غير الحكومية (بما في ذلك المنظمات النسائية) في الاجتماعات الرئيسية الدولية لتمكين النساء بين صفوفهم من فر ص الوصول إلى عملية السياسة العامة الدولية بصورة أكثر فعالية. وقد شمل ذلك إيفاد إثنتين من ممثلات المنظمات غير الحكومية ضمن وفد كندا إلى اجتماع وزراء الكمنولث المسؤولين عن شؤون المرأة في تشرين الثاني/نوفمبر 1996 وممثلات للمنظمات غير الحكومية ضمن الوفد الكندي إلى لجنة الأمم المتحدة المعنية بوضع المرأة منذ عام 1997.</w:t>
      </w:r>
    </w:p>
    <w:p w:rsidR="00000000" w:rsidRDefault="00000000">
      <w:pPr>
        <w:pStyle w:val="SingleTxt"/>
        <w:tabs>
          <w:tab w:val="left" w:pos="1628"/>
          <w:tab w:val="left" w:pos="2904"/>
        </w:tabs>
        <w:ind w:left="1264" w:right="1264"/>
        <w:rPr>
          <w:rtl/>
        </w:rPr>
      </w:pPr>
      <w:r>
        <w:rPr>
          <w:rtl/>
        </w:rPr>
        <w:t>247 -</w:t>
      </w:r>
      <w:r>
        <w:rPr>
          <w:rtl/>
        </w:rPr>
        <w:tab/>
        <w:t>ومن خلال برنامج المرأة الذي تعتمده وزارة وضع المرأة، قُدِّم التمويل إلى المنظمات غير الحكومية الكندية النسائية لممارسة أنشطة دعما لاستعدادات المنظمات غير الحكومية الكندية للمشاركة في مؤتمر الأمم المتحدة العالمي الرابع المعقود في بيجين عام 1995 وما تم لاحقا من اجتماعات تحضيرية لمؤتمر الأم المتحدة بيجين + 5. ومن خلال الوكالة الكندية للتنمية الدولية، عزَّزت كندا كذلك مشاركة المرأة من البلدان النامية في عملية بيجين وفي متابعتها.</w:t>
      </w:r>
    </w:p>
    <w:p w:rsidR="00000000" w:rsidRDefault="00000000">
      <w:pPr>
        <w:pStyle w:val="SingleTxt"/>
        <w:tabs>
          <w:tab w:val="left" w:pos="1628"/>
          <w:tab w:val="left" w:pos="2904"/>
        </w:tabs>
        <w:ind w:left="1264" w:right="1264"/>
        <w:rPr>
          <w:b/>
          <w:bCs/>
          <w:szCs w:val="32"/>
          <w:rtl/>
        </w:rPr>
      </w:pPr>
    </w:p>
    <w:p w:rsidR="00000000" w:rsidRDefault="00000000">
      <w:pPr>
        <w:pStyle w:val="SingleTxt"/>
        <w:tabs>
          <w:tab w:val="left" w:pos="1628"/>
          <w:tab w:val="left" w:pos="2904"/>
        </w:tabs>
        <w:ind w:left="1264" w:right="1264"/>
        <w:rPr>
          <w:szCs w:val="32"/>
          <w:rtl/>
        </w:rPr>
      </w:pPr>
      <w:r>
        <w:rPr>
          <w:b/>
          <w:bCs/>
          <w:szCs w:val="32"/>
          <w:rtl/>
        </w:rPr>
        <w:t>المادة 9: الجنسية</w:t>
      </w:r>
    </w:p>
    <w:p w:rsidR="00000000" w:rsidRDefault="00000000">
      <w:pPr>
        <w:pStyle w:val="SingleTxt"/>
        <w:tabs>
          <w:tab w:val="left" w:pos="1628"/>
          <w:tab w:val="left" w:pos="2904"/>
        </w:tabs>
        <w:ind w:left="1264" w:right="1264"/>
        <w:rPr>
          <w:rtl/>
        </w:rPr>
      </w:pPr>
      <w:r>
        <w:rPr>
          <w:rtl/>
        </w:rPr>
        <w:t>248 -</w:t>
      </w:r>
      <w:r>
        <w:rPr>
          <w:rtl/>
        </w:rPr>
        <w:tab/>
        <w:t>قبل 15 شباط/فبراير 1977، كان الأطفال المولودون خارج كندا يحق لهم أن يُسجَّلوا بوصفهم كنديين شريطة أن يولدوا في إطار رابطة زواجية لآباء كنديين. وإذا ما ولدوا لأمهات كنديات لم يكن من حقهم التسجيل ككنديين إلا إذا ولدوا خارج رابطة الزواج. وبما أن معظم الأطفال كانوا يولدون في إطار رابطة الزواج، فإن الوضع المدني للوالدين كان ينجم عنه أثر تمييزي ضد المرأة الكندية.</w:t>
      </w:r>
    </w:p>
    <w:p w:rsidR="00000000" w:rsidRDefault="00000000">
      <w:pPr>
        <w:pStyle w:val="SingleTxt"/>
        <w:tabs>
          <w:tab w:val="left" w:pos="1628"/>
          <w:tab w:val="left" w:pos="2904"/>
        </w:tabs>
        <w:ind w:left="1264" w:right="1264"/>
        <w:rPr>
          <w:rtl/>
        </w:rPr>
      </w:pPr>
      <w:r>
        <w:rPr>
          <w:rtl/>
        </w:rPr>
        <w:t>249 -</w:t>
      </w:r>
      <w:r>
        <w:rPr>
          <w:rtl/>
        </w:rPr>
        <w:tab/>
        <w:t xml:space="preserve">وفي عام 1997 واتضح للمحكمة العليا لكندا في قضية </w:t>
      </w:r>
      <w:r>
        <w:t>Benner</w:t>
      </w:r>
      <w:r>
        <w:rPr>
          <w:rtl/>
        </w:rPr>
        <w:t xml:space="preserve"> ضد كندا أن إنكار حق المواطنة على رجل (لأسباب لا تتعلق بمولده) ويكون قد ولد في الخارج داخل رابطة الزواج لأم كندية في عام 1962، أمر يصل إلى حد التمييز غير المُبرَّر القائم على أساس نوع الجنس. وإذا ما كان الفرد قد ولد لأب كندي، لكان مستحقا للتسجيل بوصفه كنديا دون أن تساق أسباب أخرى لرفض منحه الجنسية. ووجدت المحكمة العليا أن الفرق في المعاملة بين الأطفال المولودين داخل رابطة الزواج لآباء كنديين وأولئك المولودين داخل رابطة الزواج لأمهات كنديات إنما تصل إلى تمييز غير مُبرر قائم على أساس جنساني.</w:t>
      </w:r>
    </w:p>
    <w:p w:rsidR="00000000" w:rsidRDefault="00000000">
      <w:pPr>
        <w:pStyle w:val="SingleTxt"/>
        <w:tabs>
          <w:tab w:val="left" w:pos="1628"/>
          <w:tab w:val="left" w:pos="2904"/>
        </w:tabs>
        <w:ind w:left="1264" w:right="1264"/>
        <w:rPr>
          <w:rtl/>
        </w:rPr>
      </w:pPr>
      <w:r>
        <w:rPr>
          <w:rtl/>
        </w:rPr>
        <w:t>250 -</w:t>
      </w:r>
      <w:r>
        <w:rPr>
          <w:rtl/>
        </w:rPr>
        <w:tab/>
        <w:t>وكنتيجة لقرار المحكمة العليا، لم تعد شروط استحقاق الجنسية للذين ولدوا بالخارج لأمهات كنديات داخل الرابطة الزواجية قبل 15 شباط/فبراير 1977 موضعا لأي محظورات وهؤلاء الأبناء أصبح من حقهم الآن الحصول على الجنسية.</w:t>
      </w:r>
    </w:p>
    <w:p w:rsidR="00000000" w:rsidRDefault="00000000">
      <w:pPr>
        <w:pStyle w:val="SingleTxt"/>
        <w:tabs>
          <w:tab w:val="left" w:pos="1628"/>
          <w:tab w:val="left" w:pos="2904"/>
        </w:tabs>
        <w:ind w:left="1264" w:right="1264"/>
        <w:rPr>
          <w:rtl/>
        </w:rPr>
      </w:pPr>
      <w:r>
        <w:rPr>
          <w:b/>
          <w:bCs/>
          <w:szCs w:val="32"/>
          <w:rtl/>
        </w:rPr>
        <w:t>المادة 10: التعليم</w:t>
      </w:r>
    </w:p>
    <w:p w:rsidR="00000000" w:rsidRDefault="00000000">
      <w:pPr>
        <w:pStyle w:val="SingleTxt"/>
        <w:tabs>
          <w:tab w:val="left" w:pos="1628"/>
          <w:tab w:val="left" w:pos="2904"/>
        </w:tabs>
        <w:ind w:left="1264" w:right="1264"/>
        <w:rPr>
          <w:rtl/>
        </w:rPr>
      </w:pPr>
      <w:r>
        <w:rPr>
          <w:rtl/>
        </w:rPr>
        <w:t>251 -</w:t>
      </w:r>
      <w:r>
        <w:rPr>
          <w:rtl/>
        </w:rPr>
        <w:tab/>
        <w:t>في كندا توكل المسؤولية عن التعليم أساسا إلى حكومات المقاطعات. وجميع مستويات الحكومة تدرك أهمية تحسين تعليم المرأة وفرصها التدريبية بوصفها أمورا جوهرية لتحسين فرص توظيفها ومن ثم رفاهها الاقتصادي. وفي الخطة الاتحادية لمساواة الجنسين، وضعت حكومة كندا استراتيجية، بمشاركة مع حكومات المقاطعات والأقاليم والمنظمات النسائية. وتركِّز الخطة على تحسين فرص وصول المرأة إلى سُبل التعلُّم مدى الحياة، وتعزيز وتشجيع مشاركة المرأة في ميادين العلم والتكنولوجيا، ووضع مواد التدريب والبرامج الملائمة للمرأة. وأمثلة المبادرات التي تم اتخاذ تشمل ما يلي:</w:t>
      </w:r>
    </w:p>
    <w:p w:rsidR="00000000" w:rsidRDefault="00000000">
      <w:pPr>
        <w:pStyle w:val="SingleTxt"/>
        <w:tabs>
          <w:tab w:val="left" w:pos="1628"/>
          <w:tab w:val="left" w:pos="2904"/>
        </w:tabs>
        <w:ind w:left="1264" w:right="1264"/>
        <w:rPr>
          <w:rtl/>
        </w:rPr>
      </w:pPr>
      <w:r>
        <w:rPr>
          <w:b/>
          <w:bCs/>
          <w:szCs w:val="32"/>
          <w:rtl/>
        </w:rPr>
        <w:t>المادة 10 (أ): الوصول إلى الدراسات</w:t>
      </w:r>
    </w:p>
    <w:p w:rsidR="00000000" w:rsidRDefault="00000000">
      <w:pPr>
        <w:pStyle w:val="SingleTxt"/>
        <w:tabs>
          <w:tab w:val="left" w:pos="1628"/>
          <w:tab w:val="left" w:pos="2904"/>
        </w:tabs>
        <w:ind w:left="1264" w:right="1264"/>
        <w:rPr>
          <w:rtl/>
        </w:rPr>
      </w:pPr>
      <w:r>
        <w:rPr>
          <w:rtl/>
        </w:rPr>
        <w:t>252 -</w:t>
      </w:r>
      <w:r>
        <w:rPr>
          <w:rtl/>
        </w:rPr>
        <w:tab/>
        <w:t>استراتيجية الفرص الكندية (التي بدأ العمل بها في ميزانية عام 1998) سوف تتسم بأهمية خاصة بالنسبة للمرأة من حيث إمكانية وصولها إلى المعارف والمهارات. وتمثِّل المرأة أكثر من 50 في المائة من طلاب الجامعات والمعاهد المحلية. أما المبادرات التي تشملها استراتيجية الفرص الكندية فهي كالتالي:</w:t>
      </w:r>
    </w:p>
    <w:p w:rsidR="00000000" w:rsidRDefault="00000000">
      <w:pPr>
        <w:pStyle w:val="SingleTxt"/>
        <w:tabs>
          <w:tab w:val="left" w:pos="1628"/>
          <w:tab w:val="left" w:pos="2904"/>
        </w:tabs>
        <w:ind w:left="1927" w:right="1264" w:hanging="663"/>
        <w:rPr>
          <w:rtl/>
        </w:rPr>
      </w:pPr>
      <w:r>
        <w:rPr>
          <w:rtl/>
        </w:rPr>
        <w:tab/>
      </w:r>
      <w:r>
        <w:rPr>
          <w:rtl/>
        </w:rPr>
        <w:tab/>
        <w:t>•</w:t>
      </w:r>
      <w:r>
        <w:rPr>
          <w:rtl/>
        </w:rPr>
        <w:tab/>
        <w:t>التدابير المراعية لحجم الدخل لمساعدة الطلاب على تدبير أمر ديونهم من هيئة قروض الطلاب في كندا</w:t>
      </w:r>
    </w:p>
    <w:p w:rsidR="00000000" w:rsidRDefault="00000000">
      <w:pPr>
        <w:pStyle w:val="SingleTxt"/>
        <w:tabs>
          <w:tab w:val="left" w:pos="1628"/>
          <w:tab w:val="left" w:pos="2904"/>
        </w:tabs>
        <w:ind w:left="1927" w:right="1264" w:hanging="663"/>
        <w:rPr>
          <w:rtl/>
        </w:rPr>
      </w:pPr>
      <w:r>
        <w:rPr>
          <w:rtl/>
        </w:rPr>
        <w:tab/>
      </w:r>
      <w:r>
        <w:rPr>
          <w:rtl/>
        </w:rPr>
        <w:tab/>
        <w:t>•</w:t>
      </w:r>
      <w:r>
        <w:rPr>
          <w:rtl/>
        </w:rPr>
        <w:tab/>
        <w:t>استقطاعات تتم نظير مصاريف رعاية الأطفال وائتمانات ضريبية تعليمية للطلاب غير المتفرغين ومعظمهم من النساء</w:t>
      </w:r>
    </w:p>
    <w:p w:rsidR="00000000" w:rsidRDefault="00000000">
      <w:pPr>
        <w:pStyle w:val="SingleTxt"/>
        <w:tabs>
          <w:tab w:val="left" w:pos="1628"/>
          <w:tab w:val="left" w:pos="2904"/>
        </w:tabs>
        <w:ind w:left="1927" w:right="1264" w:hanging="663"/>
        <w:rPr>
          <w:rtl/>
        </w:rPr>
      </w:pPr>
      <w:r>
        <w:rPr>
          <w:rtl/>
        </w:rPr>
        <w:tab/>
      </w:r>
      <w:r>
        <w:rPr>
          <w:rtl/>
        </w:rPr>
        <w:tab/>
        <w:t>•</w:t>
      </w:r>
      <w:r>
        <w:rPr>
          <w:rtl/>
        </w:rPr>
        <w:tab/>
        <w:t>مِنَح كندا الدراسية التي تقصد إلى تقديم المساعدة للطلاب من ذوي الاحتياجات الماسة والدخول المنخفضة (مثل الأمهات العائلات الوحيدات) ممن يتعين عليهن الدراسة دون التفرغ لها.</w:t>
      </w:r>
    </w:p>
    <w:p w:rsidR="00000000" w:rsidRDefault="00000000">
      <w:pPr>
        <w:pStyle w:val="SingleTxt"/>
        <w:tabs>
          <w:tab w:val="left" w:pos="1628"/>
          <w:tab w:val="left" w:pos="2904"/>
        </w:tabs>
        <w:ind w:left="1927" w:right="1264" w:hanging="663"/>
        <w:rPr>
          <w:rtl/>
        </w:rPr>
      </w:pPr>
      <w:r>
        <w:rPr>
          <w:rtl/>
        </w:rPr>
        <w:tab/>
      </w:r>
      <w:r>
        <w:rPr>
          <w:rtl/>
        </w:rPr>
        <w:tab/>
        <w:t>•</w:t>
      </w:r>
      <w:r>
        <w:rPr>
          <w:rtl/>
        </w:rPr>
        <w:tab/>
        <w:t>مِنَح كندا الدراسية للدارسين، وتقصد إلى مساعدة طالبات الدكتوراه في بعض البرامج التي تكون المرأة فيها منخفضة التمثيل تقليديا</w:t>
      </w:r>
    </w:p>
    <w:p w:rsidR="00000000" w:rsidRDefault="00000000">
      <w:pPr>
        <w:pStyle w:val="SingleTxt"/>
        <w:tabs>
          <w:tab w:val="left" w:pos="1628"/>
          <w:tab w:val="left" w:pos="2904"/>
        </w:tabs>
        <w:ind w:left="1927" w:right="1264" w:hanging="663"/>
        <w:rPr>
          <w:rtl/>
        </w:rPr>
      </w:pPr>
      <w:r>
        <w:rPr>
          <w:rtl/>
        </w:rPr>
        <w:tab/>
      </w:r>
      <w:r>
        <w:rPr>
          <w:rtl/>
        </w:rPr>
        <w:tab/>
        <w:t>•</w:t>
      </w:r>
      <w:r>
        <w:rPr>
          <w:rtl/>
        </w:rPr>
        <w:tab/>
        <w:t>مِنَح كندا الدراسية الجديدة التي تقصد إلى تعزيز فرص الحصول على التعليم ما بعد الثانوي للطلاب العائلين بمساعدتهم على تحسين إمكانياتهم لمواصلة دراساتهم.</w:t>
      </w:r>
    </w:p>
    <w:p w:rsidR="00000000" w:rsidRDefault="00000000">
      <w:pPr>
        <w:pStyle w:val="SingleTxt"/>
        <w:tabs>
          <w:tab w:val="left" w:pos="1628"/>
          <w:tab w:val="left" w:pos="2904"/>
        </w:tabs>
        <w:ind w:left="1927" w:right="1264" w:hanging="663"/>
        <w:rPr>
          <w:rtl/>
        </w:rPr>
      </w:pPr>
      <w:r>
        <w:rPr>
          <w:rtl/>
        </w:rPr>
        <w:tab/>
      </w:r>
      <w:r>
        <w:rPr>
          <w:rtl/>
        </w:rPr>
        <w:tab/>
        <w:t>•</w:t>
      </w:r>
      <w:r>
        <w:rPr>
          <w:rtl/>
        </w:rPr>
        <w:tab/>
        <w:t>البند المتعلق بتقدير الاحتياجات ضمن برنامج قروض الطلاب في كندا، ويتيح تقدير تكاليف رعاية الأطفال لتقديم قروض في حالتي الانتظام الكامل والانتظام الجزئي.</w:t>
      </w:r>
    </w:p>
    <w:p w:rsidR="00000000" w:rsidRDefault="00000000">
      <w:pPr>
        <w:pStyle w:val="SingleTxt"/>
        <w:tabs>
          <w:tab w:val="left" w:pos="1628"/>
          <w:tab w:val="left" w:pos="2904"/>
        </w:tabs>
        <w:ind w:left="1264" w:right="1264"/>
        <w:rPr>
          <w:rtl/>
        </w:rPr>
      </w:pPr>
      <w:r>
        <w:rPr>
          <w:rtl/>
        </w:rPr>
        <w:tab/>
        <w:t>253 -</w:t>
      </w:r>
      <w:r>
        <w:rPr>
          <w:rtl/>
        </w:rPr>
        <w:tab/>
        <w:t>ويقدِّم برنامج القروض الطلابية لكندا المساعدة إلى الطلاب الذين تنطبق عليهم الشروط وينتظمون في مؤسسات تعليم ما بعد الثانوي فيما يتصل بعدد من الأحكام المعمول بها في هذا الصدد بالمرأة. كما أن 55 في المائة من المقترضين بدوام كامل في إطار قروض الطلاب في كندا هم من النساء وليس هناك سقف عمري لشروط الاستحقاق.</w:t>
      </w:r>
    </w:p>
    <w:p w:rsidR="00000000" w:rsidRDefault="00000000">
      <w:pPr>
        <w:pStyle w:val="SingleTxt"/>
        <w:tabs>
          <w:tab w:val="left" w:pos="1628"/>
          <w:tab w:val="left" w:pos="2904"/>
        </w:tabs>
        <w:ind w:left="1264" w:right="1264"/>
        <w:rPr>
          <w:szCs w:val="32"/>
          <w:rtl/>
        </w:rPr>
      </w:pPr>
      <w:r>
        <w:rPr>
          <w:b/>
          <w:bCs/>
          <w:szCs w:val="32"/>
          <w:rtl/>
        </w:rPr>
        <w:t>المادة 10 (ج): القضاء على الصور النمطية الجامدة</w:t>
      </w:r>
    </w:p>
    <w:p w:rsidR="00000000" w:rsidRDefault="00000000">
      <w:pPr>
        <w:pStyle w:val="SingleTxt"/>
        <w:tabs>
          <w:tab w:val="left" w:pos="1628"/>
          <w:tab w:val="left" w:pos="2904"/>
        </w:tabs>
        <w:ind w:left="1264" w:right="1264"/>
        <w:rPr>
          <w:rtl/>
        </w:rPr>
      </w:pPr>
      <w:r>
        <w:rPr>
          <w:rtl/>
        </w:rPr>
        <w:t>254 -</w:t>
      </w:r>
      <w:r>
        <w:rPr>
          <w:rtl/>
        </w:rPr>
        <w:tab/>
        <w:t>عن طريق مكتب تعلُّم التكنولوجيات، قدَّمت حكومة كندا دعما لمؤتمر عموم كندا المعني بالمرأة وشبكة الإنترنت المعقود في خريف عام 1997. وقد انصبّ المؤتمر على عملية التعلُّم بشأن قضايا مساواة المرأة باستخدام الإنترنت. وتبنى المؤتمر عقد حلقة العمل بشأن طُرُق تعلُّم المرأة التي ركَّزت على ما تقوم به المرأة والمنظمات النسائية للتصدي لتلك القضايا.</w:t>
      </w:r>
    </w:p>
    <w:p w:rsidR="00000000" w:rsidRDefault="00000000">
      <w:pPr>
        <w:pStyle w:val="SingleTxt"/>
        <w:tabs>
          <w:tab w:val="left" w:pos="1628"/>
          <w:tab w:val="left" w:pos="2904"/>
        </w:tabs>
        <w:ind w:left="1264" w:right="1264"/>
        <w:rPr>
          <w:rtl/>
        </w:rPr>
      </w:pPr>
      <w:r>
        <w:rPr>
          <w:rtl/>
        </w:rPr>
        <w:t>255 -</w:t>
      </w:r>
      <w:r>
        <w:rPr>
          <w:rtl/>
        </w:rPr>
        <w:tab/>
        <w:t>وثمة مبادرة أخرى لمكتب تعلُّم التكنولوجيات تمثلت في مشروع “جانوس” لرفع الوعي بشأن التحديات والفرص المتاحة للمرأة لتعلُّم التكنولوجيات. وقام الباحثون بجمع البيانات ونشر ورقة مناقشة وعقد حلقة عمل عن التكنولوجيات وتعلُّم المرأة. وتم إدماج النتائج ضمن ورقة مناقشة عَرَضت الاتجاهات والقضايا والمجالات من أجل مزيد من استكشاف جوانب الموضوع. وشكَّلت الورقة خلفية معلومات أساسية لحلقة عمل عُقدت في ربيع1997 وجمعت بين 100 من المندوبات من منظمات محو الأمية وتعليم الكبار للمرأة وكذلك من الاتحادات ودوائر الصناعة والحكومة.</w:t>
      </w:r>
    </w:p>
    <w:p w:rsidR="00000000" w:rsidRDefault="00000000">
      <w:pPr>
        <w:pStyle w:val="SingleTxt"/>
        <w:tabs>
          <w:tab w:val="left" w:pos="1628"/>
          <w:tab w:val="left" w:pos="2904"/>
        </w:tabs>
        <w:ind w:left="1264" w:right="1264"/>
        <w:rPr>
          <w:rtl/>
        </w:rPr>
      </w:pPr>
      <w:r>
        <w:rPr>
          <w:rtl/>
        </w:rPr>
        <w:t>256 -</w:t>
      </w:r>
      <w:r>
        <w:rPr>
          <w:rtl/>
        </w:rPr>
        <w:tab/>
        <w:t>كما أن الحكومة الاتحادية ملتزمة بدعم وتشجيع الطلاب الكنديين (ولا سيما النساء) على تحقيق التفوُّق في العلم والتكنولوجيا والهندسة والرياضيات وعلى اختيار مهن في المجال العلمي. وفي عام 1996 شكَّلت المرأة نسبة 34 في المائة من جميع خريجي الجامعات في مجالات العلم والتكنولوجيا في كندا، وتلك زيادة من 28 في المائة منذ 10 سنوات سبقت. وكان من شأن الدراسات في أوائل التسعينات أن حدَّدت كثيرا من العقبات التي تحول دون النهوض بالمرأة في تلك المجالات المهنية وقدَّمت توصيات من أجل اتخاذ إجراءات في هذا الشأن.</w:t>
      </w:r>
    </w:p>
    <w:p w:rsidR="00000000" w:rsidRDefault="00000000">
      <w:pPr>
        <w:pStyle w:val="SingleTxt"/>
        <w:tabs>
          <w:tab w:val="left" w:pos="1628"/>
          <w:tab w:val="left" w:pos="2904"/>
        </w:tabs>
        <w:ind w:left="1264" w:right="1264"/>
        <w:rPr>
          <w:rtl/>
        </w:rPr>
      </w:pPr>
      <w:r>
        <w:rPr>
          <w:rtl/>
        </w:rPr>
        <w:t>257 -</w:t>
      </w:r>
      <w:r>
        <w:rPr>
          <w:rtl/>
        </w:rPr>
        <w:tab/>
        <w:t>وقد أُعلن عن تمويل اتحادي وآخر من القطاع الخاص في عام 1996 لإنشاء خمسة كراسٍ أكاديمية للمرأة في مجالات العلوم والهندسة في جامعات كندية مختلفة على صعيد البلد كله. وهذه المواقع العلمية تشجع الطالبات في المدارس الابتدائية والثانوية على النظر في الانخراط في مِهَن في مجال العلم أو الهندسة وتعزيز اندماج الطالبات في الجامعات.</w:t>
      </w:r>
    </w:p>
    <w:p w:rsidR="00000000" w:rsidRDefault="00000000">
      <w:pPr>
        <w:pStyle w:val="SingleTxt"/>
        <w:tabs>
          <w:tab w:val="left" w:pos="1628"/>
          <w:tab w:val="left" w:pos="2904"/>
        </w:tabs>
        <w:ind w:left="1264" w:right="1264"/>
        <w:rPr>
          <w:rtl/>
        </w:rPr>
      </w:pPr>
      <w:r>
        <w:rPr>
          <w:b/>
          <w:bCs/>
          <w:szCs w:val="32"/>
          <w:rtl/>
        </w:rPr>
        <w:t>المادة 10 (هـ): إتاحة نفس الفرص لبرامج محو الأمية للكبار ومحو الأمية الوظيفية</w:t>
      </w:r>
    </w:p>
    <w:p w:rsidR="00000000" w:rsidRDefault="00000000">
      <w:pPr>
        <w:pStyle w:val="SingleTxt"/>
        <w:tabs>
          <w:tab w:val="left" w:pos="1628"/>
          <w:tab w:val="left" w:pos="2904"/>
        </w:tabs>
        <w:ind w:left="1264" w:right="1264"/>
        <w:rPr>
          <w:rtl/>
        </w:rPr>
      </w:pPr>
      <w:r>
        <w:rPr>
          <w:rtl/>
        </w:rPr>
        <w:t>258 -</w:t>
      </w:r>
      <w:r>
        <w:rPr>
          <w:rtl/>
        </w:rPr>
        <w:tab/>
        <w:t>تعمل الأمانة الوطنية لمحو الأمية على أن تضمن إتاحة الفرص للكنديين من أجل تطوير مهارات القراءة والكتابة التي يحتاجونها لإدارة شؤون حياتهم اليومية. ومن ثم تدعم مشاريع منفَّذة في خمسة مجالات معتمدة من الأنشطة: وضع مواد التعلُّم ونشر الوعي العام وإجراء بحوث محو الأمية، وتحسين التنسيق وتقاسم المعلومات وتحسين فرص الوصول إلى برامج محو الأمية. وضمن نطاق ولايتها، تدعم الأمانة المشاريع التي تيسِّر إشراك المرأة في برامج محو الأمية، وثمة أمثلة من هذه المشاريع التي نُفذت من عام 1995 إلى الوقت الحاضر وهي تشمل ما يلي:</w:t>
      </w:r>
    </w:p>
    <w:p w:rsidR="00000000" w:rsidRDefault="00000000">
      <w:pPr>
        <w:pStyle w:val="SingleTxt"/>
        <w:tabs>
          <w:tab w:val="left" w:pos="1628"/>
          <w:tab w:val="left" w:pos="2904"/>
        </w:tabs>
        <w:ind w:left="1927" w:right="1264" w:hanging="663"/>
        <w:rPr>
          <w:rtl/>
        </w:rPr>
      </w:pPr>
      <w:r>
        <w:rPr>
          <w:rtl/>
        </w:rPr>
        <w:tab/>
      </w:r>
      <w:r>
        <w:rPr>
          <w:rtl/>
        </w:rPr>
        <w:tab/>
        <w:t>•</w:t>
      </w:r>
      <w:r>
        <w:rPr>
          <w:rtl/>
        </w:rPr>
        <w:tab/>
        <w:t>جمعية الشبان/الشابات المسيحية في مونتريال تلقت تمويلا لإجراء بحوث ووضع برنامج لمحو الأمية ثنائي اللغة يستهدف النساء الدارسات</w:t>
      </w:r>
    </w:p>
    <w:p w:rsidR="00000000" w:rsidRDefault="00000000">
      <w:pPr>
        <w:pStyle w:val="SingleTxt"/>
        <w:tabs>
          <w:tab w:val="left" w:pos="1628"/>
          <w:tab w:val="left" w:pos="2904"/>
        </w:tabs>
        <w:ind w:left="1927" w:right="1264" w:hanging="663"/>
        <w:rPr>
          <w:rtl/>
        </w:rPr>
      </w:pPr>
      <w:r>
        <w:rPr>
          <w:rtl/>
        </w:rPr>
        <w:tab/>
      </w:r>
      <w:r>
        <w:rPr>
          <w:rtl/>
        </w:rPr>
        <w:tab/>
        <w:t>•</w:t>
      </w:r>
      <w:r>
        <w:rPr>
          <w:rtl/>
        </w:rPr>
        <w:tab/>
        <w:t>المؤتمر الكندي للفرص التعليمية للمرأة تلقى دعما لمشروع يتولى بحث وتقييم المزايا النسبية للمناهج المختلفة من أجل تلبية احتياجات المرأة في برنامج لمحو الأمية. وهو يجري بحوثه حول آثار التعرُّض للأذى بالنسبة للدارسات في مجال محو الأمية ويتدارس وسائل إيجاد ممارسات أكثر ملاءمة للتعلُّم بالنسبة لمن واجهن تجربة التعرض للأذى.</w:t>
      </w:r>
    </w:p>
    <w:p w:rsidR="00000000" w:rsidRDefault="00000000">
      <w:pPr>
        <w:pStyle w:val="SingleTxt"/>
        <w:tabs>
          <w:tab w:val="left" w:pos="1628"/>
          <w:tab w:val="left" w:pos="2904"/>
        </w:tabs>
        <w:ind w:left="1927" w:right="1264" w:hanging="663"/>
        <w:rPr>
          <w:rtl/>
        </w:rPr>
      </w:pPr>
      <w:r>
        <w:rPr>
          <w:rtl/>
        </w:rPr>
        <w:tab/>
      </w:r>
      <w:r>
        <w:rPr>
          <w:rtl/>
        </w:rPr>
        <w:tab/>
        <w:t>•</w:t>
      </w:r>
      <w:r>
        <w:rPr>
          <w:rtl/>
        </w:rPr>
        <w:tab/>
        <w:t>فرع ريجينا من منظمة المهاجرات في ساسكاتشيوان تلقى تمويلا لبحث وتطوير برنامج لمحو الأمية في مجال مهارات تنظيم الأعمال يتعلَّق بنموذج ومنهج تعليمي للنساء المهاجرات</w:t>
      </w:r>
    </w:p>
    <w:p w:rsidR="00000000" w:rsidRDefault="00000000">
      <w:pPr>
        <w:pStyle w:val="SingleTxt"/>
        <w:tabs>
          <w:tab w:val="left" w:pos="1628"/>
          <w:tab w:val="left" w:pos="2904"/>
        </w:tabs>
        <w:ind w:left="1927" w:right="1264" w:hanging="663"/>
        <w:rPr>
          <w:rtl/>
        </w:rPr>
      </w:pPr>
      <w:r>
        <w:rPr>
          <w:rtl/>
        </w:rPr>
        <w:tab/>
      </w:r>
      <w:r>
        <w:rPr>
          <w:rtl/>
        </w:rPr>
        <w:tab/>
        <w:t>•</w:t>
      </w:r>
      <w:r>
        <w:rPr>
          <w:rtl/>
        </w:rPr>
        <w:tab/>
        <w:t>الشبكة النسائية المتحدة لجزيرة الأمير إدوارد سوف تُعد مواد للثقافة الصحية بلغة مبسطة للمتعلمين البالغين، ومنهجا للثقافة الصحية للكبار من المعلمين المربين ودليل مرجعي بلغة مبسطة عن المعلومات الصحية للكبار من المتعلمين.</w:t>
      </w:r>
    </w:p>
    <w:p w:rsidR="00000000" w:rsidRDefault="00000000">
      <w:pPr>
        <w:pStyle w:val="SingleTxt"/>
        <w:tabs>
          <w:tab w:val="left" w:pos="1628"/>
          <w:tab w:val="left" w:pos="2904"/>
        </w:tabs>
        <w:ind w:left="1927" w:right="1264" w:hanging="663"/>
        <w:rPr>
          <w:rtl/>
        </w:rPr>
      </w:pPr>
      <w:r>
        <w:rPr>
          <w:rtl/>
        </w:rPr>
        <w:tab/>
      </w:r>
      <w:r>
        <w:rPr>
          <w:rtl/>
        </w:rPr>
        <w:tab/>
        <w:t>•</w:t>
      </w:r>
      <w:r>
        <w:rPr>
          <w:rtl/>
        </w:rPr>
        <w:tab/>
        <w:t>تتولى الشبكة الوطنية النسائية للعمل التربوي إعداد وإصدار كتيِّبات لتمارين في محو الأمية تستهدف تلبية احتياجات النساء الناطقات بالفرنسية، على أن توزع الكتيِّبات على الممارسين في المجتمع الفرنكفوني في طول البلاد وعرضها من أجل إدماجها ضمن برامج محو الأمية على كل صعيد.</w:t>
      </w:r>
    </w:p>
    <w:p w:rsidR="00000000" w:rsidRDefault="00000000">
      <w:pPr>
        <w:pStyle w:val="SingleTxt"/>
        <w:tabs>
          <w:tab w:val="left" w:pos="1628"/>
          <w:tab w:val="left" w:pos="2904"/>
        </w:tabs>
        <w:ind w:left="1927" w:right="1264" w:hanging="663"/>
        <w:rPr>
          <w:rtl/>
        </w:rPr>
      </w:pPr>
      <w:r>
        <w:rPr>
          <w:rtl/>
        </w:rPr>
        <w:tab/>
      </w:r>
      <w:r>
        <w:rPr>
          <w:rtl/>
        </w:rPr>
        <w:tab/>
        <w:t>•</w:t>
      </w:r>
      <w:r>
        <w:rPr>
          <w:rtl/>
        </w:rPr>
        <w:tab/>
        <w:t xml:space="preserve">تلقت جمعية إدمنتون جون هوارد دعما لتمويل المرحلة البحثية من مشروع يقصد إلى تحديد فعالية برامج محو الأمية وبرامج دمج المهارات الحياتية لصالح النساء المخالفات للقانون. </w:t>
      </w:r>
    </w:p>
    <w:p w:rsidR="00000000" w:rsidRDefault="00000000">
      <w:pPr>
        <w:pStyle w:val="SingleTxt"/>
        <w:tabs>
          <w:tab w:val="left" w:pos="1628"/>
          <w:tab w:val="left" w:pos="2904"/>
        </w:tabs>
        <w:ind w:left="1927" w:right="1264" w:hanging="663"/>
        <w:rPr>
          <w:rtl/>
        </w:rPr>
      </w:pPr>
      <w:r>
        <w:rPr>
          <w:rtl/>
        </w:rPr>
        <w:tab/>
      </w:r>
      <w:r>
        <w:rPr>
          <w:rtl/>
        </w:rPr>
        <w:tab/>
        <w:t>•</w:t>
      </w:r>
      <w:r>
        <w:rPr>
          <w:rtl/>
        </w:rPr>
        <w:tab/>
        <w:t>المنظمة الكندية للمرأة الأفريقية تلقت دعما لتطوير أنشطة محو الأمية ترمي إلى تشجيع النساء من أفريقيا والشرق الأوسط على اكتساب المهارات التي يحتجن إليها للتعامل مع مشكلتهن التي تتمثل في التهميش الاجتماعي والاقتصادي.</w:t>
      </w:r>
    </w:p>
    <w:p w:rsidR="00000000" w:rsidRDefault="00000000">
      <w:pPr>
        <w:pStyle w:val="SingleTxt"/>
        <w:tabs>
          <w:tab w:val="left" w:pos="1628"/>
          <w:tab w:val="left" w:pos="2904"/>
        </w:tabs>
        <w:ind w:left="1927" w:right="1264" w:hanging="663"/>
        <w:rPr>
          <w:rtl/>
        </w:rPr>
      </w:pPr>
      <w:r>
        <w:rPr>
          <w:rtl/>
        </w:rPr>
        <w:tab/>
      </w:r>
      <w:r>
        <w:rPr>
          <w:rtl/>
        </w:rPr>
        <w:tab/>
        <w:t>•</w:t>
      </w:r>
      <w:r>
        <w:rPr>
          <w:rtl/>
        </w:rPr>
        <w:tab/>
        <w:t>الرابطة الإقليمية لمناهضة العنف الأسري في نيوفاوندلاند تلقت دعما من أجل إعداد وعقد سلسلة من حلقات العمل بشأن محو الأمية الأسرية للأمهات اللائي يعشن أو سبق لهن العيش كمقيمات في منازل الانتقال. وقد أوضحت حلقات العمل الوسائل التي يمكن أن تساعد بها الأمهات أبناءهن على تطوير مهارات الإلمام بالقراءة والكتابة. وتم إعداد دليل لتدريب المعلمين ونموذج برنامجي للنساء اللائي لديهن اهتمام بتشكيل حلقات للمطالعة الأسرية داخل مجتمعاتهن المحلية.</w:t>
      </w:r>
    </w:p>
    <w:p w:rsidR="00000000" w:rsidRDefault="00000000">
      <w:pPr>
        <w:pStyle w:val="SingleTxt"/>
        <w:tabs>
          <w:tab w:val="left" w:pos="1628"/>
          <w:tab w:val="left" w:pos="2904"/>
        </w:tabs>
        <w:ind w:left="1927" w:right="1264" w:hanging="663"/>
        <w:rPr>
          <w:rtl/>
        </w:rPr>
      </w:pPr>
      <w:r>
        <w:rPr>
          <w:b/>
          <w:bCs/>
          <w:rtl/>
        </w:rPr>
        <w:t>تقديم الدعم للمجتمع المدني</w:t>
      </w:r>
    </w:p>
    <w:p w:rsidR="00000000" w:rsidRDefault="00000000">
      <w:pPr>
        <w:pStyle w:val="SingleTxt"/>
        <w:tabs>
          <w:tab w:val="left" w:pos="1628"/>
          <w:tab w:val="left" w:pos="2904"/>
        </w:tabs>
        <w:ind w:left="1264" w:right="1264"/>
        <w:rPr>
          <w:rtl/>
        </w:rPr>
      </w:pPr>
      <w:r>
        <w:rPr>
          <w:rtl/>
        </w:rPr>
        <w:t>259 -</w:t>
      </w:r>
      <w:r>
        <w:rPr>
          <w:rtl/>
        </w:rPr>
        <w:tab/>
        <w:t>قدمت حكومة كندا الدعم لطائفة من المنظمات غير الحكومية لكي تضطلع بمبادرات في مجال التعليم والتدريب. وهذا يشمل ما يلي:</w:t>
      </w:r>
    </w:p>
    <w:p w:rsidR="00000000" w:rsidRDefault="00000000">
      <w:pPr>
        <w:pStyle w:val="SingleTxt"/>
        <w:tabs>
          <w:tab w:val="left" w:pos="1628"/>
          <w:tab w:val="left" w:pos="2904"/>
        </w:tabs>
        <w:ind w:left="1927" w:right="1264" w:hanging="663"/>
        <w:rPr>
          <w:rtl/>
        </w:rPr>
      </w:pPr>
      <w:r>
        <w:rPr>
          <w:rtl/>
        </w:rPr>
        <w:tab/>
      </w:r>
      <w:r>
        <w:rPr>
          <w:rtl/>
        </w:rPr>
        <w:tab/>
        <w:t>•</w:t>
      </w:r>
      <w:r>
        <w:rPr>
          <w:rtl/>
        </w:rPr>
        <w:tab/>
        <w:t>مشروع النساء المخترِعات وقد عَقد سلسلة من حلقات العمل للنساء اللائي لديهن أطفال ولقيادات في المنظمات غير الحكومية، إضافة إلى حملة توعية عامة لزيادة المعرفة والفهم حول أسباب أهمية الأنشطة والمهن في مجالات العلم والتكنولوجيا والهندسة والرياضيات بالنسبة للفتيات والشابات.</w:t>
      </w:r>
    </w:p>
    <w:p w:rsidR="00000000" w:rsidRDefault="00000000">
      <w:pPr>
        <w:pStyle w:val="SingleTxt"/>
        <w:tabs>
          <w:tab w:val="left" w:pos="1628"/>
          <w:tab w:val="left" w:pos="2904"/>
        </w:tabs>
        <w:ind w:left="1927" w:right="1264" w:hanging="663"/>
        <w:rPr>
          <w:rtl/>
        </w:rPr>
      </w:pPr>
      <w:r>
        <w:rPr>
          <w:rtl/>
        </w:rPr>
        <w:tab/>
      </w:r>
      <w:r>
        <w:rPr>
          <w:rtl/>
        </w:rPr>
        <w:tab/>
        <w:t>•</w:t>
      </w:r>
      <w:r>
        <w:rPr>
          <w:rtl/>
        </w:rPr>
        <w:tab/>
        <w:t>هيئة العلوم بدأت مشروعا لإشراك فتيات من سن 9 إلى 12 سنة من 5 مدارس في مونتريال بالإضافة إلى أمهاتهن ومدرساتهن ويهدف إلى إثارة الاهتمام بالمهن غير التقليدية وبالمهن التي تُمارس في مجالات العلم والتكنولوجيا</w:t>
      </w:r>
    </w:p>
    <w:p w:rsidR="00000000" w:rsidRDefault="00000000">
      <w:pPr>
        <w:pStyle w:val="SingleTxt"/>
        <w:tabs>
          <w:tab w:val="left" w:pos="1628"/>
          <w:tab w:val="left" w:pos="2904"/>
        </w:tabs>
        <w:ind w:left="1927" w:right="1264" w:hanging="663"/>
        <w:rPr>
          <w:rtl/>
        </w:rPr>
      </w:pPr>
      <w:r>
        <w:rPr>
          <w:rtl/>
        </w:rPr>
        <w:tab/>
      </w:r>
      <w:r>
        <w:rPr>
          <w:rtl/>
        </w:rPr>
        <w:tab/>
        <w:t>•</w:t>
      </w:r>
      <w:r>
        <w:rPr>
          <w:rtl/>
        </w:rPr>
        <w:tab/>
        <w:t>في ساسكاتشيوان، قُدِّم التمويل دعما لمؤتمر بعنوان “المرأة والأوجه الأخرى في العلم” ولمشروع ذي صلة بعنوان “يوم للعلم من أجل البنات” وهذا المشروع المتعدد العناصر شمل كذلك مسابقة بين الفتيات لكتابة مقال وإنتاج فيلم تليفزيوني عن المؤتمر.</w:t>
      </w:r>
    </w:p>
    <w:p w:rsidR="00000000" w:rsidRDefault="00000000">
      <w:pPr>
        <w:pStyle w:val="SingleTxt"/>
        <w:tabs>
          <w:tab w:val="left" w:pos="1628"/>
          <w:tab w:val="left" w:pos="2904"/>
        </w:tabs>
        <w:ind w:left="1927" w:right="1264" w:hanging="663"/>
        <w:rPr>
          <w:rtl/>
        </w:rPr>
      </w:pPr>
      <w:r>
        <w:rPr>
          <w:rtl/>
        </w:rPr>
        <w:tab/>
      </w:r>
      <w:r>
        <w:rPr>
          <w:rtl/>
        </w:rPr>
        <w:tab/>
        <w:t>•</w:t>
      </w:r>
      <w:r>
        <w:rPr>
          <w:rtl/>
        </w:rPr>
        <w:tab/>
        <w:t>منظمة العمل من أجل المرأة في سسكاتون تلقت تمويلا لإعداد حلقة عمل باستخدام الحاسوب لمساعدة النساء على الوصول إلى المعلومات الإلكترونية من أجل تعزيز قدرتهن التسويقية في مكان عمل متغيِّر ولدعم استقلالهن الاقتصادي</w:t>
      </w:r>
    </w:p>
    <w:p w:rsidR="00000000" w:rsidRDefault="00000000">
      <w:pPr>
        <w:pStyle w:val="SingleTxt"/>
        <w:tabs>
          <w:tab w:val="left" w:pos="1628"/>
          <w:tab w:val="left" w:pos="2904"/>
        </w:tabs>
        <w:ind w:left="1927" w:right="1264" w:hanging="663"/>
        <w:rPr>
          <w:rtl/>
        </w:rPr>
      </w:pPr>
      <w:r>
        <w:rPr>
          <w:rtl/>
        </w:rPr>
        <w:tab/>
      </w:r>
      <w:r>
        <w:rPr>
          <w:rtl/>
        </w:rPr>
        <w:tab/>
        <w:t>•</w:t>
      </w:r>
      <w:r>
        <w:rPr>
          <w:rtl/>
        </w:rPr>
        <w:tab/>
        <w:t>الشبكة النسائية في كولومبيا البريطانية تعمل مع مجلس المدارس الفرنكوفوني في كولومبيا البريطانية لوضع نظام تعليمي مراعٍ لنوع الجنس باللغة الفرنسية. وهذا المجلس سوف يقدِّم إلى مجلس أمنائه سياسة من شأنها أن تربط طرائقه التدريسية بالطرائق الموصوفة في الدليل.</w:t>
      </w:r>
    </w:p>
    <w:p w:rsidR="00000000" w:rsidRDefault="00000000">
      <w:pPr>
        <w:pStyle w:val="SingleTxt"/>
        <w:tabs>
          <w:tab w:val="left" w:pos="1628"/>
          <w:tab w:val="left" w:pos="2904"/>
        </w:tabs>
        <w:ind w:left="1927" w:right="1264" w:hanging="663"/>
        <w:rPr>
          <w:rtl/>
        </w:rPr>
      </w:pPr>
      <w:r>
        <w:rPr>
          <w:rtl/>
        </w:rPr>
        <w:tab/>
      </w:r>
      <w:r>
        <w:rPr>
          <w:rtl/>
        </w:rPr>
        <w:tab/>
        <w:t>•</w:t>
      </w:r>
      <w:r>
        <w:rPr>
          <w:rtl/>
        </w:rPr>
        <w:tab/>
        <w:t xml:space="preserve">في كيبك، قُدَّم تمويل في الفترة 1998 </w:t>
      </w:r>
      <w:r>
        <w:t>–</w:t>
      </w:r>
      <w:r>
        <w:rPr>
          <w:rtl/>
        </w:rPr>
        <w:t xml:space="preserve"> 1999 إلى مركز الاندماج على طريق العمالة من أجل مشروع يدعم التعليم في المجالات غير التقليدية ومجالات العلم والتكنولوجيا للنساء. وسوف تُعقد حلقات عمل لعدد يصل إلى ألفي شابة في منطقة استري فضلا عن التواصل مع مستشاري التوجيه والمدرسين ورابطات الآباء.</w:t>
      </w:r>
    </w:p>
    <w:p w:rsidR="00000000" w:rsidRDefault="00000000">
      <w:pPr>
        <w:pStyle w:val="SingleTxt"/>
        <w:tabs>
          <w:tab w:val="left" w:pos="1628"/>
          <w:tab w:val="left" w:pos="2904"/>
        </w:tabs>
        <w:ind w:left="1264" w:right="1264"/>
        <w:rPr>
          <w:rtl/>
        </w:rPr>
      </w:pPr>
      <w:r>
        <w:rPr>
          <w:b/>
          <w:bCs/>
          <w:rtl/>
        </w:rPr>
        <w:t>الأنشطة الدولية</w:t>
      </w:r>
    </w:p>
    <w:p w:rsidR="00000000" w:rsidRDefault="00000000">
      <w:pPr>
        <w:pStyle w:val="SingleTxt"/>
        <w:tabs>
          <w:tab w:val="left" w:pos="1628"/>
          <w:tab w:val="left" w:pos="2904"/>
        </w:tabs>
        <w:ind w:left="1264" w:right="1264"/>
        <w:rPr>
          <w:rtl/>
        </w:rPr>
      </w:pPr>
      <w:r>
        <w:rPr>
          <w:rtl/>
        </w:rPr>
        <w:t>260 -</w:t>
      </w:r>
      <w:r>
        <w:rPr>
          <w:rtl/>
        </w:rPr>
        <w:tab/>
        <w:t>في فريق الأمم المتحدة العامل المعني بالسكان الأصليين في جنيف، تموز/يوليه 1998، قامت ثلاث من المدرسات من السكان الأصليين من كندا، بوصفهن أعضاء في وفد كندا الرسمي، بتنظيم واستضافة حلقة عمل بشأن تعليم وتدريب السكان الأصليين وتم ذلك بدعم في مجال التمويل والسياسات من جانب وزارة الخارجية والتجارة الدولية. وعزَّزت حلقة العمل الكندية مناقشة موضوع التعليم الذي تم تحديده بالنسبة إلى الفريق العامل المذكور في عام 1998 وبوصفه أحد المواضيع الرئيسية للعقد الدولي للسكان الأصليين في العالم.</w:t>
      </w:r>
    </w:p>
    <w:p w:rsidR="00000000" w:rsidRDefault="00000000">
      <w:pPr>
        <w:pStyle w:val="SingleTxt"/>
        <w:tabs>
          <w:tab w:val="left" w:pos="1628"/>
          <w:tab w:val="left" w:pos="2904"/>
        </w:tabs>
        <w:ind w:left="1264" w:right="1264"/>
        <w:rPr>
          <w:rtl/>
        </w:rPr>
      </w:pPr>
      <w:r>
        <w:rPr>
          <w:rtl/>
        </w:rPr>
        <w:t>261 -</w:t>
      </w:r>
      <w:r>
        <w:rPr>
          <w:rtl/>
        </w:rPr>
        <w:tab/>
        <w:t>وتتولى وزارة الخارجية والتجارة الدولية تنسيق البرنامج الدولي لبعثات الشباب الداخلية الذي يقصد إلى تزويد الشباب بخبرات مهنية تركِّز على خبرة العمل الدولية المحور والمتصلة بالمجالات المهنية. ومنذ عام 1997 شكَّلت النساء 55 في المائة من المشاركِين في البرنامج الذي استوعب مئات من النساء بمن في ذلك الشابات من السكان الأصليين والأقليات الواضحة من كل أنحاء كندا من أجل تدريب دولي وتولّى وظائف مؤقتة في المنظمات المتعددة الأطراف والمنظمات الإقليمية بالقطاعين الخاص والعام في جميع أنحاء العالم. وتركِّز معايير الانتقاء الاهتمام بشكل خاص على توظيف النساء والسكان الأصليين وشباب الأقليات الواضحة كما أن البرنامج استوعب دارسين في بعثات داخلية ضمن المنظمات التي تتعامل في قضايا السكان الأصليين والقضايا الإثنية.</w:t>
      </w:r>
    </w:p>
    <w:p w:rsidR="00000000" w:rsidRDefault="00000000">
      <w:pPr>
        <w:pStyle w:val="SingleTxt"/>
        <w:tabs>
          <w:tab w:val="left" w:pos="1628"/>
          <w:tab w:val="left" w:pos="2904"/>
        </w:tabs>
        <w:ind w:left="1264" w:right="1264"/>
        <w:rPr>
          <w:rtl/>
        </w:rPr>
      </w:pPr>
      <w:r>
        <w:rPr>
          <w:rtl/>
        </w:rPr>
        <w:t>262 -</w:t>
      </w:r>
      <w:r>
        <w:rPr>
          <w:rtl/>
        </w:rPr>
        <w:tab/>
        <w:t>ومن المبادئ التوجيهية التي تتبعها الوكالة الكندية للتنمية الدولية تعزيز الفرصة المتكافئة لمشاركة المرأة بوصفها عنصرا من عناصر التغيير في العمليات الاقتصادية والاجتماعية والسياسية وبوصفها عاملا لا غنى عنه في تحقيق المساواة بين الجنسين. ومن أمثلة ذلك مشروع تدعمه الوكالة الكندية للتنمية الدولية لصندوق تدريبي للمرأة التنزانية ويهدف إلى زيادة عدد النساء المؤهلات والقادرات على تحمل المسؤولية وصنع القرار في القطاعين العام والخاص وفي المنظمات غير الحكومية في تنزانيا.</w:t>
      </w:r>
    </w:p>
    <w:p w:rsidR="00000000" w:rsidRDefault="00000000">
      <w:pPr>
        <w:pStyle w:val="SingleTxt"/>
        <w:tabs>
          <w:tab w:val="left" w:pos="1628"/>
          <w:tab w:val="left" w:pos="2904"/>
        </w:tabs>
        <w:ind w:left="1264" w:right="1264"/>
        <w:rPr>
          <w:rtl/>
        </w:rPr>
      </w:pPr>
      <w:r>
        <w:rPr>
          <w:b/>
          <w:bCs/>
          <w:szCs w:val="32"/>
          <w:rtl/>
        </w:rPr>
        <w:t>المادة 11: التوظيف</w:t>
      </w:r>
    </w:p>
    <w:p w:rsidR="00000000" w:rsidRDefault="00000000">
      <w:pPr>
        <w:pStyle w:val="SingleTxt"/>
        <w:tabs>
          <w:tab w:val="left" w:pos="1628"/>
          <w:tab w:val="left" w:pos="2904"/>
        </w:tabs>
        <w:ind w:left="1264" w:right="1264"/>
        <w:rPr>
          <w:rtl/>
        </w:rPr>
      </w:pPr>
      <w:r>
        <w:rPr>
          <w:rtl/>
        </w:rPr>
        <w:t>263 -</w:t>
      </w:r>
      <w:r>
        <w:rPr>
          <w:rtl/>
        </w:rPr>
        <w:tab/>
        <w:t>من أهداف كندا المبينة في وثيقة الخطة الاتحادية للمساواة بين الجنسين تحسين استقلال ورفاه المرأة من الناحية الاقتصادية. وقد اتخذت الحكومة الاتحادية عددا من التدابير لهذه الغاية بما في ذلك المجالات التي تمت الإفادة عنها في إطار المواد الأخرى في سياق هذا التقرير، ومنها مثلا تحسين فرص التعليم والتدريب (المادة 10) وتقديم الدعم للنساء القائمات بتنظيم المشاريع (المادة 13) وتعزيز دعم الطفل (المادة 16).</w:t>
      </w:r>
    </w:p>
    <w:p w:rsidR="00000000" w:rsidRDefault="00000000">
      <w:pPr>
        <w:pStyle w:val="SingleTxt"/>
        <w:tabs>
          <w:tab w:val="left" w:pos="1628"/>
          <w:tab w:val="left" w:pos="2904"/>
        </w:tabs>
        <w:ind w:left="1264" w:right="1264"/>
        <w:rPr>
          <w:rtl/>
        </w:rPr>
      </w:pPr>
      <w:r>
        <w:rPr>
          <w:rtl/>
        </w:rPr>
        <w:t>264 -</w:t>
      </w:r>
      <w:r>
        <w:rPr>
          <w:rtl/>
        </w:rPr>
        <w:tab/>
        <w:t>ويُعد استقصاء كندا الإحصائي لديناميات العمالة والدخل دراسة أفقية زمنية لإيرادات الأفراد والأسرة. ويشكل أساسا لدراسة ديناميات الدخل المنخفض عبر الزمن. كما أوضحت الدراسات مدى تحرُّك العائلات والأفراد إلى حيث الدخل المنخفض ومدى تحركهم بعيدا عنه، والدرجة التي تكون فيها هذه التحركات نتيجة للتغيُّرات في هيكل الأسرة (كالانفصال أو الطلاق) أوالتغيُّرات في مصادر الدخل (الإيرادات مثلا).</w:t>
      </w:r>
    </w:p>
    <w:p w:rsidR="00000000" w:rsidRDefault="00000000">
      <w:pPr>
        <w:pStyle w:val="SingleTxt"/>
        <w:tabs>
          <w:tab w:val="left" w:pos="1628"/>
          <w:tab w:val="left" w:pos="2904"/>
        </w:tabs>
        <w:ind w:left="1264" w:right="1264"/>
        <w:rPr>
          <w:rtl/>
        </w:rPr>
      </w:pPr>
      <w:r>
        <w:rPr>
          <w:rtl/>
        </w:rPr>
        <w:t>265 -</w:t>
      </w:r>
      <w:r>
        <w:rPr>
          <w:rtl/>
        </w:rPr>
        <w:tab/>
        <w:t>وباستخدام البيانات الأفقية الزمنية في ضريبة الدخل، نَشرت هيئة إحصاءات كندا دراسات توضح الأثر المتغيِّر لفصم رابطة الأسرة على الرجل والمرأة سواء للأسر ذات الأطفال وقت حدوث هذا الانهيار الأسري أو للأسر بدون أطفال.</w:t>
      </w:r>
    </w:p>
    <w:p w:rsidR="00000000" w:rsidRDefault="00000000">
      <w:pPr>
        <w:pStyle w:val="SingleTxt"/>
        <w:tabs>
          <w:tab w:val="left" w:pos="1628"/>
          <w:tab w:val="left" w:pos="2904"/>
        </w:tabs>
        <w:ind w:left="1264" w:right="1264"/>
        <w:rPr>
          <w:rtl/>
        </w:rPr>
      </w:pPr>
      <w:r>
        <w:rPr>
          <w:rtl/>
        </w:rPr>
        <w:t>266 -</w:t>
      </w:r>
      <w:r>
        <w:rPr>
          <w:rtl/>
        </w:rPr>
        <w:tab/>
        <w:t>أما التدابير الأخرى التي اتخذتها الحكومة فتشمل ما يلي:</w:t>
      </w:r>
    </w:p>
    <w:p w:rsidR="00000000" w:rsidRDefault="00000000">
      <w:pPr>
        <w:pStyle w:val="SingleTxt"/>
        <w:tabs>
          <w:tab w:val="left" w:pos="1628"/>
          <w:tab w:val="left" w:pos="2904"/>
        </w:tabs>
        <w:ind w:left="1264" w:right="1264"/>
        <w:rPr>
          <w:rtl/>
        </w:rPr>
      </w:pPr>
      <w:r>
        <w:rPr>
          <w:b/>
          <w:bCs/>
          <w:rtl/>
        </w:rPr>
        <w:t>الاعتراف بالعمل غير المأجور</w:t>
      </w:r>
    </w:p>
    <w:p w:rsidR="00000000" w:rsidRDefault="00000000">
      <w:pPr>
        <w:pStyle w:val="SingleTxt"/>
        <w:tabs>
          <w:tab w:val="left" w:pos="1628"/>
          <w:tab w:val="left" w:pos="2904"/>
        </w:tabs>
        <w:ind w:left="1264" w:right="1264"/>
        <w:rPr>
          <w:rtl/>
        </w:rPr>
      </w:pPr>
      <w:r>
        <w:rPr>
          <w:rtl/>
        </w:rPr>
        <w:t>267 -</w:t>
      </w:r>
      <w:r>
        <w:rPr>
          <w:rtl/>
        </w:rPr>
        <w:tab/>
        <w:t>في كل عام ينفق الكنديون من الوقت الطويل على العمل غير المأجور قدر الوقت الذي يمضونه في الأعمال الوظيفية التي يمارسونها. أما المرأة فتمضي في المتوسط 5 أسابيع كاملة سنويا كوقت أطول على العمل غير المأجور مما يمضيه الرجل. والعمل غير المأجور، الذي يتراوح بين إعداد الوجبات إلى رعاية الأطفال أو المسنين أو التطوع لخدمة البيئة، يشمل واجبات أساسية لا يستطيع الأفراد ولا الأسر ولا المجتمع العريض الاستغناء عنها. ويتضح باطراد أن مسؤوليات المرأة عن العمل غير المأجور تخلق حواجز أمامها من حيث مشاركتها في قوة العمل المأجورة وتقدمها في سلكها.</w:t>
      </w:r>
    </w:p>
    <w:p w:rsidR="00000000" w:rsidRDefault="00000000">
      <w:pPr>
        <w:pStyle w:val="SingleTxt"/>
        <w:tabs>
          <w:tab w:val="left" w:pos="1628"/>
          <w:tab w:val="left" w:pos="2904"/>
        </w:tabs>
        <w:ind w:left="1264" w:right="1264"/>
        <w:rPr>
          <w:rtl/>
        </w:rPr>
      </w:pPr>
      <w:r>
        <w:rPr>
          <w:rtl/>
        </w:rPr>
        <w:t>268 -</w:t>
      </w:r>
      <w:r>
        <w:rPr>
          <w:rtl/>
        </w:rPr>
        <w:tab/>
        <w:t>وقد اتخذت الحكومة عددا من التدابير لزيادة الوعي وحث الخطى على إجراء مناقشات في السياسات العامة بشأن هذه المسألة. ومن ذلك مثلا:</w:t>
      </w:r>
    </w:p>
    <w:p w:rsidR="00000000" w:rsidRDefault="00000000">
      <w:pPr>
        <w:pStyle w:val="SingleTxt"/>
        <w:tabs>
          <w:tab w:val="left" w:pos="1628"/>
          <w:tab w:val="left" w:pos="2904"/>
        </w:tabs>
        <w:ind w:left="1927" w:right="1264" w:hanging="663"/>
        <w:rPr>
          <w:rtl/>
        </w:rPr>
      </w:pPr>
      <w:r>
        <w:rPr>
          <w:rtl/>
        </w:rPr>
        <w:tab/>
      </w:r>
      <w:r>
        <w:rPr>
          <w:rtl/>
        </w:rPr>
        <w:tab/>
        <w:t>•</w:t>
      </w:r>
      <w:r>
        <w:rPr>
          <w:rtl/>
        </w:rPr>
        <w:tab/>
        <w:t>تعداد عام 1996 ضم أسئلة عن العمل غير المأجور في الأسرة المعيشية ورعاية الأطفال ورعاية المسنين للمرة الأولى في تاريخ كندا</w:t>
      </w:r>
    </w:p>
    <w:p w:rsidR="00000000" w:rsidRDefault="00000000">
      <w:pPr>
        <w:pStyle w:val="SingleTxt"/>
        <w:tabs>
          <w:tab w:val="left" w:pos="1628"/>
          <w:tab w:val="left" w:pos="2904"/>
        </w:tabs>
        <w:ind w:left="1927" w:right="1264" w:hanging="663"/>
        <w:rPr>
          <w:rtl/>
        </w:rPr>
      </w:pPr>
      <w:r>
        <w:rPr>
          <w:rtl/>
        </w:rPr>
        <w:tab/>
      </w:r>
      <w:r>
        <w:rPr>
          <w:rtl/>
        </w:rPr>
        <w:tab/>
        <w:t>•</w:t>
      </w:r>
      <w:r>
        <w:rPr>
          <w:rtl/>
        </w:rPr>
        <w:tab/>
        <w:t>هيئة إحصاءات كندا تواصل برنامجها عن استقصاءات استخدام الوقت وأحدثها الاستقصاء الذي تم في 1998. وتتولد عن استقصاءات استخدام الوقت بيانات حول نطاق أوسع من أنشطة العمل غير المأجور بشكل أكثر توافرا مما يتاح من التعداد ومن ثم يمكن استخدامها لاستكمال المعلومات المجموعة في سياق  التعداد. ولسوف تستند استقصاءات استخدام الوقت مستقبلا إلى عينات أكبر حجما بما يتيح إجراء تحليل أكثر تفصيلا.</w:t>
      </w:r>
    </w:p>
    <w:p w:rsidR="00000000" w:rsidRDefault="00000000">
      <w:pPr>
        <w:pStyle w:val="SingleTxt"/>
        <w:tabs>
          <w:tab w:val="left" w:pos="1628"/>
          <w:tab w:val="left" w:pos="2904"/>
        </w:tabs>
        <w:ind w:left="1927" w:right="1264" w:hanging="663"/>
        <w:rPr>
          <w:rtl/>
        </w:rPr>
      </w:pPr>
      <w:r>
        <w:rPr>
          <w:rtl/>
        </w:rPr>
        <w:tab/>
      </w:r>
      <w:r>
        <w:rPr>
          <w:rtl/>
        </w:rPr>
        <w:tab/>
        <w:t>•</w:t>
      </w:r>
      <w:r>
        <w:rPr>
          <w:rtl/>
        </w:rPr>
        <w:tab/>
        <w:t>في عام 1997 أجرت هيئة إحصاءات كندا استقصاءً آخر للعمل التطوعي وقد تدارس بالتفصيل هذا البعد الهام من أبعاد العمل غير المأجور</w:t>
      </w:r>
    </w:p>
    <w:p w:rsidR="00000000" w:rsidRDefault="00000000">
      <w:pPr>
        <w:pStyle w:val="SingleTxt"/>
        <w:tabs>
          <w:tab w:val="left" w:pos="1628"/>
          <w:tab w:val="left" w:pos="2904"/>
        </w:tabs>
        <w:ind w:left="1927" w:right="1264" w:hanging="663"/>
        <w:rPr>
          <w:rtl/>
        </w:rPr>
      </w:pPr>
      <w:r>
        <w:rPr>
          <w:rtl/>
        </w:rPr>
        <w:tab/>
      </w:r>
      <w:r>
        <w:rPr>
          <w:rtl/>
        </w:rPr>
        <w:tab/>
        <w:t>•</w:t>
      </w:r>
      <w:r>
        <w:rPr>
          <w:rtl/>
        </w:rPr>
        <w:tab/>
        <w:t>كانت إحصاءات كندا رائدة في وضع مقاييس قيمة العمل غير المأجور. وهذه الهيئة تعكف على وضع نظام للمحاسبة مناظر لنظام الحسابات القومية (مقاييس من قبيل الناتج المحلي الإجمالي) لتيسير مقارنة قيمة ناتج القطاع غير السوقي مع الإحصاءات المتعلقة بالحسابات القومية المتعارف عليها</w:t>
      </w:r>
    </w:p>
    <w:p w:rsidR="00000000" w:rsidRDefault="00000000">
      <w:pPr>
        <w:pStyle w:val="SingleTxt"/>
        <w:tabs>
          <w:tab w:val="left" w:pos="1628"/>
          <w:tab w:val="left" w:pos="2904"/>
        </w:tabs>
        <w:ind w:left="1927" w:right="1264" w:hanging="663"/>
        <w:rPr>
          <w:rtl/>
        </w:rPr>
      </w:pPr>
      <w:r>
        <w:rPr>
          <w:rtl/>
        </w:rPr>
        <w:tab/>
      </w:r>
      <w:r>
        <w:rPr>
          <w:rtl/>
        </w:rPr>
        <w:tab/>
        <w:t>•</w:t>
      </w:r>
      <w:r>
        <w:rPr>
          <w:rtl/>
        </w:rPr>
        <w:tab/>
        <w:t>تمثل المؤشرات الاقتصادية لمساواة الجنسين الصادرة عام 1997 أداة جديدة لقياس وضع المرأة وتقدمها الاقتصادي. وهذه المجموعة من المؤشرات الأساسية التي تشكِّل مبادرة مشتركة على مستوى الاتحاد والمقاطعات/الأقاليم تتجاوز المؤشرات التقليدية وتعكس عوامل من قبيل العمل غير المأجور والتعليم والتدريب المتصل بالعمل.</w:t>
      </w:r>
    </w:p>
    <w:p w:rsidR="00000000" w:rsidRDefault="00000000">
      <w:pPr>
        <w:pStyle w:val="SingleTxt"/>
        <w:tabs>
          <w:tab w:val="left" w:pos="1628"/>
          <w:tab w:val="left" w:pos="2904"/>
        </w:tabs>
        <w:ind w:left="1927" w:right="1264" w:hanging="663"/>
        <w:rPr>
          <w:rtl/>
        </w:rPr>
      </w:pPr>
      <w:r>
        <w:rPr>
          <w:rtl/>
        </w:rPr>
        <w:tab/>
      </w:r>
      <w:r>
        <w:rPr>
          <w:rtl/>
        </w:rPr>
        <w:tab/>
        <w:t>•</w:t>
      </w:r>
      <w:r>
        <w:rPr>
          <w:rtl/>
        </w:rPr>
        <w:tab/>
        <w:t>تبنت الحكومة عقد ندوة دولية عن مؤشرات المساواة بين الجنسين في آذار/مارس 1998 كوسيلة للحفز على إجراء نقاش حول السياسة العامة بشأن المؤشرات وللمساهمة في الأعمال الدولية في هذا المجال.</w:t>
      </w:r>
    </w:p>
    <w:p w:rsidR="00000000" w:rsidRDefault="00000000">
      <w:pPr>
        <w:pStyle w:val="SingleTxt"/>
        <w:tabs>
          <w:tab w:val="left" w:pos="1628"/>
          <w:tab w:val="left" w:pos="2904"/>
        </w:tabs>
        <w:ind w:left="1927" w:right="1264" w:hanging="663"/>
        <w:rPr>
          <w:rtl/>
        </w:rPr>
      </w:pPr>
      <w:r>
        <w:rPr>
          <w:rtl/>
        </w:rPr>
        <w:tab/>
      </w:r>
      <w:r>
        <w:rPr>
          <w:rtl/>
        </w:rPr>
        <w:tab/>
        <w:t>•</w:t>
      </w:r>
      <w:r>
        <w:rPr>
          <w:rtl/>
        </w:rPr>
        <w:tab/>
        <w:t>تم تعريف العمل غير المأجور بوصفه أولوية محددة بالنسبة إلى صندوق بحوث السياسات التابع لوزارة وضع المرأة. ومن المساهمات الملحوظة الصادرة مؤخرا في إطار هذا الموضوع دراسة بعنوان “العمل غير المأجور والاقتصاد الكلي: مناقشات جديدة وأدوات جديدة للعمل”. كذلك فإن قدرا كبيرا من البحوث التي يجريها الصندوق المذكور أعلاه تعالج قضايا العمل غير المأجور لدى فحصها مواضيع من قبيل رعاية الطفل ورعاية المسنين وتقديم الخدمات العامة. ومن الأمثلة على ذلك “إفادة أطفال كندا: منظورات عن نوع الجنس والمسؤولية الاجتماعية”</w:t>
      </w:r>
    </w:p>
    <w:p w:rsidR="00000000" w:rsidRDefault="00000000">
      <w:pPr>
        <w:pStyle w:val="SingleTxt"/>
        <w:tabs>
          <w:tab w:val="left" w:pos="1628"/>
          <w:tab w:val="left" w:pos="2904"/>
        </w:tabs>
        <w:ind w:left="1927" w:right="1264" w:hanging="663"/>
        <w:rPr>
          <w:rtl/>
        </w:rPr>
      </w:pPr>
      <w:r>
        <w:rPr>
          <w:rtl/>
        </w:rPr>
        <w:tab/>
      </w:r>
      <w:r>
        <w:rPr>
          <w:rtl/>
        </w:rPr>
        <w:tab/>
        <w:t>•</w:t>
      </w:r>
      <w:r>
        <w:rPr>
          <w:rtl/>
        </w:rPr>
        <w:tab/>
        <w:t>وتجري أيضا بحوث في وزارات أخرى لاستكشاف ديناميات العمل غير المأجور في مجتمعنا ومساهماته وأهميته بالنسبة لوضع سياسة سوق العمل، بما في ذلك استقصاء عن ترتيبات العمل يرمي إلى استكشاف حجم واستخدام ترتيبات العمل البديلة المختلفة</w:t>
      </w:r>
    </w:p>
    <w:p w:rsidR="00000000" w:rsidRDefault="00000000">
      <w:pPr>
        <w:pStyle w:val="SingleTxt"/>
        <w:tabs>
          <w:tab w:val="left" w:pos="1628"/>
          <w:tab w:val="left" w:pos="2904"/>
        </w:tabs>
        <w:ind w:left="1927" w:right="1264" w:hanging="663"/>
        <w:rPr>
          <w:rtl/>
        </w:rPr>
      </w:pPr>
      <w:r>
        <w:rPr>
          <w:rtl/>
        </w:rPr>
        <w:tab/>
      </w:r>
      <w:r>
        <w:rPr>
          <w:rtl/>
        </w:rPr>
        <w:tab/>
        <w:t>•</w:t>
      </w:r>
      <w:r>
        <w:rPr>
          <w:rtl/>
        </w:rPr>
        <w:tab/>
        <w:t>وقُدم التمويل لعدد من المنظمات النسائية غير الحكومية لدراسة وتعزيز الوعي بالآثار المترتبة على السياسات في مجال العمل غير المأجور. ومن النواتج المهمة في هذا الصدد وضع دراسة بعنوان “عندما تكون المرأة عنصرا مهما: دليل مرجعي عن العمل غير المأجور”</w:t>
      </w:r>
    </w:p>
    <w:p w:rsidR="00000000" w:rsidRDefault="00000000">
      <w:pPr>
        <w:pStyle w:val="SingleTxt"/>
        <w:tabs>
          <w:tab w:val="left" w:pos="1628"/>
          <w:tab w:val="left" w:pos="2904"/>
        </w:tabs>
        <w:ind w:left="1927" w:right="1264" w:hanging="663"/>
        <w:rPr>
          <w:rtl/>
        </w:rPr>
      </w:pPr>
      <w:r>
        <w:rPr>
          <w:rtl/>
        </w:rPr>
        <w:tab/>
      </w:r>
      <w:r>
        <w:rPr>
          <w:rtl/>
        </w:rPr>
        <w:tab/>
        <w:t>•</w:t>
      </w:r>
      <w:r>
        <w:rPr>
          <w:rtl/>
        </w:rPr>
        <w:tab/>
        <w:t>وقد شُكِّلت لجنة من مجلس العموم لتدارس المسائل المتصلة بمعاملة الأسر ذات الأطفال المعالين في إطار النظام الضريبي ونظام التحويلات. واستمعت إلى شهود من شتى أنحاء البلاد، وقدَّمت عددا من التوصيات من أجل النظر فيها من جانب لجنة المالية والحكومة التي يمكن أن تقدِّم مساعدات معزَّزة للأسر لكي تلبي متطلباتها من ناحية الدخل والرعاية.</w:t>
      </w:r>
    </w:p>
    <w:p w:rsidR="00000000" w:rsidRDefault="00000000">
      <w:pPr>
        <w:pStyle w:val="SingleTxt"/>
        <w:tabs>
          <w:tab w:val="left" w:pos="1628"/>
          <w:tab w:val="left" w:pos="2904"/>
        </w:tabs>
        <w:ind w:left="1927" w:right="1264" w:hanging="663"/>
        <w:rPr>
          <w:b/>
          <w:bCs/>
          <w:rtl/>
        </w:rPr>
      </w:pPr>
    </w:p>
    <w:p w:rsidR="00000000" w:rsidRDefault="00000000">
      <w:pPr>
        <w:pStyle w:val="SingleTxt"/>
        <w:tabs>
          <w:tab w:val="left" w:pos="1628"/>
          <w:tab w:val="left" w:pos="2904"/>
        </w:tabs>
        <w:spacing w:line="380" w:lineRule="exact"/>
        <w:ind w:left="1927" w:right="1264" w:hanging="663"/>
        <w:rPr>
          <w:rtl/>
        </w:rPr>
      </w:pPr>
      <w:r>
        <w:rPr>
          <w:b/>
          <w:bCs/>
          <w:rtl/>
        </w:rPr>
        <w:t>الاعتراف بتقديم الرعاية على أساس غير مأجور</w:t>
      </w:r>
    </w:p>
    <w:p w:rsidR="00000000" w:rsidRDefault="00000000">
      <w:pPr>
        <w:pStyle w:val="SingleTxt"/>
        <w:tabs>
          <w:tab w:val="left" w:pos="1628"/>
          <w:tab w:val="left" w:pos="2904"/>
        </w:tabs>
        <w:spacing w:line="380" w:lineRule="exact"/>
        <w:ind w:left="1264" w:right="1264"/>
        <w:rPr>
          <w:rtl/>
        </w:rPr>
      </w:pPr>
      <w:r>
        <w:rPr>
          <w:rtl/>
        </w:rPr>
        <w:t>269 -</w:t>
      </w:r>
      <w:r>
        <w:rPr>
          <w:rtl/>
        </w:rPr>
        <w:tab/>
        <w:t>اتخذت الحكومة عددا من الخطوات للاعتراف بالعمل غير المأجور ومعظمه تقوم به المرأة فيما يتعلق بتقديم الرعاية للأطفال والمسنين وأفراد العائلة من المعاقين.</w:t>
      </w:r>
    </w:p>
    <w:p w:rsidR="00000000" w:rsidRDefault="00000000">
      <w:pPr>
        <w:pStyle w:val="SingleTxt"/>
        <w:tabs>
          <w:tab w:val="left" w:pos="1628"/>
          <w:tab w:val="left" w:pos="2904"/>
        </w:tabs>
        <w:spacing w:line="380" w:lineRule="exact"/>
        <w:ind w:left="1264" w:right="1264"/>
        <w:rPr>
          <w:rtl/>
        </w:rPr>
      </w:pPr>
      <w:r>
        <w:rPr>
          <w:rtl/>
        </w:rPr>
        <w:t>270 -</w:t>
      </w:r>
      <w:r>
        <w:rPr>
          <w:rtl/>
        </w:rPr>
        <w:tab/>
        <w:t>وتعترف الحكومة أيضا بأن الرفاه الاقتصادي لكل من المرأة والطفل أمر مترابط بغير انفصام. فرعاية الطفولة ولا سيما في ظل أحوال الفقر أمر له أولوية بالنسبة للحكومة.</w:t>
      </w:r>
    </w:p>
    <w:p w:rsidR="00000000" w:rsidRDefault="00000000">
      <w:pPr>
        <w:pStyle w:val="SingleTxt"/>
        <w:tabs>
          <w:tab w:val="left" w:pos="1628"/>
          <w:tab w:val="left" w:pos="2904"/>
        </w:tabs>
        <w:spacing w:line="380" w:lineRule="exact"/>
        <w:ind w:left="1264" w:right="1264"/>
        <w:rPr>
          <w:rtl/>
        </w:rPr>
      </w:pPr>
      <w:r>
        <w:rPr>
          <w:rtl/>
        </w:rPr>
        <w:t>271 -</w:t>
      </w:r>
      <w:r>
        <w:rPr>
          <w:rtl/>
        </w:rPr>
        <w:tab/>
        <w:t>كما تعمل الحكومات، سواء على المستوى الاتحادي أو مستوى المقاطعات أو الأقاليم، على وضع جدول أعمال وطني للطفولة ليكون بمثابة استراتيجية شاملة وطويلة الأجل لتحسين رفاه الطفولة. كما أن ممثلين من المنظمات الوطنية الخمس لشعوب السكان الأصليين يشاركون في الفريق الفرعي المعني بمنظورات السكان الأصليين التابع للفريق الوطني العامل المعني بوضع جدول أعمال للطفولة على المستوى الاتحادي ومستوى المقاطعات/الأقاليم. وسوف يصبح جدول الأعمال المذكور بمثابة محور للتعاون فيما بين القطاعات (مثلا الصحة والخدمات الاجتماعية والعدالة والتعليم) كما سينطلق على أساس الجهود الجارية بالفعل من جانب المنظمات غير الحكومية ودوائر التجارة والأعمال.</w:t>
      </w:r>
    </w:p>
    <w:p w:rsidR="00000000" w:rsidRDefault="00000000">
      <w:pPr>
        <w:pStyle w:val="SingleTxt"/>
        <w:tabs>
          <w:tab w:val="left" w:pos="1628"/>
          <w:tab w:val="left" w:pos="2904"/>
        </w:tabs>
        <w:spacing w:line="380" w:lineRule="exact"/>
        <w:ind w:left="1264" w:right="1264"/>
        <w:rPr>
          <w:rtl/>
        </w:rPr>
      </w:pPr>
      <w:r>
        <w:rPr>
          <w:rtl/>
        </w:rPr>
        <w:t>272 -</w:t>
      </w:r>
      <w:r>
        <w:rPr>
          <w:rtl/>
        </w:rPr>
        <w:tab/>
        <w:t>وبدأ في عام 1997 العمل باستحقاق ضريبة الطفولة في كندا بحجم 6 بلايين من الدولارات لمساعدة الأسر ذات الدخل المنخفض والأسر التي تعيش على مساعدات اجتماعية وكثير منها من أسر الوالد الوحيد وترأسها امرأة. وهذه المبادرة تؤدي إلى تمكين حكومات الأقاليم من رصد مزيد من الاستثمارات في مجال الخدمات ونظم الدعم. ومن ذلك مثلا رعاية الطفولة ونظم علاج الأسنان والأدوية وبرامج التغذية.</w:t>
      </w:r>
    </w:p>
    <w:p w:rsidR="00000000" w:rsidRDefault="00000000">
      <w:pPr>
        <w:pStyle w:val="SingleTxt"/>
        <w:tabs>
          <w:tab w:val="left" w:pos="1628"/>
          <w:tab w:val="left" w:pos="2904"/>
        </w:tabs>
        <w:spacing w:line="380" w:lineRule="exact"/>
        <w:ind w:left="1264" w:right="1264"/>
        <w:rPr>
          <w:rtl/>
        </w:rPr>
      </w:pPr>
      <w:r>
        <w:rPr>
          <w:rtl/>
        </w:rPr>
        <w:t>273 -</w:t>
      </w:r>
      <w:r>
        <w:rPr>
          <w:rtl/>
        </w:rPr>
        <w:tab/>
        <w:t>وقد أعلنت الميزانية الاتحادية لعام 1998 أن نظام الضرائب يمكن أن يوفِّر ميزة مالية أفضل بالنسبة إلى مصاريف رعاية الطفولة. ومن ثم فإن استقطاع مصاريف رعاية الطفولة زاد من 000 5 دولار إلى 000 7 دولار للأطفال دون السابعة من العمر. ثم من 000 3 إلى 000 4 دولار للأطفال من سن السابعة إلى السادسة عشرة.</w:t>
      </w:r>
    </w:p>
    <w:p w:rsidR="00000000" w:rsidRDefault="00000000">
      <w:pPr>
        <w:pStyle w:val="SingleTxt"/>
        <w:tabs>
          <w:tab w:val="left" w:pos="1628"/>
          <w:tab w:val="left" w:pos="2904"/>
        </w:tabs>
        <w:spacing w:line="380" w:lineRule="exact"/>
        <w:ind w:left="1264" w:right="1264"/>
        <w:rPr>
          <w:rtl/>
        </w:rPr>
      </w:pPr>
      <w:r>
        <w:rPr>
          <w:rtl/>
        </w:rPr>
        <w:t>274 -</w:t>
      </w:r>
      <w:r>
        <w:rPr>
          <w:rtl/>
        </w:rPr>
        <w:tab/>
        <w:t>واعترفت ميزانية 1998 بأهمية العمل غير المأجور في البيت حيث كفلت ائتمانا ضريبيا جديدا لمقدمي الرعاية. وهذا الائتمان يكفل للكنديين إعفاءً ضريبيا يصل إلى 400 دولار من أجل تقديم الرعاية والدعم لأفراد العائلة من المسنين أو المعاقين. وبما أن عدد النساء يتجاوز عدد الرجال بنسبة 3 إلى 2 في تقديم الرعاية للأفراد من ذوي المشاكل الصحية المزمنة فإن الائتمان سوف يفيد النساء أكثر من سواهن.</w:t>
      </w:r>
    </w:p>
    <w:p w:rsidR="00000000" w:rsidRDefault="00000000">
      <w:pPr>
        <w:pStyle w:val="SingleTxt"/>
        <w:tabs>
          <w:tab w:val="left" w:pos="1628"/>
          <w:tab w:val="left" w:pos="2904"/>
        </w:tabs>
        <w:spacing w:line="380" w:lineRule="exact"/>
        <w:ind w:left="1264" w:right="1264"/>
        <w:rPr>
          <w:rtl/>
        </w:rPr>
      </w:pPr>
      <w:r>
        <w:rPr>
          <w:rtl/>
        </w:rPr>
        <w:t>275 -</w:t>
      </w:r>
      <w:r>
        <w:rPr>
          <w:rtl/>
        </w:rPr>
        <w:tab/>
        <w:t>كما أصبحت المصاريف المتصلة برعاية شخص لا يمتلك سوى قدر محدود من سُبل الرعاية الذاتية معفاة حاليا من ضريبة السلع والخدمات ومن ضريبة المبيعات المعدّلة.</w:t>
      </w:r>
    </w:p>
    <w:p w:rsidR="00000000" w:rsidRDefault="00000000">
      <w:pPr>
        <w:pStyle w:val="SingleTxt"/>
        <w:tabs>
          <w:tab w:val="left" w:pos="1628"/>
          <w:tab w:val="left" w:pos="2904"/>
        </w:tabs>
        <w:spacing w:line="380" w:lineRule="exact"/>
        <w:ind w:left="1264" w:right="1264"/>
        <w:rPr>
          <w:szCs w:val="32"/>
          <w:rtl/>
        </w:rPr>
      </w:pPr>
      <w:r>
        <w:rPr>
          <w:b/>
          <w:bCs/>
          <w:szCs w:val="32"/>
          <w:rtl/>
        </w:rPr>
        <w:t xml:space="preserve">المادة 11 </w:t>
      </w:r>
      <w:r>
        <w:rPr>
          <w:b/>
          <w:bCs/>
          <w:szCs w:val="32"/>
        </w:rPr>
        <w:t>–</w:t>
      </w:r>
      <w:r>
        <w:rPr>
          <w:b/>
          <w:bCs/>
          <w:szCs w:val="32"/>
          <w:rtl/>
        </w:rPr>
        <w:t xml:space="preserve"> 1 (ب): الحق في نفس فرص التوظيف</w:t>
      </w:r>
    </w:p>
    <w:p w:rsidR="00000000" w:rsidRDefault="00000000">
      <w:pPr>
        <w:pStyle w:val="SingleTxt"/>
        <w:tabs>
          <w:tab w:val="left" w:pos="1628"/>
          <w:tab w:val="left" w:pos="2904"/>
        </w:tabs>
        <w:spacing w:line="380" w:lineRule="exact"/>
        <w:ind w:left="1264" w:right="1264"/>
        <w:rPr>
          <w:rtl/>
        </w:rPr>
      </w:pPr>
      <w:r>
        <w:rPr>
          <w:rtl/>
        </w:rPr>
        <w:t>276 -</w:t>
      </w:r>
      <w:r>
        <w:rPr>
          <w:rtl/>
        </w:rPr>
        <w:tab/>
        <w:t>قدمت وزارة وضع المرأة دعما ماليا لشبكة النساء المعاقات لكي تُنفذ مشروع بحث عملي في مجال التوظيف. وأعدت الشبكة كتابا عمليا شاملا عن التوظيف حافلا بتجارب الاستعداد للعمل والبحث عن العمل بالنسبة للنساء من ذوات الإعاقة. كما شمل الكتاب أمثلة عن برامج ناجحة لأرباب الأعمال يمكن تكييفها وترويجها، فضلا عن توصيات واستراتيجيات لمساعدة النساء من ذوي الإعاقة على الوصول إلى برامج التوظيف المتعارف عليها. وهذا الكتاب لقي استقبالا طيبا للغاية سواء من جانب أرباب العمل ومنهم من يحتمل أن يستخدم نساء من ذوات الإعاقة. وكذلك من جانب المعاقات أنفسهن. ونظرا للطلب الضخم على هذه الأداة التوظيفية، تم توزيع أكثر من 500 1 نسخة بالفرنسية والإنكليزية مطبوعة وعلى شكل صيغة بديلة بين صفوف النساء من ذوات الإعاقة وأصحاب الأعمال ومستشاري التوظيف وهو الآن متاح ضمن موقع شبكة النساء المعاقات على الشبكة الدولية.</w:t>
      </w:r>
    </w:p>
    <w:p w:rsidR="00000000" w:rsidRDefault="00000000">
      <w:pPr>
        <w:pStyle w:val="SingleTxt"/>
        <w:tabs>
          <w:tab w:val="left" w:pos="1628"/>
          <w:tab w:val="left" w:pos="2904"/>
        </w:tabs>
        <w:spacing w:line="380" w:lineRule="exact"/>
        <w:ind w:left="1264" w:right="1264"/>
        <w:rPr>
          <w:rtl/>
        </w:rPr>
      </w:pPr>
      <w:r>
        <w:rPr>
          <w:rtl/>
        </w:rPr>
        <w:t>277 -</w:t>
      </w:r>
      <w:r>
        <w:rPr>
          <w:rtl/>
        </w:rPr>
        <w:tab/>
        <w:t>وفي أيلول/سبتمبر 1977 وقَّعت الحكومة الاتحادية اتفاقا مع رابطة النساء الأصليات في كندا لتقديم تمويل بمبلغ 6,6 مليون دولار في إطار مبادرة توظيف السكان الأصليين في الحضر حتى 31 آذار/مارس 1999. ويمثل الاتفاق المرة الأولى التي أتيح فيها للمرأة من السكان الأصليين فرصة تحديد البرامج في سوق العمل والتدخل لصالح المرأة من السكان الأصليين على هذا النحو. وتعمل الرابطة النسائية المذكورة مع شركاء آخرين مثل المقاطعات/الأقاليم والقطاع الخاص ومنظمات النفع العام إتاحة الأدوات التي تلبي احتياجات النساء من السكان الأصليين سواء بالنسبة لأنفسهن أو لأسرهن وصولا إلى تحقيق الاكتفاء الذاتي. وعلى سبيل المثال فمن المشاريع المنفذة في هذا الصدد، العمل الذي تضطلع به رابطة النساء الأصليات في خليج الجزر في “شرم بنوا”،  نيوفاوندلاند حيث درّبت النساء من السكان الأصليين ليصبحن من عاملات الدعم المنزليين من خلال العصبة المحلية الفيكتورية للممرضات.</w:t>
      </w:r>
    </w:p>
    <w:p w:rsidR="00000000" w:rsidRDefault="00000000">
      <w:pPr>
        <w:pStyle w:val="SingleTxt"/>
        <w:tabs>
          <w:tab w:val="left" w:pos="1628"/>
          <w:tab w:val="left" w:pos="2904"/>
        </w:tabs>
        <w:spacing w:line="380" w:lineRule="exact"/>
        <w:ind w:left="1264" w:right="1264"/>
        <w:rPr>
          <w:rtl/>
        </w:rPr>
      </w:pPr>
      <w:r>
        <w:rPr>
          <w:rtl/>
        </w:rPr>
        <w:t>278 -</w:t>
      </w:r>
      <w:r>
        <w:rPr>
          <w:rtl/>
        </w:rPr>
        <w:tab/>
        <w:t xml:space="preserve">وتدل البيانات المستقاة من تعداد 1996 على أن النساء المهاجرات اللائي وصلن في الفترة بين عامي 1961 و 1970 ساد بينهن معدل بطالة أقل من النساء غير المهاجرات. والنساء اللائي وصلن بين عامي 1971 و 1980 كان معدل البطالة لديهن مماثلا للنساء غير المهاجرات. أما اللائي وصلن من عام 1981 إلى عام 1996 فيرتفع معدل البطالة بينهن بأكثر من نظيره لدى النساء غير المهاجرات. وفيما يتعلق بمعدلات المشاركة في النشاط الاقتصادي، فإن المهاجرات اللائي وصلن بين عامي 1970 و 1980 لهن معدل مشاركة أعلى من غير المهاجرات. أما المهاجرات اللائي وصلن بين عامي 1981 و 1985 فإن معدل مشاركتهن في النشاط الاقتصادي يكاد يكون نفس نظيره لدى غير المهاجرات. ويصدق الأمر نفسه على من وصلن بين عامي 1961 و 1970. وجاء معدل المشاركة في النشاط الاقتصادي أدنى بين من وصلن في فترات لاحقة (1991 </w:t>
      </w:r>
      <w:r>
        <w:t>–</w:t>
      </w:r>
      <w:r>
        <w:rPr>
          <w:rtl/>
        </w:rPr>
        <w:t xml:space="preserve"> 1996) وهو ما يمكن أن يكون نتيجة عدد من العوامل التي كان من بينها الركود الاقتصادي في أوائل التسعينيات وكذلك عامل اللغة وغير ذلك من مسائل الاندماج.</w:t>
      </w:r>
    </w:p>
    <w:p w:rsidR="00000000" w:rsidRDefault="00000000">
      <w:pPr>
        <w:pStyle w:val="SingleTxt"/>
        <w:spacing w:line="380" w:lineRule="exact"/>
        <w:rPr>
          <w:rtl/>
          <w:lang w:eastAsia="en-US"/>
        </w:rPr>
      </w:pPr>
      <w:r>
        <w:rPr>
          <w:rtl/>
          <w:lang w:eastAsia="en-US"/>
        </w:rPr>
        <w:t>279 -</w:t>
      </w:r>
      <w:r>
        <w:rPr>
          <w:rtl/>
          <w:lang w:eastAsia="en-US"/>
        </w:rPr>
        <w:tab/>
        <w:t>على أن النساء المهاجرات يقدمِّن مساهمة لها قيمتها سواء كانت مدفوعة أو غير مدفوعة بالنسبة للرفاه الاقتصادي لعائلاتهن. فما أن تتم هجرة العائلة حتى يصبح الأمن المالي للعائلات المهاجرة متوقفا على مشاركة كلا الزوجين في قوة العمل. وفي كثير من بلدان ومناطق المصدر الرئيسة (مثلا هونغ كونغ وجنوب شرقي آسيا) يصبح المعيار هو أسرة كاسِبيْ الدخل. ويرسي منشور “البناء على أساس وطيد للقرن الحادي والعشرين”، وهو وثيقة حكومية من إعداد وزارة الجنسية والهجرة في كندا، توجيهات جديدة لسياسة الهجرة واللجوء كما يذكر أنه سيتم إجراء المزيد من البحوث لتحديد كيف يمكن لنظام جديد للاختيار أن يراعي إمكانيات المساهمة الاجتماعية والاقتصادية للزوجين. حيث أن من الأمور المُسلَّم بها أن المساهمة “غير المرئية” للزوجين (والمرأة في معظم الحالات) كثيرا ما تحتاج إلى من يعترف بها في نظام اختيار المهاجرين.</w:t>
      </w:r>
    </w:p>
    <w:p w:rsidR="00000000" w:rsidRDefault="00000000">
      <w:pPr>
        <w:pStyle w:val="SingleTxt"/>
        <w:spacing w:line="380" w:lineRule="exact"/>
        <w:rPr>
          <w:szCs w:val="32"/>
          <w:rtl/>
          <w:lang w:eastAsia="en-US"/>
        </w:rPr>
      </w:pPr>
      <w:r>
        <w:rPr>
          <w:b/>
          <w:bCs/>
          <w:szCs w:val="32"/>
          <w:rtl/>
          <w:lang w:eastAsia="en-US"/>
        </w:rPr>
        <w:t xml:space="preserve">المادة 11 </w:t>
      </w:r>
      <w:r>
        <w:rPr>
          <w:b/>
          <w:bCs/>
          <w:szCs w:val="32"/>
          <w:lang w:eastAsia="en-US"/>
        </w:rPr>
        <w:t>–</w:t>
      </w:r>
      <w:r>
        <w:rPr>
          <w:b/>
          <w:bCs/>
          <w:szCs w:val="32"/>
          <w:rtl/>
          <w:lang w:eastAsia="en-US"/>
        </w:rPr>
        <w:t xml:space="preserve"> 1 (د): الحق في الأجر المتساوي</w:t>
      </w:r>
    </w:p>
    <w:p w:rsidR="00000000" w:rsidRDefault="00000000">
      <w:pPr>
        <w:pStyle w:val="SingleTxt"/>
        <w:spacing w:line="380" w:lineRule="exact"/>
        <w:rPr>
          <w:rtl/>
          <w:lang w:eastAsia="en-US"/>
        </w:rPr>
      </w:pPr>
      <w:r>
        <w:rPr>
          <w:rtl/>
          <w:lang w:eastAsia="en-US"/>
        </w:rPr>
        <w:t>280 -</w:t>
      </w:r>
      <w:r>
        <w:rPr>
          <w:rtl/>
          <w:lang w:eastAsia="en-US"/>
        </w:rPr>
        <w:tab/>
        <w:t>الإنصاف في الأجر يقتضي أن تتلقى المهن ذات القيمة المتساوية نفس الأجور (الأجر المتساوي عن العمل ذي القيمة المتساوية). وبصرف النظر عن برامج الإنصاف في التوظيف، فإن تشريعات الإنصاف في الأجر (والتسويات) ما زالت أحد التدابير الرئيسية التي ينبغي أن تتصدى لمعالجة الثغرة القائمة في الأجور. على أن التقدُّم كان بطيئا في معالجة هذه الثغرة بسبب إنفاذ معظم تشريعات الإنصاف في الأجور على أساس من الشكاوى المرفوعة فضلا عن تفسير ضيِّق للقيمة المتكافئة.</w:t>
      </w:r>
    </w:p>
    <w:p w:rsidR="00000000" w:rsidRDefault="00000000">
      <w:pPr>
        <w:pStyle w:val="SingleTxt"/>
        <w:tabs>
          <w:tab w:val="left" w:pos="1628"/>
          <w:tab w:val="left" w:pos="2904"/>
        </w:tabs>
        <w:spacing w:line="380" w:lineRule="exact"/>
        <w:ind w:left="1264" w:right="1264"/>
        <w:rPr>
          <w:rtl/>
          <w:lang w:eastAsia="en-US"/>
        </w:rPr>
      </w:pPr>
      <w:r>
        <w:rPr>
          <w:rtl/>
          <w:lang w:eastAsia="en-US"/>
        </w:rPr>
        <w:t>281 -</w:t>
      </w:r>
      <w:r>
        <w:rPr>
          <w:rtl/>
          <w:lang w:eastAsia="en-US"/>
        </w:rPr>
        <w:tab/>
        <w:t>ويقتضي البند 11 من القانون الكندي لحقوق الإنسان الذي بدأ العمل به في آذار/مارس 1978 أن يقوم أرباب العمل الخاضعون للولاية القضائية الاتحادية بدفع أجور متساوية للرجال والنساء من العاملين لقاء العمل ذي القيمة المتساوية. ويغطي القانون الكندي لحقوق الإنسان الموظفين في الحكومة الاتحادية ومؤسسات التاج والمؤسسات الخاصة الخاضعة للولاية القضائية الاتحادية مثل المصارف وشركة “بِل كندا” بصرف النظر عن حجم قوة العمل بها. وفي عام 1986 تم العمل بمبادئ توجيهية عن الأجر المتساوي. وهي تصف العوامل اللازم استخدامها لدى تفسير البند 11. وعلى سبيل المثال فإن هذا يشمل قائمة من الاستثناءات التي تبرر دفع أجر مختلف في الحالات التي تشمل تقييمات مختلفة للأداء وكذلك عنصر الأ</w:t>
      </w:r>
      <w:bookmarkStart w:id="1" w:name="TmpSave"/>
      <w:bookmarkEnd w:id="1"/>
      <w:r>
        <w:rPr>
          <w:rtl/>
          <w:lang w:eastAsia="en-US"/>
        </w:rPr>
        <w:t>قدمية أو تنزيل الرتبة الوظيفية أو المهام التدريبية وأوجه النقص الداخلية في العمالة.</w:t>
      </w:r>
    </w:p>
    <w:p w:rsidR="00000000" w:rsidRDefault="00000000">
      <w:pPr>
        <w:pStyle w:val="SingleTxt"/>
        <w:rPr>
          <w:rtl/>
          <w:lang w:eastAsia="en-US"/>
        </w:rPr>
      </w:pPr>
      <w:r>
        <w:rPr>
          <w:rtl/>
          <w:lang w:eastAsia="en-US"/>
        </w:rPr>
        <w:t>282 -</w:t>
      </w:r>
      <w:r>
        <w:rPr>
          <w:rtl/>
          <w:lang w:eastAsia="en-US"/>
        </w:rPr>
        <w:tab/>
        <w:t>كذلك فإن اللجنة الكندية لحقوق الإنسان تتمتع بالسلطة بموجب القانون الكندي لحقوق الإنسان لكي تنظر في شكوى مرفوعة إذا ما توافرت لها مبررات معقولة، ويمكنها أيضا أن تتلقى شكاوى عن الإنصاف في الأجر ثم تقوم بالتحقيق والتسوية أو تصرف النظر عن الشكوى أو تحيلها لتنظر فيها إحدى المحاكم. إلا أن إنفاذ تشريعات الأجر المتساوي الاتحادية ما زالت تفتقر إلى المبادرة وهي تعتمد على الشكاوى والتحقيقات بدلا من اعتمادها على جداول زمنية إلزامية كما أن أرباب العمل ليسوا ملزَمين بمساومة النقابات بشأن الإنصاف في الأجر.</w:t>
      </w:r>
    </w:p>
    <w:p w:rsidR="00000000" w:rsidRDefault="00000000">
      <w:pPr>
        <w:pStyle w:val="SingleTxt"/>
        <w:rPr>
          <w:rtl/>
          <w:lang w:eastAsia="en-US"/>
        </w:rPr>
      </w:pPr>
      <w:r>
        <w:rPr>
          <w:rtl/>
          <w:lang w:eastAsia="en-US"/>
        </w:rPr>
        <w:t>283 -</w:t>
      </w:r>
      <w:r>
        <w:rPr>
          <w:rtl/>
          <w:lang w:eastAsia="en-US"/>
        </w:rPr>
        <w:tab/>
        <w:t>وفي 29 تشرين الأول/أكتوبر 1999 تم التوصل إلى اتفاق بين أمانة صندوق الخزانة وتحالف الخدمة العامة لكندا بشأن تنفيذ الحكم الصادر عن المحكمة الكندية لحقوق الإنسان بتاريخ تموز/يوليه 1998 بشأن الإنصاف في الأجر. وجاء هذا الاتفاق عقب قرار صادر عن محكمة اتحادية في كندا أدى إلى حل الجدل الدائم الذي كان يثور بشأن تفسير المادة 11 من القانون الكندي لحقوق الإنسان.</w:t>
      </w:r>
    </w:p>
    <w:p w:rsidR="00000000" w:rsidRDefault="00000000">
      <w:pPr>
        <w:pStyle w:val="SingleTxt"/>
        <w:rPr>
          <w:rtl/>
          <w:lang w:eastAsia="en-US"/>
        </w:rPr>
      </w:pPr>
      <w:r>
        <w:rPr>
          <w:rtl/>
          <w:lang w:eastAsia="en-US"/>
        </w:rPr>
        <w:t>284 -</w:t>
      </w:r>
      <w:r>
        <w:rPr>
          <w:rtl/>
          <w:lang w:eastAsia="en-US"/>
        </w:rPr>
        <w:tab/>
        <w:t>من ناحية أخرى فإن البند 182 من الباب الثالث من قانون العمل الكندي من شأنه تمكين وزارة تنمية الموارد البشرية في كندا من رصد تنفيذ الإنصاف الأجري في القطاع غير الحكومي المنظَّم اتحاديا (أي النقل والأعمال المصرفية والاتصالات وبعض مؤسسات التاج) بما يغطي أكثر من 000 700 موظف. ويعمل موظفو شعبة الإنصاف الأجري بوزارة تنمية الموارد البشرية في كندا مع أرباب الأعمال في هذا المضمار وهم يقدِّمون التدريب بما يكفل الامتثال للبند 11. وأرباب العمل الذين لا ينفِّذون خطة الإنصاف في الأجر يمكن إحالتهم إلى اللجنة الكندية لحقوق الإنسان. ومنذ عام 1986 تم الاتصال بعدد يبلغ 300 1 من أرباب العمل وبدأت نسبة 76 في المائة منهم في معالجة مسألة الإنصاف في الأجر.</w:t>
      </w:r>
    </w:p>
    <w:p w:rsidR="00000000" w:rsidRDefault="00000000">
      <w:pPr>
        <w:pStyle w:val="SingleTxt"/>
        <w:rPr>
          <w:b/>
          <w:bCs/>
          <w:szCs w:val="32"/>
          <w:rtl/>
          <w:lang w:eastAsia="en-US"/>
        </w:rPr>
      </w:pPr>
      <w:r>
        <w:rPr>
          <w:b/>
          <w:bCs/>
          <w:szCs w:val="32"/>
          <w:rtl/>
          <w:lang w:eastAsia="en-US"/>
        </w:rPr>
        <w:t xml:space="preserve">المادة 11 </w:t>
      </w:r>
      <w:r>
        <w:rPr>
          <w:b/>
          <w:bCs/>
          <w:szCs w:val="32"/>
          <w:lang w:eastAsia="en-US"/>
        </w:rPr>
        <w:t>–</w:t>
      </w:r>
      <w:r>
        <w:rPr>
          <w:b/>
          <w:bCs/>
          <w:szCs w:val="32"/>
          <w:rtl/>
          <w:lang w:eastAsia="en-US"/>
        </w:rPr>
        <w:t xml:space="preserve"> 1 (هـ): الحق في استحقاقات المعاش التقاعدي والضمان الاجتماعي</w:t>
      </w:r>
    </w:p>
    <w:p w:rsidR="00000000" w:rsidRDefault="00000000">
      <w:pPr>
        <w:pStyle w:val="SingleTxt"/>
        <w:rPr>
          <w:rtl/>
          <w:lang w:eastAsia="en-US"/>
        </w:rPr>
      </w:pPr>
      <w:r>
        <w:rPr>
          <w:b/>
          <w:bCs/>
          <w:rtl/>
          <w:lang w:eastAsia="en-US"/>
        </w:rPr>
        <w:t>تقديم الدعم للنساء المسنات</w:t>
      </w:r>
    </w:p>
    <w:p w:rsidR="00000000" w:rsidRDefault="00000000">
      <w:pPr>
        <w:pStyle w:val="SingleTxt"/>
        <w:rPr>
          <w:rtl/>
          <w:lang w:eastAsia="en-US"/>
        </w:rPr>
      </w:pPr>
      <w:r>
        <w:rPr>
          <w:rtl/>
          <w:lang w:eastAsia="en-US"/>
        </w:rPr>
        <w:t>285 -</w:t>
      </w:r>
      <w:r>
        <w:rPr>
          <w:rtl/>
          <w:lang w:eastAsia="en-US"/>
        </w:rPr>
        <w:tab/>
        <w:t>تعترف الحكومة بأن المعاشات التقاعدية العامة أصبحت أمرا أساسيا لتخفيف حدة الفقر بين النساء المسنات.</w:t>
      </w:r>
    </w:p>
    <w:p w:rsidR="00000000" w:rsidRDefault="00000000">
      <w:pPr>
        <w:pStyle w:val="SingleTxt"/>
        <w:rPr>
          <w:rtl/>
          <w:lang w:eastAsia="en-US"/>
        </w:rPr>
      </w:pPr>
      <w:r>
        <w:rPr>
          <w:rtl/>
          <w:lang w:eastAsia="en-US"/>
        </w:rPr>
        <w:t>286 -</w:t>
      </w:r>
      <w:r>
        <w:rPr>
          <w:w w:val="100"/>
          <w:rtl/>
          <w:lang w:eastAsia="en-US"/>
        </w:rPr>
        <w:tab/>
        <w:t>ويعكس نظام المعاشات التقاعدية في كندا هذا الفهم من خلال وسائل شتى منها مثلا البند المتعلق بالانقطاع عن العمل لغرض تنشئة الأطفال وكذلك تقاسم الائتمان والإدراج الكامل للاستحقاقات. وهذه الجوانب تعترف بأن أنماط العمل غير</w:t>
      </w:r>
      <w:r>
        <w:rPr>
          <w:rtl/>
          <w:lang w:eastAsia="en-US"/>
        </w:rPr>
        <w:t xml:space="preserve"> المأجور الذي تؤديه المرأة وجوانب التوظيف والبطالة والمكافآت بالنسبة لها تختلف اختلافا ملحوظا عن نظيرتها بالنسبة للرجل.</w:t>
      </w:r>
    </w:p>
    <w:p w:rsidR="00000000" w:rsidRDefault="00000000">
      <w:pPr>
        <w:pStyle w:val="SingleTxt"/>
        <w:rPr>
          <w:rtl/>
          <w:lang w:eastAsia="en-US"/>
        </w:rPr>
      </w:pPr>
      <w:r>
        <w:rPr>
          <w:rtl/>
          <w:lang w:eastAsia="en-US"/>
        </w:rPr>
        <w:t>287 -</w:t>
      </w:r>
      <w:r>
        <w:rPr>
          <w:rtl/>
          <w:lang w:eastAsia="en-US"/>
        </w:rPr>
        <w:tab/>
        <w:t>وقد حوفظ على هذه الملامح خلال تنقيحات نظام المعاش التقاعدي وشملت زيادات في المعدلات بما يضمن الاستدامة المالية لنظام المعاشات التقاعدية في كندا، كما أنها تخضع لدراسة في مرحلة ثانية من الاستعراض بما يكفل أن يظل نظام المعاشات التقاعدية ملبيا لاحتياجات الكنديين.</w:t>
      </w:r>
    </w:p>
    <w:p w:rsidR="00000000" w:rsidRDefault="00000000">
      <w:pPr>
        <w:pStyle w:val="SingleTxt"/>
        <w:rPr>
          <w:rtl/>
          <w:lang w:eastAsia="en-US"/>
        </w:rPr>
      </w:pPr>
      <w:r>
        <w:rPr>
          <w:rtl/>
          <w:lang w:eastAsia="en-US"/>
        </w:rPr>
        <w:t>288 -</w:t>
      </w:r>
      <w:r>
        <w:rPr>
          <w:rtl/>
          <w:lang w:eastAsia="en-US"/>
        </w:rPr>
        <w:tab/>
        <w:t>وقد أمكن أيضا الإبقاء على الأجزاء الرئيسية الأخرى من نظام الدخل التقاعدي في كندا وهي برنامج ضمان الشيخوخة وملحق الدخل المضمون وبدل الأزواج. فملحق الدخل المضمون وبدل الأزواج يكفلان تقديم المساعدة للذين يتقاضون دخلا تقاعديا ضئيلا أو ليس لديهم مثل هذا الدخل على الإطلاق، وهما يتسمان بأهمية خاصة بالنسبة للمرأة التي تشكِّل نسبة 65 في المائة من المستفيدين من نظام ملحق الدخل المضمون و 91 في المائة من المستفيدين من بدل الأزواج.</w:t>
      </w:r>
    </w:p>
    <w:p w:rsidR="00000000" w:rsidRDefault="00000000">
      <w:pPr>
        <w:pStyle w:val="SingleTxt"/>
        <w:rPr>
          <w:rtl/>
          <w:lang w:eastAsia="en-US"/>
        </w:rPr>
      </w:pPr>
      <w:r>
        <w:rPr>
          <w:b/>
          <w:bCs/>
          <w:rtl/>
          <w:lang w:eastAsia="en-US"/>
        </w:rPr>
        <w:t>نظام جديد لتأمين العمالة</w:t>
      </w:r>
    </w:p>
    <w:p w:rsidR="00000000" w:rsidRDefault="00000000">
      <w:pPr>
        <w:pStyle w:val="SingleTxt"/>
        <w:rPr>
          <w:rtl/>
          <w:lang w:eastAsia="en-US"/>
        </w:rPr>
      </w:pPr>
      <w:r>
        <w:rPr>
          <w:rtl/>
          <w:lang w:eastAsia="en-US"/>
        </w:rPr>
        <w:t>289 -</w:t>
      </w:r>
      <w:r>
        <w:rPr>
          <w:rtl/>
          <w:lang w:eastAsia="en-US"/>
        </w:rPr>
        <w:tab/>
        <w:t>النظام الكندي لتأمين العمالة يقدِّم دعما دخليا مؤقتا للعاملين الذين يحالون إلى البطالة على غير إرادتهم. وبمقتضاه تقدم استحقاقات خاصة مثل مزايا الأمومة ودعم الأبوة والمرض فضلا عن تدابير لمساعدة الكنديين ممن يعانون البطالة على معاودة الدخول ضمن قوة العمل المأجور.</w:t>
      </w:r>
    </w:p>
    <w:p w:rsidR="00000000" w:rsidRDefault="00000000">
      <w:pPr>
        <w:pStyle w:val="SingleTxt"/>
        <w:rPr>
          <w:rtl/>
          <w:lang w:eastAsia="en-US"/>
        </w:rPr>
      </w:pPr>
      <w:r>
        <w:rPr>
          <w:rtl/>
          <w:lang w:eastAsia="en-US"/>
        </w:rPr>
        <w:t>290 -</w:t>
      </w:r>
      <w:r>
        <w:rPr>
          <w:rtl/>
          <w:lang w:eastAsia="en-US"/>
        </w:rPr>
        <w:tab/>
        <w:t>كذلك فإن إصلاحات نظام ضمان العمالة المذكور أعلاه، التي أضفيت في تموز/يوليه 1996 وكانون الثاني/يناير 1997 كانت أهم الإجراءات الأساسية التي أعادت تشكيل برنامج ضمان البطالة في مدى 25 سنة. ولدى إجراء تحليل على أساس جنساني للإصلاحات، تم التسليم بأن أي تدابير متخذة في هذا الشأن سوف ينجم عنها أثر مغاير بالنسبة للمرأة والرجل بحكم اختلاف الحقائق الاجتماعية والاقتصادية والأسرية لكل منهما. فالمرأة تكسب أقل من الرجل في المتوسط وهي ممثلة تمثيلا زائدا في قوة العمل المؤقتة من خلال الاستخدام بدوام جزئي أو في أعمال تعددية أو وظائف منخفضة الأجر. والنساء يشكِّلن غالبية الأسر ذات الوالد الوحيد كما يتحملن النصيب الرئيسي من مسؤوليات الأسرة والعمل غير المأجور.</w:t>
      </w:r>
    </w:p>
    <w:p w:rsidR="00000000" w:rsidRDefault="00000000">
      <w:pPr>
        <w:pStyle w:val="SingleTxt"/>
        <w:rPr>
          <w:rtl/>
          <w:lang w:eastAsia="en-US"/>
        </w:rPr>
      </w:pPr>
      <w:r>
        <w:rPr>
          <w:rtl/>
          <w:lang w:eastAsia="en-US"/>
        </w:rPr>
        <w:t>291 -</w:t>
      </w:r>
      <w:r>
        <w:rPr>
          <w:rtl/>
          <w:lang w:eastAsia="en-US"/>
        </w:rPr>
        <w:tab/>
        <w:t>وشملت هذه الإصلاحات إتاحة الوسائل الكفيلة بمساعدة المرأة على تخطي الحواجز التي تحول دون استخدامها، وذلك من خلال استحقاقات الاستخدام المحددة والمبالغ المقدَّمة لرعاية الأطفال والدخل. ومن شأن الشروط الأوسع لاستحقاق هذه المزايا أن تمكِّن المرأة التي يتعذر عليها معاودة الالتحاق بقوة العمل من الحصول على المساعدة. وعلى سبيل المثال فالنساء اللائي يتركن قوة العمل المأجور للقيام بإجازة أمومة أو والدية في السنوات الخمس الأخيرة سوف يستحققن مزايا العمالة الفعَّالة.</w:t>
      </w:r>
    </w:p>
    <w:p w:rsidR="00000000" w:rsidRDefault="00000000">
      <w:pPr>
        <w:pStyle w:val="SingleTxt"/>
        <w:rPr>
          <w:rtl/>
          <w:lang w:eastAsia="en-US"/>
        </w:rPr>
      </w:pPr>
      <w:r>
        <w:rPr>
          <w:rtl/>
          <w:lang w:eastAsia="en-US"/>
        </w:rPr>
        <w:t>292 -</w:t>
      </w:r>
      <w:r>
        <w:rPr>
          <w:rtl/>
          <w:lang w:eastAsia="en-US"/>
        </w:rPr>
        <w:tab/>
        <w:t>واستحقاقات الأمومة والوالدية التي تُعد بديلا عن الدخل، وتقدَّم بموجب قانون تأمين العمالة، تتيح للمرأة والرجل القيام بإجازة مؤقتة من العمل خلال الفترة التي تعقب مباشرة مولد الطفل وخلال الأشهر الأولى بعد الولادة أو التبني. وينص النظام على 15 أسبوعا من استحقاقات الأمومة للأم البيولوجية خلال الفترة التي تحيط بمولد الطفل و 10 أسابيع من استحقاقات الوالدية لكلا الوالدين بالتبني أو الوالدين الطبيعيين لأغراض رعاية الطفل. وتُدفع استحقاقات الوالدية لأي من الوالدين أو يمكن تقاسمها بينهما بزيادة 5 أسابيع من الاستحقاقات إذا ما كان الطفل يتطلب رعاية خاصة.</w:t>
      </w:r>
    </w:p>
    <w:p w:rsidR="00000000" w:rsidRDefault="00000000">
      <w:pPr>
        <w:pStyle w:val="SingleTxt"/>
        <w:rPr>
          <w:rtl/>
          <w:lang w:eastAsia="en-US"/>
        </w:rPr>
      </w:pPr>
      <w:r>
        <w:rPr>
          <w:rtl/>
          <w:lang w:eastAsia="en-US"/>
        </w:rPr>
        <w:t>293 -</w:t>
      </w:r>
      <w:r>
        <w:rPr>
          <w:rtl/>
          <w:lang w:eastAsia="en-US"/>
        </w:rPr>
        <w:tab/>
        <w:t>ونحو الثلثين (67 في المائة) من مقدمي الطلبات الجدد الذين يتقاضون ملحق دخل الأسرة هم من النساء وهو يتوجه تحديدا لمن يكونون في حاجة إليه، كما أنه يشكِّل دخلاً مكمِّلاً للأسرة بالنسبة لمقدمي الطلبات من الأسر المنخفضة الدخل ذات الأطفال المعالين وذلك على أساس صافي دخل الأسرة. وكي ما تنطبق الشروط ينبغي لمقدمي الطلبات أن يتلقوا استحقاق ضريبة الطفل الذي يبيِّن أن لديهم طفلا واحدا معالا على الأقل وأنهم يتقاضون دخلا أسريا صافيا بمبلغ 921 25 دولارا أو أقل.</w:t>
      </w:r>
    </w:p>
    <w:p w:rsidR="00000000" w:rsidRDefault="00000000">
      <w:pPr>
        <w:pStyle w:val="SingleTxt"/>
        <w:rPr>
          <w:szCs w:val="32"/>
          <w:rtl/>
          <w:lang w:eastAsia="en-US"/>
        </w:rPr>
      </w:pPr>
      <w:r>
        <w:rPr>
          <w:b/>
          <w:bCs/>
          <w:szCs w:val="32"/>
          <w:rtl/>
          <w:lang w:eastAsia="en-US"/>
        </w:rPr>
        <w:t xml:space="preserve">المادة 11 </w:t>
      </w:r>
      <w:r>
        <w:rPr>
          <w:b/>
          <w:bCs/>
          <w:szCs w:val="32"/>
          <w:lang w:eastAsia="en-US"/>
        </w:rPr>
        <w:t>–</w:t>
      </w:r>
      <w:r>
        <w:rPr>
          <w:b/>
          <w:bCs/>
          <w:szCs w:val="32"/>
          <w:rtl/>
          <w:lang w:eastAsia="en-US"/>
        </w:rPr>
        <w:t xml:space="preserve"> 1 (و): الصحة والسلامة المهنية</w:t>
      </w:r>
    </w:p>
    <w:p w:rsidR="00000000" w:rsidRDefault="00000000">
      <w:pPr>
        <w:pStyle w:val="SingleTxt"/>
        <w:rPr>
          <w:rtl/>
          <w:lang w:eastAsia="en-US"/>
        </w:rPr>
      </w:pPr>
      <w:r>
        <w:rPr>
          <w:rtl/>
          <w:lang w:eastAsia="en-US"/>
        </w:rPr>
        <w:t>294 -</w:t>
      </w:r>
      <w:r>
        <w:rPr>
          <w:rtl/>
          <w:lang w:eastAsia="en-US"/>
        </w:rPr>
        <w:tab/>
        <w:t>معروض على مجلس العموم تغييرات مقترحة على الجزء الثاني من قانون العمل في كندا وتقصد إلى تحسين الصحة والسلامة المهنية في موقع العمل. ومن شأن بند جديد أن يسمح للموظفة الحامل أو المرضِع أن تنسحب من العمل أو توكل إليها مهام جديدة حتى قبل أن تحصل على شهادة طبية إذا ما توافرت لديها القناعة بأن العمل سوف يؤثر سلبيا عليها أو على جنينها أو على الطفل الذي تقوم بإرضاعه. كما أن التنقيحات سوف تؤدي إلى توسيع مسؤوليات أرباب العمل والموظفين في رصد مشاكل الصحة والسلامة في موقع العمل وحلها بصورة مشتركة.</w:t>
      </w:r>
    </w:p>
    <w:p w:rsidR="00000000" w:rsidRDefault="00000000">
      <w:pPr>
        <w:pStyle w:val="SingleTxt"/>
        <w:rPr>
          <w:szCs w:val="32"/>
          <w:rtl/>
          <w:lang w:eastAsia="en-US"/>
        </w:rPr>
      </w:pPr>
      <w:r>
        <w:rPr>
          <w:b/>
          <w:bCs/>
          <w:szCs w:val="32"/>
          <w:rtl/>
          <w:lang w:eastAsia="en-US"/>
        </w:rPr>
        <w:t xml:space="preserve">المادة 11 </w:t>
      </w:r>
      <w:r>
        <w:rPr>
          <w:b/>
          <w:bCs/>
          <w:szCs w:val="32"/>
          <w:lang w:eastAsia="en-US"/>
        </w:rPr>
        <w:t>–</w:t>
      </w:r>
      <w:r>
        <w:rPr>
          <w:b/>
          <w:bCs/>
          <w:szCs w:val="32"/>
          <w:rtl/>
          <w:lang w:eastAsia="en-US"/>
        </w:rPr>
        <w:t xml:space="preserve"> 2 (ج): رعاية الطفل</w:t>
      </w:r>
    </w:p>
    <w:p w:rsidR="00000000" w:rsidRDefault="00000000">
      <w:pPr>
        <w:pStyle w:val="SingleTxt"/>
        <w:rPr>
          <w:rtl/>
          <w:lang w:eastAsia="en-US"/>
        </w:rPr>
      </w:pPr>
      <w:r>
        <w:rPr>
          <w:rtl/>
          <w:lang w:eastAsia="en-US"/>
        </w:rPr>
        <w:t>295 -</w:t>
      </w:r>
      <w:r>
        <w:rPr>
          <w:rtl/>
          <w:lang w:eastAsia="en-US"/>
        </w:rPr>
        <w:tab/>
        <w:t>تشمل أنشطة حكومة كندا فيما يتعلق برعاية الطفل إجراء البحوث وتقديم التمويل.</w:t>
      </w:r>
    </w:p>
    <w:p w:rsidR="00000000" w:rsidRDefault="00000000">
      <w:pPr>
        <w:pStyle w:val="SingleTxt"/>
        <w:rPr>
          <w:rtl/>
          <w:lang w:eastAsia="en-US"/>
        </w:rPr>
      </w:pPr>
      <w:r>
        <w:rPr>
          <w:rtl/>
          <w:lang w:eastAsia="en-US"/>
        </w:rPr>
        <w:t>296 -</w:t>
      </w:r>
      <w:r>
        <w:rPr>
          <w:rtl/>
          <w:lang w:eastAsia="en-US"/>
        </w:rPr>
        <w:tab/>
        <w:t>ومن ذلك نشاط جسَّدته دراسة شاملة لمسائل الموارد البشرية في رعاية الطفولة. وهي دراسة قطاعية متعمقة بعنوان “قوة العمل لدينا في مجال رعاية الطفل: من الاعتراف إلى الجزاء” وهي تتدارس قوة العمل في مجال رعاية الطفل من حيث أجورها وحجم استحقاقاتها وظروف عملها وفرص تدريبها وتقدمها المهني في ظل طائفة كاملة من الظروف مثل مراكز رعاية الطفل ومدارس الحضانة فضلا عن الرعاية المنزلية. والدراسة مموَّلة من خلال مبادرة الشراكات القطاعية التي تهدف إلى الجمع بين الشركاء في قطاع ما لتحليل قضايا الموارد البشرية ووضع خطة للعمل. وتعكف لجنة حاليا على تدارس الوسائل التي يتم بها اتخاذ إجراءات بشأن توصيات الدراسة.</w:t>
      </w:r>
    </w:p>
    <w:p w:rsidR="00000000" w:rsidRDefault="00000000">
      <w:pPr>
        <w:pStyle w:val="SingleTxt"/>
        <w:rPr>
          <w:rtl/>
          <w:lang w:eastAsia="en-US"/>
        </w:rPr>
      </w:pPr>
      <w:r>
        <w:rPr>
          <w:rtl/>
          <w:lang w:eastAsia="en-US"/>
        </w:rPr>
        <w:t>297 -</w:t>
      </w:r>
      <w:r>
        <w:rPr>
          <w:rtl/>
          <w:lang w:eastAsia="en-US"/>
        </w:rPr>
        <w:tab/>
        <w:t>وقد أُنشئت “رؤى رعاية الطفل” في عام 1995 بوصفها مبادرة وطنية لمساهمات البحث والتطوير في مجال رعاية الطفل تقصد إلى دعم المشاريع التي ترمي إلى دراسة فعالية أفضل الممارسات في مجال رعاية الطفل ونماذج تقديم الخدمات القائمة حاليا فضلا عن نتائجها وفعاليتها من حيث التكاليف.</w:t>
      </w:r>
    </w:p>
    <w:p w:rsidR="00000000" w:rsidRDefault="00000000">
      <w:pPr>
        <w:pStyle w:val="SingleTxt"/>
        <w:rPr>
          <w:rtl/>
          <w:lang w:eastAsia="en-US"/>
        </w:rPr>
      </w:pPr>
      <w:r>
        <w:rPr>
          <w:rtl/>
          <w:lang w:eastAsia="en-US"/>
        </w:rPr>
        <w:t>298 -</w:t>
      </w:r>
      <w:r>
        <w:rPr>
          <w:rtl/>
          <w:lang w:eastAsia="en-US"/>
        </w:rPr>
        <w:tab/>
        <w:t>وقد وُظِّفت استثمارات لإنشاء 800 4 موقع جديد لرعاية الطفل وتعزيز إقامة 900 2 موقع آخر في محميات الأقوام الأولى وفي مجتمعات الإنويت. وهذه البرامج مُصمَّمة ومُنفَّذة بواسطة مراكز رعاية الطفولة في الأقوام الأولى ومجتمعات الإنويت على الصعيد المحلي وقد حققت نتائج طيبة.</w:t>
      </w:r>
    </w:p>
    <w:p w:rsidR="00000000" w:rsidRDefault="00000000">
      <w:pPr>
        <w:pStyle w:val="SingleTxt"/>
        <w:rPr>
          <w:rtl/>
          <w:lang w:eastAsia="en-US"/>
        </w:rPr>
      </w:pPr>
      <w:r>
        <w:rPr>
          <w:b/>
          <w:bCs/>
          <w:rtl/>
          <w:lang w:eastAsia="en-US"/>
        </w:rPr>
        <w:t>تمويل منظمات مساواة المرأة</w:t>
      </w:r>
    </w:p>
    <w:p w:rsidR="00000000" w:rsidRDefault="00000000">
      <w:pPr>
        <w:pStyle w:val="SingleTxt"/>
        <w:rPr>
          <w:rtl/>
          <w:lang w:eastAsia="en-US"/>
        </w:rPr>
      </w:pPr>
      <w:r>
        <w:rPr>
          <w:rtl/>
          <w:lang w:eastAsia="en-US"/>
        </w:rPr>
        <w:t>299 -</w:t>
      </w:r>
      <w:r>
        <w:rPr>
          <w:rtl/>
          <w:lang w:eastAsia="en-US"/>
        </w:rPr>
        <w:tab/>
        <w:t>تؤدي منظمات مساواة المرأة دورا غاية في الأهمية في زيادة الوعي الجماهيري وزيادة الفهم العام.</w:t>
      </w:r>
    </w:p>
    <w:p w:rsidR="00000000" w:rsidRDefault="00000000">
      <w:pPr>
        <w:pStyle w:val="SingleTxt"/>
        <w:rPr>
          <w:rtl/>
          <w:lang w:eastAsia="en-US"/>
        </w:rPr>
      </w:pPr>
      <w:r>
        <w:rPr>
          <w:rtl/>
          <w:lang w:eastAsia="en-US"/>
        </w:rPr>
        <w:t>300 -</w:t>
      </w:r>
      <w:r>
        <w:rPr>
          <w:rtl/>
          <w:lang w:eastAsia="en-US"/>
        </w:rPr>
        <w:tab/>
        <w:t>وتقدِّم حكومة كندا الدعم المالي للمشاريع التي تقوم بها المنظمات النسائية وغيرها من الهيئات الساعية نحو تحقيق المساواة بهدف معالجة قضية مساواة المرأة من الناحية الاقتصادية. وفيما يلي بعض أمثلة عن هذه المشاريع:</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مؤتمر المزارعات في مانيتوبا وهو مؤتمر إقليمي سنوي للمزارعات ولتقييم المتابعة في هذا الصدد</w:t>
      </w:r>
    </w:p>
    <w:p w:rsidR="00000000" w:rsidRDefault="00000000">
      <w:pPr>
        <w:pStyle w:val="SingleTxt"/>
        <w:tabs>
          <w:tab w:val="left" w:pos="1628"/>
        </w:tabs>
        <w:ind w:left="1927" w:right="1264" w:hanging="663"/>
        <w:rPr>
          <w:lang w:eastAsia="en-US"/>
        </w:rPr>
      </w:pPr>
      <w:r>
        <w:rPr>
          <w:rtl/>
          <w:lang w:eastAsia="en-US"/>
        </w:rPr>
        <w:tab/>
      </w:r>
      <w:r>
        <w:rPr>
          <w:rtl/>
          <w:lang w:eastAsia="en-US"/>
        </w:rPr>
        <w:tab/>
        <w:t>•</w:t>
      </w:r>
      <w:r>
        <w:rPr>
          <w:rtl/>
          <w:lang w:eastAsia="en-US"/>
        </w:rPr>
        <w:tab/>
        <w:t xml:space="preserve">الشبكة النسائية الثقافية المشتركة في نيو برونزويك وتتمثل في نشاط بعنوان “خطوات نحو الاكتفاء الذاتي الاقتصادي” وقد تولى تحديد ومعالجة الحواجز المنهجية المختلفة التي تحول دون المشاركة الاقتصادية التي تواجهها النساء من المهاجرات ومن الأقليات الواضحة في نيو برونزويك </w:t>
      </w:r>
    </w:p>
    <w:p w:rsidR="00000000" w:rsidRDefault="00000000">
      <w:pPr>
        <w:pStyle w:val="SingleTxt"/>
        <w:tabs>
          <w:tab w:val="left" w:pos="1628"/>
        </w:tabs>
        <w:ind w:left="1927" w:right="1264" w:hanging="663"/>
        <w:rPr>
          <w:rtl/>
          <w:lang w:eastAsia="en-US"/>
        </w:rPr>
      </w:pPr>
      <w:r>
        <w:rPr>
          <w:lang w:eastAsia="en-US"/>
        </w:rPr>
        <w:tab/>
      </w:r>
      <w:r>
        <w:rPr>
          <w:lang w:eastAsia="en-US"/>
        </w:rPr>
        <w:tab/>
        <w:t>•</w:t>
      </w:r>
      <w:r>
        <w:rPr>
          <w:lang w:eastAsia="en-US"/>
        </w:rPr>
        <w:tab/>
      </w:r>
      <w:r>
        <w:rPr>
          <w:lang w:eastAsia="en-US"/>
        </w:rPr>
        <w:tab/>
      </w:r>
      <w:r>
        <w:rPr>
          <w:rtl/>
          <w:lang w:eastAsia="en-US"/>
        </w:rPr>
        <w:t>شبكة الصيد النسائية في نوفا سكوتشيا. وتقصد إلى تيسير عملية التنمية الاجتماعية وترمي إلى زيادة قدرة المرأة على المشاركة في جميع جوانب صنع القرارات فيما يتعلق بالمصايد السمكية وكذلك فيما يتعلق بمجتمعاتها المحلية</w:t>
      </w:r>
    </w:p>
    <w:p w:rsidR="00000000" w:rsidRDefault="00000000">
      <w:pPr>
        <w:pStyle w:val="SingleTxt"/>
        <w:tabs>
          <w:tab w:val="left" w:pos="1628"/>
        </w:tabs>
        <w:ind w:left="1264" w:right="1264"/>
        <w:rPr>
          <w:rtl/>
          <w:lang w:eastAsia="en-US"/>
        </w:rPr>
      </w:pPr>
      <w:r>
        <w:rPr>
          <w:rtl/>
          <w:lang w:eastAsia="en-US"/>
        </w:rPr>
        <w:t>301 -</w:t>
      </w:r>
      <w:r>
        <w:rPr>
          <w:rtl/>
          <w:lang w:eastAsia="en-US"/>
        </w:rPr>
        <w:tab/>
        <w:t xml:space="preserve">منحتان من وزارة وضع المرأة في كندا في الفترتين 1995 </w:t>
      </w:r>
      <w:r>
        <w:rPr>
          <w:lang w:eastAsia="en-US"/>
        </w:rPr>
        <w:t>–</w:t>
      </w:r>
      <w:r>
        <w:rPr>
          <w:rtl/>
          <w:lang w:eastAsia="en-US"/>
        </w:rPr>
        <w:t xml:space="preserve"> 1996 و 1996 </w:t>
      </w:r>
      <w:r>
        <w:rPr>
          <w:lang w:eastAsia="en-US"/>
        </w:rPr>
        <w:t>–</w:t>
      </w:r>
      <w:r>
        <w:rPr>
          <w:rtl/>
          <w:lang w:eastAsia="en-US"/>
        </w:rPr>
        <w:t xml:space="preserve"> 1997 لتمكين منظمة المرأة في الحرف والتكنولوجيا والعمليات وأعمال الياقات الزرقاء في “كوتن” من تحقيق عدد من النتائج الملموسة المتصلة بمشاركة المرأة في التنمية الاقتصادية في كولومبيا البريطانية ويشمل ذلك ما يلي:</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ثلاثة أعضاء من الأعضاء الثمانية عشرة في اللجنة الاستشارية لمؤسسة حوض كولومبيا (برنامج استحقاقات إقليمي يتصدى للأضرار البيئية التي نجمت عنها معاهدة نهر كولومبيا لعام 1994 بين كندا والولايات المتحدة) وهؤلاء الأعضاء الثلاثة من النساء من دعاة المساواة وقد تم حجز أحد المقاعد تحديدا لسيدة تمثِّل مساواة المرأة.</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لجان الدمج المعنية بالإنصاف تم إنشاؤها في إطار مجلس العلوم في كولومبيا البريطانية ومؤسسة حوض كولومبيا ومشروع البنية الأساسية للطريق الرئيسي للجزيرة لتدارس قضايا المساواة على أساس متواصل</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تم التوصل إلى التزام رسمي في خطة إدارة هيئة حوض كولومبيا لتحقيق نتائج منصفة بالنسبة للفئات المحرومة تقليديا في جميع مشاريع التنمية والتعمير التي تقوم على إدارتها الهيئة المذكورة</w:t>
      </w:r>
    </w:p>
    <w:p w:rsidR="00000000" w:rsidRDefault="00000000">
      <w:pPr>
        <w:pStyle w:val="SingleTxt"/>
        <w:tabs>
          <w:tab w:val="left" w:pos="1628"/>
        </w:tabs>
        <w:ind w:left="1264" w:right="1264"/>
        <w:rPr>
          <w:rtl/>
          <w:lang w:eastAsia="en-US"/>
        </w:rPr>
      </w:pPr>
      <w:r>
        <w:rPr>
          <w:rtl/>
          <w:lang w:eastAsia="en-US"/>
        </w:rPr>
        <w:t>302 -</w:t>
      </w:r>
      <w:r>
        <w:rPr>
          <w:rtl/>
          <w:lang w:eastAsia="en-US"/>
        </w:rPr>
        <w:tab/>
        <w:t>هذه النتائج تم إحرازها من جانب جماعة المرأة في مجال الحرف والتكنولوجيا والعمليات وأعمال الياقات الزرقاء المذكورة أعلاه. وكذلك الجماعات التي تمثل شعوب الأقوام الأولى والأقليات الواضحة والأشخاص من ذوي الإعاقات من أجل تأمين تمثيل النساء الداعيات إلى المساواة في عددٍ من المفاوضات والمشاورات الرئيسية التي تؤثر على العاملين في مجال التجارة والتكنولوجيا. وما أن تم ضمان التمثيل حتى عملت الداعيات على كفالة إدماج تحليل قائم على أساس جنساني في صلب جميع الاتفاقات والممارسات المتصلة بتوظيف وتدريب وترقية العاملات في مجالي التجارة والتكنولوجيا.</w:t>
      </w:r>
    </w:p>
    <w:p w:rsidR="00000000" w:rsidRDefault="00000000">
      <w:pPr>
        <w:pStyle w:val="SingleTxt"/>
        <w:tabs>
          <w:tab w:val="left" w:pos="1628"/>
        </w:tabs>
        <w:ind w:left="1264" w:right="1264"/>
        <w:rPr>
          <w:rtl/>
          <w:lang w:eastAsia="en-US"/>
        </w:rPr>
      </w:pPr>
      <w:r>
        <w:rPr>
          <w:rtl/>
          <w:lang w:eastAsia="en-US"/>
        </w:rPr>
        <w:t>303 -</w:t>
      </w:r>
      <w:r>
        <w:rPr>
          <w:rtl/>
          <w:lang w:eastAsia="en-US"/>
        </w:rPr>
        <w:tab/>
        <w:t>كما ساهمت وزارة وضع المرأة في كندا في تمويل إصدار منشور صادر عن رابطة المحامين الكندية بعنوان المساواة للمرأة في مهنة القانون: دليل للتيسير. وهذا المنشور يشكِّل أداة تقصد إلى تشجيع اتخاذ إجراءات بشأن قضايا مساواة المرأة في المهن القانونية مع تعزيز إجراءات تتخذ من جانب المؤسسات القانونية لإدماج قضايا مساواة المرأة ضمن هياكل صنع القرار والسياسات والبرامج المعمول مع تعزيز المساواة والتنوُّع والمساءلة ضمن إطار المهن القانونية وغيرها. ونتيجة استخدام هذه الأداة، تم تغيير عدد من السياسات والإجراءات في الجمعيات القانونية بشتى المقاطعات والأقاليم أو تم طرحها قيد. الاستعراض. وبالإضافة إلى ذلك تم استخدام الدليل بواسطة المنظمات التي تمثِّل مهنة الهندسة.</w:t>
      </w:r>
    </w:p>
    <w:p w:rsidR="00000000" w:rsidRDefault="00000000">
      <w:pPr>
        <w:pStyle w:val="SingleTxt"/>
        <w:tabs>
          <w:tab w:val="left" w:pos="1628"/>
        </w:tabs>
        <w:ind w:left="1264" w:right="1264"/>
        <w:rPr>
          <w:rtl/>
          <w:lang w:eastAsia="en-US"/>
        </w:rPr>
      </w:pPr>
      <w:r>
        <w:rPr>
          <w:b/>
          <w:bCs/>
          <w:rtl/>
          <w:lang w:eastAsia="en-US"/>
        </w:rPr>
        <w:t>البحوث العملية حول فقر المرأة</w:t>
      </w:r>
    </w:p>
    <w:p w:rsidR="00000000" w:rsidRDefault="00000000">
      <w:pPr>
        <w:pStyle w:val="SingleTxt"/>
        <w:tabs>
          <w:tab w:val="left" w:pos="1628"/>
        </w:tabs>
        <w:ind w:left="1264" w:right="1264"/>
        <w:rPr>
          <w:rtl/>
          <w:lang w:eastAsia="en-US"/>
        </w:rPr>
      </w:pPr>
      <w:r>
        <w:rPr>
          <w:rtl/>
          <w:lang w:eastAsia="en-US"/>
        </w:rPr>
        <w:t>304 -</w:t>
      </w:r>
      <w:r>
        <w:rPr>
          <w:rtl/>
          <w:lang w:eastAsia="en-US"/>
        </w:rPr>
        <w:tab/>
        <w:t>قدَّمت حكومة كندا دعما تمويليا لبحث عن السياسات ذات الأساس الجنساني عن فقر المرأة. ومن خلال صندوق بحوث السياسات التابع لوزارة وضع المرأة، تم دعم عدد من مشاريع البحوث التي تتدارس قضية فقر المرأة.</w:t>
      </w:r>
    </w:p>
    <w:p w:rsidR="00000000" w:rsidRDefault="00000000">
      <w:pPr>
        <w:pStyle w:val="SingleTxt"/>
        <w:tabs>
          <w:tab w:val="left" w:pos="1628"/>
        </w:tabs>
        <w:ind w:left="1264" w:right="1264"/>
        <w:rPr>
          <w:rtl/>
          <w:lang w:eastAsia="en-US"/>
        </w:rPr>
      </w:pPr>
      <w:r>
        <w:rPr>
          <w:rtl/>
          <w:lang w:eastAsia="en-US"/>
        </w:rPr>
        <w:t>305 -</w:t>
      </w:r>
      <w:r>
        <w:rPr>
          <w:rtl/>
          <w:lang w:eastAsia="en-US"/>
        </w:rPr>
        <w:tab/>
        <w:t>وما برحت هيئة إحصاءات كندا تصدر تقارير عن مظاهر هوة الدخل بين الذكور والإناث. وفضلا عن ذلك فإن معظم المُخرجات المتصلة بالمداخيل تشمل بيانات للرجال والنساء كل على حدة حيثما كان ذلك ملائما. وبالإضافة إلى ذلك فثمة قدر كبير من التأكيد على أسر الوالد الوحيد التي ترعاها أنثى في التحليلات عندما تصدر النتائج المتعلقة بالدخل المنخفض أو بتوزيع الدخل.</w:t>
      </w:r>
    </w:p>
    <w:p w:rsidR="00000000" w:rsidRDefault="00000000">
      <w:pPr>
        <w:pStyle w:val="SingleTxt"/>
        <w:tabs>
          <w:tab w:val="left" w:pos="1628"/>
        </w:tabs>
        <w:ind w:left="1264" w:right="1264"/>
        <w:rPr>
          <w:b/>
          <w:bCs/>
          <w:szCs w:val="32"/>
          <w:rtl/>
          <w:lang w:eastAsia="en-US"/>
        </w:rPr>
      </w:pPr>
      <w:r>
        <w:rPr>
          <w:b/>
          <w:bCs/>
          <w:szCs w:val="32"/>
          <w:rtl/>
          <w:lang w:eastAsia="en-US"/>
        </w:rPr>
        <w:t>المادة 12: الصحة</w:t>
      </w:r>
    </w:p>
    <w:p w:rsidR="00000000" w:rsidRDefault="00000000">
      <w:pPr>
        <w:pStyle w:val="SingleTxt"/>
        <w:tabs>
          <w:tab w:val="left" w:pos="1628"/>
        </w:tabs>
        <w:ind w:left="1264" w:right="1264"/>
        <w:rPr>
          <w:rtl/>
          <w:lang w:eastAsia="en-US"/>
        </w:rPr>
      </w:pPr>
      <w:r>
        <w:rPr>
          <w:b/>
          <w:bCs/>
          <w:szCs w:val="32"/>
          <w:rtl/>
          <w:lang w:eastAsia="en-US"/>
        </w:rPr>
        <w:t xml:space="preserve">المادة 12 </w:t>
      </w:r>
      <w:r>
        <w:rPr>
          <w:b/>
          <w:bCs/>
          <w:szCs w:val="32"/>
          <w:lang w:eastAsia="en-US"/>
        </w:rPr>
        <w:t>–</w:t>
      </w:r>
      <w:r>
        <w:rPr>
          <w:b/>
          <w:bCs/>
          <w:szCs w:val="32"/>
          <w:rtl/>
          <w:lang w:eastAsia="en-US"/>
        </w:rPr>
        <w:t xml:space="preserve"> 1: الوصول إلى خدمات الرعاية الصحية</w:t>
      </w:r>
    </w:p>
    <w:p w:rsidR="00000000" w:rsidRDefault="00000000">
      <w:pPr>
        <w:pStyle w:val="SingleTxt"/>
        <w:tabs>
          <w:tab w:val="left" w:pos="1628"/>
        </w:tabs>
        <w:ind w:left="1264" w:right="1264"/>
        <w:rPr>
          <w:rtl/>
          <w:lang w:eastAsia="en-US"/>
        </w:rPr>
      </w:pPr>
      <w:r>
        <w:rPr>
          <w:rtl/>
          <w:lang w:eastAsia="en-US"/>
        </w:rPr>
        <w:t>306 -</w:t>
      </w:r>
      <w:r>
        <w:rPr>
          <w:rtl/>
          <w:lang w:eastAsia="en-US"/>
        </w:rPr>
        <w:tab/>
        <w:t>تُمثل العافية الجسمية والرفاه العاطفي والاجتماعي عبر جميع مراحل الحياة محورا أساسيا لتحقيق مساواة المرأة. وفيما يظل الأجل المتوقَّع للحياة بين الإناث مرتفعا في كندا، إلا أن هذا المؤشر الإيجابي تنال منه حقائق أخرى منها مثلا العنف الموجَّه ضد المرأة ومسائل نوعية الحياة.</w:t>
      </w:r>
    </w:p>
    <w:p w:rsidR="00000000" w:rsidRDefault="00000000">
      <w:pPr>
        <w:pStyle w:val="SingleTxt"/>
        <w:tabs>
          <w:tab w:val="left" w:pos="1628"/>
        </w:tabs>
        <w:ind w:left="1264" w:right="1264"/>
        <w:rPr>
          <w:rtl/>
          <w:lang w:eastAsia="en-US"/>
        </w:rPr>
      </w:pPr>
      <w:r>
        <w:rPr>
          <w:rtl/>
          <w:lang w:eastAsia="en-US"/>
        </w:rPr>
        <w:t>307 -</w:t>
      </w:r>
      <w:r>
        <w:rPr>
          <w:rtl/>
          <w:lang w:eastAsia="en-US"/>
        </w:rPr>
        <w:tab/>
        <w:t>ومن ثم فإن تحسين الرفاه الجسمي والنفسي للمرأة يمثل أحد الأهداف الرئيسية لكندا في “الخطة الاتحادية للمساواة بين الجنسين”.</w:t>
      </w:r>
    </w:p>
    <w:p w:rsidR="00000000" w:rsidRDefault="00000000">
      <w:pPr>
        <w:pStyle w:val="SingleTxt"/>
        <w:tabs>
          <w:tab w:val="left" w:pos="1628"/>
        </w:tabs>
        <w:ind w:left="1264" w:right="1264"/>
        <w:rPr>
          <w:rtl/>
          <w:lang w:eastAsia="en-US"/>
        </w:rPr>
      </w:pPr>
      <w:r>
        <w:rPr>
          <w:rtl/>
          <w:lang w:eastAsia="en-US"/>
        </w:rPr>
        <w:t>308 -</w:t>
      </w:r>
      <w:r>
        <w:rPr>
          <w:rtl/>
          <w:lang w:eastAsia="en-US"/>
        </w:rPr>
        <w:tab/>
        <w:t>كما أن تجديد النظام الصحي لكندا يشكِّل أولوية لحكومة كندا. وقد شارك ممثلو المجتمع المدني والحكومة، سواء على الصعيد الاتحادي أو صعيد المقاطعة أو الإقليم، في ثلاثة مؤتمرات عمل عُقدت في أوائل عام 1998 لتدارس مسائل الرعاية البيتية والرعاية العلاجية والهياكل الصحية الأساسية. وفي ميزانيتها لعام 1997 أعلنت الحكومة عن الصندوق الجديد لمرحلة التحوُّل الصحي بحجم 150 مليون دولار. ويدعم الصندوق الجهود التي تبذلها المقاطعات لتقييم برامجها في مجال الرعاية الصحية وتنفيذ المشاريع التي من شأنها تحسين نظام الرعاية الصحية. ويركِّز الصندوق على أربعة مجالات هي: الرعاية البيتية والرعاية العلاجية وإصلاح الرعاية الأوَّلية وتقديم الخدمات بشكل متكامل وكلها مجالات ذات أهمية خاصة للمرأة.</w:t>
      </w:r>
    </w:p>
    <w:p w:rsidR="00000000" w:rsidRDefault="00000000">
      <w:pPr>
        <w:pStyle w:val="SingleTxt"/>
        <w:tabs>
          <w:tab w:val="left" w:pos="1628"/>
        </w:tabs>
        <w:ind w:left="1264" w:right="1264"/>
        <w:rPr>
          <w:rtl/>
          <w:lang w:eastAsia="en-US"/>
        </w:rPr>
      </w:pPr>
      <w:r>
        <w:rPr>
          <w:rtl/>
          <w:lang w:eastAsia="en-US"/>
        </w:rPr>
        <w:t>309 -</w:t>
      </w:r>
      <w:r>
        <w:rPr>
          <w:rtl/>
          <w:lang w:eastAsia="en-US"/>
        </w:rPr>
        <w:tab/>
        <w:t>وفي ميزانية عام 1998 خصَّصت الحكومة الاتحادية مبلغ 350 مليون دولار لاستراتيجية مداواة السكان الأصليين ومبلغ 126 مليون دولار لبرامج جديدة وموسَّعة لصالح السكان الأصليين. وفي عام 1990 رصدت الميزانية الاتحادية اعتمادات إضافية لتعزيز مجتمعات السكان الأصليين من خلال تحسين الخدمات الصحية للأقوام الأولى ولجماعة الإنويت وتقديم المزيد من التمويل من أجل الرعاية البيتية والمجتمعية إلى نساء المناطق الشمالية والسكان الأصليين.</w:t>
      </w:r>
    </w:p>
    <w:p w:rsidR="00000000" w:rsidRDefault="00000000">
      <w:pPr>
        <w:pStyle w:val="SingleTxt"/>
        <w:tabs>
          <w:tab w:val="left" w:pos="1628"/>
        </w:tabs>
        <w:ind w:left="1264" w:right="1264"/>
        <w:rPr>
          <w:rtl/>
          <w:lang w:eastAsia="en-US"/>
        </w:rPr>
      </w:pPr>
      <w:r>
        <w:rPr>
          <w:rtl/>
          <w:lang w:eastAsia="en-US"/>
        </w:rPr>
        <w:t>310 -</w:t>
      </w:r>
      <w:r>
        <w:rPr>
          <w:rtl/>
          <w:lang w:eastAsia="en-US"/>
        </w:rPr>
        <w:tab/>
        <w:t>وفي 8 آذار/مارس 1999 أطلق وزير الصحة في كندا استراتيجية الصحة للمرأة لتكون بمثابة إطار عمل لتوجيه وزارة الصحة في كندا لدى تصدِّيها لما قد يشوب النظام الصحي من عوامل التحيُّز واللامساواة. ولتلبية هدفها. تُنظَّم الاستراتيجية حول أربعة أهداف رئيسية:</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استجابة السياسات والبرامج في وزارة الصحة في كندا إلى الاختلافات من حيث الجنس والنوع وأن تلبي الاحتياجات الصحية للمرأة</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زيادة المعارف والفهم لصحة المرأة واحتياجاتها الصحية</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دعم تقديم الخدمات الصحية الفعَّالة للمرأة</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تعزيز التمتع بالصحة الجيدة من خلال تدابير وقائية والتقليل من عوامل الخطر التي تهدد أكثر من غيرها صحة المرأة</w:t>
      </w:r>
    </w:p>
    <w:p w:rsidR="00000000" w:rsidRDefault="00000000">
      <w:pPr>
        <w:pStyle w:val="SingleTxt"/>
        <w:tabs>
          <w:tab w:val="left" w:pos="1628"/>
        </w:tabs>
        <w:ind w:left="1264" w:right="1264"/>
        <w:rPr>
          <w:rtl/>
          <w:lang w:eastAsia="en-US"/>
        </w:rPr>
      </w:pPr>
      <w:r>
        <w:rPr>
          <w:rtl/>
          <w:lang w:eastAsia="en-US"/>
        </w:rPr>
        <w:t>311 -</w:t>
      </w:r>
      <w:r>
        <w:rPr>
          <w:rtl/>
          <w:lang w:eastAsia="en-US"/>
        </w:rPr>
        <w:tab/>
        <w:t>وفي عام 1996 أنشأت حكومة كندا مراكز تفوُّق لبرنامج صحة المرأة وهذه المراكز البحثية الخمسة مكلَّفة عبر 6 سنوات بإجراء بحوث موجَّهة نحو السياسات بشأن صحة المرأة. ومن خلال الجماعات المحورية قامت النساء بتحديد القضايا الصحية التي تمثِّل أهمية بالنسبة لهن. وإلى جانب التركيز على المشاريع التي تبحث وتعزِّز موضوع تمكين المرأة، فإن كل مركز يمثل شراكة بين الدوائر الأكاديمية والجماعات المحلية. وبهذا يؤدي مباشرة إلى تعزيز فعالية المجتمعات المحلية التي تُقدَّم على صعيدها كثير من الخدمات الصحية. وفي إطار البرنامج، تقدِّم الحكومة الاتحادية التمويل إلى الشبكة الكندية غير الحكومية المعنية بصحة المرأة لكي تَنشر المعلومات عن صحة المرأة، بما في ذلك المعارف المتولدة بواسطة المراكز المذكورة مع تبَنِّي حوارات نقدية في هذا الشأن.</w:t>
      </w:r>
    </w:p>
    <w:p w:rsidR="00000000" w:rsidRDefault="00000000">
      <w:pPr>
        <w:pStyle w:val="SingleTxt"/>
        <w:tabs>
          <w:tab w:val="left" w:pos="1628"/>
        </w:tabs>
        <w:ind w:left="1264" w:right="1264"/>
        <w:rPr>
          <w:rtl/>
          <w:lang w:eastAsia="en-US"/>
        </w:rPr>
      </w:pPr>
      <w:r>
        <w:rPr>
          <w:rtl/>
          <w:lang w:eastAsia="en-US"/>
        </w:rPr>
        <w:t>312 -</w:t>
      </w:r>
      <w:r>
        <w:rPr>
          <w:rtl/>
          <w:lang w:eastAsia="en-US"/>
        </w:rPr>
        <w:tab/>
        <w:t>كذلك فإن فريق التنسيق الوطني المعني بأثر إصلاحات الرعاية الصحية على المرأة، الذي يمثِّل مراكز التفوُّق الخمسة المعنية بصحة المرأة والشبكة الكندية لصحة المرأة، بدأ في توثيق سُبُل إصلاح الرعاية الصحية ولا سيما في مجال الخصخصة وأسلوب تنفيذ هذه السُبل في مختلف مناطق كندا. ويتمثل الهدف هنا في كفالة وجود استراتيجيات متواصلة لعمليات التوثيق وإجراء البحوث ورصد إصلاحات الرعاية الصحية مع ما يترتب على ذلك من آثار بالنسبة للمرأة. كما يركِّز فريق التنسيق على آثار تلك الإصلاحات بالنسبة للمرأة بوصفها من مستخدِمي الرعاية الصحية وأيضا من مقدِّميها (مأجورة وغير مأجورة). ويُعنى الفريق بشكل خاص بضمان استمرار الاستراتيجيات الكفيلة بتوثيق ورصد الإصلاحات الصحية وآثارها على المرأة.</w:t>
      </w:r>
    </w:p>
    <w:p w:rsidR="00000000" w:rsidRDefault="00000000">
      <w:pPr>
        <w:pStyle w:val="SingleTxt"/>
        <w:tabs>
          <w:tab w:val="left" w:pos="1628"/>
        </w:tabs>
        <w:ind w:left="1264" w:right="1264"/>
        <w:rPr>
          <w:rtl/>
          <w:lang w:eastAsia="en-US"/>
        </w:rPr>
      </w:pPr>
      <w:r>
        <w:rPr>
          <w:rtl/>
          <w:lang w:eastAsia="en-US"/>
        </w:rPr>
        <w:t>313 -</w:t>
      </w:r>
      <w:r>
        <w:rPr>
          <w:rtl/>
          <w:lang w:eastAsia="en-US"/>
        </w:rPr>
        <w:tab/>
        <w:t>ومن أجل الاستجابة للتغيُّرات المقترح إدخالها على تشريعات الحماية الصحية في كندا، تلقى الفريق العامل المعني بالمرأة والحماية الصحية تمويلا من مراكز التفوُّق العاملة في إطار برنامج صحة المرأة. ولسوف يبذل الفريق أنشطة للإعلام عن عملية التحوُّل في مجال الحماية الصحية في مجالات من قبيل “تطبيب” حياة المرأة وعملية اعتماد العقاقير والتكنولوجيات الإنجابية والجينية ومسائل الموثوقية والخصوصية.</w:t>
      </w:r>
    </w:p>
    <w:p w:rsidR="00000000" w:rsidRDefault="00000000">
      <w:pPr>
        <w:pStyle w:val="SingleTxt"/>
        <w:tabs>
          <w:tab w:val="left" w:pos="1628"/>
        </w:tabs>
        <w:ind w:left="1264" w:right="1264"/>
        <w:rPr>
          <w:rtl/>
          <w:lang w:eastAsia="en-US"/>
        </w:rPr>
      </w:pPr>
      <w:r>
        <w:rPr>
          <w:rtl/>
          <w:lang w:eastAsia="en-US"/>
        </w:rPr>
        <w:t>314 -</w:t>
      </w:r>
      <w:r>
        <w:rPr>
          <w:rtl/>
          <w:lang w:eastAsia="en-US"/>
        </w:rPr>
        <w:tab/>
        <w:t xml:space="preserve">وفي عام 1991 اختيرت مراكز البحوث المعنية بالعنف الأسري والعنف الموجَّه ضد المرأة لإنشاء قدرة مستدامة تتولى إجراء البحوث بشأن العنف الأسري والعنف الموجَّه ضد المرأة (التمويل مُقدَّم من مجلس البحوث في مجال العلوم الاجتماعية والإنسانيات وهو مجلس اتحادي للمِنح وكذلك مبادرة العنف الأسري وهي مبادرة اتخذتها الحكومة الاتحادية). وتتولى المراكز إدماج خبرة المنظمات الميدانية والشركاء الإقليميين والأكاديميين. وهناك خمسة مراكز بحوث في كل أنحاء كندا، كما أن الشراكات القائمة بين العاملين في الميدان وبين الأكاديميين تشكِّل عاملا أساسيا بالنسبة للمراكز. وثمة عملية احترام متبادل هي التي تشكِّل جوهر هذا النجاح. ومن الأمور الأساسية لهذا التجانس اتخاذ نهج بحثي تشاركي تتولى فيه الدوائر الميدانية تحديد مسائل البحوث وتساعد على تصميم المنهجية </w:t>
      </w:r>
      <w:r>
        <w:rPr>
          <w:w w:val="100"/>
          <w:rtl/>
          <w:lang w:eastAsia="en-US"/>
        </w:rPr>
        <w:t xml:space="preserve">المُتبعة ومن ثم تتولى توجيه وتنفيذ وتحليل البحث. وبعد ذلك يتم تطبيق النتائج على مستوى المجتمع المحلي. وتشمل مراكز البحوث مقدمي الرعاية الصحية ممن تضمهم أفرقة البحوث الذين يشرعون في إجراء البحث الذي يتطرق إلى العلاقات التي تربط بين العنف </w:t>
      </w:r>
      <w:r>
        <w:rPr>
          <w:rtl/>
          <w:lang w:eastAsia="en-US"/>
        </w:rPr>
        <w:t>والصحة.</w:t>
      </w:r>
    </w:p>
    <w:p w:rsidR="00000000" w:rsidRDefault="00000000">
      <w:pPr>
        <w:pStyle w:val="SingleTxt"/>
        <w:tabs>
          <w:tab w:val="left" w:pos="1628"/>
        </w:tabs>
        <w:ind w:left="1264" w:right="1264"/>
        <w:rPr>
          <w:rtl/>
          <w:lang w:eastAsia="en-US"/>
        </w:rPr>
      </w:pPr>
      <w:r>
        <w:rPr>
          <w:rtl/>
          <w:lang w:eastAsia="en-US"/>
        </w:rPr>
        <w:t>315 -</w:t>
      </w:r>
      <w:r>
        <w:rPr>
          <w:rtl/>
          <w:lang w:eastAsia="en-US"/>
        </w:rPr>
        <w:tab/>
        <w:t>ويكمن خلف الكثير من المشاكل الصحية تجربة العنف الأسري بما في ذلك الإيذاء البدني والجنسي والعاطفي والمالي. ومن بين النتائج الصحية السلبية الناجمة عن التعرُّض للعنف الأسري الإصابات التي تهدِّد حياة الفرد والوفاة ومشاكل الصحة العقلية والجنسية/الإنجابية وإدمان المخدرات واضطرابات تناول الطعام. والنساء والأطفال والمسنون هم على الأرجح أكثر من يتعرض لهذا الأذى. ومن منظور صحة السكان، يمثل ضحايا العنف الأسري فئة محرومة فيما يتعلق بالدخل والتعليم والدعم الاجتماعي على اختلاف أشكاله، وكلها عوامل من مُحدِّدات الصحة. ومن التقديرات الجزئية الأوَّلية ما يقدِّر التكاليف السنوية التي تتكبدها كندا في المجال الصحي مقابل العنْف الموجَّه ضد المرأة وحده بمبلغ 1.5 بليون دولار. وهذه العواقب الصحية لا يمكن التصدي لها بغير إنشاء صلة بينها وبين العنف الأسري.</w:t>
      </w:r>
    </w:p>
    <w:p w:rsidR="00000000" w:rsidRDefault="00000000">
      <w:pPr>
        <w:pStyle w:val="SingleTxt"/>
        <w:tabs>
          <w:tab w:val="left" w:pos="1628"/>
        </w:tabs>
        <w:ind w:left="1264" w:right="1264"/>
        <w:rPr>
          <w:rtl/>
          <w:lang w:eastAsia="en-US"/>
        </w:rPr>
      </w:pPr>
      <w:r>
        <w:rPr>
          <w:rtl/>
          <w:lang w:eastAsia="en-US"/>
        </w:rPr>
        <w:t>316 -</w:t>
      </w:r>
      <w:r>
        <w:rPr>
          <w:rtl/>
          <w:lang w:eastAsia="en-US"/>
        </w:rPr>
        <w:tab/>
        <w:t>وفي العقد الأخير، طوَّرت وزارة الصحة بكندا أدوات للفحص الشامل المتاحة لاستخدام المهنيين إضافة إلى محتوى المناهج الجامعية فيما يتعلق بالعنف الأسري، وموَّلت برامج الوالدية التي تعالِج مسألة الوقاية من العنف الأسري. وقد اضطلع مركز المختبرات التابع لها المعني بمكافحة الأمراض، بعمليات الرصد ووضع مبادئ توجيهية بشأن الأمراض المنقولة عن طريق الاتصال الجنسي بين صفوف الأطفال والشباب. ويتولى المركز جمع بيانات وطنية موزَّعة على أساس نوع الجنس بشأن ما أُبلِغ عنه من حالات إيذاء أو إهمال الأطفال. وفي شراكة مع الوزارات الأخرى، تتصدى وزارة صحة كندا لظاهرة العنف الأسري بين السكان الأصليين. ومنذ عام 1997 استخدَمت الوزارة مواردها من أجل توسيع المعلومات وزيادة الوعي وتنمية المعرفة بين صفوف مقدمي الرعاية الصحية بما يتيح لهم أن يعملوا على منع واكتشاف العنف الأسري والاستجابة إزاءه على النحو الملائم. كما أنها تدعم إجراء البحوث التي تؤثر على صانعي السياسات وعلى المقاطعات/الأقاليم وعلى قطاع الشركات التجارية من أجل مواجهة هذه المشكلة. وتقصد مبادرات العنف الأسري التي تركِّز على العنف بوصفه مسألة صحية، إلى زيادة الفرص المتاحة أمام الأفراد والجماعات لكي يعيشوا حياة صحية سليمة من النواحي الجسمية والعقلية مع تقليل التكاليف التي تنطوي عليها الخدمة الصحية الجسمية والعقلية.</w:t>
      </w:r>
    </w:p>
    <w:p w:rsidR="00000000" w:rsidRDefault="00000000">
      <w:pPr>
        <w:pStyle w:val="SingleTxt"/>
        <w:tabs>
          <w:tab w:val="left" w:pos="1628"/>
        </w:tabs>
        <w:ind w:left="1264" w:right="1264"/>
        <w:rPr>
          <w:rtl/>
          <w:lang w:eastAsia="en-US"/>
        </w:rPr>
      </w:pPr>
      <w:r>
        <w:rPr>
          <w:rtl/>
          <w:lang w:eastAsia="en-US"/>
        </w:rPr>
        <w:t>317 -</w:t>
      </w:r>
      <w:r>
        <w:rPr>
          <w:rtl/>
          <w:lang w:eastAsia="en-US"/>
        </w:rPr>
        <w:tab/>
        <w:t>وقد عُقد في كندا في عام 1996 أول منتدى بين كندا والولايات المتحدة معنيّ بصحة المرأة. وهذا الحدث المشهود جمع بين 300 من الباحثين والمهنيين الصحيين والأكاديميين وممثلي المنظمات الطوعية والمجتمعية كي يتبادلوا المنظورات المتعلقة بمسائل صحة المرأة. وقد تدارس المندوبون طائفة واسعة من الشواغل الصحية الشائعة بين صفوف النساء في كلا البلدين. ومن ذلك مثلا سرطان الثدي والتدخين والتوتُّر والعنف الموجَّه ضد المرأة وتقديم خدمة الرعاية الصحية.</w:t>
      </w:r>
    </w:p>
    <w:p w:rsidR="00000000" w:rsidRDefault="00000000">
      <w:pPr>
        <w:pStyle w:val="SingleTxt"/>
        <w:tabs>
          <w:tab w:val="left" w:pos="1628"/>
        </w:tabs>
        <w:ind w:left="1264" w:right="1264"/>
        <w:rPr>
          <w:rtl/>
          <w:lang w:eastAsia="en-US"/>
        </w:rPr>
      </w:pPr>
      <w:r>
        <w:rPr>
          <w:rtl/>
          <w:lang w:eastAsia="en-US"/>
        </w:rPr>
        <w:t>318 -</w:t>
      </w:r>
      <w:r>
        <w:rPr>
          <w:rtl/>
          <w:lang w:eastAsia="en-US"/>
        </w:rPr>
        <w:tab/>
        <w:t>وقد أدى إدماج تصنيف جنساني ضمن الاستقصاء الوطني لصحة السكان الصادر في عام 1996، إلى توليد معلومات مهمة من أجل فهم الإصابة بالاكتئاب والألم المزمن ومشاكل الصحة العقلية بين النساء في كندا، كما ألقى الضوء على المحدِّدات الاجتماعية والاقتصادية للصحة.</w:t>
      </w:r>
    </w:p>
    <w:p w:rsidR="00000000" w:rsidRDefault="00000000">
      <w:pPr>
        <w:pStyle w:val="SingleTxt"/>
        <w:tabs>
          <w:tab w:val="left" w:pos="1628"/>
        </w:tabs>
        <w:ind w:left="1264" w:right="1264"/>
        <w:rPr>
          <w:rtl/>
          <w:lang w:eastAsia="en-US"/>
        </w:rPr>
      </w:pPr>
      <w:r>
        <w:rPr>
          <w:rtl/>
          <w:lang w:eastAsia="en-US"/>
        </w:rPr>
        <w:t>319 -</w:t>
      </w:r>
      <w:r>
        <w:rPr>
          <w:rtl/>
          <w:lang w:eastAsia="en-US"/>
        </w:rPr>
        <w:tab/>
        <w:t>وفيما ارتفعت الإصابات بسرطان الثدي بشكل مطرد على مدار العقد الماضي، فقد ظلت معدلات الوفاة مستقرة نسبيا. وتُعزى معدلات الوفاة المتناقصة من جراء سرطان الثدي بين بعض الفئات العمرية إلى جهود الفحص وتحسُّن العلاج.</w:t>
      </w:r>
    </w:p>
    <w:p w:rsidR="00000000" w:rsidRDefault="00000000">
      <w:pPr>
        <w:pStyle w:val="SingleTxt"/>
        <w:tabs>
          <w:tab w:val="left" w:pos="1628"/>
        </w:tabs>
        <w:ind w:left="1264" w:right="1264"/>
        <w:rPr>
          <w:rtl/>
          <w:lang w:eastAsia="en-US"/>
        </w:rPr>
      </w:pPr>
      <w:r>
        <w:rPr>
          <w:rtl/>
          <w:lang w:eastAsia="en-US"/>
        </w:rPr>
        <w:t>320 -</w:t>
      </w:r>
      <w:r>
        <w:rPr>
          <w:rtl/>
          <w:lang w:eastAsia="en-US"/>
        </w:rPr>
        <w:tab/>
        <w:t>وفي عام 1993، استهلت الحكومة الاتحادية مبادرة سرطان الثدي الكندية في حزيران/يونيه 1998 وتم تجديدها بتمويل ثابت متواصل بمبلغ 7 ملايين دولار سنويا لأغراض البحث والوقاية والكشف المبكر والفحص المتطور وتقديم الدعم للجماعات والشبكات المحلية وإتاحة سُبل الوصول إلى المعلومات والتثقيف الجماهيري والمهني والتشخيص والرعاية والعلاج والمتابعة والرصد في مجال سرطان الثدي. ومن الأهداف الرئيسية في هذا الصدد ما يتمثل في استمرار الدعم والتنسيق لأنشطة فحص سرطان الثدي على صعيد المقاطعات.</w:t>
      </w:r>
    </w:p>
    <w:p w:rsidR="00000000" w:rsidRDefault="00000000">
      <w:pPr>
        <w:pStyle w:val="SingleTxt"/>
        <w:tabs>
          <w:tab w:val="left" w:pos="1628"/>
        </w:tabs>
        <w:ind w:left="1264" w:right="1264"/>
        <w:rPr>
          <w:rtl/>
          <w:lang w:eastAsia="en-US"/>
        </w:rPr>
      </w:pPr>
      <w:r>
        <w:rPr>
          <w:rtl/>
          <w:lang w:eastAsia="en-US"/>
        </w:rPr>
        <w:t>321 -</w:t>
      </w:r>
      <w:r>
        <w:rPr>
          <w:rtl/>
          <w:lang w:eastAsia="en-US"/>
        </w:rPr>
        <w:tab/>
        <w:t>وفي السابق كانت المرأة في كندا مُستبعدَة من مجال اختبارات البحوث الإكلينيكية المتعلقة بالأدوية والأجهزة الطبية وأساليب العلاج الجديدة على أساس حالتها الهرمونية غير المستقرة (بالمقارنة مع الرجل) وفي ضوء المسؤولية التي قد يتحملها الباحث في حالة الحمل مع ما يعقب ذلك من تشوُّهات المواليد. وفي عام 1996، وعقب مشاورات مع دوائر البحوث الطبية والدعوة الصحية والمنظمات النسائية، قضت الحكومة بأن المنتجين الذين يقدِّمون طلبات إلى وزارة صحة كندا للموافقة على طرح أدوية في السوق يتعيَّن عليهم أن يضموا نساء في اختباراتهم الإكلينيكية بنفس النسبة التي من المحتمل أن يستخدِمن بها هذه العقاقير.</w:t>
      </w:r>
    </w:p>
    <w:p w:rsidR="00000000" w:rsidRDefault="00000000">
      <w:pPr>
        <w:pStyle w:val="SingleTxt"/>
        <w:tabs>
          <w:tab w:val="left" w:pos="1628"/>
        </w:tabs>
        <w:ind w:left="1264" w:right="1264"/>
        <w:rPr>
          <w:rtl/>
          <w:lang w:eastAsia="en-US"/>
        </w:rPr>
      </w:pPr>
      <w:r>
        <w:rPr>
          <w:rtl/>
          <w:lang w:eastAsia="en-US"/>
        </w:rPr>
        <w:t>322 -</w:t>
      </w:r>
      <w:r>
        <w:rPr>
          <w:rtl/>
          <w:lang w:eastAsia="en-US"/>
        </w:rPr>
        <w:tab/>
        <w:t xml:space="preserve">وفي الفترة 1994 </w:t>
      </w:r>
      <w:r>
        <w:rPr>
          <w:lang w:eastAsia="en-US"/>
        </w:rPr>
        <w:t>–</w:t>
      </w:r>
      <w:r>
        <w:rPr>
          <w:rtl/>
          <w:lang w:eastAsia="en-US"/>
        </w:rPr>
        <w:t xml:space="preserve"> 1997، خصَّصت الحكومة الاتحادية مبلغ 104 ملايين دولار لاستراتيجية خفض الطلب على التبغ. وخلال تلك الفترة، تم تطوير موارد كثيرة للفتيات والنساء وأصبحت الحكومة تُخصِّص الآن 100 مليون دولار على مدار 5 سنوات في إطار مبادرة مكافحة التبغ. وهناك 5 فئات عريضة مستهدَفة تشمل المرأة تم تحديدها في هذا الصدد. وتنطلق هذه المبادرة من واقع الدروس المستفادة من الاستراتيجيات الماضية وتعمل على تدعيم التشريعات واللوائح وعمليات الإنفاذ والبحوث وأنشطة التثقيف العام في هذا المجال.</w:t>
      </w:r>
    </w:p>
    <w:p w:rsidR="00000000" w:rsidRDefault="00000000">
      <w:pPr>
        <w:pStyle w:val="SingleTxt"/>
        <w:tabs>
          <w:tab w:val="left" w:pos="1628"/>
        </w:tabs>
        <w:ind w:left="1264" w:right="1264"/>
        <w:rPr>
          <w:rtl/>
          <w:lang w:eastAsia="en-US"/>
        </w:rPr>
      </w:pPr>
      <w:r>
        <w:rPr>
          <w:rtl/>
          <w:lang w:eastAsia="en-US"/>
        </w:rPr>
        <w:t>323 -</w:t>
      </w:r>
      <w:r>
        <w:rPr>
          <w:rtl/>
          <w:lang w:eastAsia="en-US"/>
        </w:rPr>
        <w:tab/>
        <w:t>وتصاب النساء الكنديات بصورة متزايدة بفيروس نقص المناعة البشرية وخاصة اللائي يستعملن العقاقير عن طريق الحقن واللائي يكون شركاؤهن الجنسيون معرضين لمخاطر الإصابة المتزايدة بالفيروس المذكور. وبالإضافة إلى ذلك زادت عبر الزمن نسبة حالات الإصابة بمتلازمة نقص المناعة المكتسب (الإيدز) بين صفوف النساء . وفي عام 1998 جددت الحكومة الاتحادية استراتيجية الإيدز الوطنية بتمويل جارٍ بمبلغ 40.2 مليون دولار سنويا. وتوصف المرأة بأنها فئة أولوية في إطار الاستراتيجية المجددة. ويتم دعم الدراسات التعاونية وعقد المؤتمرات واتخاذ المبادرات المجتمعية وتنفيذ مشاريع التثقيف التي تلبي الاحتياجات المحدَّدة للمرأة في هذا المضمار.</w:t>
      </w:r>
    </w:p>
    <w:p w:rsidR="00000000" w:rsidRDefault="00000000">
      <w:pPr>
        <w:pStyle w:val="SingleTxt"/>
        <w:tabs>
          <w:tab w:val="left" w:pos="1628"/>
        </w:tabs>
        <w:ind w:left="1264" w:right="1264"/>
        <w:rPr>
          <w:rtl/>
          <w:lang w:eastAsia="en-US"/>
        </w:rPr>
      </w:pPr>
      <w:r>
        <w:rPr>
          <w:rtl/>
          <w:lang w:eastAsia="en-US"/>
        </w:rPr>
        <w:t>324 -</w:t>
      </w:r>
      <w:r>
        <w:rPr>
          <w:rtl/>
          <w:lang w:eastAsia="en-US"/>
        </w:rPr>
        <w:tab/>
        <w:t>وفي عام 1997 أصدرت الحكومة الاتحادية القوانين التي تُعدِّل القانون الجنائي لكي يتم بصورة محددة حظر ممارسة تشويه الأعضاء التناسلية للأنثى. وتم تصوير نموذج لحلقة عمل يمكن استخدامه في حلقات العمل المجتمعية في كل أنحاء كندا للمساعدة على توعية أفراد المجتمعات المحلية بشأن الجوانب الصحية والقانونية والاجتماعية/الثقافية لهذه الممارسة. وتعمل الحكومة كذلك مع مقدمي الرعاية الصحية والمربين على كفالة استجابات فعَّالة وحساسة إزاء الفتيات والنساء المتضررات من جراء الممارسة المذكورة.</w:t>
      </w:r>
    </w:p>
    <w:p w:rsidR="00000000" w:rsidRDefault="00000000">
      <w:pPr>
        <w:pStyle w:val="SingleTxt"/>
        <w:tabs>
          <w:tab w:val="left" w:pos="1628"/>
        </w:tabs>
        <w:ind w:left="1264" w:right="1264"/>
        <w:rPr>
          <w:rtl/>
          <w:lang w:eastAsia="en-US"/>
        </w:rPr>
      </w:pPr>
      <w:r>
        <w:rPr>
          <w:rtl/>
          <w:lang w:eastAsia="en-US"/>
        </w:rPr>
        <w:t>325 -</w:t>
      </w:r>
      <w:r>
        <w:rPr>
          <w:rtl/>
          <w:lang w:eastAsia="en-US"/>
        </w:rPr>
        <w:tab/>
        <w:t xml:space="preserve">وفي إطار الانتخابات الاتحادية لعام 1997، لم يتح لمشروع القانون جيم </w:t>
      </w:r>
      <w:r>
        <w:rPr>
          <w:lang w:eastAsia="en-US"/>
        </w:rPr>
        <w:t>–</w:t>
      </w:r>
      <w:r>
        <w:rPr>
          <w:rtl/>
          <w:lang w:eastAsia="en-US"/>
        </w:rPr>
        <w:t xml:space="preserve"> 47 الذي كان يقصد إلى استحداث قانون التكنولوجيات الإنجابية البشرية والجينية، استكمال عملية الإقرار التشريعي. ولذلك فما زال ساريا الوقف الاختياري لتطبيق التكنولوجيات الإنجابية والجينية التسع على البشر (اختيار نوع الجنس لأغراض غير طبية واستنساخ الأجنة وبحوث الأجنة) على نحو ما أعلنته وزارة صحة كندا في تموز/يوليه 1995. وبعد التشاور مع الجمهور والعاملين بالمهن الطبية وغيرهم من الأطراف صاحبة المصلحة فلسوف تتولى الحكومة الاتحادية طرح تشريع شامل وإطار تنظيمي في المستقبل القريب.</w:t>
      </w:r>
    </w:p>
    <w:p w:rsidR="00000000" w:rsidRDefault="00000000">
      <w:pPr>
        <w:pStyle w:val="SingleTxt"/>
        <w:tabs>
          <w:tab w:val="left" w:pos="1628"/>
        </w:tabs>
        <w:ind w:left="1264" w:right="1264"/>
        <w:rPr>
          <w:rtl/>
          <w:lang w:eastAsia="en-US"/>
        </w:rPr>
      </w:pPr>
      <w:r>
        <w:rPr>
          <w:rtl/>
          <w:lang w:eastAsia="en-US"/>
        </w:rPr>
        <w:t>326 -</w:t>
      </w:r>
      <w:r>
        <w:rPr>
          <w:rtl/>
          <w:lang w:eastAsia="en-US"/>
        </w:rPr>
        <w:tab/>
        <w:t>وتتعاون مؤسسة كندا للرهن العقاري والإسكان مع الأقوام الأولى ووزارة الشؤون الهندية والتنمية الشمالية ووزارة صحة كندا وشركاء من الشمال على إعداد 5 مشاريع نموذجية للإسكان في مجال السكن الصحي. وتتمثل الأهداف المنشودة في هذا الصدد في إقرار تصاميم للمساكن بحيث تلبي احتياجات أساليب الحياة ومتطلبات المناخ للمجتمعات المحلية للأقوام الأولى في الشمال. ولسوف يبيِّن المشروع عمليا الإسكان الصحي والزهيد التكلفة في وقت واحد، مع العمل على استخدام كميات من المياه والطاقة أقل بكثير مما يُستخدَم حاليا في الإسكان بالمحميات. ويتم كذلك توزيع المعلومات عن نوعية الهواء الداخلي وغير ذلك من المشاكل الصحية المرتبطة بالإسكان.</w:t>
      </w:r>
    </w:p>
    <w:p w:rsidR="00000000" w:rsidRDefault="00000000">
      <w:pPr>
        <w:pStyle w:val="SingleTxt"/>
        <w:tabs>
          <w:tab w:val="left" w:pos="1628"/>
        </w:tabs>
        <w:ind w:left="1264" w:right="1264"/>
        <w:rPr>
          <w:rtl/>
          <w:lang w:eastAsia="en-US"/>
        </w:rPr>
      </w:pPr>
      <w:r>
        <w:rPr>
          <w:b/>
          <w:bCs/>
          <w:szCs w:val="32"/>
          <w:rtl/>
          <w:lang w:eastAsia="en-US"/>
        </w:rPr>
        <w:t xml:space="preserve">المادة 12 </w:t>
      </w:r>
      <w:r>
        <w:rPr>
          <w:b/>
          <w:bCs/>
          <w:szCs w:val="32"/>
          <w:lang w:eastAsia="en-US"/>
        </w:rPr>
        <w:t>–</w:t>
      </w:r>
      <w:r>
        <w:rPr>
          <w:b/>
          <w:bCs/>
          <w:szCs w:val="32"/>
          <w:rtl/>
          <w:lang w:eastAsia="en-US"/>
        </w:rPr>
        <w:t xml:space="preserve"> 2: الخدمات الملائمة فيما يتصل بالحمل</w:t>
      </w:r>
    </w:p>
    <w:p w:rsidR="00000000" w:rsidRDefault="00000000">
      <w:pPr>
        <w:pStyle w:val="SingleTxt"/>
        <w:tabs>
          <w:tab w:val="left" w:pos="1628"/>
        </w:tabs>
        <w:ind w:left="1264" w:right="1264"/>
        <w:rPr>
          <w:rtl/>
          <w:lang w:eastAsia="en-US"/>
        </w:rPr>
      </w:pPr>
      <w:r>
        <w:rPr>
          <w:rtl/>
          <w:lang w:eastAsia="en-US"/>
        </w:rPr>
        <w:t>327 -</w:t>
      </w:r>
      <w:r>
        <w:rPr>
          <w:rtl/>
          <w:lang w:eastAsia="en-US"/>
        </w:rPr>
        <w:tab/>
        <w:t>في عام 1999 أعلنت الحكومة عن توسيع برنامج وزارة صحة كندا المتعلق بالتغذية في فترة ما قبل الوضع. ويهدف البرنامج إلى تحسين صحة الحوامل المعرَّضات لخطر جسيم وما يسفر عن ذلك من نتائج في المواليد مع التركيز على جوانب التغذية والرضاعة الطبيعية والتوعية ودعم السنة الأولى من حياة الطفل.</w:t>
      </w:r>
    </w:p>
    <w:p w:rsidR="00000000" w:rsidRDefault="00000000">
      <w:pPr>
        <w:pStyle w:val="SingleTxt"/>
        <w:tabs>
          <w:tab w:val="left" w:pos="1628"/>
        </w:tabs>
        <w:ind w:left="1264" w:right="1264"/>
        <w:rPr>
          <w:rtl/>
          <w:lang w:eastAsia="en-US"/>
        </w:rPr>
      </w:pPr>
      <w:r>
        <w:rPr>
          <w:rtl/>
          <w:lang w:eastAsia="en-US"/>
        </w:rPr>
        <w:t>328 -</w:t>
      </w:r>
      <w:r>
        <w:rPr>
          <w:rtl/>
          <w:lang w:eastAsia="en-US"/>
        </w:rPr>
        <w:tab/>
        <w:t>وفرع الخدمات الطبية بوزارة الصحة الكندية مسؤول عن تنفيذ البرامج والخدمات الصحية لشعوب الأقوام الأولى والإنويت. وتعمل وزارة صحة كندا على التحوُّل باطراد من تقديم الخدمات الصحية للأقوام الأولى والإنويت إلى حيث يتولون هم السيطرة على البرامج والموارد الصحية الخاصة بهم بل وامتلاكها. ويشكل الحكم الذاتي للسكان الأصليين إحدى الأولويات العليا للحكومة الاتحادية.</w:t>
      </w:r>
    </w:p>
    <w:p w:rsidR="00000000" w:rsidRDefault="00000000">
      <w:pPr>
        <w:pStyle w:val="SingleTxt"/>
        <w:tabs>
          <w:tab w:val="left" w:pos="1628"/>
        </w:tabs>
        <w:ind w:left="1264" w:right="1264"/>
        <w:rPr>
          <w:rtl/>
          <w:lang w:eastAsia="en-US"/>
        </w:rPr>
      </w:pPr>
      <w:r>
        <w:rPr>
          <w:rtl/>
          <w:lang w:eastAsia="en-US"/>
        </w:rPr>
        <w:t>329 -</w:t>
      </w:r>
      <w:r>
        <w:rPr>
          <w:rtl/>
          <w:lang w:eastAsia="en-US"/>
        </w:rPr>
        <w:tab/>
        <w:t>وثمة أمثلة عديدة عن المبادرات المتخذة في هذا المجال التي تتسم بأهمية خاصة للمرأة والفتاة من شعوب السكان الأصليين. وعلى سبيل المثال فإن عنصر السكان الأصليين في مبادرة نماء الطفل الوطنية (المستقبَلات الأفضل) يساعد الأقوام الأولى ومجتمعات الإنويت على تطوير برامج الصحة العقلية ونماء الطفل ذات الأساس المجتمعي وعلى صعيد الإدارة المحلية. وهذه البرامج تساعد على تحسين مهارات الوالدية وتحول دون إيذاء الطفولة وتطوَّر أنشطة الشباب وبرامج الصحة العقلية المجتمعية وتعالج مشكلة الأذى الجسيم.</w:t>
      </w:r>
    </w:p>
    <w:p w:rsidR="00000000" w:rsidRDefault="00000000">
      <w:pPr>
        <w:pStyle w:val="SingleTxt"/>
        <w:tabs>
          <w:tab w:val="left" w:pos="1628"/>
        </w:tabs>
        <w:ind w:left="1264" w:right="1264"/>
        <w:rPr>
          <w:rtl/>
          <w:lang w:eastAsia="en-US"/>
        </w:rPr>
      </w:pPr>
      <w:r>
        <w:rPr>
          <w:rtl/>
          <w:lang w:eastAsia="en-US"/>
        </w:rPr>
        <w:t>330 -</w:t>
      </w:r>
      <w:r>
        <w:rPr>
          <w:rtl/>
          <w:lang w:eastAsia="en-US"/>
        </w:rPr>
        <w:tab/>
        <w:t>وفي إطار برنامج كندا للتغذية قبل الوضع، عملت وزارة صحة كندا، بالتشاور مع الأقوام الأولى ومجتمعات الإنويت على إصدار طبعات من “بناء أطفال أصحاء: كتاب مرجعي عن التغذية قبل الوضع لكل جماعة ثقافية”. وفيما يظل معدل وفيات الرُضَّع بين الأقوام الأولى وشعب الإنويت مرتفعا عن الجماعات الكندية الأخرى، فقد انخفض المعدل المذكور انخفاضا مشهودا. وقامت مديرية البرامج الصحية للأقوام الأولى والإنويت (التابعة لفرع الخدمات الطبية بوزارة الصحة الكندية) بتمويل فيديو مصور عن اكتشاف سرطان الثدي بين نساء السكان الأصليين. كما تعمل مع منظمات السكان الأصليين على أن يتاح لجميع المجتمعات المحلية جوانب الكشف الطبي القائمة حاليا. ومن مجالات البحوث الأخرى في الاحتياجات الصحية للنساء من السكان الأصليين المشاريع المتعلقة بعوامل الخطورة من جراء فيروس نقص المناعة البشرية/الإيدز.</w:t>
      </w:r>
    </w:p>
    <w:p w:rsidR="00000000" w:rsidRDefault="00000000">
      <w:pPr>
        <w:pStyle w:val="SingleTxt"/>
        <w:tabs>
          <w:tab w:val="left" w:pos="1628"/>
        </w:tabs>
        <w:ind w:left="1264" w:right="1264"/>
        <w:rPr>
          <w:rtl/>
          <w:lang w:eastAsia="en-US"/>
        </w:rPr>
      </w:pPr>
      <w:r>
        <w:rPr>
          <w:rtl/>
          <w:lang w:eastAsia="en-US"/>
        </w:rPr>
        <w:t>331-</w:t>
      </w:r>
      <w:r>
        <w:rPr>
          <w:rtl/>
          <w:lang w:eastAsia="en-US"/>
        </w:rPr>
        <w:tab/>
        <w:t>كما نجحت مديرية البرامج الصحية للأقوام الأولى والإنويت في التعاون مع جمعية أطباء  القبالة والأمراض النسائية في كندا، في إنشاء اللجنة النسائية للسكان الأصليين التي نظَّمت حلقات عمل ودورات معلومات لتثقيف أعضاء الجمعية بشأن احتياجات النساء بين السكان الأصليين.</w:t>
      </w:r>
    </w:p>
    <w:p w:rsidR="00000000" w:rsidRDefault="00000000">
      <w:pPr>
        <w:pStyle w:val="SingleTxt"/>
        <w:tabs>
          <w:tab w:val="left" w:pos="1628"/>
        </w:tabs>
        <w:ind w:left="1264" w:right="1264"/>
        <w:rPr>
          <w:rtl/>
          <w:lang w:eastAsia="en-US"/>
        </w:rPr>
      </w:pPr>
      <w:r>
        <w:rPr>
          <w:rtl/>
          <w:lang w:eastAsia="en-US"/>
        </w:rPr>
        <w:t>332-</w:t>
      </w:r>
      <w:r>
        <w:rPr>
          <w:rtl/>
          <w:lang w:eastAsia="en-US"/>
        </w:rPr>
        <w:tab/>
        <w:t>وفي تشرين الأول/أكتوبر 1998، أعلن وزير الصحة عن توسيع برنامج الاستهلال المدرسي للسكان الأصليين لكي يشمل أطفال الأقوام الأولى وعائلاتهم ممن يعيشون في المحميات، وتَحدد تمويل هذا البرنامج بمبلغ 100 مليون دولار على مدار 4 سنوات، وهو ما يُكمِّل مبادرة الاستهلال للسكان الأصليين التي انطلقت عام 1995 للمساعدة على تعزيز نماء الطفل والاستعداد المدرسي لأطفال الأقوام الأولى والميتيس والإنويت الذين يعيشون في مراكز حضرية وفي المجتمعات الشمالية الكبيرة. وبما أن النساء يشكِّلن جوهر صحة الأسر والمجتمعات فلسوف يقمن بدور رئيسي في برنامج الاستهلال للسكان الأصليين.</w:t>
      </w:r>
    </w:p>
    <w:p w:rsidR="00000000" w:rsidRDefault="00000000">
      <w:pPr>
        <w:pStyle w:val="SingleTxt"/>
        <w:tabs>
          <w:tab w:val="left" w:pos="1628"/>
        </w:tabs>
        <w:ind w:left="1264" w:right="1264"/>
        <w:rPr>
          <w:rtl/>
          <w:lang w:eastAsia="en-US"/>
        </w:rPr>
      </w:pPr>
      <w:r>
        <w:rPr>
          <w:b/>
          <w:bCs/>
          <w:rtl/>
          <w:lang w:eastAsia="en-US"/>
        </w:rPr>
        <w:t>المجتمع المدني</w:t>
      </w:r>
    </w:p>
    <w:p w:rsidR="00000000" w:rsidRDefault="00000000">
      <w:pPr>
        <w:pStyle w:val="SingleTxt"/>
        <w:tabs>
          <w:tab w:val="left" w:pos="1628"/>
        </w:tabs>
        <w:ind w:left="1264" w:right="1264"/>
        <w:rPr>
          <w:rtl/>
          <w:lang w:eastAsia="en-US"/>
        </w:rPr>
      </w:pPr>
      <w:r>
        <w:rPr>
          <w:rtl/>
          <w:lang w:eastAsia="en-US"/>
        </w:rPr>
        <w:t>333 -</w:t>
      </w:r>
      <w:r>
        <w:rPr>
          <w:rtl/>
          <w:lang w:eastAsia="en-US"/>
        </w:rPr>
        <w:tab/>
        <w:t>وزارة الصحة الكندية ملتزمة بتوسيع دور المجتمع المدني في عمليات وضع السياسات والبرامج. وعلى سبيل المثال فالمرحلة الثالثة من استراتيجية الإيدز الوطنية (1998 فصاعدا) تم تخطيطها في أعقاب مشاورات مستفيضة مع المنظمات غير الحكومية وأفراد الجمهور بمن فيهم النساء المصابات بفيروس نقص المناعة البشرية/الإيدز.</w:t>
      </w:r>
    </w:p>
    <w:p w:rsidR="00000000" w:rsidRDefault="00000000">
      <w:pPr>
        <w:pStyle w:val="SingleTxt"/>
        <w:tabs>
          <w:tab w:val="left" w:pos="1628"/>
        </w:tabs>
        <w:ind w:left="1264" w:right="1264"/>
        <w:rPr>
          <w:rtl/>
          <w:lang w:eastAsia="en-US"/>
        </w:rPr>
      </w:pPr>
      <w:r>
        <w:rPr>
          <w:rtl/>
          <w:lang w:eastAsia="en-US"/>
        </w:rPr>
        <w:t>334 -</w:t>
      </w:r>
      <w:r>
        <w:rPr>
          <w:rtl/>
          <w:lang w:eastAsia="en-US"/>
        </w:rPr>
        <w:tab/>
        <w:t>كما قدمت حكومة كندا دعما تمويليا للأنشطة التي اضطلعت بها المنظمات النسائية ومنظمات غير حكومية أخرى بهدف التصدي لقضية صحة المرأة وعافيتها. وفيما يلي أمثلة عن مبادرات التمويل ذات الصلة.</w:t>
      </w:r>
    </w:p>
    <w:p w:rsidR="00000000" w:rsidRDefault="00000000">
      <w:pPr>
        <w:pStyle w:val="SingleTxt"/>
        <w:tabs>
          <w:tab w:val="left" w:pos="1628"/>
        </w:tabs>
        <w:ind w:left="1264" w:right="1264"/>
        <w:rPr>
          <w:rtl/>
          <w:lang w:eastAsia="en-US"/>
        </w:rPr>
      </w:pPr>
      <w:r>
        <w:rPr>
          <w:rtl/>
          <w:lang w:eastAsia="en-US"/>
        </w:rPr>
        <w:t>335 -</w:t>
      </w:r>
      <w:r>
        <w:rPr>
          <w:rtl/>
          <w:lang w:eastAsia="en-US"/>
        </w:rPr>
        <w:tab/>
        <w:t xml:space="preserve">في الفترة 1996 </w:t>
      </w:r>
      <w:r>
        <w:rPr>
          <w:lang w:eastAsia="en-US"/>
        </w:rPr>
        <w:t>–</w:t>
      </w:r>
      <w:r>
        <w:rPr>
          <w:rtl/>
          <w:lang w:eastAsia="en-US"/>
        </w:rPr>
        <w:t xml:space="preserve"> 1997 قُدِّم التمويل إلى رابطة ممرضات السكان الأصليين في كندا دعما لنشاط بعنوان “إصلاح الرعاية الصحية والنهج الفريقي في الأقوام الأولى”. وهذا البرنامج التعليمي الذي استغرق يومين استكشف أساليب واستراتيجيات مرتبطة بتخطيط صحة المجتمع المحلي وبصحة المرأة وبناء الشراكات. كما شمل زيارات موقعية لسبعة من مجتمعات السكان الأصليين لمناقشة خطط الصحة المجتمعية المُنفَّذة، وأعقب ذلك اتخاذ قرارات ووضع خطة عمل من جانب أعضاء هذه المنظمة في إطار اجتماعها السنوي العام.</w:t>
      </w:r>
    </w:p>
    <w:p w:rsidR="00000000" w:rsidRDefault="00000000">
      <w:pPr>
        <w:pStyle w:val="SingleTxt"/>
        <w:tabs>
          <w:tab w:val="left" w:pos="1628"/>
        </w:tabs>
        <w:ind w:left="1264" w:right="1264"/>
        <w:rPr>
          <w:rtl/>
          <w:lang w:eastAsia="en-US"/>
        </w:rPr>
      </w:pPr>
      <w:r>
        <w:rPr>
          <w:rtl/>
          <w:lang w:eastAsia="en-US"/>
        </w:rPr>
        <w:t>336 -</w:t>
      </w:r>
      <w:r>
        <w:rPr>
          <w:rtl/>
          <w:lang w:eastAsia="en-US"/>
        </w:rPr>
        <w:tab/>
        <w:t xml:space="preserve">وفي الفترة 1997 </w:t>
      </w:r>
      <w:r>
        <w:rPr>
          <w:lang w:eastAsia="en-US"/>
        </w:rPr>
        <w:t>–</w:t>
      </w:r>
      <w:r>
        <w:rPr>
          <w:rtl/>
          <w:lang w:eastAsia="en-US"/>
        </w:rPr>
        <w:t xml:space="preserve"> 1998 قُدِّم التمويل إلى شبكة كيبيك للعمل من أجل صحة المرأة دعما لمبادرة تقصد إلى تعزيز مشاركة المرأة في وضع السياسات والبرامج الرامية إلى تحسين الاستجابة إلى احتياجات المرأة الصحية.</w:t>
      </w:r>
    </w:p>
    <w:p w:rsidR="00000000" w:rsidRDefault="00000000">
      <w:pPr>
        <w:pStyle w:val="SingleTxt"/>
        <w:tabs>
          <w:tab w:val="left" w:pos="1628"/>
        </w:tabs>
        <w:ind w:left="1264" w:right="1264"/>
        <w:rPr>
          <w:rtl/>
          <w:lang w:eastAsia="en-US"/>
        </w:rPr>
      </w:pPr>
      <w:r>
        <w:rPr>
          <w:rtl/>
          <w:lang w:eastAsia="en-US"/>
        </w:rPr>
        <w:t>337 -</w:t>
      </w:r>
      <w:r>
        <w:rPr>
          <w:rtl/>
          <w:lang w:eastAsia="en-US"/>
        </w:rPr>
        <w:tab/>
        <w:t xml:space="preserve">ويُقدَّم في ألبرتا تمويل متعدد السنوات (1998 </w:t>
      </w:r>
      <w:r>
        <w:rPr>
          <w:lang w:eastAsia="en-US"/>
        </w:rPr>
        <w:t>–</w:t>
      </w:r>
      <w:r>
        <w:rPr>
          <w:rtl/>
          <w:lang w:eastAsia="en-US"/>
        </w:rPr>
        <w:t xml:space="preserve"> 1999 و 1999 </w:t>
      </w:r>
      <w:r>
        <w:rPr>
          <w:lang w:eastAsia="en-US"/>
        </w:rPr>
        <w:t>–</w:t>
      </w:r>
      <w:r>
        <w:rPr>
          <w:rtl/>
          <w:lang w:eastAsia="en-US"/>
        </w:rPr>
        <w:t xml:space="preserve"> 2000 و2000 </w:t>
      </w:r>
      <w:r>
        <w:rPr>
          <w:lang w:eastAsia="en-US"/>
        </w:rPr>
        <w:t>–</w:t>
      </w:r>
      <w:r>
        <w:rPr>
          <w:rtl/>
          <w:lang w:eastAsia="en-US"/>
        </w:rPr>
        <w:t xml:space="preserve"> 2001) إلى الوسطاء الصحيين المتعددي الثقافات من أجل النهوض بصحة وعافية نساء الأقليات وهو برنامج متعدد القطاعات ومبادرة لوضع السياسات. ويتمثل الهدف في هذا الصدد في زيادة فرص وصول نساء الأقليات المُهمَّشة ومشاركتهن في صنع القرار بشأن الخدمات الصحية والاجتماعية الملائمة ثقافياً. وسوف تضم النتائج وضع مبادئ توجيهية ومعايير للممارسة وسياسات تتعلق بإنشاء علاقات ذات مغزى بين النساء المهاجرات واللاجئات والأسر والمؤسسات.</w:t>
      </w:r>
    </w:p>
    <w:p w:rsidR="00000000" w:rsidRDefault="00000000">
      <w:pPr>
        <w:pStyle w:val="SingleTxt"/>
        <w:tabs>
          <w:tab w:val="left" w:pos="1628"/>
        </w:tabs>
        <w:ind w:left="1264" w:right="1264"/>
        <w:rPr>
          <w:rtl/>
          <w:lang w:eastAsia="en-US"/>
        </w:rPr>
      </w:pPr>
      <w:r>
        <w:rPr>
          <w:rtl/>
          <w:lang w:eastAsia="en-US"/>
        </w:rPr>
        <w:t>338 -</w:t>
      </w:r>
      <w:r>
        <w:rPr>
          <w:rtl/>
          <w:lang w:eastAsia="en-US"/>
        </w:rPr>
        <w:tab/>
        <w:t>وقُدِّم التمويل إلى فريق “كيناب اسكو” الاستشاري عن طريق صندوق بحوث السياسات التابع لأمانة وضع المرأة في كندا لحساب مشروع بحثي بعنوان “المسائل الصحية للمرأة من السكان الأصليين في المراكز الحضرية بالمقاطعات البحرية”. وسوف يُركِّز هذا المشروع على الأثر الاقتصادي بالنسبة للنساء اللائي يعشن في المراكز الحضرية في المقاطعات البحرية. وباستخدام حلقات المناقشة ستقوم القيادات بتدارس الشواغل الصحية الشاملة للمرأة الحضرية من السكان الأصليين وتحديد الثغرات التي تشوب سياسة الرعاية الصحية وإنشاء قاعدة بيانات.</w:t>
      </w:r>
    </w:p>
    <w:p w:rsidR="00000000" w:rsidRDefault="00000000">
      <w:pPr>
        <w:pStyle w:val="SingleTxt"/>
        <w:tabs>
          <w:tab w:val="left" w:pos="1628"/>
        </w:tabs>
        <w:ind w:left="1264" w:right="1264"/>
        <w:rPr>
          <w:rtl/>
          <w:lang w:eastAsia="en-US"/>
        </w:rPr>
      </w:pPr>
      <w:r>
        <w:rPr>
          <w:b/>
          <w:bCs/>
          <w:rtl/>
          <w:lang w:eastAsia="en-US"/>
        </w:rPr>
        <w:t>الأنشطة الدولية</w:t>
      </w:r>
    </w:p>
    <w:p w:rsidR="00000000" w:rsidRDefault="00000000">
      <w:pPr>
        <w:pStyle w:val="SingleTxt"/>
        <w:tabs>
          <w:tab w:val="left" w:pos="1628"/>
        </w:tabs>
        <w:ind w:left="1264" w:right="1264"/>
        <w:rPr>
          <w:rtl/>
          <w:lang w:eastAsia="en-US"/>
        </w:rPr>
      </w:pPr>
      <w:r>
        <w:rPr>
          <w:rtl/>
          <w:lang w:eastAsia="en-US"/>
        </w:rPr>
        <w:t>339 -</w:t>
      </w:r>
      <w:r>
        <w:rPr>
          <w:rtl/>
          <w:lang w:eastAsia="en-US"/>
        </w:rPr>
        <w:tab/>
        <w:t>في إطار الفريق العامل التابع للأمم المتحدة والمعني بالسكان الأصليين المعقود في جنيف في تموز/يوليه 1997، استضاف خبراء الصحة الكنديون المعنيون بالسكان الأصليين حلقة عمل مشتركة بين كندا ومنظمة الصحة العالمية بشأن تعاطي المخدرات والتداوي حيث اضطلعت نساء السكان الأصليين بدور رئيسي في التركيز على الشواغل الصحية الخاصة للمرأة من السكان الأصليين. وتم تنظيم حلقة العمل المذكورة بدعم مالي ودعم للسياسات من وزارة الخارجية والتجارة الدولية. كما أيدت الموضوع المطروح في مجال الصحة لدى انعقاد الفريق العامل المذكور أعلاه في عام 1997 بوصفه واحدا من المواضيع الرئيسية التي يضمها العقد الدولي للسكان الأصليين في العالم.</w:t>
      </w:r>
    </w:p>
    <w:p w:rsidR="00000000" w:rsidRDefault="00000000">
      <w:pPr>
        <w:pStyle w:val="SingleTxt"/>
        <w:tabs>
          <w:tab w:val="left" w:pos="1628"/>
        </w:tabs>
        <w:ind w:left="1264" w:right="1264"/>
        <w:rPr>
          <w:rtl/>
          <w:lang w:eastAsia="en-US"/>
        </w:rPr>
      </w:pPr>
      <w:r>
        <w:rPr>
          <w:rtl/>
          <w:lang w:eastAsia="en-US"/>
        </w:rPr>
        <w:t>340 -</w:t>
      </w:r>
      <w:r>
        <w:rPr>
          <w:rtl/>
          <w:lang w:eastAsia="en-US"/>
        </w:rPr>
        <w:tab/>
        <w:t>وفي إطار استعدادات كندا لانعقاد الدورة الاستثنائية للجمعية العامة للأمم المتحدة في حزيران/يونيه 1999 لاستعراض برنامج عمل المؤتمر الدولي للسكان والتنمية (+5) تعاونت وزارة الصحة في كندا مع وزارة الخارجية والتجارة الدولية ووزارة الشؤون الهندية والتنمية الشمالية على تقديم الدعم إلى رابطة ممرضات السكان الأصليين لكندا من أجل استضافة مائدة مستديرة من السكان الأصليين معنية بالصحة الجنسية والإنجابية. وقصدت المائدة المستديرة، كخطوة أولى إلى أن تعمل في شراكة مع السكان الأصليين على تحديد شواغل الصحة الجنسية والإنجابية للمرأة من السكان الأصليين بخاصة مع وضع سياسات مشتركة للتصدي لهذه الشواغل. وقد وُزعت نتائج المائدة المستديرة على شكل تقرير لدى انعقاد الدورة الاستثنائية.</w:t>
      </w:r>
    </w:p>
    <w:p w:rsidR="00000000" w:rsidRDefault="00000000">
      <w:pPr>
        <w:pStyle w:val="SingleTxt"/>
        <w:tabs>
          <w:tab w:val="left" w:pos="1628"/>
        </w:tabs>
        <w:ind w:left="1264" w:right="1264"/>
        <w:rPr>
          <w:rtl/>
          <w:lang w:eastAsia="en-US"/>
        </w:rPr>
      </w:pPr>
      <w:r>
        <w:rPr>
          <w:rtl/>
          <w:lang w:eastAsia="en-US"/>
        </w:rPr>
        <w:t>341 -</w:t>
      </w:r>
      <w:r>
        <w:rPr>
          <w:rtl/>
          <w:lang w:eastAsia="en-US"/>
        </w:rPr>
        <w:tab/>
        <w:t>ومن ناحيتها، جعلت الوكالة الكندية للتنمية الدولية صحة المرأة والصحة الإنجابية أولوية عليا. ففي بنغلاديش دعمت كندا عملية بناء القدرات في وزارة الصحة ورعاية الأسرة لتحسين تقديم خدمات الصحة الإنجابية والأسرية. وفي أفريقيا ما زالت كندا تدعم أعمال المنظمات غير الحكومية من أجل زيادة الوعي بالآثار الضارة الناجمة عن عادات من قبيل تشويه الأعضاء التناسلية للأنثى مع زيادة الوعي بين صفوف الرجال والنساء على السواء بأهمية الوقاية من الإصابة بمرض الإيدز.</w:t>
      </w:r>
    </w:p>
    <w:p w:rsidR="00000000" w:rsidRDefault="00000000">
      <w:pPr>
        <w:pStyle w:val="SingleTxt"/>
        <w:tabs>
          <w:tab w:val="left" w:pos="1628"/>
        </w:tabs>
        <w:ind w:left="1264" w:right="1264"/>
        <w:rPr>
          <w:b/>
          <w:bCs/>
          <w:szCs w:val="32"/>
          <w:rtl/>
          <w:lang w:eastAsia="en-US"/>
        </w:rPr>
      </w:pPr>
      <w:r>
        <w:rPr>
          <w:b/>
          <w:bCs/>
          <w:szCs w:val="32"/>
          <w:rtl/>
          <w:lang w:eastAsia="en-US"/>
        </w:rPr>
        <w:t>المادة 13: الحياة الاقتصادية والاجتماعية</w:t>
      </w:r>
    </w:p>
    <w:p w:rsidR="00000000" w:rsidRDefault="00000000">
      <w:pPr>
        <w:pStyle w:val="SingleTxt"/>
        <w:tabs>
          <w:tab w:val="left" w:pos="1628"/>
        </w:tabs>
        <w:ind w:left="1264" w:right="1264"/>
        <w:rPr>
          <w:rtl/>
          <w:lang w:eastAsia="en-US"/>
        </w:rPr>
      </w:pPr>
      <w:r>
        <w:rPr>
          <w:rtl/>
          <w:lang w:eastAsia="en-US"/>
        </w:rPr>
        <w:t>342 -</w:t>
      </w:r>
      <w:r>
        <w:rPr>
          <w:rtl/>
          <w:lang w:eastAsia="en-US"/>
        </w:rPr>
        <w:tab/>
        <w:t>ترد مناقشة مستفيضة للتدابير الاتحادية المتعلقة بالحالة الاقتصادية للمرأة في إطار المادتين 11 و 16.</w:t>
      </w:r>
    </w:p>
    <w:p w:rsidR="00000000" w:rsidRDefault="00000000">
      <w:pPr>
        <w:pStyle w:val="SingleTxt"/>
        <w:tabs>
          <w:tab w:val="left" w:pos="1628"/>
        </w:tabs>
        <w:ind w:left="1264" w:right="1264"/>
        <w:rPr>
          <w:rtl/>
          <w:lang w:eastAsia="en-US"/>
        </w:rPr>
      </w:pPr>
      <w:r>
        <w:rPr>
          <w:rtl/>
          <w:lang w:eastAsia="en-US"/>
        </w:rPr>
        <w:t>343 -</w:t>
      </w:r>
      <w:r>
        <w:rPr>
          <w:rtl/>
          <w:lang w:eastAsia="en-US"/>
        </w:rPr>
        <w:tab/>
        <w:t>وفي عام 1996 عمدت الحكومة الاتحادية إلى توحيد برامج التحوُّل القائمة سواء على المستوى الاتحادي أو مستوى القطاعات ليضمها برنامج كندا للصحة والتحوُّل الاجتماعي، وهو عبارة عن منحة شاملة مُقدَّمة إلى المقاطعات لدعم الصحة والتعليم ما بعد الثانوي والخدمات الاجتماعية وبرامج المساعدة الاجتماعية. وكثير من البرامج الممولة في إطار هذه المنحة، بما في ذلك إعانات رعاية الطفل للأمهات المنخفضات الدخل وكذلك خدمات المشورة والدعم ومراكز ودور المأوى المعنية بأزمات الاغتصاب، تتسم جميعا بأهمية خاصة بالنسبة للنساء. وقد تم إقرار هذه المنحة لكي يتاح للمقاطعات مزيد من المرونة في تصميم وتنفيذ البرامج الخاصة بها. أما التشريعات التي قنَّنت المنحة فتذكر أن مبادئ وشروط قانون الصحة في كندا سيتم الحفاظ عليها ولن تُطلب فترة حد أدنى من الإقامة ولا يُسمح بها فيما يتعلق بالحصول على المساعدة الاجتماعية. وينبغي للحكومة الاتحادية أن تدعو المقاطعات إلى التشاور والتعاون في العمل، من خلال موافقة مشتركة، على تطوير مجموعة من المبادئ والأهداف المشتركة من أجل البرامج الاجتماعية بخلاف البرامج الصحية. وقد رفعت ميزانية عام 1998 الحد النقدي الأدنى للمنحة المذكورة أعلاه من 11 بليون دولار إلى 12.5 بليون دولار. وبما أن المرأة هي المستخدِم الأساسي والمقدِّم الأول للرعاية الصحية في كندا، فإن الزيادة في التحويلات الاتحادية والتكافؤ من حيث المدفوعات وغير ذلك من المبادرات الرامية إلى دعم الرعاية الصحية سوف يتيحان لكل مقاطعة وإقليم مزيدا من الاستجابة لاحتياجات المرأة في جميع أنحاء البلد.</w:t>
      </w:r>
    </w:p>
    <w:p w:rsidR="00000000" w:rsidRDefault="00000000">
      <w:pPr>
        <w:pStyle w:val="SingleTxt"/>
        <w:tabs>
          <w:tab w:val="left" w:pos="1628"/>
        </w:tabs>
        <w:ind w:left="1264" w:right="1264"/>
        <w:rPr>
          <w:rtl/>
          <w:lang w:eastAsia="en-US"/>
        </w:rPr>
      </w:pPr>
      <w:r>
        <w:rPr>
          <w:rtl/>
          <w:lang w:eastAsia="en-US"/>
        </w:rPr>
        <w:t>344 -</w:t>
      </w:r>
      <w:r>
        <w:rPr>
          <w:rtl/>
          <w:lang w:eastAsia="en-US"/>
        </w:rPr>
        <w:tab/>
        <w:t>ويمثِّل برنامج نساء السكان الأصليين المصدر الأساسي للتمويل الاتحادي المُقدَّم إلى منظمات السكان الأصليين النسائية لأغراض تحسين أحوالهن الاجتماعية الاقتصادية والسياسية. وهو يؤدي إلى تمكين المرأة من السكان الأصليين من خلال بدء الأنشطة والمشاريع التي من شأنها تحسين الظروف الاجتماعية وتَواصُل وحفظ الكيان الثقافي والرفاه الاقتصادي وتنمية الروح القيادية مع صون التميُّز الثقافي وحفظ الهوية الثقافية.</w:t>
      </w:r>
    </w:p>
    <w:p w:rsidR="00000000" w:rsidRDefault="00000000">
      <w:pPr>
        <w:pStyle w:val="SingleTxt"/>
        <w:tabs>
          <w:tab w:val="left" w:pos="1628"/>
        </w:tabs>
        <w:ind w:left="1264" w:right="1264"/>
        <w:rPr>
          <w:rtl/>
          <w:lang w:eastAsia="en-US"/>
        </w:rPr>
      </w:pPr>
      <w:r>
        <w:rPr>
          <w:rtl/>
          <w:lang w:eastAsia="en-US"/>
        </w:rPr>
        <w:t>345 -</w:t>
      </w:r>
      <w:r>
        <w:rPr>
          <w:rtl/>
          <w:lang w:eastAsia="en-US"/>
        </w:rPr>
        <w:tab/>
        <w:t>أما النساء القائمات على تنظيم المشاريع فهن يُغيِّرن وجه الأعمال التجارية في كندا. بل إن الشركات التي ترأسها نساء باتت الآن تخلق مزيدا من فرص العمل بأكثر مما تقدمه أكبر 100 شركة في كندا مجتمعة. وقد وجدت دراسة لمصرف مونتريال في عام 1996 أن الشركات التي تقودها نساء تخلق مزيدا من فرص العمل بمقدار أربعة أضعاف معدل الشركة المتوسطة.</w:t>
      </w:r>
    </w:p>
    <w:p w:rsidR="00000000" w:rsidRDefault="00000000">
      <w:pPr>
        <w:pStyle w:val="SingleTxt"/>
        <w:tabs>
          <w:tab w:val="left" w:pos="1628"/>
        </w:tabs>
        <w:ind w:left="1264" w:right="1264"/>
        <w:rPr>
          <w:rtl/>
          <w:lang w:eastAsia="en-US"/>
        </w:rPr>
      </w:pPr>
      <w:r>
        <w:rPr>
          <w:rtl/>
          <w:lang w:eastAsia="en-US"/>
        </w:rPr>
        <w:t>346 -</w:t>
      </w:r>
      <w:r>
        <w:rPr>
          <w:rtl/>
          <w:lang w:eastAsia="en-US"/>
        </w:rPr>
        <w:tab/>
        <w:t>وتشجع الحكومة هذا الاتجاه الاقتصادي الحيوي باتخاذ عدد من المبادرات التي توجَّه إلى مجالين جوهريين بالنسبة للنساء القائمات على تنظيم المشاريع وهما بدء مشاريعهن التجارية وتوسيعها.</w:t>
      </w:r>
    </w:p>
    <w:p w:rsidR="00000000" w:rsidRDefault="00000000">
      <w:pPr>
        <w:pStyle w:val="SingleTxt"/>
        <w:tabs>
          <w:tab w:val="left" w:pos="1628"/>
        </w:tabs>
        <w:ind w:left="1264" w:right="1264"/>
        <w:rPr>
          <w:rtl/>
          <w:lang w:eastAsia="en-US"/>
        </w:rPr>
      </w:pPr>
      <w:r>
        <w:rPr>
          <w:rtl/>
          <w:lang w:eastAsia="en-US"/>
        </w:rPr>
        <w:t>347 -</w:t>
      </w:r>
      <w:r>
        <w:rPr>
          <w:rtl/>
          <w:lang w:eastAsia="en-US"/>
        </w:rPr>
        <w:tab/>
        <w:t>ويُقدِّم مصرف تنمية الأعمال التجارية في كندا، وهو إحدى مؤسسات التاج، مساعدات على شكل قروض، كما يكفل المشورة لصاحبات الأعمال التجارية ويُنظِّم حلقات دراسية ومؤتمرات مخصصة تحديدا للنساء العاملات في مجال الأعمال التجارية.</w:t>
      </w:r>
    </w:p>
    <w:p w:rsidR="00000000" w:rsidRDefault="00000000">
      <w:pPr>
        <w:pStyle w:val="SingleTxt"/>
        <w:tabs>
          <w:tab w:val="left" w:pos="1628"/>
        </w:tabs>
        <w:ind w:left="1264" w:right="1264"/>
        <w:rPr>
          <w:rtl/>
          <w:lang w:eastAsia="en-US"/>
        </w:rPr>
      </w:pPr>
      <w:r>
        <w:rPr>
          <w:rtl/>
          <w:lang w:eastAsia="en-US"/>
        </w:rPr>
        <w:t>348 -</w:t>
      </w:r>
      <w:r>
        <w:rPr>
          <w:rtl/>
          <w:lang w:eastAsia="en-US"/>
        </w:rPr>
        <w:tab/>
        <w:t>وتقدِّم البرامج التي تحمل عنوان خطوة البدء ثم خطى الصعود فرصة للتدريب على مدار عشرة أشهر وكذلك فرص المشورة والتعلُّم من أجل مساعدة المرأة التي تبدأ أو توسِّع أعمالها التجارية. وهذه البرامج عبارة عن شراكة بين الحكومة الاتحادية وحكومات المقاطعات والقطاع الخاص.</w:t>
      </w:r>
    </w:p>
    <w:p w:rsidR="00000000" w:rsidRDefault="00000000">
      <w:pPr>
        <w:pStyle w:val="SingleTxt"/>
        <w:tabs>
          <w:tab w:val="left" w:pos="1628"/>
        </w:tabs>
        <w:ind w:left="1264" w:right="1264"/>
        <w:rPr>
          <w:rtl/>
          <w:lang w:eastAsia="en-US"/>
        </w:rPr>
      </w:pPr>
      <w:r>
        <w:rPr>
          <w:rtl/>
          <w:lang w:eastAsia="en-US"/>
        </w:rPr>
        <w:t>349 -</w:t>
      </w:r>
      <w:r>
        <w:rPr>
          <w:rtl/>
          <w:lang w:eastAsia="en-US"/>
        </w:rPr>
        <w:tab/>
        <w:t xml:space="preserve">وفي عام 1998 تم تنظيم حلقة دراسية بشأن فرص الحصول على الائتمان للنساء صاحبات الأعمال من جانب فريق الخبراء النسائي الاستشاري بالتعاون مع وزارة التراث الكندية وأمانة وضع المرأة في كندا ووزارة الصناعة والتجارة والعلوم والتكنولوجيا في كيبيك لمعالجة قضايا تنظيم المشاريع التي تواجه المرأة. كما أن مبادرة </w:t>
      </w:r>
      <w:r>
        <w:rPr>
          <w:lang w:eastAsia="en-US"/>
        </w:rPr>
        <w:t>FedNor</w:t>
      </w:r>
      <w:r>
        <w:rPr>
          <w:rtl/>
          <w:lang w:eastAsia="en-US"/>
        </w:rPr>
        <w:t xml:space="preserve"> وهي مبادرة الحكومة الاتحادية للتنمية الاقتصادية في شمالي اونتاريو تقدِّم بدورها التمويل لدعم النساء القائمات على تنظيم المشاريع.</w:t>
      </w:r>
    </w:p>
    <w:p w:rsidR="00000000" w:rsidRDefault="00000000">
      <w:pPr>
        <w:pStyle w:val="SingleTxt"/>
        <w:tabs>
          <w:tab w:val="left" w:pos="1628"/>
        </w:tabs>
        <w:ind w:left="1264" w:right="1264"/>
        <w:rPr>
          <w:rtl/>
          <w:lang w:eastAsia="en-US"/>
        </w:rPr>
      </w:pPr>
      <w:r>
        <w:rPr>
          <w:rtl/>
          <w:lang w:eastAsia="en-US"/>
        </w:rPr>
        <w:t>350 -</w:t>
      </w:r>
      <w:r>
        <w:rPr>
          <w:rtl/>
          <w:lang w:eastAsia="en-US"/>
        </w:rPr>
        <w:tab/>
        <w:t xml:space="preserve">وفي عام 1998 دعَّمت </w:t>
      </w:r>
      <w:r>
        <w:rPr>
          <w:lang w:eastAsia="en-US"/>
        </w:rPr>
        <w:t>FedNor</w:t>
      </w:r>
      <w:r>
        <w:rPr>
          <w:rtl/>
          <w:lang w:eastAsia="en-US"/>
        </w:rPr>
        <w:t xml:space="preserve"> بعثة لنساء شمالي اونتاريو ضمت نساء من صاحبات الأعمال في زيارةإلى شيكاغو. ومنذ عام 1996 تشاورت المبادرة المذكورة مع عدد من منظمات السكان الأصليين بما في ذلك الرابطة النسائية لقدامى السكان الأصليين في اونتاريو من أجل دعم إقامة الأعمال التجارية والتنمية الاقتصادية للسكان الأصليين في المنطقة.</w:t>
      </w:r>
    </w:p>
    <w:p w:rsidR="00000000" w:rsidRDefault="00000000">
      <w:pPr>
        <w:pStyle w:val="SingleTxt"/>
        <w:tabs>
          <w:tab w:val="left" w:pos="1628"/>
        </w:tabs>
        <w:ind w:left="1264" w:right="1264"/>
        <w:rPr>
          <w:rtl/>
          <w:lang w:eastAsia="en-US"/>
        </w:rPr>
      </w:pPr>
      <w:r>
        <w:rPr>
          <w:rtl/>
          <w:lang w:eastAsia="en-US"/>
        </w:rPr>
        <w:t>351 -</w:t>
      </w:r>
      <w:r>
        <w:rPr>
          <w:rtl/>
          <w:lang w:eastAsia="en-US"/>
        </w:rPr>
        <w:tab/>
        <w:t xml:space="preserve">كما تدعم هيئة التنويع الاقتصادي في غربي كندا النساء من صاحبات الأعمال في المنطقة المذكورة. ففي عام 1996 كان هناك ما يقرب من 000 275 من صاحبات الأعمال المستخدَمات لحساب الذات (بما يصل إلى 35 في المائة من عام 1991)، ومعظمهن كان وجودهن مركَّزا في مجال الخدمات الشخصية والأسرية والخدمات الصحية والاجتماعية. ومن منطلق الاعتراف بأن روح تنظيم المشاريع تتيح للمرأة فرصاً وتحديات فريدة، فإن هيئة التنويع الاقتصادي في الغرب أطلقت مبادرة مشاريع المرأة في عام 1994 التي تتيح القروض للنساء من صاحبات المشاريع. وفي الفترة 1996 </w:t>
      </w:r>
      <w:r>
        <w:rPr>
          <w:lang w:eastAsia="en-US"/>
        </w:rPr>
        <w:t>–</w:t>
      </w:r>
      <w:r>
        <w:rPr>
          <w:rtl/>
          <w:lang w:eastAsia="en-US"/>
        </w:rPr>
        <w:t xml:space="preserve"> 1997، قدَّمت المبادرة 107 من القروض إلى النساء صاحبات المشاريع بمبلغ إجماليه 2.3 مليون دولار.</w:t>
      </w:r>
    </w:p>
    <w:p w:rsidR="00000000" w:rsidRDefault="00000000">
      <w:pPr>
        <w:pStyle w:val="SingleTxt"/>
        <w:tabs>
          <w:tab w:val="left" w:pos="1628"/>
        </w:tabs>
        <w:ind w:left="1264" w:right="1264"/>
        <w:rPr>
          <w:rtl/>
          <w:lang w:eastAsia="en-US"/>
        </w:rPr>
      </w:pPr>
      <w:r>
        <w:rPr>
          <w:b/>
          <w:bCs/>
          <w:rtl/>
          <w:lang w:eastAsia="en-US"/>
        </w:rPr>
        <w:t>الأنشطة الدولية</w:t>
      </w:r>
    </w:p>
    <w:p w:rsidR="00000000" w:rsidRDefault="00000000">
      <w:pPr>
        <w:pStyle w:val="SingleTxt"/>
        <w:tabs>
          <w:tab w:val="left" w:pos="1628"/>
        </w:tabs>
        <w:ind w:left="1264" w:right="1264"/>
        <w:rPr>
          <w:rtl/>
          <w:lang w:eastAsia="en-US"/>
        </w:rPr>
      </w:pPr>
      <w:r>
        <w:rPr>
          <w:rtl/>
          <w:lang w:eastAsia="en-US"/>
        </w:rPr>
        <w:t>352 -</w:t>
      </w:r>
      <w:r>
        <w:rPr>
          <w:rtl/>
          <w:lang w:eastAsia="en-US"/>
        </w:rPr>
        <w:tab/>
        <w:t>تعمل وزارة الخارجية والتجارة الدولية بنشاط لدعم النساء من صاحبات المشاريع التجارية. ففي حزيران/يونيه 1998 أطلقت الوزارة الموقع المتعلق بسيدات الأعمال في مجال التجارة على الشبكة العالمية الذي يتيح للنساء صاحبات المشاريع أن يكتسبن المزيد من المعلومات عن الخدمات الحكومية وأساليب التصدير الناجح. كما يتيح لهن الاتصال الشبكي المباشر واكتساب معلومات عن خدمات التمويل والتأمين وتحديد فرص التجارة الخارجية وهذا الموقع وصل بعد إطلاقه إلى أكثر من 500 امرأة كندية.</w:t>
      </w:r>
    </w:p>
    <w:p w:rsidR="00000000" w:rsidRDefault="00000000">
      <w:pPr>
        <w:pStyle w:val="SingleTxt"/>
        <w:tabs>
          <w:tab w:val="left" w:pos="1628"/>
        </w:tabs>
        <w:ind w:left="1264" w:right="1264"/>
        <w:rPr>
          <w:rtl/>
          <w:lang w:eastAsia="en-US"/>
        </w:rPr>
      </w:pPr>
      <w:r>
        <w:rPr>
          <w:rtl/>
          <w:lang w:eastAsia="en-US"/>
        </w:rPr>
        <w:t>353 -</w:t>
      </w:r>
      <w:r>
        <w:rPr>
          <w:rtl/>
          <w:lang w:eastAsia="en-US"/>
        </w:rPr>
        <w:tab/>
        <w:t>كما أطلق ائتلاف البحوث التجارية، بتوجيه من 20 من سيدات الأعمال والأكاديميات والأكاديميين في كندا وممثلي الحكومات، مشروعا بحثيا رئيسيا في أيلول/سبتمبر 1998. واستقصى المشروع 254 من أوضاع صاحبات الأعمال وفحص أنماط صادراتهن واحتياجاتهن في مجال خدمات التصدير. أما النتائج الواردة في وثيقة بعنوان “ما وراء الحدود: سيدات الأعمال الكنديــات في التجارة الدوليـــة” فقد توجهت إلى 500 1 من سيدات الأعمال خلال مؤتمر وطني بالفيديو عُقِد في اليوم الدولي للمرأة، 8 آذار/مارس 1999. وقد شارك في هذا الانعقاد تسعة مواقع عبر كندا والولايات المتحدة والأرجنتين والمملكة المتحدة. وعن طريق هذه المبادرة قامت وزارة الخارجية والتجارة الدولية بتحديد 100 2 من الاتصالات مع صاحبات الأعمال الجدد وأضافتهن إلى قاعدة بياناتها ثم جهزت أول عملية توثيق كمِّيَّة في كندا بشأن أنشطة التصدير واتجاهات هذا القطاع السوقي المتنامي. وفي أعقاب صدور التقرير، وبالاقتران مع شركائها، تولت وزارة الخارجية والتجارة الدولية التنسيق وعقدت أفرقة محورية واسعة النطاق في هذا المجال في طول البلاد وعرضها. وهذه الأفرقة المحورية ساعدت على زيادة الوعي بتقرير “ما وراء الحدود” وطرحت توصيات عملية بشأن أسلوب تطوير النجاح الذي حققته في الأسواق الخارجية المشاريع الصغيرة والمتوسطة التي تمتلكها نساء.</w:t>
      </w:r>
    </w:p>
    <w:p w:rsidR="00000000" w:rsidRDefault="00000000">
      <w:pPr>
        <w:pStyle w:val="SingleTxt"/>
        <w:tabs>
          <w:tab w:val="left" w:pos="1628"/>
        </w:tabs>
        <w:ind w:left="1264" w:right="1264"/>
        <w:rPr>
          <w:rtl/>
          <w:lang w:eastAsia="en-US"/>
        </w:rPr>
      </w:pPr>
      <w:r>
        <w:rPr>
          <w:rtl/>
          <w:lang w:eastAsia="en-US"/>
        </w:rPr>
        <w:t>354 -</w:t>
      </w:r>
      <w:r>
        <w:rPr>
          <w:rtl/>
          <w:lang w:eastAsia="en-US"/>
        </w:rPr>
        <w:tab/>
        <w:t>وقد هيأ هذا البحث المادة الرئيسية للعناصر السياسية التي نُوقشت في مؤتمر القمة التجاري الذي عُقد لسيدات الأعمال في كندا والولايات المتحدة في أيار/مايو 1999 في تورونتو وانصبّ اهتمامه على النساء صاحبات الأعمال. وشارك في تلك القمة 150 من سيدات الأعمال الكنديات و 150 من سيدات الأعمال الأمريكيات ضمن إطار المشاريع الصغيرة والمتوسطة الحجم. وتهيأت للمشاركات فرصة مناقشة العقبات التجارية بين البلدين على نحو ما تصادفه بالذات سيدات الأعمال وتم بحثها بواسطة ائتلاف البحوث التجارية. وجرى تشكيل شراكات من خلال فعاليات لتنظيم التواصل الشبكي بين الأطراف.</w:t>
      </w:r>
    </w:p>
    <w:p w:rsidR="00000000" w:rsidRDefault="00000000">
      <w:pPr>
        <w:pStyle w:val="SingleTxt"/>
        <w:tabs>
          <w:tab w:val="left" w:pos="1628"/>
        </w:tabs>
        <w:ind w:left="1264" w:right="1264"/>
        <w:rPr>
          <w:rtl/>
          <w:lang w:eastAsia="en-US"/>
        </w:rPr>
      </w:pPr>
      <w:r>
        <w:rPr>
          <w:rtl/>
          <w:lang w:eastAsia="en-US"/>
        </w:rPr>
        <w:t>355 -</w:t>
      </w:r>
      <w:r>
        <w:rPr>
          <w:rtl/>
          <w:lang w:eastAsia="en-US"/>
        </w:rPr>
        <w:tab/>
        <w:t>وتضطلع كندا بدور قيادي في تحقيق مصالح المرأة في إطار التعاون الاقتصادي بين دول آسيا والمحيط الهادئ (ابيك) ويتمثل هدف كندا في كفالة أن يعترف هذا التحالف بالحقائق المحدَّدة لحياة المرأة ويتولى بصورة منهجية تدارس الآثار الناجمة عن الجانب الجنساني في أعماله. وكانت كندا ناشطة في إنشاء شبكة النساء القياديات وهي هيئة متصلة بالتحالف المذكور اجتمعت سنويا منذ عام 1996. وخلال سنة رئاستها للأبيك في عام 1997، نجحت كندا في طرح فكرة اجتماع وزاري معني بالمرأة على مستوى التعاون الاقتصادي لآسيا والمحيط الهادئ، وعُقِد في الفلبين في تشرين الأول/أكتوبر 1998 حول موضوع المرأة في التنمية والتعاون في المجال الاقتصادي في الأبيك وليمثل أول اجتماع يتم على المستوى الوزاري ويُعنى بالمرأة في إطار منظمة متعددة الأطراف معنية بالتجارة.</w:t>
      </w:r>
    </w:p>
    <w:p w:rsidR="00000000" w:rsidRDefault="00000000">
      <w:pPr>
        <w:pStyle w:val="SingleTxt"/>
        <w:tabs>
          <w:tab w:val="left" w:pos="1628"/>
        </w:tabs>
        <w:ind w:left="1264" w:right="1264"/>
        <w:rPr>
          <w:rtl/>
          <w:lang w:eastAsia="en-US"/>
        </w:rPr>
      </w:pPr>
      <w:r>
        <w:rPr>
          <w:rtl/>
          <w:lang w:eastAsia="en-US"/>
        </w:rPr>
        <w:t>356 -</w:t>
      </w:r>
      <w:r>
        <w:rPr>
          <w:rtl/>
          <w:lang w:eastAsia="en-US"/>
        </w:rPr>
        <w:tab/>
        <w:t>كما عملت حكومة كندا على المتابعة السريعة لإشراك صاحبات الأعمال من السكان الأصليين ضمن البيئة التجارية في الأبيك. وقبل انعقاد شبكة القياديات والاجتماعات الوزارية التجارية للابيك في حزيران/يونيه 1999، تم تنظيم مؤتمر على مدار ثلاثة أيام للجمع بين سيدات الأعمال من السكان الأصليين من كلٍ من بلدان الأبيك الــ21. وأدى المؤتمر إلى بناء الوعي بنطاق تعاون الأبيك بالنسبة لسيدات الأعمال الكنديات من السكان الأصليين حيث كفل لهن سُبل التعارف إلى شركائهم التجاريين المحتملين من البلدان الـ20 الأخرى، وأدى إلى بناء معارفهن بالعملية التجارية في الأبيك وأوضح الفرص المتاحة أمامهن في مجال التجارة. وسوف يتم أيضا إبلاغ التوصيات من المؤتمر إلى وزراء التجارة في الأبيك فيما يتعلق باحتياجات وأهمية سيدات الأعمال من السكان الأصليين.</w:t>
      </w:r>
    </w:p>
    <w:p w:rsidR="00000000" w:rsidRDefault="00000000">
      <w:pPr>
        <w:pStyle w:val="SingleTxt"/>
        <w:tabs>
          <w:tab w:val="left" w:pos="1628"/>
        </w:tabs>
        <w:ind w:left="1264" w:right="1264"/>
        <w:rPr>
          <w:rtl/>
          <w:lang w:eastAsia="en-US"/>
        </w:rPr>
      </w:pPr>
      <w:r>
        <w:rPr>
          <w:rtl/>
          <w:lang w:eastAsia="en-US"/>
        </w:rPr>
        <w:t>357 -</w:t>
      </w:r>
      <w:r>
        <w:rPr>
          <w:rtl/>
          <w:lang w:eastAsia="en-US"/>
        </w:rPr>
        <w:tab/>
        <w:t>وفي عام 1996، قدَّمت الوكالة الكندية للتنمية الدولية التمويل الأساسي إلى مشروع جديد عن نوع الجنس والإصلاحات الاقتصادية في أفريقيا. ويركز المشروع على زيادة قدرة منظمات البحوث الأفريقية والجماعات النسائية على إجراء البحوث وعلى تحليل السياسات الاقتصادية والتأثير عليها من منظور جنساني.</w:t>
      </w:r>
    </w:p>
    <w:p w:rsidR="00000000" w:rsidRDefault="00000000">
      <w:pPr>
        <w:pStyle w:val="SingleTxt"/>
        <w:tabs>
          <w:tab w:val="left" w:pos="1628"/>
        </w:tabs>
        <w:ind w:left="1264" w:right="1264"/>
        <w:rPr>
          <w:rtl/>
          <w:lang w:eastAsia="en-US"/>
        </w:rPr>
      </w:pPr>
      <w:r>
        <w:rPr>
          <w:rtl/>
          <w:lang w:eastAsia="en-US"/>
        </w:rPr>
        <w:t>358 -</w:t>
      </w:r>
      <w:r>
        <w:rPr>
          <w:rtl/>
          <w:lang w:eastAsia="en-US"/>
        </w:rPr>
        <w:tab/>
        <w:t>وعن طريق الوكالة الكندية للتنمية الدولية أدى برنامج للائتمان المتناهي الصغر للجماعات النسائية الريفية المشارِكة في عمليات الإنتاج/التجهيز الزراعي والزراعة السمكية بالكاميرون، إلى تعليم مهارة تنظيم المشاريع للنساء الريفيات وإلى تقديم الائتمان. وفي كولومبيا نظَّمت مؤسسة كلميدو الكندية حلقات عمل تدريبية وهيأت صندوقا دوَّارا لمساعدة صغار منظمي المشاريع في المجتمعات المحلية المنخفضة الدخل. وتشكل المرأة 60 في المائة من المقترضين في إطار هذا البرنامج. كما أن زيادة مشاركتها ما زالت محل تشجيع.</w:t>
      </w:r>
    </w:p>
    <w:p w:rsidR="00000000" w:rsidRDefault="00000000">
      <w:pPr>
        <w:pStyle w:val="SingleTxt"/>
        <w:tabs>
          <w:tab w:val="left" w:pos="1628"/>
        </w:tabs>
        <w:ind w:left="1264" w:right="1264"/>
        <w:rPr>
          <w:rtl/>
          <w:lang w:eastAsia="en-US"/>
        </w:rPr>
      </w:pPr>
      <w:r>
        <w:rPr>
          <w:rtl/>
          <w:lang w:eastAsia="en-US"/>
        </w:rPr>
        <w:t>359 -</w:t>
      </w:r>
      <w:r>
        <w:rPr>
          <w:rtl/>
          <w:lang w:eastAsia="en-US"/>
        </w:rPr>
        <w:tab/>
        <w:t>وثمة هدف رئيسي لكندا بالنسبة لمؤتمر القمة العالمية المعني بالأغذية في عام 1996، وكان يتمثل في دمج منظور جنساني ضمن جميع الأنشطة الإنمائية والاقتصادية. وتُعد فرص الوصول المتساوية إلى حيث التعليم والائتمان وامتلاك الأرض أمرا جوهريا إذا ما كان للمرأة أن تساهم مساهمة كاملة في تخفيف حدة الفقر وفي تحقيق الأمن الغذائي.</w:t>
      </w:r>
    </w:p>
    <w:p w:rsidR="00000000" w:rsidRDefault="00000000">
      <w:pPr>
        <w:pStyle w:val="SingleTxt"/>
        <w:tabs>
          <w:tab w:val="left" w:pos="1628"/>
        </w:tabs>
        <w:ind w:left="1264" w:right="1264"/>
        <w:rPr>
          <w:rtl/>
          <w:lang w:eastAsia="en-US"/>
        </w:rPr>
      </w:pPr>
      <w:r>
        <w:rPr>
          <w:b/>
          <w:bCs/>
          <w:szCs w:val="32"/>
          <w:rtl/>
          <w:lang w:eastAsia="en-US"/>
        </w:rPr>
        <w:t>البند 13 (أ): الحق في استحقاقات الأسرة</w:t>
      </w:r>
    </w:p>
    <w:p w:rsidR="00000000" w:rsidRDefault="00000000">
      <w:pPr>
        <w:pStyle w:val="SingleTxt"/>
        <w:tabs>
          <w:tab w:val="left" w:pos="1628"/>
        </w:tabs>
        <w:ind w:left="1264" w:right="1264"/>
        <w:rPr>
          <w:rtl/>
          <w:lang w:eastAsia="en-US"/>
        </w:rPr>
      </w:pPr>
      <w:r>
        <w:rPr>
          <w:rtl/>
          <w:lang w:eastAsia="en-US"/>
        </w:rPr>
        <w:t>360 -</w:t>
      </w:r>
      <w:r>
        <w:rPr>
          <w:rtl/>
          <w:lang w:eastAsia="en-US"/>
        </w:rPr>
        <w:tab/>
        <w:t>نظام استحقاق الطفولة الوطني الذي أنشئ في تموز/يوليه 1998 هو مبادرة صُمِّمت على المستوى الاتحادي ومستوى المقاطعات/الأقاليم لدعم الأسر ذات الدخل المنخفض والتخفيف من حدة فقر الطفولة. وتقدِّم الحكومة الاتحادية دعما دخليا متزايدا لهذه الأسر عن طريق استحقاق الطفولة الضريبي في كندا بينما تضع المقاطعات/الأقاليم برامج وخدمات تستهدف الآباء المشتغلين من ذوي الدخل المنخفض وأبنائهم. وهذه البرامج والخدمات تشمل استحقاقات رعاية الطفل واستحقاقات الصحة. وما يقرب من نصف المستفيدين من الاستحقاق المذكور هي أسر الوالد الوحيد التي ترأسها نساء. وتقترح الميزانية الاتحادية لعام 1999 البناء على استحقاق الطفولة الوطني ورفع الحد الأدنى للدخل الذي يبدأ معه الاستحقاق في التخفيض من 921 25 دولارا ليصبح 590 29 دولارا وبكلفة 300 مليون دولار.</w:t>
      </w:r>
    </w:p>
    <w:p w:rsidR="00000000" w:rsidRDefault="00000000">
      <w:pPr>
        <w:pStyle w:val="SingleTxt"/>
        <w:tabs>
          <w:tab w:val="left" w:pos="1628"/>
        </w:tabs>
        <w:ind w:left="1264" w:right="1264"/>
        <w:rPr>
          <w:rtl/>
          <w:lang w:eastAsia="en-US"/>
        </w:rPr>
      </w:pPr>
      <w:r>
        <w:rPr>
          <w:rtl/>
          <w:lang w:eastAsia="en-US"/>
        </w:rPr>
        <w:t>361 -</w:t>
      </w:r>
      <w:r>
        <w:rPr>
          <w:rtl/>
          <w:lang w:eastAsia="en-US"/>
        </w:rPr>
        <w:tab/>
        <w:t>أما أهداف هذه المبادرة فهي:</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المساعدة على منع وتخفيف حدة فقر الطفولة</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تعزيز ارتباط الوالدين بقوة العمل المدفوع الأجر</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تقليل التداخل والازدواجية بين البرامج الكندية وبرامج المقاطعات/الأقاليم</w:t>
      </w:r>
    </w:p>
    <w:p w:rsidR="00000000" w:rsidRDefault="00000000">
      <w:pPr>
        <w:pStyle w:val="SingleTxt"/>
        <w:tabs>
          <w:tab w:val="left" w:pos="1628"/>
        </w:tabs>
        <w:ind w:left="1264" w:right="1264"/>
        <w:rPr>
          <w:rtl/>
          <w:lang w:eastAsia="en-US"/>
        </w:rPr>
      </w:pPr>
      <w:r>
        <w:rPr>
          <w:rtl/>
          <w:lang w:eastAsia="en-US"/>
        </w:rPr>
        <w:t>362 -</w:t>
      </w:r>
      <w:r>
        <w:rPr>
          <w:rtl/>
          <w:lang w:eastAsia="en-US"/>
        </w:rPr>
        <w:tab/>
        <w:t>وفي إطار النظام السابق، كانت بعض الأسر في حالة سيئة بالفعل عندما زاد الوالدان من دخل العمل ولم تَعد الأسرة تتلقى مساعدات اجتماعية لأنها فقدت أنماطا خاصة من دعم الدخل ومزايا من قبيل رعاية الأسنان وغير ذلك من الخدمات التي كان أطفالها ينالونها.</w:t>
      </w:r>
    </w:p>
    <w:p w:rsidR="00000000" w:rsidRDefault="00000000">
      <w:pPr>
        <w:pStyle w:val="SingleTxt"/>
        <w:tabs>
          <w:tab w:val="left" w:pos="1628"/>
        </w:tabs>
        <w:ind w:left="1264" w:right="1264"/>
        <w:rPr>
          <w:rtl/>
          <w:lang w:eastAsia="en-US"/>
        </w:rPr>
      </w:pPr>
      <w:r>
        <w:rPr>
          <w:rtl/>
          <w:lang w:eastAsia="en-US"/>
        </w:rPr>
        <w:t>363 -</w:t>
      </w:r>
      <w:r>
        <w:rPr>
          <w:rtl/>
          <w:lang w:eastAsia="en-US"/>
        </w:rPr>
        <w:tab/>
        <w:t>ويبدأ استحقاق الطفولة في معالجة هذه الحالة جزئيا من خلال إعادة تشكيل هياكل البرامج والخدمات بما يكفل للأسر المنخفضة الدخل ذات الأطفال أن تتلقى دعما دخْليا ومزايا وخدمات مقارنة. وفيما تتحول الأسر من مجال المساعدة الاجتماعية إلى الاستخدام المدفوع فهي تظل تتلقى الدعم المالي لمساعدتها على رعاية أطفالها وعلى تلبية التكاليف المرتبطة بالأطفال بعد التوظيف. وبصورة شاملة فإن الدعم الدخلي المُقدَّم للعائلات التي تعيش على مساعدات اجتماعية يبقى على الأقل هو نفسه كما كان قبل تنفيذ استحقاق الطفولة الوطني.</w:t>
      </w:r>
    </w:p>
    <w:p w:rsidR="00000000" w:rsidRDefault="00000000">
      <w:pPr>
        <w:pStyle w:val="SingleTxt"/>
        <w:tabs>
          <w:tab w:val="left" w:pos="1628"/>
        </w:tabs>
        <w:ind w:left="1264" w:right="1264"/>
        <w:rPr>
          <w:rtl/>
          <w:lang w:eastAsia="en-US"/>
        </w:rPr>
      </w:pPr>
      <w:r>
        <w:rPr>
          <w:rtl/>
          <w:lang w:eastAsia="en-US"/>
        </w:rPr>
        <w:t>364 -</w:t>
      </w:r>
      <w:r>
        <w:rPr>
          <w:rtl/>
          <w:lang w:eastAsia="en-US"/>
        </w:rPr>
        <w:tab/>
        <w:t>وفيما يزيد التمويل الاتحادي للدعم الدخلي المقدَّم للأسر ذات الأطفال، فقد وافقت المقاطعات والأقاليم على أن أي وفورات تتحقق سيعاد استثمارها في برامج تكميلية لتحسين إمكانية الارتباط بقوة العمل المدفوع وبالمزايا والخدمات المقدمة للأسر المنخفضة الدخل وذات الأطفال. وقد أعلنت المقاطعات والأقاليم عن برامج مبتكرة لمزايا الطفولة بما من شأنه تضييق الهوة بين ما يتلقاه المستفيدون من المساعدات الاجتماعية والآباء المستخدَمون في العمل، بما في ذلك برامج الدعم الدخلي ومُكمِّلات الدخل المكسوب والمزايا العينية (المزايا الصحية/علاج الأسنان على سبيل المثال) فضلا عن رعاية الطفولة والبرامج الموجَّهة للأسر/الأطفال المهدَّدين بالخطر. وبما أن ثمة تحركا ملموسا من جانب كثير من العائلات بين الحصول على المساعدة الاجتماعية والاستخدام في العمل فمن شأن ذلك أن يكفل المزيد من الأمن بالنسبة للأسر المنخفضة الدخل وذات الأطفال.</w:t>
      </w:r>
    </w:p>
    <w:p w:rsidR="00000000" w:rsidRDefault="00000000">
      <w:pPr>
        <w:pStyle w:val="SingleTxt"/>
        <w:tabs>
          <w:tab w:val="left" w:pos="1628"/>
        </w:tabs>
        <w:ind w:left="1264" w:right="1264"/>
        <w:rPr>
          <w:rtl/>
          <w:lang w:eastAsia="en-US"/>
        </w:rPr>
      </w:pPr>
      <w:r>
        <w:rPr>
          <w:rtl/>
          <w:lang w:eastAsia="en-US"/>
        </w:rPr>
        <w:t>365 -</w:t>
      </w:r>
      <w:r>
        <w:rPr>
          <w:rtl/>
          <w:lang w:eastAsia="en-US"/>
        </w:rPr>
        <w:tab/>
        <w:t>كذلك فإن السكان الأصليين الذين يعيشون في المحميات سوف يستفيدون من الوفورات المعاد استثمارها بموجب نظام استحقاقات الطفولة الوطني. والعمل جارٍ لتحسين فرص حصول أسر الأقوام الأولى على الاستحقاق الضريبي للطفولة في كندا.</w:t>
      </w:r>
    </w:p>
    <w:p w:rsidR="00000000" w:rsidRDefault="00000000">
      <w:pPr>
        <w:pStyle w:val="SingleTxt"/>
        <w:tabs>
          <w:tab w:val="left" w:pos="1628"/>
        </w:tabs>
        <w:ind w:left="1264" w:right="1264"/>
        <w:rPr>
          <w:b/>
          <w:bCs/>
          <w:szCs w:val="32"/>
          <w:rtl/>
          <w:lang w:eastAsia="en-US"/>
        </w:rPr>
      </w:pPr>
    </w:p>
    <w:p w:rsidR="00000000" w:rsidRDefault="00000000">
      <w:pPr>
        <w:pStyle w:val="SingleTxt"/>
        <w:tabs>
          <w:tab w:val="left" w:pos="1628"/>
        </w:tabs>
        <w:ind w:left="1264" w:right="1264"/>
        <w:rPr>
          <w:b/>
          <w:bCs/>
          <w:szCs w:val="32"/>
          <w:rtl/>
          <w:lang w:eastAsia="en-US"/>
        </w:rPr>
      </w:pPr>
    </w:p>
    <w:p w:rsidR="00000000" w:rsidRDefault="00000000">
      <w:pPr>
        <w:pStyle w:val="SingleTxt"/>
        <w:tabs>
          <w:tab w:val="left" w:pos="1628"/>
        </w:tabs>
        <w:ind w:left="1264" w:right="1264"/>
        <w:rPr>
          <w:b/>
          <w:bCs/>
          <w:szCs w:val="32"/>
          <w:rtl/>
          <w:lang w:eastAsia="en-US"/>
        </w:rPr>
      </w:pPr>
    </w:p>
    <w:p w:rsidR="00000000" w:rsidRDefault="00000000">
      <w:pPr>
        <w:pStyle w:val="SingleTxt"/>
        <w:tabs>
          <w:tab w:val="left" w:pos="1628"/>
        </w:tabs>
        <w:ind w:left="1264" w:right="1264"/>
        <w:rPr>
          <w:rtl/>
          <w:lang w:eastAsia="en-US"/>
        </w:rPr>
      </w:pPr>
      <w:r>
        <w:rPr>
          <w:b/>
          <w:bCs/>
          <w:szCs w:val="32"/>
          <w:rtl/>
          <w:lang w:eastAsia="en-US"/>
        </w:rPr>
        <w:t xml:space="preserve">المادة 13 (ج): الحق في المشاركة في الأنشطة الترفيهية والألعاب الرياضية </w:t>
      </w:r>
      <w:r>
        <w:rPr>
          <w:b/>
          <w:bCs/>
          <w:szCs w:val="32"/>
          <w:rtl/>
          <w:lang w:eastAsia="en-US"/>
        </w:rPr>
        <w:tab/>
      </w:r>
      <w:r>
        <w:rPr>
          <w:b/>
          <w:bCs/>
          <w:szCs w:val="32"/>
          <w:rtl/>
          <w:lang w:eastAsia="en-US"/>
        </w:rPr>
        <w:tab/>
      </w:r>
      <w:r>
        <w:rPr>
          <w:b/>
          <w:bCs/>
          <w:szCs w:val="32"/>
          <w:rtl/>
          <w:lang w:eastAsia="en-US"/>
        </w:rPr>
        <w:tab/>
      </w:r>
      <w:r>
        <w:rPr>
          <w:b/>
          <w:bCs/>
          <w:szCs w:val="32"/>
          <w:rtl/>
          <w:lang w:eastAsia="en-US"/>
        </w:rPr>
        <w:tab/>
      </w:r>
      <w:r>
        <w:rPr>
          <w:b/>
          <w:bCs/>
          <w:szCs w:val="32"/>
          <w:rtl/>
          <w:lang w:eastAsia="en-US"/>
        </w:rPr>
        <w:tab/>
        <w:t xml:space="preserve">   وجميع جوانب الحياة الثقافية</w:t>
      </w:r>
    </w:p>
    <w:p w:rsidR="00000000" w:rsidRDefault="00000000">
      <w:pPr>
        <w:pStyle w:val="SingleTxt"/>
        <w:tabs>
          <w:tab w:val="left" w:pos="1628"/>
        </w:tabs>
        <w:ind w:left="1264" w:right="1264"/>
        <w:rPr>
          <w:rtl/>
          <w:lang w:eastAsia="en-US"/>
        </w:rPr>
      </w:pPr>
      <w:r>
        <w:rPr>
          <w:rtl/>
          <w:lang w:eastAsia="en-US"/>
        </w:rPr>
        <w:t>366 -</w:t>
      </w:r>
      <w:r>
        <w:rPr>
          <w:rtl/>
          <w:lang w:eastAsia="en-US"/>
        </w:rPr>
        <w:tab/>
        <w:t>تشارك الحكومة الاتحادية في عدد من المبادرات الرامية إلى زيادة مشاركة المرأة في الثقافة والألعاب الرياضية. كذلك فإن الخطة الاتحادية للمساواة بين الجنسين تتوخى هدفا يتمثل في تعزيز مساواة الجنسين في جميع جوانب الحياة الثقافية في كندا.</w:t>
      </w:r>
    </w:p>
    <w:p w:rsidR="00000000" w:rsidRDefault="00000000">
      <w:pPr>
        <w:pStyle w:val="SingleTxt"/>
        <w:tabs>
          <w:tab w:val="left" w:pos="1628"/>
        </w:tabs>
        <w:ind w:left="1264" w:right="1264"/>
        <w:rPr>
          <w:rtl/>
          <w:lang w:eastAsia="en-US"/>
        </w:rPr>
      </w:pPr>
      <w:r>
        <w:rPr>
          <w:rtl/>
          <w:lang w:eastAsia="en-US"/>
        </w:rPr>
        <w:t>367 -</w:t>
      </w:r>
      <w:r>
        <w:rPr>
          <w:rtl/>
          <w:lang w:eastAsia="en-US"/>
        </w:rPr>
        <w:tab/>
        <w:t>وتعاونت وزارة الرياضة في كندا مع الرابطة الكندية للنهوض بالمرأة وهيئة النشاط الرياضي والبدني على دعم جوائز التفوُّق التي تجسد الاحتفال بمنجزات المرأة الكندية في مجال الألعاب الرياضية. وفي عام 1998 تعاونت جوائز التفوُّق مع جوائز الرياضة الكندية حيث حظي الجانبان بتغطية إعلامية واسعة.</w:t>
      </w:r>
    </w:p>
    <w:p w:rsidR="00000000" w:rsidRDefault="00000000">
      <w:pPr>
        <w:pStyle w:val="SingleTxt"/>
        <w:tabs>
          <w:tab w:val="left" w:pos="1628"/>
        </w:tabs>
        <w:ind w:left="1264" w:right="1264"/>
        <w:rPr>
          <w:rtl/>
          <w:lang w:eastAsia="en-US"/>
        </w:rPr>
      </w:pPr>
      <w:r>
        <w:rPr>
          <w:rtl/>
          <w:lang w:eastAsia="en-US"/>
        </w:rPr>
        <w:t>368 -</w:t>
      </w:r>
      <w:r>
        <w:rPr>
          <w:rtl/>
          <w:lang w:eastAsia="en-US"/>
        </w:rPr>
        <w:tab/>
        <w:t xml:space="preserve">ومنذ الفترة 1996 </w:t>
      </w:r>
      <w:r>
        <w:rPr>
          <w:lang w:eastAsia="en-US"/>
        </w:rPr>
        <w:t>–</w:t>
      </w:r>
      <w:r>
        <w:rPr>
          <w:rtl/>
          <w:lang w:eastAsia="en-US"/>
        </w:rPr>
        <w:t xml:space="preserve"> 1997 طُلب إلى المنظمات الرياضية الوطنية أن تحدد مستويات معيَّنة لمساواة المرأة والفرص المتاحة لها حيث تقل مشاركة/تمثيل الأنثى بنسبة 40 في المائة، بل ويتعين أن يكون لهذه المنظمات سياسة وإجراءات معتمدة في مجال التحرُّش من أجل أن تتلقى دعما اتحاديا. وقد عكفت رابطة الهوكي الكندية، من خلال تمويل اتحادي، وبالتعاون مع برنامج خدمات منع الإيذاء التابع للصليب الأحمر، على وضع مواد مرجعية للنوادي والمنظمات الرياضية في مجال التحرُّش. ومن هذه المراجع دليل بعنوان “ارفعي صوتك </w:t>
      </w:r>
      <w:r>
        <w:rPr>
          <w:lang w:eastAsia="en-US"/>
        </w:rPr>
        <w:t>…</w:t>
      </w:r>
      <w:r>
        <w:rPr>
          <w:rtl/>
          <w:lang w:eastAsia="en-US"/>
        </w:rPr>
        <w:t xml:space="preserve"> بادري بالتصرف” وقد صدر في كانون الثاني/يناير 1998.</w:t>
      </w:r>
    </w:p>
    <w:p w:rsidR="00000000" w:rsidRDefault="00000000">
      <w:pPr>
        <w:pStyle w:val="SingleTxt"/>
        <w:tabs>
          <w:tab w:val="left" w:pos="1628"/>
        </w:tabs>
        <w:ind w:left="1264" w:right="1264"/>
        <w:rPr>
          <w:rtl/>
          <w:lang w:eastAsia="en-US"/>
        </w:rPr>
      </w:pPr>
      <w:r>
        <w:rPr>
          <w:rtl/>
          <w:lang w:eastAsia="en-US"/>
        </w:rPr>
        <w:t>369 -</w:t>
      </w:r>
      <w:r>
        <w:rPr>
          <w:rtl/>
          <w:lang w:eastAsia="en-US"/>
        </w:rPr>
        <w:tab/>
        <w:t>وبالاشتراك مع دورة الألعاب الأوليمبية الشتوية لعام 1998 في ناجانو باليابان تم إعداد مجموعة من النبذات عن الرياضيين الأوليمبيين وشبه الأوليمبيين وقُدِّمت اللاعبات الرياضيات في ست من بين سبع نبذات كما صوِّرت لاعبات الهوكي في نبذتين أخريين. وجاء تصوير اللاعبات الرياضيات في حملة تليفزيونية كبرى على المستوى الوطني خلال الألعاب الأوليمبية وشبه الأوليمبية ليعزِّز صورة النساء الرياضيات الناجحات بوصفهن من نماذج القدوة والقيادة.</w:t>
      </w:r>
    </w:p>
    <w:p w:rsidR="00000000" w:rsidRDefault="00000000">
      <w:pPr>
        <w:pStyle w:val="SingleTxt"/>
        <w:tabs>
          <w:tab w:val="left" w:pos="1628"/>
        </w:tabs>
        <w:ind w:left="1264" w:right="1264"/>
        <w:rPr>
          <w:rtl/>
          <w:lang w:eastAsia="en-US"/>
        </w:rPr>
      </w:pPr>
      <w:r>
        <w:rPr>
          <w:rtl/>
          <w:lang w:eastAsia="en-US"/>
        </w:rPr>
        <w:t>370 -</w:t>
      </w:r>
      <w:r>
        <w:rPr>
          <w:rtl/>
          <w:lang w:eastAsia="en-US"/>
        </w:rPr>
        <w:tab/>
        <w:t>وفي هذا العقد ركَّزت الحكومة الاتحادية على الاحتفال بمساهمة المرأة في التاريخ الكندي. فمنذ عام 1995 نالت المرأة 27 ترشيحا في هذا المجال وهذه الترشيحات تشمل: الأحداث الهامة مثل الفوز بالانتخابات والأماكن المهمة كمساكن الممرضات ومستشفى الكلية النسائية والجماعات الهامة بما في ذلك اتحاد الاعتدال المسيحي والنساء البارزات مثل اميلي ستو ومرغريب نيوتن واديث أرشيبولد. وفي كل سنة تضيف المكتبة الوطنية بكندا عناصر جديدة إلى صفحتها على الشبكة العالمية بشأن مساهمات المرأة الكندية وتحت عنوان “الاحتفال بمنجزات المرأة”.</w:t>
      </w:r>
    </w:p>
    <w:p w:rsidR="00000000" w:rsidRDefault="00000000">
      <w:pPr>
        <w:pStyle w:val="SingleTxt"/>
        <w:tabs>
          <w:tab w:val="left" w:pos="1628"/>
        </w:tabs>
        <w:ind w:left="1264" w:right="1264"/>
        <w:rPr>
          <w:rtl/>
          <w:lang w:eastAsia="en-US"/>
        </w:rPr>
      </w:pPr>
      <w:r>
        <w:rPr>
          <w:rtl/>
          <w:lang w:eastAsia="en-US"/>
        </w:rPr>
        <w:t>371 -</w:t>
      </w:r>
      <w:r>
        <w:rPr>
          <w:rtl/>
          <w:lang w:eastAsia="en-US"/>
        </w:rPr>
        <w:tab/>
        <w:t>كذلك فإن ما تشهده المتاحف من فعاليات وعروض وغير ذلك من البرامج، سواء في سياق اليوم الدولي للمرأة أو شهر تاريخ المرأة أو كجزء من البرامج العادية، كل ذلك يخدم أيضا بوصفه وسيلة من الوسائل المهمة لجعل الكنديين أكثر وعيا بالدور التاريخي الذي اضطلعت به المرأة في تطور كندا. وأبرز ما في هذه العروض ما يشمل تصوير النساء المخترعات والحياة البيتية (المتحف الوطني للعلوم والتكنولوجيا) وجولة المعرض حول المرأة في مجال الطيران وقد استحدثها متحف الطيران الوطني فضلا عن معرض في المتحف الحربي الكندي بشأن الفيلق النسائي بالجيش الكندي.</w:t>
      </w:r>
    </w:p>
    <w:p w:rsidR="00000000" w:rsidRDefault="00000000">
      <w:pPr>
        <w:pStyle w:val="SingleTxt"/>
        <w:tabs>
          <w:tab w:val="left" w:pos="1628"/>
        </w:tabs>
        <w:ind w:left="1264" w:right="1264"/>
        <w:rPr>
          <w:b/>
          <w:bCs/>
          <w:szCs w:val="32"/>
          <w:rtl/>
          <w:lang w:eastAsia="en-US"/>
        </w:rPr>
      </w:pPr>
      <w:r>
        <w:rPr>
          <w:b/>
          <w:bCs/>
          <w:szCs w:val="32"/>
          <w:rtl/>
          <w:lang w:eastAsia="en-US"/>
        </w:rPr>
        <w:t>المادة 14: المرأة الريفية</w:t>
      </w:r>
    </w:p>
    <w:p w:rsidR="00000000" w:rsidRDefault="00000000">
      <w:pPr>
        <w:pStyle w:val="SingleTxt"/>
        <w:tabs>
          <w:tab w:val="left" w:pos="1628"/>
        </w:tabs>
        <w:ind w:left="1264" w:right="1264"/>
        <w:rPr>
          <w:szCs w:val="32"/>
          <w:rtl/>
          <w:lang w:eastAsia="en-US"/>
        </w:rPr>
      </w:pPr>
      <w:r>
        <w:rPr>
          <w:b/>
          <w:bCs/>
          <w:szCs w:val="32"/>
          <w:rtl/>
          <w:lang w:eastAsia="en-US"/>
        </w:rPr>
        <w:t xml:space="preserve">المادة 14 </w:t>
      </w:r>
      <w:r>
        <w:rPr>
          <w:b/>
          <w:bCs/>
          <w:szCs w:val="32"/>
          <w:lang w:eastAsia="en-US"/>
        </w:rPr>
        <w:t>–</w:t>
      </w:r>
      <w:r>
        <w:rPr>
          <w:b/>
          <w:bCs/>
          <w:szCs w:val="32"/>
          <w:rtl/>
          <w:lang w:eastAsia="en-US"/>
        </w:rPr>
        <w:t xml:space="preserve"> 1: الإنصاف الاقتصادي للمرأة الريفية</w:t>
      </w:r>
    </w:p>
    <w:p w:rsidR="00000000" w:rsidRDefault="00000000">
      <w:pPr>
        <w:pStyle w:val="SingleTxt"/>
        <w:tabs>
          <w:tab w:val="left" w:pos="1628"/>
        </w:tabs>
        <w:ind w:left="1264" w:right="1264"/>
        <w:rPr>
          <w:rtl/>
          <w:lang w:eastAsia="en-US"/>
        </w:rPr>
      </w:pPr>
      <w:r>
        <w:rPr>
          <w:rtl/>
          <w:lang w:eastAsia="en-US"/>
        </w:rPr>
        <w:t>372 -</w:t>
      </w:r>
      <w:r>
        <w:rPr>
          <w:rtl/>
          <w:lang w:eastAsia="en-US"/>
        </w:rPr>
        <w:tab/>
        <w:t>في عام 1994، اعتمد وزراء الزراعة على مستوى الاتحاد والمقاطعات والأقاليم قرارا مشهودا بشأن النهوض بالمرأة المُزارعة من منطلق الاعتراف بدورها الأساسي بوصفها شريكا اقتصاديا في سبيل صناعة غذائية زراعية مزدهرة. ووافق الوزراء على تعزيز ودعم المبادرات التي تؤدي إلى تمكين الُمزارعات من المشاركة، بدرجة أكبر بكثير، في محافل السياسات وصنع القرارات التي تؤثر على تشغيل وتنمية القطاع الزراعي. وفي إطار التزامهم بالنهوض بالمرأة المزارعة في مجال القيادة وصنع القرار جاء اتفاقهم على الاجتماع إلى القياديات بين النساء المزارعات سنويا. ومنذ عام 1994، دأب وزير الزراعة الاتحادي على عقد اجتماعات عمل سنوية مع قيادات المنظمات النسائية الزراعية على المستوى الوطني.</w:t>
      </w:r>
    </w:p>
    <w:p w:rsidR="00000000" w:rsidRDefault="00000000">
      <w:pPr>
        <w:pStyle w:val="SingleTxt"/>
        <w:tabs>
          <w:tab w:val="left" w:pos="1628"/>
        </w:tabs>
        <w:ind w:left="1264" w:right="1264"/>
        <w:rPr>
          <w:rtl/>
          <w:lang w:eastAsia="en-US"/>
        </w:rPr>
      </w:pPr>
      <w:r>
        <w:rPr>
          <w:rtl/>
          <w:lang w:eastAsia="en-US"/>
        </w:rPr>
        <w:t>373 -</w:t>
      </w:r>
      <w:r>
        <w:rPr>
          <w:rtl/>
          <w:lang w:eastAsia="en-US"/>
        </w:rPr>
        <w:tab/>
        <w:t>وتقوم وزارة الزراعة والصناعات الغذائية الزراعية في كندا برصد تقدُّم البلاد فيما يتعلق بالنهوض بالمرأة في أي قرار يتم من خلال دعوة وزراء الزراعة بالمقاطعات إلى تقديم تقارير سنوية مُستكمَلة بشأن أي تدابير يتم اتخاذها في مقاطعاتهم لزيادة مشاركة المرأة في مجال السياسات وصنع القرار، أو لكفالة تعيين المزيد من النساء في الوكالات ومجالس الصناعات واللجان المختصة وما إلى ذلك. ويتم تحليل الاستجابات وتوزيع تقرير موجز على المقاطعات وكذلك على منظمات النساء المزارعات.</w:t>
      </w:r>
    </w:p>
    <w:p w:rsidR="00000000" w:rsidRDefault="00000000">
      <w:pPr>
        <w:pStyle w:val="SingleTxt"/>
        <w:tabs>
          <w:tab w:val="left" w:pos="1628"/>
        </w:tabs>
        <w:ind w:left="1264" w:right="1264"/>
        <w:rPr>
          <w:rtl/>
          <w:lang w:eastAsia="en-US"/>
        </w:rPr>
      </w:pPr>
      <w:r>
        <w:rPr>
          <w:rtl/>
          <w:lang w:eastAsia="en-US"/>
        </w:rPr>
        <w:t>374 -</w:t>
      </w:r>
      <w:r>
        <w:rPr>
          <w:rtl/>
          <w:lang w:eastAsia="en-US"/>
        </w:rPr>
        <w:tab/>
        <w:t>ومن خلال مكتب الُمزارعات، تقوم وزارة الزراعة والصناعات الغذائية الزراعية في كندا بعقد اجتماعات منتظمة مع القيادات النسائية الوطنية بين النساء الُمزارعات، إضافة إلى زيارات تشاورية منتظمة لتبادل المعلومات عن القضايا والأنشطة ذات الأولوية والاطلاع على مساهماتهن في أعمال التخطيط بالوزارة.</w:t>
      </w:r>
    </w:p>
    <w:p w:rsidR="00000000" w:rsidRDefault="00000000">
      <w:pPr>
        <w:pStyle w:val="SingleTxt"/>
        <w:tabs>
          <w:tab w:val="left" w:pos="1628"/>
        </w:tabs>
        <w:ind w:left="1264" w:right="1264"/>
        <w:rPr>
          <w:rtl/>
          <w:lang w:eastAsia="en-US"/>
        </w:rPr>
      </w:pPr>
      <w:r>
        <w:rPr>
          <w:rtl/>
          <w:lang w:eastAsia="en-US"/>
        </w:rPr>
        <w:t>375 -</w:t>
      </w:r>
      <w:r>
        <w:rPr>
          <w:rtl/>
          <w:lang w:eastAsia="en-US"/>
        </w:rPr>
        <w:tab/>
        <w:t>ومنذ عام 1996 واصلت الوزارة العمل من أجل تنفيذ هدف مشاركة المرأة في المشاورات التي تتم على مستوى الوزارة ودوائر الصناعة من خلال رصد قوائم بالمشاركات وطرح أسماء بالنساء المزارعات والريفيات على منظمي المؤتمرات والمشاورات للمشاركة فيها.</w:t>
      </w:r>
    </w:p>
    <w:p w:rsidR="00000000" w:rsidRDefault="00000000">
      <w:pPr>
        <w:pStyle w:val="SingleTxt"/>
        <w:tabs>
          <w:tab w:val="left" w:pos="1628"/>
        </w:tabs>
        <w:ind w:left="1264" w:right="1264"/>
        <w:rPr>
          <w:rtl/>
          <w:lang w:eastAsia="en-US"/>
        </w:rPr>
      </w:pPr>
      <w:r>
        <w:rPr>
          <w:rtl/>
          <w:lang w:eastAsia="en-US"/>
        </w:rPr>
        <w:t>376 -</w:t>
      </w:r>
      <w:r>
        <w:rPr>
          <w:rtl/>
          <w:lang w:eastAsia="en-US"/>
        </w:rPr>
        <w:tab/>
        <w:t>ولزيادة تمثيل المرأة في محافل صنع القرار، أنشأت الوزارة مصرف مواهب وطني عن المرأة المزارعة/الريفية ليكون مرجعا لكبار المسؤولين عندما ينظرون في أمر التعيينات للهيئات والمجالس واللجان الزراعية.</w:t>
      </w:r>
    </w:p>
    <w:p w:rsidR="00000000" w:rsidRDefault="00000000">
      <w:pPr>
        <w:pStyle w:val="SingleTxt"/>
        <w:tabs>
          <w:tab w:val="left" w:pos="1628"/>
        </w:tabs>
        <w:ind w:left="1264" w:right="1264"/>
        <w:rPr>
          <w:szCs w:val="32"/>
          <w:rtl/>
          <w:lang w:eastAsia="en-US"/>
        </w:rPr>
      </w:pPr>
      <w:r>
        <w:rPr>
          <w:b/>
          <w:bCs/>
          <w:szCs w:val="32"/>
          <w:rtl/>
          <w:lang w:eastAsia="en-US"/>
        </w:rPr>
        <w:t xml:space="preserve">المادة 14 </w:t>
      </w:r>
      <w:r>
        <w:rPr>
          <w:b/>
          <w:bCs/>
          <w:szCs w:val="32"/>
          <w:lang w:eastAsia="en-US"/>
        </w:rPr>
        <w:t>–</w:t>
      </w:r>
      <w:r>
        <w:rPr>
          <w:b/>
          <w:bCs/>
          <w:szCs w:val="32"/>
          <w:rtl/>
          <w:lang w:eastAsia="en-US"/>
        </w:rPr>
        <w:t xml:space="preserve"> 2: التنمية الريفية</w:t>
      </w:r>
    </w:p>
    <w:p w:rsidR="00000000" w:rsidRDefault="00000000">
      <w:pPr>
        <w:pStyle w:val="SingleTxt"/>
        <w:tabs>
          <w:tab w:val="left" w:pos="1628"/>
        </w:tabs>
        <w:ind w:left="1264" w:right="1264"/>
        <w:rPr>
          <w:rtl/>
          <w:lang w:eastAsia="en-US"/>
        </w:rPr>
      </w:pPr>
      <w:r>
        <w:rPr>
          <w:rtl/>
          <w:lang w:eastAsia="en-US"/>
        </w:rPr>
        <w:t>377 -</w:t>
      </w:r>
      <w:r>
        <w:rPr>
          <w:rtl/>
          <w:lang w:eastAsia="en-US"/>
        </w:rPr>
        <w:tab/>
        <w:t>بالاشتراك مع وزارات أخرى قدَّمت وزارة الزراعة والصناعات الغذائية الزراعية التمويل لجماعات النساء المزارعات والريفيات من خلال برامج وزارية مختلفة تتضمن مشاريع متصلة بالشواغل التي تهم المرأة. وهو ما يشمل الصحة وسلامة المزرعة ورعاية الطفل الريفي والعنف الأسري والحقوق الاجتماعية والاقتصادية والقانونية للنساء المزارعات وإنشاء المنظمات. كما يشمل مشاركة النساء المزارعات والريفيات في المؤتمرات الوطنية والدولية بما في ذلك مؤتمر بيجين العالمي لعام 1995 المعني بالمرأة ثم المؤتمر الدولي الثاني المعقود في فترة لاحقة بشأن المرأة في الزراعة في واشنطن العاصمة.</w:t>
      </w:r>
    </w:p>
    <w:p w:rsidR="00000000" w:rsidRDefault="00000000">
      <w:pPr>
        <w:pStyle w:val="SingleTxt"/>
        <w:tabs>
          <w:tab w:val="left" w:pos="1628"/>
        </w:tabs>
        <w:ind w:left="1264" w:right="1264"/>
        <w:rPr>
          <w:rtl/>
          <w:lang w:eastAsia="en-US"/>
        </w:rPr>
      </w:pPr>
      <w:r>
        <w:rPr>
          <w:rtl/>
          <w:lang w:eastAsia="en-US"/>
        </w:rPr>
        <w:t>378 -</w:t>
      </w:r>
      <w:r>
        <w:rPr>
          <w:rtl/>
          <w:lang w:eastAsia="en-US"/>
        </w:rPr>
        <w:tab/>
        <w:t xml:space="preserve">وكانت المرأة الريفية جزءا لا يتجزأ من مبادرة الشراكة الريفية الكندية. ففي الفترة 1998 </w:t>
      </w:r>
      <w:r>
        <w:rPr>
          <w:lang w:eastAsia="en-US"/>
        </w:rPr>
        <w:t>–</w:t>
      </w:r>
      <w:r>
        <w:rPr>
          <w:rtl/>
          <w:lang w:eastAsia="en-US"/>
        </w:rPr>
        <w:t xml:space="preserve"> 1999، كان هناك خمسة من النساء من بين أعضاء لجنة الاختيار الاستشارية العشرة بما كفل توازنا جنسانيا في استعراض مقترحات بالمشاريع النموذجية. وقد شملت المشاريع النموذجية المعتَمدة تركيزا على المرأة الريفية. وفي الفترة 1999 </w:t>
      </w:r>
      <w:r>
        <w:rPr>
          <w:lang w:eastAsia="en-US"/>
        </w:rPr>
        <w:t>–</w:t>
      </w:r>
      <w:r>
        <w:rPr>
          <w:rtl/>
          <w:lang w:eastAsia="en-US"/>
        </w:rPr>
        <w:t xml:space="preserve"> 2000، يتم التوصية بإقامة عدد أكبر من المشاريع النموذجية التي تستهدف المرأة بوصفها المحور الرئيسي للاهتمام.</w:t>
      </w:r>
    </w:p>
    <w:p w:rsidR="00000000" w:rsidRDefault="00000000">
      <w:pPr>
        <w:pStyle w:val="SingleTxt"/>
        <w:tabs>
          <w:tab w:val="left" w:pos="1628"/>
        </w:tabs>
        <w:ind w:left="1264" w:right="1264"/>
        <w:rPr>
          <w:rtl/>
          <w:lang w:eastAsia="en-US"/>
        </w:rPr>
      </w:pPr>
      <w:r>
        <w:rPr>
          <w:rtl/>
          <w:lang w:eastAsia="en-US"/>
        </w:rPr>
        <w:t>379 -</w:t>
      </w:r>
      <w:r>
        <w:rPr>
          <w:rtl/>
          <w:lang w:eastAsia="en-US"/>
        </w:rPr>
        <w:tab/>
        <w:t>ولقيت الجماعات النسائية تشجيعا من جانب الأمانة الريفية على المشاركة في الحوار الريفي. وعلى سبيل المثال، ففي صيف 1998، نظَّمت هيئة المرأة والتنمية الاقتصادية الريفية حلقة العمل الخاصة بها لضمان أن تحوز مشاكل المرأة الاهتمام بوصفها جزءا من تلك المرحلة من الحوار. ولدى عقد حلقة العمل الريفية الوطنية في عام 1998، كانت نسبة 50 في المائة من المشاركين من النساء. وهذه الحلقة اقتصرت على المدعوين إليها فقط واتخذ قرار على أساس محسوب باستهداف 50 في المائة من تمثيل الإناث. ومنذ انعقاد حلقة العمل المذكورة، ظل تركيز الحوار منصبا على القيام بأنشطة إقليمية في ظل جهود تُبذَل لأن يشمل تمثيلا متساويا للمرأة.</w:t>
      </w:r>
    </w:p>
    <w:p w:rsidR="00000000" w:rsidRDefault="00000000">
      <w:pPr>
        <w:pStyle w:val="SingleTxt"/>
        <w:tabs>
          <w:tab w:val="left" w:pos="1628"/>
        </w:tabs>
        <w:ind w:left="1264" w:right="1264"/>
        <w:rPr>
          <w:rtl/>
          <w:lang w:eastAsia="en-US"/>
        </w:rPr>
      </w:pPr>
      <w:r>
        <w:rPr>
          <w:rtl/>
          <w:lang w:eastAsia="en-US"/>
        </w:rPr>
        <w:t>380 -</w:t>
      </w:r>
      <w:r>
        <w:rPr>
          <w:rtl/>
          <w:lang w:eastAsia="en-US"/>
        </w:rPr>
        <w:tab/>
        <w:t>وتشارك وزارة وضع المرأة في كندا في عضوية في كثير من الأفرقة الريفية على مستوى كندا بأسرها، وهي تسدي مشورة لها قيمتها فيما يتعلق بكفالة الاهتمام بمصالح المرأة الريفية على مستوى المبادرات الريفية التي تتم تحت قيادة الاتحاد. والأمانة الريفية على اتصال منتظم بمكتب النساء المزارعات بحيث تظل النساء المزارعات على علم بالمبادرات الريفية ويتم دعوتهن للمشاركة فيها.</w:t>
      </w:r>
    </w:p>
    <w:p w:rsidR="00000000" w:rsidRDefault="00000000">
      <w:pPr>
        <w:pStyle w:val="SingleTxt"/>
        <w:tabs>
          <w:tab w:val="left" w:pos="1628"/>
        </w:tabs>
        <w:ind w:left="1264" w:right="1264"/>
        <w:rPr>
          <w:b/>
          <w:bCs/>
          <w:rtl/>
          <w:lang w:eastAsia="en-US"/>
        </w:rPr>
      </w:pPr>
      <w:r>
        <w:rPr>
          <w:b/>
          <w:bCs/>
          <w:rtl/>
          <w:lang w:eastAsia="en-US"/>
        </w:rPr>
        <w:t>المادة 15: الحقوق القانونية</w:t>
      </w:r>
    </w:p>
    <w:p w:rsidR="00000000" w:rsidRDefault="00000000">
      <w:pPr>
        <w:pStyle w:val="SingleTxt"/>
        <w:tabs>
          <w:tab w:val="left" w:pos="1628"/>
        </w:tabs>
        <w:ind w:left="1264" w:right="1264"/>
        <w:rPr>
          <w:rtl/>
          <w:lang w:eastAsia="en-US"/>
        </w:rPr>
      </w:pPr>
      <w:r>
        <w:rPr>
          <w:b/>
          <w:bCs/>
          <w:szCs w:val="32"/>
          <w:rtl/>
          <w:lang w:eastAsia="en-US"/>
        </w:rPr>
        <w:t xml:space="preserve">المادة 15 </w:t>
      </w:r>
      <w:r>
        <w:rPr>
          <w:b/>
          <w:bCs/>
          <w:szCs w:val="32"/>
          <w:lang w:eastAsia="en-US"/>
        </w:rPr>
        <w:t>–</w:t>
      </w:r>
      <w:r>
        <w:rPr>
          <w:b/>
          <w:bCs/>
          <w:szCs w:val="32"/>
          <w:rtl/>
          <w:lang w:eastAsia="en-US"/>
        </w:rPr>
        <w:t xml:space="preserve"> 1: المساواة مع الرجل أمام القانون</w:t>
      </w:r>
    </w:p>
    <w:p w:rsidR="00000000" w:rsidRDefault="00000000">
      <w:pPr>
        <w:pStyle w:val="SingleTxt"/>
        <w:tabs>
          <w:tab w:val="left" w:pos="1628"/>
        </w:tabs>
        <w:ind w:left="1264" w:right="1264"/>
        <w:rPr>
          <w:rtl/>
          <w:lang w:eastAsia="en-US"/>
        </w:rPr>
      </w:pPr>
      <w:r>
        <w:rPr>
          <w:rtl/>
          <w:lang w:eastAsia="en-US"/>
        </w:rPr>
        <w:t>381 -</w:t>
      </w:r>
      <w:r>
        <w:rPr>
          <w:rtl/>
          <w:lang w:eastAsia="en-US"/>
        </w:rPr>
        <w:tab/>
        <w:t>بموجب الترتيبات الدستورية الكندية، فإن إقامة العدل مسألة إقليمية في المحل الأول فيما تمارِس الحكومة الاتحادية قدرا من الولاية التشريعية على سلطات الإنفاق المالي. ومنذ عام 1995 لم تعد الحكومة الاتحادية تخصِّص تحديدا أموالا محولَّة إلى المقاطعات لأغراض المعونة القانونية المدنية. وهذه المعونة القانونية المدنية متاحة في جميع أنحاء كندا، ومع ذلك تختلف معايير استحقاقها فيما بين الولايات التشريعية.</w:t>
      </w:r>
    </w:p>
    <w:p w:rsidR="00000000" w:rsidRDefault="00000000">
      <w:pPr>
        <w:pStyle w:val="SingleTxt"/>
        <w:tabs>
          <w:tab w:val="left" w:pos="1628"/>
        </w:tabs>
        <w:ind w:left="1264" w:right="1264"/>
        <w:rPr>
          <w:rtl/>
          <w:lang w:eastAsia="en-US"/>
        </w:rPr>
      </w:pPr>
      <w:r>
        <w:rPr>
          <w:rtl/>
          <w:lang w:eastAsia="en-US"/>
        </w:rPr>
        <w:t>382 -</w:t>
      </w:r>
      <w:r>
        <w:rPr>
          <w:rtl/>
          <w:lang w:eastAsia="en-US"/>
        </w:rPr>
        <w:tab/>
        <w:t>وقد أنشأت رابطة المحامين الكندية اللجنة الدائمة المعنية بالمساواة لتقوم برصد تنفيذ التوصيات التي طرحتها قوة العمل المعنية بالمساواة الجنسانية المنبثقة عن رابطة المحامين الكندية وعنوانها “معالم للتغيير: المساواة والتنوع والمساءلة”. وقد شمل التقرير أكثر من 200 توصية بشأن سُبل تحسين حالة المرأة في مهنة القانون. وقد وضعت اللجنة خطة العمل المتعلقة بالمساواة التي تقوم سنويا بتسجيل مدى التقدُّم الذي تحرزه المؤسسات المختلفة التي تشملها توصيات قوة العمل المذكورة. وتقدِّم وزارة العدل تقريرا مستكملا كل عام إلى اللجنة عن التقدُّم المحرز منذ توصيات عام 1993 وقد قُدِّم أحدث هذه التقارير في أيار/مايو 1998.</w:t>
      </w:r>
    </w:p>
    <w:p w:rsidR="00000000" w:rsidRDefault="00000000">
      <w:pPr>
        <w:pStyle w:val="SingleTxt"/>
        <w:tabs>
          <w:tab w:val="left" w:pos="1628"/>
        </w:tabs>
        <w:ind w:left="1264" w:right="1264"/>
        <w:rPr>
          <w:rtl/>
          <w:lang w:eastAsia="en-US"/>
        </w:rPr>
      </w:pPr>
      <w:r>
        <w:rPr>
          <w:rtl/>
          <w:lang w:eastAsia="en-US"/>
        </w:rPr>
        <w:t>383 -</w:t>
      </w:r>
      <w:r>
        <w:rPr>
          <w:rtl/>
          <w:lang w:eastAsia="en-US"/>
        </w:rPr>
        <w:tab/>
        <w:t>وتشمل الإجراءات التي اتخذتها وزارة العدل الاتحادية استجابة إلى التوصيات ما يلي: رصد الإنصاف في توزيع عبء العمل ولا سيما في المناصب العليا واستيعاب المسؤوليات الأسرية من خلال سياسة شاملة بشأن ترتيبات العمل البديلة، وإقرار سياسة لاستخدام الوكلاء القانونيين من مكاتب المحاماة حيث يكون الإنصاف في التوظيف التزاما واضحا للعيان.</w:t>
      </w:r>
    </w:p>
    <w:p w:rsidR="00000000" w:rsidRDefault="00000000">
      <w:pPr>
        <w:pStyle w:val="SingleTxt"/>
        <w:tabs>
          <w:tab w:val="left" w:pos="1628"/>
        </w:tabs>
        <w:ind w:left="1264" w:right="1264"/>
        <w:rPr>
          <w:rtl/>
          <w:lang w:eastAsia="en-US"/>
        </w:rPr>
      </w:pPr>
      <w:r>
        <w:rPr>
          <w:rtl/>
          <w:lang w:eastAsia="en-US"/>
        </w:rPr>
        <w:t>384 -</w:t>
      </w:r>
      <w:r>
        <w:rPr>
          <w:rtl/>
          <w:lang w:eastAsia="en-US"/>
        </w:rPr>
        <w:tab/>
        <w:t>وقامت كندا بدور قيادي في إنشاء المحكمة الجنائية الدولية المستقلة والفعَّالة. كما عملت بنشاط من أجل الوصول إلى لائحة مراعية لنوع الجنس بما في ذلك تأمين البند الذي يقضي بضرورة تطبيق المصادر المنطبقة من القانون دون أي تمييز سلبي على أساس مبررات كنوع الجنس. وما برحت كندا تعزَّز إدماج منظور جنساني ضمن أركان الجرائم وقواعد الإجراءات والإثبات.</w:t>
      </w:r>
    </w:p>
    <w:p w:rsidR="00000000" w:rsidRDefault="00000000">
      <w:pPr>
        <w:pStyle w:val="SingleTxt"/>
        <w:tabs>
          <w:tab w:val="left" w:pos="1628"/>
        </w:tabs>
        <w:ind w:left="1264" w:right="1264"/>
        <w:rPr>
          <w:rtl/>
          <w:lang w:eastAsia="en-US"/>
        </w:rPr>
      </w:pPr>
      <w:r>
        <w:rPr>
          <w:rtl/>
          <w:lang w:eastAsia="en-US"/>
        </w:rPr>
        <w:t>385 -</w:t>
      </w:r>
      <w:r>
        <w:rPr>
          <w:rtl/>
          <w:lang w:eastAsia="en-US"/>
        </w:rPr>
        <w:tab/>
        <w:t>وقد تبنت كندا نجاح الدعوة إلى إدراج العنف الجنسي والجنساني ضمن تعريف الجرائم بالنسبة للأحكام التي تكفل حماية المجني عليهم والشهود وكذلك من أجل ضمان توافر الخبرات المهمة في تشكيل وإدارة المحكمة الجنائية الدولية. ونشطت كندا كذلك من أجل تأمين الإشارات التي تؤكد على ضرورة انتقاء الدول قضاة يتمتعون بالخبرة في مجال العنف الموجَّه ضد المرأة وضرورة أن يتخذ المدعي العام تدابير تكفل فعالية التحقيق في قضايا العنف الجنسي والعنف الموجَّه ضد الأطفال.</w:t>
      </w:r>
    </w:p>
    <w:p w:rsidR="00000000" w:rsidRDefault="00000000">
      <w:pPr>
        <w:pStyle w:val="SingleTxt"/>
        <w:tabs>
          <w:tab w:val="left" w:pos="1628"/>
        </w:tabs>
        <w:ind w:left="1264" w:right="1264"/>
        <w:rPr>
          <w:rtl/>
          <w:lang w:eastAsia="en-US"/>
        </w:rPr>
      </w:pPr>
      <w:r>
        <w:rPr>
          <w:rtl/>
          <w:lang w:eastAsia="en-US"/>
        </w:rPr>
        <w:t>386 -</w:t>
      </w:r>
      <w:r>
        <w:rPr>
          <w:rtl/>
          <w:lang w:eastAsia="en-US"/>
        </w:rPr>
        <w:tab/>
        <w:t>وأيدت كندا بقوة تعيين مستشارين في مجال العنف القائم على أساس جنساني لدى المحكمة الجنائية الدولية مع إنشاء وحدة للمجني عليهم والشهود من أجل حماية المجني عليهم والشهود وتأمينهم وإسداء المشورة إليهم، بما في ذلك توافر الموظفين من ذوي الخبرة في التعامل مع الصدمات المتصلة بجرائم العنف الجنسي. وعيَّنت كندا مستشارا من منظمة غير حكومية مزودا بخبرة في القضايا الجنسانية لدى الوفد الكندي في مؤتمر روما الذي عقد في تموز/يوليه 1998 لإنشاء المحكمة الجنائية الدولية وعملت في تعاون وثيق مع المنظمات غير الحكومية المهتمة بالنتائج ذات الصلة التي تراعي الجانب الجنساني.</w:t>
      </w:r>
    </w:p>
    <w:p w:rsidR="00000000" w:rsidRDefault="00000000">
      <w:pPr>
        <w:pStyle w:val="SingleTxt"/>
        <w:tabs>
          <w:tab w:val="left" w:pos="1628"/>
        </w:tabs>
        <w:ind w:left="1264" w:right="1264"/>
        <w:rPr>
          <w:rtl/>
          <w:lang w:eastAsia="en-US"/>
        </w:rPr>
      </w:pPr>
      <w:r>
        <w:rPr>
          <w:b/>
          <w:bCs/>
          <w:szCs w:val="32"/>
          <w:rtl/>
          <w:lang w:eastAsia="en-US"/>
        </w:rPr>
        <w:t>المادة 16: المرأة والأسرة</w:t>
      </w:r>
    </w:p>
    <w:p w:rsidR="00000000" w:rsidRDefault="00000000">
      <w:pPr>
        <w:pStyle w:val="SingleTxt"/>
        <w:tabs>
          <w:tab w:val="left" w:pos="1628"/>
        </w:tabs>
        <w:ind w:left="1264" w:right="1264"/>
        <w:rPr>
          <w:rtl/>
          <w:lang w:eastAsia="en-US"/>
        </w:rPr>
      </w:pPr>
      <w:r>
        <w:rPr>
          <w:rtl/>
          <w:lang w:eastAsia="en-US"/>
        </w:rPr>
        <w:t>387 -</w:t>
      </w:r>
      <w:r>
        <w:rPr>
          <w:rtl/>
          <w:lang w:eastAsia="en-US"/>
        </w:rPr>
        <w:tab/>
        <w:t xml:space="preserve">في رسالة عن الميزانية أعلنت الحكومة في 6 آذار/مارس 1996 عن إصلاحات شاملة في مجال دعم الطفولة. وشملت الإصلاحات إدخال مبادئ توجيهية لدعم الطفولة وتغييرا في المعاملــة الضريبيــة لدعــم الطفولــة مــا لبث أن دخل حيِّز النفاذ في 1 أيار/مايو 1997. على أن المبادئ التوجيهية لدعم الطفولة (مشروع القانون (جيم </w:t>
      </w:r>
      <w:r>
        <w:rPr>
          <w:lang w:eastAsia="en-US"/>
        </w:rPr>
        <w:t>–</w:t>
      </w:r>
      <w:r>
        <w:rPr>
          <w:rtl/>
          <w:lang w:eastAsia="en-US"/>
        </w:rPr>
        <w:t xml:space="preserve"> 41) ما لبثت أن تعطلت في سياق جلسات الاستماع التي عقدتها لجنة مجلس الشيوخ في تشرين الثاني/نوفمبر 1996. ومن أجل التماس مَخرج لهذا الطريق المسدود، جرى الاتفاق على أن تقوم لجنة مجلس الشيوخ برصد استخدام المبادئ التوجيهية وأن تقوم لجنة مشتركة بين مجلس العموم ومجلس الشيوخ باستعراض مسألة الحضانة وسُبل الوصول إلى الطفل.</w:t>
      </w:r>
    </w:p>
    <w:p w:rsidR="00000000" w:rsidRDefault="00000000">
      <w:pPr>
        <w:pStyle w:val="SingleTxt"/>
        <w:tabs>
          <w:tab w:val="left" w:pos="1628"/>
        </w:tabs>
        <w:ind w:left="1264" w:right="1264"/>
        <w:rPr>
          <w:rtl/>
          <w:lang w:eastAsia="en-US"/>
        </w:rPr>
      </w:pPr>
      <w:r>
        <w:rPr>
          <w:rtl/>
          <w:lang w:eastAsia="en-US"/>
        </w:rPr>
        <w:t>388 -</w:t>
      </w:r>
      <w:r>
        <w:rPr>
          <w:rtl/>
          <w:lang w:eastAsia="en-US"/>
        </w:rPr>
        <w:tab/>
        <w:t>وقد أنشئت اللجنة المشتركة الخاصة المعنية بحضانة الطفل وسُبل الوصول إليه في كانون الأول/ديسمبر 1997 لدراسة وتحليل المسائل المتعلقة بالحضانة وترتيبات الوصول بعد الانفصال والطلاق. وعلى مدار عام 1998 عقدت اللجنة 55 جلسة استماع علنية. وفي 9 كانون الأول/ديسمبر 1998 قدَّمت تقريرها بعنوان “من أجل الأطفال” ويحوي 48 توصية تحيل إلى طائفة واسعة من القضايا المختلفة.</w:t>
      </w:r>
    </w:p>
    <w:p w:rsidR="00000000" w:rsidRDefault="00000000">
      <w:pPr>
        <w:pStyle w:val="SingleTxt"/>
        <w:tabs>
          <w:tab w:val="left" w:pos="1628"/>
        </w:tabs>
        <w:ind w:left="1264" w:right="1264"/>
        <w:rPr>
          <w:rtl/>
          <w:lang w:eastAsia="en-US"/>
        </w:rPr>
      </w:pPr>
      <w:r>
        <w:rPr>
          <w:rtl/>
          <w:lang w:eastAsia="en-US"/>
        </w:rPr>
        <w:t>389 -</w:t>
      </w:r>
      <w:r>
        <w:rPr>
          <w:rtl/>
          <w:lang w:eastAsia="en-US"/>
        </w:rPr>
        <w:tab/>
        <w:t>وطرح وزير العدل استجابة الحكومة في 10 أيار/مايو 1999 وهذه الاستجابة تشمل المواضيع الرئيسية والشواغل والتوصيات الواردة في تقرير اللجنة ضمن سياق استراتيجية اتحادية مقترحة للإصلاح. وسوف تستكشف الحكومة التوجيهات الرئيسية مع المقاطعات والأقاليم على مدار السنوات القليلة القادمة.</w:t>
      </w:r>
    </w:p>
    <w:p w:rsidR="00000000" w:rsidRDefault="00000000">
      <w:pPr>
        <w:pStyle w:val="SingleTxt"/>
        <w:tabs>
          <w:tab w:val="left" w:pos="1628"/>
        </w:tabs>
        <w:ind w:left="1264" w:right="1264"/>
        <w:rPr>
          <w:rtl/>
          <w:lang w:eastAsia="en-US"/>
        </w:rPr>
      </w:pPr>
      <w:r>
        <w:rPr>
          <w:rtl/>
          <w:lang w:eastAsia="en-US"/>
        </w:rPr>
        <w:t>390 -</w:t>
      </w:r>
      <w:r>
        <w:rPr>
          <w:rtl/>
          <w:lang w:eastAsia="en-US"/>
        </w:rPr>
        <w:tab/>
        <w:t>وسوف تشمل عملية تنفيذ استراتيجية الإصلاح العمل بصورة وثيقة مع المقاطعات والأقاليم بالتنسيق مع الاستعراض الشامل للحكومة الاتحادية للمبادئ التوجيهية الاتحادية لدعم الطفولة. ويتعين على وزير العدل تقديم تقرير بحلول 1 أيار/مايو 2002 بشأن تنفيذ المبادئ التوجيهية الجديدة لدعم الطفولة. أما استراتيجية الإصلاح المبيَّنة في الاستجابة فسوف يجري تنفيذها بالاقتران مع استعراض دعم الطفولة على أن يعالِج التقرير المطلوب تقديمه في عام 2002 مسائل الحضانة وسُبل الوصول إلى الطفل إلى جانب دعم الطفولة.</w:t>
      </w:r>
    </w:p>
    <w:p w:rsidR="00000000" w:rsidRDefault="00000000">
      <w:pPr>
        <w:pStyle w:val="SingleTxt"/>
        <w:tabs>
          <w:tab w:val="left" w:pos="1628"/>
        </w:tabs>
        <w:ind w:left="1264" w:right="1264"/>
        <w:rPr>
          <w:rtl/>
          <w:lang w:eastAsia="en-US"/>
        </w:rPr>
      </w:pPr>
      <w:r>
        <w:rPr>
          <w:b/>
          <w:bCs/>
          <w:szCs w:val="32"/>
          <w:rtl/>
          <w:lang w:eastAsia="en-US"/>
        </w:rPr>
        <w:t>المادة 16 (د):</w:t>
      </w:r>
      <w:r>
        <w:rPr>
          <w:b/>
          <w:bCs/>
          <w:szCs w:val="32"/>
          <w:rtl/>
          <w:lang w:eastAsia="en-US"/>
        </w:rPr>
        <w:tab/>
        <w:t xml:space="preserve">التمتع بنفس الحقوق وتحمّل نفس المسؤوليات للوالدين بصفتهما </w:t>
      </w:r>
      <w:r>
        <w:rPr>
          <w:b/>
          <w:bCs/>
          <w:szCs w:val="32"/>
          <w:rtl/>
          <w:lang w:eastAsia="en-US"/>
        </w:rPr>
        <w:tab/>
      </w:r>
      <w:r>
        <w:rPr>
          <w:b/>
          <w:bCs/>
          <w:szCs w:val="32"/>
          <w:rtl/>
          <w:lang w:eastAsia="en-US"/>
        </w:rPr>
        <w:tab/>
      </w:r>
      <w:r>
        <w:rPr>
          <w:b/>
          <w:bCs/>
          <w:szCs w:val="32"/>
          <w:rtl/>
          <w:lang w:eastAsia="en-US"/>
        </w:rPr>
        <w:tab/>
      </w:r>
      <w:r>
        <w:rPr>
          <w:b/>
          <w:bCs/>
          <w:szCs w:val="32"/>
          <w:rtl/>
          <w:lang w:eastAsia="en-US"/>
        </w:rPr>
        <w:tab/>
        <w:t xml:space="preserve"> هذه في المسائل المتصلة بأطفالهما</w:t>
      </w:r>
    </w:p>
    <w:p w:rsidR="00000000" w:rsidRDefault="00000000">
      <w:pPr>
        <w:pStyle w:val="SingleTxt"/>
        <w:tabs>
          <w:tab w:val="left" w:pos="1628"/>
        </w:tabs>
        <w:ind w:left="1264" w:right="1264"/>
        <w:rPr>
          <w:rtl/>
          <w:lang w:eastAsia="en-US"/>
        </w:rPr>
      </w:pPr>
      <w:r>
        <w:rPr>
          <w:rtl/>
          <w:lang w:eastAsia="en-US"/>
        </w:rPr>
        <w:t>391 -</w:t>
      </w:r>
      <w:r>
        <w:rPr>
          <w:rtl/>
          <w:lang w:eastAsia="en-US"/>
        </w:rPr>
        <w:tab/>
        <w:t>في عام 1996 تم إعلان نظام جديد لدعم الطفولة. وهذا النظام يتسم بأربعة ملامح رئيسية:</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إدخال معاملة ضريبية تقضي بأنه لا خصم/لا إضافة</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إيجاد مبادئ توجيهية جديدة لحساب مدفوعات دعم الطفولة</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تدابير إنفاذ جديدة</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 xml:space="preserve">زيادة في مكملات الدخل العامل (بعد أن حل محله نظام استحقاق الطفولة الوطني </w:t>
      </w:r>
      <w:r>
        <w:rPr>
          <w:rtl/>
          <w:lang w:eastAsia="en-US"/>
        </w:rPr>
        <w:tab/>
      </w:r>
      <w:r>
        <w:rPr>
          <w:rtl/>
          <w:lang w:eastAsia="en-US"/>
        </w:rPr>
        <w:tab/>
      </w:r>
      <w:r>
        <w:rPr>
          <w:rtl/>
          <w:lang w:eastAsia="en-US"/>
        </w:rPr>
        <w:tab/>
        <w:t>الجديد)</w:t>
      </w:r>
    </w:p>
    <w:p w:rsidR="00000000" w:rsidRDefault="00000000">
      <w:pPr>
        <w:pStyle w:val="SingleTxt"/>
        <w:tabs>
          <w:tab w:val="left" w:pos="1628"/>
        </w:tabs>
        <w:ind w:left="1264" w:right="1264"/>
        <w:rPr>
          <w:rtl/>
          <w:lang w:eastAsia="en-US"/>
        </w:rPr>
      </w:pPr>
      <w:r>
        <w:rPr>
          <w:rtl/>
          <w:lang w:eastAsia="en-US"/>
        </w:rPr>
        <w:t>392 -</w:t>
      </w:r>
      <w:r>
        <w:rPr>
          <w:rtl/>
          <w:lang w:eastAsia="en-US"/>
        </w:rPr>
        <w:tab/>
        <w:t>وكانت نتيجة المعاملة الضريبية الجديدة هي أن أصبح بالإمكان استخدام المبلغ الكامل من مدفوعات الدعم لأغراض رعاية الطفل. ومن شأن المبادئ التوجيهية الاتحادية الجديدة لدعم الطفولة أن تُيسِّر أكثر حساب المبلغ المناسب لمدفوعات الدعم حيث تجعل النظام أكثر اتساقا وقابلية للتنبؤ. أما التدابير الجديدة فتساعد السلطات على مستوى المقاطعات والأقاليم لتنفيذ أوامر دعم الطفولة. وعلى سبيل المثال أضيفت قاعدة بيانات وكالة الجمارك والدخل في كندا إلى قائمة مصارف المعلومات الاتحادية التي يمكن استخدامها لتقصي أثر الممتنعين عن السداد. ويمكن الآن لهيئة المعاشات التقاعدية الاتحادية أن تحوِّل المدفوعات إلى حيث يتم الدفع لدعم الطفولة، كما أن الجوازات وبعض التراخيص الاتحادية يمكن وقفها إذا ما ظل مدين في حال تأخر مزمن في السداد. وبالإضافة إلى ذلك ينص القانون على تدابير تكفل مساعدة المقاطعات على تيسير إجراءات الجباية خارج المقاطعة. ومن شأن قاعدة بيانات موحَّدة عن الامتناع عن السداد وعن الامتثال لأوامر الدعم أن تساعد بدورها الحكومة على تصميم آليات إنفاذ أكثر فعالية. ومنذ عام 1997، ظل “قانون الإفلاس وعدم الملاءة المالية” يشمل أحكاما تُعطي الأولوية إلى المستفيدين من دعم الطفل والزوج الذين يكون آباؤهم أو شركاؤهم السابقون قد قدَّموا طلبات لإعلان الإفلاس أو للتأخر عن سداد مبالغ معيَّنة. وهؤلاء المستفيدون هم في الغالب الأعم من النساء. وبوصفهم من الدائنين ذوي الأولوية، فإن هؤلاء المستفيدين لهم الأسبقية على الدائنين غير المؤمَّن عليهم. وتظل المدفوعات غير المسددة من دعم الطفولة أو الزوج أمرا لا يلغيه إعلان الإفلاس. كما أن القانون يتيح تعويضات عن الضرر بالنسبة للإيذاء البدني الذي وقع عن سبق إصرار أو الاعتداء الجنسي بحيث يظل التعويض قائما بصرف النظر عن حالة الإفلاس.</w:t>
      </w:r>
    </w:p>
    <w:p w:rsidR="00000000" w:rsidRDefault="00000000">
      <w:pPr>
        <w:pStyle w:val="SingleTxt"/>
        <w:tabs>
          <w:tab w:val="left" w:pos="1628"/>
        </w:tabs>
        <w:ind w:left="1264" w:right="1264"/>
        <w:rPr>
          <w:szCs w:val="32"/>
          <w:rtl/>
          <w:lang w:eastAsia="en-US"/>
        </w:rPr>
      </w:pPr>
      <w:r>
        <w:rPr>
          <w:b/>
          <w:bCs/>
          <w:szCs w:val="32"/>
          <w:rtl/>
          <w:lang w:eastAsia="en-US"/>
        </w:rPr>
        <w:t>المادة 16 (ح): التمتُّع بنفس الحقوق فيما يتعلق بالممتلكات والتصرُّف في المِلكية</w:t>
      </w:r>
    </w:p>
    <w:p w:rsidR="00000000" w:rsidRDefault="00000000">
      <w:pPr>
        <w:pStyle w:val="SingleTxt"/>
        <w:tabs>
          <w:tab w:val="left" w:pos="1628"/>
        </w:tabs>
        <w:ind w:left="1264" w:right="1264"/>
        <w:rPr>
          <w:rtl/>
          <w:lang w:eastAsia="en-US"/>
        </w:rPr>
      </w:pPr>
      <w:r>
        <w:rPr>
          <w:rtl/>
          <w:lang w:eastAsia="en-US"/>
        </w:rPr>
        <w:t>393 -</w:t>
      </w:r>
      <w:r>
        <w:rPr>
          <w:rtl/>
          <w:lang w:eastAsia="en-US"/>
        </w:rPr>
        <w:tab/>
        <w:t>عمد وزير الشؤون الهندية والتنمية الشمالية إلى إعطاء الأولوية لشواغل المرأة من الأقوام الأولى. ففي 9 كانون الأول/ديسمبر 1999، أعلن الوزير أنه سوف يعيِّن ممثلا خاصا تتمثل ولايته الشاملة في وضع توصيات تكفل الحماية لحقوق المرأة من الأقوام الأولى. وسوف يتمتع الممثل الخاص لحماية حقوق نساء الأقوام الأولى بالولاية التي تخّول له أن يفحص قِسمة الملكية الحقيقية الزواجية في المحمية في حالة فصم رابطة الزواج.</w:t>
      </w:r>
    </w:p>
    <w:p w:rsidR="00000000" w:rsidRDefault="00000000">
      <w:pPr>
        <w:pStyle w:val="SingleTxt"/>
        <w:tabs>
          <w:tab w:val="left" w:pos="1628"/>
        </w:tabs>
        <w:ind w:left="1264" w:right="1264"/>
        <w:rPr>
          <w:b/>
          <w:bCs/>
          <w:szCs w:val="34"/>
          <w:rtl/>
          <w:lang w:eastAsia="en-US"/>
        </w:rPr>
      </w:pPr>
      <w:r>
        <w:rPr>
          <w:rtl/>
          <w:lang w:eastAsia="en-US"/>
        </w:rPr>
        <w:br w:type="page"/>
      </w:r>
      <w:r>
        <w:rPr>
          <w:b/>
          <w:bCs/>
          <w:szCs w:val="34"/>
          <w:rtl/>
          <w:lang w:eastAsia="en-US"/>
        </w:rPr>
        <w:t>الجزء الثالث التدابير التي اتخذتها حكومة المقاطعات</w:t>
      </w:r>
    </w:p>
    <w:p w:rsidR="00000000" w:rsidRDefault="00000000">
      <w:pPr>
        <w:pStyle w:val="SingleTxt"/>
        <w:tabs>
          <w:tab w:val="left" w:pos="1628"/>
        </w:tabs>
        <w:ind w:left="1264" w:right="1264"/>
        <w:rPr>
          <w:rtl/>
          <w:lang w:eastAsia="en-US"/>
        </w:rPr>
      </w:pPr>
      <w:r>
        <w:rPr>
          <w:b/>
          <w:bCs/>
          <w:szCs w:val="34"/>
          <w:rtl/>
          <w:lang w:eastAsia="en-US"/>
        </w:rPr>
        <w:t>نيوفاوندلاند</w:t>
      </w:r>
    </w:p>
    <w:p w:rsidR="00000000" w:rsidRDefault="00000000">
      <w:pPr>
        <w:pStyle w:val="SingleTxt"/>
        <w:tabs>
          <w:tab w:val="left" w:pos="1628"/>
        </w:tabs>
        <w:ind w:left="1264" w:right="1264"/>
        <w:rPr>
          <w:rtl/>
          <w:lang w:eastAsia="en-US"/>
        </w:rPr>
      </w:pPr>
      <w:r>
        <w:rPr>
          <w:rtl/>
          <w:lang w:eastAsia="en-US"/>
        </w:rPr>
        <w:t>394 -</w:t>
      </w:r>
      <w:r>
        <w:rPr>
          <w:rtl/>
          <w:lang w:eastAsia="en-US"/>
        </w:rPr>
        <w:tab/>
        <w:t>هذا التقرير مقدَّم من مقاطعة نيوفاوندلاند ليغطي الفترة من 1 نيسان/أبريل 1994 إلى 31 آذار/مارس 1998.</w:t>
      </w:r>
    </w:p>
    <w:p w:rsidR="00000000" w:rsidRDefault="00000000">
      <w:pPr>
        <w:pStyle w:val="SingleTxt"/>
        <w:tabs>
          <w:tab w:val="left" w:pos="1628"/>
        </w:tabs>
        <w:ind w:left="1264" w:right="1264"/>
        <w:rPr>
          <w:szCs w:val="32"/>
          <w:rtl/>
          <w:lang w:eastAsia="en-US"/>
        </w:rPr>
      </w:pPr>
      <w:r>
        <w:rPr>
          <w:b/>
          <w:bCs/>
          <w:szCs w:val="32"/>
          <w:rtl/>
          <w:lang w:eastAsia="en-US"/>
        </w:rPr>
        <w:t>المادة 2: تدابير منع التمييز</w:t>
      </w:r>
    </w:p>
    <w:p w:rsidR="00000000" w:rsidRDefault="00000000">
      <w:pPr>
        <w:pStyle w:val="SingleTxt"/>
        <w:tabs>
          <w:tab w:val="left" w:pos="1628"/>
        </w:tabs>
        <w:ind w:left="1264" w:right="1264"/>
        <w:rPr>
          <w:rtl/>
          <w:lang w:eastAsia="en-US"/>
        </w:rPr>
      </w:pPr>
      <w:r>
        <w:rPr>
          <w:rtl/>
          <w:lang w:eastAsia="en-US"/>
        </w:rPr>
        <w:t>395 -</w:t>
      </w:r>
      <w:r>
        <w:rPr>
          <w:rtl/>
          <w:lang w:eastAsia="en-US"/>
        </w:rPr>
        <w:tab/>
        <w:t>ما زال العمل ساريا بقانون حقوق الإنسان بوصفه التشريع الذي يهيئ سُبُل الانتصاف في حالات التمييز والتحرُّش الجنسي المُدعَى بوقوعها في مقاطعة نيوفاوندلاند. وما يقرب من 40 في المائة من مجموع الشكاوى التي تلقتها لجنة حقوق الإنسان خلال هذه الفترة الزمنية جاء متعلقا بشكل من أشكال التمييز أو التحرُّش الجنسي.</w:t>
      </w:r>
    </w:p>
    <w:p w:rsidR="00000000" w:rsidRDefault="00000000">
      <w:pPr>
        <w:pStyle w:val="SingleTxt"/>
        <w:tabs>
          <w:tab w:val="left" w:pos="1628"/>
        </w:tabs>
        <w:ind w:left="1264" w:right="1264"/>
        <w:rPr>
          <w:rtl/>
          <w:lang w:eastAsia="en-US"/>
        </w:rPr>
      </w:pPr>
      <w:r>
        <w:rPr>
          <w:rtl/>
          <w:lang w:eastAsia="en-US"/>
        </w:rPr>
        <w:t>396 -</w:t>
      </w:r>
      <w:r>
        <w:rPr>
          <w:rtl/>
          <w:lang w:eastAsia="en-US"/>
        </w:rPr>
        <w:tab/>
        <w:t>وتم تعديل قانون حقوق الإنسان في عام 1997 بإضافة التوجُّه الجنسي بوصفه أساسا من الأسس المحظورة للتمييز.</w:t>
      </w:r>
    </w:p>
    <w:p w:rsidR="00000000" w:rsidRDefault="00000000">
      <w:pPr>
        <w:pStyle w:val="SingleTxt"/>
        <w:tabs>
          <w:tab w:val="left" w:pos="1628"/>
        </w:tabs>
        <w:ind w:left="1264" w:right="1264"/>
        <w:rPr>
          <w:rtl/>
          <w:lang w:eastAsia="en-US"/>
        </w:rPr>
      </w:pPr>
      <w:r>
        <w:rPr>
          <w:rtl/>
          <w:lang w:eastAsia="en-US"/>
        </w:rPr>
        <w:t>397 -</w:t>
      </w:r>
      <w:r>
        <w:rPr>
          <w:rtl/>
          <w:lang w:eastAsia="en-US"/>
        </w:rPr>
        <w:tab/>
        <w:t>ويتيح قانون حقوق الإنسان للجنة المذكورة أعلاه أن تعتمد برامج خاصة تقصد إلى القضاء على أوجه السلبيات التي تعانيها المرأة.</w:t>
      </w:r>
    </w:p>
    <w:p w:rsidR="00000000" w:rsidRDefault="00000000">
      <w:pPr>
        <w:pStyle w:val="SingleTxt"/>
        <w:tabs>
          <w:tab w:val="left" w:pos="1628"/>
        </w:tabs>
        <w:ind w:left="1264" w:right="1264"/>
        <w:rPr>
          <w:rtl/>
          <w:lang w:eastAsia="en-US"/>
        </w:rPr>
      </w:pPr>
      <w:r>
        <w:rPr>
          <w:b/>
          <w:bCs/>
          <w:szCs w:val="32"/>
          <w:rtl/>
          <w:lang w:eastAsia="en-US"/>
        </w:rPr>
        <w:t>المادة 3: التدابير الرامية إلى كفالة النهوض بالمرأة</w:t>
      </w:r>
    </w:p>
    <w:p w:rsidR="00000000" w:rsidRDefault="00000000">
      <w:pPr>
        <w:pStyle w:val="SingleTxt"/>
        <w:tabs>
          <w:tab w:val="left" w:pos="1628"/>
        </w:tabs>
        <w:ind w:left="1264" w:right="1264"/>
        <w:rPr>
          <w:rtl/>
          <w:lang w:eastAsia="en-US"/>
        </w:rPr>
      </w:pPr>
      <w:r>
        <w:rPr>
          <w:rtl/>
          <w:lang w:eastAsia="en-US"/>
        </w:rPr>
        <w:t>398 -</w:t>
      </w:r>
      <w:r>
        <w:rPr>
          <w:rtl/>
          <w:lang w:eastAsia="en-US"/>
        </w:rPr>
        <w:tab/>
        <w:t>وضعت وزارة التعليم في نيوفاوندلاند نموذجا لمنهج دراسي بعنوان “إيجاد التوازن بين حقوق ومسؤوليات الطلاب”. وتتركز المبادئ التوجيهية للبرنامج حول حقوق الإنسان الأساسية ومسؤوليات جميع الأفراد. كما وُضعَت نماذج لكل مستوى تعليمي (الأوَّلي والابتدائي والمتوسط والثانوي) بحيث تشمل أنشطة لتنمية قدرات العاملين وأنشطة يجري تنفيذها على مستوى المناهج التعليمية المختلفة.</w:t>
      </w:r>
    </w:p>
    <w:p w:rsidR="00000000" w:rsidRDefault="00000000">
      <w:pPr>
        <w:pStyle w:val="SingleTxt"/>
        <w:tabs>
          <w:tab w:val="left" w:pos="1628"/>
        </w:tabs>
        <w:ind w:left="1264" w:right="1264"/>
        <w:rPr>
          <w:rtl/>
          <w:lang w:eastAsia="en-US"/>
        </w:rPr>
      </w:pPr>
      <w:r>
        <w:rPr>
          <w:rtl/>
          <w:lang w:eastAsia="en-US"/>
        </w:rPr>
        <w:t>399 -</w:t>
      </w:r>
      <w:r>
        <w:rPr>
          <w:rtl/>
          <w:lang w:eastAsia="en-US"/>
        </w:rPr>
        <w:tab/>
        <w:t>ويقوم مستشارو التوجيه بتقديم الخدمات في المدارس، بما في ذلك المشورة والتوجيه وإسداء النصيحة والتقييم وخدمات المعلومات والبحوث. ويتولون كذلك تثقيف وتوجيه وإحالة الطلاب (عند الاقتضاء) في مسائل من قبيل الاستغلال والإيذاء الجنسي والعنف في لقاءات المواعدة بين الجنسين والإهمال وتعاطي المخدرات والتمييز وصنع القرار والانخراط في سلك المهن غير التقليدية وخيارات ما بعد التعليم الثانوي.</w:t>
      </w:r>
    </w:p>
    <w:p w:rsidR="00000000" w:rsidRDefault="00000000">
      <w:pPr>
        <w:pStyle w:val="SingleTxt"/>
        <w:tabs>
          <w:tab w:val="left" w:pos="1628"/>
        </w:tabs>
        <w:ind w:left="1264" w:right="1264"/>
        <w:rPr>
          <w:rtl/>
          <w:lang w:eastAsia="en-US"/>
        </w:rPr>
      </w:pPr>
      <w:r>
        <w:rPr>
          <w:rtl/>
          <w:lang w:eastAsia="en-US"/>
        </w:rPr>
        <w:t>400 -</w:t>
      </w:r>
      <w:r>
        <w:rPr>
          <w:rtl/>
          <w:lang w:eastAsia="en-US"/>
        </w:rPr>
        <w:tab/>
        <w:t>وقد تعاونت وزارة التعليم والموارد البشرية والتشغيل ورابطة معلّمي نيوفاوندلاند على إعداد كتيبات للتوزيع في جميع أنحاء المقاطعة بشأن “معلومات للأُسر عن الإيذاء الجنسي للأطفال” و “معلومات للأُسر عن إيذاء الطفل”.</w:t>
      </w:r>
    </w:p>
    <w:p w:rsidR="00000000" w:rsidRDefault="00000000">
      <w:pPr>
        <w:pStyle w:val="SingleTxt"/>
        <w:tabs>
          <w:tab w:val="left" w:pos="1628"/>
        </w:tabs>
        <w:ind w:left="1264" w:right="1264"/>
        <w:rPr>
          <w:rtl/>
          <w:lang w:eastAsia="en-US"/>
        </w:rPr>
      </w:pPr>
      <w:r>
        <w:rPr>
          <w:rtl/>
          <w:lang w:eastAsia="en-US"/>
        </w:rPr>
        <w:t>401 -</w:t>
      </w:r>
      <w:r>
        <w:rPr>
          <w:rtl/>
          <w:lang w:eastAsia="en-US"/>
        </w:rPr>
        <w:tab/>
        <w:t>وفي عام 1996 تم تعديل قانون حرية المعلومات وقانون الخصوصية بما يسمح بالإفراج عن معلومات تتعلق بالتاريخ الجنائي لفرد من الأفراد حينما يرى الوزير أن من صالح الجمهور الإفصاح عنها.</w:t>
      </w:r>
    </w:p>
    <w:p w:rsidR="00000000" w:rsidRDefault="00000000">
      <w:pPr>
        <w:pStyle w:val="SingleTxt"/>
        <w:tabs>
          <w:tab w:val="left" w:pos="1628"/>
        </w:tabs>
        <w:ind w:left="1264" w:right="1264"/>
        <w:rPr>
          <w:szCs w:val="32"/>
          <w:rtl/>
          <w:lang w:eastAsia="en-US"/>
        </w:rPr>
      </w:pPr>
      <w:r>
        <w:rPr>
          <w:b/>
          <w:bCs/>
          <w:szCs w:val="32"/>
          <w:rtl/>
          <w:lang w:eastAsia="en-US"/>
        </w:rPr>
        <w:t>المادة 4: تدابير خاصة مرحلية</w:t>
      </w:r>
    </w:p>
    <w:p w:rsidR="00000000" w:rsidRDefault="00000000">
      <w:pPr>
        <w:pStyle w:val="SingleTxt"/>
        <w:tabs>
          <w:tab w:val="left" w:pos="1628"/>
        </w:tabs>
        <w:ind w:left="1264" w:right="1264"/>
        <w:rPr>
          <w:rtl/>
          <w:lang w:eastAsia="en-US"/>
        </w:rPr>
      </w:pPr>
      <w:r>
        <w:rPr>
          <w:rtl/>
          <w:lang w:eastAsia="en-US"/>
        </w:rPr>
        <w:t>402 -</w:t>
      </w:r>
      <w:r>
        <w:rPr>
          <w:rtl/>
          <w:lang w:eastAsia="en-US"/>
        </w:rPr>
        <w:tab/>
        <w:t>قدَّمت حكومة نيوفاوندلاند التمويل إلى عدد من البرامج الرامية إلى إفادة المرأة ومن بينها: النساء المهتمات بالتوظيف الناجح، والنساء في مجال تنمية الموارد، والمرأة في تكنولوجيا التشييد، وتمويل رابطة الوالد الوحيد وتمويل إنشاء عدد من المراكز النسائية في جميع أنحاء المقاطعة.</w:t>
      </w:r>
    </w:p>
    <w:p w:rsidR="00000000" w:rsidRDefault="00000000">
      <w:pPr>
        <w:pStyle w:val="SingleTxt"/>
        <w:tabs>
          <w:tab w:val="left" w:pos="1628"/>
        </w:tabs>
        <w:ind w:left="1264" w:right="1264"/>
        <w:rPr>
          <w:szCs w:val="32"/>
          <w:rtl/>
          <w:lang w:eastAsia="en-US"/>
        </w:rPr>
      </w:pPr>
      <w:r>
        <w:rPr>
          <w:b/>
          <w:bCs/>
          <w:szCs w:val="32"/>
          <w:rtl/>
          <w:lang w:eastAsia="en-US"/>
        </w:rPr>
        <w:t>المادة 5: القضاء على الصور النمطية الجامدة</w:t>
      </w:r>
    </w:p>
    <w:p w:rsidR="00000000" w:rsidRDefault="00000000">
      <w:pPr>
        <w:pStyle w:val="SingleTxt"/>
        <w:tabs>
          <w:tab w:val="left" w:pos="1628"/>
        </w:tabs>
        <w:ind w:left="1264" w:right="1264"/>
        <w:rPr>
          <w:rtl/>
          <w:lang w:eastAsia="en-US"/>
        </w:rPr>
      </w:pPr>
      <w:r>
        <w:rPr>
          <w:rtl/>
          <w:lang w:eastAsia="en-US"/>
        </w:rPr>
        <w:t>403 -</w:t>
      </w:r>
      <w:r>
        <w:rPr>
          <w:rtl/>
          <w:lang w:eastAsia="en-US"/>
        </w:rPr>
        <w:tab/>
        <w:t>تقدِّم وزارة التعليم عددا من المقررات في المنهج الدراسي تتطرق إلى مسألة التنمية البشرية والحياة الأُسرية وقد تم استعراض هذه المقررات واستبعاد أي عناصر تتسم بتحيُّز جنساني.</w:t>
      </w:r>
    </w:p>
    <w:p w:rsidR="00000000" w:rsidRDefault="00000000">
      <w:pPr>
        <w:pStyle w:val="SingleTxt"/>
        <w:tabs>
          <w:tab w:val="left" w:pos="1628"/>
        </w:tabs>
        <w:ind w:left="1264" w:right="1264"/>
        <w:rPr>
          <w:rtl/>
          <w:lang w:eastAsia="en-US"/>
        </w:rPr>
      </w:pPr>
      <w:r>
        <w:rPr>
          <w:rtl/>
          <w:lang w:eastAsia="en-US"/>
        </w:rPr>
        <w:t>404 -</w:t>
      </w:r>
      <w:r>
        <w:rPr>
          <w:rtl/>
          <w:lang w:eastAsia="en-US"/>
        </w:rPr>
        <w:tab/>
        <w:t>وتم في دورة الحياة الصحية إدراج مرجع للإدارة المالية بعنوان “حُسن التصرف في المال” بالنسبة إلى الصف الأول من طلاب الثانويات.</w:t>
      </w:r>
    </w:p>
    <w:p w:rsidR="00000000" w:rsidRDefault="00000000">
      <w:pPr>
        <w:pStyle w:val="SingleTxt"/>
        <w:tabs>
          <w:tab w:val="left" w:pos="1628"/>
        </w:tabs>
        <w:ind w:left="1264" w:right="1264"/>
        <w:rPr>
          <w:rtl/>
          <w:lang w:eastAsia="en-US"/>
        </w:rPr>
      </w:pPr>
      <w:r>
        <w:rPr>
          <w:rtl/>
          <w:lang w:eastAsia="en-US"/>
        </w:rPr>
        <w:t>405 -</w:t>
      </w:r>
      <w:r>
        <w:rPr>
          <w:rtl/>
          <w:lang w:eastAsia="en-US"/>
        </w:rPr>
        <w:tab/>
        <w:t>وتُكرِّس وزارة التعليم ربع الوقت الذي يستغرقه المستشار المعني بتقديم خدمات الدعم للطلاب للعمل مع الاستراتيجية المناهضة للعنف على مستوى المقاطعة.</w:t>
      </w:r>
    </w:p>
    <w:p w:rsidR="00000000" w:rsidRDefault="00000000">
      <w:pPr>
        <w:pStyle w:val="SingleTxt"/>
        <w:tabs>
          <w:tab w:val="left" w:pos="1628"/>
        </w:tabs>
        <w:ind w:left="1264" w:right="1264"/>
        <w:rPr>
          <w:rtl/>
          <w:lang w:eastAsia="en-US"/>
        </w:rPr>
      </w:pPr>
      <w:r>
        <w:rPr>
          <w:rtl/>
          <w:lang w:eastAsia="en-US"/>
        </w:rPr>
        <w:t>406 -</w:t>
      </w:r>
      <w:r>
        <w:rPr>
          <w:rtl/>
          <w:lang w:eastAsia="en-US"/>
        </w:rPr>
        <w:tab/>
        <w:t>ويتولى نموذج رعاية الطفل في المستوى المتوسط من الاقتصاد المنزلي توعية الدارسين بشأن سلوك الطفل ونمائه ورعايته.</w:t>
      </w:r>
    </w:p>
    <w:p w:rsidR="00000000" w:rsidRDefault="00000000">
      <w:pPr>
        <w:pStyle w:val="SingleTxt"/>
        <w:tabs>
          <w:tab w:val="left" w:pos="1628"/>
        </w:tabs>
        <w:ind w:left="1264" w:right="1264"/>
        <w:rPr>
          <w:rtl/>
          <w:lang w:eastAsia="en-US"/>
        </w:rPr>
      </w:pPr>
      <w:r>
        <w:rPr>
          <w:rtl/>
          <w:lang w:eastAsia="en-US"/>
        </w:rPr>
        <w:t>407 -</w:t>
      </w:r>
      <w:r>
        <w:rPr>
          <w:rtl/>
          <w:lang w:eastAsia="en-US"/>
        </w:rPr>
        <w:tab/>
        <w:t>وقد صدر قانون خدمات الطفل والشباب والأسرة في عام 1998 وتم إعلانه في عام 1999. ولدى التعامل مع حالات العنف المنزلي، أصبح البند 21 (4) من القانون يتيح للمحكمة أن تأمر باستبعاد الجاني من سكن الطفل.وفي أغلب الحالات فإن الأمهات والأطفال الذين يعدون من ضحايا العنف هم الذين يتعين عليهم حاليا مغادرة بيت الأسرة ويتم نقلهم توخيا للسلامة.</w:t>
      </w:r>
    </w:p>
    <w:p w:rsidR="00000000" w:rsidRDefault="00000000">
      <w:pPr>
        <w:pStyle w:val="SingleTxt"/>
        <w:tabs>
          <w:tab w:val="left" w:pos="1628"/>
        </w:tabs>
        <w:ind w:left="1264" w:right="1264"/>
        <w:rPr>
          <w:szCs w:val="32"/>
          <w:rtl/>
          <w:lang w:eastAsia="en-US"/>
        </w:rPr>
      </w:pPr>
      <w:r>
        <w:rPr>
          <w:b/>
          <w:bCs/>
          <w:szCs w:val="32"/>
          <w:rtl/>
          <w:lang w:eastAsia="en-US"/>
        </w:rPr>
        <w:t>البند 6: الاتجار في النساء والبغاء</w:t>
      </w:r>
    </w:p>
    <w:p w:rsidR="00000000" w:rsidRDefault="00000000">
      <w:pPr>
        <w:pStyle w:val="SingleTxt"/>
        <w:tabs>
          <w:tab w:val="left" w:pos="1628"/>
        </w:tabs>
        <w:ind w:left="1264" w:right="1264"/>
        <w:rPr>
          <w:rtl/>
          <w:lang w:eastAsia="en-US"/>
        </w:rPr>
      </w:pPr>
      <w:r>
        <w:rPr>
          <w:rtl/>
          <w:lang w:eastAsia="en-US"/>
        </w:rPr>
        <w:t>408 -</w:t>
      </w:r>
      <w:r>
        <w:rPr>
          <w:rtl/>
          <w:lang w:eastAsia="en-US"/>
        </w:rPr>
        <w:tab/>
        <w:t>يتيح قانون خدمات الطفل والشباب والأسرة للأخصائي الاجتماعي أن يلتمس موافقة من قاضٍ لمنع الاتصال بين طفل أو شاب وبين شخص يُعتقَد أنه يشكل خطرا على الطفل أو الشاب.</w:t>
      </w:r>
    </w:p>
    <w:p w:rsidR="00000000" w:rsidRDefault="00000000">
      <w:pPr>
        <w:pStyle w:val="SingleTxt"/>
        <w:tabs>
          <w:tab w:val="left" w:pos="1628"/>
        </w:tabs>
        <w:ind w:left="1264" w:right="1264"/>
        <w:rPr>
          <w:szCs w:val="32"/>
          <w:rtl/>
          <w:lang w:eastAsia="en-US"/>
        </w:rPr>
      </w:pPr>
      <w:r>
        <w:rPr>
          <w:b/>
          <w:bCs/>
          <w:szCs w:val="32"/>
          <w:rtl/>
          <w:lang w:eastAsia="en-US"/>
        </w:rPr>
        <w:t>المادة 7: المرأة في مجال السياسة والحياة العامة</w:t>
      </w:r>
    </w:p>
    <w:p w:rsidR="00000000" w:rsidRDefault="00000000">
      <w:pPr>
        <w:pStyle w:val="SingleTxt"/>
        <w:tabs>
          <w:tab w:val="left" w:pos="1628"/>
        </w:tabs>
        <w:ind w:left="1264" w:right="1264"/>
        <w:rPr>
          <w:rtl/>
          <w:lang w:eastAsia="en-US"/>
        </w:rPr>
      </w:pPr>
      <w:r>
        <w:rPr>
          <w:rtl/>
          <w:lang w:eastAsia="en-US"/>
        </w:rPr>
        <w:t>409 -</w:t>
      </w:r>
      <w:r>
        <w:rPr>
          <w:rtl/>
          <w:lang w:eastAsia="en-US"/>
        </w:rPr>
        <w:tab/>
        <w:t>تم اتخاذ تدابير خاصة لإدراج مسألة الإنصاف الجنساني كمبدأ في إنشاء مجالس إقليمية للتنمية الاقتصادية في نيوفاوندلاند. وفيما يتم انتخاب أو تعيين أعضاء هذه المجالس على المستوى الإقليمي، فقد أوضحت الحكومة أنها تدعم التوازن بين الجنسين، وقد شجَّعت المجالس على بذل جهود خاصة لزيادة مشاركة المرأة على جميع المستويات ضمن منظماتها. وتم نشر دليل لمجالس التنمية الاقتصادية الإقليمية بعنوان “نحو إنصاف جنساني في التنمية الاقتصادية الإقليمية” بواسطة مكتب سياسات المرأة ووزارة التنمية والتجديد الريفي في عام 1996.</w:t>
      </w:r>
    </w:p>
    <w:p w:rsidR="00000000" w:rsidRDefault="00000000">
      <w:pPr>
        <w:pStyle w:val="SingleTxt"/>
        <w:tabs>
          <w:tab w:val="left" w:pos="1628"/>
        </w:tabs>
        <w:ind w:left="1264" w:right="1264"/>
        <w:rPr>
          <w:szCs w:val="32"/>
          <w:rtl/>
          <w:lang w:eastAsia="en-US"/>
        </w:rPr>
      </w:pPr>
      <w:r>
        <w:rPr>
          <w:b/>
          <w:bCs/>
          <w:szCs w:val="32"/>
          <w:rtl/>
          <w:lang w:eastAsia="en-US"/>
        </w:rPr>
        <w:t>المادة 10: التعليم</w:t>
      </w:r>
    </w:p>
    <w:p w:rsidR="00000000" w:rsidRDefault="00000000">
      <w:pPr>
        <w:pStyle w:val="SingleTxt"/>
        <w:tabs>
          <w:tab w:val="left" w:pos="1628"/>
        </w:tabs>
        <w:ind w:left="1264" w:right="1264"/>
        <w:rPr>
          <w:rtl/>
          <w:lang w:eastAsia="en-US"/>
        </w:rPr>
      </w:pPr>
      <w:r>
        <w:rPr>
          <w:rtl/>
          <w:lang w:eastAsia="en-US"/>
        </w:rPr>
        <w:t>410 -</w:t>
      </w:r>
      <w:r>
        <w:rPr>
          <w:rtl/>
          <w:lang w:eastAsia="en-US"/>
        </w:rPr>
        <w:tab/>
        <w:t>استهلت وزارة التعليم في نيوفاوندلاند تدابير عديدة رامية إلى القضاء على التمييز ضد المرأة وكفالة تمتعها بالحقوق المتساوية مع الرجل في ميدان التعليم وهذه التدابير تشمل ما يلي:</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تقرير الإنصاف في التلمذة المهنية في كندا وقد تم إنجازه فضلا عن تقديم معلومات إلى السلطات المختصة المسؤولة عن التلمذة المهنية</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عنصر دراسي يُعالِج المعلومات المتعلقة بحقوق الإنسان وعدم التمييز وقد تم وضعه وتنفيذه في منهج المدرسة الثانوية</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برنامج “محصلات التعليم الديني” يُعلِّم الطلاب من رياض الأطفال وحتى الصف 12 بشأن المسائل المرتبطة بالأخلاقيات والقيم وصُنع القرارات وأهمية العائلة والجماعة والأزمات البيئية والارتقاء بنوعية الحياة ومكافحة التحيُّز والتمييز والفقر</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برامج التعليم التعاونية تتيح للطلاب فرصة السعي نحو الالتحاق بالمهن غير التقليدية</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وضع الوثائق والبرامج واستعراض الموارد الموصى بها من أجل الموافقة عليها فيما يتعلق بقضايا الإنصاف (المعايير المستخدَمة في الاستعراض تشمل الصور النمطية الجامدة والمبالَغة في حالات الازدراء والمعاملة التفضيلية أو المعيبة والاستبعاد)</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بالاقتران مع الاستراتيجية الإقليمية المناهضة للعنف أُعدت رسالة إخبارية بعنوان “إيجاد مجتمع معني بالسلامة” وجرى توزيعها في كل أنحاء المقاطعة</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يزور المدارس العاملون في مجال التمريض بالصحة العامة ويقدِّمون عروضا بشأن تنظيم الأسرة على النحو المطلوب</w:t>
      </w:r>
    </w:p>
    <w:p w:rsidR="00000000" w:rsidRDefault="00000000">
      <w:pPr>
        <w:pStyle w:val="SingleTxt"/>
        <w:tabs>
          <w:tab w:val="left" w:pos="1628"/>
        </w:tabs>
        <w:ind w:left="1264" w:right="1264"/>
        <w:rPr>
          <w:rtl/>
          <w:lang w:eastAsia="en-US"/>
        </w:rPr>
      </w:pPr>
      <w:r>
        <w:rPr>
          <w:rtl/>
          <w:lang w:eastAsia="en-US"/>
        </w:rPr>
        <w:t>411 -</w:t>
      </w:r>
      <w:r>
        <w:rPr>
          <w:rtl/>
          <w:lang w:eastAsia="en-US"/>
        </w:rPr>
        <w:tab/>
        <w:t>في مقاطعة نيوفاوندلاند، يزيد معدل إكمال الإناث للمدرسة الثانوية وكذلك معدل مشاركتهن في التعليم ما بعد الثانوي عن نظيريهما بين الذكور. وفيما زادت معدلات المشاركة في جميع الميادين، ما زالت المرأة تجنح إلى أن تكون أقل تمثيلا بين صفوف المتدربين للالتحاق بوظائف في مجالات العلوم والهندسة والتكنولوجيا والحرف.</w:t>
      </w:r>
    </w:p>
    <w:p w:rsidR="00000000" w:rsidRDefault="00000000">
      <w:pPr>
        <w:pStyle w:val="SingleTxt"/>
        <w:tabs>
          <w:tab w:val="left" w:pos="1628"/>
        </w:tabs>
        <w:ind w:left="1264" w:right="1264"/>
        <w:rPr>
          <w:rtl/>
          <w:lang w:eastAsia="en-US"/>
        </w:rPr>
      </w:pPr>
      <w:r>
        <w:rPr>
          <w:rtl/>
          <w:lang w:eastAsia="en-US"/>
        </w:rPr>
        <w:t>412 -</w:t>
      </w:r>
      <w:r>
        <w:rPr>
          <w:rtl/>
          <w:lang w:eastAsia="en-US"/>
        </w:rPr>
        <w:tab/>
        <w:t>تتولى وزارة الصحة والخدمات الاجتماعية تقديم الخدمات إلى الأمهات المراهقات قبل وبعد حالات الولادة وتقوم برسم وتنفيذ خطط خدمات الدعم المقدمة فرديا لهؤلاء الطالبات.</w:t>
      </w:r>
    </w:p>
    <w:p w:rsidR="00000000" w:rsidRDefault="00000000">
      <w:pPr>
        <w:pStyle w:val="SingleTxt"/>
        <w:tabs>
          <w:tab w:val="left" w:pos="1628"/>
        </w:tabs>
        <w:ind w:left="1264" w:right="1264"/>
        <w:rPr>
          <w:rtl/>
          <w:lang w:eastAsia="en-US"/>
        </w:rPr>
      </w:pPr>
      <w:r>
        <w:rPr>
          <w:rtl/>
          <w:lang w:eastAsia="en-US"/>
        </w:rPr>
        <w:t>413 -</w:t>
      </w:r>
      <w:r>
        <w:rPr>
          <w:rtl/>
          <w:lang w:eastAsia="en-US"/>
        </w:rPr>
        <w:tab/>
        <w:t>ما يقرب من 50 في المائة من جميع حالات التنسيب في برامج التوظيف التي تتبناها وزارة الموارد البشرية والعمالة تشغلها نساء.</w:t>
      </w:r>
    </w:p>
    <w:p w:rsidR="00000000" w:rsidRDefault="00000000">
      <w:pPr>
        <w:pStyle w:val="SingleTxt"/>
        <w:tabs>
          <w:tab w:val="left" w:pos="1628"/>
        </w:tabs>
        <w:ind w:left="1264" w:right="1264"/>
        <w:rPr>
          <w:rtl/>
          <w:lang w:eastAsia="en-US"/>
        </w:rPr>
      </w:pPr>
      <w:r>
        <w:rPr>
          <w:b/>
          <w:bCs/>
          <w:szCs w:val="32"/>
          <w:rtl/>
          <w:lang w:eastAsia="en-US"/>
        </w:rPr>
        <w:t>المادة 11: العمالة</w:t>
      </w:r>
    </w:p>
    <w:p w:rsidR="00000000" w:rsidRDefault="00000000">
      <w:pPr>
        <w:pStyle w:val="SingleTxt"/>
        <w:tabs>
          <w:tab w:val="left" w:pos="1628"/>
        </w:tabs>
        <w:ind w:left="1264" w:right="1264"/>
        <w:rPr>
          <w:rtl/>
          <w:lang w:eastAsia="en-US"/>
        </w:rPr>
      </w:pPr>
      <w:r>
        <w:rPr>
          <w:rtl/>
          <w:lang w:eastAsia="en-US"/>
        </w:rPr>
        <w:t>114 -</w:t>
      </w:r>
      <w:r>
        <w:rPr>
          <w:rtl/>
          <w:lang w:eastAsia="en-US"/>
        </w:rPr>
        <w:tab/>
        <w:t>في عام 1991 أنجزت الحكومة دراسات بشأن الإنصاف الأجْري بالنسبة إلى القطاع الأول في القوى الكهرمائية والرعاية الصحية في نيوفاوندلاند ولابرادور (تصنيفات “الدعم”). وحتى الآن فإن جميع الفئات المتضررة التي يغلب عليها وجود المرأة، فيما عدا فئة واحدة، تلقت ما يخصها من تسوية الإنصاف الأجري النهائية. والفئة الأخيرة سوف تتلقى التسوية النهائية في 20 آذار/مارس 2000. وجميع تسويات الإنصاف الأجري سيتم إدماجها ضمن جداول الأجور الملائمة في عام 2001.</w:t>
      </w:r>
    </w:p>
    <w:p w:rsidR="00000000" w:rsidRDefault="00000000">
      <w:pPr>
        <w:pStyle w:val="SingleTxt"/>
        <w:tabs>
          <w:tab w:val="left" w:pos="1628"/>
        </w:tabs>
        <w:ind w:left="1264" w:right="1264"/>
        <w:rPr>
          <w:rtl/>
          <w:lang w:eastAsia="en-US"/>
        </w:rPr>
      </w:pPr>
      <w:r>
        <w:rPr>
          <w:rtl/>
          <w:lang w:eastAsia="en-US"/>
        </w:rPr>
        <w:t>415 -</w:t>
      </w:r>
      <w:r>
        <w:rPr>
          <w:rtl/>
          <w:lang w:eastAsia="en-US"/>
        </w:rPr>
        <w:tab/>
        <w:t>وفي حالة التجمعات الأخرى ضمن قطاع الرعاية الصحية، فإن الفئات المتضررة التي تسودها الإناث في المجموعة المهنية الصحية المترابطة ومجموعة المختبرات والأشعة السينية تلقت كل منهما تسوياتها النهاية. وهذه التسويات سيتم إدراجها بدورها ضمن جداول الأجور الملائمة في عام 1999. أما الفئات المناظرة في قطاع التمريض فتلقت تسوياتها على أساس 1 في المائة من المرتب على مدار 4 سنوات تبدأ من 4 أيار/مايو 1995 في حين يُدفع المتبقي على أقساط بنسبة 2 في المائة من الراتب على أساس سنوي حيث تستحق التسوية النهائية في عام 2001. ومن المتوقَّع أن يتم إدراج هذه التسويات من الأجور المنصفة ضمن مرتبات الأجور الملائمة في عام 2002.</w:t>
      </w:r>
    </w:p>
    <w:p w:rsidR="00000000" w:rsidRDefault="00000000">
      <w:pPr>
        <w:pStyle w:val="SingleTxt"/>
        <w:tabs>
          <w:tab w:val="left" w:pos="1628"/>
        </w:tabs>
        <w:ind w:left="1264" w:right="1264"/>
        <w:rPr>
          <w:rtl/>
          <w:lang w:eastAsia="en-US"/>
        </w:rPr>
      </w:pPr>
      <w:r>
        <w:rPr>
          <w:rtl/>
          <w:lang w:eastAsia="en-US"/>
        </w:rPr>
        <w:t>416 -</w:t>
      </w:r>
      <w:r>
        <w:rPr>
          <w:rtl/>
          <w:lang w:eastAsia="en-US"/>
        </w:rPr>
        <w:tab/>
        <w:t>وبالنسبة للقطاع الحكومي العام، دُفعت تسويات الإنصاف الأجري على أقساط بنسبة 2 في المائة من مجموع المرتب اعتبارا من تشرين الأول/أكتوبر 1996 ونيسان/أبريل 1998. ومن المتوقع أن يتم إدماج هذه التسويات ضمن جداول الأجور الملائمة في عام 1999. وفي حالة مؤسسة نيوفاوندلاند ولابرادور للإسكان ولجنة تعويض العاملين دفعت تسويات الإنصاف الأجري للفئات المتضررة التي تسودها المرأة اعتبارا من تشرين الأول/أكتوبر 1996.</w:t>
      </w:r>
    </w:p>
    <w:p w:rsidR="00000000" w:rsidRDefault="00000000">
      <w:pPr>
        <w:pStyle w:val="SingleTxt"/>
        <w:tabs>
          <w:tab w:val="left" w:pos="1628"/>
        </w:tabs>
        <w:ind w:left="1264" w:right="1264"/>
        <w:rPr>
          <w:rtl/>
          <w:lang w:eastAsia="en-US"/>
        </w:rPr>
      </w:pPr>
      <w:r>
        <w:rPr>
          <w:rtl/>
          <w:lang w:eastAsia="en-US"/>
        </w:rPr>
        <w:t>417 -</w:t>
      </w:r>
      <w:r>
        <w:rPr>
          <w:rtl/>
          <w:lang w:eastAsia="en-US"/>
        </w:rPr>
        <w:tab/>
        <w:t>وعملا بقانون معايير العمل، فلدى العودة إلى العمل من إجازات التبني أو الأمومة أو الوالدية، لابد من تسكين الموظف في نفس الوظيفة أو في وظيفة مماثلة بنفس الواجبات والمزايا والأجور التي كان يستحقها قبل فترة الإجازة.</w:t>
      </w:r>
    </w:p>
    <w:p w:rsidR="00000000" w:rsidRDefault="00000000">
      <w:pPr>
        <w:pStyle w:val="SingleTxt"/>
        <w:tabs>
          <w:tab w:val="left" w:pos="1628"/>
        </w:tabs>
        <w:ind w:left="1264" w:right="1264"/>
        <w:rPr>
          <w:rtl/>
          <w:lang w:eastAsia="en-US"/>
        </w:rPr>
      </w:pPr>
      <w:r>
        <w:rPr>
          <w:rtl/>
          <w:lang w:eastAsia="en-US"/>
        </w:rPr>
        <w:t>418 -</w:t>
      </w:r>
      <w:r>
        <w:rPr>
          <w:rtl/>
          <w:lang w:eastAsia="en-US"/>
        </w:rPr>
        <w:tab/>
        <w:t>وتمت الموافقة على قانون خدمات رعاية الطفل في عام 1998 حيث ينص التشريع على تحسين خدمات رعاية الطفل من خلال إضافة رعاية نهارية أسرية مُرخص بها لم تكن متاحة من قبل في تلك المقاطعة. وفضلا عن ذلك فالأطفال دون الثانية من العمر بات من الممكن رعايتهم في إطار رعاية نهارية مُرخص بها. كما زاد التمويل لمعونات رعاية الطفل بما يتيح للمزيد من عائلات الدخل المنخفض التي تنطبق عليها شروط الاستحقاق المالي أن تتلقى هذا التمويل.</w:t>
      </w:r>
    </w:p>
    <w:p w:rsidR="00000000" w:rsidRDefault="00000000">
      <w:pPr>
        <w:pStyle w:val="SingleTxt"/>
        <w:tabs>
          <w:tab w:val="left" w:pos="1628"/>
        </w:tabs>
        <w:ind w:left="1264" w:right="1264"/>
        <w:rPr>
          <w:rtl/>
          <w:lang w:eastAsia="en-US"/>
        </w:rPr>
      </w:pPr>
      <w:r>
        <w:rPr>
          <w:rtl/>
          <w:lang w:eastAsia="en-US"/>
        </w:rPr>
        <w:t>419 -</w:t>
      </w:r>
      <w:r>
        <w:rPr>
          <w:rtl/>
          <w:lang w:eastAsia="en-US"/>
        </w:rPr>
        <w:tab/>
        <w:t>ومنذ عام 1997، كان ثمة تركيز أساسي في نيوفاوندلاند على إزالة الحواجز التي تحول دون التوظيف وخفض الاعتماد على الدعم الدخلي وعودة الأفراد إلى العمل. ومنذ ذلك الحين، انخفض عدد الآباء الوحيدين الذين يعتمدون على المعونة الاجتماعية شهريا بنسبة تزيد على 8 في المائة. كما أن عدد الأسر القابلة للتوظيف وتتلقى معونة اجتماعية انخفض بنسبة 19 في المائة.</w:t>
      </w:r>
    </w:p>
    <w:p w:rsidR="00000000" w:rsidRDefault="00000000">
      <w:pPr>
        <w:pStyle w:val="SingleTxt"/>
        <w:tabs>
          <w:tab w:val="left" w:pos="1628"/>
        </w:tabs>
        <w:ind w:left="1264" w:right="1264"/>
        <w:rPr>
          <w:szCs w:val="32"/>
          <w:rtl/>
          <w:lang w:eastAsia="en-US"/>
        </w:rPr>
      </w:pPr>
      <w:r>
        <w:rPr>
          <w:b/>
          <w:bCs/>
          <w:szCs w:val="32"/>
          <w:rtl/>
          <w:lang w:eastAsia="en-US"/>
        </w:rPr>
        <w:t>المادة 12: الصحة</w:t>
      </w:r>
    </w:p>
    <w:p w:rsidR="00000000" w:rsidRDefault="00000000">
      <w:pPr>
        <w:pStyle w:val="SingleTxt"/>
        <w:tabs>
          <w:tab w:val="left" w:pos="1628"/>
        </w:tabs>
        <w:ind w:left="1264" w:right="1264"/>
        <w:rPr>
          <w:rtl/>
          <w:lang w:eastAsia="en-US"/>
        </w:rPr>
      </w:pPr>
      <w:r>
        <w:rPr>
          <w:rtl/>
          <w:lang w:eastAsia="en-US"/>
        </w:rPr>
        <w:t>420 -</w:t>
      </w:r>
      <w:r>
        <w:rPr>
          <w:rtl/>
          <w:lang w:eastAsia="en-US"/>
        </w:rPr>
        <w:tab/>
        <w:t>أدت عملية إعادة تنظيم لشبكة الرعاية الصحية في المقاطعة إلى إنشاء مجالس خدمات إقليمية صحية ومجتمعية في 4 مناطق على مستوى المقاطعة ككل بالإضافة إلى مجلسين متكاملين (على المستوى المجتمعي والمؤسسي) في منطقتين بالمقاطعة فضلا عن المجالس المؤسسية الستة. ويسود القبول حاليا بأن الإدارة الإقليمية للخدمات الصحية والمجتمعية هي الآلية الأنجع لزيادة كفاءة النظام. وتتاح خدمات الرعاية الصحية الشاملة للرجال والنساء على السواء في المقاطعة. كما تُقدَّم الخدمات في حالات الحمل ومرحلة ما بعد الولادة على أساس مجتمعي من جانب مجالس الخدمات الإقليمية المتكاملة والخدمات الصحية والمجتمعية على السواء. وتقع على عاتق الممرضين الصحيين المحليين مسؤولية جانب كبير من البرامج المقدَّمة لصالح المرأة. كما أن مهنيين آخرين في المجال الصحي مثل أخصائيي التغذية ومُعلمي الرعاية الصحية يشاركون في هذه الخدمات. وتُقدَّم خدمات الاحتجاز أساسا بواسطة المجالس الإقليمية المؤسسية والمجالس الصحية المتكاملة. كما أن أطباء الرعاية الأوَّلية هم أكبر مقدمي الخدمات الإنجابية ويمكن الوصول إليهم في جميع أنحاء المقاطعة بالنسبة لمعظم الحالات.</w:t>
      </w:r>
    </w:p>
    <w:p w:rsidR="00000000" w:rsidRDefault="00000000">
      <w:pPr>
        <w:pStyle w:val="SingleTxt"/>
        <w:tabs>
          <w:tab w:val="left" w:pos="1628"/>
        </w:tabs>
        <w:ind w:left="1264" w:right="1264"/>
        <w:rPr>
          <w:rtl/>
          <w:lang w:eastAsia="en-US"/>
        </w:rPr>
      </w:pPr>
      <w:r>
        <w:rPr>
          <w:rtl/>
          <w:lang w:eastAsia="en-US"/>
        </w:rPr>
        <w:t>421 -</w:t>
      </w:r>
      <w:r>
        <w:rPr>
          <w:rtl/>
          <w:lang w:eastAsia="en-US"/>
        </w:rPr>
        <w:tab/>
        <w:t>ولسوف تؤدي عمليات التجديد والتوسيع الحالية لمجمَّع العلوم الطبية إلى توحيد وتحسين الخدمات المقدَّمة لنساء المقاطعة ممن يعانين حالات حمل شديدة الخطورة وذلك في حالات ما قبل الولادة وخلالها وما بعدها من الناحيتين الصحية والطبية.</w:t>
      </w:r>
    </w:p>
    <w:p w:rsidR="00000000" w:rsidRDefault="00000000">
      <w:pPr>
        <w:pStyle w:val="SingleTxt"/>
        <w:tabs>
          <w:tab w:val="left" w:pos="1628"/>
        </w:tabs>
        <w:ind w:left="1264" w:right="1264"/>
        <w:rPr>
          <w:rtl/>
          <w:lang w:eastAsia="en-US"/>
        </w:rPr>
      </w:pPr>
      <w:r>
        <w:rPr>
          <w:rtl/>
          <w:lang w:eastAsia="en-US"/>
        </w:rPr>
        <w:t>422 -</w:t>
      </w:r>
      <w:r>
        <w:rPr>
          <w:rtl/>
          <w:lang w:eastAsia="en-US"/>
        </w:rPr>
        <w:tab/>
        <w:t>ومنذ عدة سنوات، أصبحت عيادة مرغنتالر للإجهاض الواقعة في سان جونز وكالة كاملة التمويل من خلال الاعتمادات العامة. ومن ثم تتيح فرص الحصول المجاني على جميع الخدمات. وقبل ذلك كانت النساء يدفعن أجرا معتدلا.</w:t>
      </w:r>
    </w:p>
    <w:p w:rsidR="00000000" w:rsidRDefault="00000000">
      <w:pPr>
        <w:pStyle w:val="SingleTxt"/>
        <w:tabs>
          <w:tab w:val="left" w:pos="1628"/>
        </w:tabs>
        <w:ind w:left="1264" w:right="1264"/>
        <w:rPr>
          <w:rtl/>
          <w:lang w:eastAsia="en-US"/>
        </w:rPr>
      </w:pPr>
      <w:r>
        <w:rPr>
          <w:rtl/>
          <w:lang w:eastAsia="en-US"/>
        </w:rPr>
        <w:t>423 -</w:t>
      </w:r>
      <w:r>
        <w:rPr>
          <w:rtl/>
          <w:lang w:eastAsia="en-US"/>
        </w:rPr>
        <w:tab/>
        <w:t>وتجري حاليا الأنشطة، سواء في قطاع المستشفيات أو في القطاع المحلي، لزيادة معدل الرضاعة الطبيعية. كما جرى التركيز على اكتشاف الإصابة باكتئاب ما بعد الولادة في حملات الوعي والتثقيف.</w:t>
      </w:r>
    </w:p>
    <w:p w:rsidR="00000000" w:rsidRDefault="00000000">
      <w:pPr>
        <w:pStyle w:val="SingleTxt"/>
        <w:tabs>
          <w:tab w:val="left" w:pos="1628"/>
        </w:tabs>
        <w:ind w:left="1264" w:right="1264"/>
        <w:rPr>
          <w:rtl/>
          <w:lang w:eastAsia="en-US"/>
        </w:rPr>
      </w:pPr>
      <w:r>
        <w:rPr>
          <w:rtl/>
          <w:lang w:eastAsia="en-US"/>
        </w:rPr>
        <w:t>424 -</w:t>
      </w:r>
      <w:r>
        <w:rPr>
          <w:rtl/>
          <w:lang w:eastAsia="en-US"/>
        </w:rPr>
        <w:tab/>
        <w:t>وجاء ما تم مؤخرا من إقرار دور متقدِّم للممرضين وهو دور الممرضة الممارسة، استجابة إلى قصور الرعاية الطبية والصحية بالمناطق الريفية حيث الممرضة الممارسة تتولى النطاق الكامل لخدمات الحمل “الطبيعي” الذي يقدمه بشكل عام الأطباء بما يتيح مزيدا من الخدمات الأقرب إلى مجتمعات الأفراد المحلية ويعمل الآن نحو 24 من الممرضات الممارسات حاليا في المقاطعة.</w:t>
      </w:r>
    </w:p>
    <w:p w:rsidR="00000000" w:rsidRDefault="00000000">
      <w:pPr>
        <w:pStyle w:val="SingleTxt"/>
        <w:tabs>
          <w:tab w:val="left" w:pos="1628"/>
        </w:tabs>
        <w:ind w:left="1264" w:right="1264"/>
        <w:rPr>
          <w:rtl/>
          <w:lang w:eastAsia="en-US"/>
        </w:rPr>
      </w:pPr>
      <w:r>
        <w:rPr>
          <w:rtl/>
          <w:lang w:eastAsia="en-US"/>
        </w:rPr>
        <w:t>425 -</w:t>
      </w:r>
      <w:r>
        <w:rPr>
          <w:rtl/>
          <w:lang w:eastAsia="en-US"/>
        </w:rPr>
        <w:tab/>
        <w:t>وتُقدَّم منح سنوية إلى طائفة متنوعة من المنظمات غير الحكومية التي تعمل في مجال خدمات الصحة الإنجابية. ويفيد من ذلك تنظيم الأسرة ومراكز الرعاية النسائية وغير ذلك.</w:t>
      </w:r>
    </w:p>
    <w:p w:rsidR="00000000" w:rsidRDefault="00000000">
      <w:pPr>
        <w:pStyle w:val="SingleTxt"/>
        <w:tabs>
          <w:tab w:val="left" w:pos="1628"/>
        </w:tabs>
        <w:ind w:left="1264" w:right="1264"/>
        <w:rPr>
          <w:rtl/>
          <w:lang w:eastAsia="en-US"/>
        </w:rPr>
      </w:pPr>
      <w:r>
        <w:rPr>
          <w:rtl/>
          <w:lang w:eastAsia="en-US"/>
        </w:rPr>
        <w:t>426 -</w:t>
      </w:r>
      <w:r>
        <w:rPr>
          <w:rtl/>
          <w:lang w:eastAsia="en-US"/>
        </w:rPr>
        <w:tab/>
        <w:t>في كثير من المواقع في أنحاء المقاطعة توجد أندية الأطفال الأصحاء وهي ضمن إطار خطة عمل كندا للطفل التي تتجسد في مبادرة الحكومة الاتحادية. وهذه البرامج تقدِّم الدعم والتثقيف والموارد الملموسة إلى الحوامل والأمهات الجدد.</w:t>
      </w:r>
    </w:p>
    <w:p w:rsidR="00000000" w:rsidRDefault="00000000">
      <w:pPr>
        <w:pStyle w:val="SingleTxt"/>
        <w:tabs>
          <w:tab w:val="left" w:pos="1628"/>
        </w:tabs>
        <w:ind w:left="1264" w:right="1264"/>
        <w:rPr>
          <w:rtl/>
          <w:lang w:eastAsia="en-US"/>
        </w:rPr>
      </w:pPr>
      <w:r>
        <w:rPr>
          <w:b/>
          <w:bCs/>
          <w:szCs w:val="32"/>
          <w:rtl/>
          <w:lang w:eastAsia="en-US"/>
        </w:rPr>
        <w:t>المادة 13: الحياة الاقتصادية والاجتماعية</w:t>
      </w:r>
    </w:p>
    <w:p w:rsidR="00000000" w:rsidRDefault="00000000">
      <w:pPr>
        <w:pStyle w:val="SingleTxt"/>
        <w:tabs>
          <w:tab w:val="left" w:pos="1628"/>
        </w:tabs>
        <w:ind w:left="1264" w:right="1264"/>
        <w:rPr>
          <w:rtl/>
          <w:lang w:eastAsia="en-US"/>
        </w:rPr>
      </w:pPr>
      <w:r>
        <w:rPr>
          <w:rtl/>
          <w:lang w:eastAsia="en-US"/>
        </w:rPr>
        <w:t>427 -</w:t>
      </w:r>
      <w:r>
        <w:rPr>
          <w:rtl/>
          <w:lang w:eastAsia="en-US"/>
        </w:rPr>
        <w:tab/>
        <w:t>تُقدّم وزارة الموارد البشرية والتشغيل مزيدا من الدعم المالي للنساء الحوامل والنساء اللائي يعشن على دعم للدخل.</w:t>
      </w:r>
    </w:p>
    <w:p w:rsidR="00000000" w:rsidRDefault="00000000">
      <w:pPr>
        <w:pStyle w:val="SingleTxt"/>
        <w:tabs>
          <w:tab w:val="left" w:pos="1628"/>
        </w:tabs>
        <w:ind w:left="1264" w:right="1264"/>
        <w:rPr>
          <w:rtl/>
          <w:lang w:eastAsia="en-US"/>
        </w:rPr>
      </w:pPr>
      <w:r>
        <w:rPr>
          <w:b/>
          <w:bCs/>
          <w:szCs w:val="32"/>
          <w:rtl/>
          <w:lang w:eastAsia="en-US"/>
        </w:rPr>
        <w:t>المادة 14: المرأة الريفية</w:t>
      </w:r>
    </w:p>
    <w:p w:rsidR="00000000" w:rsidRDefault="00000000">
      <w:pPr>
        <w:pStyle w:val="SingleTxt"/>
        <w:tabs>
          <w:tab w:val="left" w:pos="1628"/>
        </w:tabs>
        <w:ind w:left="1264" w:right="1264"/>
        <w:rPr>
          <w:rtl/>
          <w:lang w:eastAsia="en-US"/>
        </w:rPr>
      </w:pPr>
      <w:r>
        <w:rPr>
          <w:rtl/>
          <w:lang w:eastAsia="en-US"/>
        </w:rPr>
        <w:t>428-</w:t>
      </w:r>
      <w:r>
        <w:rPr>
          <w:rtl/>
          <w:lang w:eastAsia="en-US"/>
        </w:rPr>
        <w:tab/>
        <w:t>أدت التغييرات في هيكـل نظام الرعاية الصحية بالمقاطعة، على النحو الوارد في المادة 12، إلى زيادة فرص الحصول على الخدمات أمام الذين يعيشون في المناطق الريفية.</w:t>
      </w:r>
    </w:p>
    <w:p w:rsidR="00000000" w:rsidRDefault="00000000">
      <w:pPr>
        <w:pStyle w:val="SingleTxt"/>
        <w:tabs>
          <w:tab w:val="left" w:pos="1628"/>
        </w:tabs>
        <w:ind w:left="1264" w:right="1264"/>
        <w:rPr>
          <w:rtl/>
          <w:lang w:eastAsia="en-US"/>
        </w:rPr>
      </w:pPr>
      <w:r>
        <w:rPr>
          <w:rtl/>
          <w:lang w:eastAsia="en-US"/>
        </w:rPr>
        <w:t>429 -</w:t>
      </w:r>
      <w:r>
        <w:rPr>
          <w:rtl/>
          <w:lang w:eastAsia="en-US"/>
        </w:rPr>
        <w:tab/>
        <w:t>واستهلت وزارة التعليم برنامجا جديدا راميا إلى إتاحة فرص الحصول على المزيد من الخدمات في مجال التعليم الأساسي للكبار في أرياف نيوفاوندلاند.</w:t>
      </w:r>
    </w:p>
    <w:p w:rsidR="00000000" w:rsidRDefault="00000000">
      <w:pPr>
        <w:pStyle w:val="SingleTxt"/>
        <w:tabs>
          <w:tab w:val="left" w:pos="1628"/>
        </w:tabs>
        <w:ind w:left="1264" w:right="1264"/>
        <w:rPr>
          <w:rtl/>
          <w:lang w:eastAsia="en-US"/>
        </w:rPr>
      </w:pPr>
      <w:r>
        <w:rPr>
          <w:b/>
          <w:bCs/>
          <w:szCs w:val="32"/>
          <w:rtl/>
          <w:lang w:eastAsia="en-US"/>
        </w:rPr>
        <w:t>المادة 16: المرأة والأسرة</w:t>
      </w:r>
    </w:p>
    <w:p w:rsidR="00000000" w:rsidRDefault="00000000">
      <w:pPr>
        <w:pStyle w:val="SingleTxt"/>
        <w:tabs>
          <w:tab w:val="left" w:pos="1628"/>
        </w:tabs>
        <w:ind w:left="1264" w:right="1264"/>
        <w:rPr>
          <w:rtl/>
          <w:lang w:eastAsia="en-US"/>
        </w:rPr>
      </w:pPr>
      <w:r>
        <w:rPr>
          <w:rtl/>
          <w:lang w:eastAsia="en-US"/>
        </w:rPr>
        <w:t>430 -</w:t>
      </w:r>
      <w:r>
        <w:rPr>
          <w:rtl/>
          <w:lang w:eastAsia="en-US"/>
        </w:rPr>
        <w:tab/>
        <w:t xml:space="preserve">في الفترة 1997 </w:t>
      </w:r>
      <w:r>
        <w:rPr>
          <w:lang w:eastAsia="en-US"/>
        </w:rPr>
        <w:t>–</w:t>
      </w:r>
      <w:r>
        <w:rPr>
          <w:rtl/>
          <w:lang w:eastAsia="en-US"/>
        </w:rPr>
        <w:t xml:space="preserve"> 1998 تم تعديل قانون الأسرة واللوائح المرتبطة به بما يتيح اعتماد مجموعة من المبادئ التوجيهية لدعم الطفولة وهي تكفل معيارا أساسيا لمنح معونة الطفولة إلى الآباء المنفصلين. كما يؤكد القانون على أولوية الاستجابة إلى الطلبات التي تقدَّم لدعم الطفل، أكثر من تلك المقدمة طلبا لدعم شخص معال من غير الأطفال.</w:t>
      </w:r>
    </w:p>
    <w:p w:rsidR="00000000" w:rsidRDefault="00000000">
      <w:pPr>
        <w:pStyle w:val="SingleTxt"/>
        <w:tabs>
          <w:tab w:val="left" w:pos="1628"/>
        </w:tabs>
        <w:ind w:left="1264" w:right="1264"/>
        <w:rPr>
          <w:rtl/>
          <w:lang w:eastAsia="en-US"/>
        </w:rPr>
      </w:pPr>
      <w:r>
        <w:rPr>
          <w:rtl/>
          <w:lang w:eastAsia="en-US"/>
        </w:rPr>
        <w:br w:type="page"/>
      </w:r>
      <w:r>
        <w:rPr>
          <w:b/>
          <w:bCs/>
          <w:szCs w:val="34"/>
          <w:rtl/>
          <w:lang w:eastAsia="en-US"/>
        </w:rPr>
        <w:t>جزيرة الأمير إدوارد</w:t>
      </w:r>
    </w:p>
    <w:p w:rsidR="00000000" w:rsidRDefault="00000000">
      <w:pPr>
        <w:pStyle w:val="SingleTxt"/>
        <w:tabs>
          <w:tab w:val="left" w:pos="1628"/>
        </w:tabs>
        <w:ind w:left="1264" w:right="1264"/>
        <w:rPr>
          <w:rtl/>
          <w:lang w:eastAsia="en-US"/>
        </w:rPr>
      </w:pPr>
      <w:r>
        <w:rPr>
          <w:rtl/>
          <w:lang w:eastAsia="en-US"/>
        </w:rPr>
        <w:t>431 -</w:t>
      </w:r>
      <w:r>
        <w:rPr>
          <w:rtl/>
          <w:lang w:eastAsia="en-US"/>
        </w:rPr>
        <w:tab/>
        <w:t>يضم هذا التقرير ما قدمته مقاطعة جزيرة الأمير إدوارد، ويغطي الفترة من 1 نيسان/أبريل 1994 إلى 31 آذار/مارس 1998.</w:t>
      </w:r>
    </w:p>
    <w:p w:rsidR="00000000" w:rsidRDefault="00000000">
      <w:pPr>
        <w:pStyle w:val="SingleTxt"/>
        <w:tabs>
          <w:tab w:val="left" w:pos="1628"/>
        </w:tabs>
        <w:ind w:left="1264" w:right="1264"/>
        <w:rPr>
          <w:rtl/>
          <w:lang w:eastAsia="en-US"/>
        </w:rPr>
      </w:pPr>
      <w:r>
        <w:rPr>
          <w:b/>
          <w:bCs/>
          <w:rtl/>
          <w:lang w:eastAsia="en-US"/>
        </w:rPr>
        <w:t>التدابير التشريعية والتدابير الأخرى المعتمدة في 1 نيسان/أبريل 1994 إلى 31 آذار/مارس 1998</w:t>
      </w:r>
    </w:p>
    <w:p w:rsidR="00000000" w:rsidRDefault="00000000">
      <w:pPr>
        <w:pStyle w:val="SingleTxt"/>
        <w:tabs>
          <w:tab w:val="left" w:pos="1628"/>
        </w:tabs>
        <w:ind w:left="1264" w:right="1264"/>
        <w:rPr>
          <w:rtl/>
          <w:lang w:eastAsia="en-US"/>
        </w:rPr>
      </w:pPr>
      <w:r>
        <w:rPr>
          <w:rtl/>
          <w:lang w:eastAsia="en-US"/>
        </w:rPr>
        <w:t>432 -</w:t>
      </w:r>
      <w:r>
        <w:rPr>
          <w:rtl/>
          <w:lang w:eastAsia="en-US"/>
        </w:rPr>
        <w:tab/>
        <w:t>يتطلب قانون معايير التوظيف من أرباب العمل أن يكفلوا بيئة عمل خالية من المضايقات. وفي عام 1995، اتخذت مبادرة تثقيفية لكفالة السلامة في موقع العمل. وقد استضافتها قطاعات العمالة والصحة المهنية والسلامة ووضع المرأة وتم توزيع ملصقات بهذا الخصوص في جميع مواقع العمل.</w:t>
      </w:r>
    </w:p>
    <w:p w:rsidR="00000000" w:rsidRDefault="00000000">
      <w:pPr>
        <w:pStyle w:val="SingleTxt"/>
        <w:tabs>
          <w:tab w:val="left" w:pos="1628"/>
        </w:tabs>
        <w:ind w:left="1264" w:right="1264"/>
        <w:rPr>
          <w:rtl/>
          <w:lang w:eastAsia="en-US"/>
        </w:rPr>
      </w:pPr>
      <w:r>
        <w:rPr>
          <w:rtl/>
          <w:lang w:eastAsia="en-US"/>
        </w:rPr>
        <w:t>433 -</w:t>
      </w:r>
      <w:r>
        <w:rPr>
          <w:rtl/>
          <w:lang w:eastAsia="en-US"/>
        </w:rPr>
        <w:tab/>
        <w:t>وعملا بقانون معايير التوظيف، شارك اتحاد الخدمة العامة وحكومة جزيرة الأمير إدوارد في وضع سياسة معنية بالمضايقات في مواقع العمل في سلك الخدمة العامة وبخلق بيئة عمل إيجابية من منطلق الاعتراف بحق موظفي الخدمة العامة ومن يتعاملون معهم في التحرر من أي مضايقات في موقع العمل. وعُقدت في هذا المجال دورات تثقيفية لجميع الموظفين.</w:t>
      </w:r>
    </w:p>
    <w:p w:rsidR="00000000" w:rsidRDefault="00000000">
      <w:pPr>
        <w:pStyle w:val="SingleTxt"/>
        <w:tabs>
          <w:tab w:val="left" w:pos="1628"/>
        </w:tabs>
        <w:ind w:left="1264" w:right="1264"/>
        <w:rPr>
          <w:rtl/>
          <w:lang w:eastAsia="en-US"/>
        </w:rPr>
      </w:pPr>
      <w:r>
        <w:rPr>
          <w:rtl/>
          <w:lang w:eastAsia="en-US"/>
        </w:rPr>
        <w:t>434 -</w:t>
      </w:r>
      <w:r>
        <w:rPr>
          <w:rtl/>
          <w:lang w:eastAsia="en-US"/>
        </w:rPr>
        <w:tab/>
        <w:t>وأضفيت تغييرات على قانون الإحالة إلى التقاعد في الخدمة المدنية بما يتيح اقتسام الأرصدة من المعاش التقاعدي للعضو في حال فسخ الزواج. وهذه التغييرات المقترحة تم اعتمادها.</w:t>
      </w:r>
    </w:p>
    <w:p w:rsidR="00000000" w:rsidRDefault="00000000">
      <w:pPr>
        <w:pStyle w:val="SingleTxt"/>
        <w:tabs>
          <w:tab w:val="left" w:pos="1628"/>
        </w:tabs>
        <w:ind w:left="1264" w:right="1264"/>
        <w:rPr>
          <w:rtl/>
          <w:lang w:eastAsia="en-US"/>
        </w:rPr>
      </w:pPr>
      <w:r>
        <w:rPr>
          <w:rtl/>
          <w:lang w:eastAsia="en-US"/>
        </w:rPr>
        <w:t>435 -</w:t>
      </w:r>
      <w:r>
        <w:rPr>
          <w:rtl/>
          <w:lang w:eastAsia="en-US"/>
        </w:rPr>
        <w:tab/>
        <w:t>كذلك عُقدت سلسلة من الدورات التثقيفية بشأن تعزيز الإنصاف والتنوع في مجال العمالة في إطار تمثيل الفئات المحددة الأربع وهي المرأة وشعوب السكان الأصليين والأشخاص ذوو الإعاقات والأقليات الواضحة. وتم إعداد مشورات بشأن الاتجاهات الاستراتيجية من أجل تحسين ثقافة موقع العمل بالنسبة لتلك الفئات بوصفها أساسا للتوعية ووضع السياسات مستقبلا.</w:t>
      </w:r>
    </w:p>
    <w:p w:rsidR="00000000" w:rsidRDefault="00000000">
      <w:pPr>
        <w:pStyle w:val="SingleTxt"/>
        <w:tabs>
          <w:tab w:val="left" w:pos="1628"/>
        </w:tabs>
        <w:ind w:left="1264" w:right="1264"/>
        <w:rPr>
          <w:rtl/>
          <w:lang w:eastAsia="en-US"/>
        </w:rPr>
      </w:pPr>
      <w:r>
        <w:rPr>
          <w:rtl/>
          <w:lang w:eastAsia="en-US"/>
        </w:rPr>
        <w:t>436 -</w:t>
      </w:r>
      <w:r>
        <w:rPr>
          <w:rtl/>
          <w:lang w:eastAsia="en-US"/>
        </w:rPr>
        <w:tab/>
        <w:t xml:space="preserve">ثم وُضع قانون ولوائح ضحايا العنف الأسري في الفترة 1994 </w:t>
      </w:r>
      <w:r>
        <w:rPr>
          <w:lang w:eastAsia="en-US"/>
        </w:rPr>
        <w:t>–</w:t>
      </w:r>
      <w:r>
        <w:rPr>
          <w:rtl/>
          <w:lang w:eastAsia="en-US"/>
        </w:rPr>
        <w:t xml:space="preserve"> 1995، وأُعلن القانون عام 1996 لينص على حصول أفراد المجتمع فورا على الحماية والتدخل في حالات الطوارئ. وعُقدت دورات تثقيفية عامة، وتم إعداد ونشر قانون دليل مواطني الجزيرة لضحايا العنف الأسري بواسطة رابطة المعلومات القانونية المحلية. ويتاح ملف معلومات عن أوامر مساعدة الضحايا من أجل إعانة المجني عليهم على فهم حقوقهم بموجب القانون، فضلا عن أي مستندات مطلوبة في هذا الشأن. كما أن المساعدة القانونية متاحة للضحايا الذين تنطبق عليهم معايير الاستحقاق المالي.</w:t>
      </w:r>
    </w:p>
    <w:p w:rsidR="00000000" w:rsidRDefault="00000000">
      <w:pPr>
        <w:pStyle w:val="SingleTxt"/>
        <w:tabs>
          <w:tab w:val="left" w:pos="1628"/>
        </w:tabs>
        <w:ind w:left="1264" w:right="1264"/>
        <w:rPr>
          <w:rtl/>
          <w:lang w:eastAsia="en-US"/>
        </w:rPr>
      </w:pPr>
      <w:r>
        <w:rPr>
          <w:rtl/>
          <w:lang w:eastAsia="en-US"/>
        </w:rPr>
        <w:t>437 -</w:t>
      </w:r>
      <w:r>
        <w:rPr>
          <w:rtl/>
          <w:lang w:eastAsia="en-US"/>
        </w:rPr>
        <w:tab/>
        <w:t>وقد بدأت في عامي 1996 و 1997 عملية وضع برامج تثقيفية رامية إلى تعزيز المواضيع المتعلقة بالمرأة والقيادة والإدارة بمشاركة ومساعدة من جانب حكومات الاتحاد والمقاطعات وجامعة جزيرة الأمير إدوارد. ويُقدَّم حاليا برنامج التنمية الإدارية للمرأة بوصفه برنامجا جامعيا. وقد تجاوز عدد الطلبات للحصول على أماكن، عدد الحصص المتاحة للبرنامج كل عام.</w:t>
      </w:r>
    </w:p>
    <w:p w:rsidR="00000000" w:rsidRDefault="00000000">
      <w:pPr>
        <w:pStyle w:val="SingleTxt"/>
        <w:tabs>
          <w:tab w:val="left" w:pos="1628"/>
        </w:tabs>
        <w:ind w:left="1264" w:right="1264"/>
        <w:rPr>
          <w:rtl/>
          <w:lang w:eastAsia="en-US"/>
        </w:rPr>
      </w:pPr>
      <w:r>
        <w:rPr>
          <w:rtl/>
          <w:lang w:eastAsia="en-US"/>
        </w:rPr>
        <w:t>438 -</w:t>
      </w:r>
      <w:r>
        <w:rPr>
          <w:rtl/>
          <w:lang w:eastAsia="en-US"/>
        </w:rPr>
        <w:tab/>
        <w:t>وتعكف لجنة العمل التابعة لرئيس الوزراء والمعنية بمنع العنف الأسري بوصفها شراكة استراتيجية بين الحكومة والمجتمع المحلي على مدى خمس سنوات، على تيسير وتحديث بروتوكولات الاستجابة للعنف الأسري والقيام بعمليات تثقيف جماهيرية ونشر معلومات تكفل التعرف على وجود العنف ومنعه في موقع العمل.</w:t>
      </w:r>
    </w:p>
    <w:p w:rsidR="00000000" w:rsidRDefault="00000000">
      <w:pPr>
        <w:pStyle w:val="SingleTxt"/>
        <w:tabs>
          <w:tab w:val="left" w:pos="1628"/>
        </w:tabs>
        <w:ind w:left="1264" w:right="1264"/>
        <w:rPr>
          <w:rtl/>
          <w:lang w:eastAsia="en-US"/>
        </w:rPr>
      </w:pPr>
      <w:r>
        <w:rPr>
          <w:rtl/>
          <w:lang w:eastAsia="en-US"/>
        </w:rPr>
        <w:t>439 -</w:t>
      </w:r>
      <w:r>
        <w:rPr>
          <w:rtl/>
          <w:lang w:eastAsia="en-US"/>
        </w:rPr>
        <w:tab/>
        <w:t>أما وزارة التنمية بالمقاطعة فتقدِّم برنامج منح لسيدات الأعمال في إطار تعزيز قيام المرء بتنظيم المشاريع.</w:t>
      </w:r>
    </w:p>
    <w:p w:rsidR="00000000" w:rsidRDefault="00000000">
      <w:pPr>
        <w:pStyle w:val="SingleTxt"/>
        <w:tabs>
          <w:tab w:val="left" w:pos="1628"/>
        </w:tabs>
        <w:ind w:left="1264" w:right="1264"/>
        <w:rPr>
          <w:rtl/>
          <w:lang w:eastAsia="en-US"/>
        </w:rPr>
      </w:pPr>
      <w:r>
        <w:rPr>
          <w:b/>
          <w:bCs/>
          <w:rtl/>
          <w:lang w:eastAsia="en-US"/>
        </w:rPr>
        <w:t>التقدم المحرز</w:t>
      </w:r>
    </w:p>
    <w:p w:rsidR="00000000" w:rsidRDefault="00000000">
      <w:pPr>
        <w:pStyle w:val="SingleTxt"/>
        <w:tabs>
          <w:tab w:val="left" w:pos="1628"/>
        </w:tabs>
        <w:ind w:left="1264" w:right="1264"/>
        <w:rPr>
          <w:rtl/>
          <w:lang w:eastAsia="en-US"/>
        </w:rPr>
      </w:pPr>
      <w:r>
        <w:rPr>
          <w:rtl/>
          <w:lang w:eastAsia="en-US"/>
        </w:rPr>
        <w:t>440 -</w:t>
      </w:r>
      <w:r>
        <w:rPr>
          <w:rtl/>
          <w:lang w:eastAsia="en-US"/>
        </w:rPr>
        <w:tab/>
        <w:t>يفاد بأن تمثيل المرأة في مناصب القيادة العامة في جزيرة الأمير إدوارد يشكل مؤشرا يدل على التقدُّم في إنصاف المرأة. ويبيِّن الجدول التالي أحدث ما تم في عام 1998.</w:t>
      </w:r>
    </w:p>
    <w:p w:rsidR="00000000" w:rsidRDefault="00000000">
      <w:pPr>
        <w:pStyle w:val="SingleTxt"/>
        <w:tabs>
          <w:tab w:val="left" w:pos="1628"/>
        </w:tabs>
        <w:ind w:left="1264" w:right="1264"/>
        <w:rPr>
          <w:rtl/>
          <w:lang w:eastAsia="en-US"/>
        </w:rPr>
      </w:pPr>
      <w:r>
        <w:rPr>
          <w:rtl/>
          <w:lang w:eastAsia="en-US"/>
        </w:rPr>
        <w:br w:type="page"/>
        <w:t>تمثيل المرأة في مناصب القيادة العامة</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56"/>
        <w:gridCol w:w="1559"/>
        <w:gridCol w:w="1843"/>
        <w:gridCol w:w="1701"/>
        <w:gridCol w:w="1418"/>
      </w:tblGrid>
      <w:tr w:rsidR="00000000">
        <w:tblPrEx>
          <w:tblCellMar>
            <w:top w:w="0" w:type="dxa"/>
            <w:bottom w:w="0" w:type="dxa"/>
          </w:tblCellMar>
        </w:tblPrEx>
        <w:tc>
          <w:tcPr>
            <w:tcW w:w="3356" w:type="dxa"/>
          </w:tcPr>
          <w:p w:rsidR="00000000" w:rsidRDefault="00000000">
            <w:pPr>
              <w:rPr>
                <w:rtl/>
                <w:lang w:eastAsia="en-US"/>
              </w:rPr>
            </w:pPr>
          </w:p>
        </w:tc>
        <w:tc>
          <w:tcPr>
            <w:tcW w:w="1559" w:type="dxa"/>
          </w:tcPr>
          <w:p w:rsidR="00000000" w:rsidRDefault="00000000">
            <w:pPr>
              <w:rPr>
                <w:rtl/>
                <w:lang w:eastAsia="en-US"/>
              </w:rPr>
            </w:pPr>
            <w:r>
              <w:rPr>
                <w:rtl/>
                <w:lang w:eastAsia="en-US"/>
              </w:rPr>
              <w:t>مجموع المناصب</w:t>
            </w:r>
          </w:p>
        </w:tc>
        <w:tc>
          <w:tcPr>
            <w:tcW w:w="1843" w:type="dxa"/>
          </w:tcPr>
          <w:p w:rsidR="00000000" w:rsidRDefault="00000000">
            <w:pPr>
              <w:rPr>
                <w:rtl/>
                <w:lang w:eastAsia="en-US"/>
              </w:rPr>
            </w:pPr>
            <w:r>
              <w:rPr>
                <w:rtl/>
                <w:lang w:eastAsia="en-US"/>
              </w:rPr>
              <w:t>العدد الإجمالي للنساء في المناصب</w:t>
            </w:r>
          </w:p>
        </w:tc>
        <w:tc>
          <w:tcPr>
            <w:tcW w:w="1701" w:type="dxa"/>
          </w:tcPr>
          <w:p w:rsidR="00000000" w:rsidRDefault="00000000">
            <w:pPr>
              <w:rPr>
                <w:rtl/>
                <w:lang w:eastAsia="en-US"/>
              </w:rPr>
            </w:pPr>
            <w:r>
              <w:rPr>
                <w:rtl/>
                <w:lang w:eastAsia="en-US"/>
              </w:rPr>
              <w:t>المجموع في عام 1993 (</w:t>
            </w:r>
            <w:r>
              <w:rPr>
                <w:rFonts w:cs="Akhbar MT"/>
                <w:rtl/>
                <w:lang w:eastAsia="en-US"/>
              </w:rPr>
              <w:t>%</w:t>
            </w:r>
            <w:r>
              <w:rPr>
                <w:rtl/>
                <w:lang w:eastAsia="en-US"/>
              </w:rPr>
              <w:t>)</w:t>
            </w:r>
          </w:p>
        </w:tc>
        <w:tc>
          <w:tcPr>
            <w:tcW w:w="1418" w:type="dxa"/>
          </w:tcPr>
          <w:p w:rsidR="00000000" w:rsidRDefault="00000000">
            <w:pPr>
              <w:rPr>
                <w:rtl/>
                <w:lang w:eastAsia="en-US"/>
              </w:rPr>
            </w:pPr>
            <w:r>
              <w:rPr>
                <w:rtl/>
                <w:lang w:eastAsia="en-US"/>
              </w:rPr>
              <w:t>المجموع في عام 1998(</w:t>
            </w:r>
            <w:r>
              <w:rPr>
                <w:rFonts w:cs="Akhbar MT"/>
                <w:rtl/>
                <w:lang w:eastAsia="en-US"/>
              </w:rPr>
              <w:t>%</w:t>
            </w:r>
            <w:r>
              <w:rPr>
                <w:rtl/>
                <w:lang w:eastAsia="en-US"/>
              </w:rPr>
              <w:t>)</w:t>
            </w:r>
          </w:p>
        </w:tc>
      </w:tr>
      <w:tr w:rsidR="00000000">
        <w:tblPrEx>
          <w:tblCellMar>
            <w:top w:w="0" w:type="dxa"/>
            <w:bottom w:w="0" w:type="dxa"/>
          </w:tblCellMar>
        </w:tblPrEx>
        <w:tc>
          <w:tcPr>
            <w:tcW w:w="3356" w:type="dxa"/>
          </w:tcPr>
          <w:p w:rsidR="00000000" w:rsidRDefault="00000000">
            <w:pPr>
              <w:rPr>
                <w:rtl/>
                <w:lang w:eastAsia="en-US"/>
              </w:rPr>
            </w:pPr>
            <w:r>
              <w:rPr>
                <w:rtl/>
                <w:lang w:eastAsia="en-US"/>
              </w:rPr>
              <w:t>عضو المجلس التشريعي</w:t>
            </w:r>
          </w:p>
        </w:tc>
        <w:tc>
          <w:tcPr>
            <w:tcW w:w="1559" w:type="dxa"/>
          </w:tcPr>
          <w:p w:rsidR="00000000" w:rsidRDefault="00000000">
            <w:pPr>
              <w:rPr>
                <w:rtl/>
                <w:lang w:eastAsia="en-US"/>
              </w:rPr>
            </w:pPr>
            <w:r>
              <w:rPr>
                <w:rtl/>
                <w:lang w:eastAsia="en-US"/>
              </w:rPr>
              <w:t>27</w:t>
            </w:r>
          </w:p>
        </w:tc>
        <w:tc>
          <w:tcPr>
            <w:tcW w:w="1843" w:type="dxa"/>
          </w:tcPr>
          <w:p w:rsidR="00000000" w:rsidRDefault="00000000">
            <w:pPr>
              <w:rPr>
                <w:rtl/>
                <w:lang w:eastAsia="en-US"/>
              </w:rPr>
            </w:pPr>
            <w:r>
              <w:rPr>
                <w:rtl/>
                <w:lang w:eastAsia="en-US"/>
              </w:rPr>
              <w:t>4</w:t>
            </w:r>
          </w:p>
        </w:tc>
        <w:tc>
          <w:tcPr>
            <w:tcW w:w="1701" w:type="dxa"/>
          </w:tcPr>
          <w:p w:rsidR="00000000" w:rsidRDefault="00000000">
            <w:pPr>
              <w:rPr>
                <w:rtl/>
                <w:lang w:eastAsia="en-US"/>
              </w:rPr>
            </w:pPr>
            <w:r>
              <w:rPr>
                <w:rtl/>
                <w:lang w:eastAsia="en-US"/>
              </w:rPr>
              <w:t>25.0</w:t>
            </w:r>
          </w:p>
        </w:tc>
        <w:tc>
          <w:tcPr>
            <w:tcW w:w="1418" w:type="dxa"/>
          </w:tcPr>
          <w:p w:rsidR="00000000" w:rsidRDefault="00000000">
            <w:pPr>
              <w:rPr>
                <w:rtl/>
                <w:lang w:eastAsia="en-US"/>
              </w:rPr>
            </w:pPr>
            <w:r>
              <w:rPr>
                <w:rtl/>
                <w:lang w:eastAsia="en-US"/>
              </w:rPr>
              <w:t>14.8</w:t>
            </w:r>
          </w:p>
        </w:tc>
      </w:tr>
      <w:tr w:rsidR="00000000">
        <w:tblPrEx>
          <w:tblCellMar>
            <w:top w:w="0" w:type="dxa"/>
            <w:bottom w:w="0" w:type="dxa"/>
          </w:tblCellMar>
        </w:tblPrEx>
        <w:tc>
          <w:tcPr>
            <w:tcW w:w="3356" w:type="dxa"/>
          </w:tcPr>
          <w:p w:rsidR="00000000" w:rsidRDefault="00000000">
            <w:pPr>
              <w:rPr>
                <w:rtl/>
                <w:lang w:eastAsia="en-US"/>
              </w:rPr>
            </w:pPr>
            <w:r>
              <w:rPr>
                <w:rtl/>
                <w:lang w:eastAsia="en-US"/>
              </w:rPr>
              <w:t>وزير في مجلس وزراء المقاطعة</w:t>
            </w:r>
          </w:p>
        </w:tc>
        <w:tc>
          <w:tcPr>
            <w:tcW w:w="1559" w:type="dxa"/>
          </w:tcPr>
          <w:p w:rsidR="00000000" w:rsidRDefault="00000000">
            <w:pPr>
              <w:rPr>
                <w:rtl/>
                <w:lang w:eastAsia="en-US"/>
              </w:rPr>
            </w:pPr>
            <w:r>
              <w:rPr>
                <w:rtl/>
                <w:lang w:eastAsia="en-US"/>
              </w:rPr>
              <w:t>9</w:t>
            </w:r>
          </w:p>
        </w:tc>
        <w:tc>
          <w:tcPr>
            <w:tcW w:w="1843" w:type="dxa"/>
          </w:tcPr>
          <w:p w:rsidR="00000000" w:rsidRDefault="00000000">
            <w:pPr>
              <w:rPr>
                <w:rtl/>
                <w:lang w:eastAsia="en-US"/>
              </w:rPr>
            </w:pPr>
            <w:r>
              <w:rPr>
                <w:rtl/>
                <w:lang w:eastAsia="en-US"/>
              </w:rPr>
              <w:t>2</w:t>
            </w:r>
          </w:p>
        </w:tc>
        <w:tc>
          <w:tcPr>
            <w:tcW w:w="1701" w:type="dxa"/>
          </w:tcPr>
          <w:p w:rsidR="00000000" w:rsidRDefault="00000000">
            <w:pPr>
              <w:rPr>
                <w:rtl/>
                <w:lang w:eastAsia="en-US"/>
              </w:rPr>
            </w:pPr>
            <w:r>
              <w:rPr>
                <w:rtl/>
                <w:lang w:eastAsia="en-US"/>
              </w:rPr>
              <w:t>11.1</w:t>
            </w:r>
          </w:p>
        </w:tc>
        <w:tc>
          <w:tcPr>
            <w:tcW w:w="1418" w:type="dxa"/>
          </w:tcPr>
          <w:p w:rsidR="00000000" w:rsidRDefault="00000000">
            <w:pPr>
              <w:rPr>
                <w:rtl/>
                <w:lang w:eastAsia="en-US"/>
              </w:rPr>
            </w:pPr>
            <w:r>
              <w:rPr>
                <w:rtl/>
                <w:lang w:eastAsia="en-US"/>
              </w:rPr>
              <w:t>22.2</w:t>
            </w:r>
          </w:p>
        </w:tc>
      </w:tr>
      <w:tr w:rsidR="00000000">
        <w:tblPrEx>
          <w:tblCellMar>
            <w:top w:w="0" w:type="dxa"/>
            <w:bottom w:w="0" w:type="dxa"/>
          </w:tblCellMar>
        </w:tblPrEx>
        <w:tc>
          <w:tcPr>
            <w:tcW w:w="3356" w:type="dxa"/>
          </w:tcPr>
          <w:p w:rsidR="00000000" w:rsidRDefault="00000000">
            <w:pPr>
              <w:rPr>
                <w:rtl/>
                <w:lang w:eastAsia="en-US"/>
              </w:rPr>
            </w:pPr>
            <w:r>
              <w:rPr>
                <w:rtl/>
                <w:lang w:eastAsia="en-US"/>
              </w:rPr>
              <w:t>نائب وزير وزراء في المقاطعة</w:t>
            </w:r>
          </w:p>
        </w:tc>
        <w:tc>
          <w:tcPr>
            <w:tcW w:w="1559" w:type="dxa"/>
          </w:tcPr>
          <w:p w:rsidR="00000000" w:rsidRDefault="00000000">
            <w:pPr>
              <w:rPr>
                <w:rtl/>
                <w:lang w:eastAsia="en-US"/>
              </w:rPr>
            </w:pPr>
            <w:r>
              <w:rPr>
                <w:rtl/>
                <w:lang w:eastAsia="en-US"/>
              </w:rPr>
              <w:t>9</w:t>
            </w:r>
          </w:p>
        </w:tc>
        <w:tc>
          <w:tcPr>
            <w:tcW w:w="1843" w:type="dxa"/>
          </w:tcPr>
          <w:p w:rsidR="00000000" w:rsidRDefault="00000000">
            <w:pPr>
              <w:rPr>
                <w:rtl/>
                <w:lang w:eastAsia="en-US"/>
              </w:rPr>
            </w:pPr>
            <w:r>
              <w:rPr>
                <w:rtl/>
                <w:lang w:eastAsia="en-US"/>
              </w:rPr>
              <w:t>1</w:t>
            </w:r>
          </w:p>
        </w:tc>
        <w:tc>
          <w:tcPr>
            <w:tcW w:w="1701" w:type="dxa"/>
          </w:tcPr>
          <w:p w:rsidR="00000000" w:rsidRDefault="00000000">
            <w:pPr>
              <w:rPr>
                <w:rtl/>
                <w:lang w:eastAsia="en-US"/>
              </w:rPr>
            </w:pPr>
            <w:r>
              <w:rPr>
                <w:rtl/>
                <w:lang w:eastAsia="en-US"/>
              </w:rPr>
              <w:t>22.2</w:t>
            </w:r>
          </w:p>
        </w:tc>
        <w:tc>
          <w:tcPr>
            <w:tcW w:w="1418" w:type="dxa"/>
          </w:tcPr>
          <w:p w:rsidR="00000000" w:rsidRDefault="00000000">
            <w:pPr>
              <w:rPr>
                <w:rtl/>
                <w:lang w:eastAsia="en-US"/>
              </w:rPr>
            </w:pPr>
            <w:r>
              <w:rPr>
                <w:rtl/>
                <w:lang w:eastAsia="en-US"/>
              </w:rPr>
              <w:t>22.2</w:t>
            </w:r>
          </w:p>
        </w:tc>
      </w:tr>
      <w:tr w:rsidR="00000000">
        <w:tblPrEx>
          <w:tblCellMar>
            <w:top w:w="0" w:type="dxa"/>
            <w:bottom w:w="0" w:type="dxa"/>
          </w:tblCellMar>
        </w:tblPrEx>
        <w:tc>
          <w:tcPr>
            <w:tcW w:w="3356" w:type="dxa"/>
          </w:tcPr>
          <w:p w:rsidR="00000000" w:rsidRDefault="00000000">
            <w:pPr>
              <w:rPr>
                <w:rtl/>
                <w:lang w:eastAsia="en-US"/>
              </w:rPr>
            </w:pPr>
            <w:r>
              <w:rPr>
                <w:rtl/>
                <w:lang w:eastAsia="en-US"/>
              </w:rPr>
              <w:t>رئيس بلدية/رئيس مجلس تشريعي</w:t>
            </w:r>
          </w:p>
        </w:tc>
        <w:tc>
          <w:tcPr>
            <w:tcW w:w="1559" w:type="dxa"/>
          </w:tcPr>
          <w:p w:rsidR="00000000" w:rsidRDefault="00000000">
            <w:pPr>
              <w:rPr>
                <w:rtl/>
                <w:lang w:eastAsia="en-US"/>
              </w:rPr>
            </w:pPr>
            <w:r>
              <w:rPr>
                <w:rtl/>
                <w:lang w:eastAsia="en-US"/>
              </w:rPr>
              <w:t>75</w:t>
            </w:r>
          </w:p>
        </w:tc>
        <w:tc>
          <w:tcPr>
            <w:tcW w:w="1843" w:type="dxa"/>
          </w:tcPr>
          <w:p w:rsidR="00000000" w:rsidRDefault="00000000">
            <w:pPr>
              <w:rPr>
                <w:rtl/>
                <w:lang w:eastAsia="en-US"/>
              </w:rPr>
            </w:pPr>
            <w:r>
              <w:rPr>
                <w:rtl/>
                <w:lang w:eastAsia="en-US"/>
              </w:rPr>
              <w:t>18</w:t>
            </w:r>
          </w:p>
        </w:tc>
        <w:tc>
          <w:tcPr>
            <w:tcW w:w="1701" w:type="dxa"/>
          </w:tcPr>
          <w:p w:rsidR="00000000" w:rsidRDefault="00000000">
            <w:pPr>
              <w:rPr>
                <w:rtl/>
                <w:lang w:eastAsia="en-US"/>
              </w:rPr>
            </w:pPr>
            <w:r>
              <w:rPr>
                <w:rtl/>
                <w:lang w:eastAsia="en-US"/>
              </w:rPr>
              <w:t>14.6</w:t>
            </w:r>
          </w:p>
        </w:tc>
        <w:tc>
          <w:tcPr>
            <w:tcW w:w="1418" w:type="dxa"/>
          </w:tcPr>
          <w:p w:rsidR="00000000" w:rsidRDefault="00000000">
            <w:pPr>
              <w:rPr>
                <w:rtl/>
                <w:lang w:eastAsia="en-US"/>
              </w:rPr>
            </w:pPr>
            <w:r>
              <w:rPr>
                <w:rtl/>
                <w:lang w:eastAsia="en-US"/>
              </w:rPr>
              <w:t>24.0</w:t>
            </w:r>
          </w:p>
        </w:tc>
      </w:tr>
      <w:tr w:rsidR="00000000">
        <w:tblPrEx>
          <w:tblCellMar>
            <w:top w:w="0" w:type="dxa"/>
            <w:bottom w:w="0" w:type="dxa"/>
          </w:tblCellMar>
        </w:tblPrEx>
        <w:tc>
          <w:tcPr>
            <w:tcW w:w="3356" w:type="dxa"/>
          </w:tcPr>
          <w:p w:rsidR="00000000" w:rsidRDefault="00000000">
            <w:pPr>
              <w:rPr>
                <w:rtl/>
                <w:lang w:eastAsia="en-US"/>
              </w:rPr>
            </w:pPr>
            <w:r>
              <w:rPr>
                <w:rtl/>
                <w:lang w:eastAsia="en-US"/>
              </w:rPr>
              <w:t>عضو مجلس محلي (بخلاف الرئاسة)</w:t>
            </w:r>
          </w:p>
        </w:tc>
        <w:tc>
          <w:tcPr>
            <w:tcW w:w="1559" w:type="dxa"/>
          </w:tcPr>
          <w:p w:rsidR="00000000" w:rsidRDefault="00000000">
            <w:pPr>
              <w:rPr>
                <w:rtl/>
                <w:lang w:eastAsia="en-US"/>
              </w:rPr>
            </w:pPr>
            <w:r>
              <w:rPr>
                <w:rtl/>
                <w:lang w:eastAsia="en-US"/>
              </w:rPr>
              <w:t>404</w:t>
            </w:r>
          </w:p>
        </w:tc>
        <w:tc>
          <w:tcPr>
            <w:tcW w:w="1843" w:type="dxa"/>
          </w:tcPr>
          <w:p w:rsidR="00000000" w:rsidRDefault="00000000">
            <w:pPr>
              <w:rPr>
                <w:rtl/>
                <w:lang w:eastAsia="en-US"/>
              </w:rPr>
            </w:pPr>
            <w:r>
              <w:rPr>
                <w:rtl/>
                <w:lang w:eastAsia="en-US"/>
              </w:rPr>
              <w:t>111</w:t>
            </w:r>
          </w:p>
        </w:tc>
        <w:tc>
          <w:tcPr>
            <w:tcW w:w="1701" w:type="dxa"/>
          </w:tcPr>
          <w:p w:rsidR="00000000" w:rsidRDefault="00000000">
            <w:pPr>
              <w:rPr>
                <w:rtl/>
                <w:lang w:eastAsia="en-US"/>
              </w:rPr>
            </w:pPr>
            <w:r>
              <w:rPr>
                <w:rtl/>
                <w:lang w:eastAsia="en-US"/>
              </w:rPr>
              <w:t>22.3</w:t>
            </w:r>
          </w:p>
        </w:tc>
        <w:tc>
          <w:tcPr>
            <w:tcW w:w="1418" w:type="dxa"/>
          </w:tcPr>
          <w:p w:rsidR="00000000" w:rsidRDefault="00000000">
            <w:pPr>
              <w:rPr>
                <w:rtl/>
                <w:lang w:eastAsia="en-US"/>
              </w:rPr>
            </w:pPr>
            <w:r>
              <w:rPr>
                <w:rtl/>
                <w:lang w:eastAsia="en-US"/>
              </w:rPr>
              <w:t>27.5</w:t>
            </w:r>
          </w:p>
        </w:tc>
      </w:tr>
      <w:tr w:rsidR="00000000">
        <w:tblPrEx>
          <w:tblCellMar>
            <w:top w:w="0" w:type="dxa"/>
            <w:bottom w:w="0" w:type="dxa"/>
          </w:tblCellMar>
        </w:tblPrEx>
        <w:tc>
          <w:tcPr>
            <w:tcW w:w="3356" w:type="dxa"/>
          </w:tcPr>
          <w:p w:rsidR="00000000" w:rsidRDefault="00000000">
            <w:pPr>
              <w:rPr>
                <w:rtl/>
                <w:lang w:eastAsia="en-US"/>
              </w:rPr>
            </w:pPr>
            <w:r>
              <w:rPr>
                <w:rtl/>
                <w:lang w:eastAsia="en-US"/>
              </w:rPr>
              <w:t>رئاسة مجلس المدرسة</w:t>
            </w:r>
          </w:p>
        </w:tc>
        <w:tc>
          <w:tcPr>
            <w:tcW w:w="1559" w:type="dxa"/>
          </w:tcPr>
          <w:p w:rsidR="00000000" w:rsidRDefault="00000000">
            <w:pPr>
              <w:rPr>
                <w:rtl/>
                <w:lang w:eastAsia="en-US"/>
              </w:rPr>
            </w:pPr>
            <w:r>
              <w:rPr>
                <w:rtl/>
                <w:lang w:eastAsia="en-US"/>
              </w:rPr>
              <w:t>3</w:t>
            </w:r>
          </w:p>
        </w:tc>
        <w:tc>
          <w:tcPr>
            <w:tcW w:w="1843" w:type="dxa"/>
          </w:tcPr>
          <w:p w:rsidR="00000000" w:rsidRDefault="00000000">
            <w:pPr>
              <w:rPr>
                <w:rtl/>
                <w:lang w:eastAsia="en-US"/>
              </w:rPr>
            </w:pPr>
            <w:r>
              <w:rPr>
                <w:rtl/>
                <w:lang w:eastAsia="en-US"/>
              </w:rPr>
              <w:t>2</w:t>
            </w:r>
          </w:p>
        </w:tc>
        <w:tc>
          <w:tcPr>
            <w:tcW w:w="1701" w:type="dxa"/>
          </w:tcPr>
          <w:p w:rsidR="00000000" w:rsidRDefault="00000000">
            <w:pPr>
              <w:rPr>
                <w:rtl/>
                <w:lang w:eastAsia="en-US"/>
              </w:rPr>
            </w:pPr>
            <w:r>
              <w:rPr>
                <w:rtl/>
                <w:lang w:eastAsia="en-US"/>
              </w:rPr>
              <w:t>60.0</w:t>
            </w:r>
          </w:p>
        </w:tc>
        <w:tc>
          <w:tcPr>
            <w:tcW w:w="1418" w:type="dxa"/>
          </w:tcPr>
          <w:p w:rsidR="00000000" w:rsidRDefault="00000000">
            <w:pPr>
              <w:rPr>
                <w:rtl/>
                <w:lang w:eastAsia="en-US"/>
              </w:rPr>
            </w:pPr>
            <w:r>
              <w:rPr>
                <w:rtl/>
                <w:lang w:eastAsia="en-US"/>
              </w:rPr>
              <w:t>66.7</w:t>
            </w:r>
          </w:p>
        </w:tc>
      </w:tr>
      <w:tr w:rsidR="00000000">
        <w:tblPrEx>
          <w:tblCellMar>
            <w:top w:w="0" w:type="dxa"/>
            <w:bottom w:w="0" w:type="dxa"/>
          </w:tblCellMar>
        </w:tblPrEx>
        <w:tc>
          <w:tcPr>
            <w:tcW w:w="3356" w:type="dxa"/>
          </w:tcPr>
          <w:p w:rsidR="00000000" w:rsidRDefault="00000000">
            <w:pPr>
              <w:rPr>
                <w:rtl/>
                <w:lang w:eastAsia="en-US"/>
              </w:rPr>
            </w:pPr>
            <w:r>
              <w:rPr>
                <w:rtl/>
                <w:lang w:eastAsia="en-US"/>
              </w:rPr>
              <w:t>عضو مجلس المدرسة (بخلاف الرئاسة)</w:t>
            </w:r>
          </w:p>
        </w:tc>
        <w:tc>
          <w:tcPr>
            <w:tcW w:w="1559" w:type="dxa"/>
          </w:tcPr>
          <w:p w:rsidR="00000000" w:rsidRDefault="00000000">
            <w:pPr>
              <w:rPr>
                <w:rtl/>
                <w:lang w:eastAsia="en-US"/>
              </w:rPr>
            </w:pPr>
            <w:r>
              <w:rPr>
                <w:rtl/>
                <w:lang w:eastAsia="en-US"/>
              </w:rPr>
              <w:t>29</w:t>
            </w:r>
          </w:p>
        </w:tc>
        <w:tc>
          <w:tcPr>
            <w:tcW w:w="1843" w:type="dxa"/>
          </w:tcPr>
          <w:p w:rsidR="00000000" w:rsidRDefault="00000000">
            <w:pPr>
              <w:rPr>
                <w:rtl/>
                <w:lang w:eastAsia="en-US"/>
              </w:rPr>
            </w:pPr>
            <w:r>
              <w:rPr>
                <w:rtl/>
                <w:lang w:eastAsia="en-US"/>
              </w:rPr>
              <w:t>13</w:t>
            </w:r>
          </w:p>
        </w:tc>
        <w:tc>
          <w:tcPr>
            <w:tcW w:w="1701" w:type="dxa"/>
          </w:tcPr>
          <w:p w:rsidR="00000000" w:rsidRDefault="00000000">
            <w:pPr>
              <w:rPr>
                <w:rtl/>
                <w:lang w:eastAsia="en-US"/>
              </w:rPr>
            </w:pPr>
            <w:r>
              <w:rPr>
                <w:rtl/>
                <w:lang w:eastAsia="en-US"/>
              </w:rPr>
              <w:t>32.8</w:t>
            </w:r>
          </w:p>
        </w:tc>
        <w:tc>
          <w:tcPr>
            <w:tcW w:w="1418" w:type="dxa"/>
          </w:tcPr>
          <w:p w:rsidR="00000000" w:rsidRDefault="00000000">
            <w:pPr>
              <w:rPr>
                <w:rtl/>
                <w:lang w:eastAsia="en-US"/>
              </w:rPr>
            </w:pPr>
            <w:r>
              <w:rPr>
                <w:rtl/>
                <w:lang w:eastAsia="en-US"/>
              </w:rPr>
              <w:t>44.8</w:t>
            </w:r>
          </w:p>
        </w:tc>
      </w:tr>
      <w:tr w:rsidR="00000000">
        <w:tblPrEx>
          <w:tblCellMar>
            <w:top w:w="0" w:type="dxa"/>
            <w:bottom w:w="0" w:type="dxa"/>
          </w:tblCellMar>
        </w:tblPrEx>
        <w:tc>
          <w:tcPr>
            <w:tcW w:w="3356" w:type="dxa"/>
          </w:tcPr>
          <w:p w:rsidR="00000000" w:rsidRDefault="00000000">
            <w:pPr>
              <w:rPr>
                <w:rtl/>
                <w:lang w:eastAsia="en-US"/>
              </w:rPr>
            </w:pPr>
            <w:r>
              <w:rPr>
                <w:rtl/>
                <w:lang w:eastAsia="en-US"/>
              </w:rPr>
              <w:t>قاض بالمحكمة العليا*</w:t>
            </w:r>
          </w:p>
        </w:tc>
        <w:tc>
          <w:tcPr>
            <w:tcW w:w="1559" w:type="dxa"/>
          </w:tcPr>
          <w:p w:rsidR="00000000" w:rsidRDefault="00000000">
            <w:pPr>
              <w:rPr>
                <w:rtl/>
                <w:lang w:eastAsia="en-US"/>
              </w:rPr>
            </w:pPr>
            <w:r>
              <w:rPr>
                <w:rtl/>
                <w:lang w:eastAsia="en-US"/>
              </w:rPr>
              <w:t>8</w:t>
            </w:r>
          </w:p>
        </w:tc>
        <w:tc>
          <w:tcPr>
            <w:tcW w:w="1843" w:type="dxa"/>
          </w:tcPr>
          <w:p w:rsidR="00000000" w:rsidRDefault="00000000">
            <w:pPr>
              <w:rPr>
                <w:rtl/>
                <w:lang w:eastAsia="en-US"/>
              </w:rPr>
            </w:pPr>
            <w:r>
              <w:rPr>
                <w:rtl/>
                <w:lang w:eastAsia="en-US"/>
              </w:rPr>
              <w:t>2</w:t>
            </w:r>
          </w:p>
        </w:tc>
        <w:tc>
          <w:tcPr>
            <w:tcW w:w="1701" w:type="dxa"/>
          </w:tcPr>
          <w:p w:rsidR="00000000" w:rsidRDefault="00000000">
            <w:pPr>
              <w:rPr>
                <w:rtl/>
                <w:lang w:eastAsia="en-US"/>
              </w:rPr>
            </w:pPr>
            <w:r>
              <w:rPr>
                <w:rtl/>
                <w:lang w:eastAsia="en-US"/>
              </w:rPr>
              <w:t>12.5</w:t>
            </w:r>
          </w:p>
        </w:tc>
        <w:tc>
          <w:tcPr>
            <w:tcW w:w="1418" w:type="dxa"/>
          </w:tcPr>
          <w:p w:rsidR="00000000" w:rsidRDefault="00000000">
            <w:pPr>
              <w:rPr>
                <w:rtl/>
                <w:lang w:eastAsia="en-US"/>
              </w:rPr>
            </w:pPr>
            <w:r>
              <w:rPr>
                <w:rtl/>
                <w:lang w:eastAsia="en-US"/>
              </w:rPr>
              <w:t>25.0</w:t>
            </w:r>
          </w:p>
        </w:tc>
      </w:tr>
      <w:tr w:rsidR="00000000">
        <w:tblPrEx>
          <w:tblCellMar>
            <w:top w:w="0" w:type="dxa"/>
            <w:bottom w:w="0" w:type="dxa"/>
          </w:tblCellMar>
        </w:tblPrEx>
        <w:tc>
          <w:tcPr>
            <w:tcW w:w="3356" w:type="dxa"/>
          </w:tcPr>
          <w:p w:rsidR="00000000" w:rsidRDefault="00000000">
            <w:pPr>
              <w:rPr>
                <w:rtl/>
                <w:lang w:eastAsia="en-US"/>
              </w:rPr>
            </w:pPr>
            <w:r>
              <w:rPr>
                <w:rtl/>
                <w:lang w:eastAsia="en-US"/>
              </w:rPr>
              <w:t>قاض بمحكمة المقاطعة*</w:t>
            </w:r>
          </w:p>
        </w:tc>
        <w:tc>
          <w:tcPr>
            <w:tcW w:w="1559" w:type="dxa"/>
          </w:tcPr>
          <w:p w:rsidR="00000000" w:rsidRDefault="00000000">
            <w:pPr>
              <w:rPr>
                <w:rtl/>
                <w:lang w:eastAsia="en-US"/>
              </w:rPr>
            </w:pPr>
            <w:r>
              <w:rPr>
                <w:rtl/>
                <w:lang w:eastAsia="en-US"/>
              </w:rPr>
              <w:t>3</w:t>
            </w:r>
          </w:p>
        </w:tc>
        <w:tc>
          <w:tcPr>
            <w:tcW w:w="1843" w:type="dxa"/>
          </w:tcPr>
          <w:p w:rsidR="00000000" w:rsidRDefault="00000000">
            <w:pPr>
              <w:rPr>
                <w:rtl/>
                <w:lang w:eastAsia="en-US"/>
              </w:rPr>
            </w:pPr>
            <w:r>
              <w:rPr>
                <w:rtl/>
                <w:lang w:eastAsia="en-US"/>
              </w:rPr>
              <w:t>1</w:t>
            </w:r>
          </w:p>
        </w:tc>
        <w:tc>
          <w:tcPr>
            <w:tcW w:w="1701" w:type="dxa"/>
          </w:tcPr>
          <w:p w:rsidR="00000000" w:rsidRDefault="00000000">
            <w:pPr>
              <w:rPr>
                <w:rtl/>
                <w:lang w:eastAsia="en-US"/>
              </w:rPr>
            </w:pPr>
            <w:r>
              <w:rPr>
                <w:rtl/>
                <w:lang w:eastAsia="en-US"/>
              </w:rPr>
              <w:t>0,0</w:t>
            </w:r>
          </w:p>
        </w:tc>
        <w:tc>
          <w:tcPr>
            <w:tcW w:w="1418" w:type="dxa"/>
          </w:tcPr>
          <w:p w:rsidR="00000000" w:rsidRDefault="00000000">
            <w:pPr>
              <w:rPr>
                <w:rtl/>
                <w:lang w:eastAsia="en-US"/>
              </w:rPr>
            </w:pPr>
            <w:r>
              <w:rPr>
                <w:rtl/>
                <w:lang w:eastAsia="en-US"/>
              </w:rPr>
              <w:t>33.3</w:t>
            </w:r>
          </w:p>
        </w:tc>
      </w:tr>
      <w:tr w:rsidR="00000000">
        <w:tblPrEx>
          <w:tblCellMar>
            <w:top w:w="0" w:type="dxa"/>
            <w:bottom w:w="0" w:type="dxa"/>
          </w:tblCellMar>
        </w:tblPrEx>
        <w:tc>
          <w:tcPr>
            <w:tcW w:w="3356" w:type="dxa"/>
          </w:tcPr>
          <w:p w:rsidR="00000000" w:rsidRDefault="00000000">
            <w:pPr>
              <w:rPr>
                <w:b/>
                <w:bCs/>
                <w:rtl/>
                <w:lang w:eastAsia="en-US"/>
              </w:rPr>
            </w:pPr>
            <w:r>
              <w:rPr>
                <w:b/>
                <w:bCs/>
                <w:rtl/>
                <w:lang w:eastAsia="en-US"/>
              </w:rPr>
              <w:t>المجموع</w:t>
            </w:r>
          </w:p>
        </w:tc>
        <w:tc>
          <w:tcPr>
            <w:tcW w:w="1559" w:type="dxa"/>
          </w:tcPr>
          <w:p w:rsidR="00000000" w:rsidRDefault="00000000">
            <w:pPr>
              <w:rPr>
                <w:rtl/>
                <w:lang w:eastAsia="en-US"/>
              </w:rPr>
            </w:pPr>
            <w:r>
              <w:rPr>
                <w:rtl/>
                <w:lang w:eastAsia="en-US"/>
              </w:rPr>
              <w:t>567</w:t>
            </w:r>
          </w:p>
        </w:tc>
        <w:tc>
          <w:tcPr>
            <w:tcW w:w="1843" w:type="dxa"/>
          </w:tcPr>
          <w:p w:rsidR="00000000" w:rsidRDefault="00000000">
            <w:pPr>
              <w:rPr>
                <w:rtl/>
                <w:lang w:eastAsia="en-US"/>
              </w:rPr>
            </w:pPr>
            <w:r>
              <w:rPr>
                <w:rtl/>
                <w:lang w:eastAsia="en-US"/>
              </w:rPr>
              <w:t>155</w:t>
            </w:r>
          </w:p>
        </w:tc>
        <w:tc>
          <w:tcPr>
            <w:tcW w:w="1701" w:type="dxa"/>
          </w:tcPr>
          <w:p w:rsidR="00000000" w:rsidRDefault="00000000">
            <w:pPr>
              <w:rPr>
                <w:rtl/>
                <w:lang w:eastAsia="en-US"/>
              </w:rPr>
            </w:pPr>
            <w:r>
              <w:rPr>
                <w:rtl/>
                <w:lang w:eastAsia="en-US"/>
              </w:rPr>
              <w:t>22.4</w:t>
            </w:r>
          </w:p>
        </w:tc>
        <w:tc>
          <w:tcPr>
            <w:tcW w:w="1418" w:type="dxa"/>
          </w:tcPr>
          <w:p w:rsidR="00000000" w:rsidRDefault="00000000">
            <w:pPr>
              <w:rPr>
                <w:rtl/>
                <w:lang w:eastAsia="en-US"/>
              </w:rPr>
            </w:pPr>
            <w:r>
              <w:rPr>
                <w:rtl/>
                <w:lang w:eastAsia="en-US"/>
              </w:rPr>
              <w:t>27.3</w:t>
            </w:r>
          </w:p>
        </w:tc>
      </w:tr>
    </w:tbl>
    <w:p w:rsidR="00000000" w:rsidRDefault="00000000">
      <w:pPr>
        <w:pStyle w:val="SingleTxt"/>
        <w:tabs>
          <w:tab w:val="left" w:pos="1628"/>
        </w:tabs>
        <w:ind w:left="1264" w:right="1264"/>
        <w:rPr>
          <w:rtl/>
          <w:lang w:eastAsia="en-US"/>
        </w:rPr>
      </w:pPr>
    </w:p>
    <w:p w:rsidR="00000000" w:rsidRDefault="00000000">
      <w:pPr>
        <w:pStyle w:val="SingleTxt"/>
        <w:tabs>
          <w:tab w:val="left" w:pos="1628"/>
        </w:tabs>
        <w:ind w:left="1264" w:right="1264"/>
        <w:rPr>
          <w:szCs w:val="26"/>
          <w:rtl/>
          <w:lang w:eastAsia="en-US"/>
        </w:rPr>
      </w:pPr>
      <w:r>
        <w:rPr>
          <w:szCs w:val="26"/>
          <w:rtl/>
          <w:lang w:eastAsia="en-US"/>
        </w:rPr>
        <w:t>*</w:t>
      </w:r>
      <w:r>
        <w:rPr>
          <w:szCs w:val="26"/>
          <w:rtl/>
          <w:lang w:eastAsia="en-US"/>
        </w:rPr>
        <w:tab/>
        <w:t>في هذا التقرير، تم إدراج هاتين الفئتين الأخيرتين برغم أن الأفراد يعيَّنون ولا يُنتخبون في تلك المناصب.</w:t>
      </w:r>
    </w:p>
    <w:p w:rsidR="00000000" w:rsidRDefault="00000000">
      <w:pPr>
        <w:pStyle w:val="SingleTxt"/>
        <w:tabs>
          <w:tab w:val="left" w:pos="1628"/>
        </w:tabs>
        <w:ind w:left="1264" w:right="1264"/>
        <w:rPr>
          <w:b/>
          <w:bCs/>
          <w:szCs w:val="32"/>
          <w:rtl/>
          <w:lang w:eastAsia="en-US"/>
        </w:rPr>
      </w:pPr>
      <w:r>
        <w:rPr>
          <w:szCs w:val="26"/>
          <w:rtl/>
          <w:lang w:eastAsia="en-US"/>
        </w:rPr>
        <w:br w:type="page"/>
      </w:r>
      <w:r>
        <w:rPr>
          <w:b/>
          <w:bCs/>
          <w:szCs w:val="32"/>
          <w:rtl/>
          <w:lang w:eastAsia="en-US"/>
        </w:rPr>
        <w:t>نوفا سكوتشيا</w:t>
      </w:r>
    </w:p>
    <w:p w:rsidR="00000000" w:rsidRDefault="00000000">
      <w:pPr>
        <w:pStyle w:val="SingleTxt"/>
        <w:tabs>
          <w:tab w:val="left" w:pos="1628"/>
        </w:tabs>
        <w:ind w:left="1264" w:right="1264"/>
        <w:rPr>
          <w:rtl/>
          <w:lang w:eastAsia="en-US"/>
        </w:rPr>
      </w:pPr>
      <w:r>
        <w:rPr>
          <w:b/>
          <w:bCs/>
          <w:rtl/>
          <w:lang w:eastAsia="en-US"/>
        </w:rPr>
        <w:t>مقدمة</w:t>
      </w:r>
    </w:p>
    <w:p w:rsidR="00000000" w:rsidRDefault="00000000">
      <w:pPr>
        <w:pStyle w:val="SingleTxt"/>
        <w:tabs>
          <w:tab w:val="left" w:pos="1628"/>
        </w:tabs>
        <w:ind w:left="1264" w:right="1264"/>
        <w:rPr>
          <w:rtl/>
          <w:lang w:eastAsia="en-US"/>
        </w:rPr>
      </w:pPr>
      <w:r>
        <w:rPr>
          <w:rtl/>
          <w:lang w:eastAsia="en-US"/>
        </w:rPr>
        <w:t>441 -</w:t>
      </w:r>
      <w:r>
        <w:rPr>
          <w:rtl/>
          <w:lang w:eastAsia="en-US"/>
        </w:rPr>
        <w:tab/>
        <w:t>يلخِّص هذا التقرير سياسات وتشريعات وبرامج نوفا سكوتشيا المتصلة بمواد اتفاقية القضاء على جميع أشكال التمييز ضد المرأة. ويشمل نُبذات عن التدابير المتخذة و/أو المتعهد باتخاذها من جانب المقاطعة بين عامي 1994 و 1998 التي من شأنها تنفيذ أحكام الاتفاقية. ويسر حاكم نوفا سكوتشيا أن يلاحظ أن تقدما ملموسا قد تم إحرازه لصالح المرأة في نوفا سكوتشيا خلال تلك الفترة، كما أن الحكومة ملتزمة بمواصلة العمل في إطار أولوياتها في النواحي الاجتماعية والمالية والنمو الاقتصادي من أجل القضاء على أي بل وجميع الأشكال من التمييز التي ما برحت فاعلة في مجتمعنا.</w:t>
      </w:r>
    </w:p>
    <w:p w:rsidR="00000000" w:rsidRDefault="00000000">
      <w:pPr>
        <w:pStyle w:val="SingleTxt"/>
        <w:tabs>
          <w:tab w:val="left" w:pos="1628"/>
        </w:tabs>
        <w:ind w:left="1264" w:right="1264"/>
        <w:rPr>
          <w:rtl/>
          <w:lang w:eastAsia="en-US"/>
        </w:rPr>
      </w:pPr>
      <w:r>
        <w:rPr>
          <w:b/>
          <w:bCs/>
          <w:szCs w:val="32"/>
          <w:rtl/>
          <w:lang w:eastAsia="en-US"/>
        </w:rPr>
        <w:t>المادة 2: تدابير منع التمييز</w:t>
      </w:r>
    </w:p>
    <w:p w:rsidR="00000000" w:rsidRDefault="00000000">
      <w:pPr>
        <w:pStyle w:val="SingleTxt"/>
        <w:tabs>
          <w:tab w:val="left" w:pos="1628"/>
        </w:tabs>
        <w:ind w:left="1264" w:right="1264"/>
        <w:rPr>
          <w:rtl/>
          <w:lang w:eastAsia="en-US"/>
        </w:rPr>
      </w:pPr>
      <w:r>
        <w:rPr>
          <w:rtl/>
          <w:lang w:eastAsia="en-US"/>
        </w:rPr>
        <w:t>442 -</w:t>
      </w:r>
      <w:r>
        <w:rPr>
          <w:rtl/>
          <w:lang w:eastAsia="en-US"/>
        </w:rPr>
        <w:tab/>
        <w:t>قانون حقوق الإنسان في نوفا سكوتشيا هو القانون الرئيسي لمنع التمييز الذي تلوذ به المرأة التي تدعي معاناة التمييز ضدها على أساس نوع الجنس. والتنقيحات الرئيسية التي أُدخلت على القانون في عام 1991 كان من شأنها إسباغ رعاية إضافية على الأطفال وأسرهم. وكما أن الوضع العائلي الذي تم تعريفه بوصفه “أن يتواجد الفرد في إطار علاقة والد/طفل” أضيف بوصفه قَسَمة جديدة يتم في ظلها حظر التمييز وتوسيع نطاق الحماية من التمييز على أساس الحالة الزواجية بما ينطبق على جميع جوانب الحياة العامة. وتُعد الشكاوى على أساس وجود حمل من بين شكاوى التمييز المستندة إلى نوع الجنس، كما يحظر القانون التحرُّش الجنسي والتمييز على أساس خشية غير مبررة منطقيا من الإصابة بمرض.</w:t>
      </w:r>
    </w:p>
    <w:p w:rsidR="00000000" w:rsidRDefault="00000000">
      <w:pPr>
        <w:pStyle w:val="SingleTxt"/>
        <w:tabs>
          <w:tab w:val="left" w:pos="1628"/>
        </w:tabs>
        <w:ind w:left="1264" w:right="1264"/>
        <w:rPr>
          <w:rtl/>
          <w:lang w:eastAsia="en-US"/>
        </w:rPr>
      </w:pPr>
      <w:r>
        <w:rPr>
          <w:rtl/>
          <w:lang w:eastAsia="en-US"/>
        </w:rPr>
        <w:t>443 -</w:t>
      </w:r>
      <w:r>
        <w:rPr>
          <w:rtl/>
          <w:lang w:eastAsia="en-US"/>
        </w:rPr>
        <w:tab/>
        <w:t xml:space="preserve">وبين عامي 1994 و 1998، كان معدل تقديم الشكاوى هو 35 في المائة من الشكاوى التي رُفعت في إطار قانون حقوق الإنسان، وشملت شكاوى من التمييز على أساس نوع الجنس أو الحمل أو التحرُّش الجنسي (1994 - 73 في المائة 1995 - 35 في المائة و 1996 </w:t>
      </w:r>
      <w:r>
        <w:rPr>
          <w:lang w:eastAsia="en-US"/>
        </w:rPr>
        <w:t>–</w:t>
      </w:r>
      <w:r>
        <w:rPr>
          <w:rtl/>
          <w:lang w:eastAsia="en-US"/>
        </w:rPr>
        <w:t xml:space="preserve"> 33 في المائة و 1997 </w:t>
      </w:r>
      <w:r>
        <w:rPr>
          <w:lang w:eastAsia="en-US"/>
        </w:rPr>
        <w:t>–</w:t>
      </w:r>
      <w:r>
        <w:rPr>
          <w:rtl/>
          <w:lang w:eastAsia="en-US"/>
        </w:rPr>
        <w:t xml:space="preserve"> 34 في المائة). وهذا يبين نقصانا بنحو 5 في المائة منذ عام 1993.</w:t>
      </w:r>
    </w:p>
    <w:p w:rsidR="00000000" w:rsidRDefault="00000000">
      <w:pPr>
        <w:pStyle w:val="SingleTxt"/>
        <w:tabs>
          <w:tab w:val="left" w:pos="1628"/>
        </w:tabs>
        <w:ind w:left="1264" w:right="1264"/>
        <w:rPr>
          <w:rtl/>
          <w:lang w:eastAsia="en-US"/>
        </w:rPr>
      </w:pPr>
      <w:r>
        <w:rPr>
          <w:rtl/>
          <w:lang w:eastAsia="en-US"/>
        </w:rPr>
        <w:t>444 -</w:t>
      </w:r>
      <w:r>
        <w:rPr>
          <w:rtl/>
          <w:lang w:eastAsia="en-US"/>
        </w:rPr>
        <w:tab/>
        <w:t>وبين عامي 1994 و 1998، تم تعيين 22 من مجالس التحقيق معنية بالتمييز ضد المرأة لكل من الفئات المذكورة أعلاه وهي: نوع الجنس والحمل والتحرُّش الجنسي والوضع الأسري و/أو الزواجي.</w:t>
      </w:r>
    </w:p>
    <w:p w:rsidR="00000000" w:rsidRDefault="00000000">
      <w:pPr>
        <w:pStyle w:val="SingleTxt"/>
        <w:tabs>
          <w:tab w:val="left" w:pos="1628"/>
        </w:tabs>
        <w:ind w:left="1264" w:right="1264"/>
        <w:rPr>
          <w:rtl/>
          <w:lang w:eastAsia="en-US"/>
        </w:rPr>
      </w:pPr>
      <w:r>
        <w:rPr>
          <w:rtl/>
          <w:lang w:eastAsia="en-US"/>
        </w:rPr>
        <w:t>445 -</w:t>
      </w:r>
      <w:r>
        <w:rPr>
          <w:rtl/>
          <w:lang w:eastAsia="en-US"/>
        </w:rPr>
        <w:tab/>
        <w:t>والمرأة هي التي ترفع أساسا الشكاوى المقدمة استنادا إلى الحالة الزواجية و/أو الحالة الأسرية وهذا يزيد النسبة المئوية الإجمالية للشكاوى المتعلقة بالتمييز ضد المرأة إلى نحو 40 في المائة. وفي معظم الحالات يتم حل الشكاوى من خلال عملية توفيق تتراوح تسوياتها بين التعويض المالي إلى إعادة تصميم سياسات التوظيف وممارساته وبين سياسات مناهضة التحرُّش ثم دورات التوعية بحقوق الإنسان.</w:t>
      </w:r>
    </w:p>
    <w:p w:rsidR="00000000" w:rsidRDefault="00000000">
      <w:pPr>
        <w:pStyle w:val="SingleTxt"/>
        <w:tabs>
          <w:tab w:val="left" w:pos="1628"/>
        </w:tabs>
        <w:ind w:left="1264" w:right="1264"/>
        <w:rPr>
          <w:rtl/>
          <w:lang w:eastAsia="en-US"/>
        </w:rPr>
      </w:pPr>
      <w:r>
        <w:rPr>
          <w:rtl/>
          <w:lang w:eastAsia="en-US"/>
        </w:rPr>
        <w:t>446 -</w:t>
      </w:r>
      <w:r>
        <w:rPr>
          <w:rtl/>
          <w:lang w:eastAsia="en-US"/>
        </w:rPr>
        <w:tab/>
        <w:t>وفي عام 1996، تم دمج مديرية نوفا سكوتشيا المعنية بالمرأة والمجلس الاستشاري المعني بوضع المرأة وإن كانت مهمة المنظمة الجديدة، وهي المجلس الاستشاري لنوفا سكوتشيا المعني بوضع المرأة، ما زالت متمثلة في عمل المؤسستين في السابق وهو دعم المساواة والعدالة والكرامة لجميع النساء. كما أن ولاية المجلس هي إسداء المشورة إلى الوزير المسؤول عن وضع المرأة بشأن شواغل وأولويات المرأة وصياغة الاستراتيجيات والخيارات التي تتطرق إلى هذه الأمور. وتتجسد مهامه الرئيسية في البحوث ووضع السياسات وتقديم خدمات المعلومات والاتصالات والتواصل مع المجتمع المحلي ومع المناطق الريفية. وأهداف المجلس هي كما يلي:</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زيادة مشاركة النساء على اختلاف تنوعهن في القرارات التي تؤثر على حياتهن وأسرهم ومجتمعاتهن.</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كفالة أن يكون من شأن التشريعات والسياسات والبرامج الحكومية تعزيز المساواة للمرأة في نوفا سكوتشيا</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خفض العنف الموجَّه ضد المرأة في المجتمعات المحلية ومواقع العمل والأسر</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تحسين صحة ورفاه المرأة وأسرتها</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تعزيز المساواة الاقتصادية للمرأة</w:t>
      </w:r>
    </w:p>
    <w:p w:rsidR="00000000" w:rsidRDefault="00000000">
      <w:pPr>
        <w:pStyle w:val="SingleTxt"/>
        <w:ind w:left="1264" w:right="1264"/>
        <w:rPr>
          <w:rtl/>
          <w:lang w:eastAsia="en-US"/>
        </w:rPr>
      </w:pPr>
      <w:r>
        <w:rPr>
          <w:rtl/>
          <w:lang w:eastAsia="en-US"/>
        </w:rPr>
        <w:tab/>
      </w:r>
      <w:r>
        <w:rPr>
          <w:rtl/>
          <w:lang w:eastAsia="en-US"/>
        </w:rPr>
        <w:tab/>
        <w:t>ومنذ الاندماج، أصبح المجلس يضم سبعة أعضاء متفرغين في مكتب هاليفاكس وأربعة عاملين ميدانيين غير متفرغين في المناطق الأخرى بالمقاطعة.</w:t>
      </w:r>
    </w:p>
    <w:p w:rsidR="00000000" w:rsidRDefault="00000000">
      <w:pPr>
        <w:pStyle w:val="SingleTxt"/>
        <w:ind w:left="1264" w:right="1264"/>
        <w:rPr>
          <w:rtl/>
          <w:lang w:eastAsia="en-US"/>
        </w:rPr>
      </w:pPr>
      <w:r>
        <w:rPr>
          <w:rtl/>
          <w:lang w:eastAsia="en-US"/>
        </w:rPr>
        <w:t>447 -</w:t>
      </w:r>
      <w:r>
        <w:rPr>
          <w:rtl/>
          <w:lang w:eastAsia="en-US"/>
        </w:rPr>
        <w:tab/>
        <w:t>ومن بين أهداف المجلس الاستشاري ما تمثل في كفالة أن تؤدي تشريعات الحكومة وسياساتها وبرامجها إلى تعزيز المساواة للمرأة من خلال عملية دمج التحليل الجنساني ضمن أنشطة صنع السياسات. وبين عامي 1994 و 1998 تم الاضطلاع بتحليلات للأثر الجنساني الناجم عن تشريعات الحد الأدنى للأجر وعن المبادئ التوجيهية لإصلاح نظام المعاشات التقاعدية في كندا ودعم الطفولة.</w:t>
      </w:r>
    </w:p>
    <w:p w:rsidR="00000000" w:rsidRDefault="00000000">
      <w:pPr>
        <w:pStyle w:val="SingleTxt"/>
        <w:ind w:left="1264" w:right="1264"/>
        <w:rPr>
          <w:rtl/>
          <w:lang w:eastAsia="en-US"/>
        </w:rPr>
      </w:pPr>
      <w:r>
        <w:rPr>
          <w:rtl/>
          <w:lang w:eastAsia="en-US"/>
        </w:rPr>
        <w:t>448 -</w:t>
      </w:r>
      <w:r>
        <w:rPr>
          <w:rtl/>
          <w:lang w:eastAsia="en-US"/>
        </w:rPr>
        <w:tab/>
        <w:t xml:space="preserve">وقد تضاعف حجم عضوية المجلس الاستشاري ليبلغ 14 عضوا في الفترة 1996 </w:t>
      </w:r>
      <w:r>
        <w:rPr>
          <w:lang w:eastAsia="en-US"/>
        </w:rPr>
        <w:t>–</w:t>
      </w:r>
      <w:r>
        <w:rPr>
          <w:rtl/>
          <w:lang w:eastAsia="en-US"/>
        </w:rPr>
        <w:t xml:space="preserve"> 1997 فضلا عن التمثيل من جميع أجزاء نوفا سكوتشيا. ويضم المجلس نساء من الفئات المنخفضة التمثيل مثل نساء أكادياً مكماك وأفارقة نوفا سكوتشيا والنساء من ذوات الإعاقات.</w:t>
      </w:r>
    </w:p>
    <w:p w:rsidR="00000000" w:rsidRDefault="00000000">
      <w:pPr>
        <w:pStyle w:val="SingleTxt"/>
        <w:ind w:left="1264" w:right="1264"/>
        <w:rPr>
          <w:rtl/>
          <w:lang w:eastAsia="en-US"/>
        </w:rPr>
      </w:pPr>
      <w:r>
        <w:rPr>
          <w:rtl/>
          <w:lang w:eastAsia="en-US"/>
        </w:rPr>
        <w:t>449 -</w:t>
      </w:r>
      <w:r>
        <w:rPr>
          <w:rtl/>
          <w:lang w:eastAsia="en-US"/>
        </w:rPr>
        <w:tab/>
        <w:t>وفي عام 1996 قدمت وزارة التنمية الاقتصادية مبالغ لمساعدة مؤسسة تمويل عالم المرأة في مشروع بحثي يهدف إلى تحديد الأثر الاقتصادي للنساء من صاحبات المشاريع في كندا الأطلسية وهذا التقرير الذي حمل عنوان “الأثر الاقتصادي للنساء صاحبات المشاريع في كندا الأطلسية” صدر في آب/أغسطس 1997</w:t>
      </w:r>
    </w:p>
    <w:p w:rsidR="00000000" w:rsidRDefault="00000000">
      <w:pPr>
        <w:pStyle w:val="SingleTxt"/>
        <w:ind w:left="1264" w:right="1264"/>
        <w:rPr>
          <w:rtl/>
          <w:lang w:eastAsia="en-US"/>
        </w:rPr>
      </w:pPr>
      <w:r>
        <w:rPr>
          <w:rtl/>
          <w:lang w:eastAsia="en-US"/>
        </w:rPr>
        <w:t>450 -</w:t>
      </w:r>
      <w:r>
        <w:rPr>
          <w:rtl/>
          <w:lang w:eastAsia="en-US"/>
        </w:rPr>
        <w:tab/>
        <w:t>وفي عام 1994 قامت وزارة التعليم بإعادة تشكيل وتنفيذ إنشاء شعبة خدمات المكماك وشعبة خدمات الأفارقة الكنديين. ويوكل إلى وظيفة مستشار التربية للثقافات المتعددة مهمة تنطوي على التوجيه للعمل بصورة استباقية واستجابية إزاء القضايا المتصلة بنوع الجنس.</w:t>
      </w:r>
    </w:p>
    <w:p w:rsidR="00000000" w:rsidRDefault="00000000">
      <w:pPr>
        <w:pStyle w:val="SingleTxt"/>
        <w:ind w:left="1264" w:right="1264"/>
        <w:rPr>
          <w:rtl/>
          <w:lang w:eastAsia="en-US"/>
        </w:rPr>
      </w:pPr>
      <w:r>
        <w:rPr>
          <w:rtl/>
          <w:lang w:eastAsia="en-US"/>
        </w:rPr>
        <w:t>451 -</w:t>
      </w:r>
      <w:r>
        <w:rPr>
          <w:rtl/>
          <w:lang w:eastAsia="en-US"/>
        </w:rPr>
        <w:tab/>
        <w:t>وفي كانون الأول/ديسمبر 1998، اعتمدت لائحة تتيح للجنة حقوق الإنسان أن تسجــــل أوامــــر مجالس التحقيق مــــن أجل تقديم تعويضات نقدية لدى المحكمة العليا في نوفا سكوتشيا. وهذا يتيح للجنة أن تتابع دفع التعويضات النقدية من المحكوم عليهم المتخلفين عن السداد، من خلال سُبُل منها استقطاعات الأجور وإصدار أوامر تنفيذ على أساس وجود ممتلكات عقارية وشخصية وما إلى ذلك.</w:t>
      </w:r>
    </w:p>
    <w:p w:rsidR="00000000" w:rsidRDefault="00000000">
      <w:pPr>
        <w:pStyle w:val="SingleTxt"/>
        <w:ind w:left="1264" w:right="1264"/>
        <w:rPr>
          <w:rtl/>
          <w:lang w:eastAsia="en-US"/>
        </w:rPr>
      </w:pPr>
      <w:r>
        <w:rPr>
          <w:b/>
          <w:bCs/>
          <w:szCs w:val="32"/>
          <w:rtl/>
          <w:lang w:eastAsia="en-US"/>
        </w:rPr>
        <w:t>المادة 3: التدابير الرامية إلى النهوض بالمرأة</w:t>
      </w:r>
    </w:p>
    <w:p w:rsidR="00000000" w:rsidRDefault="00000000">
      <w:pPr>
        <w:pStyle w:val="SingleTxt"/>
        <w:ind w:left="1264" w:right="1264"/>
        <w:rPr>
          <w:rtl/>
          <w:lang w:eastAsia="en-US"/>
        </w:rPr>
      </w:pPr>
      <w:r>
        <w:rPr>
          <w:rtl/>
          <w:lang w:eastAsia="en-US"/>
        </w:rPr>
        <w:t>452 -</w:t>
      </w:r>
      <w:r>
        <w:rPr>
          <w:rtl/>
          <w:lang w:eastAsia="en-US"/>
        </w:rPr>
        <w:tab/>
        <w:t xml:space="preserve">بين عامي 1994 و 1998 تعرضت دائرة الخدمة المدنية في نوفا سكوتشيا إلى سلسلة من التخفيضات المقررة. وهذه التخفيضات كانت أساسا عبارة عن عمليات تحويل عناصر مختلفة من سلك الخدمة المدنية. وكان أكثر المتأثرين من جراء هذه التخفيضات هم الموظفون المدنيون في مستشفى فيكتوريا العام (1996 </w:t>
      </w:r>
      <w:r>
        <w:rPr>
          <w:lang w:eastAsia="en-US"/>
        </w:rPr>
        <w:t>–</w:t>
      </w:r>
      <w:r>
        <w:rPr>
          <w:rtl/>
          <w:lang w:eastAsia="en-US"/>
        </w:rPr>
        <w:t xml:space="preserve"> 1997) والمعاهد المحلية والدائرة المعنية بالصحة العامة وتعاطي المخدرات (1997 </w:t>
      </w:r>
      <w:r>
        <w:rPr>
          <w:lang w:eastAsia="en-US"/>
        </w:rPr>
        <w:t>–</w:t>
      </w:r>
      <w:r>
        <w:rPr>
          <w:rtl/>
          <w:lang w:eastAsia="en-US"/>
        </w:rPr>
        <w:t xml:space="preserve"> 1998) ولكن عبر الفترة نفسها ظل عدد النساء العاملات في الخدمة المدنية ثابتا بل وزاد فعليا إلى نحو 60 في المائة من مجموع قوة العمل في عام 2000.</w:t>
      </w:r>
    </w:p>
    <w:p w:rsidR="00000000" w:rsidRDefault="00000000">
      <w:pPr>
        <w:pStyle w:val="SingleTxt"/>
        <w:ind w:left="1264" w:right="1264"/>
        <w:rPr>
          <w:b/>
          <w:bCs/>
          <w:rtl/>
          <w:lang w:eastAsia="en-US"/>
        </w:rPr>
      </w:pPr>
    </w:p>
    <w:p w:rsidR="00000000" w:rsidRDefault="00000000">
      <w:pPr>
        <w:pStyle w:val="SingleTxt"/>
        <w:ind w:left="1264" w:right="1264"/>
        <w:rPr>
          <w:b/>
          <w:bCs/>
          <w:rtl/>
          <w:lang w:eastAsia="en-US"/>
        </w:rPr>
      </w:pPr>
    </w:p>
    <w:p w:rsidR="00000000" w:rsidRDefault="00000000">
      <w:pPr>
        <w:pStyle w:val="SingleTxt"/>
        <w:ind w:left="1264" w:right="1264"/>
        <w:rPr>
          <w:b/>
          <w:bCs/>
          <w:rtl/>
          <w:lang w:eastAsia="en-US"/>
        </w:rPr>
      </w:pPr>
    </w:p>
    <w:p w:rsidR="00000000" w:rsidRDefault="00000000">
      <w:pPr>
        <w:pStyle w:val="SingleTxt"/>
        <w:ind w:left="1264" w:right="1264"/>
        <w:rPr>
          <w:b/>
          <w:bCs/>
          <w:rtl/>
          <w:lang w:eastAsia="en-US"/>
        </w:rPr>
      </w:pPr>
    </w:p>
    <w:p w:rsidR="00000000" w:rsidRDefault="00000000">
      <w:pPr>
        <w:pStyle w:val="SingleTxt"/>
        <w:ind w:left="1264" w:right="1264"/>
        <w:rPr>
          <w:b/>
          <w:bCs/>
          <w:rtl/>
          <w:lang w:eastAsia="en-US"/>
        </w:rPr>
      </w:pPr>
      <w:r>
        <w:rPr>
          <w:b/>
          <w:bCs/>
          <w:rtl/>
          <w:lang w:eastAsia="en-US"/>
        </w:rPr>
        <w:t>المرأة في سلك الخدمة المدنية في نوفا سكوتشيا</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9"/>
        <w:gridCol w:w="1949"/>
        <w:gridCol w:w="1949"/>
        <w:gridCol w:w="1949"/>
      </w:tblGrid>
      <w:tr w:rsidR="00000000">
        <w:tblPrEx>
          <w:tblCellMar>
            <w:top w:w="0" w:type="dxa"/>
            <w:bottom w:w="0" w:type="dxa"/>
          </w:tblCellMar>
        </w:tblPrEx>
        <w:tc>
          <w:tcPr>
            <w:tcW w:w="1949" w:type="dxa"/>
          </w:tcPr>
          <w:p w:rsidR="00000000" w:rsidRDefault="00000000">
            <w:pPr>
              <w:jc w:val="center"/>
              <w:rPr>
                <w:i/>
                <w:iCs/>
                <w:rtl/>
                <w:lang w:eastAsia="en-US"/>
              </w:rPr>
            </w:pPr>
            <w:r>
              <w:rPr>
                <w:i/>
                <w:iCs/>
                <w:rtl/>
                <w:lang w:eastAsia="en-US"/>
              </w:rPr>
              <w:t>السنة</w:t>
            </w:r>
          </w:p>
        </w:tc>
        <w:tc>
          <w:tcPr>
            <w:tcW w:w="1949" w:type="dxa"/>
          </w:tcPr>
          <w:p w:rsidR="00000000" w:rsidRDefault="00000000">
            <w:pPr>
              <w:jc w:val="center"/>
              <w:rPr>
                <w:i/>
                <w:iCs/>
                <w:rtl/>
                <w:lang w:eastAsia="en-US"/>
              </w:rPr>
            </w:pPr>
            <w:r>
              <w:rPr>
                <w:i/>
                <w:iCs/>
                <w:rtl/>
                <w:lang w:eastAsia="en-US"/>
              </w:rPr>
              <w:t>عدد النساء</w:t>
            </w:r>
          </w:p>
        </w:tc>
        <w:tc>
          <w:tcPr>
            <w:tcW w:w="1949" w:type="dxa"/>
          </w:tcPr>
          <w:p w:rsidR="00000000" w:rsidRDefault="00000000">
            <w:pPr>
              <w:jc w:val="center"/>
              <w:rPr>
                <w:i/>
                <w:iCs/>
                <w:rtl/>
                <w:lang w:eastAsia="en-US"/>
              </w:rPr>
            </w:pPr>
            <w:r>
              <w:rPr>
                <w:i/>
                <w:iCs/>
                <w:rtl/>
                <w:lang w:eastAsia="en-US"/>
              </w:rPr>
              <w:t>النسبة المئوية للنساء</w:t>
            </w:r>
          </w:p>
        </w:tc>
        <w:tc>
          <w:tcPr>
            <w:tcW w:w="1949" w:type="dxa"/>
          </w:tcPr>
          <w:p w:rsidR="00000000" w:rsidRDefault="00000000">
            <w:pPr>
              <w:pStyle w:val="H4"/>
              <w:keepNext w:val="0"/>
              <w:keepLines w:val="0"/>
              <w:suppressAutoHyphens w:val="0"/>
              <w:spacing w:line="400" w:lineRule="exact"/>
              <w:jc w:val="center"/>
              <w:outlineLvl w:val="9"/>
              <w:rPr>
                <w:spacing w:val="0"/>
                <w:rtl/>
                <w:lang w:eastAsia="en-US"/>
              </w:rPr>
            </w:pPr>
            <w:r>
              <w:rPr>
                <w:spacing w:val="0"/>
                <w:rtl/>
                <w:lang w:eastAsia="en-US"/>
              </w:rPr>
              <w:t>المجموع</w:t>
            </w:r>
          </w:p>
        </w:tc>
      </w:tr>
      <w:tr w:rsidR="00000000">
        <w:tblPrEx>
          <w:tblCellMar>
            <w:top w:w="0" w:type="dxa"/>
            <w:bottom w:w="0" w:type="dxa"/>
          </w:tblCellMar>
        </w:tblPrEx>
        <w:tc>
          <w:tcPr>
            <w:tcW w:w="1949" w:type="dxa"/>
          </w:tcPr>
          <w:p w:rsidR="00000000" w:rsidRDefault="00000000">
            <w:pPr>
              <w:pStyle w:val="H56"/>
              <w:keepNext w:val="0"/>
              <w:keepLines w:val="0"/>
              <w:suppressAutoHyphens w:val="0"/>
              <w:spacing w:line="400" w:lineRule="exact"/>
              <w:outlineLvl w:val="9"/>
              <w:rPr>
                <w:rtl/>
                <w:lang w:eastAsia="en-US"/>
              </w:rPr>
            </w:pPr>
            <w:r>
              <w:rPr>
                <w:rtl/>
                <w:lang w:eastAsia="en-US"/>
              </w:rPr>
              <w:t>1993-1994</w:t>
            </w:r>
          </w:p>
        </w:tc>
        <w:tc>
          <w:tcPr>
            <w:tcW w:w="1949" w:type="dxa"/>
          </w:tcPr>
          <w:p w:rsidR="00000000" w:rsidRDefault="00000000">
            <w:pPr>
              <w:rPr>
                <w:rtl/>
                <w:lang w:eastAsia="en-US"/>
              </w:rPr>
            </w:pPr>
            <w:r>
              <w:rPr>
                <w:rtl/>
                <w:lang w:eastAsia="en-US"/>
              </w:rPr>
              <w:t>880 6</w:t>
            </w:r>
          </w:p>
        </w:tc>
        <w:tc>
          <w:tcPr>
            <w:tcW w:w="1949" w:type="dxa"/>
          </w:tcPr>
          <w:p w:rsidR="00000000" w:rsidRDefault="00000000">
            <w:pPr>
              <w:rPr>
                <w:rtl/>
                <w:lang w:eastAsia="en-US"/>
              </w:rPr>
            </w:pPr>
            <w:r>
              <w:rPr>
                <w:rtl/>
                <w:lang w:eastAsia="en-US"/>
              </w:rPr>
              <w:t>60</w:t>
            </w:r>
          </w:p>
        </w:tc>
        <w:tc>
          <w:tcPr>
            <w:tcW w:w="1949" w:type="dxa"/>
          </w:tcPr>
          <w:p w:rsidR="00000000" w:rsidRDefault="00000000">
            <w:pPr>
              <w:rPr>
                <w:rtl/>
                <w:lang w:eastAsia="en-US"/>
              </w:rPr>
            </w:pPr>
            <w:r>
              <w:rPr>
                <w:rtl/>
                <w:lang w:eastAsia="en-US"/>
              </w:rPr>
              <w:t>550 11</w:t>
            </w:r>
          </w:p>
        </w:tc>
      </w:tr>
      <w:tr w:rsidR="00000000">
        <w:tblPrEx>
          <w:tblCellMar>
            <w:top w:w="0" w:type="dxa"/>
            <w:bottom w:w="0" w:type="dxa"/>
          </w:tblCellMar>
        </w:tblPrEx>
        <w:tc>
          <w:tcPr>
            <w:tcW w:w="1949" w:type="dxa"/>
          </w:tcPr>
          <w:p w:rsidR="00000000" w:rsidRDefault="00000000">
            <w:pPr>
              <w:rPr>
                <w:rtl/>
                <w:lang w:eastAsia="en-US"/>
              </w:rPr>
            </w:pPr>
            <w:r>
              <w:rPr>
                <w:rtl/>
                <w:lang w:eastAsia="en-US"/>
              </w:rPr>
              <w:t>1994-1995</w:t>
            </w:r>
          </w:p>
        </w:tc>
        <w:tc>
          <w:tcPr>
            <w:tcW w:w="1949" w:type="dxa"/>
          </w:tcPr>
          <w:p w:rsidR="00000000" w:rsidRDefault="00000000">
            <w:pPr>
              <w:rPr>
                <w:rtl/>
                <w:lang w:eastAsia="en-US"/>
              </w:rPr>
            </w:pPr>
            <w:r>
              <w:rPr>
                <w:rtl/>
                <w:lang w:eastAsia="en-US"/>
              </w:rPr>
              <w:t>597 6</w:t>
            </w:r>
          </w:p>
        </w:tc>
        <w:tc>
          <w:tcPr>
            <w:tcW w:w="1949" w:type="dxa"/>
          </w:tcPr>
          <w:p w:rsidR="00000000" w:rsidRDefault="00000000">
            <w:pPr>
              <w:rPr>
                <w:rtl/>
                <w:lang w:eastAsia="en-US"/>
              </w:rPr>
            </w:pPr>
            <w:r>
              <w:rPr>
                <w:rtl/>
                <w:lang w:eastAsia="en-US"/>
              </w:rPr>
              <w:t>61</w:t>
            </w:r>
          </w:p>
        </w:tc>
        <w:tc>
          <w:tcPr>
            <w:tcW w:w="1949" w:type="dxa"/>
          </w:tcPr>
          <w:p w:rsidR="00000000" w:rsidRDefault="00000000">
            <w:pPr>
              <w:rPr>
                <w:rtl/>
                <w:lang w:eastAsia="en-US"/>
              </w:rPr>
            </w:pPr>
            <w:r>
              <w:rPr>
                <w:rtl/>
                <w:lang w:eastAsia="en-US"/>
              </w:rPr>
              <w:t>846 10</w:t>
            </w:r>
          </w:p>
        </w:tc>
      </w:tr>
      <w:tr w:rsidR="00000000">
        <w:tblPrEx>
          <w:tblCellMar>
            <w:top w:w="0" w:type="dxa"/>
            <w:bottom w:w="0" w:type="dxa"/>
          </w:tblCellMar>
        </w:tblPrEx>
        <w:tc>
          <w:tcPr>
            <w:tcW w:w="1949" w:type="dxa"/>
          </w:tcPr>
          <w:p w:rsidR="00000000" w:rsidRDefault="00000000">
            <w:pPr>
              <w:rPr>
                <w:rtl/>
                <w:lang w:eastAsia="en-US"/>
              </w:rPr>
            </w:pPr>
            <w:r>
              <w:rPr>
                <w:rtl/>
                <w:lang w:eastAsia="en-US"/>
              </w:rPr>
              <w:t>1995-1996</w:t>
            </w:r>
          </w:p>
        </w:tc>
        <w:tc>
          <w:tcPr>
            <w:tcW w:w="1949" w:type="dxa"/>
          </w:tcPr>
          <w:p w:rsidR="00000000" w:rsidRDefault="00000000">
            <w:pPr>
              <w:rPr>
                <w:rtl/>
                <w:lang w:eastAsia="en-US"/>
              </w:rPr>
            </w:pPr>
            <w:r>
              <w:rPr>
                <w:rtl/>
                <w:lang w:eastAsia="en-US"/>
              </w:rPr>
              <w:t>723 6</w:t>
            </w:r>
          </w:p>
        </w:tc>
        <w:tc>
          <w:tcPr>
            <w:tcW w:w="1949" w:type="dxa"/>
          </w:tcPr>
          <w:p w:rsidR="00000000" w:rsidRDefault="00000000">
            <w:pPr>
              <w:rPr>
                <w:rtl/>
                <w:lang w:eastAsia="en-US"/>
              </w:rPr>
            </w:pPr>
            <w:r>
              <w:rPr>
                <w:rtl/>
                <w:lang w:eastAsia="en-US"/>
              </w:rPr>
              <w:t>62</w:t>
            </w:r>
          </w:p>
        </w:tc>
        <w:tc>
          <w:tcPr>
            <w:tcW w:w="1949" w:type="dxa"/>
          </w:tcPr>
          <w:p w:rsidR="00000000" w:rsidRDefault="00000000">
            <w:pPr>
              <w:rPr>
                <w:rtl/>
                <w:lang w:eastAsia="en-US"/>
              </w:rPr>
            </w:pPr>
            <w:r>
              <w:rPr>
                <w:rtl/>
                <w:lang w:eastAsia="en-US"/>
              </w:rPr>
              <w:t>890 10</w:t>
            </w:r>
          </w:p>
        </w:tc>
      </w:tr>
      <w:tr w:rsidR="00000000">
        <w:tblPrEx>
          <w:tblCellMar>
            <w:top w:w="0" w:type="dxa"/>
            <w:bottom w:w="0" w:type="dxa"/>
          </w:tblCellMar>
        </w:tblPrEx>
        <w:tc>
          <w:tcPr>
            <w:tcW w:w="1949" w:type="dxa"/>
          </w:tcPr>
          <w:p w:rsidR="00000000" w:rsidRDefault="00000000">
            <w:pPr>
              <w:rPr>
                <w:rtl/>
                <w:lang w:eastAsia="en-US"/>
              </w:rPr>
            </w:pPr>
            <w:r>
              <w:rPr>
                <w:rtl/>
                <w:lang w:eastAsia="en-US"/>
              </w:rPr>
              <w:t>1996-1997</w:t>
            </w:r>
          </w:p>
        </w:tc>
        <w:tc>
          <w:tcPr>
            <w:tcW w:w="1949" w:type="dxa"/>
          </w:tcPr>
          <w:p w:rsidR="00000000" w:rsidRDefault="00000000">
            <w:pPr>
              <w:rPr>
                <w:rtl/>
                <w:lang w:eastAsia="en-US"/>
              </w:rPr>
            </w:pPr>
            <w:r>
              <w:rPr>
                <w:rtl/>
                <w:lang w:eastAsia="en-US"/>
              </w:rPr>
              <w:t>380 4</w:t>
            </w:r>
          </w:p>
        </w:tc>
        <w:tc>
          <w:tcPr>
            <w:tcW w:w="1949" w:type="dxa"/>
          </w:tcPr>
          <w:p w:rsidR="00000000" w:rsidRDefault="00000000">
            <w:pPr>
              <w:rPr>
                <w:rtl/>
                <w:lang w:eastAsia="en-US"/>
              </w:rPr>
            </w:pPr>
            <w:r>
              <w:rPr>
                <w:rtl/>
                <w:lang w:eastAsia="en-US"/>
              </w:rPr>
              <w:t>56</w:t>
            </w:r>
          </w:p>
        </w:tc>
        <w:tc>
          <w:tcPr>
            <w:tcW w:w="1949" w:type="dxa"/>
          </w:tcPr>
          <w:p w:rsidR="00000000" w:rsidRDefault="00000000">
            <w:pPr>
              <w:rPr>
                <w:rtl/>
                <w:lang w:eastAsia="en-US"/>
              </w:rPr>
            </w:pPr>
            <w:r>
              <w:rPr>
                <w:rtl/>
                <w:lang w:eastAsia="en-US"/>
              </w:rPr>
              <w:t>800 7</w:t>
            </w:r>
          </w:p>
        </w:tc>
      </w:tr>
      <w:tr w:rsidR="00000000">
        <w:tblPrEx>
          <w:tblCellMar>
            <w:top w:w="0" w:type="dxa"/>
            <w:bottom w:w="0" w:type="dxa"/>
          </w:tblCellMar>
        </w:tblPrEx>
        <w:tc>
          <w:tcPr>
            <w:tcW w:w="1949" w:type="dxa"/>
          </w:tcPr>
          <w:p w:rsidR="00000000" w:rsidRDefault="00000000">
            <w:pPr>
              <w:rPr>
                <w:rtl/>
                <w:lang w:eastAsia="en-US"/>
              </w:rPr>
            </w:pPr>
            <w:r>
              <w:rPr>
                <w:rtl/>
                <w:lang w:eastAsia="en-US"/>
              </w:rPr>
              <w:t>1997-1998</w:t>
            </w:r>
          </w:p>
        </w:tc>
        <w:tc>
          <w:tcPr>
            <w:tcW w:w="1949" w:type="dxa"/>
          </w:tcPr>
          <w:p w:rsidR="00000000" w:rsidRDefault="00000000">
            <w:pPr>
              <w:rPr>
                <w:rtl/>
                <w:lang w:eastAsia="en-US"/>
              </w:rPr>
            </w:pPr>
            <w:r>
              <w:rPr>
                <w:rtl/>
                <w:lang w:eastAsia="en-US"/>
              </w:rPr>
              <w:t>080 4</w:t>
            </w:r>
          </w:p>
        </w:tc>
        <w:tc>
          <w:tcPr>
            <w:tcW w:w="1949" w:type="dxa"/>
          </w:tcPr>
          <w:p w:rsidR="00000000" w:rsidRDefault="00000000">
            <w:pPr>
              <w:rPr>
                <w:rtl/>
                <w:lang w:eastAsia="en-US"/>
              </w:rPr>
            </w:pPr>
            <w:r>
              <w:rPr>
                <w:rtl/>
                <w:lang w:eastAsia="en-US"/>
              </w:rPr>
              <w:t>56</w:t>
            </w:r>
          </w:p>
        </w:tc>
        <w:tc>
          <w:tcPr>
            <w:tcW w:w="1949" w:type="dxa"/>
          </w:tcPr>
          <w:p w:rsidR="00000000" w:rsidRDefault="00000000">
            <w:pPr>
              <w:rPr>
                <w:rtl/>
                <w:lang w:eastAsia="en-US"/>
              </w:rPr>
            </w:pPr>
            <w:r>
              <w:rPr>
                <w:rtl/>
                <w:lang w:eastAsia="en-US"/>
              </w:rPr>
              <w:t>325 7</w:t>
            </w:r>
          </w:p>
        </w:tc>
      </w:tr>
    </w:tbl>
    <w:p w:rsidR="00000000" w:rsidRDefault="00000000">
      <w:pPr>
        <w:pStyle w:val="SingleTxt"/>
        <w:ind w:left="1264" w:right="1264"/>
        <w:rPr>
          <w:szCs w:val="26"/>
          <w:rtl/>
          <w:lang w:eastAsia="en-US"/>
        </w:rPr>
      </w:pPr>
      <w:r>
        <w:rPr>
          <w:szCs w:val="26"/>
          <w:rtl/>
          <w:lang w:eastAsia="en-US"/>
        </w:rPr>
        <w:tab/>
      </w:r>
      <w:r>
        <w:rPr>
          <w:szCs w:val="26"/>
          <w:rtl/>
          <w:lang w:eastAsia="en-US"/>
        </w:rPr>
        <w:tab/>
        <w:t>ملاحظة:</w:t>
      </w:r>
      <w:r>
        <w:rPr>
          <w:szCs w:val="26"/>
          <w:rtl/>
          <w:lang w:eastAsia="en-US"/>
        </w:rPr>
        <w:tab/>
        <w:t>المجاميع تقوم على أساس ردود من الموظفين المدنيين الذين استوفوا المسح لتحليل قوة العمل في حكومة نوفا سكوتشيا واختاروا عدم الكشف عن شخصياتهم.</w:t>
      </w:r>
    </w:p>
    <w:p w:rsidR="00000000" w:rsidRDefault="00000000">
      <w:pPr>
        <w:pStyle w:val="SingleTxt"/>
        <w:ind w:left="1264" w:right="1264"/>
        <w:rPr>
          <w:szCs w:val="26"/>
          <w:rtl/>
          <w:lang w:eastAsia="en-US"/>
        </w:rPr>
      </w:pPr>
    </w:p>
    <w:p w:rsidR="00000000" w:rsidRDefault="00000000">
      <w:pPr>
        <w:pStyle w:val="SingleTxt"/>
        <w:ind w:left="1264" w:right="1264"/>
        <w:rPr>
          <w:rtl/>
          <w:lang w:eastAsia="en-US"/>
        </w:rPr>
      </w:pPr>
      <w:r>
        <w:rPr>
          <w:rtl/>
          <w:lang w:eastAsia="en-US"/>
        </w:rPr>
        <w:t>453 -</w:t>
      </w:r>
      <w:r>
        <w:rPr>
          <w:rtl/>
          <w:lang w:eastAsia="en-US"/>
        </w:rPr>
        <w:tab/>
        <w:t>ما برحت المرأة تتولى مناصب ذات مسؤوليات متزايدة في سلك الخدمة المدنية في نوفا سكوتشيا منذ عام 1994. وعلى سبيل المثال فعدد النساء في وظائف الإدارة زاد منذ عام 1994 (أنظر الجدول أدناه). واعتبارا من كانون الثاني/يناير 2000 كانت المرأة تشكل نسبة 39 في المائة من مجموع جدول الأجور في مناصب مستوى الإدارة.</w:t>
      </w:r>
    </w:p>
    <w:p w:rsidR="00000000" w:rsidRDefault="00000000">
      <w:pPr>
        <w:pStyle w:val="SingleTxt"/>
        <w:ind w:left="1264" w:right="1264"/>
        <w:rPr>
          <w:b/>
          <w:bCs/>
          <w:rtl/>
          <w:lang w:eastAsia="en-US"/>
        </w:rPr>
      </w:pPr>
      <w:r>
        <w:rPr>
          <w:b/>
          <w:bCs/>
          <w:rtl/>
          <w:lang w:eastAsia="en-US"/>
        </w:rPr>
        <w:t>المرأة في مناصب مستوى الإدارة في الخدمة المدنية بنوفا سكوتشيا</w:t>
      </w:r>
    </w:p>
    <w:tbl>
      <w:tblPr>
        <w:bidiVisual/>
        <w:tblW w:w="0" w:type="auto"/>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3118"/>
        <w:gridCol w:w="2977"/>
      </w:tblGrid>
      <w:tr w:rsidR="00000000">
        <w:tblPrEx>
          <w:tblCellMar>
            <w:top w:w="0" w:type="dxa"/>
            <w:bottom w:w="0" w:type="dxa"/>
          </w:tblCellMar>
        </w:tblPrEx>
        <w:tc>
          <w:tcPr>
            <w:tcW w:w="2126" w:type="dxa"/>
          </w:tcPr>
          <w:p w:rsidR="00000000" w:rsidRDefault="00000000">
            <w:pPr>
              <w:pStyle w:val="H4"/>
              <w:keepLines w:val="0"/>
              <w:suppressAutoHyphens w:val="0"/>
              <w:spacing w:line="400" w:lineRule="exact"/>
              <w:rPr>
                <w:spacing w:val="0"/>
                <w:rtl/>
                <w:lang w:eastAsia="en-US"/>
              </w:rPr>
            </w:pPr>
            <w:r>
              <w:rPr>
                <w:spacing w:val="0"/>
                <w:rtl/>
                <w:lang w:eastAsia="en-US"/>
              </w:rPr>
              <w:t>السنة</w:t>
            </w:r>
          </w:p>
        </w:tc>
        <w:tc>
          <w:tcPr>
            <w:tcW w:w="3118" w:type="dxa"/>
          </w:tcPr>
          <w:p w:rsidR="00000000" w:rsidRDefault="00000000">
            <w:pPr>
              <w:rPr>
                <w:i/>
                <w:iCs/>
                <w:rtl/>
                <w:lang w:eastAsia="en-US"/>
              </w:rPr>
            </w:pPr>
            <w:r>
              <w:rPr>
                <w:i/>
                <w:iCs/>
                <w:rtl/>
                <w:lang w:eastAsia="en-US"/>
              </w:rPr>
              <w:t>عدد النساء في مقابل مجموع جدول الأجور في مناصب مستوى الإدارة</w:t>
            </w:r>
          </w:p>
        </w:tc>
        <w:tc>
          <w:tcPr>
            <w:tcW w:w="2977" w:type="dxa"/>
          </w:tcPr>
          <w:p w:rsidR="00000000" w:rsidRDefault="00000000">
            <w:pPr>
              <w:rPr>
                <w:i/>
                <w:iCs/>
                <w:rtl/>
                <w:lang w:eastAsia="en-US"/>
              </w:rPr>
            </w:pPr>
            <w:r>
              <w:rPr>
                <w:i/>
                <w:iCs/>
                <w:rtl/>
                <w:lang w:eastAsia="en-US"/>
              </w:rPr>
              <w:t>المرأة كنسبة مئوية من قوة العمل في مناصب مستوى الإدارة</w:t>
            </w:r>
          </w:p>
        </w:tc>
      </w:tr>
      <w:tr w:rsidR="00000000">
        <w:tblPrEx>
          <w:tblCellMar>
            <w:top w:w="0" w:type="dxa"/>
            <w:bottom w:w="0" w:type="dxa"/>
          </w:tblCellMar>
        </w:tblPrEx>
        <w:tc>
          <w:tcPr>
            <w:tcW w:w="2126" w:type="dxa"/>
          </w:tcPr>
          <w:p w:rsidR="00000000" w:rsidRDefault="00000000">
            <w:pPr>
              <w:pStyle w:val="H56"/>
              <w:keepNext w:val="0"/>
              <w:keepLines w:val="0"/>
              <w:suppressAutoHyphens w:val="0"/>
              <w:spacing w:line="400" w:lineRule="exact"/>
              <w:outlineLvl w:val="9"/>
              <w:rPr>
                <w:rtl/>
                <w:lang w:eastAsia="en-US"/>
              </w:rPr>
            </w:pPr>
            <w:r>
              <w:rPr>
                <w:rtl/>
                <w:lang w:eastAsia="en-US"/>
              </w:rPr>
              <w:t>1993-1994</w:t>
            </w:r>
          </w:p>
        </w:tc>
        <w:tc>
          <w:tcPr>
            <w:tcW w:w="3118" w:type="dxa"/>
          </w:tcPr>
          <w:p w:rsidR="00000000" w:rsidRDefault="00000000">
            <w:pPr>
              <w:rPr>
                <w:rtl/>
                <w:lang w:eastAsia="en-US"/>
              </w:rPr>
            </w:pPr>
            <w:r>
              <w:rPr>
                <w:rtl/>
                <w:lang w:eastAsia="en-US"/>
              </w:rPr>
              <w:t>453 من 472 1</w:t>
            </w:r>
          </w:p>
        </w:tc>
        <w:tc>
          <w:tcPr>
            <w:tcW w:w="2977" w:type="dxa"/>
          </w:tcPr>
          <w:p w:rsidR="00000000" w:rsidRDefault="00000000">
            <w:pPr>
              <w:rPr>
                <w:rtl/>
                <w:lang w:eastAsia="en-US"/>
              </w:rPr>
            </w:pPr>
            <w:r>
              <w:rPr>
                <w:rtl/>
                <w:lang w:eastAsia="en-US"/>
              </w:rPr>
              <w:t>31</w:t>
            </w:r>
          </w:p>
        </w:tc>
      </w:tr>
      <w:tr w:rsidR="00000000">
        <w:tblPrEx>
          <w:tblCellMar>
            <w:top w:w="0" w:type="dxa"/>
            <w:bottom w:w="0" w:type="dxa"/>
          </w:tblCellMar>
        </w:tblPrEx>
        <w:tc>
          <w:tcPr>
            <w:tcW w:w="2126" w:type="dxa"/>
          </w:tcPr>
          <w:p w:rsidR="00000000" w:rsidRDefault="00000000">
            <w:pPr>
              <w:rPr>
                <w:rtl/>
                <w:lang w:eastAsia="en-US"/>
              </w:rPr>
            </w:pPr>
            <w:r>
              <w:rPr>
                <w:rtl/>
                <w:lang w:eastAsia="en-US"/>
              </w:rPr>
              <w:t>1994-1995</w:t>
            </w:r>
          </w:p>
        </w:tc>
        <w:tc>
          <w:tcPr>
            <w:tcW w:w="3118" w:type="dxa"/>
          </w:tcPr>
          <w:p w:rsidR="00000000" w:rsidRDefault="00000000">
            <w:pPr>
              <w:rPr>
                <w:rtl/>
                <w:lang w:eastAsia="en-US"/>
              </w:rPr>
            </w:pPr>
            <w:r>
              <w:rPr>
                <w:rtl/>
                <w:lang w:eastAsia="en-US"/>
              </w:rPr>
              <w:t>447 من 330 1</w:t>
            </w:r>
          </w:p>
        </w:tc>
        <w:tc>
          <w:tcPr>
            <w:tcW w:w="2977" w:type="dxa"/>
          </w:tcPr>
          <w:p w:rsidR="00000000" w:rsidRDefault="00000000">
            <w:pPr>
              <w:rPr>
                <w:rtl/>
                <w:lang w:eastAsia="en-US"/>
              </w:rPr>
            </w:pPr>
            <w:r>
              <w:rPr>
                <w:rtl/>
                <w:lang w:eastAsia="en-US"/>
              </w:rPr>
              <w:t>34</w:t>
            </w:r>
          </w:p>
        </w:tc>
      </w:tr>
      <w:tr w:rsidR="00000000">
        <w:tblPrEx>
          <w:tblCellMar>
            <w:top w:w="0" w:type="dxa"/>
            <w:bottom w:w="0" w:type="dxa"/>
          </w:tblCellMar>
        </w:tblPrEx>
        <w:tc>
          <w:tcPr>
            <w:tcW w:w="2126" w:type="dxa"/>
          </w:tcPr>
          <w:p w:rsidR="00000000" w:rsidRDefault="00000000">
            <w:pPr>
              <w:rPr>
                <w:rtl/>
                <w:lang w:eastAsia="en-US"/>
              </w:rPr>
            </w:pPr>
            <w:r>
              <w:rPr>
                <w:rtl/>
                <w:lang w:eastAsia="en-US"/>
              </w:rPr>
              <w:t>1995-1996</w:t>
            </w:r>
          </w:p>
        </w:tc>
        <w:tc>
          <w:tcPr>
            <w:tcW w:w="3118" w:type="dxa"/>
          </w:tcPr>
          <w:p w:rsidR="00000000" w:rsidRDefault="00000000">
            <w:pPr>
              <w:rPr>
                <w:rtl/>
                <w:lang w:eastAsia="en-US"/>
              </w:rPr>
            </w:pPr>
            <w:r>
              <w:rPr>
                <w:rtl/>
                <w:lang w:eastAsia="en-US"/>
              </w:rPr>
              <w:t>474 من 355 1</w:t>
            </w:r>
          </w:p>
        </w:tc>
        <w:tc>
          <w:tcPr>
            <w:tcW w:w="2977" w:type="dxa"/>
          </w:tcPr>
          <w:p w:rsidR="00000000" w:rsidRDefault="00000000">
            <w:pPr>
              <w:rPr>
                <w:rtl/>
                <w:lang w:eastAsia="en-US"/>
              </w:rPr>
            </w:pPr>
            <w:r>
              <w:rPr>
                <w:rtl/>
                <w:lang w:eastAsia="en-US"/>
              </w:rPr>
              <w:t>35</w:t>
            </w:r>
          </w:p>
        </w:tc>
      </w:tr>
      <w:tr w:rsidR="00000000">
        <w:tblPrEx>
          <w:tblCellMar>
            <w:top w:w="0" w:type="dxa"/>
            <w:bottom w:w="0" w:type="dxa"/>
          </w:tblCellMar>
        </w:tblPrEx>
        <w:tc>
          <w:tcPr>
            <w:tcW w:w="2126" w:type="dxa"/>
          </w:tcPr>
          <w:p w:rsidR="00000000" w:rsidRDefault="00000000">
            <w:pPr>
              <w:rPr>
                <w:rtl/>
                <w:lang w:eastAsia="en-US"/>
              </w:rPr>
            </w:pPr>
            <w:r>
              <w:rPr>
                <w:rtl/>
                <w:lang w:eastAsia="en-US"/>
              </w:rPr>
              <w:t>1996-1997</w:t>
            </w:r>
          </w:p>
        </w:tc>
        <w:tc>
          <w:tcPr>
            <w:tcW w:w="3118" w:type="dxa"/>
          </w:tcPr>
          <w:p w:rsidR="00000000" w:rsidRDefault="00000000">
            <w:pPr>
              <w:rPr>
                <w:rtl/>
                <w:lang w:eastAsia="en-US"/>
              </w:rPr>
            </w:pPr>
            <w:r>
              <w:rPr>
                <w:rtl/>
                <w:lang w:eastAsia="en-US"/>
              </w:rPr>
              <w:t>454 من 284 1</w:t>
            </w:r>
          </w:p>
        </w:tc>
        <w:tc>
          <w:tcPr>
            <w:tcW w:w="2977" w:type="dxa"/>
          </w:tcPr>
          <w:p w:rsidR="00000000" w:rsidRDefault="00000000">
            <w:pPr>
              <w:rPr>
                <w:rtl/>
                <w:lang w:eastAsia="en-US"/>
              </w:rPr>
            </w:pPr>
            <w:r>
              <w:rPr>
                <w:rtl/>
                <w:lang w:eastAsia="en-US"/>
              </w:rPr>
              <w:t>35</w:t>
            </w:r>
          </w:p>
        </w:tc>
      </w:tr>
      <w:tr w:rsidR="00000000">
        <w:tblPrEx>
          <w:tblCellMar>
            <w:top w:w="0" w:type="dxa"/>
            <w:bottom w:w="0" w:type="dxa"/>
          </w:tblCellMar>
        </w:tblPrEx>
        <w:tc>
          <w:tcPr>
            <w:tcW w:w="2126" w:type="dxa"/>
          </w:tcPr>
          <w:p w:rsidR="00000000" w:rsidRDefault="00000000">
            <w:pPr>
              <w:rPr>
                <w:rtl/>
                <w:lang w:eastAsia="en-US"/>
              </w:rPr>
            </w:pPr>
            <w:r>
              <w:rPr>
                <w:rtl/>
                <w:lang w:eastAsia="en-US"/>
              </w:rPr>
              <w:t>1997-1998</w:t>
            </w:r>
          </w:p>
        </w:tc>
        <w:tc>
          <w:tcPr>
            <w:tcW w:w="3118" w:type="dxa"/>
          </w:tcPr>
          <w:p w:rsidR="00000000" w:rsidRDefault="00000000">
            <w:pPr>
              <w:rPr>
                <w:rtl/>
                <w:lang w:eastAsia="en-US"/>
              </w:rPr>
            </w:pPr>
            <w:r>
              <w:rPr>
                <w:rtl/>
                <w:lang w:eastAsia="en-US"/>
              </w:rPr>
              <w:t>464 من 251 1</w:t>
            </w:r>
          </w:p>
        </w:tc>
        <w:tc>
          <w:tcPr>
            <w:tcW w:w="2977" w:type="dxa"/>
          </w:tcPr>
          <w:p w:rsidR="00000000" w:rsidRDefault="00000000">
            <w:pPr>
              <w:rPr>
                <w:rtl/>
                <w:lang w:eastAsia="en-US"/>
              </w:rPr>
            </w:pPr>
            <w:r>
              <w:rPr>
                <w:rtl/>
                <w:lang w:eastAsia="en-US"/>
              </w:rPr>
              <w:t>37</w:t>
            </w:r>
          </w:p>
        </w:tc>
      </w:tr>
    </w:tbl>
    <w:p w:rsidR="00000000" w:rsidRDefault="00000000">
      <w:pPr>
        <w:pStyle w:val="SingleTxt"/>
        <w:ind w:left="1264" w:right="1264"/>
        <w:rPr>
          <w:rtl/>
          <w:lang w:eastAsia="en-US"/>
        </w:rPr>
      </w:pPr>
    </w:p>
    <w:p w:rsidR="00000000" w:rsidRDefault="00000000">
      <w:pPr>
        <w:pStyle w:val="SingleTxt"/>
        <w:ind w:left="1264" w:right="1264"/>
        <w:rPr>
          <w:rtl/>
          <w:lang w:eastAsia="en-US"/>
        </w:rPr>
      </w:pPr>
      <w:r>
        <w:rPr>
          <w:rtl/>
          <w:lang w:eastAsia="en-US"/>
        </w:rPr>
        <w:t>454 -</w:t>
      </w:r>
      <w:r>
        <w:rPr>
          <w:rtl/>
          <w:lang w:eastAsia="en-US"/>
        </w:rPr>
        <w:tab/>
        <w:t>ومنذ عام 1994 لم تحقق المرأة سوى زيادات هامشية في منصب نائب الوزير (أنظر الجدول أدناه)</w:t>
      </w:r>
    </w:p>
    <w:p w:rsidR="00000000" w:rsidRDefault="00000000">
      <w:pPr>
        <w:pStyle w:val="SingleTxt"/>
        <w:ind w:left="1264" w:right="1264"/>
        <w:rPr>
          <w:b/>
          <w:bCs/>
          <w:rtl/>
          <w:lang w:eastAsia="en-US"/>
        </w:rPr>
      </w:pPr>
    </w:p>
    <w:p w:rsidR="00000000" w:rsidRDefault="00000000">
      <w:pPr>
        <w:pStyle w:val="SingleTxt"/>
        <w:ind w:left="1264" w:right="1264"/>
        <w:rPr>
          <w:b/>
          <w:bCs/>
          <w:rtl/>
          <w:lang w:eastAsia="en-US"/>
        </w:rPr>
      </w:pPr>
    </w:p>
    <w:p w:rsidR="00000000" w:rsidRDefault="00000000">
      <w:pPr>
        <w:pStyle w:val="SingleTxt"/>
        <w:ind w:left="1264" w:right="1264"/>
        <w:rPr>
          <w:b/>
          <w:bCs/>
          <w:rtl/>
          <w:lang w:eastAsia="en-US"/>
        </w:rPr>
      </w:pPr>
      <w:r>
        <w:rPr>
          <w:b/>
          <w:bCs/>
          <w:rtl/>
          <w:lang w:eastAsia="en-US"/>
        </w:rPr>
        <w:t>المرأة في منصب نائب الوزير في حكومة نوفا سكوتشيا</w:t>
      </w:r>
    </w:p>
    <w:tbl>
      <w:tblPr>
        <w:bidiVisual/>
        <w:tblW w:w="0" w:type="auto"/>
        <w:tblInd w:w="2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977"/>
      </w:tblGrid>
      <w:tr w:rsidR="00000000">
        <w:tblPrEx>
          <w:tblCellMar>
            <w:top w:w="0" w:type="dxa"/>
            <w:bottom w:w="0" w:type="dxa"/>
          </w:tblCellMar>
        </w:tblPrEx>
        <w:tc>
          <w:tcPr>
            <w:tcW w:w="2268" w:type="dxa"/>
          </w:tcPr>
          <w:p w:rsidR="00000000" w:rsidRDefault="00000000">
            <w:pPr>
              <w:pStyle w:val="H4"/>
              <w:keepLines w:val="0"/>
              <w:suppressAutoHyphens w:val="0"/>
              <w:spacing w:line="400" w:lineRule="exact"/>
              <w:rPr>
                <w:spacing w:val="0"/>
                <w:rtl/>
                <w:lang w:eastAsia="en-US"/>
              </w:rPr>
            </w:pPr>
            <w:r>
              <w:rPr>
                <w:spacing w:val="0"/>
                <w:rtl/>
                <w:lang w:eastAsia="en-US"/>
              </w:rPr>
              <w:t>السنة</w:t>
            </w:r>
          </w:p>
        </w:tc>
        <w:tc>
          <w:tcPr>
            <w:tcW w:w="2977" w:type="dxa"/>
          </w:tcPr>
          <w:p w:rsidR="00000000" w:rsidRDefault="00000000">
            <w:pPr>
              <w:rPr>
                <w:i/>
                <w:iCs/>
                <w:rtl/>
                <w:lang w:eastAsia="en-US"/>
              </w:rPr>
            </w:pPr>
            <w:r>
              <w:rPr>
                <w:i/>
                <w:iCs/>
                <w:rtl/>
                <w:lang w:eastAsia="en-US"/>
              </w:rPr>
              <w:t>عدد النساء مقابل مجموع المناصب</w:t>
            </w:r>
          </w:p>
        </w:tc>
      </w:tr>
      <w:tr w:rsidR="00000000">
        <w:tblPrEx>
          <w:tblCellMar>
            <w:top w:w="0" w:type="dxa"/>
            <w:bottom w:w="0" w:type="dxa"/>
          </w:tblCellMar>
        </w:tblPrEx>
        <w:tc>
          <w:tcPr>
            <w:tcW w:w="2268" w:type="dxa"/>
          </w:tcPr>
          <w:p w:rsidR="00000000" w:rsidRDefault="00000000">
            <w:pPr>
              <w:rPr>
                <w:rtl/>
                <w:lang w:eastAsia="en-US"/>
              </w:rPr>
            </w:pPr>
            <w:r>
              <w:rPr>
                <w:rtl/>
                <w:lang w:eastAsia="en-US"/>
              </w:rPr>
              <w:t>1994</w:t>
            </w:r>
          </w:p>
        </w:tc>
        <w:tc>
          <w:tcPr>
            <w:tcW w:w="2977" w:type="dxa"/>
          </w:tcPr>
          <w:p w:rsidR="00000000" w:rsidRDefault="00000000">
            <w:pPr>
              <w:rPr>
                <w:rtl/>
                <w:lang w:eastAsia="en-US"/>
              </w:rPr>
            </w:pPr>
            <w:r>
              <w:rPr>
                <w:rtl/>
                <w:lang w:eastAsia="en-US"/>
              </w:rPr>
              <w:t>2 من 12</w:t>
            </w:r>
          </w:p>
        </w:tc>
      </w:tr>
      <w:tr w:rsidR="00000000">
        <w:tblPrEx>
          <w:tblCellMar>
            <w:top w:w="0" w:type="dxa"/>
            <w:bottom w:w="0" w:type="dxa"/>
          </w:tblCellMar>
        </w:tblPrEx>
        <w:tc>
          <w:tcPr>
            <w:tcW w:w="2268" w:type="dxa"/>
          </w:tcPr>
          <w:p w:rsidR="00000000" w:rsidRDefault="00000000">
            <w:pPr>
              <w:rPr>
                <w:rtl/>
                <w:lang w:eastAsia="en-US"/>
              </w:rPr>
            </w:pPr>
            <w:r>
              <w:rPr>
                <w:rtl/>
                <w:lang w:eastAsia="en-US"/>
              </w:rPr>
              <w:t>1995</w:t>
            </w:r>
          </w:p>
        </w:tc>
        <w:tc>
          <w:tcPr>
            <w:tcW w:w="2977" w:type="dxa"/>
          </w:tcPr>
          <w:p w:rsidR="00000000" w:rsidRDefault="00000000">
            <w:pPr>
              <w:rPr>
                <w:rtl/>
                <w:lang w:eastAsia="en-US"/>
              </w:rPr>
            </w:pPr>
            <w:r>
              <w:rPr>
                <w:rtl/>
                <w:lang w:eastAsia="en-US"/>
              </w:rPr>
              <w:t>2 من 15</w:t>
            </w:r>
          </w:p>
        </w:tc>
      </w:tr>
      <w:tr w:rsidR="00000000">
        <w:tblPrEx>
          <w:tblCellMar>
            <w:top w:w="0" w:type="dxa"/>
            <w:bottom w:w="0" w:type="dxa"/>
          </w:tblCellMar>
        </w:tblPrEx>
        <w:tc>
          <w:tcPr>
            <w:tcW w:w="2268" w:type="dxa"/>
          </w:tcPr>
          <w:p w:rsidR="00000000" w:rsidRDefault="00000000">
            <w:pPr>
              <w:rPr>
                <w:rtl/>
                <w:lang w:eastAsia="en-US"/>
              </w:rPr>
            </w:pPr>
            <w:r>
              <w:rPr>
                <w:rtl/>
                <w:lang w:eastAsia="en-US"/>
              </w:rPr>
              <w:t>1996</w:t>
            </w:r>
          </w:p>
        </w:tc>
        <w:tc>
          <w:tcPr>
            <w:tcW w:w="2977" w:type="dxa"/>
          </w:tcPr>
          <w:p w:rsidR="00000000" w:rsidRDefault="00000000">
            <w:pPr>
              <w:rPr>
                <w:rtl/>
                <w:lang w:eastAsia="en-US"/>
              </w:rPr>
            </w:pPr>
            <w:r>
              <w:rPr>
                <w:rtl/>
                <w:lang w:eastAsia="en-US"/>
              </w:rPr>
              <w:t>3 من 15</w:t>
            </w:r>
          </w:p>
        </w:tc>
      </w:tr>
      <w:tr w:rsidR="00000000">
        <w:tblPrEx>
          <w:tblCellMar>
            <w:top w:w="0" w:type="dxa"/>
            <w:bottom w:w="0" w:type="dxa"/>
          </w:tblCellMar>
        </w:tblPrEx>
        <w:tc>
          <w:tcPr>
            <w:tcW w:w="2268" w:type="dxa"/>
          </w:tcPr>
          <w:p w:rsidR="00000000" w:rsidRDefault="00000000">
            <w:pPr>
              <w:rPr>
                <w:rtl/>
                <w:lang w:eastAsia="en-US"/>
              </w:rPr>
            </w:pPr>
            <w:r>
              <w:rPr>
                <w:rtl/>
                <w:lang w:eastAsia="en-US"/>
              </w:rPr>
              <w:t>1997</w:t>
            </w:r>
          </w:p>
        </w:tc>
        <w:tc>
          <w:tcPr>
            <w:tcW w:w="2977" w:type="dxa"/>
          </w:tcPr>
          <w:p w:rsidR="00000000" w:rsidRDefault="00000000">
            <w:pPr>
              <w:rPr>
                <w:rtl/>
                <w:lang w:eastAsia="en-US"/>
              </w:rPr>
            </w:pPr>
            <w:r>
              <w:rPr>
                <w:rtl/>
                <w:lang w:eastAsia="en-US"/>
              </w:rPr>
              <w:t>3 من 15</w:t>
            </w:r>
          </w:p>
        </w:tc>
      </w:tr>
      <w:tr w:rsidR="00000000">
        <w:tblPrEx>
          <w:tblCellMar>
            <w:top w:w="0" w:type="dxa"/>
            <w:bottom w:w="0" w:type="dxa"/>
          </w:tblCellMar>
        </w:tblPrEx>
        <w:tc>
          <w:tcPr>
            <w:tcW w:w="2268" w:type="dxa"/>
          </w:tcPr>
          <w:p w:rsidR="00000000" w:rsidRDefault="00000000">
            <w:pPr>
              <w:rPr>
                <w:rtl/>
                <w:lang w:eastAsia="en-US"/>
              </w:rPr>
            </w:pPr>
            <w:r>
              <w:rPr>
                <w:rtl/>
                <w:lang w:eastAsia="en-US"/>
              </w:rPr>
              <w:t>1998</w:t>
            </w:r>
          </w:p>
        </w:tc>
        <w:tc>
          <w:tcPr>
            <w:tcW w:w="2977" w:type="dxa"/>
          </w:tcPr>
          <w:p w:rsidR="00000000" w:rsidRDefault="00000000">
            <w:pPr>
              <w:rPr>
                <w:rtl/>
                <w:lang w:eastAsia="en-US"/>
              </w:rPr>
            </w:pPr>
            <w:r>
              <w:rPr>
                <w:rtl/>
                <w:lang w:eastAsia="en-US"/>
              </w:rPr>
              <w:t>4 من 16</w:t>
            </w:r>
          </w:p>
        </w:tc>
      </w:tr>
      <w:tr w:rsidR="00000000">
        <w:tblPrEx>
          <w:tblCellMar>
            <w:top w:w="0" w:type="dxa"/>
            <w:bottom w:w="0" w:type="dxa"/>
          </w:tblCellMar>
        </w:tblPrEx>
        <w:tc>
          <w:tcPr>
            <w:tcW w:w="2268" w:type="dxa"/>
          </w:tcPr>
          <w:p w:rsidR="00000000" w:rsidRDefault="00000000">
            <w:pPr>
              <w:rPr>
                <w:rtl/>
                <w:lang w:eastAsia="en-US"/>
              </w:rPr>
            </w:pPr>
            <w:r>
              <w:rPr>
                <w:rtl/>
                <w:lang w:eastAsia="en-US"/>
              </w:rPr>
              <w:t>1999</w:t>
            </w:r>
          </w:p>
        </w:tc>
        <w:tc>
          <w:tcPr>
            <w:tcW w:w="2977" w:type="dxa"/>
          </w:tcPr>
          <w:p w:rsidR="00000000" w:rsidRDefault="00000000">
            <w:pPr>
              <w:rPr>
                <w:rtl/>
                <w:lang w:eastAsia="en-US"/>
              </w:rPr>
            </w:pPr>
            <w:r>
              <w:rPr>
                <w:rtl/>
                <w:lang w:eastAsia="en-US"/>
              </w:rPr>
              <w:t>5 من 18</w:t>
            </w:r>
          </w:p>
        </w:tc>
      </w:tr>
      <w:tr w:rsidR="00000000">
        <w:tblPrEx>
          <w:tblCellMar>
            <w:top w:w="0" w:type="dxa"/>
            <w:bottom w:w="0" w:type="dxa"/>
          </w:tblCellMar>
        </w:tblPrEx>
        <w:tc>
          <w:tcPr>
            <w:tcW w:w="2268" w:type="dxa"/>
          </w:tcPr>
          <w:p w:rsidR="00000000" w:rsidRDefault="00000000">
            <w:pPr>
              <w:rPr>
                <w:rtl/>
                <w:lang w:eastAsia="en-US"/>
              </w:rPr>
            </w:pPr>
            <w:r>
              <w:rPr>
                <w:rtl/>
                <w:lang w:eastAsia="en-US"/>
              </w:rPr>
              <w:t>2000</w:t>
            </w:r>
          </w:p>
        </w:tc>
        <w:tc>
          <w:tcPr>
            <w:tcW w:w="2977" w:type="dxa"/>
          </w:tcPr>
          <w:p w:rsidR="00000000" w:rsidRDefault="00000000">
            <w:pPr>
              <w:pStyle w:val="H56"/>
              <w:keepNext w:val="0"/>
              <w:keepLines w:val="0"/>
              <w:suppressAutoHyphens w:val="0"/>
              <w:spacing w:line="400" w:lineRule="exact"/>
              <w:outlineLvl w:val="9"/>
              <w:rPr>
                <w:rtl/>
                <w:lang w:eastAsia="en-US"/>
              </w:rPr>
            </w:pPr>
            <w:r>
              <w:rPr>
                <w:rtl/>
                <w:lang w:eastAsia="en-US"/>
              </w:rPr>
              <w:t>4 من 19</w:t>
            </w:r>
          </w:p>
        </w:tc>
      </w:tr>
    </w:tbl>
    <w:p w:rsidR="00000000" w:rsidRDefault="00000000">
      <w:pPr>
        <w:pStyle w:val="SingleTxt"/>
        <w:ind w:left="1264" w:right="1264"/>
        <w:rPr>
          <w:rtl/>
          <w:lang w:eastAsia="en-US"/>
        </w:rPr>
      </w:pPr>
    </w:p>
    <w:p w:rsidR="00000000" w:rsidRDefault="00000000">
      <w:pPr>
        <w:pStyle w:val="SingleTxt"/>
        <w:ind w:left="1264" w:right="1264"/>
        <w:rPr>
          <w:rtl/>
          <w:lang w:eastAsia="en-US"/>
        </w:rPr>
      </w:pPr>
      <w:r>
        <w:rPr>
          <w:rtl/>
          <w:lang w:eastAsia="en-US"/>
        </w:rPr>
        <w:t>455 -</w:t>
      </w:r>
      <w:r>
        <w:rPr>
          <w:rtl/>
          <w:lang w:eastAsia="en-US"/>
        </w:rPr>
        <w:tab/>
        <w:t>وفي سلك القضاء كان هناك 8 قاضيات معينات اتحاديا من بين مجموع 33 في عام 1998 مقابل 4 قاضيات من بين 34 عام 1994، بالإضافة إلى 9 قاضيات معينات على مستوى المقاطعات من بين مجموع يبلغ 40 في عام 1998 مقابل 6 من بين 44 في عام 1994.</w:t>
      </w:r>
    </w:p>
    <w:p w:rsidR="00000000" w:rsidRDefault="00000000">
      <w:pPr>
        <w:pStyle w:val="SingleTxt"/>
        <w:ind w:left="1264" w:right="1264"/>
        <w:rPr>
          <w:rtl/>
          <w:lang w:eastAsia="en-US"/>
        </w:rPr>
      </w:pPr>
      <w:r>
        <w:rPr>
          <w:rtl/>
          <w:lang w:eastAsia="en-US"/>
        </w:rPr>
        <w:t>456 -</w:t>
      </w:r>
      <w:r>
        <w:rPr>
          <w:rtl/>
          <w:lang w:eastAsia="en-US"/>
        </w:rPr>
        <w:tab/>
        <w:t>وفي عام 1994، طَرح وزير الصحة قرارا في المجلس التشريعي للاعتراف بالمساهمة التي تسديها الممرضات القانونيات في تقديم وتنفيذ الرعاية الصحية الراقية في نوفا سكوتشيا. وبصورة خاصة جاء الثناء على مهاراتهن المهنية ومدى ما تمتعن به من تعاطف وفاعلية في تخطيط وإدارة نظام الرعاية الصحية. وأعرب القرار كذلك عن الاحترام والامتنان من جانب أهل نوفا سكوتشيا إلى مواطناتهم ممن يحملن رسميا لقب ممرضة قانونية.</w:t>
      </w:r>
    </w:p>
    <w:p w:rsidR="00000000" w:rsidRDefault="00000000">
      <w:pPr>
        <w:pStyle w:val="SingleTxt"/>
        <w:ind w:left="1264" w:right="1264"/>
        <w:rPr>
          <w:rtl/>
          <w:lang w:eastAsia="en-US"/>
        </w:rPr>
      </w:pPr>
      <w:r>
        <w:rPr>
          <w:rtl/>
          <w:lang w:eastAsia="en-US"/>
        </w:rPr>
        <w:t>457 -</w:t>
      </w:r>
      <w:r>
        <w:rPr>
          <w:rtl/>
          <w:lang w:eastAsia="en-US"/>
        </w:rPr>
        <w:tab/>
        <w:t>كذلك تم الاعتراف من جانب أعضاء المجلس التشريعي بخدمات مساعدات التمريض القانونيات ومساهماتهن في نظام الرعاية الصحية في نوفا سكوتشيا.</w:t>
      </w:r>
    </w:p>
    <w:p w:rsidR="00000000" w:rsidRDefault="00000000">
      <w:pPr>
        <w:pStyle w:val="SingleTxt"/>
        <w:ind w:left="1264" w:right="1264"/>
        <w:rPr>
          <w:rtl/>
          <w:lang w:eastAsia="en-US"/>
        </w:rPr>
      </w:pPr>
      <w:r>
        <w:rPr>
          <w:rtl/>
          <w:lang w:eastAsia="en-US"/>
        </w:rPr>
        <w:t>458 -</w:t>
      </w:r>
      <w:r>
        <w:rPr>
          <w:rtl/>
          <w:lang w:eastAsia="en-US"/>
        </w:rPr>
        <w:tab/>
        <w:t xml:space="preserve">وفي الفترة 1995 </w:t>
      </w:r>
      <w:r>
        <w:rPr>
          <w:lang w:eastAsia="en-US"/>
        </w:rPr>
        <w:t>–</w:t>
      </w:r>
      <w:r>
        <w:rPr>
          <w:rtl/>
          <w:lang w:eastAsia="en-US"/>
        </w:rPr>
        <w:t>1996 ساعد المجلس الاستشاري الأمهات الوحيدات ممن يواجهن استقطاعات من برنامج إعانة الطلاب على الانتظام في الجامعات. كما ساعد المجلس النساء على وضع استراتيجية للإعلام والتأثير.</w:t>
      </w:r>
    </w:p>
    <w:p w:rsidR="00000000" w:rsidRDefault="00000000">
      <w:pPr>
        <w:pStyle w:val="SingleTxt"/>
        <w:ind w:left="1264" w:right="1264"/>
        <w:rPr>
          <w:rtl/>
          <w:lang w:eastAsia="en-US"/>
        </w:rPr>
      </w:pPr>
      <w:r>
        <w:rPr>
          <w:rtl/>
          <w:lang w:eastAsia="en-US"/>
        </w:rPr>
        <w:t>459 -</w:t>
      </w:r>
      <w:r>
        <w:rPr>
          <w:rtl/>
          <w:lang w:eastAsia="en-US"/>
        </w:rPr>
        <w:tab/>
        <w:t>وتم في 1997 تنفيذ برتوكول جديد لفرز المتطوعين العاملين مع الأطفال وغيرهم من قطاعات السكان المستضعفة. ويضمن البرتوكول إمكانية حصول وكالات التطوع على سجلات الحالة الجنائية في الحالات الملائمة، ويطلب إلى منظمات المتطوعين أن تدخل طرفا في مذكرة تفاهم مع هيئة الشرطة بمنطقتها. ولسوف تحدد فحوصات الشرطة ما إذا كان المتقدمون للتطوع لديهم أي سجل من الإدانات الجنائية. وتشمل التوصيفات الوظيفية للمتطوعين ما إذا كان مطلوبا إجراء مراجعة أمنية، ومتى تتم هذه المراجعة، وما هي المعلومات التي ينجم عنها رفض خدمات متطوع ما. وقد كلفت المقاطعة مركز موارد المتطوعين في هاليفاكس بتنظيم دورة عمل تدريبية بشأن عملية الفرز.</w:t>
      </w:r>
    </w:p>
    <w:p w:rsidR="00000000" w:rsidRDefault="00000000">
      <w:pPr>
        <w:pStyle w:val="SingleTxt"/>
        <w:ind w:left="1264" w:right="1264"/>
        <w:rPr>
          <w:rtl/>
          <w:lang w:eastAsia="en-US"/>
        </w:rPr>
      </w:pPr>
      <w:r>
        <w:rPr>
          <w:rtl/>
          <w:lang w:eastAsia="en-US"/>
        </w:rPr>
        <w:t>460 -</w:t>
      </w:r>
      <w:r>
        <w:rPr>
          <w:rtl/>
          <w:lang w:eastAsia="en-US"/>
        </w:rPr>
        <w:tab/>
        <w:t>وفي عام 1998 تبنَّت لجنة حقوق الإنسان في نوفا سكوتشيا منح جائزة جديدة للصحافة لتكريم القائمين بالكتابة الصحفية عن مواضيع حقوق الإنسان وتعزيز حقوق الإنسان بوصفها موضوعاً للعمل الصحفي. وقُدِمت ثلاثة جوائز في 10 كانون الأول/ديسمبر يوم حقوق الإنسان في فئات الصحافة المطبوعة والإذاعية والطلابية. أما التقارير التي استحقت الجائزة فكانت تركِّز على واحدة على الأقل من الخصائص المشمولة بالحماية في قانون حقوق الإنسان بنوفا سكوتشيا والتحديات التي يواجهها الأفراد بسبب العِرق/اللون والدين/العقيدة والأصل الإثني/القومي والانتماء إلى جمعية ما ونوع الجنس (النوع أو الحمل) أو الإعاقة الجسمية أو العقلية والعمر ومصدر الدخل والأصل من السكان الأصليين والتوجه الجنسي والتحرش الجنسي والانتماء السياسي والحالة الزواجية والحالة العائلية أو الخوف على غير أساس منطقي (الإصابة أو المرض).</w:t>
      </w:r>
    </w:p>
    <w:p w:rsidR="00000000" w:rsidRDefault="00000000">
      <w:pPr>
        <w:pStyle w:val="SingleTxt"/>
        <w:ind w:left="1264" w:right="1264"/>
        <w:rPr>
          <w:rtl/>
          <w:lang w:eastAsia="en-US"/>
        </w:rPr>
      </w:pPr>
      <w:r>
        <w:rPr>
          <w:rtl/>
          <w:lang w:eastAsia="en-US"/>
        </w:rPr>
        <w:t>461 -</w:t>
      </w:r>
      <w:r>
        <w:rPr>
          <w:rtl/>
          <w:lang w:eastAsia="en-US"/>
        </w:rPr>
        <w:tab/>
        <w:t>وقد أكد كل من وزارة التعليم في نوفا سكوتشيا واتحاد معلِّمي نوفا سكوتشيا التزامهما إزاء إجراءات العمل الإيجابي من خلال رسالة التفاهم للاتفاق الجماعي - لجنة تنسيق العمل الإيجابي. وتتمثل ولاية اللجنة فيما يلي: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حث مجالس المدارس على استعراض إجراءات التوظيف التي تتبعها بما يكفل تشجيع النساء وأعضاء الأقليات الواضحة على التماس العمل في مجال التدريس.</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تشجيع مجالس المدارس على التعرف على النساء وأعضاء الأقليات الواضحة المؤهلين والراغبين في الترقية.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تلقي تقارير موجزة سنوية من كل مجلس مدرسة يبين مبادرة العمل الإيجابي المتخذة من جانب مجلس المدرسة في السنة السابقة.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 xml:space="preserve">تحليل التقارير الواردة من مجالس المدارس بما يوضح احتياجاتها من الموظفين على مدى فترة السنوات الخمس من 1994 </w:t>
      </w:r>
      <w:r>
        <w:rPr>
          <w:lang w:eastAsia="en-US"/>
        </w:rPr>
        <w:t>–</w:t>
      </w:r>
      <w:r>
        <w:rPr>
          <w:rtl/>
          <w:lang w:eastAsia="en-US"/>
        </w:rPr>
        <w:t xml:space="preserve"> 1995 إلى 1999 </w:t>
      </w:r>
      <w:r>
        <w:rPr>
          <w:lang w:eastAsia="en-US"/>
        </w:rPr>
        <w:t>–</w:t>
      </w:r>
      <w:r>
        <w:rPr>
          <w:rtl/>
          <w:lang w:eastAsia="en-US"/>
        </w:rPr>
        <w:t xml:space="preserve"> 2000 وإعداد تقرير سنـــوي شامـــل يقـــدم إلى وزير التعليم والثقافة، وإلى رابطة مجالس مدارس نوفا سكوتشيا، وإلى اتحاد معلمي نوفا سكوتشيا مبيِّنا التقدم الذي تم إحرازه في مجال العمل الإيجابي</w:t>
      </w:r>
    </w:p>
    <w:p w:rsidR="00000000" w:rsidRDefault="00000000">
      <w:pPr>
        <w:pStyle w:val="SingleTxt"/>
        <w:tabs>
          <w:tab w:val="clear" w:pos="1267"/>
        </w:tabs>
        <w:ind w:left="1264" w:right="1264"/>
        <w:rPr>
          <w:rtl/>
          <w:lang w:eastAsia="en-US"/>
        </w:rPr>
      </w:pPr>
      <w:r>
        <w:rPr>
          <w:rtl/>
          <w:lang w:eastAsia="en-US"/>
        </w:rPr>
        <w:tab/>
        <w:t>وتضم اللجنة أعضاء من حقهم التصويت يمثلون وزارة التعليم (الرئاسة) واتحاد معلمي نوفا سكوتشيا ورابطة مجالس مدارس نوفا سكوتشيا. وبالإضافة إلى ذلك ثمة أعضاء مشاركين بغير حق للتصويت من اتحاد موظفي حكومة نوفا سكوتشيا والاتحاد الكندي للموظفين العموميين وشعبة خدمات ميكماك وشعبة خدمات الأفارقة الكنديين.</w:t>
      </w:r>
    </w:p>
    <w:p w:rsidR="00000000" w:rsidRDefault="00000000">
      <w:pPr>
        <w:pStyle w:val="SingleTxt"/>
        <w:tabs>
          <w:tab w:val="clear" w:pos="1267"/>
        </w:tabs>
        <w:ind w:left="1264" w:right="1264"/>
        <w:rPr>
          <w:b/>
          <w:bCs/>
          <w:rtl/>
          <w:lang w:eastAsia="en-US"/>
        </w:rPr>
      </w:pPr>
      <w:r>
        <w:rPr>
          <w:b/>
          <w:bCs/>
          <w:rtl/>
          <w:lang w:eastAsia="en-US"/>
        </w:rPr>
        <w:t>المادة 4: الخدمات الخاصة المؤقتة</w:t>
      </w:r>
    </w:p>
    <w:p w:rsidR="00000000" w:rsidRDefault="00000000">
      <w:pPr>
        <w:pStyle w:val="SingleTxt"/>
        <w:tabs>
          <w:tab w:val="clear" w:pos="1267"/>
        </w:tabs>
        <w:ind w:left="1264" w:right="1264"/>
        <w:rPr>
          <w:rtl/>
          <w:lang w:eastAsia="en-US"/>
        </w:rPr>
      </w:pPr>
      <w:r>
        <w:rPr>
          <w:rtl/>
          <w:lang w:eastAsia="en-US"/>
        </w:rPr>
        <w:t>462 -</w:t>
      </w:r>
      <w:r>
        <w:rPr>
          <w:rtl/>
          <w:lang w:eastAsia="en-US"/>
        </w:rPr>
        <w:tab/>
        <w:t>حكومة نوفا سكوتشيا ملتزمة بإيجاد خدمة مدنية تمثل تنوع السكان في جميع فئات التوظيف وعلى الأصعدة كافة. وتدير وزارة الموارد البشرية سياسة للعمل الإيجابي تهدف إلى تعزيز تكافؤ مشاركة أشخاص من السكان الأصليين والسود وغيرهم من الأشخاص الواضحين عرقيا فضلا عن ذوي الإعاقات والنساء في المواقع التي يقل فيها تمثيلهم.</w:t>
      </w:r>
    </w:p>
    <w:p w:rsidR="00000000" w:rsidRDefault="00000000">
      <w:pPr>
        <w:pStyle w:val="SingleTxt"/>
        <w:tabs>
          <w:tab w:val="clear" w:pos="1267"/>
        </w:tabs>
        <w:ind w:left="1264" w:right="1264"/>
        <w:rPr>
          <w:rtl/>
          <w:lang w:eastAsia="en-US"/>
        </w:rPr>
      </w:pPr>
      <w:r>
        <w:rPr>
          <w:rtl/>
          <w:lang w:eastAsia="en-US"/>
        </w:rPr>
        <w:t>463 -</w:t>
      </w:r>
      <w:r>
        <w:rPr>
          <w:rtl/>
          <w:lang w:eastAsia="en-US"/>
        </w:rPr>
        <w:tab/>
        <w:t>وفي عام 1997 وقعـــت وزارة الموارد البشرية اتفاقــا مــع لجنــة حقــــوق الإنســــان في نوفا سكوتشيا يعكس التزامها المُعزز بخلق قوة عمل متنوعة.</w:t>
      </w:r>
    </w:p>
    <w:p w:rsidR="00000000" w:rsidRDefault="00000000">
      <w:pPr>
        <w:pStyle w:val="SingleTxt"/>
        <w:tabs>
          <w:tab w:val="clear" w:pos="1267"/>
        </w:tabs>
        <w:ind w:left="1264" w:right="1264"/>
        <w:rPr>
          <w:rtl/>
          <w:lang w:eastAsia="en-US"/>
        </w:rPr>
      </w:pPr>
      <w:r>
        <w:rPr>
          <w:rtl/>
          <w:lang w:eastAsia="en-US"/>
        </w:rPr>
        <w:t>464 -</w:t>
      </w:r>
      <w:r>
        <w:rPr>
          <w:rtl/>
          <w:lang w:eastAsia="en-US"/>
        </w:rPr>
        <w:tab/>
        <w:t>وتقدم وزارة الموارد البشرية برنامجا للحفز على التنوع وبرنامجا تعليمياصيفيا بشأن التوظيف. ويعمد برنامج التنوع إلى وضع الدارسين في أعمال تتراوح بين الوظائف الكتابية إلى الإدارية وبين العلمية إلى المهنية. وفي السنوات الأخيرة عملت الدارسات في برنامج التعلم للتوظيف في مجالات البحوث القانونية والتكنولوجيا والمصايد السمكية والهندسة والتشييد. ويجتذب برنامج التعليم للتوظيف كثيرا من الشابات للعمل في وظائف صيفية لدى حكومة المقاطعة ويزودهن بخبرة عمل لها قيمتها في ميدان دراستهن فضلا عن أن يصبحن قدوة تُحتذى. ويستخدم البرنامج الطالبات اللائي ينشدن الالتحاق بمهن في الميادين غير التقليدية مثل الهندسة والمصايد السمكية والجيولوجيا والتشييد ويؤالف بينهن وبين معلمين في الوزارات الحكومية. وهناك 35 دارسة تقريبا كنّ مستخدمات بدوام كامل لمدة 15 أسبوعا في عام 1998. ويتمثل الهدف من البرنامج في رؤية “استثماراته” وقد حققت عائدا، وفي أن يجعل المزيد من الشابات جزءا دائما من الخدمة المدنية لنوفا سكوتشيا في مهن يكون فيها تمثيلهن قاصرا. وكلا البرنامجين متاح بدوام كامل للدارسين العائدين إلى الدراسة بالجامعة أو معاهد المحليات أو مدارس الحرف الخاصة أو الثانويات في فصل الخريف.</w:t>
      </w:r>
    </w:p>
    <w:p w:rsidR="00000000" w:rsidRDefault="00000000">
      <w:pPr>
        <w:pStyle w:val="SingleTxt"/>
        <w:tabs>
          <w:tab w:val="clear" w:pos="1267"/>
        </w:tabs>
        <w:ind w:left="1264" w:right="1264"/>
        <w:rPr>
          <w:rtl/>
          <w:lang w:eastAsia="en-US"/>
        </w:rPr>
      </w:pPr>
      <w:r>
        <w:rPr>
          <w:rtl/>
          <w:lang w:eastAsia="en-US"/>
        </w:rPr>
        <w:t>465 -</w:t>
      </w:r>
      <w:r>
        <w:rPr>
          <w:rtl/>
          <w:lang w:eastAsia="en-US"/>
        </w:rPr>
        <w:tab/>
        <w:t>وقامت وزارة النقل والأشغال العامة، بالاشتراك مع لجنة المعاقين، بإنشاء لجنة في عام 1998 لإجراء عملية مراجعة حسابية لإمكانية الوصول إلى الممتلكات العِقارية الحكومية بهدف إعداد سياسة حكومية مشتركة في هذا الشأن.</w:t>
      </w:r>
    </w:p>
    <w:p w:rsidR="00000000" w:rsidRDefault="00000000">
      <w:pPr>
        <w:pStyle w:val="SingleTxt"/>
        <w:tabs>
          <w:tab w:val="clear" w:pos="1267"/>
        </w:tabs>
        <w:ind w:left="1264" w:right="1264"/>
        <w:rPr>
          <w:rtl/>
          <w:lang w:eastAsia="en-US"/>
        </w:rPr>
      </w:pPr>
      <w:r>
        <w:rPr>
          <w:rtl/>
          <w:lang w:eastAsia="en-US"/>
        </w:rPr>
        <w:t>466 -</w:t>
      </w:r>
      <w:r>
        <w:rPr>
          <w:rtl/>
          <w:lang w:eastAsia="en-US"/>
        </w:rPr>
        <w:tab/>
        <w:t xml:space="preserve"> وتم توقيع اتفاق للعمل الإيجابي في عام 1998 بين دار بريوني وهي مأوى في هاليفاكس يحوي 24 سريراً للنساء المعرضات للأذى وأطفالهن وبين لجنة حقوق الإنسان. ويهدف الاتفاق إلى تطوير الخدمات المقدمة إلى النساء المعرضات للأذى وإلى رعاية حقوق الإنسان في موقع العمل. وفي الوقت الحالي هناك 29 من اتفاقات العمل الإيجابي مبرمة بين اللجنة وبين شركاء في القطاعين العام والخاص في نوفا سكوتشيا. واتفاقات العمل الإيجابي عبارة عن برامج حكومية قائمة على مستوى المقاطعة، وتهدف إلى التصدي للتمييز الذي تواجهه النساء والأقليات الواضحة والسكان الأصليون والأفراد من ذوي الإعاقات. وفيما يلي بعض أبرز نقاط الاتفاقات:</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تحديد وإزالة الحواجز التي قد تحرم الفئات الضعيفة التمثيل من فرص العمل المتكافئة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مواصلة الجهود الرامية إلى تقديم خدمات التواصل وبرامجه إلى الأقليات الواضحة والسكان الأصليين ومجتمع ذوي الإعاقات</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كفالة أن تتم عمليات التوظيف والتدريب وتنمية المهارات والتكليفات بالعمل بصورة تمتثل لقانون حقوق الإنسان بالمقاطعة.</w:t>
      </w:r>
    </w:p>
    <w:p w:rsidR="00000000" w:rsidRDefault="00000000">
      <w:pPr>
        <w:pStyle w:val="SingleTxt"/>
        <w:tabs>
          <w:tab w:val="clear" w:pos="1267"/>
        </w:tabs>
        <w:ind w:left="1264" w:right="1264"/>
        <w:rPr>
          <w:b/>
          <w:bCs/>
          <w:rtl/>
          <w:lang w:eastAsia="en-US"/>
        </w:rPr>
      </w:pPr>
      <w:r>
        <w:rPr>
          <w:b/>
          <w:bCs/>
          <w:rtl/>
          <w:lang w:eastAsia="en-US"/>
        </w:rPr>
        <w:t>المادة 5: القضاء على الصور النمطية الجامدة</w:t>
      </w:r>
    </w:p>
    <w:p w:rsidR="00000000" w:rsidRDefault="00000000">
      <w:pPr>
        <w:pStyle w:val="SingleTxt"/>
        <w:tabs>
          <w:tab w:val="clear" w:pos="1267"/>
        </w:tabs>
        <w:ind w:left="1264" w:right="1264"/>
        <w:rPr>
          <w:rtl/>
          <w:lang w:eastAsia="en-US"/>
        </w:rPr>
      </w:pPr>
      <w:r>
        <w:rPr>
          <w:rtl/>
          <w:lang w:eastAsia="en-US"/>
        </w:rPr>
        <w:t>467 -</w:t>
      </w:r>
      <w:r>
        <w:rPr>
          <w:rtl/>
          <w:lang w:eastAsia="en-US"/>
        </w:rPr>
        <w:tab/>
        <w:t>تم إعداد برتوكول ودليل على مستوى المقاطعة للعاملين في مجال رعاية الطفولة وحماية الطفولة لاستخدامه عندما يواجهون بحادثة إيذاء أصابت طفلا ملتحقا بأحد مراكز رعاية الطفل. وهذه المراجع، التي توضح أدوار ومسؤوليات جميع الأطراف المشاركة في عملية إدراك الأذى الذي يدعى بوقوعه للطفل والإبلاغ عنه تم توزيعها على نطاق واسع بين صفوف المهنيين في نوفا سكوتشيا ممن يقدمون الخدمات إلى الأطفال وأسرهم. وثمة برنامج تدريبي يستند إلى البرتوكول بعنوان “رعاية الطفولة وحماية الطفولة: العمل مع الأطفال” وما زال يقدَم على أساس منتظم في المجتمعات المحلية على صعيد المقاطعة. وهو يؤدي إلى زيادة مستوى الوعي والمعارف والفهم للإجراءات والمسؤوليات المتصلة بادعاءات تساق بشأن إيذاء أو إهمال الأطفال ضمن نطاق رعاية الطفولة.</w:t>
      </w:r>
    </w:p>
    <w:p w:rsidR="00000000" w:rsidRDefault="00000000">
      <w:pPr>
        <w:pStyle w:val="SingleTxt"/>
        <w:tabs>
          <w:tab w:val="clear" w:pos="1267"/>
        </w:tabs>
        <w:ind w:left="1264" w:right="1264"/>
        <w:rPr>
          <w:rtl/>
          <w:lang w:eastAsia="en-US"/>
        </w:rPr>
      </w:pPr>
      <w:r>
        <w:rPr>
          <w:rtl/>
          <w:lang w:eastAsia="en-US"/>
        </w:rPr>
        <w:t>468 -</w:t>
      </w:r>
      <w:r>
        <w:rPr>
          <w:rtl/>
          <w:lang w:eastAsia="en-US"/>
        </w:rPr>
        <w:tab/>
        <w:t>واعتبارا من أواخر عام 1995، زاد التركيز في مجال أعمال لجنة حقوق الإنسان على جهود القضاء على عمليات التنميط. وتم توظيف أفراد جدد في شُعب علاقات الأعراق والعمل الإيجابي والتثقيف العام بما جلب معه أفكاراً وحيوية جديدة إلى ما تمارسه تلك الشُعب في مجال التواصل الإعلامي. ومن الأمثلة على ذلك مبادرة اتخذتها شعبتا العلاقات العرقية والعمل الإيجابي لاستعراض جميع اتفاقات العمل الإيجابي القائمة بين اللجنة ومختلف أرباب العمل والمؤسسات (الكبيرة في معظمها) وإعادة التفاوض على تلك الاتفاقات. كما زادت الشعبتان نطاق وحجم دورات التدريب في مجال حقوق الإنسان التي تقدمانها فضلا عن بدء العمل لإعداد أدلة تدريبية شاملة في هذا الشأن. وثمة مشروع مهم ثالث هو مبادرة الإنصاف الملموس وتشمل عددا كبيرا من موظفي اللجنة الذين يعملون من أجل تطوير أدوات واستراتيجيات تحليلية أفضل للتعامل مع ظاهرة التمييز المنتظم في المنظمات الكبيرة ولاسيما في مواقع العمل وهذا المشروع ما زال جاريا.</w:t>
      </w:r>
    </w:p>
    <w:p w:rsidR="00000000" w:rsidRDefault="00000000">
      <w:pPr>
        <w:pStyle w:val="SingleTxt"/>
        <w:tabs>
          <w:tab w:val="clear" w:pos="1267"/>
        </w:tabs>
        <w:ind w:left="1264" w:right="1264"/>
        <w:rPr>
          <w:rtl/>
          <w:lang w:eastAsia="en-US"/>
        </w:rPr>
      </w:pPr>
      <w:r>
        <w:rPr>
          <w:rtl/>
          <w:lang w:eastAsia="en-US"/>
        </w:rPr>
        <w:t>469 -</w:t>
      </w:r>
      <w:r>
        <w:rPr>
          <w:rtl/>
          <w:lang w:eastAsia="en-US"/>
        </w:rPr>
        <w:tab/>
        <w:t xml:space="preserve">وفي الفترة 1996 </w:t>
      </w:r>
      <w:r>
        <w:rPr>
          <w:lang w:eastAsia="en-US"/>
        </w:rPr>
        <w:t>–</w:t>
      </w:r>
      <w:r>
        <w:rPr>
          <w:rtl/>
          <w:lang w:eastAsia="en-US"/>
        </w:rPr>
        <w:t xml:space="preserve"> 1997، نشر المجلس الاستشاري كتابا بعنوان “فسح المجال لبصيص من النور” وهذا الكتاب الذي يتطرق إلى حياة النساء السحاقيات وأولادهن تم توزيعه على فئات المجتمع المحلي وعلى المربين في كل أنحاء نوفا سكوتشيا. كما جاءت طلبات على نسخ من الكتاب من كل أنحاء كندا فضلا عن الولايات المتحدة والسويد وهولندا</w:t>
      </w:r>
    </w:p>
    <w:p w:rsidR="00000000" w:rsidRDefault="00000000">
      <w:pPr>
        <w:pStyle w:val="SingleTxt"/>
        <w:tabs>
          <w:tab w:val="clear" w:pos="1267"/>
        </w:tabs>
        <w:ind w:left="1264" w:right="1264"/>
        <w:rPr>
          <w:rtl/>
          <w:lang w:eastAsia="en-US"/>
        </w:rPr>
      </w:pPr>
      <w:r>
        <w:rPr>
          <w:rtl/>
          <w:lang w:eastAsia="en-US"/>
        </w:rPr>
        <w:t>470 -</w:t>
      </w:r>
      <w:r>
        <w:rPr>
          <w:rtl/>
          <w:lang w:eastAsia="en-US"/>
        </w:rPr>
        <w:tab/>
        <w:t xml:space="preserve">وتعمل أمانة المواطنين المسنين على إزالة الصور النمطية الجامدة عن كبار السن من خلال طرح صور عن شيخوخة صحية وناشطة في منشوراتها وحلقات العمل التي تنظمها ومعرضها السنوي لكبار السن. وفي الفترة 1997 </w:t>
      </w:r>
      <w:r>
        <w:rPr>
          <w:lang w:eastAsia="en-US"/>
        </w:rPr>
        <w:t>–</w:t>
      </w:r>
      <w:r>
        <w:rPr>
          <w:rtl/>
          <w:lang w:eastAsia="en-US"/>
        </w:rPr>
        <w:t xml:space="preserve"> 1998 شارك المجلس الاستشاري في رعاية حفل لجمع الأموال مع المؤلفة والداعية النسائية المعروفة بيتي فريدان. وساعدت المحاضرة التي ألقتها على زيادة الوعي وعلى إثارة فكر جديد فيما يتعلق بقضايا التقدم في السن.</w:t>
      </w:r>
    </w:p>
    <w:p w:rsidR="00000000" w:rsidRDefault="00000000">
      <w:pPr>
        <w:pStyle w:val="SingleTxt"/>
        <w:tabs>
          <w:tab w:val="clear" w:pos="1267"/>
        </w:tabs>
        <w:ind w:left="1264" w:right="1264"/>
        <w:rPr>
          <w:b/>
          <w:bCs/>
          <w:rtl/>
          <w:lang w:eastAsia="en-US"/>
        </w:rPr>
      </w:pPr>
      <w:r>
        <w:rPr>
          <w:b/>
          <w:bCs/>
          <w:rtl/>
          <w:lang w:eastAsia="en-US"/>
        </w:rPr>
        <w:t>المادة 6: الاتجار بالنساء والبغاء</w:t>
      </w:r>
    </w:p>
    <w:p w:rsidR="00000000" w:rsidRDefault="00000000">
      <w:pPr>
        <w:pStyle w:val="SingleTxt"/>
        <w:tabs>
          <w:tab w:val="clear" w:pos="1267"/>
        </w:tabs>
        <w:ind w:left="1264" w:right="1264"/>
        <w:rPr>
          <w:rtl/>
          <w:lang w:eastAsia="en-US"/>
        </w:rPr>
      </w:pPr>
      <w:r>
        <w:rPr>
          <w:rtl/>
          <w:lang w:eastAsia="en-US"/>
        </w:rPr>
        <w:t>471 -</w:t>
      </w:r>
      <w:r>
        <w:rPr>
          <w:rtl/>
          <w:lang w:eastAsia="en-US"/>
        </w:rPr>
        <w:tab/>
        <w:t>في عام 1995 تبنِّت وزارة العدل مشاورة إقليمية عن البغاء. ووافق المشاركون على أن المنع والتدخل المبكر هما مفتاحا أي استراتيجية ناجحة للتصدي لبغاء الأحداث. وساد التسليم بأن الشباب المتورط في تجارة الجنس ما هم إلا ضحايا وبحاجة إلى الوصول إلى الخدمات الطبية، وإلى معالجة الإدمان وتقديم المشورة لحل الأزمات، ومواصلة الدعم وإتاحة السُبل لتقديم المأوى والمهارات الحياتية والتدريب أثناء العمل وبرامج إعادة الالتحاق بسلك التعليم. وفي أعقاب المشاورة، تشكَّلت شراكة قوية بين المجتمع المحلي والشرطة من أجل التصدي للقضايا الجوهرية في المجتمعات المحلية التي يسودها أكثر من غيرها بغاء الشوارع.</w:t>
      </w:r>
    </w:p>
    <w:p w:rsidR="00000000" w:rsidRDefault="00000000">
      <w:pPr>
        <w:pStyle w:val="SingleTxt"/>
        <w:tabs>
          <w:tab w:val="clear" w:pos="1267"/>
        </w:tabs>
        <w:ind w:left="1264" w:right="1264"/>
        <w:rPr>
          <w:rtl/>
          <w:lang w:eastAsia="en-US"/>
        </w:rPr>
      </w:pPr>
      <w:r>
        <w:rPr>
          <w:rtl/>
          <w:lang w:eastAsia="en-US"/>
        </w:rPr>
        <w:t>472 -</w:t>
      </w:r>
      <w:r>
        <w:rPr>
          <w:rtl/>
          <w:lang w:eastAsia="en-US"/>
        </w:rPr>
        <w:tab/>
        <w:t>وفي عام 1998 استهلت جماعة متعددة التخصصات برنامجاً للتثقيف بشأن البغاء (“</w:t>
      </w:r>
      <w:r>
        <w:rPr>
          <w:lang w:eastAsia="en-US"/>
        </w:rPr>
        <w:t>John School</w:t>
      </w:r>
      <w:r>
        <w:rPr>
          <w:rtl/>
          <w:lang w:eastAsia="en-US"/>
        </w:rPr>
        <w:t>”). وتضم الجماعة عناصر من الشرطة وعدداً من الوزارات الحكومية والوكالات المجتمعية على مستوى المقاطعة. ويتمثل هدف البرنامج في تقليل ظاهرة العوْد إلى الجريمة من خلال تقديم معلومات تتعلق بالأثر السلبي للبغاء على الأفراد والمجتمعات ويتحمل الجناة رسما عن المشاركة في البرنامج حيث يستخدم عائده من أجل إتاحة فرص تعليمية وغير ذلك من أساليب الدعم للنساء المتورطات في البغاء.</w:t>
      </w:r>
    </w:p>
    <w:p w:rsidR="00000000" w:rsidRDefault="00000000">
      <w:pPr>
        <w:pStyle w:val="SingleTxt"/>
        <w:tabs>
          <w:tab w:val="clear" w:pos="1267"/>
        </w:tabs>
        <w:ind w:left="1264" w:right="1264"/>
        <w:rPr>
          <w:b/>
          <w:bCs/>
          <w:rtl/>
          <w:lang w:eastAsia="en-US"/>
        </w:rPr>
      </w:pPr>
      <w:r>
        <w:rPr>
          <w:b/>
          <w:bCs/>
          <w:rtl/>
          <w:lang w:eastAsia="en-US"/>
        </w:rPr>
        <w:t>المادة 7: المرأة في مجال السياسة والحياة العامة</w:t>
      </w:r>
    </w:p>
    <w:p w:rsidR="00000000" w:rsidRDefault="00000000">
      <w:pPr>
        <w:pStyle w:val="SingleTxt"/>
        <w:tabs>
          <w:tab w:val="clear" w:pos="1267"/>
        </w:tabs>
        <w:ind w:left="1264" w:right="1264"/>
        <w:rPr>
          <w:rtl/>
          <w:lang w:eastAsia="en-US"/>
        </w:rPr>
      </w:pPr>
      <w:r>
        <w:rPr>
          <w:rtl/>
          <w:lang w:eastAsia="en-US"/>
        </w:rPr>
        <w:t>473 -</w:t>
      </w:r>
      <w:r>
        <w:rPr>
          <w:rtl/>
          <w:lang w:eastAsia="en-US"/>
        </w:rPr>
        <w:tab/>
        <w:t xml:space="preserve">في عام 1997 استضاف المجلس الاستشاري “المنتدى الإقليمي للمرأة </w:t>
      </w:r>
      <w:r>
        <w:rPr>
          <w:lang w:eastAsia="en-US"/>
        </w:rPr>
        <w:t>–</w:t>
      </w:r>
      <w:r>
        <w:rPr>
          <w:rtl/>
          <w:lang w:eastAsia="en-US"/>
        </w:rPr>
        <w:t xml:space="preserve"> التحدي أمام التغيير”. وتَمَثل الهدف من هذا المنتدى في تدارس أثر القيود الضريبية وتسارع وتيرة التغيرات والشكل الأصغر للحكومات على سعي المرأة نحو المساواة الجنسانية. وقد طرحت أربعة مواضيع رئيسية من أجل تركيز المناقشات وهي: المرأة والاقتصاد والمرأة والصحة والمرأة والتعليم وحقوق الإنسان والقانون. وتولت أكثــر من 150 سيـــدة من كل أنحاء نوفا سكوتشيا مناقشة وتدارس هذه القضايا وفحص الأهداف والعقبات وقدمن توصيات من أجل التغيير.</w:t>
      </w:r>
    </w:p>
    <w:p w:rsidR="00000000" w:rsidRDefault="00000000">
      <w:pPr>
        <w:pStyle w:val="SingleTxt"/>
        <w:tabs>
          <w:tab w:val="clear" w:pos="1267"/>
        </w:tabs>
        <w:ind w:left="1264" w:right="1264"/>
        <w:rPr>
          <w:b/>
          <w:bCs/>
          <w:rtl/>
          <w:lang w:eastAsia="en-US"/>
        </w:rPr>
      </w:pPr>
      <w:r>
        <w:rPr>
          <w:b/>
          <w:bCs/>
          <w:rtl/>
          <w:lang w:eastAsia="en-US"/>
        </w:rPr>
        <w:t>المادة 8: المرأة في مجال التمثيل الدولي</w:t>
      </w:r>
    </w:p>
    <w:p w:rsidR="00000000" w:rsidRDefault="00000000">
      <w:pPr>
        <w:pStyle w:val="SingleTxt"/>
        <w:tabs>
          <w:tab w:val="clear" w:pos="1267"/>
        </w:tabs>
        <w:ind w:left="1264" w:right="1264"/>
        <w:rPr>
          <w:rtl/>
          <w:lang w:eastAsia="en-US"/>
        </w:rPr>
      </w:pPr>
      <w:r>
        <w:rPr>
          <w:rtl/>
          <w:lang w:eastAsia="en-US"/>
        </w:rPr>
        <w:t>474 -</w:t>
      </w:r>
      <w:r>
        <w:rPr>
          <w:rtl/>
          <w:lang w:eastAsia="en-US"/>
        </w:rPr>
        <w:tab/>
        <w:t>باعتبارها ممثلة للاتحاد الدولي لتنظيم الأسرة، شاركت رئيس المجلس الاستشاري في اجتماعات عقدت في نيويورك في عام 1995 في إطار الاستعدادات لعقد مؤتمر الأمم المتحدة العالمي الرابع المعني بالمرأة. واستضاف المجلس الاجتماعات وخطط لعقد حلقة عمل ليوم واحد بشأن مؤتمر الأمم المتحدة الرابع في بيجين بالاشتراك مع شبكة العمل النسائية لبيجين، وفي عام 1995 سافرت 12 سيدة من نوفا سكوتشيا إلى بيجين لحضور المنتدى العالمي للمنظمات غير الحكومية.</w:t>
      </w:r>
    </w:p>
    <w:p w:rsidR="00000000" w:rsidRDefault="00000000">
      <w:pPr>
        <w:pStyle w:val="SingleTxt"/>
        <w:tabs>
          <w:tab w:val="clear" w:pos="1267"/>
        </w:tabs>
        <w:ind w:left="1264" w:right="1264"/>
        <w:rPr>
          <w:rtl/>
          <w:lang w:eastAsia="en-US"/>
        </w:rPr>
      </w:pPr>
      <w:r>
        <w:rPr>
          <w:rtl/>
          <w:lang w:eastAsia="en-US"/>
        </w:rPr>
        <w:t>475 -</w:t>
      </w:r>
      <w:r>
        <w:rPr>
          <w:rtl/>
          <w:lang w:eastAsia="en-US"/>
        </w:rPr>
        <w:tab/>
        <w:t>وشارك المجلس الاستشاري مع مؤتمر كندا للنساء السود والمركز البحري للتفوق المعني بصحة المرأة في تشكيل وفد وزاري رفيع المستوى لنساء جنوب أفريقيا في 1997. ونسق المجلس مساهمة هاليفاكس في الجولة الدراسية التي قمن بها بشأن العنف الموجه ضد المرأة.</w:t>
      </w:r>
    </w:p>
    <w:p w:rsidR="00000000" w:rsidRDefault="00000000">
      <w:pPr>
        <w:pStyle w:val="SingleTxt"/>
        <w:tabs>
          <w:tab w:val="clear" w:pos="1267"/>
        </w:tabs>
        <w:ind w:left="1264" w:right="1264"/>
        <w:rPr>
          <w:b/>
          <w:bCs/>
          <w:rtl/>
          <w:lang w:eastAsia="en-US"/>
        </w:rPr>
      </w:pPr>
      <w:r>
        <w:rPr>
          <w:b/>
          <w:bCs/>
          <w:rtl/>
          <w:lang w:eastAsia="en-US"/>
        </w:rPr>
        <w:t>المادة 10: التعليم</w:t>
      </w:r>
    </w:p>
    <w:p w:rsidR="00000000" w:rsidRDefault="00000000">
      <w:pPr>
        <w:pStyle w:val="SingleTxt"/>
        <w:tabs>
          <w:tab w:val="clear" w:pos="1267"/>
        </w:tabs>
        <w:ind w:left="1264" w:right="1264"/>
        <w:rPr>
          <w:rtl/>
          <w:lang w:eastAsia="en-US"/>
        </w:rPr>
      </w:pPr>
      <w:r>
        <w:rPr>
          <w:rtl/>
          <w:lang w:eastAsia="en-US"/>
        </w:rPr>
        <w:t>476 -</w:t>
      </w:r>
      <w:r>
        <w:rPr>
          <w:rtl/>
          <w:lang w:eastAsia="en-US"/>
        </w:rPr>
        <w:tab/>
        <w:t>تتحمل كلية نوفا سكوتشيا المحلية التزاما بتعزيز فرص التعليم والاستخدام للمرأة في مجالات الحرف والتكنولوجيات. ومن العناصر الأساسية في جهود الكلية المذكورة لزيادة الفرص المتاحة للمرأة في الحرف التي يهيمن عليها الرجل ما يتمثل في تغيير المدركات التي تكونت بشان المرأة في ميادين الحرف والتكنولوجيات.</w:t>
      </w:r>
    </w:p>
    <w:p w:rsidR="00000000" w:rsidRDefault="00000000">
      <w:pPr>
        <w:pStyle w:val="SingleTxt"/>
        <w:tabs>
          <w:tab w:val="clear" w:pos="1267"/>
        </w:tabs>
        <w:ind w:left="1264" w:right="1264"/>
        <w:rPr>
          <w:rtl/>
          <w:lang w:eastAsia="en-US"/>
        </w:rPr>
      </w:pPr>
      <w:r>
        <w:rPr>
          <w:rtl/>
          <w:lang w:eastAsia="en-US"/>
        </w:rPr>
        <w:t>477 -</w:t>
      </w:r>
      <w:r>
        <w:rPr>
          <w:rtl/>
          <w:lang w:eastAsia="en-US"/>
        </w:rPr>
        <w:tab/>
        <w:t>وتعد كلية نوفا سكوتشيا المحلية شريكا في عمليات الاستكشاف التكنولوجي، وهو برنامج مبتكر يتيح للطالبات الشابات فرص التعلم على يد قدوة نسائية تعمل في السلك المهني للحرف أو التكنولوجيا. وتعمل الشابات المنخرطات في البرنامج مع هذه القدوة ومع مدرسين في إجراء بحوث بشأن مهنة “مطلوبة” مع ابتكار عروض تفاعلية تقدَّم إلى أقرانهن. ويشاركن كذلك في حلقات العمل واكتساب الخبرات العملية في الميدان الذي يقع اختيارهن عليه من خلال العمل مع قدوة نسائية. ويأتي برنامج الاستكشاف التقني هذا بوصفة شراكة بين أطراف من القطاعين الصناعيين العام والخاص.</w:t>
      </w:r>
    </w:p>
    <w:p w:rsidR="00000000" w:rsidRDefault="00000000">
      <w:pPr>
        <w:pStyle w:val="SingleTxt"/>
        <w:tabs>
          <w:tab w:val="clear" w:pos="1267"/>
        </w:tabs>
        <w:ind w:left="1264" w:right="1264"/>
        <w:rPr>
          <w:rtl/>
          <w:lang w:eastAsia="en-US"/>
        </w:rPr>
      </w:pPr>
      <w:r>
        <w:rPr>
          <w:rtl/>
          <w:lang w:eastAsia="en-US"/>
        </w:rPr>
        <w:t>478 -</w:t>
      </w:r>
      <w:r>
        <w:rPr>
          <w:rtl/>
          <w:lang w:eastAsia="en-US"/>
        </w:rPr>
        <w:tab/>
        <w:t xml:space="preserve">وفي الفترة 1998 </w:t>
      </w:r>
      <w:r>
        <w:rPr>
          <w:lang w:eastAsia="en-US"/>
        </w:rPr>
        <w:t>–</w:t>
      </w:r>
      <w:r>
        <w:rPr>
          <w:rtl/>
          <w:lang w:eastAsia="en-US"/>
        </w:rPr>
        <w:t xml:space="preserve"> 1999، كان 46.8 في المائة من الطلاب المتفرغين في الكلية المذكورة أعلاه من الإناث، وفي العام الذي تلاه زاد هذا العدد إلى نسبة 47.8 في المائة. وفي الفترة 1999 </w:t>
      </w:r>
      <w:r>
        <w:rPr>
          <w:lang w:eastAsia="en-US"/>
        </w:rPr>
        <w:t>–</w:t>
      </w:r>
      <w:r>
        <w:rPr>
          <w:rtl/>
          <w:lang w:eastAsia="en-US"/>
        </w:rPr>
        <w:t xml:space="preserve"> 2000 شكَّلت النساء النسب المئوية التالية من حالات الانخراط الكامل الإجمالية في مجالات الحرف والتكنولوجيات: 32.9 في المائة في برامج الموارد الطبيعية و26.4 في المائة في العلوم الجغرافية و 12 في المائة في برامج التشييد وما يتصل بها و6,6 في الحرف الصناعية والتكنولوجيات و5.7 في المائة في البرامج الكهربية والإلكترونية.</w:t>
      </w:r>
    </w:p>
    <w:p w:rsidR="00000000" w:rsidRDefault="00000000">
      <w:pPr>
        <w:pStyle w:val="SingleTxt"/>
        <w:tabs>
          <w:tab w:val="clear" w:pos="1267"/>
        </w:tabs>
        <w:ind w:left="1264" w:right="1264"/>
        <w:rPr>
          <w:rtl/>
          <w:lang w:eastAsia="en-US"/>
        </w:rPr>
      </w:pPr>
      <w:r>
        <w:rPr>
          <w:rtl/>
          <w:lang w:eastAsia="en-US"/>
        </w:rPr>
        <w:t>479 -</w:t>
      </w:r>
      <w:r>
        <w:rPr>
          <w:rtl/>
          <w:lang w:eastAsia="en-US"/>
        </w:rPr>
        <w:tab/>
        <w:t>وما برحت مدارس نوفا سكوتشيا هي المؤيد الأقوى بالنسبة إلى “يوم اصطحاب أولادك إلى العمل” وهو فرصة عملية للطلاب لجمع المعلومات من خلال طرح الأسئلة وإجراء المقابلات. كما أنه يحفز الشباب على بدء خطط التطور المهني فضلا عن تزويدهم بالوعي من أجل الاستعدادات التي تتطلبها المهن المختلفة. وتؤكد وزارة التعليم على أن العملية التعليمية تتجاوز حجرة الدراسة وأن إعداد الشباب للمستقبل هو مسؤولية يشارك فيها المجتمع كله.</w:t>
      </w:r>
    </w:p>
    <w:p w:rsidR="00000000" w:rsidRDefault="00000000">
      <w:pPr>
        <w:pStyle w:val="SingleTxt"/>
        <w:tabs>
          <w:tab w:val="clear" w:pos="1267"/>
        </w:tabs>
        <w:ind w:left="1264" w:right="1264"/>
        <w:rPr>
          <w:rtl/>
          <w:lang w:eastAsia="en-US"/>
        </w:rPr>
      </w:pPr>
      <w:r>
        <w:rPr>
          <w:rtl/>
          <w:lang w:eastAsia="en-US"/>
        </w:rPr>
        <w:t>480 -</w:t>
      </w:r>
      <w:r>
        <w:rPr>
          <w:rtl/>
          <w:lang w:eastAsia="en-US"/>
        </w:rPr>
        <w:tab/>
        <w:t>وقد نفذت وزارة التعليم عدة تغيرات في البرامج والخدمات التي من شأنها التغلب على التحيُّز ضد النساء المتعلمات. وتقدم مكتبتها الإعلامية أشرطة الفيديو التي تزيد الوعي بقضايا المرأة والدور الذي تضطلع به في الميادين شتى. وقد تبنت مجالس المدارس عمليات التدريب على الوعي الجنساني وشاركت في مبادرات البحوث المجتمعية/المدرسية ومنها مثلاً منع العنف لدى لقاء مواعدة الجنسين والتخطيط للمهن غير التقليدية. وبالاشتراك مع مؤسسة التعليم بالمقاطعات البحرية، ساهمت الوزارة في إنتاج دليل تدريبي لحقوق الإنسان يحوي فصلاً يتطرق إلى قضايا المرأة.</w:t>
      </w:r>
    </w:p>
    <w:p w:rsidR="00000000" w:rsidRDefault="00000000">
      <w:pPr>
        <w:pStyle w:val="SingleTxt"/>
        <w:tabs>
          <w:tab w:val="clear" w:pos="1267"/>
        </w:tabs>
        <w:ind w:left="1264" w:right="1264"/>
        <w:rPr>
          <w:rtl/>
          <w:lang w:eastAsia="en-US"/>
        </w:rPr>
      </w:pPr>
      <w:r>
        <w:rPr>
          <w:rtl/>
          <w:lang w:eastAsia="en-US"/>
        </w:rPr>
        <w:t>481 -</w:t>
      </w:r>
      <w:r>
        <w:rPr>
          <w:rtl/>
          <w:lang w:eastAsia="en-US"/>
        </w:rPr>
        <w:tab/>
        <w:t>وقد عَمدت وزارة العليم إلى إدماج منع العنف في لقاءات مواعدة الجنسين وتعزيز العلاقات الصحية ضمن المناهج التعليمية لكي تشكل جزءا من مقررات التنمية الشخصية وإدارة العلاقات والحياة المهنية عند مستوى الصفوف المتوسطة والعليا من الدراسة</w:t>
      </w:r>
    </w:p>
    <w:p w:rsidR="00000000" w:rsidRDefault="00000000">
      <w:pPr>
        <w:pStyle w:val="SingleTxt"/>
        <w:tabs>
          <w:tab w:val="clear" w:pos="1267"/>
        </w:tabs>
        <w:ind w:left="1264" w:right="1264"/>
        <w:rPr>
          <w:rtl/>
          <w:lang w:eastAsia="en-US"/>
        </w:rPr>
      </w:pPr>
      <w:r>
        <w:rPr>
          <w:rtl/>
          <w:lang w:eastAsia="en-US"/>
        </w:rPr>
        <w:t>482 -</w:t>
      </w:r>
      <w:r>
        <w:rPr>
          <w:rtl/>
          <w:lang w:eastAsia="en-US"/>
        </w:rPr>
        <w:tab/>
        <w:t>وكان الموضوع المطروح في إطار شهر تاريخ المرأة في عام 1995 هو “المرأة والتعليم” الذي ركز على المرأة معلمة ومتعلمة. وفي عام 1997 تدارست المشاركات وسائل اجتذاب المزيد من الفتيات والنساء إلى مجال العلم والتكنولوجيا عندما احتفلن بموضوع “المرأة في مجال العلم والتكنولوجيا”.</w:t>
      </w:r>
    </w:p>
    <w:p w:rsidR="00000000" w:rsidRDefault="00000000">
      <w:pPr>
        <w:pStyle w:val="SingleTxt"/>
        <w:tabs>
          <w:tab w:val="clear" w:pos="1267"/>
        </w:tabs>
        <w:ind w:left="1264" w:right="1264"/>
        <w:rPr>
          <w:rtl/>
          <w:lang w:eastAsia="en-US"/>
        </w:rPr>
      </w:pPr>
      <w:r>
        <w:rPr>
          <w:rtl/>
          <w:lang w:eastAsia="en-US"/>
        </w:rPr>
        <w:t>483 -</w:t>
      </w:r>
      <w:r>
        <w:rPr>
          <w:rtl/>
          <w:lang w:eastAsia="en-US"/>
        </w:rPr>
        <w:tab/>
        <w:t>وفي عام 1995 قدِمت أول منحة دراسية بمبلغ 000 5 دولار عن المرأة في مجال الهندسة. وكانت زمالة دراسية متجددة لطالبات الهندسة في الجامعة التقنية في نوفا سكوتشيا. وقد أنشأتها المقاطعة في 6 كانون الأول/ديسمبر 1994 لتكريم ضحايا مذبحة مونتريال ودعم الطالبات اللائي يواصلن الدراسة للحصول على درجة في الهندسة.</w:t>
      </w:r>
    </w:p>
    <w:p w:rsidR="00000000" w:rsidRDefault="00000000">
      <w:pPr>
        <w:pStyle w:val="SingleTxt"/>
        <w:tabs>
          <w:tab w:val="clear" w:pos="1267"/>
        </w:tabs>
        <w:ind w:left="1264" w:right="1264"/>
        <w:rPr>
          <w:rtl/>
          <w:lang w:eastAsia="en-US"/>
        </w:rPr>
      </w:pPr>
      <w:r>
        <w:rPr>
          <w:rtl/>
          <w:lang w:eastAsia="en-US"/>
        </w:rPr>
        <w:t>484 -</w:t>
      </w:r>
      <w:r>
        <w:rPr>
          <w:rtl/>
          <w:lang w:eastAsia="en-US"/>
        </w:rPr>
        <w:tab/>
        <w:t>وفي عام 1996 أقيم معسكر للفتيات من أجل استكشاف الحرف والتكنولوجيا في نوفا سكوتشيا وعلى مدى خمسة أيام، شاركت 40 فتاة في الأنشطة وأكدن على أهمية الرياضيات ومقررات العلم والتكنولوجيا بالنسبة لمستقبلهن المهني. وقامت المشاركات بزيارة مواقع العمل حيث التقين بالعاملات في مجال الحرف والتكنولوجيا. وقد تلقى البرنامج دعما من جانب وزارة التعليم ووزارات حكومية أخرى وشركاء من القطاع الخاص.</w:t>
      </w:r>
    </w:p>
    <w:p w:rsidR="00000000" w:rsidRDefault="00000000">
      <w:pPr>
        <w:pStyle w:val="SingleTxt"/>
        <w:tabs>
          <w:tab w:val="clear" w:pos="1267"/>
        </w:tabs>
        <w:ind w:left="1264" w:right="1264"/>
        <w:rPr>
          <w:rtl/>
          <w:lang w:eastAsia="en-US"/>
        </w:rPr>
      </w:pPr>
      <w:r>
        <w:rPr>
          <w:rtl/>
          <w:lang w:eastAsia="en-US"/>
        </w:rPr>
        <w:t>485 -</w:t>
      </w:r>
      <w:r>
        <w:rPr>
          <w:rtl/>
          <w:lang w:eastAsia="en-US"/>
        </w:rPr>
        <w:tab/>
        <w:t>وفي عام 1997 عملت لجنة حقوق الإنسان وكذلك وزارة التعليم مع مجالس المدارس والجامعات المحلية لتشكيل الائتلاف المناهض للتحرش الجنسي. كما شارك المجلس الاستشاري مع وزارة التعليم وقدما مساهمات من أجل وضع برنامج يهدف إلى منع التحرش الجنسي في مدارس نوفا سكوتشيا. وبالإضافة إلى ذلك حددت الوزارة وظيفة مسؤول للاتصال معني بالتثقيف بالنسبة لجماعات المثليين الجنسيين/السحاقيات.</w:t>
      </w:r>
    </w:p>
    <w:p w:rsidR="00000000" w:rsidRDefault="00000000">
      <w:pPr>
        <w:pStyle w:val="SingleTxt"/>
        <w:tabs>
          <w:tab w:val="clear" w:pos="1267"/>
        </w:tabs>
        <w:ind w:left="1264" w:right="1264"/>
        <w:rPr>
          <w:rtl/>
          <w:lang w:eastAsia="en-US"/>
        </w:rPr>
      </w:pPr>
      <w:r>
        <w:rPr>
          <w:rtl/>
          <w:lang w:eastAsia="en-US"/>
        </w:rPr>
        <w:t>486 -</w:t>
      </w:r>
      <w:r>
        <w:rPr>
          <w:rtl/>
          <w:lang w:eastAsia="en-US"/>
        </w:rPr>
        <w:tab/>
        <w:t xml:space="preserve">وما زال الاحتفال يتم في نوفا سكوتشيا باليوم الدولي للمرأة. وفي إطار الاحتفال بهذا الحدث، وبالذكرى السنوية العشرين لإنشاء المجلس الاستشاري، اجتمع في عام 1998 نحو 60 من فتيات المدارس الثانوية للتطرق إلى قضايا المساواة الاقتصادية والصحة والرفاه والعنف. وحمل المؤتمر عنوان “الآمال والأحلام والاتجاهات </w:t>
      </w:r>
      <w:r>
        <w:rPr>
          <w:lang w:eastAsia="en-US"/>
        </w:rPr>
        <w:t>–</w:t>
      </w:r>
      <w:r>
        <w:rPr>
          <w:rtl/>
          <w:lang w:eastAsia="en-US"/>
        </w:rPr>
        <w:t xml:space="preserve"> عشرون عاما من الآن” وقد تبناه المجلس الاستشاري الذي التزم أمام المشاركات بتوفير مشاركة منتظمة ومساهمة دؤوبة من جانب الشابات.</w:t>
      </w:r>
    </w:p>
    <w:p w:rsidR="00000000" w:rsidRDefault="00000000">
      <w:pPr>
        <w:pStyle w:val="SingleTxt"/>
        <w:tabs>
          <w:tab w:val="clear" w:pos="1267"/>
        </w:tabs>
        <w:ind w:left="1264" w:right="1264"/>
        <w:rPr>
          <w:rtl/>
          <w:lang w:eastAsia="en-US"/>
        </w:rPr>
      </w:pPr>
      <w:r>
        <w:rPr>
          <w:rtl/>
          <w:lang w:eastAsia="en-US"/>
        </w:rPr>
        <w:t>487 -</w:t>
      </w:r>
      <w:r>
        <w:rPr>
          <w:rtl/>
          <w:lang w:eastAsia="en-US"/>
        </w:rPr>
        <w:tab/>
        <w:t>وأقيم في عام 1998 أول مجلس في نوفا سكوتشيا لتعليم الميكماك. وهو يكفل التوجيه لوزير التعليم بشأن وضع برامج وخدمات تعليمية لطلاب الميكماك في المدارس الحكومية ونظم تعليم الكبار مع تقييم هذه البرامج وتمويلها. وقد تشكل المجلس من 13 ممثلاً يعينهم الوزير بمن في ذلك ممثل من رابطة نساء السكان الأصليين في نوفا سكوتشيا.</w:t>
      </w:r>
    </w:p>
    <w:p w:rsidR="00000000" w:rsidRDefault="00000000">
      <w:pPr>
        <w:pStyle w:val="SingleTxt"/>
        <w:tabs>
          <w:tab w:val="clear" w:pos="1267"/>
        </w:tabs>
        <w:ind w:left="1264" w:right="1264"/>
        <w:rPr>
          <w:rtl/>
          <w:lang w:eastAsia="en-US"/>
        </w:rPr>
      </w:pPr>
      <w:r>
        <w:rPr>
          <w:rtl/>
          <w:lang w:eastAsia="en-US"/>
        </w:rPr>
        <w:t>488 -</w:t>
      </w:r>
      <w:r>
        <w:rPr>
          <w:rtl/>
          <w:lang w:eastAsia="en-US"/>
        </w:rPr>
        <w:tab/>
        <w:t>وتفيد أمانة المواطنين المسنين بأن بإمكان المواطنين من الكبار في السن مواصلة تعليمهم على المستوى الجامعي دون تكلفة أو بكلفة مخفضة. كما تتاح لهم برامج التعليم المتواصل. وثمة عدد من الجماعات غير الربحية تتبنى تنظيم دورات تعليمية للحاسوب تقصد تحديدا إلى المسنين.</w:t>
      </w:r>
    </w:p>
    <w:p w:rsidR="00000000" w:rsidRDefault="00000000">
      <w:pPr>
        <w:pStyle w:val="SingleTxt"/>
        <w:tabs>
          <w:tab w:val="clear" w:pos="1267"/>
        </w:tabs>
        <w:ind w:left="1264" w:right="1264"/>
        <w:rPr>
          <w:b/>
          <w:bCs/>
          <w:rtl/>
          <w:lang w:eastAsia="en-US"/>
        </w:rPr>
      </w:pPr>
      <w:r>
        <w:rPr>
          <w:b/>
          <w:bCs/>
          <w:rtl/>
          <w:lang w:eastAsia="en-US"/>
        </w:rPr>
        <w:t>المادة 11: العمالة</w:t>
      </w:r>
    </w:p>
    <w:p w:rsidR="00000000" w:rsidRDefault="00000000">
      <w:pPr>
        <w:pStyle w:val="SingleTxt"/>
        <w:tabs>
          <w:tab w:val="clear" w:pos="1267"/>
        </w:tabs>
        <w:ind w:left="1264" w:right="1264"/>
        <w:rPr>
          <w:rtl/>
        </w:rPr>
      </w:pPr>
      <w:r>
        <w:rPr>
          <w:rtl/>
        </w:rPr>
        <w:t>489-</w:t>
      </w:r>
      <w:r>
        <w:rPr>
          <w:rtl/>
        </w:rPr>
        <w:tab/>
        <w:t>جاء برنامج مساعدة الأشخاص من ذوي الإعاقات على إمكانية الانخراط في العمالة ليحل محل برامج التأهيل للمعاقين. وقد عالج البرنامج الجديد المعاد تصميمه كثيرا من أوجه النقد التي وجهت إلى سابِقِة. وعلى سبيل المثال كان ثمة شاغل بأن برنامج التأهيل المهني لم يكن يراعي احتياجات الفرد فجاء تصميم البرنامج الجديد مراعياً للاحتياجات والظروف الشخصية لمن يتعامل معهم. وقد نُفذت عملية رصد للمستهلكين لتكفل مراعاة شواغل هؤلاء العملاء.</w:t>
      </w:r>
    </w:p>
    <w:p w:rsidR="00000000" w:rsidRDefault="00000000">
      <w:pPr>
        <w:pStyle w:val="SingleTxt"/>
        <w:tabs>
          <w:tab w:val="clear" w:pos="1267"/>
        </w:tabs>
        <w:ind w:left="1264" w:right="1264"/>
        <w:rPr>
          <w:rtl/>
        </w:rPr>
      </w:pPr>
      <w:r>
        <w:rPr>
          <w:rtl/>
        </w:rPr>
        <w:t>490 -</w:t>
      </w:r>
      <w:r>
        <w:rPr>
          <w:rtl/>
        </w:rPr>
        <w:tab/>
        <w:t>وفي عام 1996 تم تعديل قانون معايير العمل لكي يشمل، مع استثناءات محدودة، العاملين في المنازل المستخدمين في البيوت الخاصة. وقُبيل تعديله، كان عمال المنازل المستخدمون في البيوت الخاصة لدى مالكيها مستبعدين من إطار التشريع. وهذا التغيير في القانون، يكفل للعاملين بالمنازل عددا من أوجه الحماية بما في ذلك الحق في الأجر المتساوي وأجر الإجازة/الإجازات وحماية الأجر المدفوع وتقاضي الحد الأدنى من الأجر وإجازات الحمل والوالدية</w:t>
      </w:r>
    </w:p>
    <w:p w:rsidR="00000000" w:rsidRDefault="00000000">
      <w:pPr>
        <w:pStyle w:val="SingleTxt"/>
        <w:tabs>
          <w:tab w:val="clear" w:pos="1267"/>
        </w:tabs>
        <w:ind w:left="1264" w:right="1264"/>
        <w:rPr>
          <w:rtl/>
        </w:rPr>
      </w:pPr>
      <w:r>
        <w:rPr>
          <w:rtl/>
        </w:rPr>
        <w:t>491 -</w:t>
      </w:r>
      <w:r>
        <w:rPr>
          <w:rtl/>
        </w:rPr>
        <w:tab/>
        <w:t>وفي عام 1997، دخل إلى حيز التنفيذ قانون جديد للصحة والسلامة المهنية. ويكفل القانون تحسين ثلاثة حقوق أساسية هي: حق المعرفة وحق رفض العمل غير المأمون وحق المشاركة في مسائل الصحة والسلامة في موقع العمل. ونُظمت دورات معلوماتية بشأن التشريع الجديد وتم إعداد شريط فيديو ودليل بلغة مبسطة للقانون. وأكدت الحكومة الهدف النهائي من التشريع الذي يتمثل في تقليل وقوع الحوادث وتحسين الصحة والسلامة بما يعود من مزايا على العاملين والأسر ودوائر الأعمال واقتصاد نوفا سكوتشيا. وفضلا عن ذلك يتطلب القانون من المدارس الحرفية والكليات المحلية أن تُقدِم دورات تعليمية في مجال الصحة والسلامة المهنية.</w:t>
      </w:r>
    </w:p>
    <w:p w:rsidR="00000000" w:rsidRDefault="00000000">
      <w:pPr>
        <w:pStyle w:val="SingleTxt"/>
        <w:tabs>
          <w:tab w:val="clear" w:pos="1267"/>
        </w:tabs>
        <w:ind w:left="1264" w:right="1264"/>
        <w:rPr>
          <w:rtl/>
        </w:rPr>
      </w:pPr>
      <w:r>
        <w:rPr>
          <w:rtl/>
        </w:rPr>
        <w:t>492 -</w:t>
      </w:r>
      <w:r>
        <w:rPr>
          <w:rtl/>
        </w:rPr>
        <w:tab/>
        <w:t xml:space="preserve">وفي الفترة 1997 </w:t>
      </w:r>
      <w:r>
        <w:t>–</w:t>
      </w:r>
      <w:r>
        <w:rPr>
          <w:rtl/>
        </w:rPr>
        <w:t xml:space="preserve"> 1998 كَفل المجلس الاستشاري تيسيرات لعقد اجتماعات مع رابطة عمال الشحن (فرع هاليفاكس المحلي) ومؤسسة المرأة في الحرف والتكنولوجيا ووزارة تنمية الموارد في كندا واللجنة الكندية لحقوق الإنسان. وناقش المشاركون في الاجتماعات عمليات الإنصاف التوظيفي والحاجة إلى زيادة عدد النساء المستخدمات في الصناعة في هذا المجال  ويتم حاليا تقديم برامج تثقيفية بشأن قضايا التنوع إلى مستخدمي القطاع. وفي عام 1998، شارك المجلس مع مديرية النفط في نوفا سكوتشيا لتوعية النساء بشأن الفرص الجديدة في المجال المهني والتوظيفي في مجال صناعة النفط والغاز البحرية الناشئة.</w:t>
      </w:r>
    </w:p>
    <w:p w:rsidR="00000000" w:rsidRDefault="00000000">
      <w:pPr>
        <w:pStyle w:val="SingleTxt"/>
        <w:tabs>
          <w:tab w:val="clear" w:pos="1267"/>
        </w:tabs>
        <w:ind w:left="1264" w:right="1264"/>
        <w:rPr>
          <w:rtl/>
        </w:rPr>
      </w:pPr>
      <w:r>
        <w:rPr>
          <w:rtl/>
        </w:rPr>
        <w:t>493 -</w:t>
      </w:r>
      <w:r>
        <w:rPr>
          <w:rtl/>
        </w:rPr>
        <w:tab/>
        <w:t xml:space="preserve">وفي عام 1985، كان ثمة 324 مركزا لرعاية الطفل في المقاطعة. وفي السنة المالية 1999 </w:t>
      </w:r>
      <w:r>
        <w:t>–</w:t>
      </w:r>
      <w:r>
        <w:rPr>
          <w:rtl/>
        </w:rPr>
        <w:t xml:space="preserve"> 2000 ، كان هناك 377 مركزا لرعاية الطفل منها 31 من مراكز تنمية الطفولة وثلاث وكالات للرعاية النهارية الأسرية. ويوجد الآن 850 10 من أماكن رعاية الطفل المرخصة بما في ذلك 2450 موقعا يتم دعمها من جانب الحكومة. (وهناك 50 موقعا مدعوما آخر سيتم تخصيصها في ربيع سنة 2000) كما يوجد 181 من المواقع التي تتلقى تمويلا بسبل مختلفة في مراكز رعاية الطفولة المرخصة للأطفال من ذوي الاحتياجات الخاصة، إضافة إلى 15 برنامجا للتدخل المبكر ممولة جزئيا لتقدم برامج على أساس منزلي للأطفال حتى سن الخامسة ممن يحدق بهم الخطر ويعانون من تأخير في النمو.</w:t>
      </w:r>
    </w:p>
    <w:p w:rsidR="00000000" w:rsidRDefault="00000000">
      <w:pPr>
        <w:pStyle w:val="SingleTxt"/>
        <w:tabs>
          <w:tab w:val="clear" w:pos="1267"/>
        </w:tabs>
        <w:ind w:left="1264" w:right="1264"/>
        <w:rPr>
          <w:rtl/>
        </w:rPr>
      </w:pPr>
      <w:r>
        <w:rPr>
          <w:b/>
          <w:bCs/>
          <w:szCs w:val="32"/>
          <w:rtl/>
        </w:rPr>
        <w:t>المادة 12: الصحة</w:t>
      </w:r>
    </w:p>
    <w:p w:rsidR="00000000" w:rsidRDefault="00000000">
      <w:pPr>
        <w:pStyle w:val="SingleTxt"/>
        <w:tabs>
          <w:tab w:val="clear" w:pos="1267"/>
        </w:tabs>
        <w:ind w:left="1264" w:right="1264"/>
        <w:rPr>
          <w:rtl/>
        </w:rPr>
      </w:pPr>
      <w:r>
        <w:rPr>
          <w:rtl/>
        </w:rPr>
        <w:t>494 -</w:t>
      </w:r>
      <w:r>
        <w:rPr>
          <w:rtl/>
        </w:rPr>
        <w:tab/>
        <w:t xml:space="preserve">أوضحت دراسة استقصائية في مجال التغذية أُجريت عام 1993 أن النساء في مجموعتي العمر 18 </w:t>
      </w:r>
      <w:r>
        <w:t>–</w:t>
      </w:r>
      <w:r>
        <w:rPr>
          <w:rtl/>
        </w:rPr>
        <w:t xml:space="preserve"> 34 و 35 </w:t>
      </w:r>
      <w:r>
        <w:t>–</w:t>
      </w:r>
      <w:r>
        <w:rPr>
          <w:rtl/>
        </w:rPr>
        <w:t xml:space="preserve"> 49 كنّ دون المستوى التغذوي المستصوَب بالنسبة للقدر الموصى بتناوله في مجال التغذية من حامض الفوليك. وبيَّنت الدراسة أن مقدار تناول حامض الفوليك بين نساء نوفا سكوتشيا أقل مما ورد في استقصاء التغذية بكندا الذي تم في بداية السبعينات. ويؤدي حامض الفوليك دورا مهما في تكوين العامود الفقري والمخ خلال نمو الجنين. وفي عام 1994 أوصت وزارة الصحة رسميا بضرورة تناول النساء في مرحلة الحمل 0.4 م غ من مكمِّلات حامض الفوليك يوميا لتكميل فيتامينات “باء” الطبيعية في الأغذية الأخرى.</w:t>
      </w:r>
    </w:p>
    <w:p w:rsidR="00000000" w:rsidRDefault="00000000">
      <w:pPr>
        <w:pStyle w:val="SingleTxt"/>
        <w:tabs>
          <w:tab w:val="clear" w:pos="1267"/>
        </w:tabs>
        <w:ind w:left="1264" w:right="1264"/>
        <w:rPr>
          <w:rtl/>
        </w:rPr>
      </w:pPr>
      <w:r>
        <w:rPr>
          <w:rtl/>
        </w:rPr>
        <w:t>495 -</w:t>
      </w:r>
      <w:r>
        <w:rPr>
          <w:rtl/>
        </w:rPr>
        <w:tab/>
        <w:t>كما أوصت الحكومة في عام 1994، بأن يصبح تقديم المشورة، فضلا عن اختبارات فيروس نقص المناعة البشرية على أساس من الموافقة الواعية من جانب الفرد، عنصرا روتينيا من عناصر صحة ما قبل الولادة. واقترحَت أن يصبح أطباء الأسرة وأطباء القبالة أكثر وعيا بعوامل الخطر التي ينطوي عليها فيروس نقص المناعة البشرية بقدر ما تنطبق على المرضى الأفراد.</w:t>
      </w:r>
    </w:p>
    <w:p w:rsidR="00000000" w:rsidRDefault="00000000">
      <w:pPr>
        <w:pStyle w:val="SingleTxt"/>
        <w:tabs>
          <w:tab w:val="clear" w:pos="1267"/>
        </w:tabs>
        <w:ind w:left="1264" w:right="1264"/>
        <w:rPr>
          <w:rtl/>
        </w:rPr>
      </w:pPr>
      <w:r>
        <w:rPr>
          <w:rtl/>
        </w:rPr>
        <w:t>496 -</w:t>
      </w:r>
      <w:r>
        <w:rPr>
          <w:rtl/>
        </w:rPr>
        <w:tab/>
        <w:t>وتنشط وزارة الصحة في تعزيز ودعم الرضاعة الطبيعية بوصفها أفضل أشكال تغذية الوليد. وفي عام 1994 تم إرسال 500 2 ملف إلــى الجماعـــات والمنظمـــات المحليــة في نوفا سكوتشيا لبدء حوار بشأن الرضاعة الطبيعية على مستوى المجتمع المحلي. وفي عام 1998 تم تعيين منسق لمبادرة معنية بالطفل الوليد للمساعدة على تعزيز النماء الأمثل للطفل من خلال الرضاعة الطبيعية.</w:t>
      </w:r>
    </w:p>
    <w:p w:rsidR="00000000" w:rsidRDefault="00000000">
      <w:pPr>
        <w:pStyle w:val="SingleTxt"/>
        <w:tabs>
          <w:tab w:val="clear" w:pos="1267"/>
        </w:tabs>
        <w:ind w:left="1264" w:right="1264"/>
        <w:rPr>
          <w:rtl/>
        </w:rPr>
      </w:pPr>
      <w:r>
        <w:rPr>
          <w:rtl/>
        </w:rPr>
        <w:t>497 -</w:t>
      </w:r>
      <w:r>
        <w:rPr>
          <w:rtl/>
        </w:rPr>
        <w:tab/>
        <w:t xml:space="preserve">وفي الفترة 1996 </w:t>
      </w:r>
      <w:r>
        <w:t>–</w:t>
      </w:r>
      <w:r>
        <w:rPr>
          <w:rtl/>
        </w:rPr>
        <w:t xml:space="preserve"> 1997، دعَّم المجلس الاستشاري المعني بوضع المرأة اقتراحا لإنشاء مركز تفوُّق بحري معني بصحة المرأة في جامعة دلهوزي. ودُعي المجلس إلى المشاركة في اللجنة التوجيهية المؤقتة وإسداء المشورة بشأن المشاركة المجتمعية في المركز. وفي العام الذي تلاه، شارك المجلس في عدة مشاريع ولجان تتصل بتنظيم وتطوير المركز المموَّل حديثا.</w:t>
      </w:r>
    </w:p>
    <w:p w:rsidR="00000000" w:rsidRDefault="00000000">
      <w:pPr>
        <w:pStyle w:val="SingleTxt"/>
        <w:tabs>
          <w:tab w:val="clear" w:pos="1267"/>
        </w:tabs>
        <w:ind w:left="1264" w:right="1264"/>
        <w:rPr>
          <w:rtl/>
        </w:rPr>
      </w:pPr>
      <w:r>
        <w:rPr>
          <w:rtl/>
        </w:rPr>
        <w:t>498 -</w:t>
      </w:r>
      <w:r>
        <w:rPr>
          <w:rtl/>
        </w:rPr>
        <w:tab/>
        <w:t>وفي نوفا سكوتشيا يكاد يكون ثمة امرأة واحدة من بين ثلاث نساء تدخن خلال فترة الحمل. والمخاطر التي تتمثل في إجهاض المرأة أو إسقاط حملها أو أن تضع أطفالا مبتسرين ذوي حجم صغير بالنسبة لفترة نموهم العمري أمور موثَّقة جيدا. وقد أُطلقت في عام 1996 مبادرة “إبدئي الامتناع وواصلي الإقلاع” لمساعدة النساء على التوقف عن التدخين خلال وبعد الحمل. ويساعد العاملون المشاركات في تحديد عوامل الحفز في هذا المجال حتى يبقين بعيدات عن التدخين مع تطوير المهارات والاستراتيجيات التي تكفل تحقيق هذا الهدف. ويقصد البرنامج النساء من سن 16 وما بعدها في فترة بين شهرين وثمانية أشهر من الحمل ممن يكنّ قد أقلعن عن التدخين لمدة أسبوع على الأقل. وسيتم تقييم البرنامج مع استخدام النتائج التي يسفر عنها من جانب وزارة الصحة من أجل تخطيط برامج منع التدخين مستقبلا بالنسبة إلى النساء في حالة الحمل وما بعد الولادة.</w:t>
      </w:r>
    </w:p>
    <w:p w:rsidR="00000000" w:rsidRDefault="00000000">
      <w:pPr>
        <w:pStyle w:val="SingleTxt"/>
        <w:tabs>
          <w:tab w:val="clear" w:pos="1267"/>
        </w:tabs>
        <w:ind w:left="1264" w:right="1264"/>
        <w:rPr>
          <w:rtl/>
        </w:rPr>
      </w:pPr>
      <w:r>
        <w:rPr>
          <w:rtl/>
        </w:rPr>
        <w:t>499 -</w:t>
      </w:r>
      <w:r>
        <w:rPr>
          <w:rtl/>
        </w:rPr>
        <w:tab/>
        <w:t>ومن شأن اختبارات العيِّنة المنتظمة أن تقي الإصابة بسرطان الحوض في أكثر من 90 في المائة من الحالات، وهي السبيل الوحيد للكشف عن التغيُّرات في خلايا الحوض قبل الإصابة بالسرطان. وبما أن 45 في المائة فقط من نساء نوفا سكوتشيا من المعرَّضات للخطر يجرين اختبارات العيِّنة، فقد أطلقت وزارة الصحة حملة توعية عامة في هذا الشأن في عام 1997.</w:t>
      </w:r>
    </w:p>
    <w:p w:rsidR="00000000" w:rsidRDefault="00000000">
      <w:pPr>
        <w:pStyle w:val="SingleTxt"/>
        <w:tabs>
          <w:tab w:val="clear" w:pos="1267"/>
        </w:tabs>
        <w:ind w:left="1264" w:right="1264"/>
        <w:rPr>
          <w:rtl/>
        </w:rPr>
      </w:pPr>
      <w:r>
        <w:rPr>
          <w:rtl/>
        </w:rPr>
        <w:t>500 -</w:t>
      </w:r>
      <w:r>
        <w:rPr>
          <w:rtl/>
        </w:rPr>
        <w:tab/>
        <w:t>وفي عام 1997، قدَّم برنامج الرعاية الإنجابية تقريره بعنوان “الإمكانيات التي تنطوي عليها القبالة في نوفا سكوتشيا: استعراض لبرنامج الرعاية الإنجابية في نوفا سكوتشيا” إلى وزير الصحة. ويحدد البرنامج احتياجات خدمة رعاية الأمومة للمرأة والأطفال حديثي الولادة بما في ذلك ما يتم في المناطق الريفية. وفي نوفا سكوتشيا يعد برنامج الرعاية الإنجابية هو السلطة المُعتَرف بها بشأن صحة الأم والطفل الحديث الولادة. ويقوم البرنامج بدور رئيسي في تحسين مستويات الرعاية الوالدية منذ بدئه في عام 1975. ولم يُتخَذ قرار بشأن إمكانية إصدار تشريع بشأن القبالة في نوفا سكوتشيا.</w:t>
      </w:r>
    </w:p>
    <w:p w:rsidR="00000000" w:rsidRDefault="00000000">
      <w:pPr>
        <w:pStyle w:val="SingleTxt"/>
        <w:tabs>
          <w:tab w:val="clear" w:pos="1267"/>
        </w:tabs>
        <w:ind w:left="1264" w:right="1264"/>
        <w:rPr>
          <w:b/>
          <w:bCs/>
          <w:szCs w:val="32"/>
          <w:rtl/>
        </w:rPr>
      </w:pPr>
    </w:p>
    <w:p w:rsidR="00000000" w:rsidRDefault="00000000">
      <w:pPr>
        <w:pStyle w:val="SingleTxt"/>
        <w:tabs>
          <w:tab w:val="clear" w:pos="1267"/>
        </w:tabs>
        <w:ind w:left="1264" w:right="1264"/>
        <w:rPr>
          <w:rtl/>
        </w:rPr>
      </w:pPr>
      <w:r>
        <w:rPr>
          <w:b/>
          <w:bCs/>
          <w:szCs w:val="32"/>
          <w:rtl/>
        </w:rPr>
        <w:t>المادة 13: الحياة الاقتصادية والاجتماعية</w:t>
      </w:r>
    </w:p>
    <w:p w:rsidR="00000000" w:rsidRDefault="00000000">
      <w:pPr>
        <w:pStyle w:val="SingleTxt"/>
        <w:tabs>
          <w:tab w:val="clear" w:pos="1267"/>
        </w:tabs>
        <w:ind w:left="1264" w:right="1264"/>
        <w:rPr>
          <w:rtl/>
        </w:rPr>
      </w:pPr>
      <w:r>
        <w:rPr>
          <w:rtl/>
        </w:rPr>
        <w:t>501 -</w:t>
      </w:r>
      <w:r>
        <w:rPr>
          <w:rtl/>
        </w:rPr>
        <w:tab/>
        <w:t>تم إنشاء اللجنة المعنية بالمعاقين في عام 1989 لإسداء المشورة للحكومة بشأن السياسات والبرامج المتعلقة بالأشخاص من ذوي الإعاقات ولجعل مواطني نوفا سكوتشيا جميعا على بيِّنة من هذه البرامج. وفي عام 1995، ثم في عام 1998، أصدرت اللجنة “دليلا بالبرامج والخدمات” التي تقصد تحديدا مواطني نوفا سكوتشيا من ذوي الإعاقات.</w:t>
      </w:r>
    </w:p>
    <w:p w:rsidR="00000000" w:rsidRDefault="00000000">
      <w:pPr>
        <w:pStyle w:val="SingleTxt"/>
        <w:tabs>
          <w:tab w:val="clear" w:pos="1267"/>
        </w:tabs>
        <w:ind w:left="1264" w:right="1264"/>
        <w:rPr>
          <w:rtl/>
        </w:rPr>
      </w:pPr>
      <w:r>
        <w:rPr>
          <w:rtl/>
        </w:rPr>
        <w:t>502 -</w:t>
      </w:r>
      <w:r>
        <w:rPr>
          <w:rtl/>
        </w:rPr>
        <w:tab/>
        <w:t xml:space="preserve">وبالاقتران مع عقد الأمم المتحدة للمعاقين، تشكَّلت قوة عمل لدراسة دمج النساء من ذوات الإعاقات ضمن النشاط الاقتصادي في نوفا سكوتشيا. وشمل تقرير فرقة العمل المذكورة 27 توصية بشأن زيادة الوعي الجماهيري إزاء النساء المعاقات فضلا عن مواضيع التعليم والتدريب والعمالة ودعم الدخل والرعاية النهارية. ثم استمر العمل بشأن التنفيذ خلال الفترة 1994 </w:t>
      </w:r>
      <w:r>
        <w:t>–</w:t>
      </w:r>
      <w:r>
        <w:rPr>
          <w:rtl/>
        </w:rPr>
        <w:t xml:space="preserve"> 1998.</w:t>
      </w:r>
    </w:p>
    <w:p w:rsidR="00000000" w:rsidRDefault="00000000">
      <w:pPr>
        <w:pStyle w:val="SingleTxt"/>
        <w:tabs>
          <w:tab w:val="clear" w:pos="1267"/>
        </w:tabs>
        <w:ind w:left="1264" w:right="1264"/>
        <w:rPr>
          <w:rtl/>
        </w:rPr>
      </w:pPr>
      <w:r>
        <w:rPr>
          <w:rtl/>
        </w:rPr>
        <w:t>503 -</w:t>
      </w:r>
      <w:r>
        <w:rPr>
          <w:rtl/>
        </w:rPr>
        <w:tab/>
        <w:t>وقدَّمت اللجنة المعنية بالمعاقين “تقريرا وتوصيات عن إنشاء ودعم خدمات النقل المتكامل في نوفا سكوتشيا” في عام 1995. واستجابت الحكومة بتشكيل لجنة دعما للنقل المتكامل ممثلة من جانب وزارات الصحة والإسكان والشؤون المحلية والخدمات المجتمعية والنقل والأشغال العامة والتعليم والثقافة ومجلس نوفا سكوتشيا لاستعراض المرافق. ثم أصبحت لجنة توجيهية مسؤولة عن دعم مبادرات النقل المتكامل في نوفا سكوتشيا بما في ذلك وضع ودعم ثلاثة مشاريع نموذجية مجتمعية لتبيان نماذج النقل المتكامل ودراسة الأدوار التي يمكن أن تضطلع بها الحكومة في هذا المضمار.</w:t>
      </w:r>
    </w:p>
    <w:p w:rsidR="00000000" w:rsidRDefault="00000000">
      <w:pPr>
        <w:pStyle w:val="SingleTxt"/>
        <w:tabs>
          <w:tab w:val="clear" w:pos="1267"/>
        </w:tabs>
        <w:ind w:left="1264" w:right="1264"/>
        <w:rPr>
          <w:rtl/>
        </w:rPr>
      </w:pPr>
      <w:r>
        <w:rPr>
          <w:rtl/>
        </w:rPr>
        <w:t>504 -</w:t>
      </w:r>
      <w:r>
        <w:rPr>
          <w:rtl/>
        </w:rPr>
        <w:tab/>
        <w:t>وفي عام 1998 أولت حكومة نوفا سكوتشيا دعمها لبرنامج وزارة العدل في كندا المتعلق بسلامة المجتمع ومنع الجريمة. ويُطلَب إلى المجتمعات المحلية اعتماد نُهج شاملة مستدامة إزاء منع الجريمة واتخاذ الإجراءات التي تكافح الأسباب الجذرية للجرائم. ويُطلَب في هذا الصدد طرح مقترحات من الجماعات المهنية والطوعية غير الربحية ومن التحالفات المجتمعية والجماعات المحلية التي تعمل دعما لمنع الجريمة مع مجتمعات السكان غير الأصليين. وقد ارتأت مقترحات نوفا سكوتشيا أن الأطفال والشباب هم الفئات الرئيسية المستهدفة بالنسبة لمُحصِّلات البرنامج المذكور. كما أن المشاريع المتعلقة بتنمية المجتمع التي تركِّز على الشراكات من أجل التصدي لمنع الجريمة عبر فترة زمنية طويلة تشكل بدورها أولوية تتصدر قائمة اهتمامات نوفا سكوتشيا. وقد استعرض ممثلو الحكومات على المستوى الاتحادي والإقليمي والمحلي وكذلك جمعيات منع الجريمة المقترحات المطروحة في هذا الشأن.</w:t>
      </w:r>
    </w:p>
    <w:p w:rsidR="00000000" w:rsidRDefault="00000000">
      <w:pPr>
        <w:pStyle w:val="SingleTxt"/>
        <w:tabs>
          <w:tab w:val="clear" w:pos="1267"/>
        </w:tabs>
        <w:ind w:left="1264" w:right="1264"/>
        <w:rPr>
          <w:rtl/>
        </w:rPr>
      </w:pPr>
      <w:r>
        <w:rPr>
          <w:rtl/>
        </w:rPr>
        <w:t>505 -</w:t>
      </w:r>
      <w:r>
        <w:rPr>
          <w:rtl/>
        </w:rPr>
        <w:tab/>
        <w:t>وفي إطار شراكة مع وكالات ووزارات أخرى، سواء على مستوى الاتحاد أو المقاطعات، قدَّمت وزارة التنمية الاقتصادية في نوفا سكوتشيا التمويل على مدى فترة سنتين (السنتان الماليتان 31 آذار/مارس 1999 و 31 آذار/مارس 2000) إلى هيئة التمويل العالمي للمرأة لإنشاء صندوق قروض للنساء من صاحبات الأعمال في كندا الأطلسية. كما أنشئ برنامج الحصول على القروض الرأسمالية لتلبية احتياجات النساء اللائي يتولين تنظيم المشاريع في الأعمال الصغيرة والمتناهية الصغر ممن لا يتمتعن بمهارات للأعمال التجارية أو بإمكانية الحصول على الائتمان. واليوم، فإن هيئة التمويل العالمي للمرأة في سدني، نوفا سكوتشيا هي الفرع الكندي المنتسب إلى المصرف العالمي للمرأة وهو مصرف لا يقصد الربح ويتولى دعم وتعزيز المشاركة الاقتصادية الكاملة للمرأة.</w:t>
      </w:r>
    </w:p>
    <w:p w:rsidR="00000000" w:rsidRDefault="00000000">
      <w:pPr>
        <w:pStyle w:val="SingleTxt"/>
        <w:tabs>
          <w:tab w:val="clear" w:pos="1267"/>
        </w:tabs>
        <w:ind w:left="1264" w:right="1264"/>
        <w:rPr>
          <w:rtl/>
        </w:rPr>
      </w:pPr>
      <w:r>
        <w:rPr>
          <w:b/>
          <w:bCs/>
          <w:szCs w:val="32"/>
          <w:rtl/>
        </w:rPr>
        <w:t>المادة 14: المرأة الريفية</w:t>
      </w:r>
    </w:p>
    <w:p w:rsidR="00000000" w:rsidRDefault="00000000">
      <w:pPr>
        <w:pStyle w:val="SingleTxt"/>
        <w:tabs>
          <w:tab w:val="clear" w:pos="1267"/>
        </w:tabs>
        <w:ind w:left="1264" w:right="1264"/>
        <w:rPr>
          <w:rtl/>
        </w:rPr>
      </w:pPr>
      <w:r>
        <w:rPr>
          <w:rtl/>
        </w:rPr>
        <w:t>506 -</w:t>
      </w:r>
      <w:r>
        <w:rPr>
          <w:rtl/>
        </w:rPr>
        <w:tab/>
        <w:t>يشكل البرنامج الميداني التابع للمجلس الاستشاري همزة الوصل بين المجلس والمرأة في المجتمعات المحلية عبر نوفا سكوتشيا. وهناك 4 من العاملين الميدانيين غير المتفرغين ممن يتولون المساعدة على تحديد شواغل المرأة وتقديم المعلومات وإتاحة الموارد وتعزيز برامج التثقيــف والوعــي العـــام بشـــأن طائفــة واسعـــة مـــن قضايـــا المرأة ولا سيما في أرياف نوفا سكوتشيا.</w:t>
      </w:r>
    </w:p>
    <w:p w:rsidR="00000000" w:rsidRDefault="00000000">
      <w:pPr>
        <w:pStyle w:val="SingleTxt"/>
        <w:tabs>
          <w:tab w:val="clear" w:pos="1267"/>
        </w:tabs>
        <w:ind w:left="1264" w:right="1264"/>
        <w:rPr>
          <w:rtl/>
        </w:rPr>
      </w:pPr>
      <w:r>
        <w:rPr>
          <w:rtl/>
        </w:rPr>
        <w:t>507 -</w:t>
      </w:r>
      <w:r>
        <w:rPr>
          <w:rtl/>
        </w:rPr>
        <w:tab/>
        <w:t>وفي عام 1994 وافقت وزارة الصحة على تقديم التمويل للحصول على شهادة رعاية متواصلة في مجال التمريض لدارسات الدبلوم، وسوف يُعزِّز البرنامج معارف ومهارات وممارسات الممرضات القانونيات في المجتمع المحلي. وهذا النهج، الذي يتم تقديمه مــن خـــلال التعليــم عن بُعد، يناسب احتياجات نظام الرعاية الصحية لدى إصلاحه في نوفا سكوتشيا. وقبل طرح البرنامج المذكور جرت استشارة الممرضات الممارسات وكذلك دوائر الإدارة والتعليم والاتحادات.</w:t>
      </w:r>
    </w:p>
    <w:p w:rsidR="00000000" w:rsidRDefault="00000000">
      <w:pPr>
        <w:pStyle w:val="SingleTxt"/>
        <w:tabs>
          <w:tab w:val="clear" w:pos="1267"/>
        </w:tabs>
        <w:ind w:left="1264" w:right="1264"/>
        <w:rPr>
          <w:rtl/>
        </w:rPr>
      </w:pPr>
      <w:r>
        <w:rPr>
          <w:rtl/>
        </w:rPr>
        <w:t>508 -</w:t>
      </w:r>
      <w:r>
        <w:rPr>
          <w:rtl/>
        </w:rPr>
        <w:tab/>
        <w:t>وفي عام 1994، كان المقدَّر أن 600 من نساء نوفا سكوتشيا سيتم تشخيصهن على أنهن مصابات بسرطان الثدي. وفي جهود بُذِلت لتحسين نوعية الحياة لنساء كيب بريتون، اشترت وزارة الصحة وحدة متنقلة جديدة للكشف عن الثدي بمبلغ 000 250 دولار. ( كيب بريتون هي منطقة يغلب عليها الطابع الريفي في نوفا سكوتشيا). وكان هذا جزءا من نهج متكامل إزاء تعزيز الصحة والتغيير البيئي الإيجابي والوقاية من الأمراض. والوحدة عبارة عن عربة مزودة بوحدة كشف ذات جرعة إشعاعية منخفضة حيث يتم فحص ما يصل إلى 30 امرأة يوميا.</w:t>
      </w:r>
    </w:p>
    <w:p w:rsidR="00000000" w:rsidRDefault="00000000">
      <w:pPr>
        <w:pStyle w:val="SingleTxt"/>
        <w:tabs>
          <w:tab w:val="clear" w:pos="1267"/>
        </w:tabs>
        <w:ind w:left="1264" w:right="1264"/>
        <w:rPr>
          <w:rtl/>
        </w:rPr>
      </w:pPr>
      <w:r>
        <w:rPr>
          <w:rtl/>
        </w:rPr>
        <w:t>509 -</w:t>
      </w:r>
      <w:r>
        <w:rPr>
          <w:rtl/>
        </w:rPr>
        <w:tab/>
        <w:t>وفي عام 1997، ساعدت وزارة التنمية الاقتصادية والمجلس الاستشاري المعني بوضع المرأة وسلطات التنمية الإقليمية على تمويل مؤتمر “إشراك المرأة في التنمية الاقتصادية المجتمعية”. والغر ض من هذا المشروع هو توسيع ودعم مشاركة المرأة في التنمية الاقتصادية المجتمعية من خلال تعزيز مهاراتها وتقديم الأدوات والمواد المرجعية وتيسير التواصل الشبكي بين صفوفها. وفي أواخر عام 1998، شاركت وزارة التنمية الاقتصادية ووزارة التعليم ووزارة الخدمات المحلية والإسكان والشؤون البلدية والمجلس الاستشاري مع وكالات ووزارات اتحادية حكومية في مساعدة منظمة المرأة من أجل المساواة الاقتصادية. وأدى ذلك إلى أن بدأت المنظمة المذكورة مشروعا نموذجيا لمدة 24 شهرا يهدف إلى زيادة مشاركة المرأة في التنمية الاقتصادية المجتمعية في كل أنحاء نوفا سكوتشيا.</w:t>
      </w:r>
    </w:p>
    <w:p w:rsidR="00000000" w:rsidRDefault="00000000">
      <w:pPr>
        <w:pStyle w:val="SingleTxt"/>
        <w:tabs>
          <w:tab w:val="clear" w:pos="1267"/>
        </w:tabs>
        <w:ind w:left="1264" w:right="1264"/>
        <w:rPr>
          <w:rtl/>
        </w:rPr>
      </w:pPr>
      <w:r>
        <w:rPr>
          <w:b/>
          <w:bCs/>
          <w:szCs w:val="32"/>
          <w:rtl/>
        </w:rPr>
        <w:t>المادة 15: الحقوق القانونية</w:t>
      </w:r>
    </w:p>
    <w:p w:rsidR="00000000" w:rsidRDefault="00000000">
      <w:pPr>
        <w:pStyle w:val="SingleTxt"/>
        <w:tabs>
          <w:tab w:val="clear" w:pos="1267"/>
        </w:tabs>
        <w:ind w:left="1264" w:right="1264"/>
        <w:rPr>
          <w:rtl/>
        </w:rPr>
      </w:pPr>
      <w:r>
        <w:rPr>
          <w:rtl/>
        </w:rPr>
        <w:t>510 -</w:t>
      </w:r>
      <w:r>
        <w:rPr>
          <w:rtl/>
        </w:rPr>
        <w:tab/>
        <w:t>في نوفا سكوتشيا يُعامَل النساء والرجال على أساس من المساواة الكاملة أمام القانون ويرد فيما يلي ما يُصور نطاق التشريعات المتاحة في هذا الشأن في نوفا سكوتشيا:</w:t>
      </w:r>
    </w:p>
    <w:p w:rsidR="00000000" w:rsidRDefault="00000000">
      <w:pPr>
        <w:pStyle w:val="SingleTxt"/>
        <w:tabs>
          <w:tab w:val="clear" w:pos="1267"/>
          <w:tab w:val="left" w:pos="1628"/>
        </w:tabs>
        <w:ind w:left="1927" w:right="1264" w:hanging="663"/>
        <w:rPr>
          <w:rtl/>
        </w:rPr>
      </w:pPr>
      <w:r>
        <w:rPr>
          <w:rtl/>
        </w:rPr>
        <w:tab/>
        <w:t>•</w:t>
      </w:r>
      <w:r>
        <w:rPr>
          <w:rtl/>
        </w:rPr>
        <w:tab/>
        <w:t>التمييز على أساس نوع الجنس أو الحالة الزواجية محظور بمقتضى قانون حقوق الإنسان.</w:t>
      </w:r>
    </w:p>
    <w:p w:rsidR="00000000" w:rsidRDefault="00000000">
      <w:pPr>
        <w:pStyle w:val="SingleTxt"/>
        <w:tabs>
          <w:tab w:val="clear" w:pos="1267"/>
          <w:tab w:val="left" w:pos="1628"/>
        </w:tabs>
        <w:ind w:left="1927" w:right="1264" w:hanging="663"/>
        <w:rPr>
          <w:rtl/>
        </w:rPr>
      </w:pPr>
      <w:r>
        <w:rPr>
          <w:rtl/>
        </w:rPr>
        <w:tab/>
        <w:t>•</w:t>
      </w:r>
      <w:r>
        <w:rPr>
          <w:rtl/>
        </w:rPr>
        <w:tab/>
        <w:t>في ظل قانون معايير العمل، يحق للنساء والرجال تقاضي الأجر المتساوي عن نفس العمل تقريبا الذي يتم أداؤه في نفس المنشأة وبالأداء الذي يكاد يتطلب مهارات وجهودا ومسؤوليات متساوية ويتم القيام به في ظل ظروف عمل متماثلة.</w:t>
      </w:r>
    </w:p>
    <w:p w:rsidR="00000000" w:rsidRDefault="00000000">
      <w:pPr>
        <w:pStyle w:val="SingleTxt"/>
        <w:tabs>
          <w:tab w:val="clear" w:pos="1267"/>
          <w:tab w:val="left" w:pos="1628"/>
        </w:tabs>
        <w:ind w:left="1927" w:right="1264" w:hanging="663"/>
        <w:rPr>
          <w:rtl/>
        </w:rPr>
      </w:pPr>
      <w:r>
        <w:rPr>
          <w:rtl/>
        </w:rPr>
        <w:tab/>
        <w:t>•</w:t>
      </w:r>
      <w:r>
        <w:rPr>
          <w:rtl/>
        </w:rPr>
        <w:tab/>
        <w:t>للمرأة حقوق قانونية متكاملة في الاقتناء والتملُّك والتصرُّف في الملكية بالتعاقد أو بالوصية والحق في اتخاذ إجراءات التقاضي لاسترداد الممتلكات.</w:t>
      </w:r>
    </w:p>
    <w:p w:rsidR="00000000" w:rsidRDefault="00000000">
      <w:pPr>
        <w:pStyle w:val="SingleTxt"/>
        <w:tabs>
          <w:tab w:val="clear" w:pos="1267"/>
          <w:tab w:val="left" w:pos="1628"/>
        </w:tabs>
        <w:ind w:left="1927" w:right="1264" w:hanging="663"/>
        <w:rPr>
          <w:rtl/>
        </w:rPr>
      </w:pPr>
      <w:r>
        <w:rPr>
          <w:rtl/>
        </w:rPr>
        <w:tab/>
        <w:t>•</w:t>
      </w:r>
      <w:r>
        <w:rPr>
          <w:rtl/>
        </w:rPr>
        <w:tab/>
        <w:t>التمييز ضد المرأة في بيع السلع محظور بموجب قانون حماية المستهلك.</w:t>
      </w:r>
    </w:p>
    <w:p w:rsidR="00000000" w:rsidRDefault="00000000">
      <w:pPr>
        <w:pStyle w:val="SingleTxt"/>
        <w:tabs>
          <w:tab w:val="clear" w:pos="1267"/>
          <w:tab w:val="left" w:pos="1628"/>
        </w:tabs>
        <w:ind w:left="1927" w:right="1264" w:hanging="663"/>
        <w:rPr>
          <w:rtl/>
        </w:rPr>
      </w:pPr>
      <w:r>
        <w:rPr>
          <w:rtl/>
        </w:rPr>
        <w:tab/>
        <w:t>•</w:t>
      </w:r>
      <w:r>
        <w:rPr>
          <w:rtl/>
        </w:rPr>
        <w:tab/>
        <w:t>للنساء والرجال أن يتصرفوا بوصفهم أمناء أو منفذي وصية سواء كانوا متزوجين أم غير متزوجين.</w:t>
      </w:r>
    </w:p>
    <w:p w:rsidR="00000000" w:rsidRDefault="00000000">
      <w:pPr>
        <w:pStyle w:val="SingleTxt"/>
        <w:tabs>
          <w:tab w:val="clear" w:pos="1267"/>
          <w:tab w:val="left" w:pos="1628"/>
        </w:tabs>
        <w:ind w:left="1927" w:right="1264" w:hanging="663"/>
        <w:rPr>
          <w:rtl/>
        </w:rPr>
      </w:pPr>
      <w:r>
        <w:rPr>
          <w:rtl/>
        </w:rPr>
        <w:tab/>
        <w:t>•</w:t>
      </w:r>
      <w:r>
        <w:rPr>
          <w:rtl/>
        </w:rPr>
        <w:tab/>
        <w:t>للمرأة التي لديها طفل الحق في طلب الحصول على استحقاقات بموجب قانون الاستحقاقات الأسرية والحق في النفقة من والدٍ مُحتَمَل لطفل أو زوج.</w:t>
      </w:r>
    </w:p>
    <w:p w:rsidR="00000000" w:rsidRDefault="00000000">
      <w:pPr>
        <w:pStyle w:val="SingleTxt"/>
        <w:tabs>
          <w:tab w:val="clear" w:pos="1267"/>
          <w:tab w:val="left" w:pos="1628"/>
        </w:tabs>
        <w:ind w:left="1927" w:right="1264" w:hanging="663"/>
        <w:rPr>
          <w:rtl/>
        </w:rPr>
      </w:pPr>
      <w:r>
        <w:rPr>
          <w:rtl/>
        </w:rPr>
        <w:tab/>
        <w:t>•</w:t>
      </w:r>
      <w:r>
        <w:rPr>
          <w:rtl/>
        </w:rPr>
        <w:tab/>
        <w:t>للأسر التي جمعتها رابطة المعاشرة لمدة سنة على الأقل الحق في نفقة الإعالة.</w:t>
      </w:r>
    </w:p>
    <w:p w:rsidR="00000000" w:rsidRDefault="00000000">
      <w:pPr>
        <w:pStyle w:val="SingleTxt"/>
        <w:tabs>
          <w:tab w:val="clear" w:pos="1267"/>
          <w:tab w:val="left" w:pos="1628"/>
        </w:tabs>
        <w:ind w:left="1927" w:right="1264" w:hanging="663"/>
        <w:rPr>
          <w:rtl/>
        </w:rPr>
      </w:pPr>
      <w:r>
        <w:rPr>
          <w:rtl/>
        </w:rPr>
        <w:tab/>
        <w:t>•</w:t>
      </w:r>
      <w:r>
        <w:rPr>
          <w:rtl/>
        </w:rPr>
        <w:tab/>
        <w:t>الأشخاص الذين جمعتهم رابطة المعاشرة لمدة سنة على الأقل لهم الحق في التماس الحصول على استحقاقات بموجب قانون الأضرار المميتة في حالة وفاة شركائهم قضاءً وقدرا.</w:t>
      </w:r>
    </w:p>
    <w:p w:rsidR="00000000" w:rsidRDefault="00000000">
      <w:pPr>
        <w:pStyle w:val="SingleTxt"/>
        <w:tabs>
          <w:tab w:val="clear" w:pos="1267"/>
          <w:tab w:val="left" w:pos="1628"/>
        </w:tabs>
        <w:ind w:left="1264" w:right="1264"/>
        <w:rPr>
          <w:rtl/>
        </w:rPr>
      </w:pPr>
      <w:r>
        <w:rPr>
          <w:rtl/>
        </w:rPr>
        <w:t>511 -</w:t>
      </w:r>
      <w:r>
        <w:rPr>
          <w:rtl/>
        </w:rPr>
        <w:tab/>
        <w:t>وقد أُعلن في عام 1995 استعراض كامل للمعونة القانونية وشمل فحصا لهيكل وممارسات هذه المعونة من أجل تحديد أفضل السُبُل لتقديم الخدمات. وبدأت لجنة المعونة القانونية في نوفا سكوتشيا خدمة جديدة تكفل للأشخاص الموقوفين أو المعتقلين سُبُل الحصول على المشورة القانونية على مدار 24 ساعة يوميا و سبعة أيام في الأسبوع. وتقصد هذه الخدمة إلى الوفاء بحق الفرد في المشورة بموجب البند 10 (ب) من ميثاق الحقوق والحريات. وهذه الخدمة تضمن استجابة سريعة للطلبات من أجل توكيل محام.</w:t>
      </w:r>
    </w:p>
    <w:p w:rsidR="00000000" w:rsidRDefault="00000000">
      <w:pPr>
        <w:pStyle w:val="SingleTxt"/>
        <w:tabs>
          <w:tab w:val="clear" w:pos="1267"/>
          <w:tab w:val="left" w:pos="1628"/>
        </w:tabs>
        <w:ind w:left="1264" w:right="1264"/>
        <w:rPr>
          <w:rtl/>
        </w:rPr>
      </w:pPr>
      <w:r>
        <w:rPr>
          <w:rtl/>
        </w:rPr>
        <w:t>512 -</w:t>
      </w:r>
      <w:r>
        <w:rPr>
          <w:rtl/>
        </w:rPr>
        <w:tab/>
        <w:t>وتم في عام 1995 تنقيح المبادئ التوجيهية للتعيينات القضائية على مستوى المقاطعة. وباتت لجنة استشارية تتولى حاليا تقييم المتقدمين للتعيين على أساس المؤهلات والخصائص الشخصية والقدرة الفكرية والقضائية والامتياز المهني والوعي والفهم على الصعيد المجتمعي. كما يتم تدارس ما يتمتع به المرشَّح من سمعة بالنزاهة والالتزام بالخدمة العامة ومستوى الإنجاز المهني. وتؤكد المبادئ التوجيهية على ضرورة أن يكون القضاء ممثِّلا بصورة معقولة للسكان الذين يعمل بين صفوفهم. ومن ثم فلسوف تتدارس اللجنة الاستشارية موضوع قصور تمثيل المرأة والأقليات لدى نظرها في الطلبات المقدَّمة لتولي مناصب القضاء.</w:t>
      </w:r>
    </w:p>
    <w:p w:rsidR="00000000" w:rsidRDefault="00000000">
      <w:pPr>
        <w:pStyle w:val="SingleTxt"/>
        <w:tabs>
          <w:tab w:val="clear" w:pos="1267"/>
          <w:tab w:val="left" w:pos="1628"/>
        </w:tabs>
        <w:ind w:left="1264" w:right="1264"/>
        <w:rPr>
          <w:rtl/>
        </w:rPr>
      </w:pPr>
      <w:r>
        <w:rPr>
          <w:rtl/>
        </w:rPr>
        <w:t>513 -</w:t>
      </w:r>
      <w:r>
        <w:rPr>
          <w:rtl/>
        </w:rPr>
        <w:tab/>
        <w:t>وتم تعديل قانون نظام القضاء في نوفا سكوتشيا في عام 1997 بما انطوى عليه ذلك من إنشاء شعبة للأسرة في المحكمة العليا. وفي السابق كان النظر القضائي في مسائل الأسرة موزعا بين محكمة الأسرة (قضاة معيَّنون على مستوى المقاطعة) والمحكمة العليا (قضاة معيَّنون على المستوى الاتحادي). وسوف يتم توجيه الأموال التي توفَّرت من هذه الخطوة نحو تقديم خدمات وبرامج جديدة أفضل بما في ذلك خدمات الوالدية عقب انفصال الزوجين وخدمات الوساطة الأسرية وخدمات المشورة. ومن شأن إلغاء نظام درجتي المحكمة أن يساعد الأسر على تخفيف حدة التوتُّر والتقليل من مصاريف التقاضي واختصار الوقت الذي يُستغرق داخل المحاكم خلال مرحلة عاطفية كئيبة.</w:t>
      </w:r>
    </w:p>
    <w:p w:rsidR="00000000" w:rsidRDefault="00000000">
      <w:pPr>
        <w:pStyle w:val="SingleTxt"/>
        <w:tabs>
          <w:tab w:val="clear" w:pos="1267"/>
          <w:tab w:val="left" w:pos="1628"/>
        </w:tabs>
        <w:ind w:left="1264" w:right="1264"/>
        <w:rPr>
          <w:rtl/>
        </w:rPr>
      </w:pPr>
      <w:r>
        <w:rPr>
          <w:rtl/>
        </w:rPr>
        <w:t>514 -</w:t>
      </w:r>
      <w:r>
        <w:rPr>
          <w:rtl/>
        </w:rPr>
        <w:tab/>
        <w:t>وفي عام 1997 تم تعديل قانون نفقة الإعالة الأسرية بما يتيح تنفيذ المبادئ التوجيهية الاتحادية لدعم الطفولة. وهذه المبادئ التوجيهية، التي تقوم على أساس معدل متوسط لتكاليف تنشئة طفل في كندا، سوف تكفل معيارا موضوعيا ومتسقا في تحديد مستويات دعم الطفل. كما أن التعديلات تقصد أنه لدى حساب مدفوعات الدعم، يُعامَل أطفال الوالدين غير المتزوجين بنفس الطريقة أسوة بأطفال الوالدين المتزوجين. وبالإضافة إلى ذلك، سوف تطلب محكمة الأسرة بالمقاطعة من الذين يدفعون دعما للطفل، تقديم نفس المعلومات على النحو المطلوب بموجب قانون الطلاق الذي أصبح ساري المفعول في عام 1997. ومن خلال ضمان إتاحة المعلومات اللازمة للمحكمة في وقت مبكر، تزداد كفاءة العملية.</w:t>
      </w:r>
    </w:p>
    <w:p w:rsidR="00000000" w:rsidRDefault="00000000">
      <w:pPr>
        <w:pStyle w:val="SingleTxt"/>
        <w:tabs>
          <w:tab w:val="clear" w:pos="1267"/>
          <w:tab w:val="left" w:pos="1628"/>
        </w:tabs>
        <w:ind w:left="1264" w:right="1264"/>
        <w:rPr>
          <w:rtl/>
        </w:rPr>
      </w:pPr>
      <w:r>
        <w:rPr>
          <w:b/>
          <w:bCs/>
          <w:szCs w:val="32"/>
          <w:rtl/>
        </w:rPr>
        <w:t>المادة 16: التدابير الرامية إلى القضاء على التمييز في مسائل الزواج/الأسرة</w:t>
      </w:r>
    </w:p>
    <w:p w:rsidR="00000000" w:rsidRDefault="00000000">
      <w:pPr>
        <w:pStyle w:val="SingleTxt"/>
        <w:tabs>
          <w:tab w:val="clear" w:pos="1267"/>
          <w:tab w:val="left" w:pos="1628"/>
        </w:tabs>
        <w:ind w:left="1264" w:right="1264"/>
        <w:rPr>
          <w:rtl/>
        </w:rPr>
      </w:pPr>
      <w:r>
        <w:rPr>
          <w:rtl/>
        </w:rPr>
        <w:t>515 -</w:t>
      </w:r>
      <w:r>
        <w:rPr>
          <w:rtl/>
        </w:rPr>
        <w:tab/>
        <w:t>تم في عام 1989 إنشاء شعبة خدمات المجني عليهم بوزارة العدل في إطار قانون خدمات وحقوق المجني عليهم (القانون لعام 1989) من أجل تقديم الخدمات إلى ضحايا الإيـــذاء الجنسي وإيــــذاء الأطفــــال والعنـــف المنزلي مــع تركــيز خاص على النساء. وبين 1 نيسان/أبريل 1998 و 31 آذار/مارس 1999، قدَّم برنامج خدمات المجني عليهم الإقليمي الخدمات إلى 780 3 فردا. وكانت الأغلبية (77.5 في المائة) من العاملات ومعظمهن من ضحايا الأذى من جانب زوج/شريك حميم. ويتم تنفيذ البرنامج الإقليمي من خلال أربعة مكاتب عبر أنحاء المقاطعة تخدم أهل الحضر والريف في نوفا سكوتشيا على السواء.</w:t>
      </w:r>
    </w:p>
    <w:p w:rsidR="00000000" w:rsidRDefault="00000000">
      <w:pPr>
        <w:pStyle w:val="SingleTxt"/>
        <w:tabs>
          <w:tab w:val="clear" w:pos="1267"/>
          <w:tab w:val="left" w:pos="1628"/>
        </w:tabs>
        <w:ind w:left="1264" w:right="1264"/>
        <w:rPr>
          <w:rtl/>
        </w:rPr>
      </w:pPr>
      <w:r>
        <w:rPr>
          <w:rtl/>
        </w:rPr>
        <w:t>516 -</w:t>
      </w:r>
      <w:r>
        <w:rPr>
          <w:rtl/>
        </w:rPr>
        <w:tab/>
        <w:t>وفي عام 1992 أصبح قانون حقوق وخدمات المجني عليهم يضم برنامج التعويض عن الأضرار الجنائية. (كان يتولى إدارته في السابق مجلس في الفترة من 1980 إلى 1992). وهذا البرنامج يساعد على تغطية جزء من المصاريف المتصلة بالأضرار الشخصية الناجمة عن فعل إجرامي. وبين 1 نيسان/أبريل 1998 و 31 آذار/مارس 1999 تلقى البرنامج ما مجموعه 410 من الطلبات وكان أكثر من نصفها (68 في المائة) من النساء.</w:t>
      </w:r>
    </w:p>
    <w:p w:rsidR="00000000" w:rsidRDefault="00000000">
      <w:pPr>
        <w:pStyle w:val="SingleTxt"/>
        <w:tabs>
          <w:tab w:val="clear" w:pos="1267"/>
          <w:tab w:val="left" w:pos="1628"/>
        </w:tabs>
        <w:ind w:left="1264" w:right="1264"/>
        <w:rPr>
          <w:rtl/>
        </w:rPr>
      </w:pPr>
      <w:r>
        <w:rPr>
          <w:rtl/>
        </w:rPr>
        <w:t>517 -</w:t>
      </w:r>
      <w:r>
        <w:rPr>
          <w:rtl/>
        </w:rPr>
        <w:tab/>
        <w:t>كما تُنفِّذ شعبة خدمات المجني عليهم برنامجا للشهود من الأطفال المجني عليهم يرمي إلى تهيئة الأطفال لتجربة المثول والشهادة في المحكمة. ويتمثل الهدف من هذا البرنامج في توعية الأطفال بشأن نظام العدالة الجنائية وبالتحديد مساعدتهم على فهم سير محاكمة ما وإعدادهم لأداء دورهم في سير إجراءات التقاضي. وبالإضافة إلى ذلك يُقدِّم البرنامج معلومات تتصل بالقضايا المطروحة ويكفل دعما للطفل والوالد أو للشخص المؤازر خلال إجراءات المحكمة.</w:t>
      </w:r>
    </w:p>
    <w:p w:rsidR="00000000" w:rsidRDefault="00000000">
      <w:pPr>
        <w:pStyle w:val="SingleTxt"/>
        <w:tabs>
          <w:tab w:val="clear" w:pos="1267"/>
          <w:tab w:val="left" w:pos="1628"/>
        </w:tabs>
        <w:ind w:left="1264" w:right="1264"/>
        <w:rPr>
          <w:rtl/>
        </w:rPr>
      </w:pPr>
      <w:r>
        <w:rPr>
          <w:rtl/>
        </w:rPr>
        <w:t>518 -</w:t>
      </w:r>
      <w:r>
        <w:rPr>
          <w:rtl/>
        </w:rPr>
        <w:tab/>
        <w:t>وعلى مستوى إطار العمل المناهض للعنف الأُسري التابع لوزارة العدل، تم إنشاء ثمانية مشاريع لخدمات دعم المجني عليهم في عام 1996 بوصفها استجابة مجتمعية إزاء العنف الناجم عن زوج/شريك حميم. ويتمثل الهدف من هذه المشاريع في تقديم الخدمات المعزَّزة إلى ضحايا الأذى الذي يلحقه بهم زوج/شريك حميم. من أجل دعم مشاركتهم في عملية العدالة. ويتم تمويل هذه المشاريع وإدارتها بصورة مشتركة من جانب وزارة العدل (شعبة خدمات المجني عليهم) ووزارة الخدمات المجتمعية.</w:t>
      </w:r>
    </w:p>
    <w:p w:rsidR="00000000" w:rsidRDefault="00000000">
      <w:pPr>
        <w:pStyle w:val="SingleTxt"/>
        <w:tabs>
          <w:tab w:val="clear" w:pos="1267"/>
          <w:tab w:val="left" w:pos="1628"/>
        </w:tabs>
        <w:ind w:left="1264" w:right="1264"/>
        <w:rPr>
          <w:rtl/>
        </w:rPr>
      </w:pPr>
      <w:r>
        <w:rPr>
          <w:rtl/>
        </w:rPr>
        <w:t>519 -</w:t>
      </w:r>
      <w:r>
        <w:rPr>
          <w:rtl/>
        </w:rPr>
        <w:tab/>
        <w:t xml:space="preserve">وقد شاركت شعبة خدمات المجني عليهم بوزارة العدل مع دار بريوني (دار لانتقال الضحايا في هاليفاكس) وشركة </w:t>
      </w:r>
      <w:r>
        <w:t>MTT</w:t>
      </w:r>
      <w:r>
        <w:rPr>
          <w:rtl/>
        </w:rPr>
        <w:t xml:space="preserve"> للاتصالات في إنشاء أول برنامج نموذجي للهاتف النقَّال في حزيران/يونيه 1998. والبرنامج مُصمَّم لكفالة مزيد من الحماية للضحايا الذين يحدق بهم خطر شديد من جانب شريك بيتي/حميم يتمثل في ملاحقة عنيفة من جانب هذا الشريك، وذلك من خلال تزويدهم بهاتف خليوي مجاني ييسر سُبل اتصالهم بخدمات الطوارئ رقم 911 خلال أوقات الخطر الجسيم.</w:t>
      </w:r>
    </w:p>
    <w:p w:rsidR="00000000" w:rsidRDefault="00000000">
      <w:pPr>
        <w:pStyle w:val="SingleTxt"/>
        <w:tabs>
          <w:tab w:val="clear" w:pos="1267"/>
          <w:tab w:val="left" w:pos="1628"/>
        </w:tabs>
        <w:ind w:left="1264" w:right="1264"/>
        <w:rPr>
          <w:rtl/>
        </w:rPr>
      </w:pPr>
      <w:r>
        <w:rPr>
          <w:rtl/>
        </w:rPr>
        <w:t>520 -</w:t>
      </w:r>
      <w:r>
        <w:rPr>
          <w:rtl/>
        </w:rPr>
        <w:tab/>
        <w:t>ومن خلال إنتاج السجلات في برنامج الجرائم الجنسية النموذجي الذي تم إنشاؤه في حزيران/يونيه 1998، تقدِّم شعبة خدمات المجني عليهم سُبل التمثيل القانوني للشاكين في إجراءات الجرائم الجنسية فيما يتعلق بطلبات تقديم سجلاتهم العلاجية الخاصة (العلاج الطبي/النفساني/المشورة).</w:t>
      </w:r>
    </w:p>
    <w:p w:rsidR="00000000" w:rsidRDefault="00000000">
      <w:pPr>
        <w:pStyle w:val="SingleTxt"/>
        <w:tabs>
          <w:tab w:val="clear" w:pos="1267"/>
          <w:tab w:val="left" w:pos="1628"/>
        </w:tabs>
        <w:ind w:left="1264" w:right="1264"/>
        <w:rPr>
          <w:rtl/>
        </w:rPr>
      </w:pPr>
      <w:r>
        <w:rPr>
          <w:rtl/>
        </w:rPr>
        <w:t>521 -</w:t>
      </w:r>
      <w:r>
        <w:rPr>
          <w:rtl/>
        </w:rPr>
        <w:tab/>
        <w:t>وطرحت وزارة الصحة أدوات للفحص الشامل لاستخدامها في قاعات الطوارئ بالمستشفيات، وفي جميع نقاط الدخول إلى نظام الرعاية الصحية من أجل تحديد ضحايا الإيذاء وتقديم خدمات وأوجه دعم أفضل. وجميع العاملين في القطاع الصحي سيجري تدريبهم من أجل الاستجابة الفعَّالة والمناسبة للعنف الأسري.</w:t>
      </w:r>
    </w:p>
    <w:p w:rsidR="00000000" w:rsidRDefault="00000000">
      <w:pPr>
        <w:pStyle w:val="SingleTxt"/>
        <w:tabs>
          <w:tab w:val="clear" w:pos="1267"/>
          <w:tab w:val="left" w:pos="1628"/>
        </w:tabs>
        <w:ind w:left="1264" w:right="1264"/>
        <w:rPr>
          <w:rtl/>
        </w:rPr>
      </w:pPr>
      <w:r>
        <w:rPr>
          <w:rtl/>
        </w:rPr>
        <w:t>522 -</w:t>
      </w:r>
      <w:r>
        <w:rPr>
          <w:rtl/>
        </w:rPr>
        <w:tab/>
        <w:t>كما أدى بدء العمل في شعبة جديدة معنية بالأسرة في المحكمة العليا في عام 1997، إلى توحيد الاختصاص القضائي في عدد من المسائل الأسرية. ولسوف تمضي وزارة العدل قُدما كي تقدم سلسلة من خدمات الدعم لتعزيز تلك الخدمات المتاحة بالفعل بالنسبة للأزواج المنفصلين والمطلقين.</w:t>
      </w:r>
    </w:p>
    <w:p w:rsidR="00000000" w:rsidRDefault="00000000">
      <w:pPr>
        <w:pStyle w:val="SingleTxt"/>
        <w:tabs>
          <w:tab w:val="clear" w:pos="1267"/>
          <w:tab w:val="left" w:pos="1628"/>
        </w:tabs>
        <w:ind w:left="1264" w:right="1264"/>
        <w:rPr>
          <w:rtl/>
        </w:rPr>
      </w:pPr>
      <w:r>
        <w:rPr>
          <w:rtl/>
        </w:rPr>
        <w:t>523 -</w:t>
      </w:r>
      <w:r>
        <w:rPr>
          <w:rtl/>
        </w:rPr>
        <w:tab/>
        <w:t>وتقدم وزارة الخدمات المجتمعية 200 دولار شهريا للعملاء من المؤهلين لتقاضي استحقاقات الأسرة من أجل التعويض عن التكاليف الإضافية التي يتحملها الآباء الوحيدون بينما يكونون مشاركين في التدريب. كذلك يمكن تغطية ما يتم اعتماده من تكاليف الانتقال ومصاريف رعاية الطفل والاحتياجات الخاصة أو بدل البحث عن العمل. والمستفيدون الذين يكونون في طور التحوُّل إلى وظيفة بدوام كامل من حقهم أن يُعفى أجرهم الشامل الذي يتقاضونه خلال الأسابيع الأربعة الأولى من التوظيف بنسبة 100 في المائة لأغراض استحقاقات الأسرة. كما يُعفى أيضا الأسابيع الأربعة الأولى من بدل التدريب المكسوب.</w:t>
      </w:r>
    </w:p>
    <w:p w:rsidR="00000000" w:rsidRDefault="00000000">
      <w:pPr>
        <w:pStyle w:val="SingleTxt"/>
        <w:tabs>
          <w:tab w:val="clear" w:pos="1267"/>
          <w:tab w:val="left" w:pos="1628"/>
        </w:tabs>
        <w:ind w:left="1264" w:right="1264"/>
        <w:rPr>
          <w:rtl/>
        </w:rPr>
      </w:pPr>
      <w:r>
        <w:rPr>
          <w:rtl/>
        </w:rPr>
        <w:t>524 -</w:t>
      </w:r>
      <w:r>
        <w:rPr>
          <w:rtl/>
        </w:rPr>
        <w:tab/>
        <w:t>وقد تم في عام 1992 إنشاء الشراكة المتعددة الأطراف بين الوزارات الحكومية والدوائر المجتمعية بوصفها مبادرة منع العنف في الأسرة. وتهدف إلى تنسيق الجهود الرامية إلى الاستجابة إزاء مشكلة العنف الأسري بما في ذلك العنف الموجَّه ضد المرأة ويشمل دورها ما يلي:</w:t>
      </w:r>
    </w:p>
    <w:p w:rsidR="00000000" w:rsidRDefault="00000000">
      <w:pPr>
        <w:pStyle w:val="SingleTxt"/>
        <w:tabs>
          <w:tab w:val="clear" w:pos="1267"/>
          <w:tab w:val="left" w:pos="1628"/>
        </w:tabs>
        <w:ind w:left="1927" w:right="1264" w:hanging="663"/>
        <w:rPr>
          <w:rtl/>
        </w:rPr>
      </w:pPr>
      <w:r>
        <w:rPr>
          <w:rtl/>
        </w:rPr>
        <w:tab/>
        <w:t>•</w:t>
      </w:r>
      <w:r>
        <w:rPr>
          <w:rtl/>
        </w:rPr>
        <w:tab/>
        <w:t>تنسيق الجهود الرامية إلى منع مشكلة العنف الأسري والاستجابة إزاءها</w:t>
      </w:r>
    </w:p>
    <w:p w:rsidR="00000000" w:rsidRDefault="00000000">
      <w:pPr>
        <w:pStyle w:val="SingleTxt"/>
        <w:tabs>
          <w:tab w:val="clear" w:pos="1267"/>
          <w:tab w:val="left" w:pos="1628"/>
        </w:tabs>
        <w:ind w:left="1927" w:right="1264" w:hanging="663"/>
        <w:rPr>
          <w:rtl/>
        </w:rPr>
      </w:pPr>
      <w:r>
        <w:rPr>
          <w:rtl/>
        </w:rPr>
        <w:tab/>
        <w:t>•</w:t>
      </w:r>
      <w:r>
        <w:rPr>
          <w:rtl/>
        </w:rPr>
        <w:tab/>
        <w:t>وضع السياسات التي تكفل فعالية البرامج والخدمات والأنشطة واتساقها وتنسيقها على مستوى الوزارات المختلفة.</w:t>
      </w:r>
    </w:p>
    <w:p w:rsidR="00000000" w:rsidRDefault="00000000">
      <w:pPr>
        <w:pStyle w:val="SingleTxt"/>
        <w:tabs>
          <w:tab w:val="clear" w:pos="1267"/>
          <w:tab w:val="left" w:pos="1628"/>
        </w:tabs>
        <w:ind w:left="1927" w:right="1264" w:hanging="663"/>
        <w:rPr>
          <w:rtl/>
        </w:rPr>
      </w:pPr>
      <w:r>
        <w:rPr>
          <w:rtl/>
        </w:rPr>
        <w:tab/>
        <w:t>•</w:t>
      </w:r>
      <w:r>
        <w:rPr>
          <w:rtl/>
        </w:rPr>
        <w:tab/>
        <w:t>تهيئة التثقيف العام لزيادة الوعي بمشكلة العنف الأسري وتشجيع اتخاذ إجراءات الاستجابة إزاءه</w:t>
      </w:r>
    </w:p>
    <w:p w:rsidR="00000000" w:rsidRDefault="00000000">
      <w:pPr>
        <w:pStyle w:val="SingleTxt"/>
        <w:tabs>
          <w:tab w:val="clear" w:pos="1267"/>
          <w:tab w:val="left" w:pos="1628"/>
        </w:tabs>
        <w:ind w:left="1927" w:right="1264" w:hanging="663"/>
        <w:rPr>
          <w:rtl/>
        </w:rPr>
      </w:pPr>
      <w:r>
        <w:rPr>
          <w:rtl/>
        </w:rPr>
        <w:tab/>
        <w:t>•</w:t>
      </w:r>
      <w:r>
        <w:rPr>
          <w:rtl/>
        </w:rPr>
        <w:tab/>
        <w:t>التثقيف المهني لزيادة قدرة المهنيين ومقدمي الخدمات على تحديد ضحايا العنف وأسرهم والاستجابة الفعَّالة إزاءه</w:t>
      </w:r>
    </w:p>
    <w:p w:rsidR="00000000" w:rsidRDefault="00000000">
      <w:pPr>
        <w:pStyle w:val="SingleTxt"/>
        <w:tabs>
          <w:tab w:val="clear" w:pos="1267"/>
          <w:tab w:val="left" w:pos="1628"/>
        </w:tabs>
        <w:ind w:left="1927" w:right="1264" w:hanging="663"/>
        <w:rPr>
          <w:rtl/>
        </w:rPr>
      </w:pPr>
      <w:r>
        <w:rPr>
          <w:rtl/>
        </w:rPr>
        <w:tab/>
        <w:t>•</w:t>
      </w:r>
      <w:r>
        <w:rPr>
          <w:rtl/>
        </w:rPr>
        <w:tab/>
        <w:t>الدعوة إلى تأكيد أهمية الوقاية الأوَّلية والتدخل المبكر وتعزيز العلاقات الأسرية الصحية</w:t>
      </w:r>
    </w:p>
    <w:p w:rsidR="00000000" w:rsidRDefault="00000000">
      <w:pPr>
        <w:pStyle w:val="SingleTxt"/>
        <w:tabs>
          <w:tab w:val="clear" w:pos="1267"/>
          <w:tab w:val="left" w:pos="1628"/>
        </w:tabs>
        <w:ind w:left="1927" w:right="1264" w:hanging="663"/>
        <w:rPr>
          <w:rtl/>
        </w:rPr>
      </w:pPr>
      <w:r>
        <w:rPr>
          <w:rtl/>
        </w:rPr>
        <w:tab/>
        <w:t>•</w:t>
      </w:r>
      <w:r>
        <w:rPr>
          <w:rtl/>
        </w:rPr>
        <w:tab/>
        <w:t>تقديم الدعم إلى الوزارات والمجتمعات المحلية واللجان المشتركة بين الوكالات على الصُعُد المحلية في جهودها لإحراز أهدافها وغاياتها فيما يتعلق بمنع العنف الأسري والاستجابة إزاءه</w:t>
      </w:r>
    </w:p>
    <w:p w:rsidR="00000000" w:rsidRDefault="00000000">
      <w:pPr>
        <w:pStyle w:val="SingleTxt"/>
        <w:tabs>
          <w:tab w:val="clear" w:pos="1267"/>
          <w:tab w:val="left" w:pos="1628"/>
        </w:tabs>
        <w:ind w:left="1264" w:right="1264"/>
        <w:rPr>
          <w:rtl/>
        </w:rPr>
      </w:pPr>
      <w:r>
        <w:rPr>
          <w:rtl/>
        </w:rPr>
        <w:t>525 -</w:t>
      </w:r>
      <w:r>
        <w:rPr>
          <w:rtl/>
        </w:rPr>
        <w:tab/>
        <w:t>وتعمل مبادرة منع العنف الأسري السالفة الذكر على تغيير الاتجاهات والسلوكيات التي تُسهم في وقوع العنف الأسري من خلال تبنِّيها لحملة إعلامية متعددة الوسائط تتم سنويا تحت عنوان (إسبوع منع العنف الأسري) من أجل زيادة الوعي بالعنف الذي تشهده الأسرة. وتصدر المبادرة المذكورة منشورات بشأن العنف الأسري (يوزَّع منها 000 150 وحدة سنويا) بما في ذلك سلسلة كشوفات حقائق جديدة من 12 جزءا بشأن جوانب مختلفة من القضية، بالإضافة إلى كتيبات ودليل جديد لخدمات العنف الأسري على مستوى المقاطعة بأسرها يضمن أن يكون الضحايا والمهنيون على بيِّنة من الخدمات المتاحة، ثم أدلة بالإجراءات ومبادئ توجيهية بالبروتوكول المرعي بما يكفل استجابة منسَّقة للنساء والأطفال والمسنين وما يقع على هؤلاء من أذى، فضلا عن بطاقات تأشير صفحات الكتب وغير ذلك من المواد. كما تقوم على تشغيل مركز موارد يضم ما يزيد على 000 2 من المواد السمعية البصرية والمطبوعة المتاحة للاستعارة للجمهور مجانا وله موقع على الشبكة العالمية يحوي المعلومات المتاحة من أجل الحصول عليها. وحتى الآن تبنت المبادرة عقد مؤتمرات وتنظيم حلقات عمل ووضع مناهج دراسية وتقديم التدريب لأكثر من 000 6 من المهنيين/مقدمي الخدمات، إضافة إلى تبنيها أربعة مؤتمرات عقدت مؤخراً عن مواضيع من قبيل منع إيذاء الطفل وأثر العنف الأسري على الأطفال المعرضين له.</w:t>
      </w:r>
    </w:p>
    <w:p w:rsidR="00000000" w:rsidRDefault="00000000">
      <w:pPr>
        <w:pStyle w:val="SingleTxt"/>
        <w:tabs>
          <w:tab w:val="clear" w:pos="1267"/>
          <w:tab w:val="left" w:pos="1628"/>
        </w:tabs>
        <w:ind w:left="1264" w:right="1264"/>
        <w:rPr>
          <w:rtl/>
        </w:rPr>
      </w:pPr>
      <w:r>
        <w:rPr>
          <w:rtl/>
        </w:rPr>
        <w:t>526 -</w:t>
      </w:r>
      <w:r>
        <w:rPr>
          <w:rtl/>
        </w:rPr>
        <w:tab/>
        <w:t>كذلك وضَعَت المبادرة خطة استراتيجية طويلة الأجل للتصدى للعنف الأسري، كما وضعت الوزارات التي تدخل في عضويتها، بما في ذلك وزارات الصحة والتعليم والإسكان والعدل والخدمات المجتمعية، خطط عمل لمعالجة العنف الأسري، كل ضمن نطاق اختصاصها.</w:t>
      </w:r>
    </w:p>
    <w:p w:rsidR="00000000" w:rsidRDefault="00000000">
      <w:pPr>
        <w:pStyle w:val="SingleTxt"/>
        <w:tabs>
          <w:tab w:val="clear" w:pos="1267"/>
          <w:tab w:val="left" w:pos="1628"/>
        </w:tabs>
        <w:ind w:left="1264" w:right="1264"/>
        <w:rPr>
          <w:rtl/>
        </w:rPr>
      </w:pPr>
      <w:r>
        <w:rPr>
          <w:rtl/>
        </w:rPr>
        <w:t>527 -</w:t>
      </w:r>
      <w:r>
        <w:rPr>
          <w:rtl/>
        </w:rPr>
        <w:tab/>
        <w:t>ويأتي عنصر التكليف ضمن برنامج دعم الدخل لإعالة الأسرة (1991) بوصفه برنامجا طوعيا للعملاء الذين يتلقون مدفوعات نفقة الإعالة بصورة غير منتنظمة أو لا يتقاضونها على الإطلاق. وهم يُزوَّدون بمبالغ منتظمة من نفقة الإعالة عن طريق ما يُدفع لهم من استحقاقات شهرية. وفي مقابل ذلك يفوِّض العميل برنامج تطبيق نفقة الإعالة بأن يرسل جميع مدفوعات نفقة الإعالة التي يقدمها والد غير حاضن إلى وزارة الخدمات المجتمعية.</w:t>
      </w:r>
    </w:p>
    <w:p w:rsidR="00000000" w:rsidRDefault="00000000">
      <w:pPr>
        <w:pStyle w:val="SingleTxt"/>
        <w:tabs>
          <w:tab w:val="clear" w:pos="1267"/>
          <w:tab w:val="left" w:pos="1628"/>
        </w:tabs>
        <w:ind w:left="1264" w:right="1264"/>
        <w:rPr>
          <w:rtl/>
        </w:rPr>
      </w:pPr>
      <w:r>
        <w:rPr>
          <w:rtl/>
        </w:rPr>
        <w:t>528 -</w:t>
      </w:r>
      <w:r>
        <w:rPr>
          <w:rtl/>
        </w:rPr>
        <w:tab/>
        <w:t>وقد أعلنت الحكومة عن مبادرة بحجم 000 760 دولار للتصدي للعنف الأسري في عام 1995 عندما كشفت عن إطار عمل متعدد الوجوه ضد العنف الأسري وتشمل عناصره ما يلي:</w:t>
      </w:r>
    </w:p>
    <w:p w:rsidR="00000000" w:rsidRDefault="00000000">
      <w:pPr>
        <w:pStyle w:val="SingleTxt"/>
        <w:tabs>
          <w:tab w:val="clear" w:pos="1267"/>
          <w:tab w:val="left" w:pos="1628"/>
        </w:tabs>
        <w:ind w:left="1927" w:right="1264" w:hanging="663"/>
        <w:rPr>
          <w:rtl/>
        </w:rPr>
      </w:pPr>
      <w:r>
        <w:rPr>
          <w:rtl/>
        </w:rPr>
        <w:tab/>
        <w:t>•</w:t>
      </w:r>
      <w:r>
        <w:rPr>
          <w:rtl/>
        </w:rPr>
        <w:tab/>
        <w:t xml:space="preserve">تنفيذ سياسة تأييد التوقيف وتأييد المقاضاة </w:t>
      </w:r>
    </w:p>
    <w:p w:rsidR="00000000" w:rsidRDefault="00000000">
      <w:pPr>
        <w:pStyle w:val="SingleTxt"/>
        <w:tabs>
          <w:tab w:val="clear" w:pos="1267"/>
          <w:tab w:val="left" w:pos="1628"/>
        </w:tabs>
        <w:ind w:left="1927" w:right="1264" w:hanging="663"/>
        <w:rPr>
          <w:rtl/>
        </w:rPr>
      </w:pPr>
      <w:r>
        <w:rPr>
          <w:rtl/>
        </w:rPr>
        <w:tab/>
        <w:t>•</w:t>
      </w:r>
      <w:r>
        <w:rPr>
          <w:rtl/>
        </w:rPr>
        <w:tab/>
        <w:t>الأخذ بسياسة استجابة فورية من جانب الشرطة في حالات العنف الأسري وإنفاذ تعهدات إشاعة السلام وأوامر التقييد</w:t>
      </w:r>
    </w:p>
    <w:p w:rsidR="00000000" w:rsidRDefault="00000000">
      <w:pPr>
        <w:pStyle w:val="SingleTxt"/>
        <w:tabs>
          <w:tab w:val="clear" w:pos="1267"/>
          <w:tab w:val="left" w:pos="1628"/>
        </w:tabs>
        <w:ind w:left="1927" w:right="1264" w:hanging="663"/>
        <w:rPr>
          <w:rtl/>
        </w:rPr>
      </w:pPr>
      <w:r>
        <w:rPr>
          <w:rtl/>
        </w:rPr>
        <w:tab/>
        <w:t>•</w:t>
      </w:r>
      <w:r>
        <w:rPr>
          <w:rtl/>
        </w:rPr>
        <w:tab/>
        <w:t>في الحالات التي توجَّه فيها التُهم، يتم القبض على الجناة ونقلهم من البيت</w:t>
      </w:r>
    </w:p>
    <w:p w:rsidR="00000000" w:rsidRDefault="00000000">
      <w:pPr>
        <w:pStyle w:val="SingleTxt"/>
        <w:tabs>
          <w:tab w:val="clear" w:pos="1267"/>
          <w:tab w:val="left" w:pos="1628"/>
        </w:tabs>
        <w:ind w:left="1927" w:right="1264" w:hanging="663"/>
        <w:rPr>
          <w:rtl/>
        </w:rPr>
      </w:pPr>
      <w:r>
        <w:rPr>
          <w:rtl/>
        </w:rPr>
        <w:tab/>
        <w:t>•</w:t>
      </w:r>
      <w:r>
        <w:rPr>
          <w:rtl/>
        </w:rPr>
        <w:tab/>
        <w:t>يطلب إلى المحاكم إعطاء الأولوية إلى قضايا العنف الأسري ونقلهم بسرعة من خلال النظام المتبع</w:t>
      </w:r>
    </w:p>
    <w:p w:rsidR="00000000" w:rsidRDefault="00000000">
      <w:pPr>
        <w:pStyle w:val="SingleTxt"/>
        <w:tabs>
          <w:tab w:val="clear" w:pos="1267"/>
          <w:tab w:val="left" w:pos="1628"/>
        </w:tabs>
        <w:ind w:left="1927" w:right="1264" w:hanging="663"/>
        <w:rPr>
          <w:rtl/>
        </w:rPr>
      </w:pPr>
      <w:r>
        <w:rPr>
          <w:rtl/>
        </w:rPr>
        <w:tab/>
        <w:t>•</w:t>
      </w:r>
      <w:r>
        <w:rPr>
          <w:rtl/>
        </w:rPr>
        <w:tab/>
        <w:t>تقوم قوات الشرطة بتشكيل وحدات للجريمة الأسرية</w:t>
      </w:r>
    </w:p>
    <w:p w:rsidR="00000000" w:rsidRDefault="00000000">
      <w:pPr>
        <w:pStyle w:val="SingleTxt"/>
        <w:tabs>
          <w:tab w:val="clear" w:pos="1267"/>
          <w:tab w:val="left" w:pos="1628"/>
        </w:tabs>
        <w:ind w:left="1927" w:right="1264" w:hanging="663"/>
        <w:rPr>
          <w:rtl/>
        </w:rPr>
      </w:pPr>
      <w:r>
        <w:rPr>
          <w:rtl/>
        </w:rPr>
        <w:tab/>
        <w:t>•</w:t>
      </w:r>
      <w:r>
        <w:rPr>
          <w:rtl/>
        </w:rPr>
        <w:tab/>
        <w:t>تعزيز خدمات المجني عليهم على أساس مجتمعي (مثلاً تم تمويل ثمانية مشاريع جديدة لخدمات المجني عليهم لتوفير سُبل الدعوة والدعم للشركاء الذين تعرضوا للأذى في سياق التعامل مع نظام العدالة)</w:t>
      </w:r>
    </w:p>
    <w:p w:rsidR="00000000" w:rsidRDefault="00000000">
      <w:pPr>
        <w:pStyle w:val="SingleTxt"/>
        <w:tabs>
          <w:tab w:val="clear" w:pos="1267"/>
          <w:tab w:val="left" w:pos="1628"/>
        </w:tabs>
        <w:ind w:left="1264" w:right="1264"/>
        <w:rPr>
          <w:rtl/>
        </w:rPr>
      </w:pPr>
      <w:r>
        <w:rPr>
          <w:rtl/>
        </w:rPr>
        <w:t>529 -</w:t>
      </w:r>
      <w:r>
        <w:rPr>
          <w:rtl/>
        </w:rPr>
        <w:tab/>
        <w:t>وتتيح هذه المبادرة للعاملين في نظام العدالة تدريب العاملين الميدانيين كي يتعاملوا مع حقيقة العنف المنزلي على مستوى المجتمع المحلي. ومن ثم يتاح الآن برنامج تدريبي لعدد يبلغ 200 1 من العاملين في نظام العدالة في نوفا سكوتشيا بشأن ديناميات الإيذاء والقوانين المتصلة بالعنف الأسري والإجراءات المتعلقة بالاستجابة إزاء الحوادث التي تقع في هذا الشأن. وقد تم توظيف منسِّق لبرنامج العنف الأسري في عام 1996 ليضع وينفذ هذا البرنامج التدريبي مع المساعدة على تنفيذ السياسات الجديدة المتصلة بإطار العمل.</w:t>
      </w:r>
    </w:p>
    <w:p w:rsidR="00000000" w:rsidRDefault="00000000">
      <w:pPr>
        <w:pStyle w:val="SingleTxt"/>
        <w:tabs>
          <w:tab w:val="clear" w:pos="1267"/>
          <w:tab w:val="left" w:pos="1628"/>
        </w:tabs>
        <w:ind w:left="1264" w:right="1264"/>
        <w:rPr>
          <w:rtl/>
        </w:rPr>
      </w:pPr>
      <w:r>
        <w:rPr>
          <w:rtl/>
        </w:rPr>
        <w:t>530 -</w:t>
      </w:r>
      <w:r>
        <w:rPr>
          <w:rtl/>
        </w:rPr>
        <w:tab/>
        <w:t>وفي عام 1999 صدر تقييم الإطار المذكور فأوضح الأثر الإيجابي الذي نجم عنه بالنسبة لاستجابة نظام العدالة للمجني عليهم في حالات العنف الأسري. ومن النتائج الرئيسية في هذا الشأن ما يلي:</w:t>
      </w:r>
    </w:p>
    <w:p w:rsidR="00000000" w:rsidRDefault="00000000">
      <w:pPr>
        <w:pStyle w:val="SingleTxt"/>
        <w:tabs>
          <w:tab w:val="clear" w:pos="1267"/>
          <w:tab w:val="left" w:pos="1628"/>
        </w:tabs>
        <w:ind w:left="1264" w:right="1264"/>
        <w:rPr>
          <w:rtl/>
        </w:rPr>
      </w:pPr>
      <w:r>
        <w:rPr>
          <w:rtl/>
        </w:rPr>
        <w:tab/>
        <w:t>•</w:t>
      </w:r>
      <w:r>
        <w:rPr>
          <w:rtl/>
        </w:rPr>
        <w:tab/>
        <w:t>تم تدريب أكثر من 000 3 من العاملين في نظام العدالة</w:t>
      </w:r>
    </w:p>
    <w:p w:rsidR="00000000" w:rsidRDefault="00000000">
      <w:pPr>
        <w:pStyle w:val="SingleTxt"/>
        <w:tabs>
          <w:tab w:val="clear" w:pos="1267"/>
          <w:tab w:val="left" w:pos="1628"/>
        </w:tabs>
        <w:ind w:left="1264" w:right="1264"/>
        <w:rPr>
          <w:rtl/>
        </w:rPr>
      </w:pPr>
      <w:r>
        <w:rPr>
          <w:rtl/>
        </w:rPr>
        <w:tab/>
        <w:t>•</w:t>
      </w:r>
      <w:r>
        <w:rPr>
          <w:rtl/>
        </w:rPr>
        <w:tab/>
        <w:t>زاد معدل توجيه الاتهام إلى 72 في المائة مقابل 44 في المائة عام 1995</w:t>
      </w:r>
    </w:p>
    <w:p w:rsidR="00000000" w:rsidRDefault="00000000">
      <w:pPr>
        <w:pStyle w:val="SingleTxt"/>
        <w:tabs>
          <w:tab w:val="clear" w:pos="1267"/>
          <w:tab w:val="left" w:pos="1628"/>
        </w:tabs>
        <w:ind w:left="1264" w:right="1264"/>
        <w:rPr>
          <w:rtl/>
        </w:rPr>
      </w:pPr>
      <w:r>
        <w:rPr>
          <w:rtl/>
        </w:rPr>
        <w:tab/>
        <w:t>•</w:t>
      </w:r>
      <w:r>
        <w:rPr>
          <w:rtl/>
        </w:rPr>
        <w:tab/>
        <w:t>تحسَّنت فترات استجابة الشرطة من 9 دقائق إلى 7 دقائق</w:t>
      </w:r>
    </w:p>
    <w:p w:rsidR="00000000" w:rsidRDefault="00000000">
      <w:pPr>
        <w:pStyle w:val="SingleTxt"/>
        <w:tabs>
          <w:tab w:val="clear" w:pos="1267"/>
          <w:tab w:val="left" w:pos="1628"/>
        </w:tabs>
        <w:ind w:left="1927" w:right="1264" w:hanging="663"/>
        <w:rPr>
          <w:rtl/>
        </w:rPr>
      </w:pPr>
      <w:r>
        <w:rPr>
          <w:rtl/>
        </w:rPr>
        <w:tab/>
        <w:t>•</w:t>
      </w:r>
      <w:r>
        <w:rPr>
          <w:rtl/>
        </w:rPr>
        <w:tab/>
        <w:t xml:space="preserve">أصبحت معــدلات الإدانة الآن هي 65 في المائة مقابل 60 في المائــة في الفترة 1996 </w:t>
      </w:r>
      <w:r>
        <w:t>–</w:t>
      </w:r>
      <w:r>
        <w:rPr>
          <w:rtl/>
        </w:rPr>
        <w:t xml:space="preserve"> 1997</w:t>
      </w:r>
    </w:p>
    <w:p w:rsidR="00000000" w:rsidRDefault="00000000">
      <w:pPr>
        <w:pStyle w:val="SingleTxt"/>
        <w:tabs>
          <w:tab w:val="clear" w:pos="1267"/>
          <w:tab w:val="left" w:pos="1628"/>
        </w:tabs>
        <w:ind w:left="1264" w:right="1264"/>
        <w:rPr>
          <w:rtl/>
        </w:rPr>
      </w:pPr>
      <w:r>
        <w:rPr>
          <w:rtl/>
        </w:rPr>
        <w:t>531 -</w:t>
      </w:r>
      <w:r>
        <w:rPr>
          <w:rtl/>
        </w:rPr>
        <w:tab/>
        <w:t>وقد لاحظ تقرير إطار العمل أن نظام العدالة يمكن أن يستجيب بسرعة إزاء الأفعال الجنائية، ولكن له أثراً ضئيلا على ديناميات العلاقة القائمة على الإيذاء. ومن ثم فقد أوصى بمزيد من استعراض إمكانيات وفعالية عمليات حل المنازعات بصورة مبتكرة. كما أوصى بأن تواصل الوكالات الحكومية العمل مع شركاء من المجتمع المحلي من أجل التصدي لمسألة العنف الأسري.</w:t>
      </w:r>
    </w:p>
    <w:p w:rsidR="00000000" w:rsidRDefault="00000000">
      <w:pPr>
        <w:pStyle w:val="SingleTxt"/>
        <w:tabs>
          <w:tab w:val="clear" w:pos="1267"/>
          <w:tab w:val="left" w:pos="1628"/>
        </w:tabs>
        <w:ind w:left="1264" w:right="1264"/>
        <w:rPr>
          <w:rtl/>
        </w:rPr>
      </w:pPr>
      <w:r>
        <w:rPr>
          <w:rtl/>
        </w:rPr>
        <w:t>532 -</w:t>
      </w:r>
      <w:r>
        <w:rPr>
          <w:rtl/>
        </w:rPr>
        <w:tab/>
        <w:t xml:space="preserve">وينص قانون نفقات الإعالة (1994 </w:t>
      </w:r>
      <w:r>
        <w:t>–</w:t>
      </w:r>
      <w:r>
        <w:rPr>
          <w:rtl/>
        </w:rPr>
        <w:t xml:space="preserve"> 1995) على تسجيل وجمع وإنفاذ أوامر نفقة الإعالة في إطار هيكل إداري يقوم على رئاسته مدير إنفاذ نفقة الإعالة. وفي عام 1996 أُدخلت تعديلات على قانون إنفاذ نفقة الإعالة لتوضيح وتحسين التشريعات القائمة. ومن التعديلات ما يسمح بالحل السريع عندما يتعامل مع الذين لا يمتثلون لأحد إجراءات الحجز. ويقوم المدير برصد دفع نفقة الإعالة وله أن يستهل أو يوجِّه إلى اتخاذ إجراءات تعويضية بما يستلزمه إنفاذ السداد. وفي الماضي كانت أوامر الحجز تقتضي طلبا يقدَّم للمحكمة فيما كانت تتداخل مسؤوليات المحكمة عن الفصل والإنفاذ. وجاء البرنامج الجديد ليفصل بين هذه المهام ويزيد فعالية الإنفاذ وعنصر المساءلة عنه. وفي عام 1998 عالج البرنامج 000 13 حالة فجمع 31 مليونا من الدولارات من واقع 39 مليونا من مدفوعات نفقة الإعالة التي كانت مستحقة للوالدين الحاضنين (نساء في العادة) بمعدل تحصيل يبلغ 79 في المائة. ويعمل لدى برنامج إنفاذ نفقة الإعالة 22 من ضباط الإنفاذ. وفي عام 1998بدأت إجراءات للإنفاذ عددها ثمانية آلاف لاسترداد الأموال المستحقة للوالدين الحاضنين.</w:t>
      </w:r>
    </w:p>
    <w:p w:rsidR="00000000" w:rsidRDefault="00000000">
      <w:pPr>
        <w:pStyle w:val="SingleTxt"/>
        <w:tabs>
          <w:tab w:val="clear" w:pos="1267"/>
          <w:tab w:val="left" w:pos="1628"/>
        </w:tabs>
        <w:ind w:left="1264" w:right="1264"/>
        <w:rPr>
          <w:rtl/>
        </w:rPr>
      </w:pPr>
      <w:r>
        <w:rPr>
          <w:rtl/>
        </w:rPr>
        <w:t>533 -</w:t>
      </w:r>
      <w:r>
        <w:rPr>
          <w:rtl/>
        </w:rPr>
        <w:tab/>
        <w:t xml:space="preserve">ويوجد 9 من دور الانتقال في نوفا سكوتشيا ويمولها وزارة الخدمات المجتمعية إضافة إلى مركزين للمعالجة الأسرية في مكماك يتم تمويلهما عن طريق الحكومة الاتحادية، ويقدمان المأوى والدعم وخدمات الإحالة والمتابعة الاتصالية للنساء من ضحايا عنف الأزواج هن وأطفالهن. وفي الفترة 1998 </w:t>
      </w:r>
      <w:r>
        <w:t>–</w:t>
      </w:r>
      <w:r>
        <w:rPr>
          <w:rtl/>
        </w:rPr>
        <w:t xml:space="preserve"> 1999 تلقى أكثر من 000 1 امرأة خدمات المأوى وتلقى عدد أكبر استحقاقات المشورة والاتصال. وفي عام 1996 شاركت وزارة الخدمات المجتمعية مع وزارة العدل في تمويل ثمانية مشاريع لدعم المجني عليهم بغرض تقديم دعم أفضل لضحايا عنف الأزواج ممن يتفاعلون مع نظام العدالة.</w:t>
      </w:r>
    </w:p>
    <w:p w:rsidR="00000000" w:rsidRDefault="00000000">
      <w:pPr>
        <w:pStyle w:val="SingleTxt"/>
        <w:tabs>
          <w:tab w:val="clear" w:pos="1267"/>
          <w:tab w:val="left" w:pos="1628"/>
        </w:tabs>
        <w:ind w:left="1264" w:right="1264"/>
        <w:rPr>
          <w:rtl/>
        </w:rPr>
      </w:pPr>
      <w:r>
        <w:rPr>
          <w:rtl/>
        </w:rPr>
        <w:t>534 -</w:t>
      </w:r>
      <w:r>
        <w:rPr>
          <w:rtl/>
        </w:rPr>
        <w:tab/>
        <w:t>ومنذ عام 1998 اضطلعت وزارة الخدمات المجتمعية بالمسؤولية عن تنفيذ جميع برامج المساعدة الاجتماعية، بما في ذلك برنامج الخدمات الاجتماعية المحلية السابق الذي يساعد الأفراد الذين تستغرق احتياجاتهم وقتا أقصر. وبالإضافة إلى ذلك فإن تنفيذ برامج دعم التوظيف تم توحيده على مستوى المقاطعة كلها.</w:t>
      </w:r>
    </w:p>
    <w:p w:rsidR="00000000" w:rsidRDefault="00000000">
      <w:pPr>
        <w:pStyle w:val="SingleTxt"/>
        <w:tabs>
          <w:tab w:val="clear" w:pos="1267"/>
          <w:tab w:val="left" w:pos="1628"/>
        </w:tabs>
        <w:ind w:left="1264" w:right="1264"/>
        <w:rPr>
          <w:rtl/>
        </w:rPr>
      </w:pPr>
      <w:r>
        <w:rPr>
          <w:rtl/>
        </w:rPr>
        <w:t>535 -</w:t>
      </w:r>
      <w:r>
        <w:rPr>
          <w:rtl/>
        </w:rPr>
        <w:tab/>
        <w:t xml:space="preserve">كما تُقدِّم وزارة الخدمات المجتمعية التمويل لستة من برامج التدخُّل للرجال وهي تكفل خدمات العلاج للجناة الذكور في حالات الأذى الزواجي. وقد أضيف البرنامج السادس في السنة المالية 1998 </w:t>
      </w:r>
      <w:r>
        <w:t>–</w:t>
      </w:r>
      <w:r>
        <w:rPr>
          <w:rtl/>
        </w:rPr>
        <w:t xml:space="preserve"> 1999.</w:t>
      </w:r>
    </w:p>
    <w:p w:rsidR="00000000" w:rsidRDefault="00000000">
      <w:pPr>
        <w:pStyle w:val="SingleTxt"/>
        <w:tabs>
          <w:tab w:val="clear" w:pos="1267"/>
          <w:tab w:val="left" w:pos="1628"/>
        </w:tabs>
        <w:ind w:left="1264" w:right="1264"/>
        <w:rPr>
          <w:rtl/>
        </w:rPr>
      </w:pPr>
      <w:r>
        <w:rPr>
          <w:rtl/>
        </w:rPr>
        <w:t>536 -</w:t>
      </w:r>
      <w:r>
        <w:rPr>
          <w:rtl/>
        </w:rPr>
        <w:tab/>
        <w:t>وفي عام 1998 قام المجلس الاستشاري بتنقيح منشوره المعنون “اضفاء التغييرات: كتاب للنساء في علاقات الإيذاء” وهذا الكتيب يقدِّم معلومات عملية بلغة مبسطة إضافة إلى مشورة مسداة للنساء في حالات الأذى. وهو يمثل مرجعا له قيمته للنساء اللائي بحاجة إلى الأخذ بتغييرات من أجل تعديل الحياة لأنفسهن وأطفالهن. والكتيب متاح في شكل مطبوع بالإنكليزية أو الفرنسية كما أنه متوافر على شريط مسموع وفي صيغة بريل، في دور الانتقال والمراكز النسائية ومحاكم الأسرة والشرطة وخطوط المساعدة الطارئة والجماعات النسائية والجماعات المحلية والمكتبات والمعهد الكندي الوطني للمكفوفين.</w:t>
      </w:r>
    </w:p>
    <w:p w:rsidR="00000000" w:rsidRDefault="00000000">
      <w:pPr>
        <w:pStyle w:val="SingleTxt"/>
        <w:tabs>
          <w:tab w:val="clear" w:pos="1267"/>
          <w:tab w:val="left" w:pos="1628"/>
        </w:tabs>
        <w:ind w:left="1264" w:right="1264"/>
        <w:rPr>
          <w:rtl/>
        </w:rPr>
      </w:pPr>
      <w:r>
        <w:rPr>
          <w:rtl/>
        </w:rPr>
        <w:t>537 -</w:t>
      </w:r>
      <w:r>
        <w:rPr>
          <w:rtl/>
        </w:rPr>
        <w:tab/>
        <w:t xml:space="preserve">وقد شهدت المراكز النسائية زيادة في التمويل اعتبارا من السنة المالية 1999 </w:t>
      </w:r>
      <w:r>
        <w:t>–</w:t>
      </w:r>
      <w:r>
        <w:rPr>
          <w:rtl/>
        </w:rPr>
        <w:t xml:space="preserve"> 2000. وهناك ستة مراكز تقدم الدعم وسُبل الدعوة وخدمات الإحالة فضلا عن المعلومات، إلى النساء اللائي يحتجن لذلك من أجل طائفة واسعة من القضايا بما في ذلك السكن والمساعدة الاجتماعية والعنف ومسائل رعاية الطفولة.</w:t>
      </w:r>
    </w:p>
    <w:p w:rsidR="00000000" w:rsidRDefault="00000000">
      <w:pPr>
        <w:pStyle w:val="SingleTxt"/>
        <w:tabs>
          <w:tab w:val="clear" w:pos="1267"/>
          <w:tab w:val="left" w:pos="1628"/>
        </w:tabs>
        <w:ind w:left="1264" w:right="1264"/>
        <w:rPr>
          <w:rtl/>
        </w:rPr>
      </w:pPr>
      <w:r>
        <w:rPr>
          <w:rtl/>
        </w:rPr>
        <w:t>538 -</w:t>
      </w:r>
      <w:r>
        <w:rPr>
          <w:rtl/>
        </w:rPr>
        <w:tab/>
        <w:t>وعلى مدى السنوات الثلاث السابقة، وضعت برامج بشأن المعايير المتعلقة بدور الانتقال بالتدخل في حالات الذكور. وبالإضافة إلى ذلك توضع بروتوكولات بين دور الانتقال وبرامج الذكور وجمعيات إعانة الطفل من أجل تعزيز حالات الإبلاغ عن إيذاء الأطفال.</w:t>
      </w:r>
    </w:p>
    <w:p w:rsidR="00000000" w:rsidRDefault="00000000">
      <w:pPr>
        <w:pStyle w:val="SingleTxt"/>
        <w:tabs>
          <w:tab w:val="clear" w:pos="1267"/>
          <w:tab w:val="left" w:pos="1628"/>
        </w:tabs>
        <w:ind w:left="1264" w:right="1264"/>
        <w:rPr>
          <w:rtl/>
        </w:rPr>
      </w:pPr>
      <w:r>
        <w:rPr>
          <w:rtl/>
        </w:rPr>
        <w:t>539 -</w:t>
      </w:r>
      <w:r>
        <w:rPr>
          <w:rtl/>
        </w:rPr>
        <w:tab/>
        <w:t>ويستهدف قانون استحقاقات الأسرة (لعام 1989) تقديم المساعدة إلى الأشخاص أو الأسر المحتاجين إليها عندما يكون سبب الحاجة قد أصبح أو من المرجح أن يصبح ذا طابع طويل الأجل. وما يقرب من 59 في المائة من المستفيدين هم من البالغين من ذوي الإعاقات التي تحول بينهم وبين أن يتم استخدامهم على الأقل على مدى سنة واحدة. وأقل من 1 في المائة منهم هم من المواطنين كبار السن. ويشكِّل الآباء الوحيدون نسبة 41 في المائة من المستفيدين، فيما يشكل الآباء المعاقون نسبة 7 في المائة وأقل من 1 في المائة هم من آباء التبني. وفي شباط/فبراير 2000، كان هناك 918 9 امرأة من فئة الوالد الوحيد و279 مستفيدا من الذكور الوحيدين ممن تلقوا هذه الاستحقاقات الأسرية (نحو 250 20 طفلا). وجميع المستفيدين فيما عدا آباء التبني لا بد أن يكونوا مستحقين على أساس الاحتياج، بمعنى أنه لا بد أن يكون دخلهم قاصرا عن الوفاء باحتياجاتهم الأساسية استنادا إلى الأرقام التي تضعها وزارة الخدمات المجتمعية، باعتبار أن استحقاقات الأسرة هي مساعدة في الملجأ الأخير وطالبوها لا بد أن يدللوا على أنهم لا يستحقون أي شكل آخر من أشكال المساعدة ومن ذلك مثلا ما قد يتلقونه من زوج أو من تأمين على الوظيفة وما إلى ذلك.</w:t>
      </w:r>
    </w:p>
    <w:p w:rsidR="00000000" w:rsidRDefault="00000000">
      <w:pPr>
        <w:pStyle w:val="SingleTxt"/>
        <w:tabs>
          <w:tab w:val="clear" w:pos="1267"/>
          <w:tab w:val="left" w:pos="1628"/>
        </w:tabs>
        <w:ind w:left="1264" w:right="1264"/>
        <w:rPr>
          <w:rtl/>
        </w:rPr>
      </w:pPr>
      <w:r>
        <w:rPr>
          <w:rtl/>
        </w:rPr>
        <w:br w:type="page"/>
      </w:r>
      <w:r>
        <w:rPr>
          <w:b/>
          <w:bCs/>
          <w:szCs w:val="34"/>
          <w:rtl/>
        </w:rPr>
        <w:t>نيو برونزويك</w:t>
      </w:r>
    </w:p>
    <w:p w:rsidR="00000000" w:rsidRDefault="00000000">
      <w:pPr>
        <w:pStyle w:val="SingleTxt"/>
        <w:tabs>
          <w:tab w:val="clear" w:pos="1267"/>
          <w:tab w:val="left" w:pos="1628"/>
        </w:tabs>
        <w:ind w:left="1264" w:right="1264"/>
        <w:rPr>
          <w:szCs w:val="32"/>
          <w:rtl/>
        </w:rPr>
      </w:pPr>
      <w:r>
        <w:rPr>
          <w:b/>
          <w:bCs/>
          <w:szCs w:val="32"/>
          <w:rtl/>
        </w:rPr>
        <w:t>مقدمة</w:t>
      </w:r>
    </w:p>
    <w:p w:rsidR="00000000" w:rsidRDefault="00000000">
      <w:pPr>
        <w:pStyle w:val="SingleTxt"/>
        <w:tabs>
          <w:tab w:val="clear" w:pos="1267"/>
          <w:tab w:val="left" w:pos="1628"/>
        </w:tabs>
        <w:ind w:left="1264" w:right="1264"/>
        <w:rPr>
          <w:rtl/>
        </w:rPr>
      </w:pPr>
      <w:r>
        <w:rPr>
          <w:rtl/>
        </w:rPr>
        <w:t>540 -</w:t>
      </w:r>
      <w:r>
        <w:rPr>
          <w:rtl/>
        </w:rPr>
        <w:tab/>
        <w:t>هذا التقرير مُقدم من مقاطعة نيو برونزويك ويغطي الفترة من 1 نيسان/أبريل 1994 إلى 31 آذار/مارس 1998.</w:t>
      </w:r>
    </w:p>
    <w:p w:rsidR="00000000" w:rsidRDefault="00000000">
      <w:pPr>
        <w:pStyle w:val="SingleTxt"/>
        <w:tabs>
          <w:tab w:val="clear" w:pos="1267"/>
          <w:tab w:val="left" w:pos="1628"/>
        </w:tabs>
        <w:ind w:left="1264" w:right="1264"/>
        <w:rPr>
          <w:rtl/>
        </w:rPr>
      </w:pPr>
      <w:r>
        <w:rPr>
          <w:rtl/>
        </w:rPr>
        <w:t>541 -</w:t>
      </w:r>
      <w:r>
        <w:rPr>
          <w:rtl/>
        </w:rPr>
        <w:tab/>
        <w:t>وحكومة نيو برونزويك ملتزمة بتحسين الفرص المتاحة أمام المرأة من خلال وضع السياسات والاستراتيجيات التي تعزِّز مشاركة النساء في المجتمع.</w:t>
      </w:r>
    </w:p>
    <w:p w:rsidR="00000000" w:rsidRDefault="00000000">
      <w:pPr>
        <w:pStyle w:val="SingleTxt"/>
        <w:tabs>
          <w:tab w:val="clear" w:pos="1267"/>
          <w:tab w:val="left" w:pos="1628"/>
        </w:tabs>
        <w:ind w:left="1264" w:right="1264"/>
        <w:rPr>
          <w:b/>
          <w:bCs/>
          <w:rtl/>
        </w:rPr>
      </w:pPr>
      <w:r>
        <w:rPr>
          <w:b/>
          <w:bCs/>
          <w:szCs w:val="32"/>
          <w:rtl/>
        </w:rPr>
        <w:t>المادة 2: تدابير منع التمييز</w:t>
      </w:r>
    </w:p>
    <w:p w:rsidR="00000000" w:rsidRDefault="00000000">
      <w:pPr>
        <w:pStyle w:val="SingleTxt"/>
        <w:tabs>
          <w:tab w:val="clear" w:pos="1267"/>
          <w:tab w:val="left" w:pos="1628"/>
        </w:tabs>
        <w:ind w:left="1264" w:right="1264"/>
        <w:rPr>
          <w:rtl/>
        </w:rPr>
      </w:pPr>
      <w:r>
        <w:rPr>
          <w:rtl/>
        </w:rPr>
        <w:t>542 -</w:t>
      </w:r>
      <w:r>
        <w:rPr>
          <w:rtl/>
        </w:rPr>
        <w:tab/>
        <w:t>في 1 تشرين الثاني/نوفمبر 1996 تم تعديل قانون الإحصاءات الحيوية في نيو برونزويك (لعام 1979) من خلال إحلال مصطلح “كاهن” المحايد جنسانيا محل مصطلح “رجل دين” المعمول به حاليا وذلك من منطلق الاعتراف بتعيين نساء لأداء طقوس الزواج في نيو برونزويك.</w:t>
      </w:r>
    </w:p>
    <w:p w:rsidR="00000000" w:rsidRDefault="00000000">
      <w:pPr>
        <w:pStyle w:val="SingleTxt"/>
        <w:tabs>
          <w:tab w:val="clear" w:pos="1267"/>
          <w:tab w:val="left" w:pos="1628"/>
        </w:tabs>
        <w:ind w:left="1264" w:right="1264"/>
        <w:rPr>
          <w:rtl/>
        </w:rPr>
      </w:pPr>
      <w:r>
        <w:rPr>
          <w:rtl/>
        </w:rPr>
        <w:t>543 -</w:t>
      </w:r>
      <w:r>
        <w:rPr>
          <w:rtl/>
        </w:rPr>
        <w:tab/>
        <w:t>وفي عام 1996 تم تعديل البند 4 (5) من قانون تغيير الإسم في نيو برونزويك (لعام 1973) لإلغاء القيد الذي يقضي بأن الزوج لا بد أن يكون منفصلا على الأقل لمدة سنة قبل أن يتقدم طلبا لتغيير اسم العائلة. وأصبح من الضروري حاليا تقديم تاريخ الانفصال فقط. وإذا ما كانت جميع المعلومات الأخرى المقدمة مرضية للمسجل العام تتم الموافقة على الطلب.</w:t>
      </w:r>
    </w:p>
    <w:p w:rsidR="00000000" w:rsidRDefault="00000000">
      <w:pPr>
        <w:pStyle w:val="SingleTxt"/>
        <w:tabs>
          <w:tab w:val="clear" w:pos="1267"/>
          <w:tab w:val="left" w:pos="1628"/>
        </w:tabs>
        <w:ind w:left="1264" w:right="1264"/>
        <w:rPr>
          <w:rtl/>
        </w:rPr>
      </w:pPr>
      <w:r>
        <w:rPr>
          <w:rtl/>
        </w:rPr>
        <w:t>544 -</w:t>
      </w:r>
      <w:r>
        <w:rPr>
          <w:rtl/>
        </w:rPr>
        <w:tab/>
        <w:t>وتُعد دائرة التوعية والمعلومات القانونية العامة في نيو برونزويك منظمة غير ربحية تتلقى الدعم المالي والنوعي من وزارة العدل في كندا ومن مؤسسة القانون في نيو برونزويك ووزارة العدل في نيو برونزويك. وتتبنى الدائرة سُبل الوصول إلى نظام العدالة من خلال إعلام وتثقيف الجمهور بشأن القانون كما أنها تعطي أولوية خاصة للوصول إلى الفئات المحرومة بما في ذلك المرأة.</w:t>
      </w:r>
    </w:p>
    <w:p w:rsidR="00000000" w:rsidRDefault="00000000">
      <w:pPr>
        <w:pStyle w:val="SingleTxt"/>
        <w:tabs>
          <w:tab w:val="clear" w:pos="1267"/>
          <w:tab w:val="left" w:pos="1628"/>
        </w:tabs>
        <w:ind w:left="1264" w:right="1264"/>
        <w:rPr>
          <w:rtl/>
        </w:rPr>
      </w:pPr>
      <w:r>
        <w:rPr>
          <w:rtl/>
        </w:rPr>
        <w:t>545 -</w:t>
      </w:r>
      <w:r>
        <w:rPr>
          <w:rtl/>
        </w:rPr>
        <w:tab/>
        <w:t>ومنذ عام 1994 اضطلعت الدائرة المذكورة أعلاه بوضع برامج في مجال العنف الأسري تتصدى لقضايا العنف داخل الأسرة بشكل عام وتتولى إعداد مواد بالمعلومات الموجَّهة تحديدا لمساعدة النساء المعرَّضات للإيذاء كي يفهمن حقوقهن. وقد أعدت نواتج كثيرة منها فيديو تعليمي بعنوان “تغيير النهاية” وكتيب بعنوان “عدوان الأزواج: ما يريده الضحايا وما يحتاجونه من الشرطة؟” وهذا الكتيب تم إعداده لتوعية الشرطة باحتياجات النساء المعرَّضات للإيذاء.</w:t>
      </w:r>
    </w:p>
    <w:p w:rsidR="00000000" w:rsidRDefault="00000000">
      <w:pPr>
        <w:pStyle w:val="SingleTxt"/>
        <w:tabs>
          <w:tab w:val="clear" w:pos="1267"/>
          <w:tab w:val="left" w:pos="1628"/>
        </w:tabs>
        <w:ind w:left="1264" w:right="1264"/>
        <w:rPr>
          <w:rtl/>
        </w:rPr>
      </w:pPr>
      <w:r>
        <w:rPr>
          <w:rtl/>
        </w:rPr>
        <w:t>546 -</w:t>
      </w:r>
      <w:r>
        <w:rPr>
          <w:rtl/>
        </w:rPr>
        <w:tab/>
        <w:t>وقد زادت عمليات البرمجة في مجال قانون الأسرة على مستوى الخدمة المذكورة بزيادة الطلب على مواد قانون الأسرة وأدلة المساعدة الذاتية إزاء مسائل قانون الأسرة التي تجنح إلى أن تشكِّل أهمية خاصة بالنسبة للمرأة. وانطوى الأمر بالفعل على إنتاج مواد بشأن مسائل من قبيل الحضانة وسُبل تلبية الاحتياجات فضلاً عن معونات الزوج والطفل. والدائرة على وشك أن تصدر أيضا ملفا عن تغيُّرات دعم الطفل ودليلاً مُنقحا بشأن أن يتولى المرء بنفسه إجراءات طلاقه في نيو برونزويك.</w:t>
      </w:r>
    </w:p>
    <w:p w:rsidR="00000000" w:rsidRDefault="00000000">
      <w:pPr>
        <w:pStyle w:val="SingleTxt"/>
        <w:tabs>
          <w:tab w:val="clear" w:pos="1267"/>
          <w:tab w:val="left" w:pos="1628"/>
        </w:tabs>
        <w:ind w:left="1264" w:right="1264"/>
        <w:rPr>
          <w:szCs w:val="32"/>
          <w:rtl/>
        </w:rPr>
      </w:pPr>
      <w:r>
        <w:rPr>
          <w:b/>
          <w:bCs/>
          <w:szCs w:val="32"/>
          <w:rtl/>
        </w:rPr>
        <w:t>المادة 3: التدابير الرامية إلى كفالة النهوض بالمرأة</w:t>
      </w:r>
    </w:p>
    <w:p w:rsidR="00000000" w:rsidRDefault="00000000">
      <w:pPr>
        <w:pStyle w:val="SingleTxt"/>
        <w:tabs>
          <w:tab w:val="clear" w:pos="1267"/>
          <w:tab w:val="left" w:pos="1628"/>
        </w:tabs>
        <w:ind w:left="1264" w:right="1264"/>
        <w:rPr>
          <w:rtl/>
        </w:rPr>
      </w:pPr>
      <w:r>
        <w:rPr>
          <w:rtl/>
        </w:rPr>
        <w:t>547 -</w:t>
      </w:r>
      <w:r>
        <w:rPr>
          <w:rtl/>
        </w:rPr>
        <w:tab/>
        <w:t>في عام 1993 أعيد التكليف بمسؤوليات قضايا المرأة من مديرية المرأة لتضطلع به الوزارات الميدانية. وهذه الوزارات ما زالت تقوم بدور قيادي في وضع السياسات والبرامج المتعلقة تحديدا بالولايات المكلفة بها التي تدعم المرأة في المقاطعة. وفي عام 1994 أوكلت مسؤوليات التنسيق إلى مكتب المجلس التنفيذي بوصفه رئاسة اللجنة الوزارية المشتركة المعنية بوضع المرأة. واللجنة مؤلفة من مسؤولين يشاركون في وضع البرامج والسياسات الاجتماعية والاقتصادية التي تؤثر على وضع المرأة. أما الوزير المسؤول عن وضع المرأة في نيو برونزويك فهو معالي الوزيرة مارسيل مرسيرو.</w:t>
      </w:r>
    </w:p>
    <w:p w:rsidR="00000000" w:rsidRDefault="00000000">
      <w:pPr>
        <w:pStyle w:val="SingleTxt"/>
        <w:tabs>
          <w:tab w:val="clear" w:pos="1267"/>
          <w:tab w:val="left" w:pos="1628"/>
        </w:tabs>
        <w:ind w:left="1264" w:right="1264"/>
        <w:rPr>
          <w:rtl/>
        </w:rPr>
      </w:pPr>
      <w:r>
        <w:rPr>
          <w:rtl/>
        </w:rPr>
        <w:t>548 -</w:t>
      </w:r>
      <w:r>
        <w:rPr>
          <w:rtl/>
        </w:rPr>
        <w:tab/>
        <w:t>والمجلس الاستشاري المعني بوضع المرأة في نيو برونزويك عبارة عن هيئة تقوم من أجل توعية الجمهور بشأن القضايا ذات الأهمية للمرأة ويواصل إسداء المشورة إلى حكومة المقاطعة بشأن القضايا التي تؤثر بصورة مباشرة أو غير مباشرة على حياة المرأة.</w:t>
      </w:r>
    </w:p>
    <w:p w:rsidR="00000000" w:rsidRDefault="00000000">
      <w:pPr>
        <w:pStyle w:val="SingleTxt"/>
        <w:tabs>
          <w:tab w:val="clear" w:pos="1267"/>
          <w:tab w:val="left" w:pos="1628"/>
        </w:tabs>
        <w:ind w:left="1264" w:right="1264"/>
        <w:rPr>
          <w:b/>
          <w:bCs/>
          <w:szCs w:val="32"/>
          <w:rtl/>
        </w:rPr>
      </w:pPr>
      <w:r>
        <w:rPr>
          <w:b/>
          <w:bCs/>
          <w:szCs w:val="32"/>
          <w:rtl/>
        </w:rPr>
        <w:t>المادة 4: التدابير المؤقتة الخاصة</w:t>
      </w:r>
    </w:p>
    <w:p w:rsidR="00000000" w:rsidRDefault="00000000">
      <w:pPr>
        <w:pStyle w:val="SingleTxt"/>
        <w:tabs>
          <w:tab w:val="clear" w:pos="1267"/>
          <w:tab w:val="left" w:pos="1628"/>
        </w:tabs>
        <w:ind w:left="1264" w:right="1264"/>
        <w:rPr>
          <w:rtl/>
        </w:rPr>
      </w:pPr>
      <w:r>
        <w:rPr>
          <w:rtl/>
        </w:rPr>
        <w:t>549 -</w:t>
      </w:r>
      <w:r>
        <w:rPr>
          <w:rtl/>
        </w:rPr>
        <w:tab/>
        <w:t>باعتبار أن حكومة نيو برونزويك من أرباب الأعمال فهي تواصل النشاط من أجل دعم مبادرات الإنصاف التوظيفي التي تقصد إلى تحقيق المساواة الاجتماعية والاقتصادية والسياسية للمرأة في القطاع العام في نيو برونزويك.</w:t>
      </w:r>
    </w:p>
    <w:p w:rsidR="00000000" w:rsidRDefault="00000000">
      <w:pPr>
        <w:pStyle w:val="SingleTxt"/>
        <w:tabs>
          <w:tab w:val="clear" w:pos="1267"/>
          <w:tab w:val="left" w:pos="1628"/>
        </w:tabs>
        <w:ind w:left="1264" w:right="1264"/>
        <w:rPr>
          <w:rtl/>
        </w:rPr>
      </w:pPr>
      <w:r>
        <w:rPr>
          <w:rtl/>
        </w:rPr>
        <w:t>550 -</w:t>
      </w:r>
      <w:r>
        <w:rPr>
          <w:rtl/>
        </w:rPr>
        <w:tab/>
        <w:t>وبوصفها من أرباب الأعمال أيضا فالحكومة المذكورة ملتزمة بتهيئة بيئة عمل يُعامَل في ظلها جميع الأفراد باحترام وكرامة. ومن مسؤولية رب العمل أن يمنع المضايقة في موقع العمل ويقضي عليها.</w:t>
      </w:r>
    </w:p>
    <w:p w:rsidR="00000000" w:rsidRDefault="00000000">
      <w:pPr>
        <w:pStyle w:val="SingleTxt"/>
        <w:tabs>
          <w:tab w:val="clear" w:pos="1267"/>
          <w:tab w:val="left" w:pos="1628"/>
        </w:tabs>
        <w:ind w:left="1264" w:right="1264"/>
        <w:rPr>
          <w:rtl/>
        </w:rPr>
      </w:pPr>
      <w:r>
        <w:rPr>
          <w:rtl/>
        </w:rPr>
        <w:t>551 -</w:t>
      </w:r>
      <w:r>
        <w:rPr>
          <w:rtl/>
        </w:rPr>
        <w:tab/>
        <w:t>وقد ظل برنامج الإنصاف التوظيفي للمرأة مُنفذا في القطاع 1 من الخدمة العامة في نيو برونزويك منذ عام 1985. وهذا الجزء من الخدمة العامة يشمل الوزارات الميدانية.</w:t>
      </w:r>
    </w:p>
    <w:p w:rsidR="00000000" w:rsidRDefault="00000000">
      <w:pPr>
        <w:pStyle w:val="SingleTxt"/>
        <w:tabs>
          <w:tab w:val="clear" w:pos="1267"/>
          <w:tab w:val="left" w:pos="1628"/>
        </w:tabs>
        <w:ind w:left="1264" w:right="1264"/>
        <w:rPr>
          <w:rtl/>
        </w:rPr>
      </w:pPr>
    </w:p>
    <w:p w:rsidR="00000000" w:rsidRDefault="00000000">
      <w:pPr>
        <w:pStyle w:val="SingleTxt"/>
        <w:tabs>
          <w:tab w:val="clear" w:pos="1267"/>
          <w:tab w:val="left" w:pos="1628"/>
        </w:tabs>
        <w:ind w:left="1264" w:right="1264"/>
        <w:rPr>
          <w:rtl/>
        </w:rPr>
      </w:pPr>
    </w:p>
    <w:p w:rsidR="00000000" w:rsidRDefault="00000000">
      <w:pPr>
        <w:pStyle w:val="SingleTxt"/>
        <w:tabs>
          <w:tab w:val="clear" w:pos="1267"/>
          <w:tab w:val="left" w:pos="1628"/>
        </w:tabs>
        <w:ind w:left="1264" w:right="1264"/>
        <w:rPr>
          <w:rtl/>
        </w:rPr>
      </w:pPr>
      <w:r>
        <w:rPr>
          <w:rtl/>
        </w:rPr>
        <w:t>552 -</w:t>
      </w:r>
      <w:r>
        <w:rPr>
          <w:rtl/>
        </w:rPr>
        <w:tab/>
        <w:t>وتواصل الوزارات والوكالات في القطاع 1 من الخدمة العامة العمل نحو تنفيذ الأهداف الكيفية والكَمية بما يكفل زيادة التمثيل على المستويات التي ينخفض فيها تمثيل المرأة. كما تواصل الوزارات والوكالات تنفيذ ترتيبات العمل المرنة والمبادرات الرامية إلى تهيئة أماكن عمل خالية من المضايقات.</w:t>
      </w:r>
    </w:p>
    <w:p w:rsidR="00000000" w:rsidRDefault="00000000">
      <w:pPr>
        <w:pStyle w:val="SingleTxt"/>
        <w:tabs>
          <w:tab w:val="clear" w:pos="1267"/>
          <w:tab w:val="left" w:pos="1628"/>
        </w:tabs>
        <w:ind w:left="1264" w:right="1264"/>
        <w:rPr>
          <w:b/>
          <w:bCs/>
          <w:rtl/>
        </w:rPr>
      </w:pPr>
      <w:r>
        <w:rPr>
          <w:b/>
          <w:bCs/>
          <w:rtl/>
        </w:rPr>
        <w:t>المادة 5: القضاء على الصور النمطية الجامدة</w:t>
      </w:r>
    </w:p>
    <w:p w:rsidR="00000000" w:rsidRDefault="00000000">
      <w:pPr>
        <w:pStyle w:val="SingleTxt"/>
        <w:tabs>
          <w:tab w:val="clear" w:pos="1267"/>
          <w:tab w:val="left" w:pos="1628"/>
        </w:tabs>
        <w:ind w:left="1264" w:right="1264"/>
        <w:rPr>
          <w:rtl/>
        </w:rPr>
      </w:pPr>
      <w:r>
        <w:rPr>
          <w:rtl/>
        </w:rPr>
        <w:t>553 -</w:t>
      </w:r>
      <w:r>
        <w:rPr>
          <w:rtl/>
        </w:rPr>
        <w:tab/>
        <w:t>يعمل المدرسون ومستشارو التوجيه حاليا بصورة وثيقة مع مؤسسة موريل مكويين فرغسون/جامعة نيو برونزويك ومركزها لبحوث العنف الأسري في مشروعين بحثيين: إيجاد بيئات تعلم سلمية، والعنف عند لقاء المواعدة بين الجنسين على مستوى الصغار والكبار.</w:t>
      </w:r>
    </w:p>
    <w:p w:rsidR="00000000" w:rsidRDefault="00000000">
      <w:pPr>
        <w:pStyle w:val="SingleTxt"/>
        <w:tabs>
          <w:tab w:val="clear" w:pos="1267"/>
          <w:tab w:val="left" w:pos="1628"/>
        </w:tabs>
        <w:ind w:left="1264" w:right="1264"/>
        <w:rPr>
          <w:rtl/>
        </w:rPr>
      </w:pPr>
      <w:r>
        <w:rPr>
          <w:rtl/>
        </w:rPr>
        <w:t>554 -</w:t>
      </w:r>
      <w:r>
        <w:rPr>
          <w:rtl/>
        </w:rPr>
        <w:tab/>
        <w:t>وينصبّ محور اهتمام فرع التعليم والتنمية في لجنة نيو برونزويك لحقوق الإنسان على تطوير وإعداد برامج ونواتج مرتفعة النوعية من شأنها تعزيز المساواة والامتثال لقانون حقوق الإنسان. ومن بين البرامج التعليمية الأخرى التي تم تطويرها مؤخرا مسلسل تلفزيوني من أربعة أجزاء بعنوان رؤية من أجل المساواة وقد تم بثه على مستوى المقاطعة بأكملها وشمل قصة عن التحرش الجنسي.</w:t>
      </w:r>
    </w:p>
    <w:p w:rsidR="00000000" w:rsidRDefault="00000000">
      <w:pPr>
        <w:pStyle w:val="SingleTxt"/>
        <w:tabs>
          <w:tab w:val="clear" w:pos="1267"/>
          <w:tab w:val="left" w:pos="1628"/>
        </w:tabs>
        <w:ind w:left="1264" w:right="1264"/>
        <w:rPr>
          <w:rtl/>
        </w:rPr>
      </w:pPr>
      <w:r>
        <w:rPr>
          <w:rtl/>
        </w:rPr>
        <w:t>555 -</w:t>
      </w:r>
      <w:r>
        <w:rPr>
          <w:rtl/>
        </w:rPr>
        <w:tab/>
        <w:t>وقد نظمت لجنة حقوق الإنسان في نيو برونزويك عدة حلقات عمل لجماعات في جميع أنحاء المقاطعة على مستوى القطاع العام والخاص والقطاع غير الربحي بشأن طائفة متنوعة من قضايا حقوق الإنسان بما في ذلك تلك التي تعالج حقوق الإنسان للمرأة. وشملت المواضيع المطروحة “التحرش الجنسي في موقع العمل” و “التحرش في إطار بيئة للرعاية الصحية” ثم “التحرش في المدارس”.</w:t>
      </w:r>
    </w:p>
    <w:p w:rsidR="00000000" w:rsidRDefault="00000000">
      <w:pPr>
        <w:pStyle w:val="SingleTxt"/>
        <w:tabs>
          <w:tab w:val="clear" w:pos="1267"/>
          <w:tab w:val="left" w:pos="1628"/>
        </w:tabs>
        <w:ind w:left="1264" w:right="1264"/>
        <w:rPr>
          <w:rtl/>
        </w:rPr>
      </w:pPr>
      <w:r>
        <w:rPr>
          <w:rtl/>
        </w:rPr>
        <w:t>556 -</w:t>
      </w:r>
      <w:r>
        <w:rPr>
          <w:rtl/>
        </w:rPr>
        <w:tab/>
        <w:t>وفي عام 1996، إقتصر الأمر على المرشحين الذين  كانوا إما إناثا أو كانوا ينتمون إلى إحدى الأقليات الواضحة حيث التحقوا بأكاديمية الشرطة الأطلسية من نيو برونزويك وكان الهدف من هذا التدبير هو زيادة تمثيل المرأة والأقليات الواضحة في قوات الشرطة في جميع أنحاء المقاطعة.</w:t>
      </w:r>
    </w:p>
    <w:p w:rsidR="00000000" w:rsidRDefault="00000000">
      <w:pPr>
        <w:pStyle w:val="SingleTxt"/>
        <w:tabs>
          <w:tab w:val="clear" w:pos="1267"/>
          <w:tab w:val="left" w:pos="1628"/>
        </w:tabs>
        <w:ind w:left="1264" w:right="1264"/>
        <w:rPr>
          <w:rtl/>
        </w:rPr>
      </w:pPr>
      <w:r>
        <w:rPr>
          <w:rtl/>
        </w:rPr>
        <w:t>557 -</w:t>
      </w:r>
      <w:r>
        <w:rPr>
          <w:rtl/>
        </w:rPr>
        <w:tab/>
        <w:t>وفي ظل توجيه إدارة المحامي العام يقدَّم مركز الإصلاحيات الإقليمي في سان جون عدة برامج وحلقات عمل مختلفة ومتواصلة بشأن النساء من مرتكبات الجرائم عن موضوعات من قبيل الوالدية واحترام النفس وكظم الغيط وتأكيد الشخصية ووعي الذات والوعي المجتمعي والتواصل الفعال بين الأشخاص.</w:t>
      </w:r>
    </w:p>
    <w:p w:rsidR="00000000" w:rsidRDefault="00000000">
      <w:pPr>
        <w:pStyle w:val="SingleTxt"/>
        <w:tabs>
          <w:tab w:val="clear" w:pos="1267"/>
          <w:tab w:val="left" w:pos="1628"/>
        </w:tabs>
        <w:ind w:left="1264" w:right="1264"/>
        <w:rPr>
          <w:rtl/>
        </w:rPr>
      </w:pPr>
      <w:r>
        <w:rPr>
          <w:rtl/>
        </w:rPr>
        <w:t>558 -</w:t>
      </w:r>
      <w:r>
        <w:rPr>
          <w:rtl/>
        </w:rPr>
        <w:tab/>
        <w:t>وفي إطار التعاون مع الشرطة والمدعين التابعين للتاج، يعمل موظفو فرع الخدمات المجتمعية وخدمات الإصلاحيات في دائرة المحامي العام على المساعدة في إعداد الضحايا والشهود من أجل الإدلاء بشهادة فعَّالة أمام المحكمة. ويولى اهتمام خاص لاحتياجات النساء والأطفال الذين تعرضوا للأذى.</w:t>
      </w:r>
    </w:p>
    <w:p w:rsidR="00000000" w:rsidRDefault="00000000">
      <w:pPr>
        <w:pStyle w:val="SingleTxt"/>
        <w:tabs>
          <w:tab w:val="clear" w:pos="1267"/>
          <w:tab w:val="left" w:pos="1628"/>
        </w:tabs>
        <w:ind w:left="1264" w:right="1264"/>
        <w:rPr>
          <w:rtl/>
        </w:rPr>
      </w:pPr>
      <w:r>
        <w:rPr>
          <w:rtl/>
        </w:rPr>
        <w:t>559 -</w:t>
      </w:r>
      <w:r>
        <w:rPr>
          <w:rtl/>
        </w:rPr>
        <w:tab/>
        <w:t>كذلك فإن مشروع تقديم المشورة في حالة الصدمات (الممول من صندوق خدمات المجني عليهم) يهدف بدوره إلى مساعدة النساء والأطفال من ضحايا الإيذاء على المشاركة في إجراءات محاكم الجنايات. وفي هذا المشروع يتم استخدام اختصاصيين خاصين على أساس كل حالة على حده من أجل تقديم المشورة للتعامل مع الصدمات.</w:t>
      </w:r>
    </w:p>
    <w:p w:rsidR="00000000" w:rsidRDefault="00000000">
      <w:pPr>
        <w:pStyle w:val="SingleTxt"/>
        <w:tabs>
          <w:tab w:val="clear" w:pos="1267"/>
          <w:tab w:val="left" w:pos="1628"/>
        </w:tabs>
        <w:ind w:left="1264" w:right="1264"/>
        <w:rPr>
          <w:rtl/>
        </w:rPr>
      </w:pPr>
      <w:r>
        <w:rPr>
          <w:rtl/>
        </w:rPr>
        <w:t>560 -</w:t>
      </w:r>
      <w:r>
        <w:rPr>
          <w:rtl/>
        </w:rPr>
        <w:tab/>
        <w:t>وجميع ضحايا الجريمة في نيو برونزويك أصبح من حقهم أن يدلوا ببيان من المجني عليه عن أثر ما لحق به أو بها من أذى واصفاً بذلك الضرر والمعاناة التي شهدها نتيجة لجريمة ما. وللمحكمة أن تنظر في بيان الأثر الذي يدلي به الطرف المجني عليه عند تقريرها الحكم الذي ستفرضه على الجاني. ومنذ عام 1991 قدِّم إلى المحكمة 558 1 من هذه البيانات وكان 80 في المائة منها مقدَّماً من نساء.</w:t>
      </w:r>
    </w:p>
    <w:p w:rsidR="00000000" w:rsidRDefault="00000000">
      <w:pPr>
        <w:pStyle w:val="SingleTxt"/>
        <w:tabs>
          <w:tab w:val="clear" w:pos="1267"/>
          <w:tab w:val="left" w:pos="1628"/>
        </w:tabs>
        <w:ind w:left="1264" w:right="1264"/>
        <w:rPr>
          <w:rtl/>
        </w:rPr>
      </w:pPr>
      <w:r>
        <w:rPr>
          <w:rtl/>
        </w:rPr>
        <w:t>561 -</w:t>
      </w:r>
      <w:r>
        <w:rPr>
          <w:rtl/>
        </w:rPr>
        <w:tab/>
        <w:t>وتُعد نيو برونزويك موقعا نموذجيا وطنيا للمشروع المعنون “جمع الإحصاءات عن إيذاء المرأة”. وهذا المشروع يتم تحت توجيه دائرة المحامي العام ووزارة العدل والشعبة “ياء” من شرطة الخيالة الملكية الكندية ورابطة رؤساء الشرطة بالمقاطعة. ويتألف من جمع وتحليل المعلومات عن إيذاء الأطفال والنساء والمسنين واسترعاء اهتمام نظام العدالة الجنائية إلى هذا الأذى. وكان البرنامج منفذا في نهاية عام 1995.</w:t>
      </w:r>
    </w:p>
    <w:p w:rsidR="00000000" w:rsidRDefault="00000000">
      <w:pPr>
        <w:pStyle w:val="SingleTxt"/>
        <w:tabs>
          <w:tab w:val="clear" w:pos="1267"/>
          <w:tab w:val="left" w:pos="1628"/>
        </w:tabs>
        <w:ind w:left="1264" w:right="1264"/>
        <w:rPr>
          <w:rtl/>
        </w:rPr>
      </w:pPr>
      <w:r>
        <w:rPr>
          <w:rtl/>
        </w:rPr>
        <w:t>562 -</w:t>
      </w:r>
      <w:r>
        <w:rPr>
          <w:rtl/>
        </w:rPr>
        <w:tab/>
        <w:t>وما زالت اللجنة الوزارية المعنية بالعنف الأسري في برونزويك تعمل على رصد المبادرات الحكومية المتعلقة بجميع أشكال العنف الأسري والتوصية بشأنها وتنسيقها.</w:t>
      </w:r>
    </w:p>
    <w:p w:rsidR="00000000" w:rsidRDefault="00000000">
      <w:pPr>
        <w:pStyle w:val="SingleTxt"/>
        <w:tabs>
          <w:tab w:val="clear" w:pos="1267"/>
          <w:tab w:val="left" w:pos="1628"/>
        </w:tabs>
        <w:ind w:left="1264" w:right="1264"/>
        <w:rPr>
          <w:b/>
          <w:bCs/>
          <w:rtl/>
        </w:rPr>
      </w:pPr>
      <w:r>
        <w:rPr>
          <w:b/>
          <w:bCs/>
          <w:rtl/>
        </w:rPr>
        <w:t>المادة 7: المرأة في مجال السياسة والحياة العامة</w:t>
      </w:r>
    </w:p>
    <w:p w:rsidR="00000000" w:rsidRDefault="00000000">
      <w:pPr>
        <w:pStyle w:val="SingleTxt"/>
        <w:tabs>
          <w:tab w:val="clear" w:pos="1267"/>
          <w:tab w:val="left" w:pos="1628"/>
        </w:tabs>
        <w:ind w:left="1264" w:right="1264"/>
        <w:rPr>
          <w:rtl/>
        </w:rPr>
      </w:pPr>
      <w:r>
        <w:rPr>
          <w:rtl/>
        </w:rPr>
        <w:t>563 -</w:t>
      </w:r>
      <w:r>
        <w:rPr>
          <w:rtl/>
        </w:rPr>
        <w:tab/>
        <w:t>في عام 1998، كان هناك 8 نساء من بين 55 من أعضاء الجمعية التشريعية في برونزويك (15 في المائة).</w:t>
      </w:r>
    </w:p>
    <w:p w:rsidR="00000000" w:rsidRDefault="00000000">
      <w:pPr>
        <w:pStyle w:val="SingleTxt"/>
        <w:tabs>
          <w:tab w:val="clear" w:pos="1267"/>
          <w:tab w:val="left" w:pos="1628"/>
        </w:tabs>
        <w:ind w:left="1264" w:right="1264"/>
        <w:rPr>
          <w:rtl/>
        </w:rPr>
      </w:pPr>
      <w:r>
        <w:rPr>
          <w:rtl/>
        </w:rPr>
        <w:t>564 -</w:t>
      </w:r>
      <w:r>
        <w:rPr>
          <w:rtl/>
        </w:rPr>
        <w:tab/>
        <w:t>في عام 1998 كان هناك أربع سيدات أعضاء في المجلس التنفيذي بنيو برونزويك</w:t>
      </w:r>
    </w:p>
    <w:p w:rsidR="00000000" w:rsidRDefault="00000000">
      <w:pPr>
        <w:pStyle w:val="SingleTxt"/>
        <w:tabs>
          <w:tab w:val="clear" w:pos="1267"/>
          <w:tab w:val="left" w:pos="1628"/>
        </w:tabs>
        <w:ind w:left="1264" w:right="1264"/>
        <w:rPr>
          <w:rtl/>
        </w:rPr>
      </w:pPr>
      <w:r>
        <w:rPr>
          <w:rtl/>
        </w:rPr>
        <w:t>565 -</w:t>
      </w:r>
      <w:r>
        <w:rPr>
          <w:rtl/>
        </w:rPr>
        <w:tab/>
        <w:t>في عام 1994 كانت السيدة مرغريت نوري ماكين هي أول امرأة تعُين نائبا لحاكم مقاطعة نيو برونزويك. وتبع السيدة ماكين امرأة أخرى هي الدكتورة مارلين ترنهولم التي عُينت في عام 1997.</w:t>
      </w:r>
    </w:p>
    <w:p w:rsidR="00000000" w:rsidRDefault="00000000">
      <w:pPr>
        <w:pStyle w:val="SingleTxt"/>
        <w:tabs>
          <w:tab w:val="clear" w:pos="1267"/>
          <w:tab w:val="left" w:pos="1628"/>
        </w:tabs>
        <w:ind w:left="1264" w:right="1264"/>
        <w:rPr>
          <w:rtl/>
        </w:rPr>
      </w:pPr>
      <w:r>
        <w:rPr>
          <w:rtl/>
        </w:rPr>
        <w:t>566 -</w:t>
      </w:r>
      <w:r>
        <w:rPr>
          <w:rtl/>
        </w:rPr>
        <w:tab/>
        <w:t>في عام 1998 كان هناك 5 نساء من بين 17 من أعضاء مجلس الوزراء (29 في المائة)</w:t>
      </w:r>
    </w:p>
    <w:p w:rsidR="00000000" w:rsidRDefault="00000000">
      <w:pPr>
        <w:pStyle w:val="SingleTxt"/>
        <w:tabs>
          <w:tab w:val="clear" w:pos="1267"/>
          <w:tab w:val="left" w:pos="1628"/>
        </w:tabs>
        <w:ind w:left="1264" w:right="1264"/>
        <w:rPr>
          <w:rtl/>
        </w:rPr>
      </w:pPr>
      <w:r>
        <w:rPr>
          <w:rtl/>
        </w:rPr>
        <w:t>567 -</w:t>
      </w:r>
      <w:r>
        <w:rPr>
          <w:rtl/>
        </w:rPr>
        <w:tab/>
        <w:t>في عام 1998 كان هناك 5 نساء من بين 21 من نواب الوزراء في نيو برونزويك (24 في المائة)</w:t>
      </w:r>
    </w:p>
    <w:p w:rsidR="00000000" w:rsidRDefault="00000000">
      <w:pPr>
        <w:pStyle w:val="SingleTxt"/>
        <w:tabs>
          <w:tab w:val="clear" w:pos="1267"/>
          <w:tab w:val="left" w:pos="1628"/>
        </w:tabs>
        <w:ind w:left="1264" w:right="1264"/>
        <w:rPr>
          <w:rtl/>
        </w:rPr>
      </w:pPr>
      <w:r>
        <w:rPr>
          <w:rtl/>
        </w:rPr>
        <w:t>568 -</w:t>
      </w:r>
      <w:r>
        <w:rPr>
          <w:rtl/>
        </w:rPr>
        <w:tab/>
        <w:t>من بين الـ 711 مرشحا لمناصب مستشاري البلديات ورؤساء البلديات في الانتخابات البلدية في أيار/مايو 1998 كان هناك 191 امرأة (27 في المائة).</w:t>
      </w:r>
    </w:p>
    <w:p w:rsidR="00000000" w:rsidRDefault="00000000">
      <w:pPr>
        <w:pStyle w:val="SingleTxt"/>
        <w:tabs>
          <w:tab w:val="clear" w:pos="1267"/>
          <w:tab w:val="left" w:pos="1628"/>
        </w:tabs>
        <w:ind w:left="1264" w:right="1264"/>
        <w:rPr>
          <w:rtl/>
        </w:rPr>
      </w:pPr>
      <w:r>
        <w:rPr>
          <w:rtl/>
        </w:rPr>
        <w:t>569 -</w:t>
      </w:r>
      <w:r>
        <w:rPr>
          <w:rtl/>
        </w:rPr>
        <w:tab/>
        <w:t>بين عامي 1994 و 1998 كان هناك امرأتان من بين القضاة الخمسة المعيَّنين في محكمة المقاطعة بما وصل بالعدد الإجمالي للقضاة من النساء في محاكم المقاطعة إلى ثلاث.</w:t>
      </w:r>
    </w:p>
    <w:p w:rsidR="00000000" w:rsidRDefault="00000000">
      <w:pPr>
        <w:pStyle w:val="SingleTxt"/>
        <w:tabs>
          <w:tab w:val="clear" w:pos="1267"/>
          <w:tab w:val="left" w:pos="1628"/>
        </w:tabs>
        <w:ind w:left="1264" w:right="1264"/>
        <w:rPr>
          <w:b/>
          <w:bCs/>
          <w:rtl/>
        </w:rPr>
      </w:pPr>
      <w:r>
        <w:rPr>
          <w:b/>
          <w:bCs/>
          <w:rtl/>
        </w:rPr>
        <w:t>المادة 10: التعليم</w:t>
      </w:r>
    </w:p>
    <w:p w:rsidR="00000000" w:rsidRDefault="00000000">
      <w:pPr>
        <w:pStyle w:val="SingleTxt"/>
        <w:tabs>
          <w:tab w:val="clear" w:pos="1267"/>
          <w:tab w:val="left" w:pos="1628"/>
        </w:tabs>
        <w:ind w:left="1264" w:right="1264"/>
        <w:rPr>
          <w:rtl/>
        </w:rPr>
      </w:pPr>
      <w:r>
        <w:rPr>
          <w:rtl/>
        </w:rPr>
        <w:t>570 -</w:t>
      </w:r>
      <w:r>
        <w:rPr>
          <w:rtl/>
        </w:rPr>
        <w:tab/>
        <w:t>قامت وزارة التعليم في نيو برونزويك باستعراض مواد المنهج الدراسي بما يكفل أن يكون خالياً من الصور النمطية الجامدة وأن يقدِّم المرأة في صورة إيجابية. وفي هذا الشأن تم إعداد قائمة حصرية من أجل “الكشف عن التحيُّز والصور النمطية الجامدة في المواد التعليمية”، ويجري توزيعها على المدارس بصورة متواصلة.</w:t>
      </w:r>
    </w:p>
    <w:p w:rsidR="00000000" w:rsidRDefault="00000000">
      <w:pPr>
        <w:pStyle w:val="SingleTxt"/>
        <w:tabs>
          <w:tab w:val="clear" w:pos="1267"/>
          <w:tab w:val="left" w:pos="1628"/>
        </w:tabs>
        <w:ind w:left="1264" w:right="1264"/>
        <w:rPr>
          <w:rtl/>
        </w:rPr>
      </w:pPr>
      <w:r>
        <w:rPr>
          <w:rtl/>
        </w:rPr>
        <w:t>571 -</w:t>
      </w:r>
      <w:r>
        <w:rPr>
          <w:rtl/>
        </w:rPr>
        <w:tab/>
        <w:t>كذلك فقد قامت وزارة التعليم في نيو برونزويك، بالاشتراك مع المجلس الاستشاري المعني بوضع المرأة، بتنفيذ عدة برامج مصممة من أجل الأطفال ومنها برنامج إصحب أولادك إلى العمل الذي يُشجع الإناث والذكور في الصَف التاسع على أن يمضوا يوما في موقع عمل والديهم.</w:t>
      </w:r>
    </w:p>
    <w:p w:rsidR="00000000" w:rsidRDefault="00000000">
      <w:pPr>
        <w:pStyle w:val="SingleTxt"/>
        <w:tabs>
          <w:tab w:val="clear" w:pos="1267"/>
          <w:tab w:val="left" w:pos="1628"/>
        </w:tabs>
        <w:ind w:left="1264" w:right="1264"/>
        <w:rPr>
          <w:rtl/>
        </w:rPr>
      </w:pPr>
      <w:r>
        <w:rPr>
          <w:rtl/>
        </w:rPr>
        <w:t>572 -</w:t>
      </w:r>
      <w:r>
        <w:rPr>
          <w:rtl/>
        </w:rPr>
        <w:tab/>
        <w:t xml:space="preserve"> وشهر تشرين الأول/أكتوبر هو شهر تاريخ المرأة في نيو برونزويك. وخلال هذا الشهر تتلقى كل مدرسة حزمة معلومات تشمل عدة مقالات وأُحجية عن شهيرات النساء بالمقاطعة ومن ثمّ يجري استخدامها لتثقيف الطلاب بشأن مُنجزات المرأة في نيو برونزويك.</w:t>
      </w:r>
    </w:p>
    <w:p w:rsidR="00000000" w:rsidRDefault="00000000">
      <w:pPr>
        <w:pStyle w:val="SingleTxt"/>
        <w:tabs>
          <w:tab w:val="clear" w:pos="1267"/>
          <w:tab w:val="left" w:pos="1628"/>
        </w:tabs>
        <w:ind w:left="1264" w:right="1264"/>
        <w:rPr>
          <w:rtl/>
        </w:rPr>
      </w:pPr>
      <w:r>
        <w:rPr>
          <w:rtl/>
        </w:rPr>
        <w:t>573 -</w:t>
      </w:r>
      <w:r>
        <w:rPr>
          <w:rtl/>
        </w:rPr>
        <w:tab/>
        <w:t xml:space="preserve">ويدعم فرع التنمية والتجديد المهني في وزارة التعليم في نيو برونزويك منظمة المرأة في الإدارة التعليمية </w:t>
      </w:r>
      <w:r>
        <w:t>–</w:t>
      </w:r>
      <w:r>
        <w:rPr>
          <w:rtl/>
        </w:rPr>
        <w:t xml:space="preserve"> نيو برونزويك وهي منظمة تآزر النساء المربيات/الإداريات ممن يرغبن في تحسين مهاراتهن وفرصهن الإدارية.</w:t>
      </w:r>
    </w:p>
    <w:p w:rsidR="00000000" w:rsidRDefault="00000000">
      <w:pPr>
        <w:pStyle w:val="SingleTxt"/>
        <w:tabs>
          <w:tab w:val="clear" w:pos="1267"/>
          <w:tab w:val="left" w:pos="1628"/>
        </w:tabs>
        <w:ind w:left="1264" w:right="1264"/>
        <w:rPr>
          <w:rtl/>
        </w:rPr>
      </w:pPr>
      <w:r>
        <w:rPr>
          <w:rtl/>
        </w:rPr>
        <w:t>574 -</w:t>
      </w:r>
      <w:r>
        <w:rPr>
          <w:rtl/>
        </w:rPr>
        <w:tab/>
        <w:t>وفي تشرين الأول/أكتوبر 1995 أرسلت وزارة التعليم ملفاً بعنوان “رفع الأصوات الشابة” إلى كل مدرسة إقليمية بالمقاطعة، ولأي مدرسة ترغب في اقتناء الملف الذي يتطرق إلى مسألة التطبيع الاجتماعي الجنساني ويقصد إلى تيسير المناقشة بين الآباء والمدرسين ومديري مدارس المناطق.</w:t>
      </w:r>
    </w:p>
    <w:p w:rsidR="00000000" w:rsidRDefault="00000000">
      <w:pPr>
        <w:pStyle w:val="SingleTxt"/>
        <w:tabs>
          <w:tab w:val="clear" w:pos="1267"/>
          <w:tab w:val="left" w:pos="1628"/>
        </w:tabs>
        <w:ind w:left="1264" w:right="1264"/>
        <w:rPr>
          <w:rtl/>
        </w:rPr>
      </w:pPr>
      <w:r>
        <w:rPr>
          <w:rtl/>
        </w:rPr>
        <w:t>575 -</w:t>
      </w:r>
      <w:r>
        <w:rPr>
          <w:rtl/>
        </w:rPr>
        <w:tab/>
        <w:t>كما نفذت وزارة التعليم عدة برامج تثقيفية تؤكد على أن الخيار المهني متاح لجميع الطلاب وأن جميع المهن متاحة للذكور والإناث على السواء. ومن بين هذه البرامج ما يحمل عنوان “المستقبَلات” وهو برنامج موزع على المدارس المتوسطة ويهيئ تثقيفا محايداً من ناحية نوع الجنس بشأن جميع المهن ويدعو الذكور والإناث إلى تدارس اهتماماتهم وخياراتهم فيما يستعدون للالتحاق بالمدرسة الثانوية. وعُقد في تشرين الأول/أكتوبر 1997 مؤتمر عن “المرأة في الفضاء الإلكتروني” وقد جمع فتيات من كل مدرسة ثانوية بالمقاطعة لتلقي معلومات عن الفرص المهنية في ميدان تكنولوجيا المعلومات. وبالإضافة إلى ذلك، تلقى مستشارو التوجيه المدرسي مجاميع بمعلومات مختلفة بالإضافة إلى ملصقات وصفحات الموقع على شبكة الإنترنت التي تدعم المهن غير التقليدية للنساء.</w:t>
      </w:r>
    </w:p>
    <w:p w:rsidR="00000000" w:rsidRDefault="00000000">
      <w:pPr>
        <w:pStyle w:val="SingleTxt"/>
        <w:tabs>
          <w:tab w:val="clear" w:pos="1267"/>
          <w:tab w:val="left" w:pos="1628"/>
        </w:tabs>
        <w:ind w:left="1264" w:right="1264"/>
        <w:rPr>
          <w:rtl/>
        </w:rPr>
      </w:pPr>
      <w:r>
        <w:rPr>
          <w:rtl/>
        </w:rPr>
        <w:t>576 -</w:t>
      </w:r>
      <w:r>
        <w:rPr>
          <w:rtl/>
        </w:rPr>
        <w:tab/>
        <w:t>وتم توزيع بروتوكولات معنية بإيذاء المرأة على جميع العاملين عند الصف الدراسي السابع وما فوقه، كما أن المدارس تدعو العاملين في دور الانتقال في مجتمعاتها المحلية إلى تقديم عروض للطلاب بشأن مشاكل العنف خلال لقاءات الجنسين.</w:t>
      </w:r>
    </w:p>
    <w:p w:rsidR="00000000" w:rsidRDefault="00000000">
      <w:pPr>
        <w:pStyle w:val="SingleTxt"/>
        <w:tabs>
          <w:tab w:val="clear" w:pos="1267"/>
          <w:tab w:val="left" w:pos="1628"/>
        </w:tabs>
        <w:ind w:left="1264" w:right="1264"/>
        <w:rPr>
          <w:rtl/>
        </w:rPr>
      </w:pPr>
      <w:r>
        <w:rPr>
          <w:rtl/>
        </w:rPr>
        <w:t>577 -</w:t>
      </w:r>
      <w:r>
        <w:rPr>
          <w:rtl/>
        </w:rPr>
        <w:tab/>
        <w:t>ويعمل مستشارو التوجيه على دمج مسألة عُنف اللقاءات بين الجنسين والتحرش الجنسي ضمن مناهجهم الدراسية. وللمساعدة في هذا المسعى، زادت وزارة التعليم عدد أشرطة الفيديو والأفلام وما إلى ذلك مما توزعه على المدارس ومما يعالج مسائل عنف لقاءات المواعدة بين الجنسين والتحرش الجنسي والعنف في المدارس.</w:t>
      </w:r>
    </w:p>
    <w:p w:rsidR="00000000" w:rsidRDefault="00000000">
      <w:pPr>
        <w:pStyle w:val="SingleTxt"/>
        <w:tabs>
          <w:tab w:val="clear" w:pos="1267"/>
          <w:tab w:val="left" w:pos="1628"/>
        </w:tabs>
        <w:ind w:left="1264" w:right="1264"/>
        <w:rPr>
          <w:rtl/>
        </w:rPr>
      </w:pPr>
      <w:r>
        <w:rPr>
          <w:rtl/>
        </w:rPr>
        <w:t>578 -</w:t>
      </w:r>
      <w:r>
        <w:rPr>
          <w:rtl/>
        </w:rPr>
        <w:tab/>
        <w:t>ويمثل عنصر إدارة أمور المهنة والحياة من البرنامج السنوي للمؤسسة برنامجا إلزاميا للدراسة للفرقتين التاسعة والعشرة ويعالج أمر الناحية الجنسية للبشر. أما دراسات الصحة والثقافة الجسمانية في الفرقة الحادية عشرة فتشمل استقصاءً عن ممارسات أساليب الحياة المختلفة في مقرر إجباري للتخرج من المدارس الثانوية.</w:t>
      </w:r>
    </w:p>
    <w:p w:rsidR="00000000" w:rsidRDefault="00000000">
      <w:pPr>
        <w:pStyle w:val="SingleTxt"/>
        <w:tabs>
          <w:tab w:val="clear" w:pos="1267"/>
          <w:tab w:val="left" w:pos="1628"/>
        </w:tabs>
        <w:ind w:left="1264" w:right="1264"/>
        <w:rPr>
          <w:rtl/>
        </w:rPr>
      </w:pPr>
      <w:r>
        <w:rPr>
          <w:rtl/>
        </w:rPr>
        <w:t>579 -</w:t>
      </w:r>
      <w:r>
        <w:rPr>
          <w:rtl/>
        </w:rPr>
        <w:tab/>
        <w:t>وتعد الدراسات الإعلامية في الفرقة الثانية عشرة مقررا دراسيا اختياريا يشمل تفسير العنف في وسائل الإعلام والأدوار الجنسية والصور النمطية الجامدة والصور المغلوطة للمرأة.</w:t>
      </w:r>
    </w:p>
    <w:p w:rsidR="00000000" w:rsidRDefault="00000000">
      <w:pPr>
        <w:pStyle w:val="SingleTxt"/>
        <w:tabs>
          <w:tab w:val="clear" w:pos="1267"/>
          <w:tab w:val="left" w:pos="1628"/>
        </w:tabs>
        <w:ind w:left="1264" w:right="1264"/>
        <w:rPr>
          <w:rtl/>
        </w:rPr>
      </w:pPr>
      <w:r>
        <w:rPr>
          <w:rtl/>
        </w:rPr>
        <w:t>580 -</w:t>
      </w:r>
      <w:r>
        <w:rPr>
          <w:rtl/>
        </w:rPr>
        <w:tab/>
        <w:t>ويتم تنمية المهارات الملائمة للوالدية من خلال المنهج الدراسي في العنصر التأسيسي المتعلق بإدارة أمر المهنة والحياة بالفرقة الثانية عشرة بالإضافة إلى المقرر الاختياري عن الحياة الأسرية.</w:t>
      </w:r>
    </w:p>
    <w:p w:rsidR="00000000" w:rsidRDefault="00000000">
      <w:pPr>
        <w:pStyle w:val="SingleTxt"/>
        <w:tabs>
          <w:tab w:val="clear" w:pos="1267"/>
          <w:tab w:val="left" w:pos="1628"/>
        </w:tabs>
        <w:ind w:left="1264" w:right="1264"/>
        <w:rPr>
          <w:rtl/>
        </w:rPr>
      </w:pPr>
      <w:r>
        <w:rPr>
          <w:rtl/>
        </w:rPr>
        <w:t>581 -</w:t>
      </w:r>
      <w:r>
        <w:rPr>
          <w:rtl/>
        </w:rPr>
        <w:tab/>
        <w:t xml:space="preserve">وقد انخفض معدل تسرَّب الطالبات في الفرق الدراسية 7 </w:t>
      </w:r>
      <w:r>
        <w:t>–</w:t>
      </w:r>
      <w:r>
        <w:rPr>
          <w:rtl/>
        </w:rPr>
        <w:t xml:space="preserve"> 12 من 2.4 في المائة عام 1994 إلى 2.3 في المائة عام 1997.</w:t>
      </w:r>
    </w:p>
    <w:p w:rsidR="00000000" w:rsidRDefault="00000000">
      <w:pPr>
        <w:pStyle w:val="SingleTxt"/>
        <w:tabs>
          <w:tab w:val="clear" w:pos="1267"/>
          <w:tab w:val="left" w:pos="1628"/>
        </w:tabs>
        <w:ind w:left="1264" w:right="1264"/>
        <w:rPr>
          <w:rtl/>
        </w:rPr>
      </w:pPr>
      <w:r>
        <w:rPr>
          <w:rtl/>
        </w:rPr>
        <w:t>582 -</w:t>
      </w:r>
      <w:r>
        <w:rPr>
          <w:rtl/>
        </w:rPr>
        <w:tab/>
        <w:t>وتقدم وزارة التعليم المتقدم والعمل 10 منح دراسية سنويا في إطار منح دراسة الدكتوراه للنساء حيث تصل جائزة منحة الدكتوراه إلى 000 5 دولار لنساء مختارات عما يصل إلى أربع سنوات من دراسة الدكتوراه.</w:t>
      </w:r>
    </w:p>
    <w:p w:rsidR="00000000" w:rsidRDefault="00000000">
      <w:pPr>
        <w:pStyle w:val="SingleTxt"/>
        <w:tabs>
          <w:tab w:val="clear" w:pos="1267"/>
          <w:tab w:val="left" w:pos="1628"/>
        </w:tabs>
        <w:ind w:left="1264" w:right="1264"/>
        <w:rPr>
          <w:rtl/>
        </w:rPr>
      </w:pPr>
      <w:r>
        <w:rPr>
          <w:rtl/>
        </w:rPr>
        <w:t>583 -</w:t>
      </w:r>
      <w:r>
        <w:rPr>
          <w:rtl/>
        </w:rPr>
        <w:tab/>
        <w:t>كما أن وزارة التعليم المتقدم والعمل تمول وتدير برنامج التعدد الثقافي الذي يهدف إلى زيادة مشاركة اللاجئات في الحياة الاقتصادية والاجتماعية والسياسية بالمقاطعة.</w:t>
      </w:r>
    </w:p>
    <w:p w:rsidR="00000000" w:rsidRDefault="00000000">
      <w:pPr>
        <w:pStyle w:val="SingleTxt"/>
        <w:tabs>
          <w:tab w:val="clear" w:pos="1267"/>
          <w:tab w:val="left" w:pos="1628"/>
        </w:tabs>
        <w:ind w:left="1264" w:right="1264"/>
        <w:rPr>
          <w:rtl/>
        </w:rPr>
      </w:pPr>
      <w:r>
        <w:rPr>
          <w:rtl/>
        </w:rPr>
        <w:t>584 -</w:t>
      </w:r>
      <w:r>
        <w:rPr>
          <w:rtl/>
        </w:rPr>
        <w:tab/>
        <w:t>وقد نَفَذت وزارة المالية ووزارة التعليم المتقدِّم والعمل برنامج التدريس التدريبي الصيفي للطالبات. وهذا البرنامج المتواصل يهيئ 14 أسبوعا من التوظيف الصيفي للطالبات ويُتيح لهن فرصة للتلقين العملي على يد الموظفين المدنيين من شاغلي الوظائف العليا أو من نساء يعملن في وظائف غير تقليدية</w:t>
      </w:r>
    </w:p>
    <w:p w:rsidR="00000000" w:rsidRDefault="00000000">
      <w:pPr>
        <w:pStyle w:val="SingleTxt"/>
        <w:tabs>
          <w:tab w:val="clear" w:pos="1267"/>
          <w:tab w:val="left" w:pos="1628"/>
        </w:tabs>
        <w:ind w:left="1264" w:right="1264"/>
        <w:rPr>
          <w:rtl/>
        </w:rPr>
      </w:pPr>
      <w:r>
        <w:rPr>
          <w:rtl/>
        </w:rPr>
        <w:t>585 -</w:t>
      </w:r>
      <w:r>
        <w:rPr>
          <w:rtl/>
        </w:rPr>
        <w:tab/>
        <w:t xml:space="preserve">وتُشرف وزارة التعليم المتقدم والعمل على برنامج </w:t>
      </w:r>
      <w:r>
        <w:t>JET</w:t>
      </w:r>
      <w:r>
        <w:rPr>
          <w:rtl/>
        </w:rPr>
        <w:t xml:space="preserve"> (تجربة العمل للغد)  وهذا البرنامج يتيح للطلاب أعمالا صيفية لمساعدتهم على تمويل تعليمهم، كما يهيئ لهم خبرة عمل لها قيمتها مما يستلزمه أمر البحث عن عمل بعد التخرج. وفي الفترة 1994 </w:t>
      </w:r>
      <w:r>
        <w:t>–</w:t>
      </w:r>
      <w:r>
        <w:rPr>
          <w:rtl/>
        </w:rPr>
        <w:t xml:space="preserve"> 1995 بلغ عدد المشاركين 344 2 في البرنامج المذكور منهم 431 1 امرأة (61 في المائة)</w:t>
      </w:r>
    </w:p>
    <w:p w:rsidR="00000000" w:rsidRDefault="00000000">
      <w:pPr>
        <w:pStyle w:val="SingleTxt"/>
        <w:tabs>
          <w:tab w:val="clear" w:pos="1267"/>
          <w:tab w:val="left" w:pos="1628"/>
        </w:tabs>
        <w:ind w:left="1264" w:right="1264"/>
        <w:rPr>
          <w:rtl/>
        </w:rPr>
      </w:pPr>
      <w:r>
        <w:rPr>
          <w:rtl/>
        </w:rPr>
        <w:t>586 -</w:t>
      </w:r>
      <w:r>
        <w:rPr>
          <w:rtl/>
        </w:rPr>
        <w:tab/>
        <w:t>ومنذ بدايتها في عام 1988، فإن مبادرة القدرات الواضحة، (التي تديرها وزارة التعليم المتقدِّم والعمل) تهدف إلى زيادة مشاركة الأشخاص من ذوي الإعاقات في قوة العمل. وبرغم أن البرنامج الجاري حاليا لا يتعلق تحديدا بالمرأة إلا أن نحو 55 في المائة من المسجلين فيه نساء.</w:t>
      </w:r>
    </w:p>
    <w:p w:rsidR="00000000" w:rsidRDefault="00000000">
      <w:pPr>
        <w:pStyle w:val="SingleTxt"/>
        <w:tabs>
          <w:tab w:val="clear" w:pos="1267"/>
          <w:tab w:val="left" w:pos="1628"/>
        </w:tabs>
        <w:ind w:left="1264" w:right="1264"/>
        <w:rPr>
          <w:rtl/>
        </w:rPr>
      </w:pPr>
      <w:r>
        <w:rPr>
          <w:rtl/>
        </w:rPr>
        <w:t>587 -</w:t>
      </w:r>
      <w:r>
        <w:rPr>
          <w:rtl/>
        </w:rPr>
        <w:tab/>
        <w:t>واعتبارا من آذار/مارس 1998، كان يجري وضع سياسة متعلقة بالتحرش في مكان العمل لموظفي البلديات، ويتولى هذه المهمة قوة عمل تابعة للمحامي العام ومعنية بالتحرش في موقع العمل.</w:t>
      </w:r>
    </w:p>
    <w:p w:rsidR="00000000" w:rsidRDefault="00000000">
      <w:pPr>
        <w:pStyle w:val="SingleTxt"/>
        <w:tabs>
          <w:tab w:val="clear" w:pos="1267"/>
          <w:tab w:val="left" w:pos="1628"/>
        </w:tabs>
        <w:ind w:left="1264" w:right="1264"/>
        <w:rPr>
          <w:b/>
          <w:bCs/>
          <w:rtl/>
        </w:rPr>
      </w:pPr>
      <w:r>
        <w:rPr>
          <w:b/>
          <w:bCs/>
          <w:rtl/>
        </w:rPr>
        <w:t>المادة 11: العمالة</w:t>
      </w:r>
    </w:p>
    <w:p w:rsidR="00000000" w:rsidRDefault="00000000">
      <w:pPr>
        <w:pStyle w:val="SingleTxt"/>
        <w:tabs>
          <w:tab w:val="clear" w:pos="1267"/>
          <w:tab w:val="left" w:pos="1628"/>
        </w:tabs>
        <w:ind w:left="1264" w:right="1264"/>
        <w:rPr>
          <w:rtl/>
        </w:rPr>
      </w:pPr>
      <w:r>
        <w:rPr>
          <w:rtl/>
        </w:rPr>
        <w:t>588 -</w:t>
      </w:r>
      <w:r>
        <w:rPr>
          <w:rtl/>
        </w:rPr>
        <w:tab/>
        <w:t>في عام 1997 شكَّلت النساء ممن تجاوزن الخامسة عشرة نحو 45.1 في المائة من قوة عمل نبو برونزويك.</w:t>
      </w:r>
    </w:p>
    <w:p w:rsidR="00000000" w:rsidRDefault="00000000">
      <w:pPr>
        <w:pStyle w:val="SingleTxt"/>
        <w:tabs>
          <w:tab w:val="clear" w:pos="1267"/>
          <w:tab w:val="left" w:pos="1628"/>
        </w:tabs>
        <w:ind w:left="1264" w:right="1264"/>
        <w:rPr>
          <w:rtl/>
        </w:rPr>
      </w:pPr>
      <w:r>
        <w:rPr>
          <w:rtl/>
        </w:rPr>
        <w:t>589 -</w:t>
      </w:r>
      <w:r>
        <w:rPr>
          <w:rtl/>
        </w:rPr>
        <w:tab/>
        <w:t>ومن عام 1992 إلى عام 1998 تولت وزارة تنمية الموارد البشرية إدارة برنامج بعنوان الأشغال في نيو برونزويك بالتعاون مع وزارة التعليم المتقدم والعمل ووزارة تنمية الموارد البشرية لكندا. وهذا المشروع زود الأفراد الذين يتلقون مساعدات اجتماعية بفرصة متاحة لترقية مستوى تعليمهم ومهاراتهم بما يساعدهم على التنافس في سوق العمل. واعتبارا من عام 1996، كان ثمة 852 مشاركاً في المراحل المختلفة من هذه السلسة ومنهم 727 من النساء. وأكثر من 70 في المائة من هؤلاء المشاركين لم يعودوا إلى تلقي المساعدة الاجتماعية.</w:t>
      </w:r>
    </w:p>
    <w:p w:rsidR="00000000" w:rsidRDefault="00000000">
      <w:pPr>
        <w:pStyle w:val="SingleTxt"/>
        <w:tabs>
          <w:tab w:val="clear" w:pos="1267"/>
          <w:tab w:val="left" w:pos="1628"/>
        </w:tabs>
        <w:ind w:left="1264" w:right="1264"/>
        <w:rPr>
          <w:rtl/>
        </w:rPr>
      </w:pPr>
      <w:r>
        <w:rPr>
          <w:rtl/>
        </w:rPr>
        <w:t>590 -</w:t>
      </w:r>
      <w:r>
        <w:rPr>
          <w:rtl/>
        </w:rPr>
        <w:tab/>
        <w:t>ومن حق الأسر ذات الأطفال التي لا تقطن مساكن مدعومة وتدفع للإيجار أكثر من 30 في المائة من مساعداتها الاجتماعية، أن تحصل على مبلغ شهري تكميلي قدره 90 دولارا (من تشرين الثاني/نوفمبر إلى نيسان/أبريل) و60 دولاراً شهريا (من أيار/مايو إلى تشرين الأول/أكتوبر). وفي شباط فبراير 1995 أفادت 430 6 أسرة  من هذه الميزة من ضمان الدخل.</w:t>
      </w:r>
    </w:p>
    <w:p w:rsidR="00000000" w:rsidRDefault="00000000">
      <w:pPr>
        <w:pStyle w:val="SingleTxt"/>
        <w:tabs>
          <w:tab w:val="clear" w:pos="1267"/>
          <w:tab w:val="left" w:pos="1628"/>
        </w:tabs>
        <w:ind w:left="1264" w:right="1264"/>
        <w:rPr>
          <w:b/>
          <w:bCs/>
          <w:rtl/>
        </w:rPr>
      </w:pPr>
      <w:r>
        <w:rPr>
          <w:b/>
          <w:bCs/>
          <w:rtl/>
        </w:rPr>
        <w:t>المادة 12: الصحة</w:t>
      </w:r>
    </w:p>
    <w:p w:rsidR="00000000" w:rsidRDefault="00000000">
      <w:pPr>
        <w:pStyle w:val="SingleTxt"/>
        <w:tabs>
          <w:tab w:val="clear" w:pos="1267"/>
          <w:tab w:val="left" w:pos="1628"/>
        </w:tabs>
        <w:ind w:left="1264" w:right="1264"/>
        <w:rPr>
          <w:rtl/>
        </w:rPr>
      </w:pPr>
      <w:r>
        <w:rPr>
          <w:rtl/>
        </w:rPr>
        <w:t>591 -</w:t>
      </w:r>
      <w:r>
        <w:rPr>
          <w:rtl/>
        </w:rPr>
        <w:tab/>
        <w:t xml:space="preserve">ما زالت وزارة الصحة والخدمات المجتمعية تدير عيادات الصحة الإنجابية. وتتمثل أهداف هذه العيادات في تقليل حدوث حالات الحمل غير المخطط لها بين صفوف المراهقين والشباب من البالغين الوحيدين، مع تعزيز الصحة الجنسية واتخاذ القرارات على أساس محسوب بين صفوف الشباب في المقاطعة، وفي مساعدة الوالدين على أن يشعروا بمزيد من الثقة في الدور الذي يقومون به بوصفهم أول معلمي الشؤون الجنسية لأبنائهم. وخلال الفترة 1994 </w:t>
      </w:r>
      <w:r>
        <w:t>–</w:t>
      </w:r>
      <w:r>
        <w:rPr>
          <w:rtl/>
        </w:rPr>
        <w:t xml:space="preserve"> 1995 تمت 493 12 زيارة إلى العيادات المذكورة.</w:t>
      </w:r>
    </w:p>
    <w:p w:rsidR="00000000" w:rsidRDefault="00000000">
      <w:pPr>
        <w:pStyle w:val="SingleTxt"/>
        <w:tabs>
          <w:tab w:val="clear" w:pos="1267"/>
          <w:tab w:val="left" w:pos="1628"/>
        </w:tabs>
        <w:ind w:left="1264" w:right="1264"/>
        <w:rPr>
          <w:rtl/>
        </w:rPr>
      </w:pPr>
      <w:r>
        <w:rPr>
          <w:rtl/>
        </w:rPr>
        <w:t>592 -</w:t>
      </w:r>
      <w:r>
        <w:rPr>
          <w:rtl/>
        </w:rPr>
        <w:tab/>
        <w:t>وفي عام 1995 أقرت مقاطعة نيوبرونزويك تقديم خدمات منظمة للكشف الجماعي عن سرطان الثدي. وقبل هذا الحين كان الأمر يقتصر على ثلث نساء المقاطعة ممن تجاوزن سن الخمسين وهن اللائي كن يخضعن للكشف المذكور. وأهداف هذه المبادرة هي أن تشارك نسبة 70 في المائة من النساء بين سن الخمسين والتاسعة والستين في خدمات الكشف عن سرطان الثدي وفي زيادة فرص وصولهن إلى هذه الخدمات من أجل أبكر اكتشاف وعلاج ممكن لسرطان الثدي.</w:t>
      </w:r>
    </w:p>
    <w:p w:rsidR="00000000" w:rsidRDefault="00000000">
      <w:pPr>
        <w:pStyle w:val="SingleTxt"/>
        <w:tabs>
          <w:tab w:val="clear" w:pos="1267"/>
          <w:tab w:val="left" w:pos="1628"/>
        </w:tabs>
        <w:ind w:left="1264" w:right="1264"/>
        <w:rPr>
          <w:rtl/>
        </w:rPr>
      </w:pPr>
      <w:r>
        <w:rPr>
          <w:rtl/>
        </w:rPr>
        <w:t>593 -</w:t>
      </w:r>
      <w:r>
        <w:rPr>
          <w:rtl/>
        </w:rPr>
        <w:tab/>
        <w:t>وقد شنت وزارة الصحة والخدمات المجتمعية حملة توعية في خريف عام 1996 بعنوان “لا تخدعن نفسك” والهدف من الحملة كان إحاطة المراهقين وآبائهم علما بأسلوب تقليل مخاطر حمل المراهقين مع تعزيز الوعي بالخدمات القائمة بالفعل.</w:t>
      </w:r>
    </w:p>
    <w:p w:rsidR="00000000" w:rsidRDefault="00000000">
      <w:pPr>
        <w:pStyle w:val="SingleTxt"/>
        <w:tabs>
          <w:tab w:val="clear" w:pos="1267"/>
          <w:tab w:val="left" w:pos="1628"/>
        </w:tabs>
        <w:ind w:left="1264" w:right="1264"/>
        <w:rPr>
          <w:rtl/>
        </w:rPr>
      </w:pPr>
      <w:r>
        <w:rPr>
          <w:rtl/>
        </w:rPr>
        <w:t>594 -</w:t>
      </w:r>
      <w:r>
        <w:rPr>
          <w:rtl/>
        </w:rPr>
        <w:tab/>
        <w:t xml:space="preserve">ومن خلال برنامج مساعدة الرعاية النهارية تقدِّم وزارة تنمية الموارد البشرية مساعدة مالية إلى الأُسر ذات الدخل المنخفض لمساعدتها على الوصول إلى رعاية نهارية مرتفعة المستوى في مرفق معتمد للرعاية النهارية. ويتلقى أكثر من 110 1طفلا مساعدة من أجل الحصول على رعاية نهارية كاملة أو جزئية بميزانية مقدرة في عام 1996 </w:t>
      </w:r>
      <w:r>
        <w:t>–</w:t>
      </w:r>
      <w:r>
        <w:rPr>
          <w:rtl/>
        </w:rPr>
        <w:t>1997 بمبلغ 4.2 مليون دولار.</w:t>
      </w:r>
    </w:p>
    <w:p w:rsidR="00000000" w:rsidRDefault="00000000">
      <w:pPr>
        <w:pStyle w:val="SingleTxt"/>
        <w:tabs>
          <w:tab w:val="clear" w:pos="1267"/>
          <w:tab w:val="left" w:pos="1628"/>
        </w:tabs>
        <w:ind w:left="1264" w:right="1264"/>
        <w:rPr>
          <w:b/>
          <w:bCs/>
          <w:rtl/>
        </w:rPr>
      </w:pPr>
    </w:p>
    <w:p w:rsidR="00000000" w:rsidRDefault="00000000">
      <w:pPr>
        <w:pStyle w:val="SingleTxt"/>
        <w:tabs>
          <w:tab w:val="clear" w:pos="1267"/>
          <w:tab w:val="left" w:pos="1628"/>
        </w:tabs>
        <w:ind w:left="1264" w:right="1264"/>
        <w:rPr>
          <w:b/>
          <w:bCs/>
          <w:rtl/>
        </w:rPr>
      </w:pPr>
    </w:p>
    <w:p w:rsidR="00000000" w:rsidRDefault="00000000">
      <w:pPr>
        <w:pStyle w:val="SingleTxt"/>
        <w:tabs>
          <w:tab w:val="clear" w:pos="1267"/>
          <w:tab w:val="left" w:pos="1628"/>
        </w:tabs>
        <w:ind w:left="1264" w:right="1264"/>
        <w:rPr>
          <w:b/>
          <w:bCs/>
          <w:rtl/>
        </w:rPr>
      </w:pPr>
      <w:r>
        <w:rPr>
          <w:b/>
          <w:bCs/>
          <w:rtl/>
        </w:rPr>
        <w:t>المادة 13: الحياة الاقتصادية والاجتماعية</w:t>
      </w:r>
    </w:p>
    <w:p w:rsidR="00000000" w:rsidRDefault="00000000">
      <w:pPr>
        <w:pStyle w:val="SingleTxt"/>
        <w:tabs>
          <w:tab w:val="clear" w:pos="1267"/>
          <w:tab w:val="left" w:pos="1628"/>
        </w:tabs>
        <w:ind w:left="1264" w:right="1264"/>
        <w:rPr>
          <w:rtl/>
        </w:rPr>
      </w:pPr>
      <w:r>
        <w:rPr>
          <w:rtl/>
        </w:rPr>
        <w:t>595 -</w:t>
      </w:r>
      <w:r>
        <w:rPr>
          <w:rtl/>
        </w:rPr>
        <w:tab/>
        <w:t>ما زالت لائحة قانون مجلس الفنون في نيو برونزويك تقضي بأنه ينبغي لمحكِّمي الجدارة الفنية أن يعكسوا التوازن بين التخصصات الفنية السبعة وكذلك بين الجنسين واللغات والمناطق.</w:t>
      </w:r>
    </w:p>
    <w:p w:rsidR="00000000" w:rsidRDefault="00000000">
      <w:pPr>
        <w:pStyle w:val="SingleTxt"/>
        <w:tabs>
          <w:tab w:val="clear" w:pos="1267"/>
          <w:tab w:val="left" w:pos="1628"/>
        </w:tabs>
        <w:ind w:left="1264" w:right="1264"/>
        <w:rPr>
          <w:rtl/>
        </w:rPr>
      </w:pPr>
      <w:r>
        <w:rPr>
          <w:rtl/>
        </w:rPr>
        <w:t>596 -</w:t>
      </w:r>
      <w:r>
        <w:rPr>
          <w:rtl/>
        </w:rPr>
        <w:tab/>
        <w:t>وفي عام 1994 اعتمدت المقاطعة سياسة للألعاب الرياضية والأنشطة الترويحية تكفل الفرص المتكافئة لجميع الأشخاص.</w:t>
      </w:r>
    </w:p>
    <w:p w:rsidR="00000000" w:rsidRDefault="00000000">
      <w:pPr>
        <w:pStyle w:val="SingleTxt"/>
        <w:tabs>
          <w:tab w:val="clear" w:pos="1267"/>
          <w:tab w:val="left" w:pos="1628"/>
        </w:tabs>
        <w:ind w:left="1264" w:right="1264"/>
        <w:rPr>
          <w:rtl/>
        </w:rPr>
      </w:pPr>
      <w:r>
        <w:rPr>
          <w:rtl/>
        </w:rPr>
        <w:t>597 -</w:t>
      </w:r>
      <w:r>
        <w:rPr>
          <w:rtl/>
        </w:rPr>
        <w:tab/>
        <w:t>وثمة برنامج يُدعى البداية الذاتية ويتعلق بتنظيم المشاريع وتعد المرأة من الفئات الأساسية التي يستهدفها. وفي شباط/فبراير 1998 بلغ إجمالي عدد الموافقات 576 1 موافقة منها 599 لنساء منذ بداية البرنامج في كانون الأول/ديسمبر 1998.</w:t>
      </w:r>
    </w:p>
    <w:p w:rsidR="00000000" w:rsidRDefault="00000000">
      <w:pPr>
        <w:pStyle w:val="SingleTxt"/>
        <w:tabs>
          <w:tab w:val="clear" w:pos="1267"/>
          <w:tab w:val="left" w:pos="1628"/>
        </w:tabs>
        <w:ind w:left="1264" w:right="1264"/>
        <w:rPr>
          <w:rtl/>
        </w:rPr>
      </w:pPr>
      <w:r>
        <w:rPr>
          <w:rtl/>
        </w:rPr>
        <w:t>598 -</w:t>
      </w:r>
      <w:r>
        <w:rPr>
          <w:rtl/>
        </w:rPr>
        <w:tab/>
        <w:t>وتتولى وزارة البلديات والثقافة والإسكان إدارة برنامج مساعدات الإسكان وإعادة التأهيل الذي يساعد أصحاب البيوت المنخفضي الدخل، الذين يشغلون مساكن دون المستوى على إصلاح مساكنهم وإعادة تأهيلها أو تحسينها، بحيث تصل إلى المستويات المقبولة من حيث الصحة والسلامة.</w:t>
      </w:r>
    </w:p>
    <w:p w:rsidR="00000000" w:rsidRDefault="00000000">
      <w:pPr>
        <w:pStyle w:val="SingleTxt"/>
        <w:tabs>
          <w:tab w:val="clear" w:pos="1267"/>
          <w:tab w:val="left" w:pos="1628"/>
        </w:tabs>
        <w:ind w:left="1264" w:right="1264"/>
        <w:rPr>
          <w:rtl/>
        </w:rPr>
      </w:pPr>
      <w:r>
        <w:rPr>
          <w:rtl/>
        </w:rPr>
        <w:t>599 -</w:t>
      </w:r>
      <w:r>
        <w:rPr>
          <w:rtl/>
        </w:rPr>
        <w:tab/>
        <w:t xml:space="preserve">وتقدِّم وزارة التعليم المتقدِّم والعمل عدة برامج لمساعدة الأفراد الذين يرغبون في بدء مشاريعهم التجارية الخاصة بهم. ويقدِّم مشروع رأس المال الطلابي قروضاً للطلاب بدون فوائد بحدٍ أقصى 000 3 دولار. وفي الفترة 1994 </w:t>
      </w:r>
      <w:r>
        <w:t>–</w:t>
      </w:r>
      <w:r>
        <w:rPr>
          <w:rtl/>
        </w:rPr>
        <w:t xml:space="preserve"> 1995 كان هناك 126 مشاركا منهـــم 30 مــــن النساء. ويتيـــح برنامـــج تنظيم المشاريع هذا فرصة للأفراد الذين لا يعملون لإدارة مشاريعهم التجارية من خلال ضمان قرض للمشروع لدى المصرف. وفي عام 1994 بلغ عدد المشاركين 253 منهم 101 امرأة.</w:t>
      </w:r>
    </w:p>
    <w:p w:rsidR="00000000" w:rsidRDefault="00000000">
      <w:pPr>
        <w:pStyle w:val="SingleTxt"/>
        <w:tabs>
          <w:tab w:val="clear" w:pos="1267"/>
          <w:tab w:val="left" w:pos="1628"/>
        </w:tabs>
        <w:ind w:left="1264" w:right="1264"/>
        <w:rPr>
          <w:rtl/>
        </w:rPr>
      </w:pPr>
      <w:r>
        <w:rPr>
          <w:rtl/>
        </w:rPr>
        <w:t>600 -</w:t>
      </w:r>
      <w:r>
        <w:rPr>
          <w:rtl/>
        </w:rPr>
        <w:tab/>
        <w:t>وتتلقى الأسر في برونزويك التي يبلغ دخلها الصافي 000 20 دولار أو أقل،  مبلغاً معفي من الضرائب قدره 250 دولار لكل طفل يقل عمره عن الثامنة عشرة ويكون مقيما في  المنزل. أما الأسر ذات الدخل الصافي البالغ 000 20 دولار أو أكثر فتتلقى نفس الاستحقاقات وهذا يتوقف على دخلها وعلى عدد الأطفال.</w:t>
      </w:r>
    </w:p>
    <w:p w:rsidR="00000000" w:rsidRDefault="00000000">
      <w:pPr>
        <w:pStyle w:val="SingleTxt"/>
        <w:tabs>
          <w:tab w:val="clear" w:pos="1267"/>
          <w:tab w:val="left" w:pos="1628"/>
        </w:tabs>
        <w:ind w:left="1264" w:right="1264"/>
        <w:rPr>
          <w:rtl/>
        </w:rPr>
      </w:pPr>
      <w:r>
        <w:rPr>
          <w:rtl/>
        </w:rPr>
        <w:t>601 -</w:t>
      </w:r>
      <w:r>
        <w:rPr>
          <w:rtl/>
        </w:rPr>
        <w:tab/>
        <w:t>وتعطي مؤسسة المعلومات الجغرافية في نيو برونزويك بدلاً بحدٍ أقصى قدره 200 دولار لدفع ضريبة الممتلكات لأصحاب المنازل الذين لا يتجاوز دخلهم الأسري الإجمالي 000 20 دولار. ونحو 000 40 من أصحاب المنازل في نيو برونزويك سوف ينطبق عليهم شرط استحقاق هذا البدل في عام 1998.</w:t>
      </w:r>
    </w:p>
    <w:p w:rsidR="00000000" w:rsidRDefault="00000000">
      <w:pPr>
        <w:pStyle w:val="SingleTxt"/>
        <w:tabs>
          <w:tab w:val="clear" w:pos="1267"/>
          <w:tab w:val="left" w:pos="1628"/>
        </w:tabs>
        <w:ind w:left="1264" w:right="1264"/>
        <w:rPr>
          <w:rtl/>
        </w:rPr>
      </w:pPr>
    </w:p>
    <w:p w:rsidR="00000000" w:rsidRDefault="00000000">
      <w:pPr>
        <w:pStyle w:val="SingleTxt"/>
        <w:tabs>
          <w:tab w:val="clear" w:pos="1267"/>
          <w:tab w:val="left" w:pos="1628"/>
        </w:tabs>
        <w:spacing w:line="380" w:lineRule="exact"/>
        <w:ind w:left="1264" w:right="1264"/>
        <w:rPr>
          <w:b/>
          <w:bCs/>
          <w:szCs w:val="32"/>
          <w:rtl/>
        </w:rPr>
      </w:pPr>
      <w:r>
        <w:rPr>
          <w:b/>
          <w:bCs/>
          <w:szCs w:val="32"/>
          <w:rtl/>
        </w:rPr>
        <w:t>المادة 14: المرأة الريفية</w:t>
      </w:r>
    </w:p>
    <w:p w:rsidR="00000000" w:rsidRDefault="00000000">
      <w:pPr>
        <w:pStyle w:val="SingleTxt"/>
        <w:tabs>
          <w:tab w:val="clear" w:pos="1267"/>
          <w:tab w:val="left" w:pos="1628"/>
        </w:tabs>
        <w:spacing w:line="380" w:lineRule="exact"/>
        <w:ind w:left="1264" w:right="1264"/>
        <w:rPr>
          <w:rtl/>
        </w:rPr>
      </w:pPr>
      <w:r>
        <w:rPr>
          <w:rtl/>
        </w:rPr>
        <w:t>602 -</w:t>
      </w:r>
      <w:r>
        <w:rPr>
          <w:rtl/>
        </w:rPr>
        <w:tab/>
        <w:t>تدير وزارة الزراعة والتنمية الريفية شركة التجارة في الثروات الريفية التي تساعد منتجي الصناعات المنزلية على تسويق منتجاتهم.</w:t>
      </w:r>
    </w:p>
    <w:p w:rsidR="00000000" w:rsidRDefault="00000000">
      <w:pPr>
        <w:pStyle w:val="SingleTxt"/>
        <w:tabs>
          <w:tab w:val="clear" w:pos="1267"/>
          <w:tab w:val="left" w:pos="1628"/>
        </w:tabs>
        <w:spacing w:line="380" w:lineRule="exact"/>
        <w:ind w:left="1264" w:right="1264"/>
        <w:rPr>
          <w:rtl/>
        </w:rPr>
      </w:pPr>
      <w:r>
        <w:rPr>
          <w:rtl/>
        </w:rPr>
        <w:t>603 -</w:t>
      </w:r>
      <w:r>
        <w:rPr>
          <w:rtl/>
        </w:rPr>
        <w:tab/>
        <w:t>وتتلقى رابطة النساء المزارعات في نيو برونزويك تمويلا من وزارة الزراعة في نيو برونزويك. وهذه الرابطة تبث دعاياتها لصالح النساء والأسر التي تعيش في المزارع في نيو برونزويك. كما يتلقى معهد نيو برونزويك للمرأة تمويلا من وزارة الزراعة. والمعهد منظمة تعمل على مستوى المقاطعة على تعزيز المساواة بالنسبة للمرأة الريفية.</w:t>
      </w:r>
    </w:p>
    <w:p w:rsidR="00000000" w:rsidRDefault="00000000">
      <w:pPr>
        <w:pStyle w:val="SingleTxt"/>
        <w:tabs>
          <w:tab w:val="clear" w:pos="1267"/>
          <w:tab w:val="left" w:pos="1628"/>
        </w:tabs>
        <w:spacing w:line="380" w:lineRule="exact"/>
        <w:ind w:left="1264" w:right="1264"/>
        <w:rPr>
          <w:rtl/>
        </w:rPr>
      </w:pPr>
      <w:r>
        <w:rPr>
          <w:rtl/>
        </w:rPr>
        <w:t>604 -</w:t>
      </w:r>
      <w:r>
        <w:rPr>
          <w:rtl/>
        </w:rPr>
        <w:tab/>
        <w:t>وتواصل وزارة الزراعة دعم برنامج للإدارة المزرعية. وقد وجدت الاستقصاءات التي أجريت أن أكثر من 60 في المائة من النساء المزارعات في نيو برونزويك قد تلقين دورات في إدارة الأعمال.</w:t>
      </w:r>
    </w:p>
    <w:p w:rsidR="00000000" w:rsidRDefault="00000000">
      <w:pPr>
        <w:pStyle w:val="SingleTxt"/>
        <w:tabs>
          <w:tab w:val="clear" w:pos="1267"/>
          <w:tab w:val="left" w:pos="1628"/>
        </w:tabs>
        <w:spacing w:line="380" w:lineRule="exact"/>
        <w:ind w:left="1264" w:right="1264"/>
        <w:rPr>
          <w:b/>
          <w:bCs/>
          <w:szCs w:val="32"/>
          <w:rtl/>
        </w:rPr>
      </w:pPr>
      <w:r>
        <w:rPr>
          <w:b/>
          <w:bCs/>
          <w:szCs w:val="32"/>
          <w:rtl/>
        </w:rPr>
        <w:t>المادة 15: الحقوق القانونية</w:t>
      </w:r>
    </w:p>
    <w:p w:rsidR="00000000" w:rsidRDefault="00000000">
      <w:pPr>
        <w:pStyle w:val="SingleTxt"/>
        <w:tabs>
          <w:tab w:val="clear" w:pos="1267"/>
          <w:tab w:val="left" w:pos="1628"/>
        </w:tabs>
        <w:spacing w:line="380" w:lineRule="exact"/>
        <w:ind w:left="1264" w:right="1264"/>
        <w:rPr>
          <w:rtl/>
        </w:rPr>
      </w:pPr>
      <w:r>
        <w:rPr>
          <w:rtl/>
        </w:rPr>
        <w:t>605 -</w:t>
      </w:r>
      <w:r>
        <w:rPr>
          <w:rtl/>
        </w:rPr>
        <w:tab/>
        <w:t>شاركـــت كل من وزارة العـــدل ودائرة المحامــي العام مع الجمعيــة القانونيـــة في نيو برونزويك في دعم المساعدة المنزلية القانونية. وهذا البرنامج يُقدِّم الخدمات القانونية لضحايا الإيذاء بين الأزواج من أجل مساعدتهم على ترك العلاقات التي ينجم عنها هذا الإيذاء. كما يقدِّم البرنامج الخدمات القانونية اللازمة للأزواج المعالين للحصول على الاتفاقات والأوامر التي تكفل لهم الدعم الكافي و/أو دعم رعاية الطفل.</w:t>
      </w:r>
    </w:p>
    <w:p w:rsidR="00000000" w:rsidRDefault="00000000">
      <w:pPr>
        <w:pStyle w:val="SingleTxt"/>
        <w:tabs>
          <w:tab w:val="clear" w:pos="1267"/>
          <w:tab w:val="left" w:pos="1628"/>
        </w:tabs>
        <w:spacing w:line="380" w:lineRule="exact"/>
        <w:ind w:left="1264" w:right="1264"/>
        <w:rPr>
          <w:rtl/>
        </w:rPr>
      </w:pPr>
      <w:r>
        <w:rPr>
          <w:rtl/>
        </w:rPr>
        <w:t>606 -</w:t>
      </w:r>
      <w:r>
        <w:rPr>
          <w:rtl/>
        </w:rPr>
        <w:tab/>
        <w:t>وتعمل وزارة الصحة والخدمات المجتمعية على تشغيـــل 12 مـن دور الانتقال في نيو برونزويك. والغرض من دار هذا القبيل هو كفالة المأوى المأمون في الأجل القصير للنساء والأطفال المعرَّضين للأذى ومن هذه الدور ما هو مخصص للنساء وأطفال السكان الأصليين ويشارك في دعمه الوزارة الاتحادية المعنية بالشؤون الهندية.</w:t>
      </w:r>
    </w:p>
    <w:p w:rsidR="00000000" w:rsidRDefault="00000000">
      <w:pPr>
        <w:pStyle w:val="SingleTxt"/>
        <w:tabs>
          <w:tab w:val="clear" w:pos="1267"/>
          <w:tab w:val="left" w:pos="1628"/>
        </w:tabs>
        <w:spacing w:line="380" w:lineRule="exact"/>
        <w:ind w:left="1264" w:right="1264"/>
        <w:rPr>
          <w:rtl/>
        </w:rPr>
      </w:pPr>
      <w:r>
        <w:rPr>
          <w:rtl/>
        </w:rPr>
        <w:t>607 -</w:t>
      </w:r>
      <w:r>
        <w:rPr>
          <w:rtl/>
        </w:rPr>
        <w:tab/>
        <w:t>وما زال التمييز على أساس نوع الجنس والتحرُّش الجنسي يشكلان أكبر مصادر الشكاوى الرسمية المقدَّمة إلى لجنة برونزويك لحقوق الإنسان. ومن بين العدد البالغ 189 شكوى رسمية المقدمة بين 1 نيسان/أبريل 1996 و 31 آذار/مارس 1997 كان هناك 35 شكوى بالتمييز على أساس نوع الجنس و 32 شكوى كانت على أساس التحرُّش الجنسي.</w:t>
      </w:r>
    </w:p>
    <w:p w:rsidR="00000000" w:rsidRDefault="00000000">
      <w:pPr>
        <w:pStyle w:val="SingleTxt"/>
        <w:tabs>
          <w:tab w:val="clear" w:pos="1267"/>
          <w:tab w:val="left" w:pos="1628"/>
        </w:tabs>
        <w:spacing w:line="380" w:lineRule="exact"/>
        <w:ind w:left="1264" w:right="1264"/>
        <w:rPr>
          <w:b/>
          <w:bCs/>
          <w:szCs w:val="32"/>
          <w:rtl/>
        </w:rPr>
      </w:pPr>
      <w:r>
        <w:rPr>
          <w:b/>
          <w:bCs/>
          <w:szCs w:val="32"/>
          <w:rtl/>
        </w:rPr>
        <w:t>المادة 16: المرأة والأسرة</w:t>
      </w:r>
    </w:p>
    <w:p w:rsidR="00000000" w:rsidRDefault="00000000">
      <w:pPr>
        <w:pStyle w:val="SingleTxt"/>
        <w:tabs>
          <w:tab w:val="left" w:pos="1628"/>
          <w:tab w:val="left" w:pos="2904"/>
        </w:tabs>
        <w:spacing w:line="380" w:lineRule="exact"/>
        <w:ind w:left="1264" w:right="1264"/>
        <w:rPr>
          <w:rtl/>
        </w:rPr>
      </w:pPr>
      <w:r>
        <w:rPr>
          <w:rtl/>
        </w:rPr>
        <w:t>608 -</w:t>
      </w:r>
      <w:r>
        <w:rPr>
          <w:rtl/>
        </w:rPr>
        <w:tab/>
        <w:t>تواصل وزارة العدل ووزارة تنمية الموارد البشرية طرح سياسات رامية إلى أن يفي جميع الأشخاص ممن يتحملون مسؤولية قانونية عن تقديم دعم لزوج و/أو أطفال، بما يتحملونه من التزامات.</w:t>
      </w:r>
    </w:p>
    <w:p w:rsidR="00000000" w:rsidRDefault="00000000">
      <w:pPr>
        <w:pStyle w:val="SingleTxt"/>
        <w:tabs>
          <w:tab w:val="clear" w:pos="1267"/>
          <w:tab w:val="left" w:pos="1628"/>
        </w:tabs>
        <w:ind w:left="1264" w:right="1264"/>
        <w:rPr>
          <w:b/>
          <w:bCs/>
          <w:szCs w:val="32"/>
          <w:rtl/>
        </w:rPr>
      </w:pPr>
      <w:r>
        <w:rPr>
          <w:rtl/>
        </w:rPr>
        <w:br w:type="page"/>
      </w:r>
      <w:r>
        <w:rPr>
          <w:b/>
          <w:bCs/>
          <w:szCs w:val="32"/>
          <w:rtl/>
        </w:rPr>
        <w:t>كيبيك</w:t>
      </w:r>
    </w:p>
    <w:p w:rsidR="00000000" w:rsidRDefault="00000000">
      <w:pPr>
        <w:pStyle w:val="SingleTxt"/>
        <w:tabs>
          <w:tab w:val="clear" w:pos="1267"/>
          <w:tab w:val="left" w:pos="1628"/>
        </w:tabs>
        <w:ind w:left="1264" w:right="1264"/>
        <w:rPr>
          <w:rtl/>
        </w:rPr>
      </w:pPr>
      <w:r>
        <w:rPr>
          <w:b/>
          <w:bCs/>
          <w:rtl/>
        </w:rPr>
        <w:t>ملاحظات مبدئية</w:t>
      </w:r>
    </w:p>
    <w:p w:rsidR="00000000" w:rsidRDefault="00000000">
      <w:pPr>
        <w:pStyle w:val="SingleTxt"/>
        <w:tabs>
          <w:tab w:val="clear" w:pos="1267"/>
          <w:tab w:val="left" w:pos="1628"/>
        </w:tabs>
        <w:ind w:left="1264" w:right="1264"/>
        <w:rPr>
          <w:rtl/>
        </w:rPr>
      </w:pPr>
      <w:r>
        <w:rPr>
          <w:rtl/>
        </w:rPr>
        <w:t>609 -</w:t>
      </w:r>
      <w:r>
        <w:rPr>
          <w:rtl/>
        </w:rPr>
        <w:tab/>
        <w:t>في عام 1997 قدَّمت كندا إلى الأمم المتحدة وثيقتها الأساسية التي تشكِّل جزءا من تقرير الدول الأطراف. وشملت هذه الوثيقة المعلومات المتعلقة بالهيكل السياسي العام للبلاد والإطار القانوني لحماية الإنسان. وفي سياق هذا التقرير، ومن أجل زيادة نفعه، تَرد تفاصيل إضافية بشأن العدالة والهجرة.</w:t>
      </w:r>
    </w:p>
    <w:p w:rsidR="00000000" w:rsidRDefault="00000000">
      <w:pPr>
        <w:pStyle w:val="SingleTxt"/>
        <w:tabs>
          <w:tab w:val="clear" w:pos="1267"/>
          <w:tab w:val="left" w:pos="1628"/>
        </w:tabs>
        <w:ind w:left="1264" w:right="1264"/>
        <w:rPr>
          <w:rtl/>
        </w:rPr>
      </w:pPr>
      <w:r>
        <w:rPr>
          <w:rtl/>
        </w:rPr>
        <w:t>610 -</w:t>
      </w:r>
      <w:r>
        <w:rPr>
          <w:rtl/>
        </w:rPr>
        <w:tab/>
        <w:t>العدالة في كندا اختصاص مشترك. وتتمتع المقاطعات بالولاية القضائية الكاملة على الممتلكات والقانون المدني. ومع ذلك فقانون كيبيك يختلف اختلافا بيِّنا عن نظيره المعمول به في المقاطعات الأخرى، ففيما تُنظم القانون المدني في كيبيك أحكام المدوَّنة المدنية فإن المقاطعات الكندية الأخرى تعتمد على القانون العرفي البريطاني.</w:t>
      </w:r>
    </w:p>
    <w:p w:rsidR="00000000" w:rsidRDefault="00000000">
      <w:pPr>
        <w:pStyle w:val="SingleTxt"/>
        <w:tabs>
          <w:tab w:val="clear" w:pos="1267"/>
          <w:tab w:val="left" w:pos="1628"/>
        </w:tabs>
        <w:ind w:left="1264" w:right="1264"/>
        <w:rPr>
          <w:rtl/>
        </w:rPr>
      </w:pPr>
      <w:r>
        <w:rPr>
          <w:rtl/>
        </w:rPr>
        <w:t>611 -</w:t>
      </w:r>
      <w:r>
        <w:rPr>
          <w:rtl/>
        </w:rPr>
        <w:tab/>
        <w:t>وفيما يتعلق بالقانون الجنائي، فللبرلمان الكندي الاختصاص الوحيد بشأن إقرار الجرائم والعقوبات. وكيبيك مسؤولة عن إنفاذ القانون المدني ضمن حدودها، ولها أيضا سلطة إقرار الجرائم الخاضعة للعقوبة على مستوى المقاطعة.</w:t>
      </w:r>
    </w:p>
    <w:p w:rsidR="00000000" w:rsidRDefault="00000000">
      <w:pPr>
        <w:pStyle w:val="SingleTxt"/>
        <w:tabs>
          <w:tab w:val="clear" w:pos="1267"/>
          <w:tab w:val="left" w:pos="1628"/>
        </w:tabs>
        <w:ind w:left="1264" w:right="1264"/>
        <w:rPr>
          <w:rtl/>
        </w:rPr>
      </w:pPr>
      <w:r>
        <w:rPr>
          <w:rtl/>
        </w:rPr>
        <w:t>612 -</w:t>
      </w:r>
      <w:r>
        <w:rPr>
          <w:rtl/>
        </w:rPr>
        <w:tab/>
        <w:t>وبالإضافة إلى ذلك تتمتع كيبيك بالاختصاص الكامل بشأن عملية إقامة العدل ويشمل ذلك إنشاء وصيانة وتنظيم المحاكم المدنية والجنائية وإقرار الإجراءات المدنية المنطبقة فيما تعد الولاية القضائية على الإجراءات الجنائية من اختصاص البرلمان الاتحادي.</w:t>
      </w:r>
    </w:p>
    <w:p w:rsidR="00000000" w:rsidRDefault="00000000">
      <w:pPr>
        <w:pStyle w:val="SingleTxt"/>
        <w:tabs>
          <w:tab w:val="clear" w:pos="1267"/>
          <w:tab w:val="left" w:pos="1628"/>
        </w:tabs>
        <w:ind w:left="1264" w:right="1264"/>
        <w:rPr>
          <w:rtl/>
        </w:rPr>
      </w:pPr>
      <w:r>
        <w:rPr>
          <w:rtl/>
        </w:rPr>
        <w:t>613 -</w:t>
      </w:r>
      <w:r>
        <w:rPr>
          <w:rtl/>
        </w:rPr>
        <w:tab/>
        <w:t>والهجرة تمثل بدورها ولاية قضائية مشتركة. وعلى ذلك فعلى مدار السنوات، وبخاصة منذ عام 1971، اكتسبت كيبيك سلطات إضافية من خلال إبرام اتفاقات بشأن اختيار المهاجرين الراغبين في الاستقرار في كيبيك. والفئات التي تُعد كيبيك مسؤولة عنها تشمل اللاجئين المختارين من الخارج وأشخاصا آخرين في حالٍ من المعاناة ومقدمي طلبات مستقلين. وما زالت كيبيك تتعاون مع الحكومة الاتحادية بشأن جمع شمل الأسر والاعتراف بمركز اللاجئ ولكنها مسؤولة دون غيرها عن توطين اللاجئين ضمن المقاطعة.</w:t>
      </w:r>
    </w:p>
    <w:p w:rsidR="00000000" w:rsidRDefault="00000000">
      <w:pPr>
        <w:pStyle w:val="SingleTxt"/>
        <w:tabs>
          <w:tab w:val="clear" w:pos="1267"/>
          <w:tab w:val="left" w:pos="1628"/>
        </w:tabs>
        <w:ind w:left="1264" w:right="1264"/>
        <w:rPr>
          <w:b/>
          <w:bCs/>
          <w:rtl/>
        </w:rPr>
      </w:pPr>
      <w:r>
        <w:rPr>
          <w:b/>
          <w:bCs/>
          <w:rtl/>
        </w:rPr>
        <w:t>مقدمة</w:t>
      </w:r>
    </w:p>
    <w:p w:rsidR="00000000" w:rsidRDefault="00000000">
      <w:pPr>
        <w:pStyle w:val="SingleTxt"/>
        <w:tabs>
          <w:tab w:val="clear" w:pos="1267"/>
          <w:tab w:val="left" w:pos="1628"/>
        </w:tabs>
        <w:ind w:left="1264" w:right="1264"/>
        <w:rPr>
          <w:rtl/>
        </w:rPr>
      </w:pPr>
      <w:r>
        <w:rPr>
          <w:rtl/>
        </w:rPr>
        <w:t>614 -</w:t>
      </w:r>
      <w:r>
        <w:rPr>
          <w:rtl/>
        </w:rPr>
        <w:tab/>
        <w:t>طبقا للمادة 18 من اتفاقية القضاء على جميع أشكال التمييز ضد المرأة، تقدِّم حكومة كيبيك فيما يلي مساهمتها في التقرير الخامس، وتتطرق إلى التدابير المتخذة بين 1 نيسان/أبريل 1994 و 31 آذار/مارس 1998 وتناقِش التقدُّم المحرز في هذا المضمار.</w:t>
      </w:r>
    </w:p>
    <w:p w:rsidR="00000000" w:rsidRDefault="00000000">
      <w:pPr>
        <w:pStyle w:val="SingleTxt"/>
        <w:tabs>
          <w:tab w:val="clear" w:pos="1267"/>
          <w:tab w:val="left" w:pos="1628"/>
        </w:tabs>
        <w:ind w:left="1264" w:right="1264"/>
        <w:rPr>
          <w:rtl/>
        </w:rPr>
      </w:pPr>
      <w:r>
        <w:rPr>
          <w:rtl/>
        </w:rPr>
        <w:t>615 -</w:t>
      </w:r>
      <w:r>
        <w:rPr>
          <w:rtl/>
        </w:rPr>
        <w:tab/>
        <w:t>واللجنة مدعوة إلى أن تلاحظ أن المواد المذكورة أدناه (“سياق كيبيك”) إنما تشير إلى المعلومات الواردة في الفصل المتعلق بمساهمة كيبيك في تقرير كندا الخامس بشأن اتفاقية القضاء على جميع أشكال التمييز ضد المرأة.</w:t>
      </w:r>
    </w:p>
    <w:p w:rsidR="00000000" w:rsidRDefault="00000000">
      <w:pPr>
        <w:pStyle w:val="SingleTxt"/>
        <w:tabs>
          <w:tab w:val="clear" w:pos="1267"/>
          <w:tab w:val="left" w:pos="1628"/>
        </w:tabs>
        <w:ind w:left="1264" w:right="1264"/>
        <w:rPr>
          <w:rtl/>
        </w:rPr>
      </w:pPr>
      <w:r>
        <w:rPr>
          <w:rtl/>
        </w:rPr>
        <w:t>616 -</w:t>
      </w:r>
      <w:r>
        <w:rPr>
          <w:rtl/>
        </w:rPr>
        <w:tab/>
        <w:t xml:space="preserve">وسياق كيبيك، أي الفترة المطروحة، يتفق مع انتخاب حكومة جديدة قررت مواصلة سياسة المقاطعة لعام 1993 بشأن وضع المرأة وهي بعنوان “سياسة بشأن حالة المرأة: مستقبل مشترك” (المرجع: تقرير كندا الرابع، الفقرات 343 </w:t>
      </w:r>
      <w:r>
        <w:t>–</w:t>
      </w:r>
      <w:r>
        <w:rPr>
          <w:rtl/>
        </w:rPr>
        <w:t xml:space="preserve"> 346). وبالنسبة إلى الاستراتيجيات الأربع التي تقوم عليها السياسة المذكورة (الاستقلال المالي للمرأة، احترام سلامة المرأة الجسمية والنفسية والقضاء على العنف الموجَّه ضد المرأة والاعتراف والتقدير للمساهمة الجماعية للنساء). فقد أضافت الحكومة في 29 نيسان/أبريل 1997 استراتيجية جديدة هي دور المرأة في التنمية الإقليمية.</w:t>
      </w:r>
    </w:p>
    <w:p w:rsidR="00000000" w:rsidRDefault="00000000">
      <w:pPr>
        <w:pStyle w:val="SingleTxt"/>
        <w:tabs>
          <w:tab w:val="clear" w:pos="1267"/>
          <w:tab w:val="left" w:pos="1628"/>
        </w:tabs>
        <w:ind w:left="1264" w:right="1264"/>
        <w:rPr>
          <w:rtl/>
        </w:rPr>
      </w:pPr>
      <w:r>
        <w:rPr>
          <w:rtl/>
        </w:rPr>
        <w:t>617 -</w:t>
      </w:r>
      <w:r>
        <w:rPr>
          <w:rtl/>
        </w:rPr>
        <w:tab/>
        <w:t>هذه الاستراتيجية الجديدة تدعو إلى اعتبار المرأة في كيبيك شريكا فعَّالا، وطرفا مستفيدا من التغييرات التي نجمت من خلال عملية الأقلمة الراهنة. وهذه العملية تهدف إلى جعل السلطة السياسية أقرب منالا إلى المقيمين في كيبيك. ولأن عددا متزايدا من المسؤوليات سوف تتحمل به السلطات المحلية والإقليمية، فقد أصبح من الضرورة بمكان تمثيل المرأة بأعداد متساوية في تلك الهيئات، فضلا عن ضرورة أن تؤخذ في الاعتبار أوضاعها ومصالحها.</w:t>
      </w:r>
    </w:p>
    <w:p w:rsidR="00000000" w:rsidRDefault="00000000">
      <w:pPr>
        <w:pStyle w:val="SingleTxt"/>
        <w:tabs>
          <w:tab w:val="clear" w:pos="1267"/>
          <w:tab w:val="left" w:pos="1628"/>
        </w:tabs>
        <w:ind w:left="1264" w:right="1264"/>
        <w:rPr>
          <w:rtl/>
        </w:rPr>
      </w:pPr>
      <w:r>
        <w:rPr>
          <w:rtl/>
        </w:rPr>
        <w:t>618 -</w:t>
      </w:r>
      <w:r>
        <w:rPr>
          <w:rtl/>
        </w:rPr>
        <w:tab/>
        <w:t xml:space="preserve">وبما أن المدى الزمني للسياسة هو 10 سنوات، فقد تم تخطيط ثلاث مراحل للتنفيذ. وفي عام 1997 بوصفه المرحلة الثانية، اعتمدت الحكومة خطة العمل للمرأة في جميع أنحاء كيبيك 1997 </w:t>
      </w:r>
      <w:r>
        <w:t>–</w:t>
      </w:r>
      <w:r>
        <w:rPr>
          <w:rtl/>
        </w:rPr>
        <w:t xml:space="preserve"> 2000 [خطة العمل لعام 1997 </w:t>
      </w:r>
      <w:r>
        <w:t>–</w:t>
      </w:r>
      <w:r>
        <w:rPr>
          <w:rtl/>
        </w:rPr>
        <w:t xml:space="preserve"> 2000 لجميع مواطني كيبيك] وهي صيغة معدَّلة من منهاج عمل بيجين تم تكييفها حسب الحقائق والقيم والأولويات المطروحة في مجتمع كيبيك وحسب الشواغل الخاصة للمرأة في المقاطعة. ويأتي هذا البرنامج نتيجة مداولات مستفيضة وبناء لتوافق بين الآراء تم مع 35 وزارة ومنظمة حكومية وشبه حكومية وشركاء من المجتمع المدني في مقدمتهم منظمات نسائية غير حكومية وباحثات جامعيات. وهو أيضا منطلق ومحور وهيكل دعم يدمج هدف المساواة الجنسانية ضمن الأنشطة اليومية الجارية للحكومة وفي مقدمتها ما يتم في مجال خفض أوجه التباين الاجتماعية الاقتصادية. ويهيئ البرنامج إطارا للعمل أمام كيبيك بشأن وضع المرأة حتى نهاية القرن ويشمل ثلاثة مشاريع للتعبئة و 43 تدبيرا قطاعيا و 15 تدبيرا محليا وإقليميا.</w:t>
      </w:r>
    </w:p>
    <w:p w:rsidR="00000000" w:rsidRDefault="00000000">
      <w:pPr>
        <w:pStyle w:val="SingleTxt"/>
        <w:tabs>
          <w:tab w:val="clear" w:pos="1267"/>
          <w:tab w:val="left" w:pos="1628"/>
        </w:tabs>
        <w:ind w:left="1264" w:right="1264"/>
        <w:rPr>
          <w:rtl/>
          <w:lang w:eastAsia="en-US"/>
        </w:rPr>
      </w:pPr>
      <w:r>
        <w:rPr>
          <w:rtl/>
          <w:lang w:eastAsia="en-US"/>
        </w:rPr>
        <w:t>619 -</w:t>
      </w:r>
      <w:r>
        <w:rPr>
          <w:rtl/>
          <w:lang w:eastAsia="en-US"/>
        </w:rPr>
        <w:tab/>
        <w:t>والمشاريع الثلاثة الخاصة بالتعبئة تشكِّل ركائز خطة العمل، وهي تُعرف بهذه الصفة لأنها تتطرق إلى مشاكل مهمة وعاجلة بالنسبة للمرأة وتشمل إجراءات متناسقة من جانب عدد من الوزارات والوكالات. وهذه المشاريع كالتالي:</w:t>
      </w:r>
    </w:p>
    <w:p w:rsidR="00000000" w:rsidRDefault="00000000">
      <w:pPr>
        <w:pStyle w:val="SingleTxt"/>
        <w:tabs>
          <w:tab w:val="clear" w:pos="1267"/>
          <w:tab w:val="left" w:pos="1628"/>
        </w:tabs>
        <w:ind w:left="1927" w:right="1264" w:hanging="663"/>
        <w:rPr>
          <w:rtl/>
          <w:lang w:eastAsia="en-US"/>
        </w:rPr>
      </w:pPr>
      <w:r>
        <w:rPr>
          <w:rtl/>
          <w:lang w:eastAsia="en-US"/>
        </w:rPr>
        <w:tab/>
        <w:t>•</w:t>
      </w:r>
      <w:r>
        <w:rPr>
          <w:rtl/>
          <w:lang w:eastAsia="en-US"/>
        </w:rPr>
        <w:tab/>
        <w:t>مشروع موجَّه نحو اتخاذ الإجراءات المؤسسية والسياسية “بدء العمل بتحليل على أساس جنساني في الممارسات الحكومية” (المادة 3)</w:t>
      </w:r>
    </w:p>
    <w:p w:rsidR="00000000" w:rsidRDefault="00000000">
      <w:pPr>
        <w:pStyle w:val="SingleTxt"/>
        <w:tabs>
          <w:tab w:val="clear" w:pos="1267"/>
          <w:tab w:val="left" w:pos="1628"/>
        </w:tabs>
        <w:ind w:left="1927" w:right="1264" w:hanging="663"/>
        <w:rPr>
          <w:rtl/>
          <w:lang w:eastAsia="en-US"/>
        </w:rPr>
      </w:pPr>
      <w:r>
        <w:rPr>
          <w:rtl/>
          <w:lang w:eastAsia="en-US"/>
        </w:rPr>
        <w:tab/>
        <w:t>•</w:t>
      </w:r>
      <w:r>
        <w:rPr>
          <w:rtl/>
          <w:lang w:eastAsia="en-US"/>
        </w:rPr>
        <w:tab/>
        <w:t>مشروع يعالج مشكلة اجتماعية عاجلة “منع حالات الحمل المبكر وتقديم الدعم للأمهات المراهقات” (المادتان 10 (و) و 12 (1))</w:t>
      </w:r>
    </w:p>
    <w:p w:rsidR="00000000" w:rsidRDefault="00000000">
      <w:pPr>
        <w:pStyle w:val="SingleTxt"/>
        <w:tabs>
          <w:tab w:val="clear" w:pos="1267"/>
          <w:tab w:val="left" w:pos="1628"/>
        </w:tabs>
        <w:ind w:left="1927" w:right="1264" w:hanging="663"/>
        <w:rPr>
          <w:rtl/>
          <w:lang w:eastAsia="en-US"/>
        </w:rPr>
      </w:pPr>
      <w:r>
        <w:rPr>
          <w:rtl/>
          <w:lang w:eastAsia="en-US"/>
        </w:rPr>
        <w:tab/>
        <w:t>•</w:t>
      </w:r>
      <w:r>
        <w:rPr>
          <w:rtl/>
          <w:lang w:eastAsia="en-US"/>
        </w:rPr>
        <w:tab/>
        <w:t>مشروع يركِّز على مستقبل المرأة في المجال الاقتصادي “دعم تقدُّم نساء كيبيك في مجالات العلوم والابتكار التكنولوجي” (المادتان 10 (أ) و 11 (1) (ج))</w:t>
      </w:r>
    </w:p>
    <w:p w:rsidR="00000000" w:rsidRDefault="00000000">
      <w:pPr>
        <w:pStyle w:val="SingleTxt"/>
        <w:tabs>
          <w:tab w:val="clear" w:pos="1267"/>
          <w:tab w:val="left" w:pos="1628"/>
        </w:tabs>
        <w:ind w:left="1264" w:right="1264"/>
        <w:rPr>
          <w:rtl/>
          <w:lang w:eastAsia="en-US"/>
        </w:rPr>
      </w:pPr>
      <w:r>
        <w:rPr>
          <w:rtl/>
          <w:lang w:eastAsia="en-US"/>
        </w:rPr>
        <w:t>620 -</w:t>
      </w:r>
      <w:r>
        <w:rPr>
          <w:rtl/>
          <w:lang w:eastAsia="en-US"/>
        </w:rPr>
        <w:tab/>
        <w:t>أما التدابير القطاعية البالغ عددها 43 وتشمل 22 من وزارات الحكومة ووكالاتها، فهي تتمحور حول ثمانية مواضيع تضم الميادين الرئيسية الإثني عشر المستقاة من منهاج عمل بيجين وهي:</w:t>
      </w:r>
    </w:p>
    <w:p w:rsidR="00000000" w:rsidRDefault="00000000">
      <w:pPr>
        <w:pStyle w:val="SingleTxt"/>
        <w:tabs>
          <w:tab w:val="clear" w:pos="1267"/>
          <w:tab w:val="left" w:pos="1628"/>
        </w:tabs>
        <w:ind w:left="1927" w:right="1264" w:hanging="663"/>
        <w:rPr>
          <w:rtl/>
          <w:lang w:eastAsia="en-US"/>
        </w:rPr>
      </w:pPr>
      <w:r>
        <w:rPr>
          <w:rtl/>
          <w:lang w:eastAsia="en-US"/>
        </w:rPr>
        <w:tab/>
        <w:t>•</w:t>
      </w:r>
      <w:r>
        <w:rPr>
          <w:rtl/>
          <w:lang w:eastAsia="en-US"/>
        </w:rPr>
        <w:tab/>
        <w:t>العمالة وتنظيم المشاريع (المادتان 11 و 14)</w:t>
      </w:r>
    </w:p>
    <w:p w:rsidR="00000000" w:rsidRDefault="00000000">
      <w:pPr>
        <w:pStyle w:val="SingleTxt"/>
        <w:tabs>
          <w:tab w:val="clear" w:pos="1267"/>
          <w:tab w:val="left" w:pos="1628"/>
        </w:tabs>
        <w:ind w:left="1927" w:right="1264" w:hanging="663"/>
        <w:rPr>
          <w:rtl/>
          <w:lang w:eastAsia="en-US"/>
        </w:rPr>
      </w:pPr>
      <w:r>
        <w:rPr>
          <w:rtl/>
          <w:lang w:eastAsia="en-US"/>
        </w:rPr>
        <w:tab/>
        <w:t>•</w:t>
      </w:r>
      <w:r>
        <w:rPr>
          <w:rtl/>
          <w:lang w:eastAsia="en-US"/>
        </w:rPr>
        <w:tab/>
        <w:t>الفقر والعدالة الاجتماعية (المادتان 11 و 13)</w:t>
      </w:r>
    </w:p>
    <w:p w:rsidR="00000000" w:rsidRDefault="00000000">
      <w:pPr>
        <w:pStyle w:val="SingleTxt"/>
        <w:tabs>
          <w:tab w:val="clear" w:pos="1267"/>
          <w:tab w:val="left" w:pos="1628"/>
        </w:tabs>
        <w:ind w:left="1927" w:right="1264" w:hanging="663"/>
        <w:rPr>
          <w:rtl/>
          <w:lang w:eastAsia="en-US"/>
        </w:rPr>
      </w:pPr>
      <w:r>
        <w:rPr>
          <w:rtl/>
          <w:lang w:eastAsia="en-US"/>
        </w:rPr>
        <w:tab/>
        <w:t>•</w:t>
      </w:r>
      <w:r>
        <w:rPr>
          <w:rtl/>
          <w:lang w:eastAsia="en-US"/>
        </w:rPr>
        <w:tab/>
        <w:t>تقاسم السلطة (المادة 7)</w:t>
      </w:r>
    </w:p>
    <w:p w:rsidR="00000000" w:rsidRDefault="00000000">
      <w:pPr>
        <w:pStyle w:val="SingleTxt"/>
        <w:tabs>
          <w:tab w:val="clear" w:pos="1267"/>
          <w:tab w:val="left" w:pos="1628"/>
        </w:tabs>
        <w:ind w:left="1927" w:right="1264" w:hanging="663"/>
        <w:rPr>
          <w:rtl/>
          <w:lang w:eastAsia="en-US"/>
        </w:rPr>
      </w:pPr>
      <w:r>
        <w:rPr>
          <w:rtl/>
          <w:lang w:eastAsia="en-US"/>
        </w:rPr>
        <w:tab/>
        <w:t>•</w:t>
      </w:r>
      <w:r>
        <w:rPr>
          <w:rtl/>
          <w:lang w:eastAsia="en-US"/>
        </w:rPr>
        <w:tab/>
        <w:t>التعليم والتدريب (المادتان 5 و 10)</w:t>
      </w:r>
    </w:p>
    <w:p w:rsidR="00000000" w:rsidRDefault="00000000">
      <w:pPr>
        <w:pStyle w:val="SingleTxt"/>
        <w:tabs>
          <w:tab w:val="clear" w:pos="1267"/>
          <w:tab w:val="left" w:pos="1628"/>
        </w:tabs>
        <w:ind w:left="1927" w:right="1264" w:hanging="663"/>
        <w:rPr>
          <w:rtl/>
          <w:lang w:eastAsia="en-US"/>
        </w:rPr>
      </w:pPr>
      <w:r>
        <w:rPr>
          <w:rtl/>
          <w:lang w:eastAsia="en-US"/>
        </w:rPr>
        <w:tab/>
        <w:t>•</w:t>
      </w:r>
      <w:r>
        <w:rPr>
          <w:rtl/>
          <w:lang w:eastAsia="en-US"/>
        </w:rPr>
        <w:tab/>
        <w:t>الصحة والرفاه (المادة 12)</w:t>
      </w:r>
    </w:p>
    <w:p w:rsidR="00000000" w:rsidRDefault="00000000">
      <w:pPr>
        <w:pStyle w:val="SingleTxt"/>
        <w:tabs>
          <w:tab w:val="clear" w:pos="1267"/>
          <w:tab w:val="left" w:pos="1628"/>
        </w:tabs>
        <w:ind w:left="1927" w:right="1264" w:hanging="663"/>
        <w:rPr>
          <w:rtl/>
          <w:lang w:eastAsia="en-US"/>
        </w:rPr>
      </w:pPr>
      <w:r>
        <w:rPr>
          <w:rtl/>
          <w:lang w:eastAsia="en-US"/>
        </w:rPr>
        <w:tab/>
        <w:t>•</w:t>
      </w:r>
      <w:r>
        <w:rPr>
          <w:rtl/>
          <w:lang w:eastAsia="en-US"/>
        </w:rPr>
        <w:tab/>
        <w:t>العنف (المادة 1)</w:t>
      </w:r>
    </w:p>
    <w:p w:rsidR="00000000" w:rsidRDefault="00000000">
      <w:pPr>
        <w:pStyle w:val="SingleTxt"/>
        <w:tabs>
          <w:tab w:val="clear" w:pos="1267"/>
          <w:tab w:val="left" w:pos="1628"/>
        </w:tabs>
        <w:ind w:left="1927" w:right="1264" w:hanging="663"/>
        <w:rPr>
          <w:rtl/>
          <w:lang w:eastAsia="en-US"/>
        </w:rPr>
      </w:pPr>
      <w:r>
        <w:rPr>
          <w:rtl/>
          <w:lang w:eastAsia="en-US"/>
        </w:rPr>
        <w:tab/>
        <w:t>•</w:t>
      </w:r>
      <w:r>
        <w:rPr>
          <w:rtl/>
          <w:lang w:eastAsia="en-US"/>
        </w:rPr>
        <w:tab/>
        <w:t>التعاون الدولي (المادة 8)</w:t>
      </w:r>
    </w:p>
    <w:p w:rsidR="00000000" w:rsidRDefault="00000000">
      <w:pPr>
        <w:pStyle w:val="SingleTxt"/>
        <w:tabs>
          <w:tab w:val="clear" w:pos="1267"/>
          <w:tab w:val="left" w:pos="1628"/>
        </w:tabs>
        <w:ind w:left="1927" w:right="1264" w:hanging="663"/>
        <w:rPr>
          <w:rtl/>
          <w:lang w:eastAsia="en-US"/>
        </w:rPr>
      </w:pPr>
      <w:r>
        <w:rPr>
          <w:rtl/>
          <w:lang w:eastAsia="en-US"/>
        </w:rPr>
        <w:tab/>
        <w:t>•</w:t>
      </w:r>
      <w:r>
        <w:rPr>
          <w:rtl/>
          <w:lang w:eastAsia="en-US"/>
        </w:rPr>
        <w:tab/>
        <w:t>الاعتراف بحقوق المرأة واحترام هذه الحقوق (المواد 1 و 15 و 16)</w:t>
      </w:r>
    </w:p>
    <w:p w:rsidR="00000000" w:rsidRDefault="00000000">
      <w:pPr>
        <w:pStyle w:val="SingleTxt"/>
        <w:tabs>
          <w:tab w:val="clear" w:pos="1267"/>
          <w:tab w:val="left" w:pos="1628"/>
        </w:tabs>
        <w:ind w:left="1264" w:right="1264"/>
        <w:rPr>
          <w:rtl/>
          <w:lang w:eastAsia="en-US"/>
        </w:rPr>
      </w:pPr>
      <w:r>
        <w:rPr>
          <w:rtl/>
          <w:lang w:eastAsia="en-US"/>
        </w:rPr>
        <w:t>621 -</w:t>
      </w:r>
      <w:r>
        <w:rPr>
          <w:rtl/>
          <w:lang w:eastAsia="en-US"/>
        </w:rPr>
        <w:tab/>
        <w:t>وقد تم تنفيذ التدابير المحلية والإقليمية الـ 15 لدعم كلا المحورين من الاستراتيجية الخامسة حيث يتمثل الهدف في تهيئة دور تقوم به المرأة في مجال التنمية الإقليمية بمعنى التمثيل المنصف للمرأة في الحكومات المحلية والإقليمية وإيلاء النظر لمصالحها ووضعيتها من جانب تلك السلطات (المادة 7).</w:t>
      </w:r>
    </w:p>
    <w:p w:rsidR="00000000" w:rsidRDefault="00000000">
      <w:pPr>
        <w:pStyle w:val="SingleTxt"/>
        <w:tabs>
          <w:tab w:val="clear" w:pos="1267"/>
          <w:tab w:val="left" w:pos="1628"/>
        </w:tabs>
        <w:ind w:left="1264" w:right="1264"/>
        <w:rPr>
          <w:rtl/>
          <w:lang w:eastAsia="en-US"/>
        </w:rPr>
      </w:pPr>
      <w:r>
        <w:rPr>
          <w:rtl/>
          <w:lang w:eastAsia="en-US"/>
        </w:rPr>
        <w:t>622 -</w:t>
      </w:r>
      <w:r>
        <w:rPr>
          <w:rtl/>
          <w:lang w:eastAsia="en-US"/>
        </w:rPr>
        <w:tab/>
        <w:t>وعلى مدار الفترة المطروحة، أثَّرت حادثتان رئيسيتان على الإجراءات المتخذة بشأن الظروف المعيشية للمرأة في كيبيك وهما: مسيرة “الخبز والزهور” التي نُظمت في حزيران/يونيه 1995 بواسطة الاتحاد النسائي في كيبيك. وقد ركَّزت الاهتمام العام على فقر المرأة، وأفضت إلى إقامة هياكل أساسية اقتصادية اجتماعية معيَّنة (المادة 11) ثم انعقاد مؤتمر القمة المعني بالاقتصاد والعمالة في خريف عام 1996، وقد أدى إلى إنشاء صندوق مكافحة الفقر من خلال التأكيد على العمالة (المادة 11) بوصفه عنصرا مكملا لصندوق الإجراءات المجتمعية المستقل الذي سبق إنشاؤه في عام 1995 (المادة 1).</w:t>
      </w:r>
    </w:p>
    <w:p w:rsidR="00000000" w:rsidRDefault="00000000">
      <w:pPr>
        <w:pStyle w:val="SingleTxt"/>
        <w:tabs>
          <w:tab w:val="clear" w:pos="1267"/>
          <w:tab w:val="left" w:pos="1628"/>
        </w:tabs>
        <w:ind w:left="1264" w:right="1264"/>
        <w:rPr>
          <w:rtl/>
          <w:lang w:eastAsia="en-US"/>
        </w:rPr>
      </w:pPr>
      <w:r>
        <w:rPr>
          <w:rtl/>
          <w:lang w:eastAsia="en-US"/>
        </w:rPr>
        <w:t>623 -</w:t>
      </w:r>
      <w:r>
        <w:rPr>
          <w:rtl/>
          <w:lang w:eastAsia="en-US"/>
        </w:rPr>
        <w:tab/>
        <w:t>وقد أعادت السياسات الرئيسية الثلاث تأكيد عزم الحكومة على تحسين الظروف المعيشية للمرأة في كيبيك في ثلاثة مجالات رئيسية: العنف (المادة 1) والأسرة (المادة 11 (2)) ثم الصحة (المادة 12).</w:t>
      </w:r>
    </w:p>
    <w:p w:rsidR="00000000" w:rsidRDefault="00000000">
      <w:pPr>
        <w:pStyle w:val="SingleTxt"/>
        <w:tabs>
          <w:tab w:val="clear" w:pos="1267"/>
          <w:tab w:val="left" w:pos="1628"/>
        </w:tabs>
        <w:ind w:left="1264" w:right="1264"/>
        <w:rPr>
          <w:rtl/>
          <w:lang w:eastAsia="en-US"/>
        </w:rPr>
      </w:pPr>
      <w:r>
        <w:rPr>
          <w:rtl/>
          <w:lang w:eastAsia="en-US"/>
        </w:rPr>
        <w:t>624 -</w:t>
      </w:r>
      <w:r>
        <w:rPr>
          <w:rtl/>
          <w:lang w:eastAsia="en-US"/>
        </w:rPr>
        <w:tab/>
        <w:t>وجاء عام 1998 ليشهد الاحتفال بالذكرى السنوية الخامسة والعشرين لإنشاء المركز المعني بوضع المرأة الذي ظل على مدى ربع قرن يُوجِّه ويواكب جهود المرأة في كيبيك نحو تحقيق المساواة ونيل المزيد من الحقوق وتحسين الظروف الاجتماعية والاقتصادية والسياسية والثقافية.</w:t>
      </w:r>
    </w:p>
    <w:p w:rsidR="00000000" w:rsidRDefault="00000000">
      <w:pPr>
        <w:pStyle w:val="SingleTxt"/>
        <w:tabs>
          <w:tab w:val="clear" w:pos="1267"/>
          <w:tab w:val="left" w:pos="1628"/>
        </w:tabs>
        <w:ind w:left="1264" w:right="1264"/>
        <w:rPr>
          <w:rtl/>
          <w:lang w:eastAsia="en-US"/>
        </w:rPr>
      </w:pPr>
      <w:r>
        <w:rPr>
          <w:rtl/>
          <w:lang w:eastAsia="en-US"/>
        </w:rPr>
        <w:t>625 -</w:t>
      </w:r>
      <w:r>
        <w:rPr>
          <w:rtl/>
          <w:lang w:eastAsia="en-US"/>
        </w:rPr>
        <w:tab/>
        <w:t>ولاستكمال المعلومات الواردة في هذا التقرير، قدمت كيبيك الوثائق الواردة في التذييل 1.</w:t>
      </w:r>
    </w:p>
    <w:p w:rsidR="00000000" w:rsidRDefault="00000000">
      <w:pPr>
        <w:pStyle w:val="SingleTxt"/>
        <w:tabs>
          <w:tab w:val="clear" w:pos="1267"/>
          <w:tab w:val="left" w:pos="1628"/>
        </w:tabs>
        <w:ind w:left="1264" w:right="1264"/>
        <w:rPr>
          <w:rtl/>
          <w:lang w:eastAsia="en-US"/>
        </w:rPr>
      </w:pPr>
      <w:r>
        <w:rPr>
          <w:rtl/>
          <w:lang w:eastAsia="en-US"/>
        </w:rPr>
        <w:t>626 -</w:t>
      </w:r>
      <w:r>
        <w:rPr>
          <w:rtl/>
          <w:lang w:eastAsia="en-US"/>
        </w:rPr>
        <w:tab/>
        <w:t>وفي مجال الإجراءات التشريعية التي اتخذت تمت بين عامي 1994 و 1998 أصدرت كيبيك أو عدَّلت أكثر من 60 قانونا كان لها تأثيرها على حقوق المرأة وظروفها المعيشية. أما التشريعات الرئيسية السبعة فهي: قانون تسهيل دفع الإعانة (</w:t>
      </w:r>
      <w:r>
        <w:rPr>
          <w:lang w:eastAsia="en-US"/>
        </w:rPr>
        <w:t>S.Q. 1995, c. 18, s. 13</w:t>
      </w:r>
      <w:r>
        <w:rPr>
          <w:rtl/>
          <w:lang w:eastAsia="en-US"/>
        </w:rPr>
        <w:t>)؛ قانون الإنصاف الأجري (</w:t>
      </w:r>
      <w:r>
        <w:rPr>
          <w:lang w:eastAsia="en-US"/>
        </w:rPr>
        <w:t>S.Q. 1996, c. 43, s. 11</w:t>
      </w:r>
      <w:r>
        <w:rPr>
          <w:rtl/>
          <w:lang w:eastAsia="en-US"/>
        </w:rPr>
        <w:t>)؛ قانون لتعديل المدوَّنة المدنية لكيبيك ومدوَّنة الإجراءات المدنية فيما يتعلق بتحديد مدفوعات دعم الطفل؛ (</w:t>
      </w:r>
      <w:r>
        <w:rPr>
          <w:lang w:eastAsia="en-US"/>
        </w:rPr>
        <w:t>S.Q. 1996, c. 68, s. 13</w:t>
      </w:r>
      <w:r>
        <w:rPr>
          <w:rtl/>
          <w:lang w:eastAsia="en-US"/>
        </w:rPr>
        <w:t>)؛ قانون بتعديل القانون باحترام معايير العمل فيما يتصل بالإجازات السنوية والوالدية (</w:t>
      </w:r>
      <w:r>
        <w:rPr>
          <w:lang w:eastAsia="en-US"/>
        </w:rPr>
        <w:t>S.Q. 1997, c. 10, s. 11(2)</w:t>
      </w:r>
      <w:r>
        <w:rPr>
          <w:rtl/>
          <w:lang w:eastAsia="en-US"/>
        </w:rPr>
        <w:t>)؛ القانون الذي يقصد، في إطار مدوَّنة الإجراءات المدنية، إلى إقرار الوساطة السابقة على النظر في قضايا قانون الأسرة وإلى تعديل بعض أحكام المدوَّنة (</w:t>
      </w:r>
      <w:r>
        <w:rPr>
          <w:lang w:eastAsia="en-US"/>
        </w:rPr>
        <w:t>S.Q. 1997, c. 42, s. 5(b)</w:t>
      </w:r>
      <w:r>
        <w:rPr>
          <w:rtl/>
          <w:lang w:eastAsia="en-US"/>
        </w:rPr>
        <w:t>)؛ قانون تعديل القانون الضريبي وغير ذلك من الأحكام التشريعية ذات الطابع الضريبي (</w:t>
      </w:r>
      <w:r>
        <w:rPr>
          <w:lang w:eastAsia="en-US"/>
        </w:rPr>
        <w:t>S.Q. 1998, c. 16</w:t>
      </w:r>
      <w:r>
        <w:rPr>
          <w:rtl/>
          <w:lang w:eastAsia="en-US"/>
        </w:rPr>
        <w:t>)؛ وهو ينص بالذات على أن مدفوعات دعم الطفل معفاة من الضرائب (</w:t>
      </w:r>
      <w:r>
        <w:rPr>
          <w:lang w:eastAsia="en-US"/>
        </w:rPr>
        <w:t>s.13</w:t>
      </w:r>
      <w:r>
        <w:rPr>
          <w:rtl/>
          <w:lang w:eastAsia="en-US"/>
        </w:rPr>
        <w:t>)؛ ثم قانون تمديد أثر بعض أحكام القانون المتعلقة بممارسة القِبالة ضمن إطار المشاريع النموذجية (</w:t>
      </w:r>
      <w:r>
        <w:rPr>
          <w:lang w:eastAsia="en-US"/>
        </w:rPr>
        <w:t>S.Q. 1998, c. 26, s. 12(2)</w:t>
      </w:r>
      <w:r>
        <w:rPr>
          <w:rtl/>
          <w:lang w:eastAsia="en-US"/>
        </w:rPr>
        <w:t>).</w:t>
      </w:r>
    </w:p>
    <w:p w:rsidR="00000000" w:rsidRDefault="00000000">
      <w:pPr>
        <w:pStyle w:val="SingleTxt"/>
        <w:tabs>
          <w:tab w:val="clear" w:pos="1267"/>
          <w:tab w:val="left" w:pos="1628"/>
        </w:tabs>
        <w:ind w:left="1264" w:right="1264"/>
        <w:rPr>
          <w:b/>
          <w:bCs/>
          <w:szCs w:val="32"/>
          <w:rtl/>
          <w:lang w:eastAsia="en-US"/>
        </w:rPr>
      </w:pPr>
      <w:r>
        <w:rPr>
          <w:b/>
          <w:bCs/>
          <w:szCs w:val="32"/>
          <w:rtl/>
          <w:lang w:eastAsia="en-US"/>
        </w:rPr>
        <w:t xml:space="preserve">المادة 1 </w:t>
      </w:r>
    </w:p>
    <w:p w:rsidR="00000000" w:rsidRDefault="00000000">
      <w:pPr>
        <w:pStyle w:val="SingleTxt"/>
        <w:tabs>
          <w:tab w:val="clear" w:pos="1267"/>
          <w:tab w:val="left" w:pos="1628"/>
        </w:tabs>
        <w:ind w:left="1264" w:right="1264"/>
        <w:rPr>
          <w:rtl/>
          <w:lang w:eastAsia="en-US"/>
        </w:rPr>
      </w:pPr>
      <w:r>
        <w:rPr>
          <w:rtl/>
          <w:lang w:eastAsia="en-US"/>
        </w:rPr>
        <w:t>627 -</w:t>
      </w:r>
      <w:r>
        <w:rPr>
          <w:rtl/>
          <w:lang w:eastAsia="en-US"/>
        </w:rPr>
        <w:tab/>
        <w:t>اتخذت عدة تدابير لتنفيذ المادة 1 من اتفاقية القضاء على جميع أشكال التمييز ضد المرأة التي ورد ذكرها في التقارير السابقة. ومن شأن البند 10 من ميثاق كيبيك لحقوق الإنسان والحريات أن يُلبي متطلبات الاتفاقية من خلال تأثيم التمييز القائم على عوامل من قبيل نوع الجنس أو الحمل أو التوجُّه الجنسي أو الحالة الزواجية.</w:t>
      </w:r>
    </w:p>
    <w:p w:rsidR="00000000" w:rsidRDefault="00000000">
      <w:pPr>
        <w:pStyle w:val="SingleTxt"/>
        <w:tabs>
          <w:tab w:val="clear" w:pos="1267"/>
          <w:tab w:val="left" w:pos="1628"/>
        </w:tabs>
        <w:ind w:left="1264" w:right="1264"/>
        <w:rPr>
          <w:rtl/>
          <w:lang w:eastAsia="en-US"/>
        </w:rPr>
      </w:pPr>
      <w:r>
        <w:rPr>
          <w:rtl/>
          <w:lang w:eastAsia="en-US"/>
        </w:rPr>
        <w:t>628 -</w:t>
      </w:r>
      <w:r>
        <w:rPr>
          <w:rtl/>
          <w:lang w:eastAsia="en-US"/>
        </w:rPr>
        <w:tab/>
        <w:t>وفي كيبيك، كما في سائر أنحاء كندا، يُعد العنف الزواجي فعلا جنائيا. وفي كانون الأول/ديسمبر 1995 أعلنت الحكومة عن سياسة متعددة القطاعات في هذه المسألة حملت عنوان “امنعوا واكشفوا وأوقفوا العنف بين الزوجين”. فضلا عن خطة عمل مشتركة بين القطاعات تشمل 57 التزاما.</w:t>
      </w:r>
    </w:p>
    <w:p w:rsidR="00000000" w:rsidRDefault="00000000">
      <w:pPr>
        <w:pStyle w:val="SingleTxt"/>
        <w:tabs>
          <w:tab w:val="clear" w:pos="1267"/>
          <w:tab w:val="left" w:pos="1628"/>
        </w:tabs>
        <w:ind w:left="1264" w:right="1264"/>
        <w:rPr>
          <w:rtl/>
          <w:lang w:eastAsia="en-US"/>
        </w:rPr>
      </w:pPr>
      <w:r>
        <w:rPr>
          <w:rtl/>
          <w:lang w:eastAsia="en-US"/>
        </w:rPr>
        <w:t>629 -</w:t>
      </w:r>
      <w:r>
        <w:rPr>
          <w:rtl/>
          <w:lang w:eastAsia="en-US"/>
        </w:rPr>
        <w:tab/>
        <w:t>ولدى وضع هذه السياسة، التي لا تركِّز فحسب على المرأة ولكن تتعدي ذلك للتركيز على الطفل باعتبار أن الأخير يتأثر بالعنف، انطلقت كيبيك إلى حدٍ كبير جدا من إعلان القضاء على العنف الموجَّه ضد المرأة الصادر في 1 كانون الأول/ديسمبر 1993 من جانب الجمعية العامة للأمم المتحدة.</w:t>
      </w:r>
    </w:p>
    <w:p w:rsidR="00000000" w:rsidRDefault="00000000">
      <w:pPr>
        <w:pStyle w:val="SingleTxt"/>
        <w:tabs>
          <w:tab w:val="clear" w:pos="1267"/>
          <w:tab w:val="left" w:pos="1628"/>
        </w:tabs>
        <w:ind w:left="1264" w:right="1264"/>
        <w:rPr>
          <w:rtl/>
          <w:lang w:eastAsia="en-US"/>
        </w:rPr>
      </w:pPr>
      <w:r>
        <w:rPr>
          <w:rtl/>
          <w:lang w:eastAsia="en-US"/>
        </w:rPr>
        <w:t>630 -</w:t>
      </w:r>
      <w:r>
        <w:rPr>
          <w:rtl/>
          <w:lang w:eastAsia="en-US"/>
        </w:rPr>
        <w:tab/>
        <w:t>وفي تعريفها للعنف الزواجي، تشمل السياسة المذكورة حوادث الإيذاء السيكولوجي واللفظي والبدني والجنسي، فضلا عن المحاولات التي ترمي إلى فرض السيطرة الاقتصادية. والعنف لا ينجم عن فقدان السيطرة بل إنه يشكل وسيلة يتم اختيارها للهيمنة على شخص آخر وفرض السيطرة على ذلك الشخص. ويمكن أن يتم داخل إطار الزواج أو خارجه وفي أي مرحلة من مراحل الحياة.</w:t>
      </w:r>
    </w:p>
    <w:p w:rsidR="00000000" w:rsidRDefault="00000000">
      <w:pPr>
        <w:pStyle w:val="SingleTxt"/>
        <w:tabs>
          <w:tab w:val="clear" w:pos="1267"/>
          <w:tab w:val="left" w:pos="1628"/>
        </w:tabs>
        <w:ind w:left="1264" w:right="1264"/>
        <w:rPr>
          <w:rtl/>
          <w:lang w:eastAsia="en-US"/>
        </w:rPr>
      </w:pPr>
      <w:r>
        <w:rPr>
          <w:rtl/>
          <w:lang w:eastAsia="en-US"/>
        </w:rPr>
        <w:t>631 -</w:t>
      </w:r>
      <w:r>
        <w:rPr>
          <w:rtl/>
          <w:lang w:eastAsia="en-US"/>
        </w:rPr>
        <w:tab/>
        <w:t>أما السياسة التي تم وضعها بمشاركة مع الحكومة والمنظمات شبه الحكومية والمجتمع المحلي والجامعات وجماعات المصالح الخاصة والخبراء، فتقوم على أساس الحاجة إلى تجميع أجزاء الإجراءات الحكومية وتوحيدها في مجال العنف الزواجي وجعلها أكثر فعالية، فضلا عن نشر فهم عام للمشكلة.</w:t>
      </w:r>
    </w:p>
    <w:p w:rsidR="00000000" w:rsidRDefault="00000000">
      <w:pPr>
        <w:pStyle w:val="SingleTxt"/>
        <w:tabs>
          <w:tab w:val="clear" w:pos="1267"/>
          <w:tab w:val="left" w:pos="1628"/>
        </w:tabs>
        <w:ind w:left="1264" w:right="1264"/>
        <w:rPr>
          <w:rtl/>
          <w:lang w:eastAsia="en-US"/>
        </w:rPr>
      </w:pPr>
      <w:r>
        <w:rPr>
          <w:rtl/>
          <w:lang w:eastAsia="en-US"/>
        </w:rPr>
        <w:t>632 -</w:t>
      </w:r>
      <w:r>
        <w:rPr>
          <w:rtl/>
          <w:lang w:eastAsia="en-US"/>
        </w:rPr>
        <w:tab/>
        <w:t>ويركِّز “شعار امنعوا العنف واكشفوه وأوقفوه” على أربعة مجالات للتدخل: المنع والكشف وتقديم خدمات محدَّدة الأهداف واتخاذ تدابير متناسقة من الناحية السيكولوجية الاجتماعية، فضلاً عن النواحي القانونية والتصحيحية. وتستند السياسة إلى ضرورة أن يصبح المجتمع ككل مشاركا في الجهود الرامية إلى القضاء على العنف الزواجي.</w:t>
      </w:r>
    </w:p>
    <w:p w:rsidR="00000000" w:rsidRDefault="00000000">
      <w:pPr>
        <w:pStyle w:val="SingleTxt"/>
        <w:tabs>
          <w:tab w:val="clear" w:pos="1267"/>
          <w:tab w:val="left" w:pos="1628"/>
        </w:tabs>
        <w:ind w:left="1264" w:right="1264"/>
        <w:rPr>
          <w:rtl/>
          <w:lang w:eastAsia="en-US"/>
        </w:rPr>
      </w:pPr>
      <w:r>
        <w:rPr>
          <w:rtl/>
          <w:lang w:eastAsia="en-US"/>
        </w:rPr>
        <w:t>633 -</w:t>
      </w:r>
      <w:r>
        <w:rPr>
          <w:rtl/>
          <w:lang w:eastAsia="en-US"/>
        </w:rPr>
        <w:tab/>
        <w:t>ويقوم المجال الأول وهو المنع على أساس تعزيز المساواة الجنسانية بين صفوف الأطفال والبالغين ومن ثم فالنظام المدرسي مدعو إلى أن يقوم بدور رئيسي في هذا المجال.</w:t>
      </w:r>
    </w:p>
    <w:p w:rsidR="00000000" w:rsidRDefault="00000000">
      <w:pPr>
        <w:pStyle w:val="SingleTxt"/>
        <w:tabs>
          <w:tab w:val="clear" w:pos="1267"/>
          <w:tab w:val="left" w:pos="1628"/>
        </w:tabs>
        <w:ind w:left="1264" w:right="1264"/>
        <w:rPr>
          <w:rtl/>
          <w:lang w:eastAsia="en-US"/>
        </w:rPr>
      </w:pPr>
      <w:r>
        <w:rPr>
          <w:rtl/>
          <w:lang w:eastAsia="en-US"/>
        </w:rPr>
        <w:t>634 -</w:t>
      </w:r>
      <w:r>
        <w:rPr>
          <w:rtl/>
          <w:lang w:eastAsia="en-US"/>
        </w:rPr>
        <w:tab/>
        <w:t>والمجال الثاني وهو الكشف يهدف إلى تزويد جميع المنشآت والوكالات المعنية بسُبل الكشف المنهجي عن العنف الزواجي برغم التحفظات التي عادةً ما يبديها المجني عليهم.</w:t>
      </w:r>
    </w:p>
    <w:p w:rsidR="00000000" w:rsidRDefault="00000000">
      <w:pPr>
        <w:pStyle w:val="SingleTxt"/>
        <w:tabs>
          <w:tab w:val="clear" w:pos="1267"/>
          <w:tab w:val="left" w:pos="1628"/>
        </w:tabs>
        <w:ind w:left="1264" w:right="1264"/>
        <w:rPr>
          <w:rtl/>
          <w:lang w:eastAsia="en-US"/>
        </w:rPr>
      </w:pPr>
      <w:r>
        <w:rPr>
          <w:rtl/>
          <w:lang w:eastAsia="en-US"/>
        </w:rPr>
        <w:t>635 -</w:t>
      </w:r>
      <w:r>
        <w:rPr>
          <w:rtl/>
          <w:lang w:eastAsia="en-US"/>
        </w:rPr>
        <w:tab/>
        <w:t>أما المجال الثالث وهو الخدمات المحددة الأهداف فيؤكد على الخدمات التي يتم تكييفها لكي تلبي احتياجات فئات مستهدفة بعينها كالنساء اللائي يعشن في المناطق النائية والمعاقات والمسِنات ونساء السكان الأصليين والمهاجرات والمساحقات فضلاً عن المثليين جنسيا والرجال الذين تعرضوا للأذى على يد زوجاتهن.</w:t>
      </w:r>
    </w:p>
    <w:p w:rsidR="00000000" w:rsidRDefault="00000000">
      <w:pPr>
        <w:pStyle w:val="SingleTxt"/>
        <w:tabs>
          <w:tab w:val="clear" w:pos="1267"/>
          <w:tab w:val="left" w:pos="1628"/>
        </w:tabs>
        <w:ind w:left="1264" w:right="1264"/>
        <w:rPr>
          <w:rtl/>
          <w:lang w:eastAsia="en-US"/>
        </w:rPr>
      </w:pPr>
      <w:r>
        <w:rPr>
          <w:rtl/>
          <w:lang w:eastAsia="en-US"/>
        </w:rPr>
        <w:t>636 -</w:t>
      </w:r>
      <w:r>
        <w:rPr>
          <w:rtl/>
          <w:lang w:eastAsia="en-US"/>
        </w:rPr>
        <w:tab/>
        <w:t>ويقترح المجال الرابع والأخير اتخاذ المزيد من التدابير التي تتسم بالفعالية والكفاءة من النواحي السيكو اجتماعية والقانونية والتصحيحية.</w:t>
      </w:r>
    </w:p>
    <w:p w:rsidR="00000000" w:rsidRDefault="00000000">
      <w:pPr>
        <w:pStyle w:val="SingleTxt"/>
        <w:tabs>
          <w:tab w:val="clear" w:pos="1267"/>
          <w:tab w:val="left" w:pos="1628"/>
        </w:tabs>
        <w:ind w:left="1264" w:right="1264"/>
        <w:rPr>
          <w:rtl/>
          <w:lang w:eastAsia="en-US"/>
        </w:rPr>
      </w:pPr>
      <w:r>
        <w:rPr>
          <w:rtl/>
          <w:lang w:eastAsia="en-US"/>
        </w:rPr>
        <w:t>637 -</w:t>
      </w:r>
      <w:r>
        <w:rPr>
          <w:rtl/>
          <w:lang w:eastAsia="en-US"/>
        </w:rPr>
        <w:tab/>
        <w:t>وقد تم بالفعل تنفيذ خطة العمل ذات الـ 57 التزاما. ومن التدابير الرئيسية في هذا الصدد ما يشمل التنسيق والعمل المشترك على الصعيدين المحلي والإقليمي. ومنذ عام 1995، شارك أكثر من 800 فرد من ميادين التعليم والصحة والخدمات الاجتماعية والعدالة والسلامة العامة والقطاع المجتمعي في أعمال لجان مختلفة للتشاور على الصعيدين الإقليمي ودون الإقليمي.</w:t>
      </w:r>
    </w:p>
    <w:p w:rsidR="00000000" w:rsidRDefault="00000000">
      <w:pPr>
        <w:pStyle w:val="SingleTxt"/>
        <w:tabs>
          <w:tab w:val="clear" w:pos="1267"/>
          <w:tab w:val="left" w:pos="1628"/>
        </w:tabs>
        <w:ind w:left="1264" w:right="1264"/>
        <w:rPr>
          <w:rtl/>
          <w:lang w:eastAsia="en-US"/>
        </w:rPr>
      </w:pPr>
      <w:r>
        <w:rPr>
          <w:rtl/>
          <w:lang w:eastAsia="en-US"/>
        </w:rPr>
        <w:t>638 -</w:t>
      </w:r>
      <w:r>
        <w:rPr>
          <w:rtl/>
          <w:lang w:eastAsia="en-US"/>
        </w:rPr>
        <w:tab/>
        <w:t>وأفضت السياسة أيضا إلى عقد عدد من بروتوكولات الكشف والإحالة والتدخُّل بين الجهات المحلية والإقليمية المعنية بالعنف الزواجي. وعلى مستوى الشرطة والقضاء وقطاع الإصلاحيات، إتُخذت تدابير رامية إلى تحسين حماية المجني عليهم. وعلى سبيل المثال فحين يُستدعى ضباط الشرطة الآن إلى مسرح شهد وقوع جريمة عنف منزلي فهم يقومون باستمرار بمصادرة جميع الأسلحة النارية. وقد تم حجز أماكن مخصوصة لضحايا العنف الزواجي في جميع دور المحاكم في كيبيك بل يمكن حجز قاعة محكمة بأكملها لحالات العنف الزواجي إذا ما كان الحجم يبرِّر ذلك. وتُقَدَّم الملفات إلى مدعين متخصصين يتابعون سير القضايا من الألف إلى الياء، ويحاط المجني عليهم علما إذا ما أُطلق سراح مهاجميهم أو كانوا يحملون تصريحا نهاريا أو خضعوا لإخلاء سبيل مشروط.</w:t>
      </w:r>
    </w:p>
    <w:p w:rsidR="00000000" w:rsidRDefault="00000000">
      <w:pPr>
        <w:pStyle w:val="SingleTxt"/>
        <w:tabs>
          <w:tab w:val="clear" w:pos="1267"/>
          <w:tab w:val="left" w:pos="1628"/>
        </w:tabs>
        <w:ind w:left="1264" w:right="1264"/>
        <w:rPr>
          <w:rtl/>
          <w:lang w:eastAsia="en-US"/>
        </w:rPr>
      </w:pPr>
      <w:r>
        <w:rPr>
          <w:rtl/>
          <w:lang w:eastAsia="en-US"/>
        </w:rPr>
        <w:t>639 -</w:t>
      </w:r>
      <w:r>
        <w:rPr>
          <w:rtl/>
          <w:lang w:eastAsia="en-US"/>
        </w:rPr>
        <w:tab/>
        <w:t>وقد بدأ في عام 1997 تنظيم حملة للوقاية والتوعية بشأن العنف الموجَّه ضد المرأة وهي تضم شركاء من جانب الدوائر الحكومية والمجتمع المحلي. وتؤكد الحملة على تعزيز المساواة بين الجنسين على صعيد الأطفال، وتقدِّم معلومات بشأن أشكال العنف التي يقل العلم بها مثل الإيذاء السيكولوجي. وقد انطلقت المرحلة الأولى من الحملة المذكورة في كانون الأول/ديسمبر 1998.</w:t>
      </w:r>
    </w:p>
    <w:p w:rsidR="00000000" w:rsidRDefault="00000000">
      <w:pPr>
        <w:pStyle w:val="SingleTxt"/>
        <w:tabs>
          <w:tab w:val="clear" w:pos="1267"/>
          <w:tab w:val="left" w:pos="1628"/>
        </w:tabs>
        <w:ind w:left="1264" w:right="1264"/>
        <w:rPr>
          <w:b/>
          <w:bCs/>
          <w:rtl/>
          <w:lang w:eastAsia="en-US"/>
        </w:rPr>
      </w:pPr>
      <w:r>
        <w:rPr>
          <w:b/>
          <w:bCs/>
          <w:rtl/>
          <w:lang w:eastAsia="en-US"/>
        </w:rPr>
        <w:t>الإحصاءات</w:t>
      </w:r>
    </w:p>
    <w:p w:rsidR="00000000" w:rsidRDefault="00000000">
      <w:pPr>
        <w:pStyle w:val="SingleTxt"/>
        <w:tabs>
          <w:tab w:val="clear" w:pos="1267"/>
          <w:tab w:val="left" w:pos="1628"/>
        </w:tabs>
        <w:ind w:left="1264" w:right="1264"/>
        <w:rPr>
          <w:rtl/>
          <w:lang w:eastAsia="en-US"/>
        </w:rPr>
      </w:pPr>
      <w:r>
        <w:rPr>
          <w:rtl/>
          <w:lang w:eastAsia="en-US"/>
        </w:rPr>
        <w:t>640 -</w:t>
      </w:r>
      <w:r>
        <w:rPr>
          <w:rtl/>
          <w:lang w:eastAsia="en-US"/>
        </w:rPr>
        <w:tab/>
        <w:t xml:space="preserve">طبقا لآخر إحصاءات متاحة من الشرطة في كيبيك وترجع إلى عام 1997، فإن عددا يبلغ 559 11 امرأة استدعين الشرطة للإبلاغ عن مشكلة من مشاكل العنف الزواجي. ومن المرجَّح أن يزيد تعرُّض الشابات كأهداف للعنف بل إن الشابات الصغيرات جدا في السن (18 </w:t>
      </w:r>
      <w:r>
        <w:rPr>
          <w:lang w:eastAsia="en-US"/>
        </w:rPr>
        <w:t>–</w:t>
      </w:r>
      <w:r>
        <w:rPr>
          <w:rtl/>
          <w:lang w:eastAsia="en-US"/>
        </w:rPr>
        <w:t xml:space="preserve"> 24 سنة) معرَّضات بالذات، فيما يبدو، لعنف الذكور. وأكثر التهم شيوعا  هي الاعتداء (877 7) والتهديدات (143 2) والتحرُّش الإجرامي (057 1). وطبقا لآخر استقصاء رئيسي بشأن العنف الموجَّه ضد المرأة أجرته وزارة الإحصاءات في كندا عام 1993، فإن نسبة 25 في المائة من نساء كيبيك من البالغات 18 سنة وما بعدها، وممن كن متزوجات أو يعشن طبقا لقانون عرفي، تعرضن للعنف الزواجي بالمقارنة مع 29 في المائة من النساء على مستوى الأمة بأسرها.</w:t>
      </w:r>
    </w:p>
    <w:p w:rsidR="00000000" w:rsidRDefault="00000000">
      <w:pPr>
        <w:pStyle w:val="SingleTxt"/>
        <w:tabs>
          <w:tab w:val="clear" w:pos="1267"/>
          <w:tab w:val="left" w:pos="1628"/>
        </w:tabs>
        <w:ind w:left="1264" w:right="1264"/>
        <w:rPr>
          <w:rtl/>
          <w:lang w:eastAsia="en-US"/>
        </w:rPr>
      </w:pPr>
      <w:r>
        <w:rPr>
          <w:b/>
          <w:bCs/>
          <w:rtl/>
          <w:lang w:eastAsia="en-US"/>
        </w:rPr>
        <w:t>خدمات الدعم</w:t>
      </w:r>
    </w:p>
    <w:p w:rsidR="00000000" w:rsidRDefault="00000000">
      <w:pPr>
        <w:pStyle w:val="SingleTxt"/>
        <w:tabs>
          <w:tab w:val="clear" w:pos="1267"/>
          <w:tab w:val="left" w:pos="1628"/>
        </w:tabs>
        <w:ind w:left="1264" w:right="1264"/>
        <w:rPr>
          <w:rtl/>
          <w:lang w:eastAsia="en-US"/>
        </w:rPr>
      </w:pPr>
      <w:r>
        <w:rPr>
          <w:rtl/>
          <w:lang w:eastAsia="en-US"/>
        </w:rPr>
        <w:t>641 -</w:t>
      </w:r>
      <w:r>
        <w:rPr>
          <w:rtl/>
          <w:lang w:eastAsia="en-US"/>
        </w:rPr>
        <w:tab/>
        <w:t xml:space="preserve">تتاح الخدمات لضحايا العنف الزواجي من الإناث ممن وصفن في التذييل 1 من مساهمة كيبيك إلى تقرير كندا الرابع (الصفحات 80 </w:t>
      </w:r>
      <w:r>
        <w:rPr>
          <w:lang w:eastAsia="en-US"/>
        </w:rPr>
        <w:t>–</w:t>
      </w:r>
      <w:r>
        <w:rPr>
          <w:rtl/>
          <w:lang w:eastAsia="en-US"/>
        </w:rPr>
        <w:t xml:space="preserve"> 82).</w:t>
      </w:r>
    </w:p>
    <w:p w:rsidR="00000000" w:rsidRDefault="00000000">
      <w:pPr>
        <w:pStyle w:val="SingleTxt"/>
        <w:tabs>
          <w:tab w:val="clear" w:pos="1267"/>
          <w:tab w:val="left" w:pos="1628"/>
        </w:tabs>
        <w:ind w:left="1264" w:right="1264"/>
        <w:rPr>
          <w:rtl/>
          <w:lang w:eastAsia="en-US"/>
        </w:rPr>
      </w:pPr>
      <w:r>
        <w:rPr>
          <w:rtl/>
          <w:lang w:eastAsia="en-US"/>
        </w:rPr>
        <w:t>642 -</w:t>
      </w:r>
      <w:r>
        <w:rPr>
          <w:rtl/>
          <w:lang w:eastAsia="en-US"/>
        </w:rPr>
        <w:tab/>
        <w:t>وفي عام 1998 تولت 27 منشأة منتمية إلى اتحاد موارد الإيواء للمرأة من ضحايا العنف والمعاناة في كيبيك تقديم المأوى إلى 984 2 امرأة و 423 2 طفلا. وبلغ طول الإقامة 20 يوما في المتوسط. وقدِّمت مشاورات هاتفية إلى 761 10 من المقيمات  في دور المأوى وإلى 556 12 من غير المقيمات و 970 10 إلى مقيمات سابقات. كما تمــت 890 6 إحالة وقدمت 762 88 من الخدمات الأخرى بواسطة الهاتف. وفيما يتعلق بالخدمات الموقعية نُفذ 368 40 تدخلا ومقابلة مع المقيمات في دور المأوى و 417 4 مع غير المقيمات 956 3 مع المقيمات السابقات و 718 8 مع الأطفال المقيمين و 663 مع الأطفال غير المقيمين و 212 مع الأطفال من المقيمين السابقين.</w:t>
      </w:r>
    </w:p>
    <w:p w:rsidR="00000000" w:rsidRDefault="00000000">
      <w:pPr>
        <w:pStyle w:val="SingleTxt"/>
        <w:tabs>
          <w:tab w:val="clear" w:pos="1267"/>
          <w:tab w:val="left" w:pos="1628"/>
        </w:tabs>
        <w:ind w:left="1264" w:right="1264"/>
        <w:rPr>
          <w:rtl/>
          <w:lang w:eastAsia="en-US"/>
        </w:rPr>
      </w:pPr>
      <w:r>
        <w:rPr>
          <w:rtl/>
          <w:lang w:eastAsia="en-US"/>
        </w:rPr>
        <w:t>643 -</w:t>
      </w:r>
      <w:r>
        <w:rPr>
          <w:rtl/>
          <w:lang w:eastAsia="en-US"/>
        </w:rPr>
        <w:tab/>
        <w:t xml:space="preserve">أما المنشآت التي تنتمي إلى التجمع الإقليمي لدور الإيواء والتحوُّل، المعنية بالنساء من ضحايا العنف الزواجي فقد هيأت من جانبها المأوى إلى 633 3 امرأة و 233 3 طفلا في عام 1997 </w:t>
      </w:r>
      <w:r>
        <w:rPr>
          <w:lang w:eastAsia="en-US"/>
        </w:rPr>
        <w:t>–</w:t>
      </w:r>
      <w:r>
        <w:rPr>
          <w:rtl/>
          <w:lang w:eastAsia="en-US"/>
        </w:rPr>
        <w:t xml:space="preserve"> 1998 كما استجابت هاتفيا أو موقعيا إلى 524 55 طلبا للمساعدة من غير المقيمين.</w:t>
      </w:r>
    </w:p>
    <w:p w:rsidR="00000000" w:rsidRDefault="00000000">
      <w:pPr>
        <w:pStyle w:val="SingleTxt"/>
        <w:tabs>
          <w:tab w:val="clear" w:pos="1267"/>
          <w:tab w:val="left" w:pos="1628"/>
        </w:tabs>
        <w:ind w:left="1264" w:right="1264"/>
        <w:rPr>
          <w:rtl/>
          <w:lang w:eastAsia="en-US"/>
        </w:rPr>
      </w:pPr>
      <w:r>
        <w:rPr>
          <w:b/>
          <w:bCs/>
          <w:rtl/>
          <w:lang w:eastAsia="en-US"/>
        </w:rPr>
        <w:t>الموارد المالية</w:t>
      </w:r>
    </w:p>
    <w:p w:rsidR="00000000" w:rsidRDefault="00000000">
      <w:pPr>
        <w:pStyle w:val="SingleTxt"/>
        <w:tabs>
          <w:tab w:val="clear" w:pos="1267"/>
          <w:tab w:val="left" w:pos="1628"/>
        </w:tabs>
        <w:ind w:left="1264" w:right="1264"/>
        <w:rPr>
          <w:rtl/>
          <w:lang w:eastAsia="en-US"/>
        </w:rPr>
      </w:pPr>
      <w:r>
        <w:rPr>
          <w:rtl/>
          <w:lang w:eastAsia="en-US"/>
        </w:rPr>
        <w:t>644 -</w:t>
      </w:r>
      <w:r>
        <w:rPr>
          <w:rtl/>
          <w:lang w:eastAsia="en-US"/>
        </w:rPr>
        <w:tab/>
        <w:t xml:space="preserve">في إطار برنامج الدعم لمنظمات المجتمع المحلي (دعم منظمات المجتمع المحلي) خصصت مجالس الخدمات الصحية والاجتماعية الإقليمية نحو 21.3 مليون دولار في عام 1998 إلى 98 مأوى للنساء وإلى إثنتين من روابط المأوى الإقليمية. وفي عام 1998 كان المبلغ هو 23.3 مليون دولار. وبخلاف هذا المبلغ زيادة أو نقصانا مُنح مبلغ 2,2 مليون دولار في الفترة 1997 </w:t>
      </w:r>
      <w:r>
        <w:rPr>
          <w:lang w:eastAsia="en-US"/>
        </w:rPr>
        <w:t>–</w:t>
      </w:r>
      <w:r>
        <w:rPr>
          <w:rtl/>
          <w:lang w:eastAsia="en-US"/>
        </w:rPr>
        <w:t xml:space="preserve"> 1998 إلى الوكالات التي تعمل مع الأزواج المتَّسمين بالعنف. كما قُدِّم ضِعف هذا المبلغ في عام 1995. وفيما قدَّمت وزارة الصحة والخدمات الاجتماعية في عام 1985 هذه الموارد الثلاثة للدعم فقد تلقى التمويل 31 موردا في عام 1998.</w:t>
      </w:r>
    </w:p>
    <w:p w:rsidR="00000000" w:rsidRDefault="00000000">
      <w:pPr>
        <w:pStyle w:val="SingleTxt"/>
        <w:tabs>
          <w:tab w:val="clear" w:pos="1267"/>
          <w:tab w:val="left" w:pos="1628"/>
        </w:tabs>
        <w:ind w:left="1264" w:right="1264"/>
        <w:rPr>
          <w:rtl/>
          <w:lang w:eastAsia="en-US"/>
        </w:rPr>
      </w:pPr>
      <w:r>
        <w:rPr>
          <w:rtl/>
          <w:lang w:eastAsia="en-US"/>
        </w:rPr>
        <w:t>645 -</w:t>
      </w:r>
      <w:r>
        <w:rPr>
          <w:rtl/>
          <w:lang w:eastAsia="en-US"/>
        </w:rPr>
        <w:tab/>
        <w:t>وحتى عام 1995، كان من شأن سنوات الإعالة العشر التي كان قد فرضها القانون المتعلق بالهجرة إلى كيبيك (</w:t>
      </w:r>
      <w:r>
        <w:rPr>
          <w:lang w:eastAsia="en-US"/>
        </w:rPr>
        <w:t>R.S.Q. 1994, c. I-O.2</w:t>
      </w:r>
      <w:r>
        <w:rPr>
          <w:rtl/>
          <w:lang w:eastAsia="en-US"/>
        </w:rPr>
        <w:t>) أن جعلت النساء المهاجرات في حال من التعرُّض الشديد لجميع أشكال العنف. ولكن في خريف عام 1995 عدَّلت كيبيك اللوائح المتعلقة بانتقاء الرعايا الأجانب لخفض فترة كفالة الزوج من 10 إلى 3 سنوات بما خفّف من وطأة هذه الإعالة.</w:t>
      </w:r>
    </w:p>
    <w:p w:rsidR="00000000" w:rsidRDefault="00000000">
      <w:pPr>
        <w:pStyle w:val="SingleTxt"/>
        <w:tabs>
          <w:tab w:val="clear" w:pos="1267"/>
          <w:tab w:val="left" w:pos="1628"/>
        </w:tabs>
        <w:ind w:left="1264" w:right="1264"/>
        <w:rPr>
          <w:rtl/>
          <w:lang w:eastAsia="en-US"/>
        </w:rPr>
      </w:pPr>
      <w:r>
        <w:rPr>
          <w:rtl/>
          <w:lang w:eastAsia="en-US"/>
        </w:rPr>
        <w:t>646 -</w:t>
      </w:r>
      <w:r>
        <w:rPr>
          <w:rtl/>
          <w:lang w:eastAsia="en-US"/>
        </w:rPr>
        <w:tab/>
        <w:t>وبالتعاون مع شركاء من المجتمع المحلي، هيأت وزارة علاقات المواطنين والهجرة سُبل التدريب بشأن العنف الزواجي لموظفين من مراكز توجيه وتدريب المهاجرين ومن العاملين الميدانيين وموظفي المساعدة الاجتماعية الاقتصادية.</w:t>
      </w:r>
    </w:p>
    <w:p w:rsidR="00000000" w:rsidRDefault="00000000">
      <w:pPr>
        <w:pStyle w:val="SingleTxt"/>
        <w:tabs>
          <w:tab w:val="clear" w:pos="1267"/>
          <w:tab w:val="left" w:pos="1628"/>
        </w:tabs>
        <w:ind w:left="1264" w:right="1264"/>
        <w:rPr>
          <w:rtl/>
          <w:lang w:eastAsia="en-US"/>
        </w:rPr>
      </w:pPr>
      <w:r>
        <w:rPr>
          <w:rtl/>
          <w:lang w:eastAsia="en-US"/>
        </w:rPr>
        <w:t>647 -</w:t>
      </w:r>
      <w:r>
        <w:rPr>
          <w:rtl/>
          <w:lang w:eastAsia="en-US"/>
        </w:rPr>
        <w:tab/>
        <w:t>ومن المستحيل تقديم إحصاءات عن هذه الفئة المحددة لأن بيانات الشرطة طبقا للممارسات غير التمييزية في كيبيك لا تأخذ في اعتبارها العوامل المتصلة بالعِرق أو الأصل الإثني عندما تُبلغ عن الجرائم التي تشمل العنف.</w:t>
      </w:r>
    </w:p>
    <w:p w:rsidR="00000000" w:rsidRDefault="00000000">
      <w:pPr>
        <w:pStyle w:val="SingleTxt"/>
        <w:tabs>
          <w:tab w:val="clear" w:pos="1267"/>
          <w:tab w:val="left" w:pos="1628"/>
        </w:tabs>
        <w:ind w:left="1264" w:right="1264"/>
        <w:rPr>
          <w:rtl/>
          <w:lang w:eastAsia="en-US"/>
        </w:rPr>
      </w:pPr>
      <w:r>
        <w:rPr>
          <w:rtl/>
          <w:lang w:eastAsia="en-US"/>
        </w:rPr>
        <w:t>648 -</w:t>
      </w:r>
      <w:r>
        <w:rPr>
          <w:rtl/>
          <w:lang w:eastAsia="en-US"/>
        </w:rPr>
        <w:tab/>
        <w:t>وقد قدَّمت قوة عمل متعددة القطاعات أُنشئت عام 1994 تقريرها في حزيران/يونيه 1995 بعنوان “الاعتداءات الجنسية: مطلوب وقفها (</w:t>
      </w:r>
      <w:r>
        <w:rPr>
          <w:lang w:eastAsia="en-US"/>
        </w:rPr>
        <w:t>STOP</w:t>
      </w:r>
      <w:r>
        <w:rPr>
          <w:rtl/>
          <w:lang w:eastAsia="en-US"/>
        </w:rPr>
        <w:t>)”.</w:t>
      </w:r>
    </w:p>
    <w:p w:rsidR="00000000" w:rsidRDefault="00000000">
      <w:pPr>
        <w:pStyle w:val="SingleTxt"/>
        <w:tabs>
          <w:tab w:val="clear" w:pos="1267"/>
          <w:tab w:val="left" w:pos="1628"/>
        </w:tabs>
        <w:ind w:left="1264" w:right="1264"/>
        <w:rPr>
          <w:rtl/>
          <w:lang w:eastAsia="en-US"/>
        </w:rPr>
      </w:pPr>
      <w:r>
        <w:rPr>
          <w:rtl/>
          <w:lang w:eastAsia="en-US"/>
        </w:rPr>
        <w:t>649 -</w:t>
      </w:r>
      <w:r>
        <w:rPr>
          <w:rtl/>
          <w:lang w:eastAsia="en-US"/>
        </w:rPr>
        <w:tab/>
        <w:t>ولمتابعة التقرير المذكور، أعدت الحكومة خطة عمل مشتركة بين الوزارات تتوخى اتخاذ تدابير رئيسية تقصد إلى اعتماد استراتيجية عامة بشأن الاعتداء الجنسي، مع إنشاء أفرقة متخصصة من الشرطة عند الاقتضاء فضلا عن أفرقة من وكلاء النيابة التابعين للمدعي العام الذين يتخصصون في قضايا الاعتداء الجنسي وتحسين الخدمات المقدَّمة للمجني عليهم.</w:t>
      </w:r>
    </w:p>
    <w:p w:rsidR="00000000" w:rsidRDefault="00000000">
      <w:pPr>
        <w:pStyle w:val="SingleTxt"/>
        <w:tabs>
          <w:tab w:val="clear" w:pos="1267"/>
          <w:tab w:val="left" w:pos="1628"/>
        </w:tabs>
        <w:ind w:left="1264" w:right="1264"/>
        <w:rPr>
          <w:rtl/>
          <w:lang w:eastAsia="en-US"/>
        </w:rPr>
      </w:pPr>
      <w:r>
        <w:rPr>
          <w:rtl/>
          <w:lang w:eastAsia="en-US"/>
        </w:rPr>
        <w:t>650 -</w:t>
      </w:r>
      <w:r>
        <w:rPr>
          <w:rtl/>
          <w:lang w:eastAsia="en-US"/>
        </w:rPr>
        <w:tab/>
        <w:t>ولمساعدتها في المساعي التي تبذلها، أنشأت الحكومة لجنة استشارية تضم ممثلين من مختلف الجماعات والدوائر المعنية بالمشكلة. وركَّزت ورقة السياسة التي اعتمدتها اللجنة على تعزيز المساواة الجنسانية بين الشباب ومنع حدوث الاعتداءات الجنسية ثم تدابير الكشف عنها واتخاذ الإجراءات السيكو اجتماعية والقانونية والتصحيحية بشأنها.</w:t>
      </w:r>
    </w:p>
    <w:p w:rsidR="00000000" w:rsidRDefault="00000000">
      <w:pPr>
        <w:pStyle w:val="SingleTxt"/>
        <w:tabs>
          <w:tab w:val="clear" w:pos="1267"/>
          <w:tab w:val="left" w:pos="1628"/>
        </w:tabs>
        <w:ind w:left="1264" w:right="1264"/>
        <w:rPr>
          <w:rtl/>
          <w:lang w:eastAsia="en-US"/>
        </w:rPr>
      </w:pPr>
      <w:r>
        <w:rPr>
          <w:rtl/>
          <w:lang w:eastAsia="en-US"/>
        </w:rPr>
        <w:t>651 -</w:t>
      </w:r>
      <w:r>
        <w:rPr>
          <w:rtl/>
          <w:lang w:eastAsia="en-US"/>
        </w:rPr>
        <w:tab/>
        <w:t>وفيما كانت ورقة السياسة قيد الإعداد، استمر العمل لتلبية احتياجات محددة: تم تحديث الملف الطبي القانوني الذي يستخدمه الأطباء خلال فحص ضحايا الاعتداء الجنسي وتم إعداد بروتوكول للضحايا تستخدمه مؤسسات الرعاية الصحية مع تجهيز دليل طبي قانوني لاستخدام العاملين الطبيين.</w:t>
      </w:r>
    </w:p>
    <w:p w:rsidR="00000000" w:rsidRDefault="00000000">
      <w:pPr>
        <w:pStyle w:val="SingleTxt"/>
        <w:tabs>
          <w:tab w:val="clear" w:pos="1267"/>
          <w:tab w:val="left" w:pos="1628"/>
        </w:tabs>
        <w:ind w:left="1264" w:right="1264"/>
        <w:rPr>
          <w:rtl/>
          <w:lang w:eastAsia="en-US"/>
        </w:rPr>
      </w:pPr>
      <w:r>
        <w:rPr>
          <w:rtl/>
          <w:lang w:eastAsia="en-US"/>
        </w:rPr>
        <w:t>652 -</w:t>
      </w:r>
      <w:r>
        <w:rPr>
          <w:rtl/>
          <w:lang w:eastAsia="en-US"/>
        </w:rPr>
        <w:tab/>
        <w:t>وتم كذلك إعداد استعراضين للكتابات المطروحة في هذا الشأن لإلقاء الضوء على ظاهرة الجناة الجنسيين من المراهقين، والارتقاء بتحديد أثر التدخل السيكو اجتماعي والقانوني على الأطفال من ضحايا الاعتداء الجنسي. كما ينفذ حاليا مشروع نموذجي لتحسين توحيد البيانات المجموعة بشأن العنف الزواجي والاعتداء الجنسي.</w:t>
      </w:r>
    </w:p>
    <w:p w:rsidR="00000000" w:rsidRDefault="00000000">
      <w:pPr>
        <w:pStyle w:val="SingleTxt"/>
        <w:tabs>
          <w:tab w:val="clear" w:pos="1267"/>
          <w:tab w:val="left" w:pos="1628"/>
        </w:tabs>
        <w:ind w:left="1264" w:right="1264"/>
        <w:rPr>
          <w:rtl/>
          <w:lang w:eastAsia="en-US"/>
        </w:rPr>
      </w:pPr>
      <w:r>
        <w:rPr>
          <w:b/>
          <w:bCs/>
          <w:rtl/>
          <w:lang w:eastAsia="en-US"/>
        </w:rPr>
        <w:t>خدمات الدعم</w:t>
      </w:r>
    </w:p>
    <w:p w:rsidR="00000000" w:rsidRDefault="00000000">
      <w:pPr>
        <w:pStyle w:val="SingleTxt"/>
        <w:tabs>
          <w:tab w:val="clear" w:pos="1267"/>
          <w:tab w:val="left" w:pos="1628"/>
        </w:tabs>
        <w:ind w:left="1264" w:right="1264"/>
        <w:rPr>
          <w:rtl/>
          <w:lang w:eastAsia="en-US"/>
        </w:rPr>
      </w:pPr>
      <w:r>
        <w:rPr>
          <w:rtl/>
          <w:lang w:eastAsia="en-US"/>
        </w:rPr>
        <w:t>653 -</w:t>
      </w:r>
      <w:r>
        <w:rPr>
          <w:rtl/>
          <w:lang w:eastAsia="en-US"/>
        </w:rPr>
        <w:tab/>
        <w:t>تُقدَّم خدمات الدعم الرئيسية إلى الإناث من ضحايا الاعتداء الجنسي بواسطة المراكز المعنية بالاعتداء الجنسي. وفي عام 1998 كان ثمة 22 من تلك المراكز في كيبيك و17 منها ينتمي إلى تجمع كيبيك للمراكز المعنية بالاعتداء الجنسي.</w:t>
      </w:r>
    </w:p>
    <w:p w:rsidR="00000000" w:rsidRDefault="00000000">
      <w:pPr>
        <w:pStyle w:val="SingleTxt"/>
        <w:tabs>
          <w:tab w:val="clear" w:pos="1267"/>
          <w:tab w:val="left" w:pos="1628"/>
        </w:tabs>
        <w:ind w:left="1264" w:right="1264"/>
        <w:rPr>
          <w:rtl/>
          <w:lang w:eastAsia="en-US"/>
        </w:rPr>
      </w:pPr>
      <w:r>
        <w:rPr>
          <w:rtl/>
          <w:lang w:eastAsia="en-US"/>
        </w:rPr>
        <w:t>654 -</w:t>
      </w:r>
      <w:r>
        <w:rPr>
          <w:rtl/>
          <w:lang w:eastAsia="en-US"/>
        </w:rPr>
        <w:tab/>
        <w:t xml:space="preserve">وهذه المراكز توفِّر الدعم للمراهقات اللائي يكنّ قد تعرَّضن لاعتداء جنسي: وعلى سبيل المثال ففي عام 1995 </w:t>
      </w:r>
      <w:r>
        <w:rPr>
          <w:lang w:eastAsia="en-US"/>
        </w:rPr>
        <w:t>–</w:t>
      </w:r>
      <w:r>
        <w:rPr>
          <w:rtl/>
          <w:lang w:eastAsia="en-US"/>
        </w:rPr>
        <w:t xml:space="preserve"> 1996 ساعدت المراكز أكثر من 586 2 امرأة ويتألف عملها من جهود توعية الضحايا بسُبل الانتصاف المتاحة لهن ومساعدتهن على التعامل مع الآثار الناجمة عن اعتداء حديث أو سابق (المتابعة الفردية وجماعات الدعم)، وكذلك مع حقيقة تعرضهن للاعتداء فضلاً عن مساعدتهن على استجماع مقاليد السيطرة على حياتهن وتزويدهن بالدعم المعنوي خلال سير الإجراءات القانونية.</w:t>
      </w:r>
    </w:p>
    <w:p w:rsidR="00000000" w:rsidRDefault="00000000">
      <w:pPr>
        <w:pStyle w:val="SingleTxt"/>
        <w:tabs>
          <w:tab w:val="clear" w:pos="1267"/>
          <w:tab w:val="left" w:pos="1628"/>
        </w:tabs>
        <w:ind w:left="1264" w:right="1264"/>
        <w:rPr>
          <w:rtl/>
          <w:lang w:eastAsia="en-US"/>
        </w:rPr>
      </w:pPr>
      <w:r>
        <w:rPr>
          <w:rtl/>
          <w:lang w:eastAsia="en-US"/>
        </w:rPr>
        <w:t>655 -</w:t>
      </w:r>
      <w:r>
        <w:rPr>
          <w:rtl/>
          <w:lang w:eastAsia="en-US"/>
        </w:rPr>
        <w:tab/>
        <w:t>ومن الجوانب المهمة الأخرى التي تتسم بها وظيفة هذه المراكز ما يتمثل في الوقاية والوعي العام وهي تعمل على تغيير الظروف التي تشجع على وقوع الاعتداء الجنسي، وكما تتواصل مع نحو 000 9 فرد سنويا في المتوسط عبر أنشطة التوعية والوقاية التي تقوم بها.</w:t>
      </w:r>
    </w:p>
    <w:p w:rsidR="00000000" w:rsidRDefault="00000000">
      <w:pPr>
        <w:pStyle w:val="SingleTxt"/>
        <w:tabs>
          <w:tab w:val="clear" w:pos="1267"/>
          <w:tab w:val="left" w:pos="1628"/>
        </w:tabs>
        <w:ind w:left="1264" w:right="1264"/>
        <w:rPr>
          <w:rtl/>
          <w:lang w:eastAsia="en-US"/>
        </w:rPr>
      </w:pPr>
      <w:r>
        <w:rPr>
          <w:rtl/>
          <w:lang w:eastAsia="en-US"/>
        </w:rPr>
        <w:t>656 -</w:t>
      </w:r>
      <w:r>
        <w:rPr>
          <w:rtl/>
          <w:lang w:eastAsia="en-US"/>
        </w:rPr>
        <w:tab/>
        <w:t>كما تُقدِّم الموارد الأخرى الدعم والخدمات إلى ضحايا الاعتداء الجنسي ومن ذلك: غُرف الطوارئ بالمستشفيات ومراكز خدمة المجتمعات المحلية وخدمات المشورة الخاصة ومراكز مساعدة ضحايا الجرائم وخدمة تعويض ضحايا الجرائم.</w:t>
      </w:r>
    </w:p>
    <w:p w:rsidR="00000000" w:rsidRDefault="00000000">
      <w:pPr>
        <w:pStyle w:val="SingleTxt"/>
        <w:tabs>
          <w:tab w:val="clear" w:pos="1267"/>
          <w:tab w:val="left" w:pos="1628"/>
        </w:tabs>
        <w:ind w:left="1264" w:right="1264"/>
        <w:rPr>
          <w:rtl/>
          <w:lang w:eastAsia="en-US"/>
        </w:rPr>
      </w:pPr>
      <w:r>
        <w:rPr>
          <w:b/>
          <w:bCs/>
          <w:rtl/>
          <w:lang w:eastAsia="en-US"/>
        </w:rPr>
        <w:t>الموارد المالية</w:t>
      </w:r>
    </w:p>
    <w:p w:rsidR="00000000" w:rsidRDefault="00000000">
      <w:pPr>
        <w:pStyle w:val="SingleTxt"/>
        <w:tabs>
          <w:tab w:val="clear" w:pos="1267"/>
          <w:tab w:val="left" w:pos="1628"/>
        </w:tabs>
        <w:ind w:left="1264" w:right="1264"/>
        <w:rPr>
          <w:rtl/>
          <w:lang w:eastAsia="en-US"/>
        </w:rPr>
      </w:pPr>
      <w:r>
        <w:rPr>
          <w:rtl/>
          <w:lang w:eastAsia="en-US"/>
        </w:rPr>
        <w:t>657 -</w:t>
      </w:r>
      <w:r>
        <w:rPr>
          <w:rtl/>
          <w:lang w:eastAsia="en-US"/>
        </w:rPr>
        <w:tab/>
        <w:t>في عام 1998 تلقت المراكز المعنية بالاعتداء الجنسي نحو 2.7 مليون دولار على شكل مِنح عن طريق برنامج دعم المنظمات المحلية الذي تديره مجالس الخدمات الصحية والاجتماعية الإقليمية.</w:t>
      </w:r>
    </w:p>
    <w:p w:rsidR="00000000" w:rsidRDefault="00000000">
      <w:pPr>
        <w:pStyle w:val="SingleTxt"/>
        <w:tabs>
          <w:tab w:val="clear" w:pos="1267"/>
          <w:tab w:val="left" w:pos="1628"/>
        </w:tabs>
        <w:ind w:left="1264" w:right="1264"/>
        <w:rPr>
          <w:rtl/>
          <w:lang w:eastAsia="en-US"/>
        </w:rPr>
      </w:pPr>
      <w:r>
        <w:rPr>
          <w:b/>
          <w:bCs/>
          <w:rtl/>
          <w:lang w:eastAsia="en-US"/>
        </w:rPr>
        <w:t>الإحصاءات</w:t>
      </w:r>
    </w:p>
    <w:p w:rsidR="00000000" w:rsidRDefault="00000000">
      <w:pPr>
        <w:pStyle w:val="SingleTxt"/>
        <w:tabs>
          <w:tab w:val="clear" w:pos="1267"/>
          <w:tab w:val="left" w:pos="1628"/>
        </w:tabs>
        <w:ind w:left="1264" w:right="1264"/>
        <w:rPr>
          <w:rtl/>
          <w:lang w:eastAsia="en-US"/>
        </w:rPr>
      </w:pPr>
      <w:r>
        <w:rPr>
          <w:rtl/>
          <w:lang w:eastAsia="en-US"/>
        </w:rPr>
        <w:t>658 -</w:t>
      </w:r>
      <w:r>
        <w:rPr>
          <w:rtl/>
          <w:lang w:eastAsia="en-US"/>
        </w:rPr>
        <w:tab/>
        <w:t>طبقا للبيانات التي جمعها المركز الكندي لإحصاءات العدالة، شهدت كيبيك في عام 1997 أدنى معدل للجرائم الجنسية في جميع أنحاء كندا. وبلغ معدل كيبيك 58 جريمة لكل 000 100 من السكان، أما معدل اونتاريو وهو الوحيد الذي جاء دون الـ 100 فقد بلغ 89 لكل 000 100 من السكان، في حين أن الرقم بالنسبة إلى ساسكاتشيوان كان 183 فيما كان 947 بالنسبة للأقاليم الشمالية الغربية.</w:t>
      </w:r>
    </w:p>
    <w:p w:rsidR="00000000" w:rsidRDefault="00000000">
      <w:pPr>
        <w:pStyle w:val="SingleTxt"/>
        <w:tabs>
          <w:tab w:val="clear" w:pos="1267"/>
          <w:tab w:val="left" w:pos="1628"/>
        </w:tabs>
        <w:ind w:left="1264" w:right="1264"/>
        <w:rPr>
          <w:rtl/>
          <w:lang w:eastAsia="en-US"/>
        </w:rPr>
      </w:pPr>
      <w:r>
        <w:rPr>
          <w:rtl/>
          <w:lang w:eastAsia="en-US"/>
        </w:rPr>
        <w:t>659 -</w:t>
      </w:r>
      <w:r>
        <w:rPr>
          <w:rtl/>
          <w:lang w:eastAsia="en-US"/>
        </w:rPr>
        <w:tab/>
        <w:t>وفي عام 1995 أُبلغت الشرطة في كيبيك عن وقوع 833 2 اعتداءً جنسيا على النساء وطبقا لوزارة الإحصاءات الكندية فإن نسبة 14 في المائة فقط من النساء هن اللائي يُبلغن عن وقوع اعتداء.</w:t>
      </w:r>
    </w:p>
    <w:p w:rsidR="00000000" w:rsidRDefault="00000000">
      <w:pPr>
        <w:pStyle w:val="SingleTxt"/>
        <w:tabs>
          <w:tab w:val="clear" w:pos="1267"/>
          <w:tab w:val="left" w:pos="1628"/>
        </w:tabs>
        <w:ind w:left="1264" w:right="1264"/>
        <w:rPr>
          <w:rtl/>
          <w:lang w:eastAsia="en-US"/>
        </w:rPr>
      </w:pPr>
      <w:r>
        <w:rPr>
          <w:rtl/>
          <w:lang w:eastAsia="en-US"/>
        </w:rPr>
        <w:t>660 -</w:t>
      </w:r>
      <w:r>
        <w:rPr>
          <w:rtl/>
          <w:lang w:eastAsia="en-US"/>
        </w:rPr>
        <w:tab/>
        <w:t>وفي مجال الدعوة الجماعية، أُنشئ مكتب العمل المجتمعي المستقل في عام 1995 لإدارة صندوق العمل المجتمعي المستقل الذي يتلقى 5 في المائة من جميع حصائل الكازينات العامة. وقد ارتفعت الميزانية السنوية للمكتب من 9 ملايين دولار في عام 1995 إلى 11 مليون دولار في عام 1997.</w:t>
      </w:r>
    </w:p>
    <w:p w:rsidR="00000000" w:rsidRDefault="00000000">
      <w:pPr>
        <w:pStyle w:val="SingleTxt"/>
        <w:tabs>
          <w:tab w:val="clear" w:pos="1267"/>
          <w:tab w:val="left" w:pos="1628"/>
        </w:tabs>
        <w:ind w:left="1264" w:right="1264"/>
        <w:rPr>
          <w:rtl/>
          <w:lang w:eastAsia="en-US"/>
        </w:rPr>
      </w:pPr>
      <w:r>
        <w:rPr>
          <w:rtl/>
          <w:lang w:eastAsia="en-US"/>
        </w:rPr>
        <w:t>661 -</w:t>
      </w:r>
      <w:r>
        <w:rPr>
          <w:rtl/>
          <w:lang w:eastAsia="en-US"/>
        </w:rPr>
        <w:tab/>
        <w:t xml:space="preserve">وقد غيَّر المكتب برنامجه لكي يُخصِّص جزءا من ميزانيته لصالح وكالات الدعوة إلى إقرار الحقوق وتعزيزها. وفي الفترة 1996 </w:t>
      </w:r>
      <w:r>
        <w:rPr>
          <w:lang w:eastAsia="en-US"/>
        </w:rPr>
        <w:t>–</w:t>
      </w:r>
      <w:r>
        <w:rPr>
          <w:rtl/>
          <w:lang w:eastAsia="en-US"/>
        </w:rPr>
        <w:t xml:space="preserve"> 1997 تم تقسيم ما يكاد يبلغ ربع الميزانية عن برنامج الدعوة الجماعية فيما بين 17 من لجان التنسيق للجماعات النسائية الإقليمية في جميع أنحاء المقاطعة.</w:t>
      </w:r>
    </w:p>
    <w:p w:rsidR="00000000" w:rsidRDefault="00000000">
      <w:pPr>
        <w:pStyle w:val="SingleTxt"/>
        <w:tabs>
          <w:tab w:val="clear" w:pos="1267"/>
          <w:tab w:val="left" w:pos="1628"/>
        </w:tabs>
        <w:ind w:left="1264" w:right="1264"/>
        <w:rPr>
          <w:rtl/>
          <w:lang w:eastAsia="en-US"/>
        </w:rPr>
      </w:pPr>
      <w:r>
        <w:rPr>
          <w:b/>
          <w:bCs/>
          <w:szCs w:val="32"/>
          <w:rtl/>
          <w:lang w:eastAsia="en-US"/>
        </w:rPr>
        <w:t>المادة 2 (ب)</w:t>
      </w:r>
    </w:p>
    <w:p w:rsidR="00000000" w:rsidRDefault="00000000">
      <w:pPr>
        <w:pStyle w:val="SingleTxt"/>
        <w:tabs>
          <w:tab w:val="clear" w:pos="1267"/>
          <w:tab w:val="left" w:pos="1628"/>
        </w:tabs>
        <w:ind w:left="1264" w:right="1264"/>
        <w:rPr>
          <w:rtl/>
          <w:lang w:eastAsia="en-US"/>
        </w:rPr>
      </w:pPr>
      <w:r>
        <w:rPr>
          <w:rtl/>
          <w:lang w:eastAsia="en-US"/>
        </w:rPr>
        <w:t>662 -</w:t>
      </w:r>
      <w:r>
        <w:rPr>
          <w:rtl/>
          <w:lang w:eastAsia="en-US"/>
        </w:rPr>
        <w:tab/>
        <w:t>على مدار الفترة قيد البحث نظرت لجنة حقوق الأفراد والشباب في كيبيك في 687 شكوى من بين عدد الشكاوى البالغ 529 3 باعتبارها لجنة كيبيك لحقوق الإنسان والشباب، التي تتعامل وحدها مع شكاوى التمييز أو التحرُّش ضد النساء على أساس نوع الجنس أو الحمل. وفيما يتعلق بشكاوى التمييز والتحرُّش على أساس نوع الجنس أو الحمل أو الحالة الزواجية (ولا سيما في قطاع العمالة) التي وصلت إلى المحاكم، فإن الموقف كالتالي بالنسبة للفترة المطروحة للمناقشة في التقرير: 33 بانتظار صدور الحكم و 4 أفضت إلى صدور قرار و 13 جرت تسويتها خارج المحكمة.</w:t>
      </w:r>
    </w:p>
    <w:p w:rsidR="00000000" w:rsidRDefault="00000000">
      <w:pPr>
        <w:pStyle w:val="SingleTxt"/>
        <w:tabs>
          <w:tab w:val="clear" w:pos="1267"/>
          <w:tab w:val="left" w:pos="1628"/>
        </w:tabs>
        <w:ind w:left="1264" w:right="1264"/>
        <w:rPr>
          <w:szCs w:val="32"/>
          <w:rtl/>
          <w:lang w:eastAsia="en-US"/>
        </w:rPr>
      </w:pPr>
      <w:r>
        <w:rPr>
          <w:b/>
          <w:bCs/>
          <w:szCs w:val="32"/>
          <w:rtl/>
          <w:lang w:eastAsia="en-US"/>
        </w:rPr>
        <w:t>المادة 2 (ج): حماية الحقوق القانونية للمرأة</w:t>
      </w:r>
    </w:p>
    <w:p w:rsidR="00000000" w:rsidRDefault="00000000">
      <w:pPr>
        <w:pStyle w:val="SingleTxt"/>
        <w:tabs>
          <w:tab w:val="clear" w:pos="1267"/>
          <w:tab w:val="left" w:pos="1628"/>
        </w:tabs>
        <w:ind w:left="1264" w:right="1264"/>
        <w:rPr>
          <w:rtl/>
          <w:lang w:eastAsia="en-US"/>
        </w:rPr>
      </w:pPr>
      <w:r>
        <w:rPr>
          <w:rtl/>
          <w:lang w:eastAsia="en-US"/>
        </w:rPr>
        <w:t>663 -</w:t>
      </w:r>
      <w:r>
        <w:rPr>
          <w:rtl/>
          <w:lang w:eastAsia="en-US"/>
        </w:rPr>
        <w:tab/>
        <w:t>منذ كانون الثاني/يناير 1990 خُوِّلت محكمة حقوق الإنسان في كيبيك سلطة البتّ في مدى صحة شكاوى التمييز أو الاستغلال. وبما أن معظم القرارات التي أصدرتها هذه الهيئة تتعلق بقطاع العمالة، فإن بعضا من هذه القرارات التي صدرت خلال الفترة قيد الاستعراض سترد مناقشتها في إطار المادة 11 (2) (أ).</w:t>
      </w:r>
    </w:p>
    <w:p w:rsidR="00000000" w:rsidRDefault="00000000">
      <w:pPr>
        <w:pStyle w:val="SingleTxt"/>
        <w:tabs>
          <w:tab w:val="clear" w:pos="1267"/>
          <w:tab w:val="left" w:pos="1628"/>
        </w:tabs>
        <w:ind w:left="1264" w:right="1264"/>
        <w:rPr>
          <w:b/>
          <w:bCs/>
          <w:szCs w:val="32"/>
          <w:rtl/>
          <w:lang w:eastAsia="en-US"/>
        </w:rPr>
      </w:pPr>
    </w:p>
    <w:p w:rsidR="00000000" w:rsidRDefault="00000000">
      <w:pPr>
        <w:pStyle w:val="SingleTxt"/>
        <w:tabs>
          <w:tab w:val="clear" w:pos="1267"/>
          <w:tab w:val="left" w:pos="1628"/>
        </w:tabs>
        <w:ind w:left="1264" w:right="1264"/>
        <w:rPr>
          <w:b/>
          <w:bCs/>
          <w:szCs w:val="32"/>
          <w:rtl/>
          <w:lang w:eastAsia="en-US"/>
        </w:rPr>
      </w:pPr>
    </w:p>
    <w:p w:rsidR="00000000" w:rsidRDefault="00000000">
      <w:pPr>
        <w:pStyle w:val="SingleTxt"/>
        <w:tabs>
          <w:tab w:val="clear" w:pos="1267"/>
          <w:tab w:val="left" w:pos="1628"/>
        </w:tabs>
        <w:ind w:left="1264" w:right="1264"/>
        <w:rPr>
          <w:b/>
          <w:bCs/>
          <w:szCs w:val="32"/>
          <w:rtl/>
          <w:lang w:eastAsia="en-US"/>
        </w:rPr>
      </w:pPr>
      <w:r>
        <w:rPr>
          <w:b/>
          <w:bCs/>
          <w:szCs w:val="32"/>
          <w:rtl/>
          <w:lang w:eastAsia="en-US"/>
        </w:rPr>
        <w:t>المادة 2 (هـ) و (و)</w:t>
      </w:r>
    </w:p>
    <w:p w:rsidR="00000000" w:rsidRDefault="00000000">
      <w:pPr>
        <w:pStyle w:val="SingleTxt"/>
        <w:tabs>
          <w:tab w:val="clear" w:pos="1267"/>
          <w:tab w:val="left" w:pos="1628"/>
        </w:tabs>
        <w:ind w:left="1264" w:right="1264"/>
        <w:rPr>
          <w:sz w:val="12"/>
          <w:rtl/>
          <w:lang w:eastAsia="en-US"/>
        </w:rPr>
      </w:pPr>
      <w:r>
        <w:rPr>
          <w:rtl/>
          <w:lang w:eastAsia="en-US"/>
        </w:rPr>
        <w:t>664 -</w:t>
      </w:r>
      <w:r>
        <w:rPr>
          <w:rtl/>
          <w:lang w:eastAsia="en-US"/>
        </w:rPr>
        <w:tab/>
        <w:t xml:space="preserve">شأن كثير من المجتمعات الغربية، أصبح مجتمع كيبيك متعدد الثقافات. وهذا التنوع الإثني الجديد أفضى إلى سلسلة من الخلافات والمطالبات المتنافسة التي تشكِّل تحديا أمام أي مجتمع يسعى إلى أن يصف نفسه بأنه ديمقراطي. وفيما يتعلق بحقوق المرأة، فإن التعددية الثقافية يمكن أن تنطوي على تعقيدات خاصة بها. ومن أوجه الخلاف التي تحيط بلباس الرأس الإسلامي (أو الحجاب) في المدارس ما أفضى بلجنة حقوق الإنسان في كيبيك إلى أن تخلص، في ورقة للدراسة بعنوان “التنوع الديني في كيبيك: تحدٍ اجتماعي وأخلاقي” إلى أن حظر ارتداء الحجاب في المؤسسات العامة لا يتفق مع ميثاق حقوق الإنسان والحريات، كما أنه ليس من شأن مدرسة دينية خاصة أن تطلب من المدرسين المنتمين إلى ديانة أخرى أن يرتدوا ملابس ترتبط بالديانة الرسمية للمؤسسة المذكورة. ونتيجة لذلك، فإن المدرسة الخاصة المعنية جعلت الحجاب أمرا اختياريا للعاملين غير المسلمين. ومن أجل إلقاء الضوء على المسألة، نشرت وزارة التعليم دليلا عن التنوع الديني، كما أصدر المجلس المعني بوضع المرأة وثيقة بعنوان “التنوع الثقافي والديني: دراسة للمشاكل التي تواجه المرأة” إضافة إلى إعلان بشأن المرأة والتنوع بعنوان </w:t>
      </w:r>
      <w:r>
        <w:rPr>
          <w:sz w:val="12"/>
          <w:rtl/>
          <w:lang w:eastAsia="en-US"/>
        </w:rPr>
        <w:t>“حقوق المرأة والتنوع” وكلا المنشورين تم توزيعهما على نطاق واسع في عام 1997.</w:t>
      </w:r>
    </w:p>
    <w:p w:rsidR="00000000" w:rsidRDefault="00000000">
      <w:pPr>
        <w:pStyle w:val="SingleTxt"/>
        <w:tabs>
          <w:tab w:val="clear" w:pos="1267"/>
          <w:tab w:val="left" w:pos="1628"/>
        </w:tabs>
        <w:ind w:left="1264" w:right="1264"/>
        <w:rPr>
          <w:sz w:val="12"/>
          <w:rtl/>
          <w:lang w:eastAsia="en-US"/>
        </w:rPr>
      </w:pPr>
      <w:r>
        <w:rPr>
          <w:sz w:val="12"/>
          <w:rtl/>
          <w:lang w:eastAsia="en-US"/>
        </w:rPr>
        <w:t>665 -</w:t>
      </w:r>
      <w:r>
        <w:rPr>
          <w:sz w:val="12"/>
          <w:rtl/>
          <w:lang w:eastAsia="en-US"/>
        </w:rPr>
        <w:tab/>
        <w:t>وفي كيبيك، تتجسد القيمة المولاة للمساواة الجنسانية في صلب التشريعات التي تنطبق على الجميع ولا يمكن تجاوزها حتى ولو كان ذلك باسم الاختلافات الثقافية والدينية. وفي عام 1979، اعترفت الأمم المتحدة، في اتفاقية القضاء على جميع أشكال التمييز ضد المرأة بأن الثقافة والديانة كثيرا ما يتم اللجوء إليهما لتقييد حقوق المرأة.</w:t>
      </w:r>
    </w:p>
    <w:p w:rsidR="00000000" w:rsidRDefault="00000000">
      <w:pPr>
        <w:pStyle w:val="SingleTxt"/>
        <w:tabs>
          <w:tab w:val="clear" w:pos="1267"/>
          <w:tab w:val="left" w:pos="1628"/>
        </w:tabs>
        <w:ind w:left="1264" w:right="1264"/>
        <w:rPr>
          <w:sz w:val="12"/>
          <w:rtl/>
          <w:lang w:eastAsia="en-US"/>
        </w:rPr>
      </w:pPr>
      <w:r>
        <w:rPr>
          <w:sz w:val="12"/>
          <w:rtl/>
          <w:lang w:eastAsia="en-US"/>
        </w:rPr>
        <w:t>666 -</w:t>
      </w:r>
      <w:r>
        <w:rPr>
          <w:sz w:val="12"/>
          <w:rtl/>
          <w:lang w:eastAsia="en-US"/>
        </w:rPr>
        <w:tab/>
        <w:t>وقد انقسمت الحركة النسائية بشأن هذه المسألة، فإرتداء الحجاب يمثل لدى البعض مظهرا من مظاهر استعباد الأنثى، فيما يرى آخرون أن حظره ينطوي على خطر تهميش الشابات اللائي يرتدينه بما يهدد إمكانية اندماجهن في المجتمع بل وفرص وصولهن إلى التعليم.</w:t>
      </w:r>
    </w:p>
    <w:p w:rsidR="00000000" w:rsidRDefault="00000000">
      <w:pPr>
        <w:pStyle w:val="SingleTxt"/>
        <w:tabs>
          <w:tab w:val="clear" w:pos="1267"/>
          <w:tab w:val="left" w:pos="1628"/>
        </w:tabs>
        <w:ind w:left="1264" w:right="1264"/>
        <w:rPr>
          <w:b/>
          <w:bCs/>
          <w:szCs w:val="32"/>
          <w:rtl/>
          <w:lang w:eastAsia="en-US"/>
        </w:rPr>
      </w:pPr>
      <w:r>
        <w:rPr>
          <w:b/>
          <w:bCs/>
          <w:szCs w:val="32"/>
          <w:rtl/>
          <w:lang w:eastAsia="en-US"/>
        </w:rPr>
        <w:t>المادة 3: التدابير التي تكفل النهوض بالمرأة</w:t>
      </w:r>
    </w:p>
    <w:p w:rsidR="00000000" w:rsidRDefault="00000000">
      <w:pPr>
        <w:pStyle w:val="SingleTxt"/>
        <w:tabs>
          <w:tab w:val="clear" w:pos="1267"/>
          <w:tab w:val="left" w:pos="1628"/>
        </w:tabs>
        <w:ind w:left="1264" w:right="1264"/>
        <w:rPr>
          <w:rtl/>
          <w:lang w:eastAsia="en-US"/>
        </w:rPr>
      </w:pPr>
      <w:r>
        <w:rPr>
          <w:rtl/>
          <w:lang w:eastAsia="en-US"/>
        </w:rPr>
        <w:t>667 -</w:t>
      </w:r>
      <w:r>
        <w:rPr>
          <w:rtl/>
          <w:lang w:eastAsia="en-US"/>
        </w:rPr>
        <w:tab/>
        <w:t xml:space="preserve">في أيار/مايو 1997، اعتمدت حكومة كيبيك خطة العمل للفترة 1997 </w:t>
      </w:r>
      <w:r>
        <w:rPr>
          <w:lang w:eastAsia="en-US"/>
        </w:rPr>
        <w:t>–</w:t>
      </w:r>
      <w:r>
        <w:rPr>
          <w:rtl/>
          <w:lang w:eastAsia="en-US"/>
        </w:rPr>
        <w:t xml:space="preserve"> 2000 للمرأة في جميع أنحاء كيبيك، التي انطلقت من واقع التوصيات الصادرة خلال مؤتمر الأمم المتحدة العالمي الرابع المعني بالمرأة (بيجين، 1995) ولا سيما من خلال مشروع تعبئة يشمل تحليلا جنسانيا للممارسات الحكومية. وهذا التدبير يقصد إلى إعداد أداة بسيطة وفعَّالة يمكن في نهاية المطاف استخدامها في أي إجراء حكومي قد ينجم عنه أثر مختلف بالنسبة للمرأة والرجل.</w:t>
      </w:r>
    </w:p>
    <w:p w:rsidR="00000000" w:rsidRDefault="00000000">
      <w:pPr>
        <w:pStyle w:val="SingleTxt"/>
        <w:tabs>
          <w:tab w:val="clear" w:pos="1267"/>
          <w:tab w:val="left" w:pos="1628"/>
        </w:tabs>
        <w:ind w:left="1264" w:right="1264"/>
        <w:rPr>
          <w:rtl/>
          <w:lang w:eastAsia="en-US"/>
        </w:rPr>
      </w:pPr>
      <w:r>
        <w:rPr>
          <w:rtl/>
          <w:lang w:eastAsia="en-US"/>
        </w:rPr>
        <w:t>668 -</w:t>
      </w:r>
      <w:r>
        <w:rPr>
          <w:rtl/>
          <w:lang w:eastAsia="en-US"/>
        </w:rPr>
        <w:tab/>
        <w:t>وعلى نحو ما يقضي به التعريف في كيبيك فإن التحليل على أساس جنساني هو “عملية تقصد إلى أن تكشف، في مرحلة النشأة والتطور، الآثار الخاصة الناجمة عن سياسة أو برنامج أو تدبير آخر بالنسبة للمرأة أو الرجل اللذين يتأثران باعتماده أخذا في الاعتبار الظروف الاجتماعية الاقتصادية والثقافية المختلفة لكل منهما”.</w:t>
      </w:r>
    </w:p>
    <w:p w:rsidR="00000000" w:rsidRDefault="00000000">
      <w:pPr>
        <w:pStyle w:val="SingleTxt"/>
        <w:tabs>
          <w:tab w:val="clear" w:pos="1267"/>
          <w:tab w:val="left" w:pos="1628"/>
        </w:tabs>
        <w:ind w:left="1264" w:right="1264"/>
        <w:rPr>
          <w:rtl/>
          <w:lang w:eastAsia="en-US"/>
        </w:rPr>
      </w:pPr>
      <w:r>
        <w:rPr>
          <w:rtl/>
          <w:lang w:eastAsia="en-US"/>
        </w:rPr>
        <w:t>669 -</w:t>
      </w:r>
      <w:r>
        <w:rPr>
          <w:rtl/>
          <w:lang w:eastAsia="en-US"/>
        </w:rPr>
        <w:tab/>
        <w:t>وقد أوضح العمل الذي تم الاضطلاع به منذ أيلول/سبتمبر 1997 أنه لاتوجد طريقة شاملة لإجراء هذا التحليل القائم على أساس جنساني. فكل بلد وكل حكومة ينبغي له أن يطوِّر نهجه الخاص آخذا بعين الاعتبار الخصائص المحددة لتنظيمه الاجتماعي والسياسي والاقتصادي والقانوني فضلا عن ثقافته والقيم التي يعتمدها. وما التحليل إلا إطار للعمل يمكن استخدامه لإلقاء الضوء على أي نتائج متغايرة تقوم على أساس نوع الجنس وتقضي إلى اتخاذ إجراء ما. واستخدام طريقة معيَّنة ينطوي على فحص للعوامل التي أدت إلى أوجه التغاير بين الحالة الاقتصادية والاجتماعية والثقافية للمرأة والرجل فضلا عن إتاحة البيانات المفصلة على أساس نوع الجنس.</w:t>
      </w:r>
    </w:p>
    <w:p w:rsidR="00000000" w:rsidRDefault="00000000">
      <w:pPr>
        <w:pStyle w:val="SingleTxt"/>
        <w:tabs>
          <w:tab w:val="clear" w:pos="1267"/>
          <w:tab w:val="left" w:pos="1628"/>
        </w:tabs>
        <w:ind w:left="1264" w:right="1264"/>
        <w:rPr>
          <w:rtl/>
          <w:lang w:eastAsia="en-US"/>
        </w:rPr>
      </w:pPr>
      <w:r>
        <w:rPr>
          <w:rtl/>
          <w:lang w:eastAsia="en-US"/>
        </w:rPr>
        <w:t>670 -</w:t>
      </w:r>
      <w:r>
        <w:rPr>
          <w:rtl/>
          <w:lang w:eastAsia="en-US"/>
        </w:rPr>
        <w:tab/>
        <w:t xml:space="preserve">وقد تم تنفيذ التحليل على أساس جنساني بواسطة حكومة كيبيك للفترة 1997 </w:t>
      </w:r>
      <w:r>
        <w:rPr>
          <w:lang w:eastAsia="en-US"/>
        </w:rPr>
        <w:t>–</w:t>
      </w:r>
      <w:r>
        <w:rPr>
          <w:rtl/>
          <w:lang w:eastAsia="en-US"/>
        </w:rPr>
        <w:t xml:space="preserve"> 1998 بعد اتخاذ الخطوات التالية:</w:t>
      </w:r>
    </w:p>
    <w:p w:rsidR="00000000" w:rsidRDefault="00000000">
      <w:pPr>
        <w:pStyle w:val="SingleTxt"/>
        <w:tabs>
          <w:tab w:val="clear" w:pos="1267"/>
          <w:tab w:val="left" w:pos="1628"/>
        </w:tabs>
        <w:ind w:left="1927" w:right="1264" w:hanging="663"/>
        <w:rPr>
          <w:rtl/>
          <w:lang w:eastAsia="en-US"/>
        </w:rPr>
      </w:pPr>
      <w:r>
        <w:rPr>
          <w:rtl/>
          <w:lang w:eastAsia="en-US"/>
        </w:rPr>
        <w:tab/>
        <w:t>•</w:t>
      </w:r>
      <w:r>
        <w:rPr>
          <w:rtl/>
          <w:lang w:eastAsia="en-US"/>
        </w:rPr>
        <w:tab/>
        <w:t>استعراض الكتابات المطروحة ولا سيما الوثائق الصادرة عن أمانة الكمنولث ومجلس أوروبا ودراسة المحاولات التي اضطلعت بها حكومات الاتحاد والمقاطعات (ساسكاتشيوان وكولومبيا البريطانية ونيو برونزويك ونيو فاوندلاند) وحكومات نيوزيلندا والبلدان الاسكندنافية</w:t>
      </w:r>
    </w:p>
    <w:p w:rsidR="00000000" w:rsidRDefault="00000000">
      <w:pPr>
        <w:pStyle w:val="SingleTxt"/>
        <w:tabs>
          <w:tab w:val="clear" w:pos="1267"/>
          <w:tab w:val="left" w:pos="1628"/>
        </w:tabs>
        <w:ind w:left="1927" w:right="1264" w:hanging="663"/>
        <w:rPr>
          <w:rtl/>
          <w:lang w:eastAsia="en-US"/>
        </w:rPr>
      </w:pPr>
      <w:r>
        <w:rPr>
          <w:rtl/>
          <w:lang w:eastAsia="en-US"/>
        </w:rPr>
        <w:tab/>
        <w:t>•</w:t>
      </w:r>
      <w:r>
        <w:rPr>
          <w:rtl/>
          <w:lang w:eastAsia="en-US"/>
        </w:rPr>
        <w:tab/>
        <w:t>دراسة للآليات الوزارية والحكومية التي تنطبق على وضع واعتماد إجراءات وسياسات وبرامج وغير ذلك من التدابير</w:t>
      </w:r>
    </w:p>
    <w:p w:rsidR="00000000" w:rsidRDefault="00000000">
      <w:pPr>
        <w:pStyle w:val="SingleTxt"/>
        <w:tabs>
          <w:tab w:val="clear" w:pos="1267"/>
          <w:tab w:val="left" w:pos="1628"/>
        </w:tabs>
        <w:ind w:left="1927" w:right="1264" w:hanging="663"/>
        <w:rPr>
          <w:rtl/>
          <w:lang w:eastAsia="en-US"/>
        </w:rPr>
      </w:pPr>
      <w:r>
        <w:rPr>
          <w:rtl/>
          <w:lang w:eastAsia="en-US"/>
        </w:rPr>
        <w:tab/>
        <w:t>•</w:t>
      </w:r>
      <w:r>
        <w:rPr>
          <w:rtl/>
          <w:lang w:eastAsia="en-US"/>
        </w:rPr>
        <w:tab/>
        <w:t>إتاحة قائمة حصرية بالبيانات المفصلة على أساس نوع الجنس التي يوفِّرها معهد الإحصاء في كيبيك وغيره من الدوائر والوكالات</w:t>
      </w:r>
    </w:p>
    <w:p w:rsidR="00000000" w:rsidRDefault="00000000">
      <w:pPr>
        <w:pStyle w:val="SingleTxt"/>
        <w:tabs>
          <w:tab w:val="clear" w:pos="1267"/>
          <w:tab w:val="left" w:pos="1628"/>
        </w:tabs>
        <w:ind w:left="1927" w:right="1264" w:hanging="663"/>
        <w:rPr>
          <w:rtl/>
          <w:lang w:eastAsia="en-US"/>
        </w:rPr>
      </w:pPr>
      <w:r>
        <w:rPr>
          <w:rtl/>
          <w:lang w:eastAsia="en-US"/>
        </w:rPr>
        <w:tab/>
        <w:t>•</w:t>
      </w:r>
      <w:r>
        <w:rPr>
          <w:rtl/>
          <w:lang w:eastAsia="en-US"/>
        </w:rPr>
        <w:tab/>
        <w:t>تنظيم اجتماعات استشارية مع أفراد من منظمات غير حكومية ومن دوائر البحث الجامعي</w:t>
      </w:r>
    </w:p>
    <w:p w:rsidR="00000000" w:rsidRDefault="00000000">
      <w:pPr>
        <w:pStyle w:val="SingleTxt"/>
        <w:tabs>
          <w:tab w:val="clear" w:pos="1267"/>
          <w:tab w:val="left" w:pos="1628"/>
        </w:tabs>
        <w:ind w:left="1264" w:right="1264"/>
        <w:rPr>
          <w:rtl/>
          <w:lang w:eastAsia="en-US"/>
        </w:rPr>
      </w:pPr>
      <w:r>
        <w:rPr>
          <w:rtl/>
          <w:lang w:eastAsia="en-US"/>
        </w:rPr>
        <w:t>671 -</w:t>
      </w:r>
      <w:r>
        <w:rPr>
          <w:rtl/>
          <w:lang w:eastAsia="en-US"/>
        </w:rPr>
        <w:tab/>
        <w:t>هذه المرحلة الأوَّلية أوضحت الأهمية الحيوية للدعم من أعلى مستويات الحكومة. وطبقا لذلك حصلت كيبيك على دعم رئيس وزرائها وعلى تأييد الحكومة بأكملها للمشروع وجعلت أمانة مجلس الخزانة ومكتب المجلس التنفيذي مسؤولين بصورة مشتركة عن تنفيذه.</w:t>
      </w:r>
    </w:p>
    <w:p w:rsidR="00000000" w:rsidRDefault="00000000">
      <w:pPr>
        <w:pStyle w:val="SingleTxt"/>
        <w:tabs>
          <w:tab w:val="clear" w:pos="1267"/>
          <w:tab w:val="left" w:pos="1628"/>
        </w:tabs>
        <w:ind w:left="1264" w:right="1264"/>
        <w:rPr>
          <w:rtl/>
          <w:lang w:eastAsia="en-US"/>
        </w:rPr>
      </w:pPr>
      <w:r>
        <w:rPr>
          <w:rtl/>
          <w:lang w:eastAsia="en-US"/>
        </w:rPr>
        <w:t>672 -</w:t>
      </w:r>
      <w:r>
        <w:rPr>
          <w:rtl/>
          <w:lang w:eastAsia="en-US"/>
        </w:rPr>
        <w:tab/>
        <w:t xml:space="preserve">وبفضل المشاركة المالية للقطاع العام والقطاع الخاص والقطاع المؤسسي، استطاعت الحركة النسائية في كيبيك أن تشتري مبنى (يسمى باسم “بيت باران </w:t>
      </w:r>
      <w:r>
        <w:rPr>
          <w:lang w:eastAsia="en-US"/>
        </w:rPr>
        <w:t>–</w:t>
      </w:r>
      <w:r>
        <w:rPr>
          <w:rtl/>
          <w:lang w:eastAsia="en-US"/>
        </w:rPr>
        <w:t xml:space="preserve"> روباك” تكريما لاثنتين من رائدات الاتحاد والعمل الاجتماعي) ليضم 10 من الاتحادات النسائية الوطنية والإقليمية (تمثل 200 1 مجموعة على مستوى المقاطعة بأسرها)، إضافة إلى دار نشر نسائية ومركـــز توثيـــق متخصص في قضايـــا المـــرأة والتعليم الشعبي. وخصصت المقاطعة مبلغ 000 107 دولار لدعم هذا المشروع.</w:t>
      </w:r>
    </w:p>
    <w:p w:rsidR="00000000" w:rsidRDefault="00000000">
      <w:pPr>
        <w:pStyle w:val="SingleTxt"/>
        <w:tabs>
          <w:tab w:val="clear" w:pos="1267"/>
          <w:tab w:val="left" w:pos="1628"/>
        </w:tabs>
        <w:ind w:left="1264" w:right="1264"/>
        <w:rPr>
          <w:b/>
          <w:bCs/>
          <w:szCs w:val="32"/>
          <w:rtl/>
          <w:lang w:eastAsia="en-US"/>
        </w:rPr>
      </w:pPr>
      <w:r>
        <w:rPr>
          <w:b/>
          <w:bCs/>
          <w:szCs w:val="32"/>
          <w:rtl/>
          <w:lang w:eastAsia="en-US"/>
        </w:rPr>
        <w:t>المادة 4: التدابير المؤقتة الخاصة</w:t>
      </w:r>
    </w:p>
    <w:p w:rsidR="00000000" w:rsidRDefault="00000000">
      <w:pPr>
        <w:pStyle w:val="SingleTxt"/>
        <w:tabs>
          <w:tab w:val="clear" w:pos="1267"/>
          <w:tab w:val="left" w:pos="1628"/>
        </w:tabs>
        <w:ind w:left="1264" w:right="1264"/>
        <w:rPr>
          <w:rtl/>
          <w:lang w:eastAsia="en-US"/>
        </w:rPr>
      </w:pPr>
      <w:r>
        <w:rPr>
          <w:rtl/>
          <w:lang w:eastAsia="en-US"/>
        </w:rPr>
        <w:t>673 -</w:t>
      </w:r>
      <w:r>
        <w:rPr>
          <w:rtl/>
          <w:lang w:eastAsia="en-US"/>
        </w:rPr>
        <w:tab/>
        <w:t xml:space="preserve">فيما يتعلق بسُبُل الوصول إلى فرص التوظيف، تم توسيع برنامج الفرص المتكافئة للتوظيف أمام المرأة في الخدمة العامة (1992 </w:t>
      </w:r>
      <w:r>
        <w:rPr>
          <w:lang w:eastAsia="en-US"/>
        </w:rPr>
        <w:t>–</w:t>
      </w:r>
      <w:r>
        <w:rPr>
          <w:rtl/>
          <w:lang w:eastAsia="en-US"/>
        </w:rPr>
        <w:t xml:space="preserve"> 1997) بانتظار صدور تقرير من مجلس الخزانة. وقد زادت النسبة المئوية للنساء في جميع فئات الوظائف رغم أن العدد الإجمالي لموظفي الحكومة انكمش بصورة كبيرة، لتمثل 44.2 في المائة من الموظفين المُثَبتَّين في نيسان/أبريل 1994 فيما شكَّلت المرأة نسبة 48.4 في المائة في آذار/مارس 1998.</w:t>
      </w:r>
    </w:p>
    <w:p w:rsidR="00000000" w:rsidRDefault="00000000">
      <w:pPr>
        <w:pStyle w:val="SingleTxt"/>
        <w:tabs>
          <w:tab w:val="clear" w:pos="1267"/>
          <w:tab w:val="left" w:pos="1628"/>
        </w:tabs>
        <w:ind w:left="1264" w:right="1264"/>
        <w:rPr>
          <w:b/>
          <w:bCs/>
          <w:rtl/>
          <w:lang w:eastAsia="en-US"/>
        </w:rPr>
      </w:pPr>
      <w:r>
        <w:rPr>
          <w:b/>
          <w:bCs/>
          <w:rtl/>
          <w:lang w:eastAsia="en-US"/>
        </w:rPr>
        <w:t>النسبة المئوية للمرأة في سلك الخدمة العامة في كيبيك حسب فئة الوظيفة</w:t>
      </w:r>
    </w:p>
    <w:p w:rsidR="00000000" w:rsidRDefault="00000000">
      <w:pPr>
        <w:pStyle w:val="SingleTxt"/>
        <w:tabs>
          <w:tab w:val="clear" w:pos="1267"/>
          <w:tab w:val="left" w:pos="1628"/>
        </w:tabs>
        <w:ind w:left="1264" w:right="1264"/>
        <w:rPr>
          <w:rtl/>
          <w:lang w:eastAsia="en-US"/>
        </w:rPr>
      </w:pPr>
    </w:p>
    <w:tbl>
      <w:tblPr>
        <w:bidiVisual/>
        <w:tblW w:w="0" w:type="auto"/>
        <w:tblInd w:w="1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1701"/>
        <w:gridCol w:w="1559"/>
      </w:tblGrid>
      <w:tr w:rsidR="00000000">
        <w:tblPrEx>
          <w:tblCellMar>
            <w:top w:w="0" w:type="dxa"/>
            <w:bottom w:w="0" w:type="dxa"/>
          </w:tblCellMar>
        </w:tblPrEx>
        <w:tc>
          <w:tcPr>
            <w:tcW w:w="3969" w:type="dxa"/>
          </w:tcPr>
          <w:p w:rsidR="00000000" w:rsidRDefault="00000000">
            <w:pPr>
              <w:pStyle w:val="SingleTxt"/>
              <w:tabs>
                <w:tab w:val="clear" w:pos="1267"/>
                <w:tab w:val="left" w:pos="1628"/>
              </w:tabs>
              <w:ind w:left="0" w:right="0"/>
              <w:rPr>
                <w:rtl/>
                <w:lang w:eastAsia="en-US"/>
              </w:rPr>
            </w:pPr>
            <w:r>
              <w:rPr>
                <w:rtl/>
                <w:lang w:eastAsia="en-US"/>
              </w:rPr>
              <w:t>فئة الوظيفة</w:t>
            </w:r>
          </w:p>
        </w:tc>
        <w:tc>
          <w:tcPr>
            <w:tcW w:w="1701" w:type="dxa"/>
          </w:tcPr>
          <w:p w:rsidR="00000000" w:rsidRDefault="00000000">
            <w:pPr>
              <w:pStyle w:val="SingleTxt"/>
              <w:tabs>
                <w:tab w:val="clear" w:pos="1267"/>
                <w:tab w:val="left" w:pos="1628"/>
              </w:tabs>
              <w:ind w:left="0" w:right="0"/>
              <w:jc w:val="center"/>
              <w:rPr>
                <w:rtl/>
                <w:lang w:eastAsia="en-US"/>
              </w:rPr>
            </w:pPr>
            <w:r>
              <w:rPr>
                <w:rtl/>
                <w:lang w:eastAsia="en-US"/>
              </w:rPr>
              <w:t>1 نيسان/أبريل 1994 (</w:t>
            </w:r>
            <w:r>
              <w:rPr>
                <w:rFonts w:cs="Akhbar MT"/>
                <w:rtl/>
                <w:lang w:eastAsia="en-US"/>
              </w:rPr>
              <w:t>%</w:t>
            </w:r>
            <w:r>
              <w:rPr>
                <w:rtl/>
                <w:lang w:eastAsia="en-US"/>
              </w:rPr>
              <w:t>)</w:t>
            </w:r>
          </w:p>
        </w:tc>
        <w:tc>
          <w:tcPr>
            <w:tcW w:w="1559" w:type="dxa"/>
          </w:tcPr>
          <w:p w:rsidR="00000000" w:rsidRDefault="00000000">
            <w:pPr>
              <w:pStyle w:val="SingleTxt"/>
              <w:tabs>
                <w:tab w:val="clear" w:pos="1267"/>
                <w:tab w:val="left" w:pos="1628"/>
              </w:tabs>
              <w:ind w:left="0" w:right="0"/>
              <w:jc w:val="center"/>
              <w:rPr>
                <w:rtl/>
                <w:lang w:eastAsia="en-US"/>
              </w:rPr>
            </w:pPr>
            <w:r>
              <w:rPr>
                <w:rtl/>
                <w:lang w:eastAsia="en-US"/>
              </w:rPr>
              <w:t>31 آذار/مارس 1998 (</w:t>
            </w:r>
            <w:r>
              <w:rPr>
                <w:rFonts w:cs="Akhbar MT"/>
                <w:rtl/>
                <w:lang w:eastAsia="en-US"/>
              </w:rPr>
              <w:t>%</w:t>
            </w:r>
            <w:r>
              <w:rPr>
                <w:rtl/>
                <w:lang w:eastAsia="en-US"/>
              </w:rPr>
              <w:t>)</w:t>
            </w:r>
          </w:p>
        </w:tc>
      </w:tr>
      <w:tr w:rsidR="00000000">
        <w:tblPrEx>
          <w:tblCellMar>
            <w:top w:w="0" w:type="dxa"/>
            <w:bottom w:w="0" w:type="dxa"/>
          </w:tblCellMar>
        </w:tblPrEx>
        <w:tc>
          <w:tcPr>
            <w:tcW w:w="3969" w:type="dxa"/>
          </w:tcPr>
          <w:p w:rsidR="00000000" w:rsidRDefault="00000000">
            <w:pPr>
              <w:pStyle w:val="SingleTxt"/>
              <w:tabs>
                <w:tab w:val="clear" w:pos="1267"/>
                <w:tab w:val="left" w:pos="1628"/>
              </w:tabs>
              <w:ind w:left="0" w:right="0"/>
              <w:rPr>
                <w:rtl/>
                <w:lang w:eastAsia="en-US"/>
              </w:rPr>
            </w:pPr>
            <w:r>
              <w:rPr>
                <w:rtl/>
                <w:lang w:eastAsia="en-US"/>
              </w:rPr>
              <w:t>موظف فني</w:t>
            </w:r>
          </w:p>
        </w:tc>
        <w:tc>
          <w:tcPr>
            <w:tcW w:w="1701" w:type="dxa"/>
          </w:tcPr>
          <w:p w:rsidR="00000000" w:rsidRDefault="00000000">
            <w:pPr>
              <w:pStyle w:val="SingleTxt"/>
              <w:tabs>
                <w:tab w:val="clear" w:pos="1267"/>
                <w:tab w:val="left" w:pos="1628"/>
              </w:tabs>
              <w:ind w:left="0" w:right="0"/>
              <w:rPr>
                <w:rtl/>
                <w:lang w:eastAsia="en-US"/>
              </w:rPr>
            </w:pPr>
            <w:r>
              <w:rPr>
                <w:rtl/>
                <w:lang w:eastAsia="en-US"/>
              </w:rPr>
              <w:t>16.7</w:t>
            </w:r>
          </w:p>
        </w:tc>
        <w:tc>
          <w:tcPr>
            <w:tcW w:w="1559" w:type="dxa"/>
          </w:tcPr>
          <w:p w:rsidR="00000000" w:rsidRDefault="00000000">
            <w:pPr>
              <w:pStyle w:val="SingleTxt"/>
              <w:tabs>
                <w:tab w:val="clear" w:pos="1267"/>
                <w:tab w:val="left" w:pos="1628"/>
              </w:tabs>
              <w:ind w:left="0" w:right="0"/>
              <w:rPr>
                <w:rtl/>
                <w:lang w:eastAsia="en-US"/>
              </w:rPr>
            </w:pPr>
            <w:r>
              <w:rPr>
                <w:rtl/>
                <w:lang w:eastAsia="en-US"/>
              </w:rPr>
              <w:t>20.4</w:t>
            </w:r>
          </w:p>
        </w:tc>
      </w:tr>
      <w:tr w:rsidR="00000000">
        <w:tblPrEx>
          <w:tblCellMar>
            <w:top w:w="0" w:type="dxa"/>
            <w:bottom w:w="0" w:type="dxa"/>
          </w:tblCellMar>
        </w:tblPrEx>
        <w:tc>
          <w:tcPr>
            <w:tcW w:w="3969" w:type="dxa"/>
          </w:tcPr>
          <w:p w:rsidR="00000000" w:rsidRDefault="00000000">
            <w:pPr>
              <w:pStyle w:val="SingleTxt"/>
              <w:tabs>
                <w:tab w:val="clear" w:pos="1267"/>
                <w:tab w:val="left" w:pos="1628"/>
              </w:tabs>
              <w:ind w:left="0" w:right="0"/>
              <w:rPr>
                <w:rtl/>
                <w:lang w:eastAsia="en-US"/>
              </w:rPr>
            </w:pPr>
            <w:r>
              <w:rPr>
                <w:rtl/>
                <w:lang w:eastAsia="en-US"/>
              </w:rPr>
              <w:t>موظف تدريب</w:t>
            </w:r>
          </w:p>
        </w:tc>
        <w:tc>
          <w:tcPr>
            <w:tcW w:w="1701" w:type="dxa"/>
          </w:tcPr>
          <w:p w:rsidR="00000000" w:rsidRDefault="00000000">
            <w:pPr>
              <w:pStyle w:val="SingleTxt"/>
              <w:tabs>
                <w:tab w:val="clear" w:pos="1267"/>
                <w:tab w:val="left" w:pos="1628"/>
              </w:tabs>
              <w:ind w:left="0" w:right="0"/>
              <w:rPr>
                <w:rtl/>
                <w:lang w:eastAsia="en-US"/>
              </w:rPr>
            </w:pPr>
            <w:r>
              <w:rPr>
                <w:rtl/>
                <w:lang w:eastAsia="en-US"/>
              </w:rPr>
              <w:t>29.7</w:t>
            </w:r>
          </w:p>
        </w:tc>
        <w:tc>
          <w:tcPr>
            <w:tcW w:w="1559" w:type="dxa"/>
          </w:tcPr>
          <w:p w:rsidR="00000000" w:rsidRDefault="00000000">
            <w:pPr>
              <w:pStyle w:val="SingleTxt"/>
              <w:tabs>
                <w:tab w:val="clear" w:pos="1267"/>
                <w:tab w:val="left" w:pos="1628"/>
              </w:tabs>
              <w:ind w:left="0" w:right="0"/>
              <w:rPr>
                <w:rtl/>
                <w:lang w:eastAsia="en-US"/>
              </w:rPr>
            </w:pPr>
            <w:r>
              <w:rPr>
                <w:rtl/>
                <w:lang w:eastAsia="en-US"/>
              </w:rPr>
              <w:t>32.8</w:t>
            </w:r>
          </w:p>
        </w:tc>
      </w:tr>
      <w:tr w:rsidR="00000000">
        <w:tblPrEx>
          <w:tblCellMar>
            <w:top w:w="0" w:type="dxa"/>
            <w:bottom w:w="0" w:type="dxa"/>
          </w:tblCellMar>
        </w:tblPrEx>
        <w:tc>
          <w:tcPr>
            <w:tcW w:w="3969" w:type="dxa"/>
          </w:tcPr>
          <w:p w:rsidR="00000000" w:rsidRDefault="00000000">
            <w:pPr>
              <w:pStyle w:val="SingleTxt"/>
              <w:tabs>
                <w:tab w:val="clear" w:pos="1267"/>
                <w:tab w:val="left" w:pos="1628"/>
              </w:tabs>
              <w:ind w:left="0" w:right="0"/>
              <w:rPr>
                <w:rtl/>
                <w:lang w:eastAsia="en-US"/>
              </w:rPr>
            </w:pPr>
            <w:r>
              <w:rPr>
                <w:rtl/>
                <w:lang w:eastAsia="en-US"/>
              </w:rPr>
              <w:t>موظف تقني</w:t>
            </w:r>
          </w:p>
        </w:tc>
        <w:tc>
          <w:tcPr>
            <w:tcW w:w="1701" w:type="dxa"/>
          </w:tcPr>
          <w:p w:rsidR="00000000" w:rsidRDefault="00000000">
            <w:pPr>
              <w:pStyle w:val="SingleTxt"/>
              <w:tabs>
                <w:tab w:val="clear" w:pos="1267"/>
                <w:tab w:val="left" w:pos="1628"/>
              </w:tabs>
              <w:ind w:left="0" w:right="0"/>
              <w:rPr>
                <w:rtl/>
                <w:lang w:eastAsia="en-US"/>
              </w:rPr>
            </w:pPr>
            <w:r>
              <w:rPr>
                <w:rtl/>
                <w:lang w:eastAsia="en-US"/>
              </w:rPr>
              <w:t>38.7</w:t>
            </w:r>
          </w:p>
        </w:tc>
        <w:tc>
          <w:tcPr>
            <w:tcW w:w="1559" w:type="dxa"/>
          </w:tcPr>
          <w:p w:rsidR="00000000" w:rsidRDefault="00000000">
            <w:pPr>
              <w:pStyle w:val="SingleTxt"/>
              <w:tabs>
                <w:tab w:val="clear" w:pos="1267"/>
                <w:tab w:val="left" w:pos="1628"/>
              </w:tabs>
              <w:ind w:left="0" w:right="0"/>
              <w:rPr>
                <w:rtl/>
                <w:lang w:eastAsia="en-US"/>
              </w:rPr>
            </w:pPr>
            <w:r>
              <w:rPr>
                <w:rtl/>
                <w:lang w:eastAsia="en-US"/>
              </w:rPr>
              <w:t>40.7</w:t>
            </w:r>
          </w:p>
        </w:tc>
      </w:tr>
      <w:tr w:rsidR="00000000">
        <w:tblPrEx>
          <w:tblCellMar>
            <w:top w:w="0" w:type="dxa"/>
            <w:bottom w:w="0" w:type="dxa"/>
          </w:tblCellMar>
        </w:tblPrEx>
        <w:tc>
          <w:tcPr>
            <w:tcW w:w="3969" w:type="dxa"/>
          </w:tcPr>
          <w:p w:rsidR="00000000" w:rsidRDefault="00000000">
            <w:pPr>
              <w:pStyle w:val="SingleTxt"/>
              <w:tabs>
                <w:tab w:val="clear" w:pos="1267"/>
                <w:tab w:val="left" w:pos="1628"/>
              </w:tabs>
              <w:ind w:left="0" w:right="0"/>
              <w:rPr>
                <w:rtl/>
                <w:lang w:eastAsia="en-US"/>
              </w:rPr>
            </w:pPr>
            <w:r>
              <w:rPr>
                <w:rtl/>
                <w:lang w:eastAsia="en-US"/>
              </w:rPr>
              <w:t>موظف مكتبي</w:t>
            </w:r>
          </w:p>
        </w:tc>
        <w:tc>
          <w:tcPr>
            <w:tcW w:w="1701" w:type="dxa"/>
          </w:tcPr>
          <w:p w:rsidR="00000000" w:rsidRDefault="00000000">
            <w:pPr>
              <w:pStyle w:val="SingleTxt"/>
              <w:tabs>
                <w:tab w:val="clear" w:pos="1267"/>
                <w:tab w:val="left" w:pos="1628"/>
              </w:tabs>
              <w:ind w:left="0" w:right="0"/>
              <w:rPr>
                <w:rtl/>
                <w:lang w:eastAsia="en-US"/>
              </w:rPr>
            </w:pPr>
            <w:r>
              <w:rPr>
                <w:rtl/>
                <w:lang w:eastAsia="en-US"/>
              </w:rPr>
              <w:t>42.4</w:t>
            </w:r>
          </w:p>
        </w:tc>
        <w:tc>
          <w:tcPr>
            <w:tcW w:w="1559" w:type="dxa"/>
          </w:tcPr>
          <w:p w:rsidR="00000000" w:rsidRDefault="00000000">
            <w:pPr>
              <w:pStyle w:val="SingleTxt"/>
              <w:tabs>
                <w:tab w:val="clear" w:pos="1267"/>
                <w:tab w:val="left" w:pos="1628"/>
              </w:tabs>
              <w:ind w:left="0" w:right="0"/>
              <w:rPr>
                <w:rtl/>
                <w:lang w:eastAsia="en-US"/>
              </w:rPr>
            </w:pPr>
            <w:r>
              <w:rPr>
                <w:rtl/>
                <w:lang w:eastAsia="en-US"/>
              </w:rPr>
              <w:t>48.4</w:t>
            </w:r>
          </w:p>
        </w:tc>
      </w:tr>
      <w:tr w:rsidR="00000000">
        <w:tblPrEx>
          <w:tblCellMar>
            <w:top w:w="0" w:type="dxa"/>
            <w:bottom w:w="0" w:type="dxa"/>
          </w:tblCellMar>
        </w:tblPrEx>
        <w:tc>
          <w:tcPr>
            <w:tcW w:w="3969" w:type="dxa"/>
          </w:tcPr>
          <w:p w:rsidR="00000000" w:rsidRDefault="00000000">
            <w:pPr>
              <w:pStyle w:val="SingleTxt"/>
              <w:tabs>
                <w:tab w:val="clear" w:pos="1267"/>
                <w:tab w:val="left" w:pos="1628"/>
              </w:tabs>
              <w:ind w:left="0" w:right="0"/>
              <w:rPr>
                <w:rtl/>
                <w:lang w:eastAsia="en-US"/>
              </w:rPr>
            </w:pPr>
            <w:r>
              <w:rPr>
                <w:rtl/>
                <w:lang w:eastAsia="en-US"/>
              </w:rPr>
              <w:t>موظفو الضبطية القضائية</w:t>
            </w:r>
          </w:p>
        </w:tc>
        <w:tc>
          <w:tcPr>
            <w:tcW w:w="1701" w:type="dxa"/>
          </w:tcPr>
          <w:p w:rsidR="00000000" w:rsidRDefault="00000000">
            <w:pPr>
              <w:pStyle w:val="SingleTxt"/>
              <w:tabs>
                <w:tab w:val="clear" w:pos="1267"/>
                <w:tab w:val="left" w:pos="1628"/>
              </w:tabs>
              <w:ind w:left="0" w:right="0"/>
              <w:rPr>
                <w:rtl/>
                <w:lang w:eastAsia="en-US"/>
              </w:rPr>
            </w:pPr>
            <w:r>
              <w:rPr>
                <w:rtl/>
                <w:lang w:eastAsia="en-US"/>
              </w:rPr>
              <w:t>11.7</w:t>
            </w:r>
          </w:p>
        </w:tc>
        <w:tc>
          <w:tcPr>
            <w:tcW w:w="1559" w:type="dxa"/>
          </w:tcPr>
          <w:p w:rsidR="00000000" w:rsidRDefault="00000000">
            <w:pPr>
              <w:pStyle w:val="SingleTxt"/>
              <w:tabs>
                <w:tab w:val="clear" w:pos="1267"/>
                <w:tab w:val="left" w:pos="1628"/>
              </w:tabs>
              <w:ind w:left="0" w:right="0"/>
              <w:rPr>
                <w:rtl/>
                <w:lang w:eastAsia="en-US"/>
              </w:rPr>
            </w:pPr>
            <w:r>
              <w:rPr>
                <w:rtl/>
                <w:lang w:eastAsia="en-US"/>
              </w:rPr>
              <w:t>14.5</w:t>
            </w:r>
          </w:p>
        </w:tc>
      </w:tr>
      <w:tr w:rsidR="00000000">
        <w:tblPrEx>
          <w:tblCellMar>
            <w:top w:w="0" w:type="dxa"/>
            <w:bottom w:w="0" w:type="dxa"/>
          </w:tblCellMar>
        </w:tblPrEx>
        <w:tc>
          <w:tcPr>
            <w:tcW w:w="3969" w:type="dxa"/>
          </w:tcPr>
          <w:p w:rsidR="00000000" w:rsidRDefault="00000000">
            <w:pPr>
              <w:pStyle w:val="SingleTxt"/>
              <w:tabs>
                <w:tab w:val="clear" w:pos="1267"/>
                <w:tab w:val="left" w:pos="1628"/>
              </w:tabs>
              <w:ind w:left="0" w:right="0"/>
              <w:rPr>
                <w:rtl/>
                <w:lang w:eastAsia="en-US"/>
              </w:rPr>
            </w:pPr>
            <w:r>
              <w:rPr>
                <w:rtl/>
                <w:lang w:eastAsia="en-US"/>
              </w:rPr>
              <w:t>عمال</w:t>
            </w:r>
          </w:p>
        </w:tc>
        <w:tc>
          <w:tcPr>
            <w:tcW w:w="1701" w:type="dxa"/>
          </w:tcPr>
          <w:p w:rsidR="00000000" w:rsidRDefault="00000000">
            <w:pPr>
              <w:pStyle w:val="SingleTxt"/>
              <w:tabs>
                <w:tab w:val="clear" w:pos="1267"/>
                <w:tab w:val="left" w:pos="1628"/>
              </w:tabs>
              <w:ind w:left="0" w:right="0"/>
              <w:rPr>
                <w:rtl/>
                <w:lang w:eastAsia="en-US"/>
              </w:rPr>
            </w:pPr>
            <w:r>
              <w:rPr>
                <w:rtl/>
                <w:lang w:eastAsia="en-US"/>
              </w:rPr>
              <w:t>2.0</w:t>
            </w:r>
          </w:p>
        </w:tc>
        <w:tc>
          <w:tcPr>
            <w:tcW w:w="1559" w:type="dxa"/>
          </w:tcPr>
          <w:p w:rsidR="00000000" w:rsidRDefault="00000000">
            <w:pPr>
              <w:pStyle w:val="SingleTxt"/>
              <w:tabs>
                <w:tab w:val="clear" w:pos="1267"/>
                <w:tab w:val="left" w:pos="1628"/>
              </w:tabs>
              <w:ind w:left="0" w:right="0"/>
              <w:rPr>
                <w:rtl/>
                <w:lang w:eastAsia="en-US"/>
              </w:rPr>
            </w:pPr>
            <w:r>
              <w:rPr>
                <w:rtl/>
                <w:lang w:eastAsia="en-US"/>
              </w:rPr>
              <w:t>2.4</w:t>
            </w:r>
          </w:p>
        </w:tc>
      </w:tr>
    </w:tbl>
    <w:p w:rsidR="00000000" w:rsidRDefault="00000000">
      <w:pPr>
        <w:pStyle w:val="SingleTxt"/>
        <w:tabs>
          <w:tab w:val="clear" w:pos="1267"/>
          <w:tab w:val="left" w:pos="1628"/>
        </w:tabs>
        <w:ind w:left="1264" w:right="1264"/>
        <w:rPr>
          <w:rtl/>
          <w:lang w:eastAsia="en-US"/>
        </w:rPr>
      </w:pPr>
      <w:r>
        <w:rPr>
          <w:szCs w:val="26"/>
          <w:rtl/>
          <w:lang w:eastAsia="en-US"/>
        </w:rPr>
        <w:tab/>
        <w:t>المصدر:</w:t>
      </w:r>
      <w:r>
        <w:rPr>
          <w:szCs w:val="26"/>
          <w:rtl/>
          <w:lang w:eastAsia="en-US"/>
        </w:rPr>
        <w:tab/>
        <w:t>مجلس الخزانة، قوام هيئة الموظفين العموميين في كيبيك، 1998.</w:t>
      </w:r>
    </w:p>
    <w:p w:rsidR="00000000" w:rsidRDefault="00000000">
      <w:pPr>
        <w:pStyle w:val="SingleTxt"/>
        <w:tabs>
          <w:tab w:val="clear" w:pos="1267"/>
          <w:tab w:val="left" w:pos="1628"/>
        </w:tabs>
        <w:ind w:left="1264" w:right="1264"/>
        <w:rPr>
          <w:rtl/>
          <w:lang w:eastAsia="en-US"/>
        </w:rPr>
      </w:pPr>
      <w:r>
        <w:rPr>
          <w:rtl/>
          <w:lang w:eastAsia="en-US"/>
        </w:rPr>
        <w:t>674 -</w:t>
      </w:r>
      <w:r>
        <w:rPr>
          <w:rtl/>
          <w:lang w:eastAsia="en-US"/>
        </w:rPr>
        <w:tab/>
        <w:t>ومن ناحية النسبة، فإن تمثيل المرأة في الفئة الإشرافية زاد من 14.1 في المائة عام 1994 إلى 17.5 في المائة عام 1998 عند مستوى الإدارة العليا ومن 16.7 في المائة إلى 20.4 في المائة عند مستوى الإدارة الوسطى. ولكن برغم هذا التقدُّم فما زالت الأرقام أبعد ما تكون عن تلبية الأهداف التي يتوخاها البرنامج.</w:t>
      </w:r>
    </w:p>
    <w:p w:rsidR="00000000" w:rsidRDefault="00000000">
      <w:pPr>
        <w:pStyle w:val="SingleTxt"/>
        <w:tabs>
          <w:tab w:val="clear" w:pos="1267"/>
          <w:tab w:val="left" w:pos="1628"/>
        </w:tabs>
        <w:ind w:left="1264" w:right="1264"/>
        <w:rPr>
          <w:rtl/>
          <w:lang w:eastAsia="en-US"/>
        </w:rPr>
      </w:pPr>
      <w:r>
        <w:rPr>
          <w:rtl/>
          <w:lang w:eastAsia="en-US"/>
        </w:rPr>
        <w:t>675 -</w:t>
      </w:r>
      <w:r>
        <w:rPr>
          <w:rtl/>
          <w:lang w:eastAsia="en-US"/>
        </w:rPr>
        <w:tab/>
        <w:t>وفي مجال الإنصاف التوظيفي في صناعة التشييد، فعند تنفيذ خطة علاج وضعتها لجنة التشييد في كيبيك، اعتمدت الحكومة أحكاما تنظيمية رئيسية لتعزيز فرص انخراط المرأة في صناعة التشييد والحفاظ على أعداد النساء في هذا القطاع بل وزيادتها.</w:t>
      </w:r>
    </w:p>
    <w:p w:rsidR="00000000" w:rsidRDefault="00000000">
      <w:pPr>
        <w:pStyle w:val="SingleTxt"/>
        <w:tabs>
          <w:tab w:val="clear" w:pos="1267"/>
          <w:tab w:val="left" w:pos="1628"/>
        </w:tabs>
        <w:ind w:left="1264" w:right="1264"/>
        <w:rPr>
          <w:rtl/>
          <w:lang w:eastAsia="en-US"/>
        </w:rPr>
      </w:pPr>
      <w:r>
        <w:rPr>
          <w:rtl/>
          <w:lang w:eastAsia="en-US"/>
        </w:rPr>
        <w:t>676 -</w:t>
      </w:r>
      <w:r>
        <w:rPr>
          <w:rtl/>
          <w:lang w:eastAsia="en-US"/>
        </w:rPr>
        <w:tab/>
        <w:t>ومنذ تشرين الثاني/نوفمبر 1997 ظلت لائحة تنسيب المستخدمين في صناعة التشييد تكفل للنساء المؤهلات أن يتم إحالتهن إلى أصحاب الأعمال في منطقة معيَّنة على أساس من الأولوية. وتم كذلك تعديل اللائحة المتعلقة بإصدار شهادات الكفاءة، وأصبح متاحا الآن إصدار شهادة كفاءة التدرُّب لامرأة لدى التأكيد بأن صاحب عمل ما على استعداد لتوظيفها دون حاجة إلى عددٍ مضمون من الساعات التي عملتها وهذا البند ييسر كذلك تجديد شهادة التدرُّب وكذلك شهادة كفاءة مزاولة المهنة.</w:t>
      </w:r>
    </w:p>
    <w:p w:rsidR="00000000" w:rsidRDefault="00000000">
      <w:pPr>
        <w:pStyle w:val="SingleTxt"/>
        <w:tabs>
          <w:tab w:val="clear" w:pos="1267"/>
          <w:tab w:val="left" w:pos="1628"/>
        </w:tabs>
        <w:ind w:left="1264" w:right="1264"/>
        <w:rPr>
          <w:rtl/>
          <w:lang w:eastAsia="en-US"/>
        </w:rPr>
      </w:pPr>
      <w:r>
        <w:rPr>
          <w:rtl/>
          <w:lang w:eastAsia="en-US"/>
        </w:rPr>
        <w:t>677 -</w:t>
      </w:r>
      <w:r>
        <w:rPr>
          <w:rtl/>
          <w:lang w:eastAsia="en-US"/>
        </w:rPr>
        <w:tab/>
        <w:t>وقد نجم عن هذه التغييرات أثر ملحوظ بالنسبة لفرص انخراط المرأة في صناعة التشييد وإن كان استبقاؤها وزيادة عدد المنخرطات في هذه الصناعة لم يقطعا حتى الآن شوطا بعيدا. ويشعر الأفراد المسؤولون عن التنفيذ أنه ينبغي أن يظل البرنامج قائما لمدة 10 سنوات. ومن ثم فإن هدف دمج واستبقاء 000 2 امرأة في مجال الصناعة يمكن تحقيقه في واقع الأمر بحلول سنة 2005.</w:t>
      </w:r>
    </w:p>
    <w:p w:rsidR="00000000" w:rsidRDefault="00000000">
      <w:pPr>
        <w:pStyle w:val="SingleTxt"/>
        <w:tabs>
          <w:tab w:val="clear" w:pos="1267"/>
          <w:tab w:val="left" w:pos="1628"/>
        </w:tabs>
        <w:ind w:left="1264" w:right="1264"/>
        <w:rPr>
          <w:rtl/>
          <w:lang w:eastAsia="en-US"/>
        </w:rPr>
      </w:pPr>
      <w:r>
        <w:rPr>
          <w:rtl/>
          <w:lang w:eastAsia="en-US"/>
        </w:rPr>
        <w:t>678 -</w:t>
      </w:r>
      <w:r>
        <w:rPr>
          <w:rtl/>
          <w:lang w:eastAsia="en-US"/>
        </w:rPr>
        <w:tab/>
        <w:t>ويُعد الالتزام التعاقدي مقياسا يتطلب من الشركات التي يعمل بها 100 أو أكثر من المستخدمين وتحصل على عقود أو منح حكومية بمبلغ 000 100 دولار أو أكثر، أن تنشئ برنامجاً لتكافؤ فرص الاستخدام لصالح المرأة والأقليات الواضحة والسكان الأصليين.</w:t>
      </w:r>
    </w:p>
    <w:p w:rsidR="00000000" w:rsidRDefault="00000000">
      <w:pPr>
        <w:pStyle w:val="SingleTxt"/>
        <w:tabs>
          <w:tab w:val="clear" w:pos="1267"/>
          <w:tab w:val="left" w:pos="1628"/>
        </w:tabs>
        <w:ind w:left="1264" w:right="1264"/>
        <w:rPr>
          <w:rtl/>
          <w:lang w:eastAsia="en-US"/>
        </w:rPr>
      </w:pPr>
      <w:r>
        <w:rPr>
          <w:rtl/>
          <w:lang w:eastAsia="en-US"/>
        </w:rPr>
        <w:t>679 -</w:t>
      </w:r>
      <w:r>
        <w:rPr>
          <w:rtl/>
          <w:lang w:eastAsia="en-US"/>
        </w:rPr>
        <w:tab/>
        <w:t>ومن بين 154 شركة كان ينطبق عليها برنامج الالتزام التعاقدي في 31 كانون الأول/ديسمبر 1997، قدمت 92 شركة تقريراً أوَّلياً في كانون الأول/ديسمبر 1998 يُتيح للجنة حقوق الإنسان والشباب أن ترسي أساسا يقوم عليه التحليل. وبرغم أن تلك السنوات كانت قد تميزت بانكماش كبير في سوق العمل(انخفاض بنسبة 7.5 في المائة في العاملين بالشركات المعنية ونسبة 4.9 في المائة استقطاعات في الوظائف من الفئات التي يستهدفها البرنامج) فقد ارتفع عدد الموظفات بنسبة 3.4 في المائة فضلاً عن زيادة كبيرة في النساء في المراكز الإدارية والمهنية (تتباين من 1 في المائة إلى 13 في المائة حسب القطاع المعني) وفي الوظائف الإشرافية (من 2 في المائة إلى 18 في المائة).</w:t>
      </w:r>
    </w:p>
    <w:p w:rsidR="00000000" w:rsidRDefault="00000000">
      <w:pPr>
        <w:pStyle w:val="SingleTxt"/>
        <w:tabs>
          <w:tab w:val="clear" w:pos="1267"/>
          <w:tab w:val="left" w:pos="1628"/>
        </w:tabs>
        <w:ind w:left="1264" w:right="1264"/>
        <w:rPr>
          <w:b/>
          <w:bCs/>
          <w:rtl/>
          <w:lang w:eastAsia="en-US"/>
        </w:rPr>
      </w:pPr>
    </w:p>
    <w:p w:rsidR="00000000" w:rsidRDefault="00000000">
      <w:pPr>
        <w:pStyle w:val="SingleTxt"/>
        <w:tabs>
          <w:tab w:val="clear" w:pos="1267"/>
          <w:tab w:val="left" w:pos="1628"/>
        </w:tabs>
        <w:ind w:left="1264" w:right="1264"/>
        <w:rPr>
          <w:b/>
          <w:bCs/>
          <w:rtl/>
          <w:lang w:eastAsia="en-US"/>
        </w:rPr>
      </w:pPr>
      <w:r>
        <w:rPr>
          <w:b/>
          <w:bCs/>
          <w:rtl/>
          <w:lang w:eastAsia="en-US"/>
        </w:rPr>
        <w:t>المادة 5: (أ)</w:t>
      </w:r>
    </w:p>
    <w:p w:rsidR="00000000" w:rsidRDefault="00000000">
      <w:pPr>
        <w:pStyle w:val="SingleTxt"/>
        <w:tabs>
          <w:tab w:val="clear" w:pos="1267"/>
          <w:tab w:val="left" w:pos="1628"/>
        </w:tabs>
        <w:ind w:left="1264" w:right="1264"/>
        <w:rPr>
          <w:rtl/>
          <w:lang w:eastAsia="en-US"/>
        </w:rPr>
      </w:pPr>
      <w:r>
        <w:rPr>
          <w:rtl/>
          <w:lang w:eastAsia="en-US"/>
        </w:rPr>
        <w:t>680 -</w:t>
      </w:r>
      <w:r>
        <w:rPr>
          <w:rtl/>
          <w:lang w:eastAsia="en-US"/>
        </w:rPr>
        <w:tab/>
        <w:t>ساعدت وزارة علاقات المواطنين والهجرة في كيبيك على تعزيز القيم التي تتبناها المقاطعة بشأن المساواة الجنسانية من خلال برامج استضافتها من أجل الإدماج الاجتماعي الاقتصادي وعملية “الفرْنسة” حيث الهدف الأخير متجه أساساً إلى النساء المهاجرات.</w:t>
      </w:r>
    </w:p>
    <w:p w:rsidR="00000000" w:rsidRDefault="00000000">
      <w:pPr>
        <w:pStyle w:val="SingleTxt"/>
        <w:tabs>
          <w:tab w:val="clear" w:pos="1267"/>
          <w:tab w:val="left" w:pos="1628"/>
        </w:tabs>
        <w:ind w:left="1264" w:right="1264"/>
        <w:rPr>
          <w:rtl/>
          <w:lang w:eastAsia="en-US"/>
        </w:rPr>
      </w:pPr>
      <w:r>
        <w:rPr>
          <w:rtl/>
          <w:lang w:eastAsia="en-US"/>
        </w:rPr>
        <w:t>681 -</w:t>
      </w:r>
      <w:r>
        <w:rPr>
          <w:rtl/>
          <w:lang w:eastAsia="en-US"/>
        </w:rPr>
        <w:tab/>
        <w:t>وتقصد الجوائز السنوية التي تمنحها وزارة التعليم (المسؤولة عن الشباب) إلى الإشادة بأعمال الذين طوَّروا مادة تعليمية رفيعة المستوى. وقد ظلت المسابقة تعقد على مستوى الثانويات لمدة 20 عاما ثم بدأت على المستوى الجامعي في عام 1997. ومن أبرز ما في هذا الشأن تعزيز المساواة الجنسانية حيث يصاحب ذلك منح كل فائز جائزة بمبلغ 000 3 دولار.</w:t>
      </w:r>
    </w:p>
    <w:p w:rsidR="00000000" w:rsidRDefault="00000000">
      <w:pPr>
        <w:pStyle w:val="SingleTxt"/>
        <w:tabs>
          <w:tab w:val="clear" w:pos="1267"/>
          <w:tab w:val="left" w:pos="1628"/>
        </w:tabs>
        <w:ind w:left="1264" w:right="1264"/>
        <w:rPr>
          <w:b/>
          <w:bCs/>
          <w:rtl/>
          <w:lang w:eastAsia="en-US"/>
        </w:rPr>
      </w:pPr>
      <w:r>
        <w:rPr>
          <w:b/>
          <w:bCs/>
          <w:rtl/>
          <w:lang w:eastAsia="en-US"/>
        </w:rPr>
        <w:t>المادة 5 (ب)</w:t>
      </w:r>
    </w:p>
    <w:p w:rsidR="00000000" w:rsidRDefault="00000000">
      <w:pPr>
        <w:pStyle w:val="SingleTxt"/>
        <w:tabs>
          <w:tab w:val="clear" w:pos="1267"/>
          <w:tab w:val="left" w:pos="1628"/>
        </w:tabs>
        <w:ind w:left="1264" w:right="1264"/>
        <w:rPr>
          <w:rtl/>
          <w:lang w:eastAsia="en-US"/>
        </w:rPr>
      </w:pPr>
      <w:r>
        <w:rPr>
          <w:rtl/>
          <w:lang w:eastAsia="en-US"/>
        </w:rPr>
        <w:t>682 -</w:t>
      </w:r>
      <w:r>
        <w:rPr>
          <w:rtl/>
          <w:lang w:eastAsia="en-US"/>
        </w:rPr>
        <w:tab/>
        <w:t>قانون عام 1997، الذي يقضي بأن يتم، في إطار قانون الإجراءات المدنية، اتخاذ أحد إجراءات الوساطة قبل نظر الموضوع في قضايا قانون الأسرة (</w:t>
      </w:r>
      <w:r>
        <w:rPr>
          <w:lang w:eastAsia="en-US"/>
        </w:rPr>
        <w:t>S.Q.1997,c.42</w:t>
      </w:r>
      <w:r>
        <w:rPr>
          <w:rtl/>
          <w:lang w:eastAsia="en-US"/>
        </w:rPr>
        <w:t>)، ينص على إنشاء برنامج للوساطة الأسرية يبدأ في أيلول/سبتمبر 1997. ويتم تعريف الوساطة الأسرية بوصفها وسيلة لحل المنازعات في سياق أزمة انهيار تحيق بالأسرة، وبمقتضاها يساعد وسيط محايد الأزواج بالتفاوض حول اتفاق مُنصف يتم التوصل إليه بموافقة حرة واعية من جانب الطرفين. والهدف الرئيسي من الوساطة هو التوصل إلى اتفاق قابل للتنفيذ خارج النطاق القضائي ويلبي احتياجات كل فرد في الأسرة. ومن ثم فإذا ما نجمت منازعة فإن الأزواج ممن لديهم أطفال يشاركون في دورة معلومات بشأن الوساطة قبل أن تُعرض القضية في المحكمة. وعليه، قد يقرر الطرفان مواصلة عملية الوساطة. ومن حق الزوجين الانخراط في عدد أقصاه 6 دورات من وساطة مجانية وصولا إلى الاتفاق بشأن الحضانة أو الزيارة أو حقوق الخروج للتنزه ومدفوعات الدعم واقتسام الأصول التي تحوزها الأسرة.</w:t>
      </w:r>
    </w:p>
    <w:p w:rsidR="00000000" w:rsidRDefault="00000000">
      <w:pPr>
        <w:pStyle w:val="SingleTxt"/>
        <w:tabs>
          <w:tab w:val="clear" w:pos="1267"/>
          <w:tab w:val="left" w:pos="1628"/>
        </w:tabs>
        <w:ind w:left="1264" w:right="1264"/>
        <w:rPr>
          <w:rtl/>
          <w:lang w:eastAsia="en-US"/>
        </w:rPr>
      </w:pPr>
      <w:r>
        <w:rPr>
          <w:rtl/>
          <w:lang w:eastAsia="en-US"/>
        </w:rPr>
        <w:t>683 -</w:t>
      </w:r>
      <w:r>
        <w:rPr>
          <w:rtl/>
          <w:lang w:eastAsia="en-US"/>
        </w:rPr>
        <w:tab/>
        <w:t>ويمكن إجراء استثناءات من العملية إذا ما كان واحد من الزوجين واقعاً تحت ضغط أو في ضوء عوامل خطيرة أخرى كالعنف الزواجي على سبيل المثال.</w:t>
      </w:r>
    </w:p>
    <w:p w:rsidR="00000000" w:rsidRDefault="00000000">
      <w:pPr>
        <w:pStyle w:val="SingleTxt"/>
        <w:tabs>
          <w:tab w:val="clear" w:pos="1267"/>
          <w:tab w:val="left" w:pos="1628"/>
        </w:tabs>
        <w:ind w:left="1264" w:right="1264"/>
        <w:rPr>
          <w:rtl/>
          <w:lang w:eastAsia="en-US"/>
        </w:rPr>
      </w:pPr>
      <w:r>
        <w:rPr>
          <w:rtl/>
          <w:lang w:eastAsia="en-US"/>
        </w:rPr>
        <w:t>684 -</w:t>
      </w:r>
      <w:r>
        <w:rPr>
          <w:rtl/>
          <w:lang w:eastAsia="en-US"/>
        </w:rPr>
        <w:tab/>
        <w:t>وفي مسائل قانون الأسرة، تعترف كيبيك بالمسؤولية المشتركة للوالدين نحو أطفالهما في جميع الحالات مما يعني بأنه يُراعى في تسوية المنازعات تكافؤ المصالح والالتزامات بين الأم والأب على السواء.</w:t>
      </w:r>
    </w:p>
    <w:p w:rsidR="00000000" w:rsidRDefault="00000000">
      <w:pPr>
        <w:pStyle w:val="SingleTxt"/>
        <w:tabs>
          <w:tab w:val="clear" w:pos="1267"/>
          <w:tab w:val="left" w:pos="1628"/>
        </w:tabs>
        <w:ind w:left="1264" w:right="1264"/>
        <w:rPr>
          <w:b/>
          <w:bCs/>
          <w:rtl/>
          <w:lang w:eastAsia="en-US"/>
        </w:rPr>
      </w:pPr>
    </w:p>
    <w:p w:rsidR="00000000" w:rsidRDefault="00000000">
      <w:pPr>
        <w:pStyle w:val="SingleTxt"/>
        <w:tabs>
          <w:tab w:val="clear" w:pos="1267"/>
          <w:tab w:val="left" w:pos="1628"/>
        </w:tabs>
        <w:ind w:left="1264" w:right="1264"/>
        <w:rPr>
          <w:b/>
          <w:bCs/>
          <w:rtl/>
          <w:lang w:eastAsia="en-US"/>
        </w:rPr>
      </w:pPr>
    </w:p>
    <w:p w:rsidR="00000000" w:rsidRDefault="00000000">
      <w:pPr>
        <w:pStyle w:val="SingleTxt"/>
        <w:tabs>
          <w:tab w:val="clear" w:pos="1267"/>
          <w:tab w:val="left" w:pos="1628"/>
        </w:tabs>
        <w:ind w:left="1264" w:right="1264"/>
        <w:rPr>
          <w:b/>
          <w:bCs/>
          <w:rtl/>
          <w:lang w:eastAsia="en-US"/>
        </w:rPr>
      </w:pPr>
      <w:r>
        <w:rPr>
          <w:b/>
          <w:bCs/>
          <w:rtl/>
          <w:lang w:eastAsia="en-US"/>
        </w:rPr>
        <w:t>المادة 7: المرأة في مجال السياسة والحياة العامة</w:t>
      </w:r>
    </w:p>
    <w:p w:rsidR="00000000" w:rsidRDefault="00000000">
      <w:pPr>
        <w:pStyle w:val="SingleTxt"/>
        <w:tabs>
          <w:tab w:val="clear" w:pos="1267"/>
          <w:tab w:val="left" w:pos="1628"/>
        </w:tabs>
        <w:ind w:left="1264" w:right="1264"/>
        <w:rPr>
          <w:rtl/>
          <w:lang w:eastAsia="en-US"/>
        </w:rPr>
      </w:pPr>
      <w:r>
        <w:rPr>
          <w:rtl/>
          <w:lang w:eastAsia="en-US"/>
        </w:rPr>
        <w:t>685 -</w:t>
      </w:r>
      <w:r>
        <w:rPr>
          <w:rtl/>
          <w:lang w:eastAsia="en-US"/>
        </w:rPr>
        <w:tab/>
        <w:t>على مستوى البلديات، ما زال عدد النساء في المواقع المنتخبة يزداد ببطء فيما ارتفعت النسبة المئوية للنساء في منصب رئيس البلدية من 8.9 في المائة إلى 9.4 في المائة بين عامي 1994 و 1997 كما زادت نسبة النساء في موقع مستشار البلدية من 19.5 في المائة إلى 21.7 في المائة (أنظر التذييل 2).</w:t>
      </w:r>
    </w:p>
    <w:p w:rsidR="00000000" w:rsidRDefault="00000000">
      <w:pPr>
        <w:pStyle w:val="SingleTxt"/>
        <w:tabs>
          <w:tab w:val="clear" w:pos="1267"/>
          <w:tab w:val="left" w:pos="1628"/>
        </w:tabs>
        <w:ind w:left="1264" w:right="1264"/>
        <w:rPr>
          <w:rtl/>
          <w:lang w:eastAsia="en-US"/>
        </w:rPr>
      </w:pPr>
      <w:r>
        <w:rPr>
          <w:rtl/>
          <w:lang w:eastAsia="en-US"/>
        </w:rPr>
        <w:t>686 -</w:t>
      </w:r>
      <w:r>
        <w:rPr>
          <w:rtl/>
          <w:lang w:eastAsia="en-US"/>
        </w:rPr>
        <w:tab/>
        <w:t>وعلى مسرح السياسة بالمقاطعة، فإن نسبة 18.4 في المائة من أعضاء الجمعية الوطنية في عام 1994 كانت من النساء، وهذا الرقم ارتفع ليصبح 20 في المائة عام 1997. وعن نفس السنوات، كانت نسبة النساء من وزراء الحكومة قد ارتفعت من 19 في المائة إلى 22.7 في المائة (أنظر التذييل 2).</w:t>
      </w:r>
    </w:p>
    <w:p w:rsidR="00000000" w:rsidRDefault="00000000">
      <w:pPr>
        <w:pStyle w:val="SingleTxt"/>
        <w:tabs>
          <w:tab w:val="clear" w:pos="1267"/>
          <w:tab w:val="left" w:pos="1628"/>
        </w:tabs>
        <w:ind w:left="1264" w:right="1264"/>
        <w:rPr>
          <w:rtl/>
          <w:lang w:eastAsia="en-US"/>
        </w:rPr>
      </w:pPr>
      <w:r>
        <w:rPr>
          <w:rtl/>
          <w:lang w:eastAsia="en-US"/>
        </w:rPr>
        <w:t>687 -</w:t>
      </w:r>
      <w:r>
        <w:rPr>
          <w:rtl/>
          <w:lang w:eastAsia="en-US"/>
        </w:rPr>
        <w:tab/>
        <w:t>وفي النظام المدرسي، بعد انتخابات 20 تشرين الثاني/نوفمبر 1994، ترأست نسبة 53 في المائة مجالس المدارس وكان هناك نسبة 46.4 في المائة من عضوات المجالس بما حقق التكافؤ الجنساني في هذه المواقع.</w:t>
      </w:r>
    </w:p>
    <w:p w:rsidR="00000000" w:rsidRDefault="00000000">
      <w:pPr>
        <w:pStyle w:val="SingleTxt"/>
        <w:tabs>
          <w:tab w:val="clear" w:pos="1267"/>
          <w:tab w:val="left" w:pos="1628"/>
        </w:tabs>
        <w:ind w:left="1264" w:right="1264"/>
        <w:rPr>
          <w:rtl/>
          <w:lang w:eastAsia="en-US"/>
        </w:rPr>
      </w:pPr>
      <w:r>
        <w:rPr>
          <w:rtl/>
          <w:lang w:eastAsia="en-US"/>
        </w:rPr>
        <w:t>688 -</w:t>
      </w:r>
      <w:r>
        <w:rPr>
          <w:rtl/>
          <w:lang w:eastAsia="en-US"/>
        </w:rPr>
        <w:tab/>
        <w:t>ومع التحرك صوب الأقلمة، نشأت بالتدريج هياكل محلية وإقليمية جديدة خلال عقد التسعينيات. وفي مجالس التنمية الإقليمية كانت النساء يمثلن 15.2 في المائة من أعضاء المجلس في عام 1994 بينما وصل الرقم في عام 1997 إلى 18 في المائة. كما أن النساء في المجالس الإقليمية للخدمات الصحية والاجتماعية شكلن 33.8 في المائة من أعضاء المجالس عام 1994 ثم توقف المعدل عام 1997 عند نسبة 36.9 في المائة (أنظر التذييل 2). وفي عام 1997 كانت المرأة تمثل 41.1 في المائة من أعضاء المجالس في المنشآت المسؤولة عن تقديم الرعاية الصحية والخدمات الاجتماعية على المستوى المحلي.</w:t>
      </w:r>
    </w:p>
    <w:p w:rsidR="00000000" w:rsidRDefault="00000000">
      <w:pPr>
        <w:pStyle w:val="SingleTxt"/>
        <w:tabs>
          <w:tab w:val="clear" w:pos="1267"/>
          <w:tab w:val="left" w:pos="1628"/>
        </w:tabs>
        <w:ind w:left="1264" w:right="1264"/>
        <w:rPr>
          <w:rtl/>
          <w:lang w:eastAsia="en-US"/>
        </w:rPr>
      </w:pPr>
      <w:r>
        <w:rPr>
          <w:rtl/>
          <w:lang w:eastAsia="en-US"/>
        </w:rPr>
        <w:t>689 -</w:t>
      </w:r>
      <w:r>
        <w:rPr>
          <w:rtl/>
          <w:lang w:eastAsia="en-US"/>
        </w:rPr>
        <w:tab/>
        <w:t>وفي القطاع العام، ارتفع بصورة ملحوظة تمثيل المرأة في مناصب المديرين بين نيسان/أبريل 1994 (21.8 في المائة) وآذار/مارس 1998 (28.5 في المائة) وبصورة خاصة، طرأت زيادة على عدد نائبات الوزير (من 14.3 في المائة إلى 27.6 في المائة) وكذلك في مساعدات ومعاونات نائب الوزير (من 12 في المائة إلى 25.7 في المائة). وبصفة عامة أصبحت المرأة تمثل ربع جميع مناصب المدير التنفيذي، وهي في طريقها إلى أن تُشكِّل نسبة الثلث وذلك بفضل العزم الوطيد من جانب الحكومة في هذا المضمار (أنظر التذييل 3).</w:t>
      </w:r>
    </w:p>
    <w:p w:rsidR="00000000" w:rsidRDefault="00000000">
      <w:pPr>
        <w:pStyle w:val="SingleTxt"/>
        <w:tabs>
          <w:tab w:val="clear" w:pos="1267"/>
          <w:tab w:val="left" w:pos="1628"/>
        </w:tabs>
        <w:ind w:left="1264" w:right="1264"/>
        <w:rPr>
          <w:rtl/>
          <w:lang w:eastAsia="en-US"/>
        </w:rPr>
      </w:pPr>
      <w:r>
        <w:rPr>
          <w:rtl/>
          <w:lang w:eastAsia="en-US"/>
        </w:rPr>
        <w:t>690 -</w:t>
      </w:r>
      <w:r>
        <w:rPr>
          <w:rtl/>
          <w:lang w:eastAsia="en-US"/>
        </w:rPr>
        <w:tab/>
        <w:t>وتحققت مكتسبات فيما يتعلق بوجود المرأة على منصة القضاء. وبصفة إجمالية فإن نسبة القاضيات كانت 11.8 في المائة عام 1994 فيما وقف الرقم عام 1997 عند 16.1 في المائة. وفي محاكم البلديات ارتفعت النسبة من 6 في المائة إلى 11 في المائة وفي محكمة كيبيك ارتفعت من 12 في المائة إلى 18 في المائة. وفي المحكمة الأعلى ارتفعت من نحو 12 في المائة إلى 18 في المائة. أما نسبة القاضيات في محكمة الاستئناف فقد ظلت ثابتة عند 25 في المائة (انظر التذييل 4).</w:t>
      </w:r>
    </w:p>
    <w:p w:rsidR="00000000" w:rsidRDefault="00000000">
      <w:pPr>
        <w:pStyle w:val="SingleTxt"/>
        <w:tabs>
          <w:tab w:val="clear" w:pos="1267"/>
          <w:tab w:val="left" w:pos="1628"/>
        </w:tabs>
        <w:ind w:left="1264" w:right="1264"/>
        <w:rPr>
          <w:b/>
          <w:bCs/>
          <w:rtl/>
          <w:lang w:eastAsia="en-US"/>
        </w:rPr>
      </w:pPr>
      <w:r>
        <w:rPr>
          <w:b/>
          <w:bCs/>
          <w:rtl/>
          <w:lang w:eastAsia="en-US"/>
        </w:rPr>
        <w:t>المادة 8: المرأة في مجال التمثيل الدولي</w:t>
      </w:r>
    </w:p>
    <w:p w:rsidR="00000000" w:rsidRDefault="00000000">
      <w:pPr>
        <w:pStyle w:val="SingleTxt"/>
        <w:tabs>
          <w:tab w:val="clear" w:pos="1267"/>
        </w:tabs>
        <w:ind w:left="1264" w:right="1264"/>
        <w:rPr>
          <w:rtl/>
          <w:lang w:eastAsia="en-US"/>
        </w:rPr>
      </w:pPr>
      <w:r>
        <w:rPr>
          <w:rtl/>
          <w:lang w:eastAsia="en-US"/>
        </w:rPr>
        <w:t>691 -</w:t>
      </w:r>
      <w:r>
        <w:rPr>
          <w:rtl/>
          <w:lang w:eastAsia="en-US"/>
        </w:rPr>
        <w:tab/>
        <w:t>شاركت كيبيك في جميع خطوات انعقاد مؤتمر القمة العالمي الرابع المعني بالمرأة (بيجين، الصين، أيلول/سبتمبر 1995). واتخذت مساهمة المقاطعة الشكل التالي: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المشاركة في الاجتماعات التمهيدية التي عقدتها منظمة الدول الناطقة بالفرنسية الفرانكوفون (نواكشوط، موريتانيا، تموز/يوليه 1994 و داكار، السنغال تشرين الثاني/نوفمبر 1994) وقد نظمت تحت إشراف وكالة التعاون الثقافي والتقني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المشاركة، كجزء من وفد كندا، في الاجتماع التحضيري الإقليمي بين أوروبا وأمريكا الشمالية (فيينا، النمسا تشرين الأول/أكتوبر 1994)</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 xml:space="preserve">إعداد تقرير بعنوان “استراتيجيات كيبيك من أجل المرأة </w:t>
      </w:r>
      <w:r>
        <w:rPr>
          <w:lang w:eastAsia="en-US"/>
        </w:rPr>
        <w:t>–</w:t>
      </w:r>
      <w:r>
        <w:rPr>
          <w:rtl/>
          <w:lang w:eastAsia="en-US"/>
        </w:rPr>
        <w:t xml:space="preserve"> نظرة عامة ونتائج وتوقعات 1985 </w:t>
      </w:r>
      <w:r>
        <w:rPr>
          <w:lang w:eastAsia="en-US"/>
        </w:rPr>
        <w:t>–</w:t>
      </w:r>
      <w:r>
        <w:rPr>
          <w:rtl/>
          <w:lang w:eastAsia="en-US"/>
        </w:rPr>
        <w:t xml:space="preserve"> 2000”. مع تقديم هذا التقرير إلى الأمم المتحدة بواسطة كندا ثم توزيعه على الوفود الحكومية في مؤتمر بيجين فضلا عن وكالات الأمم المتحدة.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الحضور ضمن الوفد الكندي لبعثة كيبيك المؤلَفة من 6 أعضاء برئاسة الوزير المسؤول عن وضع المرأة في مؤتمر بيجين</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نشر وتوزيع أولويات واستراتيجيات كيبيك من أجل تلك المناسبة بثلاث لغات (الفرنسية والإنكليزية والأسبانية.)</w:t>
      </w:r>
    </w:p>
    <w:p w:rsidR="00000000" w:rsidRDefault="00000000">
      <w:pPr>
        <w:pStyle w:val="SingleTxt"/>
        <w:tabs>
          <w:tab w:val="clear" w:pos="1267"/>
        </w:tabs>
        <w:ind w:left="1264" w:right="1264"/>
        <w:rPr>
          <w:lang w:eastAsia="en-US"/>
        </w:rPr>
      </w:pPr>
      <w:r>
        <w:rPr>
          <w:rtl/>
          <w:lang w:eastAsia="en-US"/>
        </w:rPr>
        <w:t>692 -</w:t>
      </w:r>
      <w:r>
        <w:rPr>
          <w:rtl/>
          <w:lang w:eastAsia="en-US"/>
        </w:rPr>
        <w:tab/>
        <w:t>وبين عامي 1994 و 1998 شاركت أمانة وضع المرأة في فعاليات دولية تعالج موضوعات مختلفة ذات صلة: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ندوة اليونسكو الدولية المعنونة “المرأة ووسائل الإعلام: الفرص المتاحة للتعبير وصنع القرار” (تورنتو، كندا نيسان/أبريل 1994)</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مؤتمر منظمة التعاون والتنمية في الميدان الاقتصادي بشان النساء القائمات بتنظيم المشاريع في المشاريع الصغيرة والمتوسطة الحجم: قوة رئيسية في الابتكار وخلق فرص العمل (باريس، فرنسا، نيسان/أبريل 1997)؛</w:t>
      </w:r>
    </w:p>
    <w:p w:rsidR="00000000" w:rsidRDefault="00000000">
      <w:pPr>
        <w:pStyle w:val="SingleTxt"/>
        <w:tabs>
          <w:tab w:val="clear" w:pos="1267"/>
          <w:tab w:val="left" w:pos="1486"/>
        </w:tabs>
        <w:ind w:left="1927" w:right="1264" w:hanging="663"/>
        <w:rPr>
          <w:lang w:eastAsia="en-US"/>
        </w:rPr>
      </w:pPr>
      <w:r>
        <w:rPr>
          <w:rtl/>
          <w:lang w:eastAsia="en-US"/>
        </w:rPr>
        <w:tab/>
        <w:t>•</w:t>
      </w:r>
      <w:r>
        <w:rPr>
          <w:rtl/>
          <w:lang w:eastAsia="en-US"/>
        </w:rPr>
        <w:tab/>
        <w:t>المؤتمر الوزاري الأوروبي الرابع المعني بالمساواة بين المرأة والرجل (اسطنبول، تركيا، تشرين الثاني/نوفمبر 1997)</w:t>
      </w:r>
    </w:p>
    <w:p w:rsidR="00000000" w:rsidRDefault="00000000">
      <w:pPr>
        <w:pStyle w:val="SingleTxt"/>
        <w:tabs>
          <w:tab w:val="clear" w:pos="1267"/>
        </w:tabs>
        <w:ind w:left="1264" w:right="1264"/>
        <w:rPr>
          <w:rtl/>
          <w:lang w:eastAsia="en-US"/>
        </w:rPr>
      </w:pPr>
      <w:r>
        <w:rPr>
          <w:rtl/>
          <w:lang w:eastAsia="en-US"/>
        </w:rPr>
        <w:t>693 -</w:t>
      </w:r>
      <w:r>
        <w:rPr>
          <w:rtl/>
          <w:lang w:eastAsia="en-US"/>
        </w:rPr>
        <w:tab/>
        <w:t>ثم جاءت مشاركة كيبيك في مؤتمر بيجين لتسلط الأضواء على فائدة المناقشات التي جرت مع الحكومات الأخرى بشأن الاستراتيجيات المبتكرة أو التكميلية المتعلقة بقضايا المرأة، أو مع الدوائر التي يحدوها الأمل في أن تفيد من معارفنا في هذا المجال. كما أكدت التجربة الحاجة إلى توثيق عمليات رصد الاتجاهات الدولية وإجراء تقييم لما يترتب عليها من نتائج بالنسبة لسياستنا.</w:t>
      </w:r>
    </w:p>
    <w:p w:rsidR="00000000" w:rsidRDefault="00000000">
      <w:pPr>
        <w:pStyle w:val="SingleTxt"/>
        <w:tabs>
          <w:tab w:val="clear" w:pos="1267"/>
        </w:tabs>
        <w:ind w:left="1264" w:right="1264"/>
        <w:rPr>
          <w:rtl/>
          <w:lang w:eastAsia="en-US"/>
        </w:rPr>
      </w:pPr>
      <w:r>
        <w:rPr>
          <w:rtl/>
          <w:lang w:eastAsia="en-US"/>
        </w:rPr>
        <w:t>694 -</w:t>
      </w:r>
      <w:r>
        <w:rPr>
          <w:rtl/>
          <w:lang w:eastAsia="en-US"/>
        </w:rPr>
        <w:tab/>
        <w:t xml:space="preserve">وعلية، قامت كيبيك بين عامي 1996 و 1998 بإيفاد فرق عمل إلى المغرب وفرنسا وتونس ووقَّعت اتفاقاً مع الأخيرة بشأن برنامج للتعاون مدته 5 سنوات 1998 </w:t>
      </w:r>
      <w:r>
        <w:rPr>
          <w:lang w:eastAsia="en-US"/>
        </w:rPr>
        <w:t>–</w:t>
      </w:r>
      <w:r>
        <w:rPr>
          <w:rtl/>
          <w:lang w:eastAsia="en-US"/>
        </w:rPr>
        <w:t xml:space="preserve"> 2002) يتعلق بحقوق المرأة وأحوالها المعيشية.</w:t>
      </w:r>
    </w:p>
    <w:p w:rsidR="00000000" w:rsidRDefault="00000000">
      <w:pPr>
        <w:pStyle w:val="SingleTxt"/>
        <w:tabs>
          <w:tab w:val="clear" w:pos="1267"/>
        </w:tabs>
        <w:ind w:left="1264" w:right="1264"/>
        <w:rPr>
          <w:rtl/>
          <w:lang w:eastAsia="en-US"/>
        </w:rPr>
      </w:pPr>
      <w:r>
        <w:rPr>
          <w:rtl/>
          <w:lang w:eastAsia="en-US"/>
        </w:rPr>
        <w:t>695 -</w:t>
      </w:r>
      <w:r>
        <w:rPr>
          <w:rtl/>
          <w:lang w:eastAsia="en-US"/>
        </w:rPr>
        <w:tab/>
        <w:t>ومن نيسان/أبريل 1994 إلى آذار/مارس 1998 استضاف مكتب وضع المرأة 23 وفدا من عدد كبير متنوع من البلدان ومنها بالذات تايلاند واليابان وبلجيكا وروسيا وهايتي وبنن ورواندا وتونس والمغرب وقد أعربت جميعا عن الاهتمام بمناقشة قضايا المرأة.</w:t>
      </w:r>
    </w:p>
    <w:p w:rsidR="00000000" w:rsidRDefault="00000000">
      <w:pPr>
        <w:pStyle w:val="SingleTxt"/>
        <w:tabs>
          <w:tab w:val="clear" w:pos="1267"/>
        </w:tabs>
        <w:ind w:left="1264" w:right="1264"/>
        <w:rPr>
          <w:rtl/>
          <w:lang w:eastAsia="en-US"/>
        </w:rPr>
      </w:pPr>
      <w:r>
        <w:rPr>
          <w:rtl/>
          <w:lang w:eastAsia="en-US"/>
        </w:rPr>
        <w:t>696 -</w:t>
      </w:r>
      <w:r>
        <w:rPr>
          <w:rtl/>
          <w:lang w:eastAsia="en-US"/>
        </w:rPr>
        <w:tab/>
        <w:t xml:space="preserve">كما اضطلعت وزارة العلاقات الدولية بحكم مشاركتها في برنامج العمل للفترة 1997 </w:t>
      </w:r>
      <w:r>
        <w:rPr>
          <w:lang w:eastAsia="en-US"/>
        </w:rPr>
        <w:t>–</w:t>
      </w:r>
      <w:r>
        <w:rPr>
          <w:rtl/>
          <w:lang w:eastAsia="en-US"/>
        </w:rPr>
        <w:t xml:space="preserve"> 2000 بما يلي: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تعزيز خبرة المقاطعة بشأن قضايا المرأة على الصعيد الدولي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 xml:space="preserve">دعم مشاركة المرأة في كيبيك في مؤسسات البلدان الأخرى وفي الهيئات الدولية المتعددة الأطراف </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رصد التغيرات التي تطرأ على الاتجاهات الدولية التي يمكن أن تؤثر على سياسات كيبيك بشأن قضايا المرأة</w:t>
      </w:r>
    </w:p>
    <w:p w:rsidR="00000000" w:rsidRDefault="00000000">
      <w:pPr>
        <w:pStyle w:val="SingleTxt"/>
        <w:tabs>
          <w:tab w:val="clear" w:pos="1267"/>
        </w:tabs>
        <w:ind w:left="1264" w:right="1264"/>
        <w:rPr>
          <w:b/>
          <w:bCs/>
          <w:rtl/>
          <w:lang w:eastAsia="en-US"/>
        </w:rPr>
      </w:pPr>
      <w:r>
        <w:rPr>
          <w:b/>
          <w:bCs/>
          <w:rtl/>
          <w:lang w:eastAsia="en-US"/>
        </w:rPr>
        <w:t>المادة 10: التعليم</w:t>
      </w:r>
    </w:p>
    <w:p w:rsidR="00000000" w:rsidRDefault="00000000">
      <w:pPr>
        <w:pStyle w:val="SingleTxt"/>
        <w:tabs>
          <w:tab w:val="clear" w:pos="1267"/>
        </w:tabs>
        <w:ind w:left="1264" w:right="1264"/>
        <w:rPr>
          <w:rtl/>
          <w:lang w:eastAsia="en-US"/>
        </w:rPr>
      </w:pPr>
      <w:r>
        <w:rPr>
          <w:rtl/>
          <w:lang w:eastAsia="en-US"/>
        </w:rPr>
        <w:t>697 -</w:t>
      </w:r>
      <w:r>
        <w:rPr>
          <w:rtl/>
          <w:lang w:eastAsia="en-US"/>
        </w:rPr>
        <w:tab/>
        <w:t>في ميادين التعليم والتدريب، استمرت الزيادة في عدد النساء الحاصلات على درجات علمية في كيبيك بين عامي 1994 و 1998 على جميع المستويات، بل إن النساء شكلن في الواقع أغلبية الطلاب في المعاهد ومستويات الجامعة والدراسات العليا</w:t>
      </w:r>
    </w:p>
    <w:p w:rsidR="00000000" w:rsidRDefault="00000000">
      <w:pPr>
        <w:pStyle w:val="SingleTxt"/>
        <w:tabs>
          <w:tab w:val="clear" w:pos="1267"/>
        </w:tabs>
        <w:ind w:left="1264" w:right="1264"/>
        <w:rPr>
          <w:b/>
          <w:bCs/>
          <w:rtl/>
          <w:lang w:eastAsia="en-US"/>
        </w:rPr>
      </w:pPr>
      <w:r>
        <w:rPr>
          <w:b/>
          <w:bCs/>
          <w:rtl/>
          <w:lang w:eastAsia="en-US"/>
        </w:rPr>
        <w:t>المادة 10 (أ): الحصول على الدراسات</w:t>
      </w:r>
    </w:p>
    <w:p w:rsidR="00000000" w:rsidRDefault="00000000">
      <w:pPr>
        <w:pStyle w:val="SingleTxt"/>
        <w:tabs>
          <w:tab w:val="clear" w:pos="1267"/>
        </w:tabs>
        <w:ind w:left="1264" w:right="1264"/>
        <w:rPr>
          <w:rtl/>
          <w:lang w:eastAsia="en-US"/>
        </w:rPr>
      </w:pPr>
      <w:r>
        <w:rPr>
          <w:rtl/>
          <w:lang w:eastAsia="en-US"/>
        </w:rPr>
        <w:t>698 -</w:t>
      </w:r>
      <w:r>
        <w:rPr>
          <w:rtl/>
          <w:lang w:eastAsia="en-US"/>
        </w:rPr>
        <w:tab/>
        <w:t>ومع ذلك فإن التفصيل حسب نوع الجنس يتباين كثيرا طبقا لميدان الدراسة؛ فثمة زيادة مفرطة في التمثيل في المجالات التقليدية كالعلوم الاجتماعية والصحة والتعليم والآداب والفنون مع قصور في التمثيل في العلوم التطبيقية ولاسيما الهندسة وعلوم الحاسوب والفيزياء وتجهيز البيانات (أنظر التذييلين 5 و 6)</w:t>
      </w:r>
    </w:p>
    <w:p w:rsidR="00000000" w:rsidRDefault="00000000">
      <w:pPr>
        <w:pStyle w:val="SingleTxt"/>
        <w:tabs>
          <w:tab w:val="clear" w:pos="1267"/>
        </w:tabs>
        <w:ind w:left="1264" w:right="1264"/>
        <w:rPr>
          <w:rtl/>
          <w:lang w:eastAsia="en-US"/>
        </w:rPr>
      </w:pPr>
      <w:r>
        <w:rPr>
          <w:rtl/>
          <w:lang w:eastAsia="en-US"/>
        </w:rPr>
        <w:t>699 -</w:t>
      </w:r>
      <w:r>
        <w:rPr>
          <w:rtl/>
          <w:lang w:eastAsia="en-US"/>
        </w:rPr>
        <w:tab/>
        <w:t xml:space="preserve">ولكفالة أن تكون المرأة على بينة من أحدث الاتجاهات الاقتصادية الرئيسية، وأن تكفل لها الفرصة لشغل وظائف مجزية الراتب وذات مستقبل في ظل المشاركة الكاملة في الاقتصاد القائم على المعارف، اضطلعت الحكومة بمشروع يرمي إلى دعم ومواصلة التقدم الذي أحرزته المرأة في كيبيك في مجالات العلم والتكنولوجيا، وهو واحد من ثلاثة مشاريع للتعبئة تُشِّكل جزءاً من خطة العمل للفترة 1997 </w:t>
      </w:r>
      <w:r>
        <w:rPr>
          <w:lang w:eastAsia="en-US"/>
        </w:rPr>
        <w:t>–</w:t>
      </w:r>
      <w:r>
        <w:rPr>
          <w:rtl/>
          <w:lang w:eastAsia="en-US"/>
        </w:rPr>
        <w:t>2000 للمرأة في جميع أنحاء كيبيك.</w:t>
      </w:r>
    </w:p>
    <w:p w:rsidR="00000000" w:rsidRDefault="00000000">
      <w:pPr>
        <w:pStyle w:val="SingleTxt"/>
        <w:tabs>
          <w:tab w:val="clear" w:pos="1267"/>
        </w:tabs>
        <w:ind w:left="1264" w:right="1264"/>
        <w:rPr>
          <w:rtl/>
          <w:lang w:eastAsia="en-US"/>
        </w:rPr>
      </w:pPr>
      <w:r>
        <w:rPr>
          <w:rtl/>
          <w:lang w:eastAsia="en-US"/>
        </w:rPr>
        <w:t>700 -</w:t>
      </w:r>
      <w:r>
        <w:rPr>
          <w:rtl/>
          <w:lang w:eastAsia="en-US"/>
        </w:rPr>
        <w:tab/>
        <w:t>ولتنفيذ هذا المشروع، تم تشكيل لجنة وزارية في ربيع عام 1997 تضم الوزارات والوكالات التي تشارك مباشرة أكثر من غيرها بحكم اختصاصها في التعامل مع المشكلة، وفي اتباع النُهج المتوخاة في هذا الصدد وسوف تقدِّم اللجنة خطة عمل حكومية تستهدف تحسين الأوضاع.</w:t>
      </w:r>
    </w:p>
    <w:p w:rsidR="00000000" w:rsidRDefault="00000000">
      <w:pPr>
        <w:pStyle w:val="SingleTxt"/>
        <w:tabs>
          <w:tab w:val="clear" w:pos="1267"/>
        </w:tabs>
        <w:ind w:left="1264" w:right="1264"/>
        <w:rPr>
          <w:rtl/>
          <w:lang w:eastAsia="en-US"/>
        </w:rPr>
      </w:pPr>
      <w:r>
        <w:rPr>
          <w:rtl/>
          <w:lang w:eastAsia="en-US"/>
        </w:rPr>
        <w:t>701 -</w:t>
      </w:r>
      <w:r>
        <w:rPr>
          <w:rtl/>
          <w:lang w:eastAsia="en-US"/>
        </w:rPr>
        <w:tab/>
        <w:t>وفيما يتعلق بالمهن غير التقليدية نفذت وزارة التعليم تدابير مختلفة لتعزيز الخيارات المهنية المتاحة للفتاة والمرأة. وفي عام 1995 وبالتعاون مع دوائر التجارة والأعمال والوزارات الراعية الأخرى أعادت وزارة التعليم مسابقة “رفع القُبعة تحية للبنات” التي تقدِّم منحاً تتراوح بين 500 دولار و 000 1دولار للفائزات على مستوى إقليمي ممن يكن مستحقات لعدد من الجوائز على مستوى المقاطعة ومن ذلك مثلا البعثات الداخلية وفترات التدريب الخارجية المدفوعة. وتعلن أسماء الفائزات في احتفال عام مما يساعد على إزالة المقاومة التي تواجهها عمليات الانخراط في حِرف ومهن غير تقليدية.</w:t>
      </w:r>
    </w:p>
    <w:p w:rsidR="00000000" w:rsidRDefault="00000000">
      <w:pPr>
        <w:pStyle w:val="SingleTxt"/>
        <w:tabs>
          <w:tab w:val="clear" w:pos="1267"/>
        </w:tabs>
        <w:ind w:left="1264" w:right="1264"/>
        <w:rPr>
          <w:szCs w:val="32"/>
          <w:rtl/>
          <w:lang w:eastAsia="en-US"/>
        </w:rPr>
      </w:pPr>
      <w:r>
        <w:rPr>
          <w:b/>
          <w:bCs/>
          <w:szCs w:val="32"/>
          <w:rtl/>
          <w:lang w:eastAsia="en-US"/>
        </w:rPr>
        <w:t>المادة 10 (هـ): برامج الفرص المتماثلة لمحو أمية الكبار ومحو الأمية الوظيفي</w:t>
      </w:r>
    </w:p>
    <w:p w:rsidR="00000000" w:rsidRDefault="00000000">
      <w:pPr>
        <w:pStyle w:val="SingleTxt"/>
        <w:tabs>
          <w:tab w:val="clear" w:pos="1267"/>
        </w:tabs>
        <w:ind w:left="1264" w:right="1264"/>
        <w:rPr>
          <w:rtl/>
          <w:lang w:eastAsia="en-US"/>
        </w:rPr>
      </w:pPr>
      <w:r>
        <w:rPr>
          <w:rtl/>
          <w:lang w:eastAsia="en-US"/>
        </w:rPr>
        <w:t>702 -</w:t>
      </w:r>
      <w:r>
        <w:rPr>
          <w:rtl/>
          <w:lang w:eastAsia="en-US"/>
        </w:rPr>
        <w:tab/>
        <w:t xml:space="preserve">بفضل مساهمة مالية بمبلغ 000 300 دولار (موزعة على سنتين) ومقدمة من وزارة الثقافة والاتصالات في كيبيك من خلال صندوق طريق المعلومات الإلكتروني، تم تنفيذ مشروع الشبكة النسائية في الفترة 1997 </w:t>
      </w:r>
      <w:r>
        <w:rPr>
          <w:lang w:eastAsia="en-US"/>
        </w:rPr>
        <w:t>–</w:t>
      </w:r>
      <w:r>
        <w:rPr>
          <w:rtl/>
          <w:lang w:eastAsia="en-US"/>
        </w:rPr>
        <w:t xml:space="preserve"> 1998. وشملت أهداف المشروع إنشاء موقع على الشبكة العالمية يشكل في وقت واحد مركزا للموارد وموقعا للقاء مع تدريب النساء على استخدام التكنولوجيات الجديدة في مجال المعلومات والاتصالات. ويتصدر الشبكة المذكورة مركز التوثيق المعني بتعليم الكبار ووضع المرأة بالمشاركة مع سبع جماعات نسائية على مستوى المقاطعة تضم عدة آلاف من العضوات، فضلاً عن تجمُّع البحوث النسائية في كيبيك وهو منظمة تضم أكثر من 100 من الباحثات من الجامعات والمجتمع المحلي والقطاعات الحكومية.</w:t>
      </w:r>
    </w:p>
    <w:p w:rsidR="00000000" w:rsidRDefault="00000000">
      <w:pPr>
        <w:pStyle w:val="SingleTxt"/>
        <w:tabs>
          <w:tab w:val="clear" w:pos="1267"/>
        </w:tabs>
        <w:ind w:left="1264" w:right="1264"/>
        <w:rPr>
          <w:b/>
          <w:bCs/>
          <w:szCs w:val="32"/>
          <w:rtl/>
          <w:lang w:eastAsia="en-US"/>
        </w:rPr>
      </w:pPr>
    </w:p>
    <w:p w:rsidR="00000000" w:rsidRDefault="00000000">
      <w:pPr>
        <w:pStyle w:val="SingleTxt"/>
        <w:tabs>
          <w:tab w:val="clear" w:pos="1267"/>
        </w:tabs>
        <w:ind w:left="1264" w:right="1264"/>
        <w:rPr>
          <w:b/>
          <w:bCs/>
          <w:szCs w:val="32"/>
          <w:rtl/>
          <w:lang w:eastAsia="en-US"/>
        </w:rPr>
      </w:pPr>
    </w:p>
    <w:p w:rsidR="00000000" w:rsidRDefault="00000000">
      <w:pPr>
        <w:pStyle w:val="SingleTxt"/>
        <w:tabs>
          <w:tab w:val="clear" w:pos="1267"/>
        </w:tabs>
        <w:ind w:left="1264" w:right="1264"/>
        <w:rPr>
          <w:b/>
          <w:bCs/>
          <w:szCs w:val="32"/>
          <w:rtl/>
          <w:lang w:eastAsia="en-US"/>
        </w:rPr>
      </w:pPr>
      <w:r>
        <w:rPr>
          <w:b/>
          <w:bCs/>
          <w:szCs w:val="32"/>
          <w:rtl/>
          <w:lang w:eastAsia="en-US"/>
        </w:rPr>
        <w:t>المادة 10 (ز)</w:t>
      </w:r>
    </w:p>
    <w:p w:rsidR="00000000" w:rsidRDefault="00000000">
      <w:pPr>
        <w:pStyle w:val="SingleTxt"/>
        <w:tabs>
          <w:tab w:val="clear" w:pos="1267"/>
        </w:tabs>
        <w:ind w:left="1264" w:right="1264"/>
        <w:rPr>
          <w:rtl/>
          <w:lang w:eastAsia="en-US"/>
        </w:rPr>
      </w:pPr>
      <w:r>
        <w:rPr>
          <w:rtl/>
          <w:lang w:eastAsia="en-US"/>
        </w:rPr>
        <w:t>703 -</w:t>
      </w:r>
      <w:r>
        <w:rPr>
          <w:rtl/>
          <w:lang w:eastAsia="en-US"/>
        </w:rPr>
        <w:tab/>
        <w:t>في عام 1998 نشرت وزارة الشؤون البلدية ورقة دراسية بعنوان “الشباب والنشاط الجسماني: سبب للانشغال أو للانزعاج” وهي موجَّهة لمدرسي التربية البدنية ومعلمي الألعاب الرياضية العاملين مع الشباب. وتولي الوثيقة اهتماما خاصا بحالة الفتيات.</w:t>
      </w:r>
    </w:p>
    <w:p w:rsidR="00000000" w:rsidRDefault="00000000">
      <w:pPr>
        <w:pStyle w:val="SingleTxt"/>
        <w:tabs>
          <w:tab w:val="clear" w:pos="1267"/>
        </w:tabs>
        <w:ind w:left="1264" w:right="1264"/>
        <w:rPr>
          <w:rtl/>
          <w:lang w:eastAsia="en-US"/>
        </w:rPr>
      </w:pPr>
      <w:r>
        <w:rPr>
          <w:rtl/>
          <w:lang w:eastAsia="en-US"/>
        </w:rPr>
        <w:t>704 -</w:t>
      </w:r>
      <w:r>
        <w:rPr>
          <w:rtl/>
          <w:lang w:eastAsia="en-US"/>
        </w:rPr>
        <w:tab/>
        <w:t xml:space="preserve">ولدى الالتحاق بالمدرسة الثانوية في كيبيك اقتصر الأمر على نسبة 46 في المائة فقط من الفتيات ممن انخرطن بانتظام في النشاط البدني بالمقارنة مع 68 في المائة للفتيان. وتمضي الفتيات المراهقات البالغات من العمر 12 </w:t>
      </w:r>
      <w:r>
        <w:rPr>
          <w:lang w:eastAsia="en-US"/>
        </w:rPr>
        <w:t>–</w:t>
      </w:r>
      <w:r>
        <w:rPr>
          <w:rtl/>
          <w:lang w:eastAsia="en-US"/>
        </w:rPr>
        <w:t xml:space="preserve"> 17 سنة 4 ساعات أسبوعيا في المتوسط في مزاولة النشاط البدني مقابل 9 ساعات للفتيان من نفس العمر.</w:t>
      </w:r>
    </w:p>
    <w:p w:rsidR="00000000" w:rsidRDefault="00000000">
      <w:pPr>
        <w:pStyle w:val="SingleTxt"/>
        <w:tabs>
          <w:tab w:val="clear" w:pos="1267"/>
        </w:tabs>
        <w:ind w:left="1264" w:right="1264"/>
        <w:rPr>
          <w:rtl/>
          <w:lang w:eastAsia="en-US"/>
        </w:rPr>
      </w:pPr>
      <w:r>
        <w:rPr>
          <w:rtl/>
          <w:lang w:eastAsia="en-US"/>
        </w:rPr>
        <w:t>705 -</w:t>
      </w:r>
      <w:r>
        <w:rPr>
          <w:rtl/>
          <w:lang w:eastAsia="en-US"/>
        </w:rPr>
        <w:tab/>
        <w:t xml:space="preserve">ونجم عن ورقة الدراسة حملة توعية كُبرى لمدة عامين (1998 </w:t>
      </w:r>
      <w:r>
        <w:rPr>
          <w:lang w:eastAsia="en-US"/>
        </w:rPr>
        <w:t>–</w:t>
      </w:r>
      <w:r>
        <w:rPr>
          <w:rtl/>
          <w:lang w:eastAsia="en-US"/>
        </w:rPr>
        <w:t xml:space="preserve"> 2000) رامية إلى مواجهة الخمول والسمنة بين الشابات. ولسوف يتعاون في هذا المسعى وكالة كينو </w:t>
      </w:r>
      <w:r>
        <w:rPr>
          <w:lang w:eastAsia="en-US"/>
        </w:rPr>
        <w:t>–</w:t>
      </w:r>
      <w:r>
        <w:rPr>
          <w:rtl/>
          <w:lang w:eastAsia="en-US"/>
        </w:rPr>
        <w:t xml:space="preserve"> كيبيك، وهي وكالة تابعة لوزارة الشؤون البلدية مع اتحاد مُدرسي ومدرسات التربية البدنية في كيبيك ومع اتحاد الألعاب الرياضية للطلاب في كيبيك.</w:t>
      </w:r>
    </w:p>
    <w:p w:rsidR="00000000" w:rsidRDefault="00000000">
      <w:pPr>
        <w:pStyle w:val="SingleTxt"/>
        <w:tabs>
          <w:tab w:val="clear" w:pos="1267"/>
        </w:tabs>
        <w:ind w:left="1264" w:right="1264"/>
        <w:rPr>
          <w:b/>
          <w:bCs/>
          <w:szCs w:val="32"/>
          <w:rtl/>
          <w:lang w:eastAsia="en-US"/>
        </w:rPr>
      </w:pPr>
      <w:r>
        <w:rPr>
          <w:b/>
          <w:bCs/>
          <w:szCs w:val="32"/>
          <w:rtl/>
          <w:lang w:eastAsia="en-US"/>
        </w:rPr>
        <w:t>المادة 11: العمالة</w:t>
      </w:r>
    </w:p>
    <w:p w:rsidR="00000000" w:rsidRDefault="00000000">
      <w:pPr>
        <w:pStyle w:val="SingleTxt"/>
        <w:tabs>
          <w:tab w:val="clear" w:pos="1267"/>
        </w:tabs>
        <w:ind w:left="1264" w:right="1264"/>
        <w:rPr>
          <w:rtl/>
          <w:lang w:eastAsia="en-US"/>
        </w:rPr>
      </w:pPr>
      <w:r>
        <w:rPr>
          <w:rtl/>
          <w:lang w:eastAsia="en-US"/>
        </w:rPr>
        <w:t>706 -</w:t>
      </w:r>
      <w:r>
        <w:rPr>
          <w:rtl/>
          <w:lang w:eastAsia="en-US"/>
        </w:rPr>
        <w:tab/>
        <w:t>في سوق العمل ينمو وجود المرأة كقوة اقتصادية، لا بوصفها من العاملين المؤهلين، ولكن بوصفها من القائمين على تنظيم المشاريع. ومنذ عام 1992 ظل معدل مشاركة المرأة في النشاط الاقتصادي مستقراً نسبيا عند نسبة 54 في المائة.</w:t>
      </w:r>
    </w:p>
    <w:p w:rsidR="00000000" w:rsidRDefault="00000000">
      <w:pPr>
        <w:pStyle w:val="SingleTxt"/>
        <w:tabs>
          <w:tab w:val="clear" w:pos="1267"/>
        </w:tabs>
        <w:ind w:left="1264" w:right="1264"/>
        <w:rPr>
          <w:rtl/>
          <w:lang w:eastAsia="en-US"/>
        </w:rPr>
      </w:pPr>
      <w:r>
        <w:rPr>
          <w:rtl/>
          <w:lang w:eastAsia="en-US"/>
        </w:rPr>
        <w:t>707 -</w:t>
      </w:r>
      <w:r>
        <w:rPr>
          <w:rtl/>
          <w:lang w:eastAsia="en-US"/>
        </w:rPr>
        <w:tab/>
        <w:t>ومن عام 1994 إلى عام 1997، انخفض رقم بطالة المرأة بصورة طفيفة من 11.3 في المائة إلى 10.8 في المائة ولكنه ظل أدنى من نظيره عند الرجل الذي توقف عند نسبة 11.9 في المائة. ومع ذلك فقد ارتفعت فترة البطالة حيث زاد المتوسط بالنسبة للمرأة من 24.8 من الأسابيع إلى 27.8 من الأسابيع برغم أن هذا الرقم ظل دون الرقم المتوسط للرجل الذي كان 34.5 من الأسابيع في عام 1997.</w:t>
      </w:r>
    </w:p>
    <w:p w:rsidR="00000000" w:rsidRDefault="00000000">
      <w:pPr>
        <w:pStyle w:val="SingleTxt"/>
        <w:tabs>
          <w:tab w:val="clear" w:pos="1267"/>
        </w:tabs>
        <w:ind w:left="1264" w:right="1264"/>
        <w:rPr>
          <w:rtl/>
          <w:lang w:eastAsia="en-US"/>
        </w:rPr>
      </w:pPr>
      <w:r>
        <w:rPr>
          <w:rtl/>
          <w:lang w:eastAsia="en-US"/>
        </w:rPr>
        <w:t>708 -</w:t>
      </w:r>
      <w:r>
        <w:rPr>
          <w:rtl/>
          <w:lang w:eastAsia="en-US"/>
        </w:rPr>
        <w:tab/>
        <w:t>وما زالت النساء يعملن في عدد محدود من القطاعات. ففي عام 1996 كان ثمة ما يقرب من 25 في المائة من قوة العمل النسائية مركَّزة في خمس مهن فقط هي السكرتير وكاتب المبيعات والصراف وكاتب الحسابات والممرض. وهذا التركيز أقل بكثير مما هو ملحوظ بين صفوف الرجال (12 في المائة). وفضلاً عن ذلك كانت الوظائف الرئيسية الخمس التي تشغلها النساء أقل بصورة عامة من حيث الأجر المجزي من تلك التي يهيمن عليها الرجال.</w:t>
      </w:r>
    </w:p>
    <w:p w:rsidR="00000000" w:rsidRDefault="00000000">
      <w:pPr>
        <w:pStyle w:val="SingleTxt"/>
        <w:tabs>
          <w:tab w:val="clear" w:pos="1267"/>
        </w:tabs>
        <w:ind w:left="1264" w:right="1264"/>
        <w:rPr>
          <w:rtl/>
          <w:lang w:eastAsia="en-US"/>
        </w:rPr>
      </w:pPr>
      <w:r>
        <w:rPr>
          <w:rtl/>
          <w:lang w:eastAsia="en-US"/>
        </w:rPr>
        <w:t>709 -</w:t>
      </w:r>
      <w:r>
        <w:rPr>
          <w:rtl/>
          <w:lang w:eastAsia="en-US"/>
        </w:rPr>
        <w:tab/>
        <w:t>وفي الوقت نفسه، فبين عامي 1994 و 1997 طرأ نمو على عدد النساء في المزيد من الوظائف غير المستقرة. ومن ذلك مثلا الاستخدام بدوام جزئي والاستخدام المؤقت أو بعقود ثم الاستخدام لحساب الذات.</w:t>
      </w:r>
    </w:p>
    <w:p w:rsidR="00000000" w:rsidRDefault="00000000">
      <w:pPr>
        <w:pStyle w:val="SingleTxt"/>
        <w:tabs>
          <w:tab w:val="clear" w:pos="1267"/>
        </w:tabs>
        <w:ind w:left="1264" w:right="1264"/>
        <w:rPr>
          <w:rtl/>
          <w:lang w:eastAsia="en-US"/>
        </w:rPr>
      </w:pPr>
      <w:r>
        <w:rPr>
          <w:rtl/>
          <w:lang w:eastAsia="en-US"/>
        </w:rPr>
        <w:t>710 -</w:t>
      </w:r>
      <w:r>
        <w:rPr>
          <w:rtl/>
          <w:lang w:eastAsia="en-US"/>
        </w:rPr>
        <w:tab/>
        <w:t>وبين عام 1994 و عام 1997، شغلت نسبة كبيرة متزايدة من قوة العمل النسائية أعمالا بدوام جزئي حيث انطوى الأمر على عدد متزايد بصورة تناسبية من النساء في هذه النوعية من العمل. وفي عام 1997، شغلت نسبة 27.3 في المائة من الوظائف نساء لبعض الوقت مقابل 25.6 في المائة في عام 1994. وفي المقابل ظل الموقف بالنسبة للرجل ثابتا عند معدل منخفض بصورة ملحوظة بلغ 10 في المائة.</w:t>
      </w:r>
    </w:p>
    <w:p w:rsidR="00000000" w:rsidRDefault="00000000">
      <w:pPr>
        <w:pStyle w:val="SingleTxt"/>
        <w:tabs>
          <w:tab w:val="clear" w:pos="1267"/>
        </w:tabs>
        <w:ind w:left="1264" w:right="1264"/>
        <w:rPr>
          <w:rtl/>
          <w:lang w:eastAsia="en-US"/>
        </w:rPr>
      </w:pPr>
      <w:r>
        <w:rPr>
          <w:rtl/>
          <w:lang w:eastAsia="en-US"/>
        </w:rPr>
        <w:t>711 -</w:t>
      </w:r>
      <w:r>
        <w:rPr>
          <w:rtl/>
          <w:lang w:eastAsia="en-US"/>
        </w:rPr>
        <w:tab/>
        <w:t>وبين عامي 1994 إلى 1997 ظلت أرقام الاستخدام لحساب الذات ترتفع. وشكَّلت المرأة ما يقرب من ثلث المستخدَمين لحساب الذات وشكَّلت زيادة في هذه النوعية من العمل بنفس النسبة. هذا ويُعد وضع المرأة المستخدَمة لحساب الذات مماثلا لنظرائها ممن يتقاضون مرتبات، بمعنى أن عددا أكبر بصورة متناسبة من النساء يشغلن أعمالا بدوام جزئي ويكسبن دخلا أقل من نظرائهن الذكور (70 في المائة من النساء مقابل 28 في المائة من الرجال ويتقاضين أقل من 000 10 دولار سنويا). ويُقدَّر أن 43 في المائة من المُستخدَمات لحساب الذات يعملن لبعض الوقت فيما يصدق هذا على 14.3 في المائة فقط من الرجال المستخدَمين لحساب الذات. ومتوسط الدخل لجميع النساء ممن يشكِّل الاستخدام لحساب الذات نشاطا تجاريا رئيسيا أو ثانويا لهن يقل بنسبة 40 في المائة عن الرجال في نفس الوضعية وهذا التناقض يزداد باطراد مع العمر.</w:t>
      </w:r>
    </w:p>
    <w:p w:rsidR="00000000" w:rsidRDefault="00000000">
      <w:pPr>
        <w:pStyle w:val="SingleTxt"/>
        <w:tabs>
          <w:tab w:val="clear" w:pos="1267"/>
        </w:tabs>
        <w:ind w:left="1264" w:right="1264"/>
        <w:rPr>
          <w:rtl/>
          <w:lang w:eastAsia="en-US"/>
        </w:rPr>
      </w:pPr>
      <w:r>
        <w:rPr>
          <w:rtl/>
          <w:lang w:eastAsia="en-US"/>
        </w:rPr>
        <w:t>712 -</w:t>
      </w:r>
      <w:r>
        <w:rPr>
          <w:rtl/>
          <w:lang w:eastAsia="en-US"/>
        </w:rPr>
        <w:tab/>
        <w:t>وقد تولت وزارة الاستخدام والتضامن ووزارة العمل تشكيل لجنة لتدارس مشكلة الاستخدام لحساب الذات، وقدمت اللجنة تقريرها في تشرين الثاني/نوفمبر 1997. وبعدها تابعت الحكومة مداولاتها من خلال استحداث لجنتين فرعيتين للعمل إحداهما معنية بمركز الاستخدام لحساب الذات وبالضرائب والأخرى معنية بتقديم الدعم لعملية تنظيم المشاريع والعمالة والتنمية الوظيفية.</w:t>
      </w:r>
    </w:p>
    <w:p w:rsidR="00000000" w:rsidRDefault="00000000">
      <w:pPr>
        <w:pStyle w:val="SingleTxt"/>
        <w:tabs>
          <w:tab w:val="clear" w:pos="1267"/>
        </w:tabs>
        <w:ind w:left="1264" w:right="1264"/>
        <w:rPr>
          <w:rtl/>
          <w:lang w:eastAsia="en-US"/>
        </w:rPr>
      </w:pPr>
      <w:r>
        <w:rPr>
          <w:rtl/>
          <w:lang w:eastAsia="en-US"/>
        </w:rPr>
        <w:t>713 -</w:t>
      </w:r>
      <w:r>
        <w:rPr>
          <w:rtl/>
          <w:lang w:eastAsia="en-US"/>
        </w:rPr>
        <w:tab/>
        <w:t xml:space="preserve">وقرب نهاية خطة العمل للفترة 1997 </w:t>
      </w:r>
      <w:r>
        <w:rPr>
          <w:lang w:eastAsia="en-US"/>
        </w:rPr>
        <w:t>–</w:t>
      </w:r>
      <w:r>
        <w:rPr>
          <w:rtl/>
          <w:lang w:eastAsia="en-US"/>
        </w:rPr>
        <w:t xml:space="preserve"> 2000 للمرأة في جميع أنحاء كيبيك، تم إنشاء قوة عمل حكومية معنية بالنساء القائمات على تنظيم المشاريع في نيسان/أبريل 1997. وقدمت هذه الهيئة تقريرها بعنوان “النساء القائمات على تنظيم المشاريع” في تشرين الثاني/نوفمبر من نفس السنة وتهدف توصيات التقرير أساسا إلى تيسير سُبل تقديم التمويل للنساء من القائمات على تنظيم المشاريع إضافة إلى سُبل التواصل والمعلومات. ولتنفيذ هذه التوصيات، عملت وزارة الصناعة والتجارة والعلم والتكنولوجيا على إضفاء تغييرات إدارية تمت على المستوى الإقليمي لمساعدة النساء على الإفادة من خدمات الوزارة. كما أعلنت الحكومة عن إنشاء فريق استشاري معني بتنظيم المشاريع لإسداء المشورة بشأن أفضل السُبل التي يتم اتباعها في هذا المضمار.</w:t>
      </w:r>
    </w:p>
    <w:p w:rsidR="00000000" w:rsidRDefault="00000000">
      <w:pPr>
        <w:pStyle w:val="SingleTxt"/>
        <w:tabs>
          <w:tab w:val="clear" w:pos="1267"/>
        </w:tabs>
        <w:ind w:left="1264" w:right="1264"/>
        <w:rPr>
          <w:rtl/>
          <w:lang w:eastAsia="en-US"/>
        </w:rPr>
      </w:pPr>
      <w:r>
        <w:rPr>
          <w:rtl/>
          <w:lang w:eastAsia="en-US"/>
        </w:rPr>
        <w:t>714 -</w:t>
      </w:r>
      <w:r>
        <w:rPr>
          <w:rtl/>
          <w:lang w:eastAsia="en-US"/>
        </w:rPr>
        <w:tab/>
        <w:t>وبرغم سيادة مناخ اقتصادي غير موات، فإن عدد الأعمال التجارية التي تديرها النساء زاد بصورة مرموقة. ففي عام 1994 كان هناك شركة واحدة تقريبا من بين ثلاث شركات تديرها امرأة، وفي عام 1991 كانت النسبة واحدة إلى أربع. وعبر نفس الفترة، كان معدل نمو الوظائف في الشركات التي تديرها نساء هو 13.6 في المائة. وفي عام 1994 أتاحت هذه المشاريع عدداً يصل إلى 200 358 وظيفة ومع ذلك فما زالت النساء المسؤولات عن تنظيم المشاريع يعملن أساسا في قطاع الخدمات التقليدية.</w:t>
      </w:r>
    </w:p>
    <w:p w:rsidR="00000000" w:rsidRDefault="00000000">
      <w:pPr>
        <w:pStyle w:val="SingleTxt"/>
        <w:tabs>
          <w:tab w:val="clear" w:pos="1267"/>
        </w:tabs>
        <w:ind w:left="1264" w:right="1264"/>
        <w:rPr>
          <w:rtl/>
          <w:lang w:eastAsia="en-US"/>
        </w:rPr>
      </w:pPr>
      <w:r>
        <w:rPr>
          <w:rtl/>
          <w:lang w:eastAsia="en-US"/>
        </w:rPr>
        <w:t>715 -</w:t>
      </w:r>
      <w:r>
        <w:rPr>
          <w:rtl/>
          <w:lang w:eastAsia="en-US"/>
        </w:rPr>
        <w:tab/>
        <w:t>ويمثِّل الحصول على الائتمان إحدى العقبات الرئيسية التي تصادفها النساء من القائمات على تنظيم المشاريع. وثمة أوجه ملحوظة من التضارب في هذا المجال بين القائمين على تنظيم المشاريع من النساء والرجال. وقد أوضح البحث العلمي أن الشركات التي تديرها نساء تقترض من المؤسسات المالية مبالغ أقل في كثير من الأحيان من تلك التي يديرها الرجال. كذلك فعندما تتقدم هذه النوعية من النساء طلبا للتمويل تُرفَض طلباتهن في حالات أكثر بكثير من حالات الرجال (23 في المائة مقابل 14 في المائة). والمؤسسات المالية تطلب من النساء اللائي يملكن مشاريعهن تقديم ضمان أو تأمين أو رهن مقابل في حالات أكثر بكثير مما يُطلب من نُظرائهن الرجال (74 في المائة مقابل 64 في المائة). وفي الغالب الأرجح أيضا يُطلب إلى المرأة أن تقدِّم توقيعا لزوج شريك على قرض (25 في المائة) أكثر مما يُطلب من الرجل (13 في المائة) وكثيرا ما يدفعن فائدة أعلى.</w:t>
      </w:r>
    </w:p>
    <w:p w:rsidR="00000000" w:rsidRDefault="00000000">
      <w:pPr>
        <w:pStyle w:val="SingleTxt"/>
        <w:tabs>
          <w:tab w:val="clear" w:pos="1267"/>
        </w:tabs>
        <w:ind w:left="1264" w:right="1264"/>
        <w:rPr>
          <w:rtl/>
          <w:lang w:eastAsia="en-US"/>
        </w:rPr>
      </w:pPr>
      <w:r>
        <w:rPr>
          <w:rtl/>
          <w:lang w:eastAsia="en-US"/>
        </w:rPr>
        <w:t>716 -</w:t>
      </w:r>
      <w:r>
        <w:rPr>
          <w:rtl/>
          <w:lang w:eastAsia="en-US"/>
        </w:rPr>
        <w:tab/>
        <w:t>في ضوء هذه الحقائق، أنتجت وزارة الصناعة والتجارة في عام 1998 شريط فيديو بعنوان “استعداداً لقرض” في إطار جهد لتيسير الاجتماعات مع المصرفيين. وهذه الأداة يصاحبها دليل بلغة مبسطة حافل بالأمثلة التي تُصوِّر المفاهيم السائدة وتجعل المصطلحات المالية أكثر فهما وتتيح لمستخدميه صياغة سليمة لطلباتهم واستعداداً أفضل للمفاوضات التي يدخلون فيها.</w:t>
      </w:r>
    </w:p>
    <w:p w:rsidR="00000000" w:rsidRDefault="00000000">
      <w:pPr>
        <w:pStyle w:val="SingleTxt"/>
        <w:tabs>
          <w:tab w:val="clear" w:pos="1267"/>
        </w:tabs>
        <w:ind w:left="1264" w:right="1264"/>
        <w:rPr>
          <w:rtl/>
          <w:lang w:eastAsia="en-US"/>
        </w:rPr>
      </w:pPr>
      <w:r>
        <w:rPr>
          <w:rtl/>
          <w:lang w:eastAsia="en-US"/>
        </w:rPr>
        <w:t>717 -</w:t>
      </w:r>
      <w:r>
        <w:rPr>
          <w:rtl/>
          <w:lang w:eastAsia="en-US"/>
        </w:rPr>
        <w:tab/>
        <w:t>وفيما يتعلق بمعايير العمل في مقاطعة كيبيك، ارتفع الحد الأدنى لأجور العمل بالساعة من 6 دولارات في 1 تشرين الأول/أكتوبر 1994 إلى 6.80 من الدولارات في 1 تشرين الأول/أكتوبر 1997 أي بنسبة 13 في المائة في ثلاث سنوات. وعبر الفترة نفسها، ارتفع المعدل بالساعة لكاسبي الإكراميات من 5.8 من الدولارات إلى 6.05 من الدولارات وهي زيادة كبيرة تبلغ نحو 15 في المائة. وهذه الزيادات تمثِّل مكسبا ضخما للمرأة باعتبار أن الأخيرة كانت تمثِّل نسبة 61 في المائة في آذار/مارس 1998 من كاسبي الحد الأدنى للأجور البالغ عددهم 000 137 فرد على مستوى المقاطعة.</w:t>
      </w:r>
    </w:p>
    <w:p w:rsidR="00000000" w:rsidRDefault="00000000">
      <w:pPr>
        <w:pStyle w:val="SingleTxt"/>
        <w:tabs>
          <w:tab w:val="clear" w:pos="1267"/>
        </w:tabs>
        <w:ind w:left="1264" w:right="1264"/>
        <w:rPr>
          <w:rtl/>
          <w:lang w:eastAsia="en-US"/>
        </w:rPr>
      </w:pPr>
      <w:r>
        <w:rPr>
          <w:rtl/>
          <w:lang w:eastAsia="en-US"/>
        </w:rPr>
        <w:t>718 -</w:t>
      </w:r>
      <w:r>
        <w:rPr>
          <w:rtl/>
          <w:lang w:eastAsia="en-US"/>
        </w:rPr>
        <w:tab/>
        <w:t>كما تحسَّنت ظروف العمل لعمال المنازل المقيمين بها. فبين عامي 1994 و 1997 ارتفع الحد الأدنى لتعويض الأجر الأسبوعي من 233 دولارا إلى 264 دولارا. كما تم تخفيض وقت العمل الأسبوعي الاعتيادي من 53 ساعة إلى 49 ساعة. وفضلا عن ذلك فمنذ 1 شباط/فبراير 1998 لم يعد بمقدور أرباب العمل أن يطلبوا من عمال المنازل المقيمين أن يدفعوا مقابل الإقامة والإعاشة، مما أدى بالتالي إلى مزيد من تحسين ظروف العمل لهؤلاء المستخدَمين.</w:t>
      </w:r>
    </w:p>
    <w:p w:rsidR="00000000" w:rsidRDefault="00000000">
      <w:pPr>
        <w:pStyle w:val="SingleTxt"/>
        <w:tabs>
          <w:tab w:val="clear" w:pos="1267"/>
        </w:tabs>
        <w:ind w:left="1264" w:right="1264"/>
        <w:rPr>
          <w:rtl/>
          <w:lang w:eastAsia="en-US"/>
        </w:rPr>
      </w:pPr>
      <w:r>
        <w:rPr>
          <w:rtl/>
          <w:lang w:eastAsia="en-US"/>
        </w:rPr>
        <w:t>719 -</w:t>
      </w:r>
      <w:r>
        <w:rPr>
          <w:rtl/>
          <w:lang w:eastAsia="en-US"/>
        </w:rPr>
        <w:tab/>
        <w:t>وفي 21 تشرين الثاني/نوفمبر 1996 أصدرت حكومة كيبيك قانون المساواة في الأجر (</w:t>
      </w:r>
      <w:r>
        <w:rPr>
          <w:lang w:eastAsia="en-US"/>
        </w:rPr>
        <w:t>S.Q. 1996, c. 43</w:t>
      </w:r>
      <w:r>
        <w:rPr>
          <w:rtl/>
          <w:lang w:eastAsia="en-US"/>
        </w:rPr>
        <w:t>) الذي دخل حيِّز النفاذ في 21 تشرين الثاني/نوفمبر 1997.</w:t>
      </w:r>
    </w:p>
    <w:p w:rsidR="00000000" w:rsidRDefault="00000000">
      <w:pPr>
        <w:pStyle w:val="SingleTxt"/>
        <w:tabs>
          <w:tab w:val="clear" w:pos="1267"/>
        </w:tabs>
        <w:ind w:left="1264" w:right="1264"/>
        <w:rPr>
          <w:rtl/>
          <w:lang w:eastAsia="en-US"/>
        </w:rPr>
      </w:pPr>
      <w:r>
        <w:rPr>
          <w:rtl/>
          <w:lang w:eastAsia="en-US"/>
        </w:rPr>
        <w:t>720 -</w:t>
      </w:r>
      <w:r>
        <w:rPr>
          <w:rtl/>
          <w:lang w:eastAsia="en-US"/>
        </w:rPr>
        <w:tab/>
        <w:t>ويتمثل الغرض من القانون في “معالجة أوجه الاختلاف في التعويضات التي ترجع إلى التمييز الجنساني المنتظم الذي يعانيه الأفراد الذين يشغلون وظائف في فئات العمل التي تهيمن عليها الإناث” وينطبق هذا على أي شركة في القطاعين الخاص أو العام التي تضم عشرة موظفين أو أكثر.</w:t>
      </w:r>
    </w:p>
    <w:p w:rsidR="00000000" w:rsidRDefault="00000000">
      <w:pPr>
        <w:pStyle w:val="SingleTxt"/>
        <w:tabs>
          <w:tab w:val="clear" w:pos="1267"/>
        </w:tabs>
        <w:ind w:left="1264" w:right="1264"/>
        <w:rPr>
          <w:rtl/>
          <w:lang w:eastAsia="en-US"/>
        </w:rPr>
      </w:pPr>
      <w:r>
        <w:rPr>
          <w:rtl/>
          <w:lang w:eastAsia="en-US"/>
        </w:rPr>
        <w:t>721 -</w:t>
      </w:r>
      <w:r>
        <w:rPr>
          <w:rtl/>
          <w:lang w:eastAsia="en-US"/>
        </w:rPr>
        <w:tab/>
        <w:t>وهذا التشريع يشمل أحكاما تفصيلية لتنفيذ عملية المساواة في الأجر وينص على مشاركة الموظفين وعلى كيفية إقرار برنامج للمساواة في الأجور للشركات التي تستخدم 50 موظفا أو أكثر.</w:t>
      </w:r>
    </w:p>
    <w:p w:rsidR="00000000" w:rsidRDefault="00000000">
      <w:pPr>
        <w:pStyle w:val="SingleTxt"/>
        <w:tabs>
          <w:tab w:val="clear" w:pos="1267"/>
        </w:tabs>
        <w:ind w:left="1264" w:right="1264"/>
        <w:rPr>
          <w:rtl/>
          <w:lang w:eastAsia="en-US"/>
        </w:rPr>
      </w:pPr>
      <w:r>
        <w:rPr>
          <w:rtl/>
          <w:lang w:eastAsia="en-US"/>
        </w:rPr>
        <w:t>722 -</w:t>
      </w:r>
      <w:r>
        <w:rPr>
          <w:rtl/>
          <w:lang w:eastAsia="en-US"/>
        </w:rPr>
        <w:tab/>
        <w:t>أما مجلس المساواة في الأجر الذي تم إنشاؤه بموجب القانون فيطرح طائفة متنوعة من الأدوات يضعها تحت تصرف أرباب العمل لمساعدتهم فيما يبذلونه من جهود. وأمام أرباب العمل مهلة حتى 21 تشرين الثاني/نوفمبر 2001 لكي يقرروا ما إذا كان الأمر يتطلب تعديلات في التعويضات المدفوعة، وأمامهم حتى 21 تشرين الثاني/نوفمبر 2005 لتقريرما إذا كانوا يدفعون هذه التسويات (في أقساط سنوية متساوية). وفي الأجل الطويل، يؤمل أن يتيح قانون المساواة في الأجر إزالة ذلك الجزء من هوَّة الأجور بما يصل إلى النصف وهو الناجم عن التمييز المنتظم (حيث أن الجزء الآخر يُعزى إلى عوامل من قبيل أقدمية المرأة وخبرتها وانخفاض المستوى التعليمي وانخفاض معدل الالتحاق بالنقابات). وبين عامي 1995 و 1997، وهي السنوات الثلاث التي تتوافر عنها إحصاءات، كانت نسبة متوسط ما تتقاضاه المرأة في كيبيك التي تعمل طول الوقت على مدار السنة تحوم حول 75 في المائة من النسبة التي كان يتقاضاها الرجل.</w:t>
      </w:r>
    </w:p>
    <w:p w:rsidR="00000000" w:rsidRDefault="00000000">
      <w:pPr>
        <w:pStyle w:val="SingleTxt"/>
        <w:tabs>
          <w:tab w:val="clear" w:pos="1267"/>
        </w:tabs>
        <w:ind w:left="1264" w:right="1264"/>
        <w:rPr>
          <w:lang w:eastAsia="en-US"/>
        </w:rPr>
      </w:pPr>
      <w:r>
        <w:rPr>
          <w:rtl/>
          <w:lang w:eastAsia="en-US"/>
        </w:rPr>
        <w:t>723 -</w:t>
      </w:r>
      <w:r>
        <w:rPr>
          <w:rtl/>
          <w:lang w:eastAsia="en-US"/>
        </w:rPr>
        <w:tab/>
        <w:t>وعلى مدى السنوات الـعشرين الأخيرة، وفي أعقاب حالات الركود الاقتصادي والتغيُّرات التي طرأت على السوق والصناعة، ظل شبح الفقر مُخيما على كيبيك برغم مواصلة جهود الحكومة من أجل تخفيف حدة المشكلة. وثمة فئات معيَّنة من السكان هي التي أصبحت وبقيت تعاني الفقر بصورة أرجح مما تعانيه فئات غيرها. وفي هذا الصدد، ما زالت حالة المرأة موضعا للانشغال. وفي عام 1996، وطبقا لإحصاءات كندا لمحدِّدات الدخل المنخفض بعد الضرائب</w:t>
      </w:r>
      <w:r>
        <w:rPr>
          <w:rStyle w:val="FootnoteReference"/>
          <w:rtl/>
          <w:lang w:eastAsia="en-US"/>
        </w:rPr>
        <w:footnoteReference w:customMarkFollows="1" w:id="3"/>
        <w:t>(1)</w:t>
      </w:r>
      <w:r>
        <w:rPr>
          <w:rtl/>
          <w:lang w:eastAsia="en-US"/>
        </w:rPr>
        <w:t xml:space="preserve"> (على أساس عام 1992) فإن نسبة 42.1 في المائة تقريبا من النساء دون الخامسة والستين يقمن بمفردهن ويعشن دون نقطة محدِّدات الدخل المنخفض مقابل نسبة 36.2 في المائة للرجال. وهذا التضارب يتفاقم بالنسبة لمن بلغوا الخامسة والستين وما بعدها حيث نسبتا المعدَّلَين المعنيين هما 47.7 في المائة و 27.4 في المائة، كما تُقدَّر نسبة الإناث ممن يضطلعن بدور الوالد الوحيد في إطار محدِّد الدخل المنخفض بأنها 41 في المائة.</w:t>
      </w:r>
    </w:p>
    <w:p w:rsidR="00000000" w:rsidRDefault="00000000">
      <w:pPr>
        <w:pStyle w:val="SingleTxt"/>
        <w:tabs>
          <w:tab w:val="clear" w:pos="1267"/>
        </w:tabs>
        <w:ind w:left="1264" w:right="1264"/>
        <w:rPr>
          <w:rtl/>
          <w:lang w:eastAsia="en-US"/>
        </w:rPr>
      </w:pPr>
      <w:r>
        <w:rPr>
          <w:rtl/>
          <w:lang w:eastAsia="en-US"/>
        </w:rPr>
        <w:t>724 -</w:t>
      </w:r>
      <w:r>
        <w:rPr>
          <w:rtl/>
          <w:lang w:eastAsia="en-US"/>
        </w:rPr>
        <w:tab/>
        <w:t>وقد أوضح تعداد كندا الأخير الذي أجري في عام 1996 أن أسر الوالد الوحيد كانت تشكِّل 16 في المائة من جميع الأسر في كيبيك و 82 في المائة من هذه الأسر كانت ترأسها امرأة (بعد التفصيل، كانت النساء هن في الغالب الأعم من يحصلن على حضانة الأطفال). ولكن بين عامي 1991 و 1996 طرأت زيادة طفيفة في عدد أسر الوالد الوحيد التي يرأسها رجال (أنظر التذييل 7).</w:t>
      </w:r>
    </w:p>
    <w:p w:rsidR="00000000" w:rsidRDefault="00000000">
      <w:pPr>
        <w:pStyle w:val="SingleTxt"/>
        <w:tabs>
          <w:tab w:val="clear" w:pos="1267"/>
        </w:tabs>
        <w:ind w:left="1264" w:right="1264"/>
        <w:rPr>
          <w:rtl/>
          <w:lang w:eastAsia="en-US"/>
        </w:rPr>
      </w:pPr>
      <w:r>
        <w:rPr>
          <w:rtl/>
          <w:lang w:eastAsia="en-US"/>
        </w:rPr>
        <w:t>725 -</w:t>
      </w:r>
      <w:r>
        <w:rPr>
          <w:rtl/>
          <w:lang w:eastAsia="en-US"/>
        </w:rPr>
        <w:tab/>
        <w:t>ويمثل الحصول على فرص العمل أفضل السُبل الفردية لمحاربة الفقر شريطة أن يكون الدخل المكسوب كافيا ومستقرا. وعليه فأي إجراء يؤدي إلى تحسين دمج المرأة في سوق العمل يساعدها على تجنُّب البؤس وعلى تحقيق الاستقلال الاقتصادي مع المساهمة في الوقت نفسه في محاربة الظلم الاجتماعي.</w:t>
      </w:r>
    </w:p>
    <w:p w:rsidR="00000000" w:rsidRDefault="00000000">
      <w:pPr>
        <w:pStyle w:val="SingleTxt"/>
        <w:tabs>
          <w:tab w:val="clear" w:pos="1267"/>
        </w:tabs>
        <w:ind w:left="1264" w:right="1264"/>
        <w:rPr>
          <w:rtl/>
          <w:lang w:eastAsia="en-US"/>
        </w:rPr>
      </w:pPr>
      <w:r>
        <w:rPr>
          <w:rtl/>
          <w:lang w:eastAsia="en-US"/>
        </w:rPr>
        <w:t>726 -</w:t>
      </w:r>
      <w:r>
        <w:rPr>
          <w:rtl/>
          <w:lang w:eastAsia="en-US"/>
        </w:rPr>
        <w:tab/>
        <w:t>ولما كانت حكومة كيبيك على بيِّنة من خطورة الحالة، فقد اتخذت عدة مبادرات عند انعقاد مؤتمر القمة المعني بالاقتصاد والعمالة في تشرين الأول/أكتوبر 1996، وبالذات من خلال إنشاء صندوق محاربة الفقر وتقديم الدعم من أجل تنمية اقتصاد اجتماعي استجابة لطلبات من جانب جماعات نسائية.</w:t>
      </w:r>
    </w:p>
    <w:p w:rsidR="00000000" w:rsidRDefault="00000000">
      <w:pPr>
        <w:pStyle w:val="SingleTxt"/>
        <w:tabs>
          <w:tab w:val="clear" w:pos="1267"/>
        </w:tabs>
        <w:ind w:left="1264" w:right="1264"/>
        <w:rPr>
          <w:rtl/>
          <w:lang w:eastAsia="en-US"/>
        </w:rPr>
      </w:pPr>
      <w:r>
        <w:rPr>
          <w:rtl/>
          <w:lang w:eastAsia="en-US"/>
        </w:rPr>
        <w:t>727 -</w:t>
      </w:r>
      <w:r>
        <w:rPr>
          <w:rtl/>
          <w:lang w:eastAsia="en-US"/>
        </w:rPr>
        <w:tab/>
        <w:t>وفي مؤتمر قمة تشرين الأول/أكتوبر 1996 اقترحَت النقابات والتجمعات الإدارية والمحلية اتخاذ مبادرة للتضامن مع أفقر الفقراء وتوصلت إلى توافق بين الآراء بشأن استحداث صندوق خاص بمبلغ 250 مليون دولار. وهذا الصندوق المناهض للفقر، الذي من المقرر تخصيصه على مدار ثلاث سنوات، يتألف من مساهمات متساوية من الأفراد والشركات بما في ذلك المؤسسات المالية. وقد وافقت الجمعية الوطنية في 12 حزيران/يونيه 1997 على القانون الذي يقضي بإنشاء صندوق لمكافحة الفقر من خلال إعادة الدمج في سوق العمل (</w:t>
      </w:r>
      <w:r>
        <w:rPr>
          <w:lang w:eastAsia="en-US"/>
        </w:rPr>
        <w:t>S.Q. 1997, c. 28</w:t>
      </w:r>
      <w:r>
        <w:rPr>
          <w:rtl/>
          <w:lang w:eastAsia="en-US"/>
        </w:rPr>
        <w:t>). وبالنسبة للسنة المالية الأولى التي انتهت في آذار/مارس 1998 كانت المرأة هي المستفيدة بنسبة 29 في المائة من جميع الوظائف التي خلقتها المشاريع المتصلة بالصندوق. وإذا تم استبعاد مشاريع تنمية الغابات يرتفع هذا الرقم ليصل إلى 64 في المائة. كما شكَّلت المرأة نسبة 51 في المائة من المشاركين في برامج التدريب و 39 في المائة من المشاركين في أنشطة الدمج الوظيفي والبعثات الداخلية للمشاريع الخاصة.</w:t>
      </w:r>
    </w:p>
    <w:p w:rsidR="00000000" w:rsidRDefault="00000000">
      <w:pPr>
        <w:pStyle w:val="SingleTxt"/>
        <w:tabs>
          <w:tab w:val="clear" w:pos="1267"/>
        </w:tabs>
        <w:ind w:left="1264" w:right="1264"/>
        <w:rPr>
          <w:rtl/>
          <w:lang w:eastAsia="en-US"/>
        </w:rPr>
      </w:pPr>
      <w:r>
        <w:rPr>
          <w:rtl/>
          <w:lang w:eastAsia="en-US"/>
        </w:rPr>
        <w:t>728 -</w:t>
      </w:r>
      <w:r>
        <w:rPr>
          <w:rtl/>
          <w:lang w:eastAsia="en-US"/>
        </w:rPr>
        <w:tab/>
        <w:t>وفي حزيران/يونيه 1995، قدمت مسيرة “الخبز والورود” النسائية التي نظمها التحالف المناهض للفقر تسعة طلبات إلى الحكومة، منها ما يتعلق ببرنامج يتصل بهياكل أساسية اجتماعية. ولدى اختتام المسيرة، شُكِّلت لجنة وضع سياسات وتنسيق معنية بالاقتصاديات الاجتماعية وضمت ممثلين من الجماعات النسائية لإسداء المشورة إلى الحكومة بشأن التشجيع على إيجاد وظائف ثابتة في الميادين ذات الصلة. وفي آيار/مايو 1996 قُدِّم تقرير وشُكِّلت لجان إقليمية معنية بالاقتصاد الاجتماعي لتدارس المشاريع الممكن تنفيذها في هذا الصدد.</w:t>
      </w:r>
    </w:p>
    <w:p w:rsidR="00000000" w:rsidRDefault="00000000">
      <w:pPr>
        <w:pStyle w:val="SingleTxt"/>
        <w:tabs>
          <w:tab w:val="clear" w:pos="1267"/>
        </w:tabs>
        <w:ind w:left="1264" w:right="1264"/>
        <w:rPr>
          <w:rtl/>
          <w:lang w:eastAsia="en-US"/>
        </w:rPr>
      </w:pPr>
      <w:r>
        <w:rPr>
          <w:rtl/>
          <w:lang w:eastAsia="en-US"/>
        </w:rPr>
        <w:t>729 -</w:t>
      </w:r>
      <w:r>
        <w:rPr>
          <w:rtl/>
          <w:lang w:eastAsia="en-US"/>
        </w:rPr>
        <w:tab/>
        <w:t>وعلى صعيد المقاطعة بأسرها، تَولَّد عن مؤتمر القمة المعني بالاقتصاد والعمالة قوة دفع بالنسبة للاقتصاد الاجتماعي من خلال تقديم الدعم المالي لعدد من المشاريع المحدَّدة. وبحلول آذار/مارس 1998، تم بفضــل هــذه المبـــادرة إنشـــاء 629 2 وظيفـة وتدعيم 611 وظيفة (لا يتوافر بعد بيانات على أساس جنساني بشأن توزيع الوظائف عن السنة الأولى).</w:t>
      </w:r>
    </w:p>
    <w:p w:rsidR="00000000" w:rsidRDefault="00000000">
      <w:pPr>
        <w:pStyle w:val="SingleTxt"/>
        <w:tabs>
          <w:tab w:val="clear" w:pos="1267"/>
        </w:tabs>
        <w:ind w:left="1264" w:right="1264"/>
        <w:rPr>
          <w:rtl/>
          <w:lang w:eastAsia="en-US"/>
        </w:rPr>
      </w:pPr>
      <w:r>
        <w:rPr>
          <w:rtl/>
          <w:lang w:eastAsia="en-US"/>
        </w:rPr>
        <w:t>730 -</w:t>
      </w:r>
      <w:r>
        <w:rPr>
          <w:rtl/>
          <w:lang w:eastAsia="en-US"/>
        </w:rPr>
        <w:tab/>
        <w:t>وفي عام 1997 اتخذت تدابير عملية لتعزيز الفرص الكفيلة بتنمية إمكانية الاستخدام وتهيئة سبل الحصول على التدريب والاندماج في قوة العمل أمام الإناث من المستفيدات من ضمانات الدخل والإناث في عائلات الوالد الوحيد اللائي بلغ أصغر أطفالهن سن الخامسة. وبين 1 أيار/مايو 1997 و 1 نيسان/أبريل 1998 كان 884 2 من هؤلاء النساء قد استفدن من التدابير ذات الصلة في إطار عملية تستند إلى إجراءات مكيَّفة حسب احتياجاتهن وتشمل التعاون بين وكالات محلية ومؤسسية.</w:t>
      </w:r>
    </w:p>
    <w:p w:rsidR="00000000" w:rsidRDefault="00000000">
      <w:pPr>
        <w:pStyle w:val="SingleTxt"/>
        <w:tabs>
          <w:tab w:val="clear" w:pos="1267"/>
        </w:tabs>
        <w:ind w:left="1264" w:right="1264"/>
        <w:rPr>
          <w:rtl/>
          <w:lang w:eastAsia="en-US"/>
        </w:rPr>
      </w:pPr>
      <w:r>
        <w:rPr>
          <w:rtl/>
          <w:lang w:eastAsia="en-US"/>
        </w:rPr>
        <w:t>731 -</w:t>
      </w:r>
      <w:r>
        <w:rPr>
          <w:rtl/>
          <w:lang w:eastAsia="en-US"/>
        </w:rPr>
        <w:tab/>
        <w:t>وفي إطار جهد يرمي لوضع استراتيجية محدَّدة للفئات المستخدَمة أقل من غيرها، قدمت حكومة كيبيك دعما ماليا وفنيا لعدد من اللجان الاستشارية المختلفة. وقد تم تشكيل اللجنة الاستشارية المعنية بالمرأة في تشرين الثاني/نوفمبر 1996 لتعظيم قدرة الحكومة على معالجة قضايا المرأة. وينطوي دمج المرأة في قوة العمل واستمرار مشاركتها فيها على مراعاة اعتبارات خاصة مما يتطلب اتباع نهج محدَّد. وتُقدِّم اللجنة تقاريرها إلى هيئة التوظيف في كيبيك التي تضم نساء من جميع مناطق المقاطعة ممن يعملن في مجال التنمية المحلية والإقليمية.</w:t>
      </w:r>
    </w:p>
    <w:p w:rsidR="00000000" w:rsidRDefault="00000000">
      <w:pPr>
        <w:pStyle w:val="SingleTxt"/>
        <w:tabs>
          <w:tab w:val="clear" w:pos="1267"/>
        </w:tabs>
        <w:ind w:left="1264" w:right="1264"/>
        <w:rPr>
          <w:rtl/>
          <w:lang w:eastAsia="en-US"/>
        </w:rPr>
      </w:pPr>
      <w:r>
        <w:rPr>
          <w:rtl/>
          <w:lang w:eastAsia="en-US"/>
        </w:rPr>
        <w:t>732 -</w:t>
      </w:r>
      <w:r>
        <w:rPr>
          <w:rtl/>
          <w:lang w:eastAsia="en-US"/>
        </w:rPr>
        <w:tab/>
        <w:t>وفي إطار إصلاح مساعدة المساكن العامة التي تحصل عليها الأسر ذات الدخل المنخفض ولا سيما أسر الوالد الوحيد، اعتمدت حكومة كيبيك في عام 1997 عددا من الاستراتيجيات وخطة عمل وقد نجم عن هذا الإصلاح ما يلي: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العمل في تشرين الأول/أكتوبر 1997 على إقرار بدل إسكان موحَّد وموسَّع لمن بلغوا الخامسة والخمسين من العمر وما بعدها (بدلا ممن بلغوا السابعة والخمسين على نحو ما كان الحال في السابق) وكذلك الأسر التي لديها أطفال وتتلقى استحقاقات ضمان الدخل والعاملين من ذوي الدخل المنخفض ولديهم أطفال ومن المقدَّر أن يكون هذا التدبير قد أثَّر على 75 في المائة من الأسر ذات الوالد الوحيد.</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العمل في تشرين الأول/أكتوبر 1997 على استحداث صندوق الإسكان الاجتماعي في كيبيك الذي تقرر أن يوزع 43 مليون دولار سنويا لإنشاء ما يزيد على 800 1 من وحدات الإسكان الاجتماعي سنويا على مدار خمس سنوات. وقد أفضى الصندوق إلى إنشاء برنامج الحصول على سكن ويشمل تجهيز 325 1 سنويا من وحدات الإسكان التعاوني ومن هذا العدد توجد 120 وحدة محجوزة للنساء من ضحايا العنف.</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التجميد المفروض في عام 1997 على تكاليف الإسكان بالنسبة إلى 000 15 من المستفيدين من ضمان الدخل الذين لا يصلحون للعمل وهو ما يشكِّل نسبة 25 في المائة من دخلهم.</w:t>
      </w:r>
    </w:p>
    <w:p w:rsidR="00000000" w:rsidRDefault="00000000">
      <w:pPr>
        <w:pStyle w:val="SingleTxt"/>
        <w:tabs>
          <w:tab w:val="clear" w:pos="1267"/>
          <w:tab w:val="left" w:pos="1486"/>
        </w:tabs>
        <w:ind w:left="1264" w:right="1264"/>
        <w:rPr>
          <w:rtl/>
          <w:lang w:eastAsia="en-US"/>
        </w:rPr>
      </w:pPr>
      <w:r>
        <w:rPr>
          <w:rtl/>
          <w:lang w:eastAsia="en-US"/>
        </w:rPr>
        <w:t>733 -</w:t>
      </w:r>
      <w:r>
        <w:rPr>
          <w:rtl/>
          <w:lang w:eastAsia="en-US"/>
        </w:rPr>
        <w:tab/>
        <w:t xml:space="preserve">وفيما يتعلق بالحرب ضد الفقر، من المهم التطرق إلى القضية الأساسية المتمثلة في الحصول على السكن بعيدا عن التمييز على أساس أي من المعايير التي ترد في ميثاق كيبيك لحقوق الإنسان والحريات. وقد حققت لجنة حقوق الإنسان والشباب مكاسب قانونية مرموقة في هذا الصدد وتتسم بأهمية خاصة للمرأة. وفي حالة طُرحَت أمام نظر اللجنة باسم امرأة مستفيدة من المساعدة الاجتماعية كانت قد حُرمت من السكن، خلصت محكمة حقوق الإنسان إلى أنه حيث أن المالك لم يهتم بالاستفسار عن قدرة المرأة الفعلية على سداد الإيجار، فإن الشاكية تصبح عرضة للتمييز ضدها على أساس من حالتها الاجتماعية. (لجنة حقوق الإنسان والشباب في كيبيك) </w:t>
      </w:r>
      <w:r>
        <w:rPr>
          <w:lang w:eastAsia="en-US"/>
        </w:rPr>
        <w:t>v. J.M Brouillette Inc</w:t>
      </w:r>
      <w:r>
        <w:rPr>
          <w:rtl/>
          <w:lang w:eastAsia="en-US"/>
        </w:rPr>
        <w:t xml:space="preserve"> (1996) (</w:t>
      </w:r>
      <w:r>
        <w:rPr>
          <w:lang w:eastAsia="en-US"/>
        </w:rPr>
        <w:t>23 C.H.R.R. D/495</w:t>
      </w:r>
      <w:r>
        <w:rPr>
          <w:rtl/>
          <w:lang w:eastAsia="en-US"/>
        </w:rPr>
        <w:t>). وفضلا عن ذلك اعترفت محاكم كيبيك بأن رفض منح السكن بذريعة أنه لا يجوز مثلا لثلاثة أفراد أن يشغلوا وحدة من 4.5 من الغُرَف، أمر يشكِّل ممارسة تمييزية لأنه يحول بين العائلات ذات الأطفال وبين الحصول على السكن وبهذا يشكِّل تمييزا غير مباشر على أساس السن (للأطفال) (لجنة حقوق الأفراد وحقوق الشباب). (</w:t>
      </w:r>
      <w:r>
        <w:rPr>
          <w:lang w:eastAsia="en-US"/>
        </w:rPr>
        <w:t>Desroches v. Commission des droits de la personne et des droits de la jeu</w:t>
      </w:r>
      <w:r>
        <w:rPr>
          <w:lang w:eastAsia="en-US"/>
        </w:rPr>
        <w:t>n</w:t>
      </w:r>
      <w:r>
        <w:rPr>
          <w:lang w:eastAsia="en-US"/>
        </w:rPr>
        <w:t>esse, [1997] R.J.Q. 1540 (C.A.)</w:t>
      </w:r>
      <w:r>
        <w:rPr>
          <w:rtl/>
          <w:lang w:eastAsia="en-US"/>
        </w:rPr>
        <w:t>).</w:t>
      </w:r>
    </w:p>
    <w:p w:rsidR="00000000" w:rsidRDefault="00000000">
      <w:pPr>
        <w:pStyle w:val="SingleTxt"/>
        <w:tabs>
          <w:tab w:val="clear" w:pos="1267"/>
        </w:tabs>
        <w:ind w:left="1264" w:right="1264"/>
        <w:rPr>
          <w:b/>
          <w:bCs/>
          <w:szCs w:val="32"/>
          <w:rtl/>
          <w:lang w:eastAsia="en-US"/>
        </w:rPr>
      </w:pPr>
      <w:r>
        <w:rPr>
          <w:b/>
          <w:bCs/>
          <w:szCs w:val="32"/>
          <w:rtl/>
          <w:lang w:eastAsia="en-US"/>
        </w:rPr>
        <w:t>المادة 11 (1) (هـ)</w:t>
      </w:r>
    </w:p>
    <w:p w:rsidR="00000000" w:rsidRDefault="00000000">
      <w:pPr>
        <w:pStyle w:val="SingleTxt"/>
        <w:tabs>
          <w:tab w:val="clear" w:pos="1267"/>
        </w:tabs>
        <w:ind w:left="1264" w:right="1264"/>
        <w:rPr>
          <w:rtl/>
          <w:lang w:eastAsia="en-US"/>
        </w:rPr>
      </w:pPr>
      <w:r>
        <w:rPr>
          <w:rtl/>
          <w:lang w:eastAsia="en-US"/>
        </w:rPr>
        <w:t>734 -</w:t>
      </w:r>
      <w:r>
        <w:rPr>
          <w:rtl/>
          <w:lang w:eastAsia="en-US"/>
        </w:rPr>
        <w:tab/>
        <w:t>وصدر القانون بشأن تأمين الأدوية الموصوفة وتعديل الأحكام التشريعية المختلفة (</w:t>
      </w:r>
      <w:r>
        <w:rPr>
          <w:lang w:eastAsia="en-US"/>
        </w:rPr>
        <w:t>S.Q. 1996, c. 32</w:t>
      </w:r>
      <w:r>
        <w:rPr>
          <w:rtl/>
          <w:lang w:eastAsia="en-US"/>
        </w:rPr>
        <w:t>) في عام 1996. وهذا النظام الجديد لتأمين الدواء يكفل لكل فرد في كيبيك فرصة اقتصادية معقولة للحصول على الأدوية التي يصفها الأطباء. وما يقرب من 1.5 مليون من مواطني كيبيك ممن لم يُتح لهم سبل التغطية في السابق أفادوا من هذا التأمين عندما وُضع موضع التنفيذ في كانون الثاني/يناير 1997. وهذا النظام يتيح لكل مقيم في كيبيك مسجل لدى مجلس التأمين الصحي بالمقاطعة إمكانية الحصول على الخدمة الصيدلانية والتغطية الدوائية.</w:t>
      </w:r>
    </w:p>
    <w:p w:rsidR="00000000" w:rsidRDefault="00000000">
      <w:pPr>
        <w:pStyle w:val="SingleTxt"/>
        <w:tabs>
          <w:tab w:val="clear" w:pos="1267"/>
        </w:tabs>
        <w:ind w:left="1264" w:right="1264"/>
        <w:rPr>
          <w:rtl/>
          <w:lang w:eastAsia="en-US"/>
        </w:rPr>
      </w:pPr>
      <w:r>
        <w:rPr>
          <w:rtl/>
          <w:lang w:eastAsia="en-US"/>
        </w:rPr>
        <w:t>735 -</w:t>
      </w:r>
      <w:r>
        <w:rPr>
          <w:rtl/>
          <w:lang w:eastAsia="en-US"/>
        </w:rPr>
        <w:tab/>
        <w:t xml:space="preserve">وفي إطار المبادرة التي تم اتخاذها لتحفيز إيجاد فرص العمل في قطاع الاقتصاد الاجتماعي، تم في عام 1997 تنفيذ آلية لتيسير دفع الأجور للأفراد الذين يعملون في ميدان الرعاية المنزلية </w:t>
      </w:r>
      <w:r>
        <w:rPr>
          <w:lang w:eastAsia="en-US"/>
        </w:rPr>
        <w:t>–</w:t>
      </w:r>
      <w:r>
        <w:rPr>
          <w:rtl/>
          <w:lang w:eastAsia="en-US"/>
        </w:rPr>
        <w:t xml:space="preserve"> وهي عبارة عن شيك مقابل خدمة التوظيف. والهدف من هذا التدبير هو خفض الأعمال الورقية بالنسبة إلى كبار السن من المعاقين والمعالين وتهيئة شبكة ضمان اجتماعي للعاملين في الرعاية المنزلية وتقليل الأعمال غير المُبلغ عنها في قطاع الاقتصاد الاجتماعي. وبحكم نوعية الرعاية المنزلية التي تنطبق عليها الشروط بموجب البرنامج (تدبير المنزل والرعاية المباشرة للمرضى ورعاية الطفل وما إلى ذلك). فإن شبكة الضمان بالنسبة إلى كثيرات من العاملات في الرعاية المنزلية تصبح أكثر متانة باعتبار أن مستخدميهن وهم كبار السن من المعاقين أو المعالين أصبح لزاما عليهم أن يسددوا اشتراكات أرباب العمل إلى نظام المعاشات التقاعدية وتأمينات التوظيف في كيبيك.</w:t>
      </w:r>
    </w:p>
    <w:p w:rsidR="00000000" w:rsidRDefault="00000000">
      <w:pPr>
        <w:pStyle w:val="SingleTxt"/>
        <w:tabs>
          <w:tab w:val="clear" w:pos="1267"/>
        </w:tabs>
        <w:ind w:left="1264" w:right="1264"/>
        <w:rPr>
          <w:rtl/>
          <w:lang w:eastAsia="en-US"/>
        </w:rPr>
      </w:pPr>
      <w:r>
        <w:rPr>
          <w:rtl/>
          <w:lang w:eastAsia="en-US"/>
        </w:rPr>
        <w:t>736 -</w:t>
      </w:r>
      <w:r>
        <w:rPr>
          <w:rtl/>
          <w:lang w:eastAsia="en-US"/>
        </w:rPr>
        <w:tab/>
        <w:t>وفي تشرين الأول/أكتوبر 1996، تعاون مجلس تعويضات العاملين في كيبيك مع قطاع الشؤون الاجتماعية في رابطة الصحة والسلامة المهنية على إطلاق مشروع يرمي إلى الوقاية من الإصابات المتصلة بالعمل في مجال الرعاية النهارية.</w:t>
      </w:r>
    </w:p>
    <w:p w:rsidR="00000000" w:rsidRDefault="00000000">
      <w:pPr>
        <w:pStyle w:val="SingleTxt"/>
        <w:tabs>
          <w:tab w:val="clear" w:pos="1267"/>
        </w:tabs>
        <w:ind w:left="1264" w:right="1264"/>
        <w:rPr>
          <w:rtl/>
          <w:lang w:eastAsia="en-US"/>
        </w:rPr>
      </w:pPr>
      <w:r>
        <w:rPr>
          <w:rtl/>
          <w:lang w:eastAsia="en-US"/>
        </w:rPr>
        <w:t>737 -</w:t>
      </w:r>
      <w:r>
        <w:rPr>
          <w:rtl/>
          <w:lang w:eastAsia="en-US"/>
        </w:rPr>
        <w:tab/>
        <w:t>وتألف المشروع من جمع البيانات الكاملة عن العاملين في مجال الرعاية النهارية، والقيام بحملة توعية بشأن “كيف تعيش في دنيا الطفل” وتطوير أدوات للوقاية (كتيبات وفيديو وملصقات ونشرات إخبارية) وهذه الأدوات التي تم توزيعها على 200 1 من مراكز الرعاية النهارية تستهدف أكثر من 000 10 من العاملين في هذا المجال وتشكل النساء 98 في المائة منهم.</w:t>
      </w:r>
    </w:p>
    <w:p w:rsidR="00000000" w:rsidRDefault="00000000">
      <w:pPr>
        <w:pStyle w:val="SingleTxt"/>
        <w:tabs>
          <w:tab w:val="clear" w:pos="1267"/>
        </w:tabs>
        <w:ind w:left="1264" w:right="1264"/>
        <w:rPr>
          <w:rtl/>
          <w:lang w:eastAsia="en-US"/>
        </w:rPr>
      </w:pPr>
      <w:r>
        <w:rPr>
          <w:rtl/>
          <w:lang w:eastAsia="en-US"/>
        </w:rPr>
        <w:t>738 -</w:t>
      </w:r>
      <w:r>
        <w:rPr>
          <w:rtl/>
          <w:lang w:eastAsia="en-US"/>
        </w:rPr>
        <w:tab/>
        <w:t>وفي عام 1996، تلقى 532 من العاملين في الرعاية النهارية استحقاقات تعويض العاملين، وكان قد ضاع 500 28 يوم عمل عن السنة ذاتها بسبب حالات التغيُّب الناجمة عن وقوع إصابة عمل أو الإصابة بأحد أمراض المهنة لفترة تبلغ في المتوسط 54 يوما لكل حادثة.</w:t>
      </w:r>
    </w:p>
    <w:p w:rsidR="00000000" w:rsidRDefault="00000000">
      <w:pPr>
        <w:pStyle w:val="SingleTxt"/>
        <w:tabs>
          <w:tab w:val="clear" w:pos="1267"/>
        </w:tabs>
        <w:ind w:left="1264" w:right="1264"/>
        <w:rPr>
          <w:b/>
          <w:bCs/>
          <w:szCs w:val="32"/>
          <w:rtl/>
          <w:lang w:eastAsia="en-US"/>
        </w:rPr>
      </w:pPr>
      <w:r>
        <w:rPr>
          <w:b/>
          <w:bCs/>
          <w:szCs w:val="32"/>
          <w:rtl/>
          <w:lang w:eastAsia="en-US"/>
        </w:rPr>
        <w:t>المادة 11 (2) (ب) و (ج)</w:t>
      </w:r>
    </w:p>
    <w:p w:rsidR="00000000" w:rsidRDefault="00000000">
      <w:pPr>
        <w:pStyle w:val="SingleTxt"/>
        <w:tabs>
          <w:tab w:val="clear" w:pos="1267"/>
        </w:tabs>
        <w:ind w:left="1264" w:right="1264"/>
        <w:rPr>
          <w:rtl/>
          <w:lang w:eastAsia="en-US"/>
        </w:rPr>
      </w:pPr>
      <w:r>
        <w:rPr>
          <w:rtl/>
          <w:lang w:eastAsia="en-US"/>
        </w:rPr>
        <w:t>739 -</w:t>
      </w:r>
      <w:r>
        <w:rPr>
          <w:rtl/>
          <w:lang w:eastAsia="en-US"/>
        </w:rPr>
        <w:tab/>
        <w:t>وخلال مجمل الفترة من 1 نيسان/أبريل 1994 إلى 31 آذار/مارس 1998، كانت الأحكام القانونية الرئيسية الصادرة في قطاع العمالة عن محكمة حقوق الإنسان تتعلق بتطبيق البند 10 (التمييز على أساس نوع الجنس أو الحمل) والبند 10 - (التحرُّش الجنسي) من ميثاق كيبيك لحقوق الإنسان والحريات. ومن بين القضايا المنظورة الـ 17، تعلَّقت ست منها بالتحرش الجنسي، و خمس بالتمييز على أساس الحمل وقضية واحدة بالتمييز على أساس نوع الجنس وثلاث قضايا بالتمييز الجنسي والتحرش الجنسي أيضا، فضلا عن قضيتين تعلقتا بالتمييز والتحرش على أساس نوع الجنس والسن والحالة الاجتماعية. وقد نظرت المحكمة في عشر من هذه الشكاوى ورفضت سبعا منها (أنظر التذييل 8).</w:t>
      </w:r>
    </w:p>
    <w:p w:rsidR="00000000" w:rsidRDefault="00000000">
      <w:pPr>
        <w:pStyle w:val="SingleTxt"/>
        <w:tabs>
          <w:tab w:val="clear" w:pos="1267"/>
        </w:tabs>
        <w:ind w:left="1264" w:right="1264"/>
        <w:rPr>
          <w:b/>
          <w:bCs/>
          <w:szCs w:val="32"/>
          <w:rtl/>
          <w:lang w:eastAsia="en-US"/>
        </w:rPr>
      </w:pPr>
      <w:r>
        <w:rPr>
          <w:b/>
          <w:bCs/>
          <w:szCs w:val="32"/>
          <w:rtl/>
          <w:lang w:eastAsia="en-US"/>
        </w:rPr>
        <w:t>المادة 11 (2) (ب) و (ج)</w:t>
      </w:r>
    </w:p>
    <w:p w:rsidR="00000000" w:rsidRDefault="00000000">
      <w:pPr>
        <w:pStyle w:val="SingleTxt"/>
        <w:tabs>
          <w:tab w:val="clear" w:pos="1267"/>
        </w:tabs>
        <w:ind w:left="1264" w:right="1264"/>
        <w:rPr>
          <w:rtl/>
          <w:lang w:eastAsia="en-US"/>
        </w:rPr>
      </w:pPr>
      <w:r>
        <w:rPr>
          <w:rtl/>
          <w:lang w:eastAsia="en-US"/>
        </w:rPr>
        <w:t>740 -</w:t>
      </w:r>
      <w:r>
        <w:rPr>
          <w:rtl/>
          <w:lang w:eastAsia="en-US"/>
        </w:rPr>
        <w:tab/>
        <w:t>في حزيران/يونيه 1997 نشرت حكومة كيبيك الكتاب الأبيض بشأن العناصر الجديدة من سياسة الأسرة. وهذه السياسة صُمِّمت لكي تيسِّر التوفيق بين مسؤوليات الأسرة والمسؤوليات المهنية للوالدين مع تقديم مساعدة مالية للأسر ذات الدخل المنخفض، وتطوير خدمات مبكِّرة لتعليم الطفولة ودعم الأمومة والأبوة. أما المجالات الثلاثة الرئيسية للعمل في هذه السياسة فهي: الإصلاح الضريبي وبدلات الأسرة والخدمات التعليمية المبكرة في مجال الطفولة واستحقاقات إجازات الأمومة والأبوة.</w:t>
      </w:r>
    </w:p>
    <w:p w:rsidR="00000000" w:rsidRDefault="00000000">
      <w:pPr>
        <w:pStyle w:val="SingleTxt"/>
        <w:tabs>
          <w:tab w:val="clear" w:pos="1267"/>
        </w:tabs>
        <w:ind w:left="1264" w:right="1264"/>
        <w:rPr>
          <w:rtl/>
          <w:lang w:eastAsia="en-US"/>
        </w:rPr>
      </w:pPr>
      <w:r>
        <w:rPr>
          <w:rtl/>
          <w:lang w:eastAsia="en-US"/>
        </w:rPr>
        <w:t>741 -</w:t>
      </w:r>
      <w:r>
        <w:rPr>
          <w:rtl/>
          <w:lang w:eastAsia="en-US"/>
        </w:rPr>
        <w:tab/>
        <w:t>وفيما يتعلق بالخدمات التعليمية، فمنذ أيلول/سبتمبر 1997 هيأت الحكومة قيام رياض الأطفال المتفرغة لجميع الأطفال في المقاطعة وبرغم أن الالتحاق بها اختياري إلا أن 99 في المائة ممن بلغوا الخامسة من العمر يلتحقون برياض الأطفال.</w:t>
      </w:r>
    </w:p>
    <w:p w:rsidR="00000000" w:rsidRDefault="00000000">
      <w:pPr>
        <w:pStyle w:val="SingleTxt"/>
        <w:tabs>
          <w:tab w:val="clear" w:pos="1267"/>
        </w:tabs>
        <w:ind w:left="1264" w:right="1264"/>
        <w:rPr>
          <w:rtl/>
          <w:lang w:eastAsia="en-US"/>
        </w:rPr>
      </w:pPr>
      <w:r>
        <w:rPr>
          <w:rtl/>
          <w:lang w:eastAsia="en-US"/>
        </w:rPr>
        <w:t>742 -</w:t>
      </w:r>
      <w:r>
        <w:rPr>
          <w:rtl/>
          <w:lang w:eastAsia="en-US"/>
        </w:rPr>
        <w:tab/>
        <w:t xml:space="preserve">وفيما يتعلق بخدمات الطفولة المبكرة، ففي أيلول/سبتمبر 1997، حوَّلت وزارة رعاية الطفل والأسرة وكالات الرعاية النهارية ورعاية الطفولة القائمة وغير الربحية إلى شبكة لمراكز الطفولة المبكرة التي تقدم الخدمات للأطفال في سن الرابعة وما دونها. وفي الفترة 1997 </w:t>
      </w:r>
      <w:r>
        <w:rPr>
          <w:lang w:eastAsia="en-US"/>
        </w:rPr>
        <w:t>–</w:t>
      </w:r>
      <w:r>
        <w:rPr>
          <w:rtl/>
          <w:lang w:eastAsia="en-US"/>
        </w:rPr>
        <w:t xml:space="preserve"> 1998 كانت هذه الخدمات متاحة بكلفة 5 دولارات يوميا بل كانت مجانا للوالدين اللذين يتلقيان مساعدات اجتماعية وللأطفال في نفس المجموعة العمرية. كما أن الوزارة خصَّصت 205.7 مليون دولار على شكل منح جاهزة لمراكز الطفولة المبكرة و 28.3 مليون دولار لمراكز الرعاية النهارية التجارية.</w:t>
      </w:r>
    </w:p>
    <w:p w:rsidR="00000000" w:rsidRDefault="00000000">
      <w:pPr>
        <w:pStyle w:val="SingleTxt"/>
        <w:tabs>
          <w:tab w:val="clear" w:pos="1267"/>
        </w:tabs>
        <w:ind w:left="1264" w:right="1264"/>
        <w:rPr>
          <w:rtl/>
          <w:lang w:eastAsia="en-US"/>
        </w:rPr>
      </w:pPr>
      <w:r>
        <w:rPr>
          <w:rtl/>
          <w:lang w:eastAsia="en-US"/>
        </w:rPr>
        <w:t xml:space="preserve">743 </w:t>
      </w:r>
      <w:r>
        <w:rPr>
          <w:lang w:eastAsia="en-US"/>
        </w:rPr>
        <w:t>–</w:t>
      </w:r>
      <w:r>
        <w:rPr>
          <w:rtl/>
          <w:lang w:eastAsia="en-US"/>
        </w:rPr>
        <w:t>وفي 31 آذار/مارس 1998 أدمجت الوزارة ما يقرب من 2.5 مليون دولار ضمن خطط إنشاء أماكن لتعليم الطفولة المبكرة بما يمثل زيادة بنسبة 80 في المائة على ميزانية السنة السابقة. وقد توجَّه جزء من هذا المبلغ، أو نحو 000 650 دولار إلى إيجاد أماكن جديدة لمن بلغوا الرابعة من العمر من البيوت المحرومة في منطقة مونتريال. كما دُفع مبلغ 92.9 مليون دولار بوصفه تخفيفا للأعباء الضريبية ومساعدة لرعاية الطفل لصالح الأسر ذات الدخل المنخفض.</w:t>
      </w:r>
    </w:p>
    <w:p w:rsidR="00000000" w:rsidRDefault="00000000">
      <w:pPr>
        <w:pStyle w:val="SingleTxt"/>
        <w:tabs>
          <w:tab w:val="clear" w:pos="1267"/>
        </w:tabs>
        <w:ind w:left="1264" w:right="1264"/>
        <w:rPr>
          <w:rtl/>
          <w:lang w:eastAsia="en-US"/>
        </w:rPr>
      </w:pPr>
      <w:r>
        <w:rPr>
          <w:rtl/>
          <w:lang w:eastAsia="en-US"/>
        </w:rPr>
        <w:t>744 -</w:t>
      </w:r>
      <w:r>
        <w:rPr>
          <w:rtl/>
          <w:lang w:eastAsia="en-US"/>
        </w:rPr>
        <w:tab/>
        <w:t>وفي نفـــس الوقـــت أيضا، كانت وزارة رعاية الطفل والأسرة تهيئ ما إجماليه 302 82 من أماكن رعاية الطفولة سواء في مراكز الرعاية النهارية أو في دور خاصة. كما أعدت وزارة التعليم مدارس رعاية نهارية لعدد من الأطفال يبلغ 721 92 طفلا.</w:t>
      </w:r>
    </w:p>
    <w:p w:rsidR="00000000" w:rsidRDefault="00000000">
      <w:pPr>
        <w:pStyle w:val="SingleTxt"/>
        <w:tabs>
          <w:tab w:val="clear" w:pos="1267"/>
        </w:tabs>
        <w:ind w:left="1264" w:right="1264"/>
        <w:rPr>
          <w:rtl/>
          <w:lang w:eastAsia="en-US"/>
        </w:rPr>
      </w:pPr>
      <w:r>
        <w:rPr>
          <w:rtl/>
          <w:lang w:eastAsia="en-US"/>
        </w:rPr>
        <w:t>745 -</w:t>
      </w:r>
      <w:r>
        <w:rPr>
          <w:rtl/>
          <w:lang w:eastAsia="en-US"/>
        </w:rPr>
        <w:tab/>
        <w:t>وجاء بدل الأسرة الجديد بديلا أو صيغة معدَّلة لبعض البرامج التي كانت مُنفذة في السابق. ومنذ أيلول/سبتمبر 1997 اختلف البدل طبقا لوضعية الأسرة (أسرة والد وحيد أو أسرة والدين) وكذلك حسب دخل الأسرة وعدد أطفالها وكان يمثل مبلغا قدره 407.2 من ملايين الدولارات للفترة من 1 أيلول/سبتمبر 1997 إلى 31 آذار/مارس 1998.</w:t>
      </w:r>
    </w:p>
    <w:p w:rsidR="00000000" w:rsidRDefault="00000000">
      <w:pPr>
        <w:pStyle w:val="SingleTxt"/>
        <w:tabs>
          <w:tab w:val="clear" w:pos="1267"/>
        </w:tabs>
        <w:ind w:left="1264" w:right="1264"/>
        <w:rPr>
          <w:rtl/>
          <w:lang w:eastAsia="en-US"/>
        </w:rPr>
      </w:pPr>
      <w:r>
        <w:rPr>
          <w:rtl/>
          <w:lang w:eastAsia="en-US"/>
        </w:rPr>
        <w:t>746 -</w:t>
      </w:r>
      <w:r>
        <w:rPr>
          <w:rtl/>
          <w:lang w:eastAsia="en-US"/>
        </w:rPr>
        <w:tab/>
        <w:t>على أن بدلات الأسرة ليست هي المصدر الوحيد للمساعدات المالية التي تقدمها حكومة كيبيك إذ أن الأمر ينطوي أيضا على إتاحة عدة موارد ضريبية.</w:t>
      </w:r>
    </w:p>
    <w:p w:rsidR="00000000" w:rsidRDefault="00000000">
      <w:pPr>
        <w:pStyle w:val="SingleTxt"/>
        <w:tabs>
          <w:tab w:val="clear" w:pos="1267"/>
        </w:tabs>
        <w:ind w:left="1264" w:right="1264"/>
        <w:rPr>
          <w:rtl/>
          <w:lang w:eastAsia="en-US"/>
        </w:rPr>
      </w:pPr>
      <w:r>
        <w:rPr>
          <w:rtl/>
          <w:lang w:eastAsia="en-US"/>
        </w:rPr>
        <w:t>747 -</w:t>
      </w:r>
      <w:r>
        <w:rPr>
          <w:rtl/>
          <w:lang w:eastAsia="en-US"/>
        </w:rPr>
        <w:tab/>
        <w:t>وفي عام 1997، تم تعديل القانون الصادر بشــأن معايير العمـــل (</w:t>
      </w:r>
      <w:r>
        <w:rPr>
          <w:lang w:eastAsia="en-US"/>
        </w:rPr>
        <w:t>S.Q. 1997, c. 10</w:t>
      </w:r>
      <w:r>
        <w:rPr>
          <w:rtl/>
          <w:lang w:eastAsia="en-US"/>
        </w:rPr>
        <w:t>) لكي يشمل تمديد إجازة الوالدية من 34 أسبوعا إلى 52 أسبوعا.</w:t>
      </w:r>
    </w:p>
    <w:p w:rsidR="00000000" w:rsidRDefault="00000000">
      <w:pPr>
        <w:pStyle w:val="SingleTxt"/>
        <w:tabs>
          <w:tab w:val="clear" w:pos="1267"/>
        </w:tabs>
        <w:ind w:left="1264" w:right="1264"/>
        <w:rPr>
          <w:b/>
          <w:bCs/>
          <w:szCs w:val="32"/>
          <w:rtl/>
          <w:lang w:eastAsia="en-US"/>
        </w:rPr>
      </w:pPr>
      <w:r>
        <w:rPr>
          <w:b/>
          <w:bCs/>
          <w:szCs w:val="32"/>
          <w:rtl/>
          <w:lang w:eastAsia="en-US"/>
        </w:rPr>
        <w:t>المادة 12: الصحة</w:t>
      </w:r>
    </w:p>
    <w:p w:rsidR="00000000" w:rsidRDefault="00000000">
      <w:pPr>
        <w:pStyle w:val="SingleTxt"/>
        <w:tabs>
          <w:tab w:val="clear" w:pos="1267"/>
        </w:tabs>
        <w:ind w:left="1264" w:right="1264"/>
        <w:rPr>
          <w:rtl/>
          <w:lang w:eastAsia="en-US"/>
        </w:rPr>
      </w:pPr>
      <w:r>
        <w:rPr>
          <w:rtl/>
          <w:lang w:eastAsia="en-US"/>
        </w:rPr>
        <w:t>748 -</w:t>
      </w:r>
      <w:r>
        <w:rPr>
          <w:rtl/>
          <w:lang w:eastAsia="en-US"/>
        </w:rPr>
        <w:tab/>
        <w:t xml:space="preserve">في مجال صحة الأم، أصدرت وزارة الصحة والخدمات الاجتماعية في تشرين الثاني/نوفمبر 1996 نشرة بعنوان “ما وراء المظاهر” وتتعلق بالأحوال الصحية والمعيشية للمرأة، حيث أن هذه الدراسة تتناول بيانات استقصاء وزارة صحة كيبك لعام 1987 وكذلك نتائج دراسات متخصصة أخرى، إضافة إلى نتائج الاستقصاء الاجتماعي والصحي الذي أجرته وزارة صحة كيبيك في عام 1992 </w:t>
      </w:r>
      <w:r>
        <w:rPr>
          <w:lang w:eastAsia="en-US"/>
        </w:rPr>
        <w:t>–</w:t>
      </w:r>
      <w:r>
        <w:rPr>
          <w:rtl/>
          <w:lang w:eastAsia="en-US"/>
        </w:rPr>
        <w:t xml:space="preserve"> 1993، ووضعت هذا كله ضمن المنظور الذي اعتمدته حيث يُناقِش هذا العمل التطورات التي طرأت على الأحوال المعيشية والصحية للمرأة فضلا عن شواغل المرأة من الناحية الصحية.</w:t>
      </w:r>
    </w:p>
    <w:p w:rsidR="00000000" w:rsidRDefault="00000000">
      <w:pPr>
        <w:pStyle w:val="SingleTxt"/>
        <w:tabs>
          <w:tab w:val="clear" w:pos="1267"/>
        </w:tabs>
        <w:ind w:left="1264" w:right="1264"/>
        <w:rPr>
          <w:rtl/>
          <w:lang w:eastAsia="en-US"/>
        </w:rPr>
      </w:pPr>
      <w:r>
        <w:rPr>
          <w:rtl/>
          <w:lang w:eastAsia="en-US"/>
        </w:rPr>
        <w:t>749 -</w:t>
      </w:r>
      <w:r>
        <w:rPr>
          <w:rtl/>
          <w:lang w:eastAsia="en-US"/>
        </w:rPr>
        <w:tab/>
        <w:t>وأبرز نتائج الاستقصاءات كان يتمثل في أثر الأحوال الاجتماعية والاقتصادية على الصحة. حيث النساء الفقيرات، أي النساء اللائي يقمن بدور عائل الأسرة الوحيد والمسنات المقيمات بمفردهن معرضات لخطر جسيم من نواحٍ صحية متعددة. وهناك من المراحل الرئيسية في الحياة كالمراهقة والشيخوخة ما يبدو أكثر صعوبة وأشد مدعاة للتوتر بالنسبة للمرأة. وربما يفوق ذلك في الأهمية الصلات العديدة بين الوضع الاجتماعي والحالة الصحية والسلوك.</w:t>
      </w:r>
    </w:p>
    <w:p w:rsidR="00000000" w:rsidRDefault="00000000">
      <w:pPr>
        <w:pStyle w:val="SingleTxt"/>
        <w:tabs>
          <w:tab w:val="clear" w:pos="1267"/>
        </w:tabs>
        <w:ind w:left="1264" w:right="1264"/>
        <w:rPr>
          <w:rtl/>
          <w:lang w:eastAsia="en-US"/>
        </w:rPr>
      </w:pPr>
      <w:r>
        <w:rPr>
          <w:rtl/>
          <w:lang w:eastAsia="en-US"/>
        </w:rPr>
        <w:t>750 -</w:t>
      </w:r>
      <w:r>
        <w:rPr>
          <w:rtl/>
          <w:lang w:eastAsia="en-US"/>
        </w:rPr>
        <w:tab/>
        <w:t xml:space="preserve">وقد وضعَت وزارة الصحة والخدمات الاجتماعية للفترة 1997 </w:t>
      </w:r>
      <w:r>
        <w:rPr>
          <w:lang w:eastAsia="en-US"/>
        </w:rPr>
        <w:t>–</w:t>
      </w:r>
      <w:r>
        <w:rPr>
          <w:rtl/>
          <w:lang w:eastAsia="en-US"/>
        </w:rPr>
        <w:t xml:space="preserve"> 2000 خطة عمل بشأن صحة المرأة ورفاهها وأحوالها المعيشية وتشمل عددا من التدابير الرامية إلى تحسين صحة المرأة ورفاهها. وتُعطي خطة العمل المذكورة الأولوية لتقييم أثر تطورات التواصل الشبكي على العائلات والأقارب والعاملين، مع تركيز أساسي على التغيُّرات التي تطرأ على منظمات الخدمات ونتائجها بالنسبة لمقدمي الرعاية والعاملين فيها الذين تشكِّل النساء معظمهم. وثمة مشاريع بحثية ذات صلة يتم حاليا التخطيط لها أو إجراؤها.</w:t>
      </w:r>
    </w:p>
    <w:p w:rsidR="00000000" w:rsidRDefault="00000000">
      <w:pPr>
        <w:pStyle w:val="SingleTxt"/>
        <w:tabs>
          <w:tab w:val="clear" w:pos="1267"/>
        </w:tabs>
        <w:ind w:left="1264" w:right="1264"/>
        <w:rPr>
          <w:rtl/>
          <w:lang w:eastAsia="en-US"/>
        </w:rPr>
      </w:pPr>
      <w:r>
        <w:rPr>
          <w:rtl/>
          <w:lang w:eastAsia="en-US"/>
        </w:rPr>
        <w:t>751 -</w:t>
      </w:r>
      <w:r>
        <w:rPr>
          <w:rtl/>
          <w:lang w:eastAsia="en-US"/>
        </w:rPr>
        <w:tab/>
        <w:t>كما أقرت الوزارة التدابير التالية لتيسير مهمة مقدمي الرعاية: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برامج دعم لمقدمي الرعاية على مستوى الخدمات الصحية والاجتماعية الإقليمية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 xml:space="preserve">مزيد من التمويل لخدمات الرعاية المنزلية تقدمها مراكز الخدمات الصحية والاجتماعية المحلية في إطار ما تنفذه من برامج الدعم والعون المنزلي (من الفترة 1996 </w:t>
      </w:r>
      <w:r>
        <w:rPr>
          <w:lang w:eastAsia="en-US"/>
        </w:rPr>
        <w:t>–</w:t>
      </w:r>
      <w:r>
        <w:rPr>
          <w:rtl/>
          <w:lang w:eastAsia="en-US"/>
        </w:rPr>
        <w:t xml:space="preserve"> 1997 إلى الفترة 1997 </w:t>
      </w:r>
      <w:r>
        <w:rPr>
          <w:lang w:eastAsia="en-US"/>
        </w:rPr>
        <w:t>–</w:t>
      </w:r>
      <w:r>
        <w:rPr>
          <w:rtl/>
          <w:lang w:eastAsia="en-US"/>
        </w:rPr>
        <w:t xml:space="preserve"> 1998 بلغت هذه الزيادة 50 مليون دولار)</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ميزانيات لتمكين خدمات الإعلام الصحي بالمراكز المذكورة من حُسن تلبية احتياجات الأفراد من حيث المساعدة والدعم للعلاقات القائمة فيما بينهم علماً بأن معظم هؤلاء الأفراد نساء.</w:t>
      </w:r>
    </w:p>
    <w:p w:rsidR="00000000" w:rsidRDefault="00000000">
      <w:pPr>
        <w:pStyle w:val="SingleTxt"/>
        <w:tabs>
          <w:tab w:val="clear" w:pos="1267"/>
        </w:tabs>
        <w:ind w:left="1264" w:right="1264"/>
        <w:rPr>
          <w:rtl/>
          <w:lang w:eastAsia="en-US"/>
        </w:rPr>
      </w:pPr>
      <w:r>
        <w:rPr>
          <w:rtl/>
          <w:lang w:eastAsia="en-US"/>
        </w:rPr>
        <w:t>752 -</w:t>
      </w:r>
      <w:r>
        <w:rPr>
          <w:rtl/>
          <w:lang w:eastAsia="en-US"/>
        </w:rPr>
        <w:tab/>
        <w:t>وقد استخدَمت النساء نسبة 85 في المائة من هذه الخدمات، كما خُصِّص مبلغ خمسة ملايين دولار لميزانية متكررة على مدى ثلاث سنوات لتقليل فترة الانتظار وزيادة قدرات الاستجابة.</w:t>
      </w:r>
    </w:p>
    <w:p w:rsidR="00000000" w:rsidRDefault="00000000">
      <w:pPr>
        <w:pStyle w:val="SingleTxt"/>
        <w:tabs>
          <w:tab w:val="clear" w:pos="1267"/>
        </w:tabs>
        <w:ind w:left="1264" w:right="1264"/>
        <w:rPr>
          <w:b/>
          <w:bCs/>
          <w:szCs w:val="32"/>
          <w:rtl/>
          <w:lang w:eastAsia="en-US"/>
        </w:rPr>
      </w:pPr>
    </w:p>
    <w:p w:rsidR="00000000" w:rsidRDefault="00000000">
      <w:pPr>
        <w:pStyle w:val="SingleTxt"/>
        <w:tabs>
          <w:tab w:val="clear" w:pos="1267"/>
        </w:tabs>
        <w:ind w:left="1264" w:right="1264"/>
        <w:rPr>
          <w:b/>
          <w:bCs/>
          <w:szCs w:val="32"/>
          <w:rtl/>
          <w:lang w:eastAsia="en-US"/>
        </w:rPr>
      </w:pPr>
      <w:r>
        <w:rPr>
          <w:b/>
          <w:bCs/>
          <w:szCs w:val="32"/>
          <w:rtl/>
          <w:lang w:eastAsia="en-US"/>
        </w:rPr>
        <w:t>المادة 12 (1)</w:t>
      </w:r>
    </w:p>
    <w:p w:rsidR="00000000" w:rsidRDefault="00000000">
      <w:pPr>
        <w:pStyle w:val="SingleTxt"/>
        <w:tabs>
          <w:tab w:val="clear" w:pos="1267"/>
        </w:tabs>
        <w:ind w:left="1264" w:right="1264"/>
        <w:rPr>
          <w:rtl/>
          <w:lang w:eastAsia="en-US"/>
        </w:rPr>
      </w:pPr>
      <w:r>
        <w:rPr>
          <w:rtl/>
          <w:lang w:eastAsia="en-US"/>
        </w:rPr>
        <w:t>753 -</w:t>
      </w:r>
      <w:r>
        <w:rPr>
          <w:rtl/>
          <w:lang w:eastAsia="en-US"/>
        </w:rPr>
        <w:tab/>
        <w:t>في كندا تشمل كيبيك أعلى رقم من حالات الإصابة بالإيدز بين صفوف النساء والأطفال. ويقدَّر أنه بين 50 و 60 من الحالات الجديدة التي يتم تشخيصها سنويا بين النساء في كيبيك، فإن معظم هذه الحالات تكون بين 25 و 40 سنة من العمر. وفي 31 كانون الأول/ديسمبر 1996، أُبلغ عن 466 من الحالات الإجمالية من إصابات الإيدز بين النساء في المقاطعة. وتوضِّح البيانات المتعلقة بعوامل الخطورة أن 29 في المائة من حالات الإيدز بين النساء البالغات في كيبيك مرتبطة بالاتصال مع أفراد من الجنس الآخر باعتبار ذلك المصدر المفترض للإصابة.</w:t>
      </w:r>
    </w:p>
    <w:p w:rsidR="00000000" w:rsidRDefault="00000000">
      <w:pPr>
        <w:pStyle w:val="SingleTxt"/>
        <w:tabs>
          <w:tab w:val="clear" w:pos="1267"/>
        </w:tabs>
        <w:ind w:left="1264" w:right="1264"/>
        <w:rPr>
          <w:rtl/>
          <w:lang w:eastAsia="en-US"/>
        </w:rPr>
      </w:pPr>
      <w:r>
        <w:rPr>
          <w:rtl/>
          <w:lang w:eastAsia="en-US"/>
        </w:rPr>
        <w:t>754 -</w:t>
      </w:r>
      <w:r>
        <w:rPr>
          <w:rtl/>
          <w:lang w:eastAsia="en-US"/>
        </w:rPr>
        <w:tab/>
        <w:t xml:space="preserve">وفي حزيران/يونيه 1997، أعلنت وزارة الصحة والخدمات الاجتماعية المرحلة الرابعة من استراتيجيتها لمكافحة الإيدز، 1997 </w:t>
      </w:r>
      <w:r>
        <w:rPr>
          <w:lang w:eastAsia="en-US"/>
        </w:rPr>
        <w:t>–</w:t>
      </w:r>
      <w:r>
        <w:rPr>
          <w:rtl/>
          <w:lang w:eastAsia="en-US"/>
        </w:rPr>
        <w:t xml:space="preserve"> 2002. وهذه المرحلة سوف تشمل توحيد التدابير التي حققت نتائج إيجابية والوصول بها إلى الاستخدام الأمثل، واعتماد ممارسات تلبي احتياجات الفئات المعرضة للإصابة. وسوف تتجه الإجراءات نحو ثلاثة مجالات ذات أولوية: الوقاية والبحث الأساسي والإكلينيكي ثم تنظيم الرعاية والخدمات المقدمة في هذا الصدد.</w:t>
      </w:r>
    </w:p>
    <w:p w:rsidR="00000000" w:rsidRDefault="00000000">
      <w:pPr>
        <w:pStyle w:val="SingleTxt"/>
        <w:tabs>
          <w:tab w:val="clear" w:pos="1267"/>
        </w:tabs>
        <w:ind w:left="1264" w:right="1264"/>
        <w:rPr>
          <w:rtl/>
          <w:lang w:eastAsia="en-US"/>
        </w:rPr>
      </w:pPr>
      <w:r>
        <w:rPr>
          <w:rtl/>
          <w:lang w:eastAsia="en-US"/>
        </w:rPr>
        <w:t>755 -</w:t>
      </w:r>
      <w:r>
        <w:rPr>
          <w:rtl/>
          <w:lang w:eastAsia="en-US"/>
        </w:rPr>
        <w:tab/>
        <w:t>وفي أيار/مايو 1997 أعلنت الوزارة عن تنفيذ برنامج يرمي إلى خفض كبير في انتقال فيروس نقص المناعة البشرية من الأم إلى الطفل من خلال معالجة فعَّالة ومتاحة في الوقت الحالي.</w:t>
      </w:r>
    </w:p>
    <w:p w:rsidR="00000000" w:rsidRDefault="00000000">
      <w:pPr>
        <w:pStyle w:val="SingleTxt"/>
        <w:tabs>
          <w:tab w:val="clear" w:pos="1267"/>
        </w:tabs>
        <w:ind w:left="1264" w:right="1264"/>
        <w:rPr>
          <w:rtl/>
          <w:lang w:eastAsia="en-US"/>
        </w:rPr>
      </w:pPr>
      <w:r>
        <w:rPr>
          <w:rtl/>
          <w:lang w:eastAsia="en-US"/>
        </w:rPr>
        <w:t>756 -</w:t>
      </w:r>
      <w:r>
        <w:rPr>
          <w:rtl/>
          <w:lang w:eastAsia="en-US"/>
        </w:rPr>
        <w:tab/>
        <w:t>ويتمثل الهدف من البرنامج في كفالة تزويد جميع الحوامل والنساء الراغبات في الحمل بالمعلومات ذات الصلة بشأن اختبارات الجسيمات المضادة لفيروس نقص المناعة البشرية والعلاج بعقار زيدوفودين (</w:t>
      </w:r>
      <w:r>
        <w:rPr>
          <w:lang w:eastAsia="en-US"/>
        </w:rPr>
        <w:t>ZDV</w:t>
      </w:r>
      <w:r>
        <w:rPr>
          <w:rtl/>
          <w:lang w:eastAsia="en-US"/>
        </w:rPr>
        <w:t xml:space="preserve"> أو </w:t>
      </w:r>
      <w:r>
        <w:rPr>
          <w:lang w:eastAsia="en-US"/>
        </w:rPr>
        <w:t>AZT</w:t>
      </w:r>
      <w:r>
        <w:rPr>
          <w:rtl/>
          <w:lang w:eastAsia="en-US"/>
        </w:rPr>
        <w:t>). وسوف تتاح لجميع الحوامل الفرصة بواسطة طبيب لاجتياز هذا الاختبار بالمجان وعلى أساس طوعي.</w:t>
      </w:r>
    </w:p>
    <w:p w:rsidR="00000000" w:rsidRDefault="00000000">
      <w:pPr>
        <w:pStyle w:val="SingleTxt"/>
        <w:tabs>
          <w:tab w:val="clear" w:pos="1267"/>
        </w:tabs>
        <w:ind w:left="1264" w:right="1264"/>
        <w:rPr>
          <w:rtl/>
          <w:lang w:eastAsia="en-US"/>
        </w:rPr>
      </w:pPr>
      <w:r>
        <w:rPr>
          <w:rtl/>
          <w:lang w:eastAsia="en-US"/>
        </w:rPr>
        <w:t>757 -</w:t>
      </w:r>
      <w:r>
        <w:rPr>
          <w:rtl/>
          <w:lang w:eastAsia="en-US"/>
        </w:rPr>
        <w:tab/>
        <w:t>وفي كيبيك تدل التقديرات في عام 1996 بشأن اكتشاف سرطان الثدي على:</w:t>
      </w:r>
    </w:p>
    <w:p w:rsidR="00000000" w:rsidRDefault="00000000">
      <w:pPr>
        <w:pStyle w:val="SingleTxt"/>
        <w:tabs>
          <w:tab w:val="clear" w:pos="1267"/>
        </w:tabs>
        <w:ind w:left="1927" w:right="1264" w:hanging="663"/>
        <w:rPr>
          <w:rtl/>
          <w:lang w:eastAsia="en-US"/>
        </w:rPr>
      </w:pPr>
      <w:r>
        <w:rPr>
          <w:rtl/>
          <w:lang w:eastAsia="en-US"/>
        </w:rPr>
        <w:tab/>
        <w:t>•</w:t>
      </w:r>
      <w:r>
        <w:rPr>
          <w:rtl/>
          <w:lang w:eastAsia="en-US"/>
        </w:rPr>
        <w:tab/>
        <w:t>سرطان الثدي كان الشكل الأشيع تشخيصا للسرطان بين نساء كيبيك</w:t>
      </w:r>
    </w:p>
    <w:p w:rsidR="00000000" w:rsidRDefault="00000000">
      <w:pPr>
        <w:pStyle w:val="SingleTxt"/>
        <w:tabs>
          <w:tab w:val="clear" w:pos="1267"/>
        </w:tabs>
        <w:ind w:left="1927" w:right="1264" w:hanging="663"/>
        <w:rPr>
          <w:rtl/>
          <w:lang w:eastAsia="en-US"/>
        </w:rPr>
      </w:pPr>
      <w:r>
        <w:rPr>
          <w:rtl/>
          <w:lang w:eastAsia="en-US"/>
        </w:rPr>
        <w:tab/>
        <w:t>•</w:t>
      </w:r>
      <w:r>
        <w:rPr>
          <w:rtl/>
          <w:lang w:eastAsia="en-US"/>
        </w:rPr>
        <w:tab/>
        <w:t xml:space="preserve">سرطان الثدي شكَّل ثاني سبب من الأسباب المرتفعة للوفاة من جراء </w:t>
      </w:r>
      <w:r>
        <w:rPr>
          <w:rtl/>
          <w:lang w:eastAsia="en-US"/>
        </w:rPr>
        <w:tab/>
      </w:r>
      <w:r>
        <w:rPr>
          <w:rtl/>
          <w:lang w:eastAsia="en-US"/>
        </w:rPr>
        <w:tab/>
        <w:t>الإصابة بالسرطان بين النساء</w:t>
      </w:r>
    </w:p>
    <w:p w:rsidR="00000000" w:rsidRDefault="00000000">
      <w:pPr>
        <w:pStyle w:val="SingleTxt"/>
        <w:tabs>
          <w:tab w:val="clear" w:pos="1267"/>
        </w:tabs>
        <w:ind w:left="1927" w:right="1264" w:hanging="663"/>
        <w:rPr>
          <w:rtl/>
          <w:lang w:eastAsia="en-US"/>
        </w:rPr>
      </w:pPr>
      <w:r>
        <w:rPr>
          <w:rtl/>
          <w:lang w:eastAsia="en-US"/>
        </w:rPr>
        <w:tab/>
        <w:t>•</w:t>
      </w:r>
      <w:r>
        <w:rPr>
          <w:rtl/>
          <w:lang w:eastAsia="en-US"/>
        </w:rPr>
        <w:tab/>
        <w:t>تم الإبلاغ عن 100 4 حالة جديدة من سرطان الثدي</w:t>
      </w:r>
    </w:p>
    <w:p w:rsidR="00000000" w:rsidRDefault="00000000">
      <w:pPr>
        <w:pStyle w:val="SingleTxt"/>
        <w:tabs>
          <w:tab w:val="clear" w:pos="1267"/>
        </w:tabs>
        <w:ind w:left="1927" w:right="1264" w:hanging="663"/>
        <w:rPr>
          <w:rtl/>
          <w:lang w:eastAsia="en-US"/>
        </w:rPr>
      </w:pPr>
      <w:r>
        <w:rPr>
          <w:rtl/>
          <w:lang w:eastAsia="en-US"/>
        </w:rPr>
        <w:tab/>
        <w:t>•</w:t>
      </w:r>
      <w:r>
        <w:rPr>
          <w:rtl/>
          <w:lang w:eastAsia="en-US"/>
        </w:rPr>
        <w:tab/>
        <w:t>وقعت 450 1 حالة وفاة أُبلغ عنها بسبب سرطان الثدي</w:t>
      </w:r>
    </w:p>
    <w:p w:rsidR="00000000" w:rsidRDefault="00000000">
      <w:pPr>
        <w:pStyle w:val="SingleTxt"/>
        <w:tabs>
          <w:tab w:val="clear" w:pos="1267"/>
        </w:tabs>
        <w:ind w:left="1927" w:right="1264" w:hanging="663"/>
        <w:rPr>
          <w:rtl/>
          <w:lang w:eastAsia="en-US"/>
        </w:rPr>
      </w:pPr>
      <w:r>
        <w:rPr>
          <w:rtl/>
          <w:lang w:eastAsia="en-US"/>
        </w:rPr>
        <w:tab/>
        <w:t>•</w:t>
      </w:r>
      <w:r>
        <w:rPr>
          <w:rtl/>
          <w:lang w:eastAsia="en-US"/>
        </w:rPr>
        <w:tab/>
        <w:t xml:space="preserve">ما يقرب من 80 في المائة من حالات سرطان الثدي شملت نساءً تجاوزن </w:t>
      </w:r>
      <w:r>
        <w:rPr>
          <w:rtl/>
          <w:lang w:eastAsia="en-US"/>
        </w:rPr>
        <w:tab/>
      </w:r>
      <w:r>
        <w:rPr>
          <w:rtl/>
          <w:lang w:eastAsia="en-US"/>
        </w:rPr>
        <w:tab/>
        <w:t>سن الخمسين.</w:t>
      </w:r>
    </w:p>
    <w:p w:rsidR="00000000" w:rsidRDefault="00000000">
      <w:pPr>
        <w:pStyle w:val="SingleTxt"/>
        <w:tabs>
          <w:tab w:val="clear" w:pos="1267"/>
        </w:tabs>
        <w:ind w:left="1264" w:right="1264"/>
        <w:rPr>
          <w:rtl/>
          <w:lang w:eastAsia="en-US"/>
        </w:rPr>
      </w:pPr>
      <w:r>
        <w:rPr>
          <w:rtl/>
          <w:lang w:eastAsia="en-US"/>
        </w:rPr>
        <w:t>758 -</w:t>
      </w:r>
      <w:r>
        <w:rPr>
          <w:rtl/>
          <w:lang w:eastAsia="en-US"/>
        </w:rPr>
        <w:tab/>
        <w:t>وبرنامج الفحص الشامل لسرطان الثدي في كيبيك الذي بدأ في تشرين الأول/أكتوبر 1997 متاح لجميع النساء بين سن الخمسين والتاسعة والستين. وتشجِّع النساء على إجراء فحص شامل للثدي كل سنتين. كما يتمثل هدف البرنامج في خفض الوفيات الناجمة عن سرطان الثدي بين نساء كيبيك في هذه المجموعة العمرية (يبلغ حجمها نحو 000 750 نسمة) بنسبة 25 في المائة على الأقل على مدى 10 سنوات. وسيتم تنفيذ البرنامج تدريجيا طبقا للاحتياجات المحددة وحسب الموارد وفي ضوء مشاكل كل منطقة. وقد رُصِدت ميزانية بمبلغ 1.75 مليون دولار لصالح الأنشطة المختلفة في هذا الشأن ولا سيما أنشطة التنفيذ على المستوى الإقليمي.</w:t>
      </w:r>
    </w:p>
    <w:p w:rsidR="00000000" w:rsidRDefault="00000000">
      <w:pPr>
        <w:pStyle w:val="SingleTxt"/>
        <w:tabs>
          <w:tab w:val="clear" w:pos="1267"/>
        </w:tabs>
        <w:ind w:left="1264" w:right="1264"/>
        <w:rPr>
          <w:rtl/>
          <w:lang w:eastAsia="en-US"/>
        </w:rPr>
      </w:pPr>
      <w:r>
        <w:rPr>
          <w:rtl/>
          <w:lang w:eastAsia="en-US"/>
        </w:rPr>
        <w:t>759 -</w:t>
      </w:r>
      <w:r>
        <w:rPr>
          <w:rtl/>
          <w:lang w:eastAsia="en-US"/>
        </w:rPr>
        <w:tab/>
        <w:t>وفي عام 1994، كانت نسبة 29 في المائة من طلاب الثانويات يدخنون مقابل نسبة 19 في المائة عام 1991. وهذه الزيادة ملحوظة بصورة خاصة بين الفتيات في جميع مستويات المدرسة الثانوية بينما أصبحت الزيادة بين الفتيان أقل شأنا من حيث الشيوع.</w:t>
      </w:r>
    </w:p>
    <w:p w:rsidR="00000000" w:rsidRDefault="00000000">
      <w:pPr>
        <w:pStyle w:val="SingleTxt"/>
        <w:tabs>
          <w:tab w:val="clear" w:pos="1267"/>
        </w:tabs>
        <w:ind w:left="1264" w:right="1264"/>
        <w:rPr>
          <w:rtl/>
          <w:lang w:eastAsia="en-US"/>
        </w:rPr>
      </w:pPr>
      <w:r>
        <w:rPr>
          <w:rtl/>
          <w:lang w:eastAsia="en-US"/>
        </w:rPr>
        <w:t>760 -</w:t>
      </w:r>
      <w:r>
        <w:rPr>
          <w:rtl/>
          <w:lang w:eastAsia="en-US"/>
        </w:rPr>
        <w:tab/>
        <w:t>وقد أوضح استقصاء لعام 1996 عن التدخين بين صفوف الشباب أن هذه العادة ما برحت في ازدياد، وأن نسبة 38 في المائة من جميع المستجيبين ذكرت أنهم يدخنون بانتظام أو بين حين وحين حيث تجاوزت الفتيات نسبة الفتيان على أساس نسبة 43 في المائة مقابل 33 في المائة.</w:t>
      </w:r>
    </w:p>
    <w:p w:rsidR="00000000" w:rsidRDefault="00000000">
      <w:pPr>
        <w:pStyle w:val="SingleTxt"/>
        <w:tabs>
          <w:tab w:val="clear" w:pos="1267"/>
        </w:tabs>
        <w:ind w:left="1264" w:right="1264"/>
        <w:rPr>
          <w:rtl/>
          <w:lang w:eastAsia="en-US"/>
        </w:rPr>
      </w:pPr>
      <w:r>
        <w:rPr>
          <w:rtl/>
          <w:lang w:eastAsia="en-US"/>
        </w:rPr>
        <w:t>761 -</w:t>
      </w:r>
      <w:r>
        <w:rPr>
          <w:rtl/>
          <w:lang w:eastAsia="en-US"/>
        </w:rPr>
        <w:tab/>
        <w:t>وفي عام 1994 بُذل جهد لشن حملة فعَّالة لمكافحة التدخين حيث قامت وزارة الصحة والخدمات الاجتماعية في كيبيك بتصميم وتوزيع خطة عمل ركَّزت على ثلاثة مجالات رئيسية: الوقاية وحماية غير المدخنين والتوقُّف عن التدخين. وتقوم الخطة على أساس المبادئ والاستراتيجيات المعترف بها دوليا.</w:t>
      </w:r>
    </w:p>
    <w:p w:rsidR="00000000" w:rsidRDefault="00000000">
      <w:pPr>
        <w:pStyle w:val="SingleTxt"/>
        <w:tabs>
          <w:tab w:val="clear" w:pos="1267"/>
        </w:tabs>
        <w:ind w:left="1264" w:right="1264"/>
        <w:rPr>
          <w:rtl/>
          <w:lang w:eastAsia="en-US"/>
        </w:rPr>
      </w:pPr>
      <w:r>
        <w:rPr>
          <w:rtl/>
          <w:lang w:eastAsia="en-US"/>
        </w:rPr>
        <w:t>762 -</w:t>
      </w:r>
      <w:r>
        <w:rPr>
          <w:rtl/>
          <w:lang w:eastAsia="en-US"/>
        </w:rPr>
        <w:tab/>
        <w:t xml:space="preserve">ومن أجل الفهم السليم لحالة كيبيك المحددة فيما يتعلق بالحمل المبكر، يجدر بالمرء أن يضع الظاهرة ضمن سياق إحصائي أوسع. فقد ظل معدل حالات الحمل المبكر في كيبيك أقل من نظيره في سائر أنحاء كندا. وفي الفئة العمرية دون الثامنة عشرة، فإن معدل كندا كان 25.2 لكل 000 1 في عام 1980 و 25 لكل 000 1 في عام 1993. أما في كيبيك فكان الرقم 12.2 لكل 000 1 عام 1980 إلى أن وصل سقفاً هو 19.8 لكل 000 1 عام 1993. وعلى الجبهة الدولية، في نهاية عقد الثمانينيات، كان معدل الحمل المُبكر في كيبيك في المجموعة العمرية 15 </w:t>
      </w:r>
      <w:r>
        <w:rPr>
          <w:lang w:eastAsia="en-US"/>
        </w:rPr>
        <w:t>–</w:t>
      </w:r>
      <w:r>
        <w:rPr>
          <w:rtl/>
          <w:lang w:eastAsia="en-US"/>
        </w:rPr>
        <w:t xml:space="preserve"> 19 سنة هو 37 لكل 000 1 ويقرب كثيرا بذلك من نظيره في السويد (35 لكل 000 1) فيما كان المعدل في الولايات المتحدة هو 97 لكل 000 1.</w:t>
      </w:r>
    </w:p>
    <w:p w:rsidR="00000000" w:rsidRDefault="00000000">
      <w:pPr>
        <w:pStyle w:val="SingleTxt"/>
        <w:tabs>
          <w:tab w:val="clear" w:pos="1267"/>
        </w:tabs>
        <w:ind w:left="1264" w:right="1264"/>
        <w:rPr>
          <w:rtl/>
          <w:lang w:eastAsia="en-US"/>
        </w:rPr>
      </w:pPr>
      <w:r>
        <w:rPr>
          <w:rtl/>
          <w:lang w:eastAsia="en-US"/>
        </w:rPr>
        <w:t>763 -</w:t>
      </w:r>
      <w:r>
        <w:rPr>
          <w:rtl/>
          <w:lang w:eastAsia="en-US"/>
        </w:rPr>
        <w:tab/>
        <w:t>وهناك عدد من المتغيِّرات التي قد تُفَسِّر الزيادة في معدل الحمل بين النساء دون الثامنة عشرة في كيبيك بين عامي 1980 و 1992. فأولا كان لكيبيك معدل حمل مبكر منخفض تاريخيا بسبب الإدانة القوية من جانب المؤسسات الكاثوليكية. وثانيا شهدت المقاطعة زيادة ملحوظة في عدد الشباب الناشطين جنسيا فضلا عن انخفاض في متوسط العمر الذي تبدأ فيه لأول مرة العلاقات الجنسية. ثالثا يرتفع بشكل ملحوظ معدل الخصوبة بين المراهقات المنتميات إلى بيوت فقيرة. وعليه، فقد يُشكِّل مناخ الشظف الاقتصادي في السنوات القليلة الأخيرة عاملا مساهما في هذه الظاهرة. ورابعا وصلت خدمات الثقافة الجنسية التي قدمتها شبكة الخدمات الصحية والاجتماعية والنظام التعليمي إلى مستوى استقرت عنده إن لم تنحدر بعد ذلك.</w:t>
      </w:r>
    </w:p>
    <w:p w:rsidR="00000000" w:rsidRDefault="00000000">
      <w:pPr>
        <w:pStyle w:val="SingleTxt"/>
        <w:tabs>
          <w:tab w:val="clear" w:pos="1267"/>
        </w:tabs>
        <w:ind w:left="1264" w:right="1264"/>
        <w:rPr>
          <w:rtl/>
          <w:lang w:eastAsia="en-US"/>
        </w:rPr>
      </w:pPr>
      <w:r>
        <w:rPr>
          <w:rtl/>
          <w:lang w:eastAsia="en-US"/>
        </w:rPr>
        <w:t>764 -</w:t>
      </w:r>
      <w:r>
        <w:rPr>
          <w:rtl/>
          <w:lang w:eastAsia="en-US"/>
        </w:rPr>
        <w:tab/>
        <w:t>وتوضح أحدث الإحصاءات المتاحة أيضا أن معدل الحمل بين الفتيات دون الثامنة عشرة قد استقر بل وبدأ في الانخفاض. وبالنسبة لأعوام 1993 و 1994 و 1995 كان المعدل هو 19.8 و 19 و 18.5 لكل 000 1 على التوالي. وهذا الاتجاه التنازلي قد يُعزى بالذات إلى استخدام وسائل منع الحمل مثل الواقيات الذكرية وحبوب منع الحمل.</w:t>
      </w:r>
    </w:p>
    <w:p w:rsidR="00000000" w:rsidRDefault="00000000">
      <w:pPr>
        <w:pStyle w:val="SingleTxt"/>
        <w:tabs>
          <w:tab w:val="clear" w:pos="1267"/>
        </w:tabs>
        <w:ind w:left="1264" w:right="1264"/>
        <w:rPr>
          <w:rtl/>
          <w:lang w:eastAsia="en-US"/>
        </w:rPr>
      </w:pPr>
      <w:r>
        <w:rPr>
          <w:rtl/>
          <w:lang w:eastAsia="en-US"/>
        </w:rPr>
        <w:t>765 -</w:t>
      </w:r>
      <w:r>
        <w:rPr>
          <w:rtl/>
          <w:lang w:eastAsia="en-US"/>
        </w:rPr>
        <w:tab/>
        <w:t>ومع ذلك فهذا الانخفاض يوجد أساسا بين من بلغن من العمر 16 و 17 سنة إذ يبدو أن المعدل للفتيات دون الخامسة عشرة ما زال في حال من التصاعد (4,4 و 4.6 5.4 لكل 000 1 في أعوام 1993 و 1994 و 1995 على التوالي).</w:t>
      </w:r>
    </w:p>
    <w:p w:rsidR="00000000" w:rsidRDefault="00000000">
      <w:pPr>
        <w:pStyle w:val="SingleTxt"/>
        <w:tabs>
          <w:tab w:val="clear" w:pos="1267"/>
        </w:tabs>
        <w:ind w:left="1264" w:right="1264"/>
        <w:rPr>
          <w:rtl/>
          <w:lang w:eastAsia="en-US"/>
        </w:rPr>
      </w:pPr>
      <w:r>
        <w:rPr>
          <w:rtl/>
          <w:lang w:eastAsia="en-US"/>
        </w:rPr>
        <w:t>766 -</w:t>
      </w:r>
      <w:r>
        <w:rPr>
          <w:rtl/>
          <w:lang w:eastAsia="en-US"/>
        </w:rPr>
        <w:tab/>
        <w:t xml:space="preserve">وبرغم أن الحالة أقل خطورة في كيبيك عنها في مواقع أخرى، فقد قررت الحكومة أنه في ضوء النتائج التي كثيرا ما تكون بالغة السوء بسبب الحمل المبكر، أنه يلزم اتخاذ الإجراءات الكفيلة بمنع وقوع مثل هذه الحالات من الحمل ودعم الأمهات المراهقات. وعليه أصبحت المشكلة إحدى أولويات خطة العمل للفترة 1997 </w:t>
      </w:r>
      <w:r>
        <w:rPr>
          <w:lang w:eastAsia="en-US"/>
        </w:rPr>
        <w:t>–</w:t>
      </w:r>
      <w:r>
        <w:rPr>
          <w:rtl/>
          <w:lang w:eastAsia="en-US"/>
        </w:rPr>
        <w:t xml:space="preserve"> 2000 للمرأة في كل أنحاء كيبيك. وتم إنشاء لجنة تضم ممثلين عن مختلف الوزارات الحكومية المعنية وأوكلت إليها مهمة وضع استراتيجيات وخطة عمل على صعيد دوائر الحكومة كلها. ويتمثل هدف اللجنة أساسا في تعزيز العمل المشترك والتنسيق بين جميع القطاعات.</w:t>
      </w:r>
    </w:p>
    <w:p w:rsidR="00000000" w:rsidRDefault="00000000">
      <w:pPr>
        <w:pStyle w:val="SingleTxt"/>
        <w:tabs>
          <w:tab w:val="clear" w:pos="1267"/>
        </w:tabs>
        <w:ind w:left="1264" w:right="1264"/>
        <w:rPr>
          <w:b/>
          <w:bCs/>
          <w:szCs w:val="32"/>
          <w:rtl/>
          <w:lang w:eastAsia="en-US"/>
        </w:rPr>
      </w:pPr>
      <w:r>
        <w:rPr>
          <w:b/>
          <w:bCs/>
          <w:szCs w:val="32"/>
          <w:rtl/>
          <w:lang w:eastAsia="en-US"/>
        </w:rPr>
        <w:t>المادة 12 (2)</w:t>
      </w:r>
    </w:p>
    <w:p w:rsidR="00000000" w:rsidRDefault="00000000">
      <w:pPr>
        <w:pStyle w:val="SingleTxt"/>
        <w:tabs>
          <w:tab w:val="clear" w:pos="1267"/>
        </w:tabs>
        <w:ind w:left="1264" w:right="1264"/>
        <w:rPr>
          <w:rtl/>
          <w:lang w:eastAsia="en-US"/>
        </w:rPr>
      </w:pPr>
      <w:r>
        <w:rPr>
          <w:rtl/>
          <w:lang w:eastAsia="en-US"/>
        </w:rPr>
        <w:t>767 -</w:t>
      </w:r>
      <w:r>
        <w:rPr>
          <w:rtl/>
          <w:lang w:eastAsia="en-US"/>
        </w:rPr>
        <w:tab/>
        <w:t>تتصدى سياسة الصحة قبل الولادة التي تعتمدها وزارة الصحة والخدمات الاجتماعية لحقيقة أن النساء الحوامل المحتاجات، فضلا عن آباء المستقبل، يفيدون من خدمات ما قبل الوضع التي تقدمها مراكز الخدمات الصحية والاجتماعية في أقل الحدود. وعليه تم تنفيذ مشروع نموذجي في عام 1995 في ثلاث مناطق من كيبيك (مدن الشرق ولورنتيان ووسط مونتريال) لتقييم إمكانية التعاون بين مراكز كيبيك العمالية ومراكز تقديم الخدمات الصحية والاجتماعية في إحالة الحوامل المستفيدات من ضمان الدخل إلى خدمات ما قبل الوضع التي تقدمها المراكز المذكورة والوكالات المحلية. وقد أتاح تقرير التقييم الذي نُشر عام 1996 تمديد المشروع ليشمل جميع مناطق المقاطعة ويشكل عملية مزمع تنفيذها على مدار ثلاث سنوات.</w:t>
      </w:r>
    </w:p>
    <w:p w:rsidR="00000000" w:rsidRDefault="00000000">
      <w:pPr>
        <w:pStyle w:val="SingleTxt"/>
        <w:tabs>
          <w:tab w:val="clear" w:pos="1267"/>
        </w:tabs>
        <w:ind w:left="1264" w:right="1264"/>
        <w:rPr>
          <w:rtl/>
          <w:lang w:eastAsia="en-US"/>
        </w:rPr>
      </w:pPr>
      <w:r>
        <w:rPr>
          <w:rtl/>
          <w:lang w:eastAsia="en-US"/>
        </w:rPr>
        <w:t>768 -</w:t>
      </w:r>
      <w:r>
        <w:rPr>
          <w:rtl/>
          <w:lang w:eastAsia="en-US"/>
        </w:rPr>
        <w:tab/>
        <w:t>وطبقا لإحصاءات وزارة الصحة والخدمات الاجتماعية فإن ما يقرب من 30 في المائة من 000 27 امرأة تقريبا ممن يجرى لهن إجهاض اختياري كل سنة لا بد أن يسافرن إلى منطقة أخرى توجد فيها الخدمات الصحية والاجتماعية للحصول على تلك الخدمة. ونحو ثلث حالات الإجهاض الاختيارية يتم إجراؤها في مراكز رعاية صحية للمرأة وفي عيادات متخصصة لا تتلقى تمويلا من الشبكة الصحية. وهذه المنظمات تتقاضى ما بين 150 دولارا و 550 دولارا لقاء المصاريف بخلاف أتعاب الطبيب عن مبلغ 350 دولارا في المتوسط لكل حالة إجهاض. وفي شباط/فبراير 1996 أعلنت وزارة الصحة والخدمات الاجتماعية عن استراتيجيتها في تنظيم الأسرة التي شملت إثنين من الأهداف ذات الأولوية: خفض حالات الحمل بين الفتيات دون الثامنة عشرة وتحسين فرص الوصول إلى خدمات تنظيم الأسرة ولا سيما في حالات الإجهاض بجميع مناطق المقاطعة. وما أن تم اعتماد هذه الاستراتيجيات حتى بدأت الخدمات الصحية والاجتماعية الإقليمية تضع خطط العمل الخاصة بها لتنفيذ هذين الهدفين.</w:t>
      </w:r>
    </w:p>
    <w:p w:rsidR="00000000" w:rsidRDefault="00000000">
      <w:pPr>
        <w:pStyle w:val="SingleTxt"/>
        <w:tabs>
          <w:tab w:val="clear" w:pos="1267"/>
        </w:tabs>
        <w:ind w:left="1264" w:right="1264"/>
        <w:rPr>
          <w:rtl/>
          <w:lang w:eastAsia="en-US"/>
        </w:rPr>
      </w:pPr>
      <w:r>
        <w:rPr>
          <w:rtl/>
          <w:lang w:eastAsia="en-US"/>
        </w:rPr>
        <w:t>769 -</w:t>
      </w:r>
      <w:r>
        <w:rPr>
          <w:rtl/>
          <w:lang w:eastAsia="en-US"/>
        </w:rPr>
        <w:tab/>
        <w:t>وفي كانون الأول/ديسمبر 1997، قدَّم مجلس تقييم المشاريع النموذجية، وهو وكالة متعددة التخصصات منشأة بموجب القانون الصادر بشأن ممارسة القبالة ضمن إطار المشاريع النموذجية (</w:t>
      </w:r>
      <w:r>
        <w:rPr>
          <w:lang w:eastAsia="en-US"/>
        </w:rPr>
        <w:t>S.Ql 1990, c. 12</w:t>
      </w:r>
      <w:r>
        <w:rPr>
          <w:rtl/>
          <w:lang w:eastAsia="en-US"/>
        </w:rPr>
        <w:t>) توصياته إلى الوزارتين الحكوميتين المختصتين. وجاء في مقدمة تلك التوصيات ما يلي: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الاعتراف رسميا بممارسة القبالة في كيبيك وبضرورة إدماج القابلات ضمـــن أفرقة ما قبل الوضع مع تشجيع التزامن بين الخدمات الميدانية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الاعتراف بالقابلات كمهنيات مستقلات مسؤولات عن تقديم الخدمة بشكل متواصل للأم والطفل منذ بداية الحمل إلى ما بعد الوضع بستة أسابيع</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يُسمح للقابلات بممارسة مهنتهن في طائفة متنوعة من المواقع وفي الإشراف على حالات الوضع ولا سيما في مراكز الولادة والمستشفيات والبيوت الخاصة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تتولى مراكز الخدمات الصحية والاجتماعية إدارة مراكز الولادة.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يقدَّم التدريب الأساسي للقابلات على المستوى الجامعي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يتاح التدريب الإكلينيكي (مع تركيز على التدريب الميداني) في جميع المواقع التي يسمح فيها بممارسة القبالة تحت إشراف مُعَلِّم معتمد.</w:t>
      </w:r>
    </w:p>
    <w:p w:rsidR="00000000" w:rsidRDefault="00000000">
      <w:pPr>
        <w:pStyle w:val="SingleTxt"/>
        <w:tabs>
          <w:tab w:val="clear" w:pos="1267"/>
        </w:tabs>
        <w:ind w:left="1264" w:right="1264"/>
        <w:rPr>
          <w:rtl/>
          <w:lang w:eastAsia="en-US"/>
        </w:rPr>
      </w:pPr>
      <w:r>
        <w:rPr>
          <w:rtl/>
          <w:lang w:eastAsia="en-US"/>
        </w:rPr>
        <w:t>770 -</w:t>
      </w:r>
      <w:r>
        <w:rPr>
          <w:rtl/>
          <w:lang w:eastAsia="en-US"/>
        </w:rPr>
        <w:tab/>
        <w:t>وفي ربيع عام 1998 تعهدت حكومة كيبيك بمتابعة التقرير وأوكلت إلى مجلس المهن في كيبيك مهمة التشاور مع الأطراف صاحبة المصلحة بشأن وضع نموذج للممارسة الخاصة للقابلة.</w:t>
      </w:r>
    </w:p>
    <w:p w:rsidR="00000000" w:rsidRDefault="00000000">
      <w:pPr>
        <w:pStyle w:val="SingleTxt"/>
        <w:tabs>
          <w:tab w:val="clear" w:pos="1267"/>
        </w:tabs>
        <w:ind w:left="1264" w:right="1264"/>
        <w:rPr>
          <w:b/>
          <w:bCs/>
          <w:szCs w:val="32"/>
          <w:rtl/>
          <w:lang w:eastAsia="en-US"/>
        </w:rPr>
      </w:pPr>
      <w:r>
        <w:rPr>
          <w:b/>
          <w:bCs/>
          <w:szCs w:val="32"/>
          <w:rtl/>
          <w:lang w:eastAsia="en-US"/>
        </w:rPr>
        <w:t>المادة 13: الاقتصاد والحياة الاجتماعية</w:t>
      </w:r>
    </w:p>
    <w:p w:rsidR="00000000" w:rsidRDefault="00000000">
      <w:pPr>
        <w:pStyle w:val="SingleTxt"/>
        <w:tabs>
          <w:tab w:val="clear" w:pos="1267"/>
        </w:tabs>
        <w:ind w:left="1264" w:right="1264"/>
        <w:rPr>
          <w:rtl/>
          <w:lang w:eastAsia="en-US"/>
        </w:rPr>
      </w:pPr>
      <w:r>
        <w:rPr>
          <w:rtl/>
          <w:lang w:eastAsia="en-US"/>
        </w:rPr>
        <w:t>771 -</w:t>
      </w:r>
      <w:r>
        <w:rPr>
          <w:rtl/>
          <w:lang w:eastAsia="en-US"/>
        </w:rPr>
        <w:tab/>
        <w:t>طبقا لبيانات 1994، فإن نحو 50 في المائة من حالات الزواج تنتهي بالطلاق. أما نتائج هذه الحالات من الانفصال فعديدة وعلى المستوى الاقتصادي وحده، شهد عام 1994 60 في المائة من أسر الوالد الوحيد تعيش في ربقة الفقر مقابل 13 في المائة من أسر الوالدين. والمرأة والطفل هما اللذان يتأثران بصورة خاصة باعتبار أن 82 في المائة من رؤساء عائلات الوالد الوحيد هم من النساء.</w:t>
      </w:r>
    </w:p>
    <w:p w:rsidR="00000000" w:rsidRDefault="00000000">
      <w:pPr>
        <w:pStyle w:val="SingleTxt"/>
        <w:tabs>
          <w:tab w:val="clear" w:pos="1267"/>
        </w:tabs>
        <w:ind w:left="1264" w:right="1264"/>
        <w:rPr>
          <w:rtl/>
          <w:lang w:eastAsia="en-US"/>
        </w:rPr>
      </w:pPr>
      <w:r>
        <w:rPr>
          <w:rtl/>
          <w:lang w:eastAsia="en-US"/>
        </w:rPr>
        <w:t>772 -</w:t>
      </w:r>
      <w:r>
        <w:rPr>
          <w:rtl/>
          <w:lang w:eastAsia="en-US"/>
        </w:rPr>
        <w:tab/>
        <w:t>وتشمل العوامل الكامنة وراء هذه الحالة عدم وفاء الزوج بسداد دعم الطفل بانتظام فضلا عن قصور مبالغ الدعم ذاتها.</w:t>
      </w:r>
    </w:p>
    <w:p w:rsidR="00000000" w:rsidRDefault="00000000">
      <w:pPr>
        <w:pStyle w:val="SingleTxt"/>
        <w:tabs>
          <w:tab w:val="clear" w:pos="1267"/>
        </w:tabs>
        <w:ind w:left="1264" w:right="1264"/>
        <w:rPr>
          <w:rtl/>
          <w:lang w:eastAsia="en-US"/>
        </w:rPr>
      </w:pPr>
      <w:r>
        <w:rPr>
          <w:rtl/>
          <w:lang w:eastAsia="en-US"/>
        </w:rPr>
        <w:t>773 -</w:t>
      </w:r>
      <w:r>
        <w:rPr>
          <w:rtl/>
          <w:lang w:eastAsia="en-US"/>
        </w:rPr>
        <w:tab/>
        <w:t>وفي عام 1995 أصدرت كيبيك قانون تسهيل دفع الدعم (</w:t>
      </w:r>
      <w:r>
        <w:rPr>
          <w:lang w:eastAsia="en-US"/>
        </w:rPr>
        <w:t>S.Q. 1996, c. 18</w:t>
      </w:r>
      <w:r>
        <w:rPr>
          <w:rtl/>
          <w:lang w:eastAsia="en-US"/>
        </w:rPr>
        <w:t>). وقد استحدث هذا التشريع نظاما شاملا لجباية دعم الطفل بواسطة وزارة الإيرادات العامة التي تقوم من ثم بالدفع للوالد الحاضن، كما يحترم القانون استقلالية الأفراد ذوي الصلة. وللمحكمة، في ظل ظروف معيَّنة، إذا ما اقتنعت بموافقة حرّة من الطرفين، أن تعفي الوالد غير الحاضن من الالتزام بسداد دعم الطفل لوزارة الإيرادات العامة.</w:t>
      </w:r>
    </w:p>
    <w:p w:rsidR="00000000" w:rsidRDefault="00000000">
      <w:pPr>
        <w:pStyle w:val="SingleTxt"/>
        <w:tabs>
          <w:tab w:val="clear" w:pos="1267"/>
        </w:tabs>
        <w:ind w:left="1264" w:right="1264"/>
        <w:rPr>
          <w:rtl/>
          <w:lang w:eastAsia="en-US"/>
        </w:rPr>
      </w:pPr>
      <w:r>
        <w:rPr>
          <w:rtl/>
          <w:lang w:eastAsia="en-US"/>
        </w:rPr>
        <w:t>774 -</w:t>
      </w:r>
      <w:r>
        <w:rPr>
          <w:rtl/>
          <w:lang w:eastAsia="en-US"/>
        </w:rPr>
        <w:tab/>
        <w:t xml:space="preserve">وبرغم التدابير التصحيحية المطلوبة لتقليل عوامل التأخير الإدارية، فقد أثبت النظام سلامته مما أتاح زيادة في مدفوعات دعم الطفل الطوعية من 45 في المائة إلى 74 في المائة طبقا لتقرير مراجع الحسابات العام، 1997 </w:t>
      </w:r>
      <w:r>
        <w:rPr>
          <w:lang w:eastAsia="en-US"/>
        </w:rPr>
        <w:t>–</w:t>
      </w:r>
      <w:r>
        <w:rPr>
          <w:rtl/>
          <w:lang w:eastAsia="en-US"/>
        </w:rPr>
        <w:t xml:space="preserve"> 1998.</w:t>
      </w:r>
    </w:p>
    <w:p w:rsidR="00000000" w:rsidRDefault="00000000">
      <w:pPr>
        <w:pStyle w:val="SingleTxt"/>
        <w:tabs>
          <w:tab w:val="clear" w:pos="1267"/>
        </w:tabs>
        <w:ind w:left="1264" w:right="1264"/>
        <w:rPr>
          <w:rtl/>
          <w:lang w:eastAsia="en-US"/>
        </w:rPr>
      </w:pPr>
      <w:r>
        <w:rPr>
          <w:rtl/>
          <w:lang w:eastAsia="en-US"/>
        </w:rPr>
        <w:t>775 -</w:t>
      </w:r>
      <w:r>
        <w:rPr>
          <w:rtl/>
          <w:lang w:eastAsia="en-US"/>
        </w:rPr>
        <w:tab/>
        <w:t>وما أن دخل القانون حيِّز النفاذ، حتى تم إنشاء لجنة متابعة لتقييم البرنامج ووضع توصيات بشأن إصلاح الحالة حيثما يمكن تطبيقها ثم تطوير مؤشرات لرصد النتائج، على أن تقدِّم اللجنة تقريرا إلى الحكومة في 1 كانون الأول/ديسمبر 2000 أي بعد خمس سنوات من دخول القانون حيِّز النفاذ.</w:t>
      </w:r>
    </w:p>
    <w:p w:rsidR="00000000" w:rsidRDefault="00000000">
      <w:pPr>
        <w:pStyle w:val="SingleTxt"/>
        <w:tabs>
          <w:tab w:val="clear" w:pos="1267"/>
        </w:tabs>
        <w:ind w:left="1264" w:right="1264"/>
        <w:rPr>
          <w:rtl/>
          <w:lang w:eastAsia="en-US"/>
        </w:rPr>
      </w:pPr>
      <w:r>
        <w:rPr>
          <w:rtl/>
          <w:lang w:eastAsia="en-US"/>
        </w:rPr>
        <w:t>776 -</w:t>
      </w:r>
      <w:r>
        <w:rPr>
          <w:rtl/>
          <w:lang w:eastAsia="en-US"/>
        </w:rPr>
        <w:tab/>
        <w:t>ومنذ 1 كانون الثاني/يناير 1998 كانت مدفوعات دعم الطفل التي تأمر بها المحكمة في حالة الطلاق أو الانفصال يتم حسابها في جملة أمور على أساس رقم قياسي يتفق مع نصوص الحكم. وبخلاف ذلك كان الحساب يتم تلقائيا في أول يناير من كل سنة طبقا للرقم القياسي السنوي للمعاشات التقاعدية، حيث أن الحساب السنوي على أساس رقم قياسي يتيح الحفاظ على القيمة النقدية الحقيقية لمبالغ دعم الطفل.</w:t>
      </w:r>
    </w:p>
    <w:p w:rsidR="00000000" w:rsidRDefault="00000000">
      <w:pPr>
        <w:pStyle w:val="SingleTxt"/>
        <w:tabs>
          <w:tab w:val="clear" w:pos="1267"/>
        </w:tabs>
        <w:ind w:left="1264" w:right="1264"/>
        <w:rPr>
          <w:rtl/>
          <w:lang w:eastAsia="en-US"/>
        </w:rPr>
      </w:pPr>
      <w:r>
        <w:rPr>
          <w:rtl/>
          <w:lang w:eastAsia="en-US"/>
        </w:rPr>
        <w:t>777 -</w:t>
      </w:r>
      <w:r>
        <w:rPr>
          <w:rtl/>
          <w:lang w:eastAsia="en-US"/>
        </w:rPr>
        <w:tab/>
        <w:t>وقبل 1 أيار/مايو 1997 كان قانون الضرائب على مستوى الاتحاد والمقاطعة يُلزم الوالدين الحاضنين بإدراج دعم الطفل ضمن حساب إيرادهما، حتى ولو أمكن للوالدين غير الحاضنين خصم الدعم المدفوع. وهذه المعاملة الضريبية كانت موضع خلاف أمام المحاكم.</w:t>
      </w:r>
    </w:p>
    <w:p w:rsidR="00000000" w:rsidRDefault="00000000">
      <w:pPr>
        <w:pStyle w:val="SingleTxt"/>
        <w:tabs>
          <w:tab w:val="clear" w:pos="1267"/>
        </w:tabs>
        <w:ind w:left="1264" w:right="1264"/>
        <w:rPr>
          <w:rtl/>
          <w:lang w:eastAsia="en-US"/>
        </w:rPr>
      </w:pPr>
      <w:r>
        <w:rPr>
          <w:rtl/>
          <w:lang w:eastAsia="en-US"/>
        </w:rPr>
        <w:t>778 -</w:t>
      </w:r>
      <w:r>
        <w:rPr>
          <w:rtl/>
          <w:lang w:eastAsia="en-US"/>
        </w:rPr>
        <w:tab/>
        <w:t>وفي حزيران/يونيه 1995 اعترفت المحكمة العليا بالسلامة القانونية للقواعد الضريبية ذات الصلة. ومع ذلك، فنظراً لضغط الرأي العام والمشاكل التي تولدت عن المعاملة الضريبية المعنية، قررت الحكومة أن تجعل دعم الطفل معفى من الضرائب بمعنى أنه لم يعد مطلوبا من الوالدين الحاضنين الإقرار به بوصفه دخلا خاضعا للضرائب مع عدم السماح للوالدين غير الحاضنين بخصمه من إيرادهما.</w:t>
      </w:r>
    </w:p>
    <w:p w:rsidR="00000000" w:rsidRDefault="00000000">
      <w:pPr>
        <w:pStyle w:val="SingleTxt"/>
        <w:tabs>
          <w:tab w:val="clear" w:pos="1267"/>
        </w:tabs>
        <w:ind w:left="1264" w:right="1264"/>
        <w:rPr>
          <w:rtl/>
          <w:lang w:eastAsia="en-US"/>
        </w:rPr>
      </w:pPr>
      <w:r>
        <w:rPr>
          <w:rtl/>
          <w:lang w:eastAsia="en-US"/>
        </w:rPr>
        <w:t>779 -</w:t>
      </w:r>
      <w:r>
        <w:rPr>
          <w:rtl/>
          <w:lang w:eastAsia="en-US"/>
        </w:rPr>
        <w:tab/>
        <w:t>ودخل هذا التدبير حيِّز النفاذ في 1 أيار/مايو 1997، وهو ينطبق على أي حكم أو اتفاق مكتوب تّم التوصل إليه بعد 30 نيسان/أبريل 1997. وينص على دفع دعم للطفل أو على تنقيح مبلغ هذا الدعم بعد ذلك التاريخ.</w:t>
      </w:r>
    </w:p>
    <w:p w:rsidR="00000000" w:rsidRDefault="00000000">
      <w:pPr>
        <w:pStyle w:val="SingleTxt"/>
        <w:tabs>
          <w:tab w:val="clear" w:pos="1267"/>
        </w:tabs>
        <w:ind w:left="1264" w:right="1264"/>
        <w:rPr>
          <w:rtl/>
          <w:lang w:eastAsia="en-US"/>
        </w:rPr>
      </w:pPr>
      <w:r>
        <w:rPr>
          <w:rtl/>
          <w:lang w:eastAsia="en-US"/>
        </w:rPr>
        <w:t>780 -</w:t>
      </w:r>
      <w:r>
        <w:rPr>
          <w:rtl/>
          <w:lang w:eastAsia="en-US"/>
        </w:rPr>
        <w:tab/>
        <w:t>ومعنى إضفاء مركز الإعفاء الضريبي على دعم الطفل أن يصبح بوسع الوالد الحاضن (في معظم الحالات هو الوالد ذو الدخل الأقل) وليس الوالد غير الحاضن، الإفادة إلى أقصى درجة ممكنة من المزايا الضريبية.</w:t>
      </w:r>
    </w:p>
    <w:p w:rsidR="00000000" w:rsidRDefault="00000000">
      <w:pPr>
        <w:pStyle w:val="SingleTxt"/>
        <w:tabs>
          <w:tab w:val="clear" w:pos="1267"/>
        </w:tabs>
        <w:ind w:left="1264" w:right="1264"/>
        <w:rPr>
          <w:rtl/>
          <w:lang w:eastAsia="en-US"/>
        </w:rPr>
      </w:pPr>
      <w:r>
        <w:rPr>
          <w:rtl/>
          <w:lang w:eastAsia="en-US"/>
        </w:rPr>
        <w:t>781 -</w:t>
      </w:r>
      <w:r>
        <w:rPr>
          <w:rtl/>
          <w:lang w:eastAsia="en-US"/>
        </w:rPr>
        <w:tab/>
        <w:t>ويمثل قصور مبالغ دعم الطفل عاملاً آخر يؤدي إلى فقر المرأة والطفل بعد انهيار الزواج. وعليه، وضعت حكومة كيبيك نموذجا لتحديد مدفوعات دعم الطفل وما لبث أن دخل حيِّز النفاذ في 1 أيار/مايو 1997. وفي الوقت نفسه أصبح هو النموذج الاتحادي.</w:t>
      </w:r>
    </w:p>
    <w:p w:rsidR="00000000" w:rsidRDefault="00000000">
      <w:pPr>
        <w:pStyle w:val="SingleTxt"/>
        <w:tabs>
          <w:tab w:val="clear" w:pos="1267"/>
        </w:tabs>
        <w:ind w:left="1264" w:right="1264"/>
        <w:rPr>
          <w:rtl/>
          <w:lang w:eastAsia="en-US"/>
        </w:rPr>
      </w:pPr>
      <w:r>
        <w:rPr>
          <w:rtl/>
          <w:lang w:eastAsia="en-US"/>
        </w:rPr>
        <w:t>782 -</w:t>
      </w:r>
      <w:r>
        <w:rPr>
          <w:rtl/>
          <w:lang w:eastAsia="en-US"/>
        </w:rPr>
        <w:tab/>
        <w:t>وفي إطار النظام الجديد، يحسب مبلغ الدعم طبقا لدخل كلا الوالدين وعدد الأطفال ذوي الصلة وأسلوب ترتيب الحضانة وبعض المصروفات الإضافية في حال انطباقها (التكاليف الطبية إلخ).</w:t>
      </w:r>
    </w:p>
    <w:p w:rsidR="00000000" w:rsidRDefault="00000000">
      <w:pPr>
        <w:pStyle w:val="SingleTxt"/>
        <w:tabs>
          <w:tab w:val="clear" w:pos="1267"/>
        </w:tabs>
        <w:ind w:left="1264" w:right="1264"/>
        <w:rPr>
          <w:rtl/>
          <w:lang w:eastAsia="en-US"/>
        </w:rPr>
      </w:pPr>
      <w:r>
        <w:rPr>
          <w:rtl/>
          <w:lang w:eastAsia="en-US"/>
        </w:rPr>
        <w:t>783 -</w:t>
      </w:r>
      <w:r>
        <w:rPr>
          <w:rtl/>
          <w:lang w:eastAsia="en-US"/>
        </w:rPr>
        <w:tab/>
        <w:t>ومع ذلك فللمحكمة، إذا ما تراءى لها أن المبلغ المقرر بموجب النموذج سيؤدي إلى مشقة غير مُبرَّرة لأحد الوالدين، أو إذا ما توصل الوالدان إلى اتفاق آخر يلبي احتياجات الطفل، أن تحدد الدعم عند مستوى مختلف عن ذلك الذي يمكن أن ينطبق بصورة اعتيادية.</w:t>
      </w:r>
    </w:p>
    <w:p w:rsidR="00000000" w:rsidRDefault="00000000">
      <w:pPr>
        <w:pStyle w:val="SingleTxt"/>
        <w:tabs>
          <w:tab w:val="clear" w:pos="1267"/>
        </w:tabs>
        <w:ind w:left="1264" w:right="1264"/>
        <w:rPr>
          <w:rtl/>
          <w:lang w:eastAsia="en-US"/>
        </w:rPr>
      </w:pPr>
      <w:r>
        <w:rPr>
          <w:rtl/>
          <w:lang w:eastAsia="en-US"/>
        </w:rPr>
        <w:t>784 -</w:t>
      </w:r>
      <w:r>
        <w:rPr>
          <w:rtl/>
          <w:lang w:eastAsia="en-US"/>
        </w:rPr>
        <w:tab/>
        <w:t>وتؤدي قواعد تحديد دعم الطفل المعتمدة في عام 1997 إلى تقليل الالتباس واحتمال نشوء حالات من المشقة والشقاق من خلال طرحها معايير ومعدلات محددة تُنظم حالات بعينها مما يؤدي إلى مزيد من السرعة في تسوية المنازعات وقليل من التوتر الذي ينشأ بين الأطراف. كما أن نموذج كيبيك يؤكد المسؤولية المشتركة للوالدين نحو أبنائهما ويجعل الدعم أولوية عليا فيما يتعلق بأي مصاريف تزيد أو تنقص عن الاحتياجات الأساسية للوالد غير الحاضن.</w:t>
      </w:r>
    </w:p>
    <w:p w:rsidR="00000000" w:rsidRDefault="00000000">
      <w:pPr>
        <w:pStyle w:val="SingleTxt"/>
        <w:tabs>
          <w:tab w:val="clear" w:pos="1267"/>
        </w:tabs>
        <w:ind w:left="1264" w:right="1264"/>
        <w:rPr>
          <w:rtl/>
          <w:lang w:eastAsia="en-US"/>
        </w:rPr>
      </w:pPr>
      <w:r>
        <w:rPr>
          <w:rtl/>
          <w:lang w:eastAsia="en-US"/>
        </w:rPr>
        <w:t>785 -</w:t>
      </w:r>
      <w:r>
        <w:rPr>
          <w:rtl/>
          <w:lang w:eastAsia="en-US"/>
        </w:rPr>
        <w:tab/>
        <w:t>ومن المقرر أن تقدِّم وزارة العدل، وهي المسؤولة عن إنفاذ النموذج المذكور، تقريرا في مدى ثلاث سنوات من نفاذه أي بحلول أيار/مايو 2000.</w:t>
      </w:r>
    </w:p>
    <w:p w:rsidR="00000000" w:rsidRDefault="00000000">
      <w:pPr>
        <w:pStyle w:val="SingleTxt"/>
        <w:tabs>
          <w:tab w:val="clear" w:pos="1267"/>
        </w:tabs>
        <w:ind w:left="1264" w:right="1264"/>
        <w:rPr>
          <w:rtl/>
          <w:lang w:eastAsia="en-US"/>
        </w:rPr>
      </w:pPr>
      <w:r>
        <w:rPr>
          <w:rtl/>
          <w:lang w:eastAsia="en-US"/>
        </w:rPr>
        <w:t>786 -</w:t>
      </w:r>
      <w:r>
        <w:rPr>
          <w:rtl/>
          <w:lang w:eastAsia="en-US"/>
        </w:rPr>
        <w:tab/>
        <w:t>وفي كيبيك، تقوم على جباية ضرائب الدخل كل من حكومة المقاطعة والحكومة الاتحادية. وكيبيك هي المقاطعة الوحيدة في البلاد التي تمتلك حكومتها نظامها الخاص في جباية الضرائب. وشأنها شأن الحكومة الاتحادية، تعامل كيبيك الأفراد بوصفهم وحدات ضريبية وتُطبِّق نظام “الضريبية التصاعدية”، وبموجبها فإن دافعي الضرائب ممن تتوافر لديهم قدرة أكبر على الدفع تُجبى منهم ضرائب أعلى. وهكذا فإن نظام كيبيك يُشجع على استقلالية الأفراد ضمن الأسرة المعيشية نفسها، فضلا عن الأخذ بنوع من إعادة توزيع ثروة كسبة الدخول المتوسطة والمرتفعة ليفيد منها الأقل ثراءً. كما نفَّذت كيبيك عدة تدابير ضريبية (استقطاعات وائتمانات ضريبية) مكيَّفة حسب أهداف معيَّنة ومصممة لكي تعترف ببعض الحالات الخاصة ومن ذلك مثلا التكاليف الإضافية التي تتحملها الأسر ذات الأطفال.</w:t>
      </w:r>
    </w:p>
    <w:p w:rsidR="00000000" w:rsidRDefault="00000000">
      <w:pPr>
        <w:pStyle w:val="SingleTxt"/>
        <w:tabs>
          <w:tab w:val="clear" w:pos="1267"/>
        </w:tabs>
        <w:ind w:left="1264" w:right="1264"/>
        <w:rPr>
          <w:rtl/>
          <w:lang w:eastAsia="en-US"/>
        </w:rPr>
      </w:pPr>
      <w:r>
        <w:rPr>
          <w:rtl/>
          <w:lang w:eastAsia="en-US"/>
        </w:rPr>
        <w:t>787 -</w:t>
      </w:r>
      <w:r>
        <w:rPr>
          <w:rtl/>
          <w:lang w:eastAsia="en-US"/>
        </w:rPr>
        <w:tab/>
        <w:t>ومنذ كانون الثاني/يناير 1998، عندما دخل حيِّز النفاذ الإصلاح الضريبي للأفراد، تم تخفيف عبء الضرائب الذي يتحمله سكان كيبيك بنحو 500 مليون دولار. وتشمل التدابير المتخذة في إطار هذا الإصلاح خفضا في ضريبية الدخل الشخصي ولا سيما بالنسبة للكسبة المنخفضي الدخل مع تعزيز إدماج كسبة الدخل المنخفض ضمن قوة العمل. وإذا ما ارتأى المرء أن المرأة تكسب بصورة عامة أقل مما يكسبه الرجل (المادة 11) وأن مشاركتها في قوة العمل كثيرا ما تكون متأثرة بالضرائب، فمن شأن الإصلاح أن يؤدي إلى منافع إيجابية بالنسبة لنصف السكان.</w:t>
      </w:r>
    </w:p>
    <w:p w:rsidR="00000000" w:rsidRDefault="00000000">
      <w:pPr>
        <w:pStyle w:val="SingleTxt"/>
        <w:tabs>
          <w:tab w:val="clear" w:pos="1267"/>
        </w:tabs>
        <w:ind w:left="1264" w:right="1264"/>
        <w:rPr>
          <w:rtl/>
          <w:lang w:eastAsia="en-US"/>
        </w:rPr>
      </w:pPr>
      <w:r>
        <w:rPr>
          <w:rtl/>
          <w:lang w:eastAsia="en-US"/>
        </w:rPr>
        <w:t>788 -</w:t>
      </w:r>
      <w:r>
        <w:rPr>
          <w:rtl/>
          <w:lang w:eastAsia="en-US"/>
        </w:rPr>
        <w:tab/>
        <w:t>كما جاء الإصلاح ليكمِّل المبادرات التي تم تنفيذها بموجب السياسة الجديدة للأسرة (المادة 11 (2)) من خلال العمل على تحسين الدعم المالي للأسر عن طريق نظام الضرائب. فدخل الزوجين ممن لهما أطفال أو ممن يقوم منهما بدور الوالد الوحيد سوف يزيد نتيجة هذا الإصلاح. وتهدف المساعدة الضريبية المقدمة للأسر ذات الأطفال أساسا إلى الاعتراف بالتكاليف الإضافية المتكبدة من أجل تلبية الاحتياجات الأساسية للأطفال (ائتمان ضريبي لصالح الأطفال المعالين) مع تشجيع الآباء على الانخراط في إلى قوة العمل (ائتمان مصاريف رعاية الطفل) وخفض العبء الضريبي عن عاتق الأسر المنخفضة الدخل (تخفيف ضرائب الدخل للأسر).</w:t>
      </w:r>
    </w:p>
    <w:p w:rsidR="00000000" w:rsidRDefault="00000000">
      <w:pPr>
        <w:pStyle w:val="SingleTxt"/>
        <w:tabs>
          <w:tab w:val="clear" w:pos="1267"/>
        </w:tabs>
        <w:ind w:left="1264" w:right="1264"/>
        <w:rPr>
          <w:szCs w:val="32"/>
          <w:rtl/>
          <w:lang w:eastAsia="en-US"/>
        </w:rPr>
      </w:pPr>
      <w:r>
        <w:rPr>
          <w:b/>
          <w:bCs/>
          <w:szCs w:val="32"/>
          <w:rtl/>
          <w:lang w:eastAsia="en-US"/>
        </w:rPr>
        <w:t>المادة 14: المرأة الريفية</w:t>
      </w:r>
    </w:p>
    <w:p w:rsidR="00000000" w:rsidRDefault="00000000">
      <w:pPr>
        <w:pStyle w:val="SingleTxt"/>
        <w:tabs>
          <w:tab w:val="clear" w:pos="1267"/>
        </w:tabs>
        <w:ind w:left="1264" w:right="1264"/>
        <w:rPr>
          <w:rtl/>
          <w:lang w:eastAsia="en-US"/>
        </w:rPr>
      </w:pPr>
      <w:r>
        <w:rPr>
          <w:rtl/>
          <w:lang w:eastAsia="en-US"/>
        </w:rPr>
        <w:t>789 -</w:t>
      </w:r>
      <w:r>
        <w:rPr>
          <w:rtl/>
          <w:lang w:eastAsia="en-US"/>
        </w:rPr>
        <w:tab/>
        <w:t>في مجال الزراعة، وبرغم أن الفتيات ينتظمن في الدراسة سنوات أكثر من الفتيان، إلا أن النظرة إليهن لم تتبلور بعد بوصفهن مرشحات لتولي أمور العمل والتجارة للأسرة. وتواصل وزارة الزراعة والمصايد والأغذية تشجيع الجيل التالي من المزارعات من خلال الإشادة الخاصة بالآباء الذين يؤازرون بناتهم في هذا المجال من العمل وإعطاء منح دراسية للنساء المنتظِمات في برامج الدبلوم المهني لمنتجات الألبان والزراعة. ويبدو أن هذه التدابير قد أسفرت عن نتائج حاسمة: فعدد النساء البالغات من العمر 40 سنة وما دونها اللائي حُددن لتولي مقاليد مزرعة الأسرة ارتفع من 142 في عام 1995 إلى 422 في عام 1997.</w:t>
      </w:r>
    </w:p>
    <w:p w:rsidR="00000000" w:rsidRDefault="00000000">
      <w:pPr>
        <w:pStyle w:val="SingleTxt"/>
        <w:tabs>
          <w:tab w:val="clear" w:pos="1267"/>
        </w:tabs>
        <w:ind w:left="1264" w:right="1264"/>
        <w:rPr>
          <w:b/>
          <w:bCs/>
          <w:szCs w:val="32"/>
          <w:rtl/>
          <w:lang w:eastAsia="en-US"/>
        </w:rPr>
      </w:pPr>
      <w:r>
        <w:rPr>
          <w:b/>
          <w:bCs/>
          <w:szCs w:val="32"/>
          <w:rtl/>
          <w:lang w:eastAsia="en-US"/>
        </w:rPr>
        <w:t>المادتان 15 و 16: الحقوق القانونية والمرأة والأسرة</w:t>
      </w:r>
    </w:p>
    <w:p w:rsidR="00000000" w:rsidRDefault="00000000">
      <w:pPr>
        <w:pStyle w:val="SingleTxt"/>
        <w:tabs>
          <w:tab w:val="clear" w:pos="1267"/>
        </w:tabs>
        <w:ind w:left="1264" w:right="1264"/>
        <w:rPr>
          <w:rtl/>
          <w:lang w:eastAsia="en-US"/>
        </w:rPr>
      </w:pPr>
      <w:r>
        <w:rPr>
          <w:rtl/>
          <w:lang w:eastAsia="en-US"/>
        </w:rPr>
        <w:t>790 -</w:t>
      </w:r>
      <w:r>
        <w:rPr>
          <w:rtl/>
          <w:lang w:eastAsia="en-US"/>
        </w:rPr>
        <w:tab/>
        <w:t>المساواة الجنسانية مضمونة بصورة كاملة بحكم القانون في كيبيك. ومن اللحظات الأساسية التي شهدت هذه العملية ما تم عام 1964 عندما وضعت المقاطعة نهاية لانعدام الأهلية القانونية للنساء المتزوجات.</w:t>
      </w:r>
    </w:p>
    <w:p w:rsidR="00000000" w:rsidRDefault="00000000">
      <w:pPr>
        <w:pStyle w:val="SingleTxt"/>
        <w:tabs>
          <w:tab w:val="clear" w:pos="1267"/>
        </w:tabs>
        <w:ind w:left="1264" w:right="1264"/>
        <w:rPr>
          <w:rtl/>
          <w:lang w:eastAsia="en-US"/>
        </w:rPr>
      </w:pPr>
      <w:r>
        <w:rPr>
          <w:rtl/>
          <w:lang w:eastAsia="en-US"/>
        </w:rPr>
        <w:t>791 -</w:t>
      </w:r>
      <w:r>
        <w:rPr>
          <w:rtl/>
          <w:lang w:eastAsia="en-US"/>
        </w:rPr>
        <w:tab/>
        <w:t>وفي عام 1995 قضى ميثاق حقوق الإنسان والحريات، بحظر أي نوع من أنواع التمييز على أساس جنساني. ثم جرى تعديل الميثاق في عام 1982 لإضافة حالات الحمل والتحرُّش وخاصة التحرُّش الجنسي بوصفها أسساً محظورة للتمييز.</w:t>
      </w:r>
    </w:p>
    <w:p w:rsidR="00000000" w:rsidRDefault="00000000">
      <w:pPr>
        <w:pStyle w:val="SingleTxt"/>
        <w:tabs>
          <w:tab w:val="clear" w:pos="1267"/>
        </w:tabs>
        <w:ind w:left="1264" w:right="1264"/>
        <w:rPr>
          <w:rtl/>
          <w:lang w:eastAsia="en-US"/>
        </w:rPr>
      </w:pPr>
      <w:r>
        <w:rPr>
          <w:rtl/>
          <w:lang w:eastAsia="en-US"/>
        </w:rPr>
        <w:t>792 -</w:t>
      </w:r>
      <w:r>
        <w:rPr>
          <w:rtl/>
          <w:lang w:eastAsia="en-US"/>
        </w:rPr>
        <w:tab/>
        <w:t>وفي أوائل الثمانينيات، أدى إصلاح متعمق لقانون الأسرة إلى تحسين الحماية القانونية المسبغة على المرأة المتزوجة من خلال الاعتراف بمساواتها الكاملة في ممارستها ما لها من حقوق الإنسان، حيث نص بالذات على أن الأزواج يتحملون المسؤولية المشتركة عن التوجيه المعنوي والمادي للأسرة وعن ممارسة السلطة الوالدية. كما نص الإصلاح على حماية مسكن الأسرة من خلال أخذه بتدبير جديد للانتصاف هو البدل التعويضي في حالة الانفصال أو الطلاق أو الوفاة.</w:t>
      </w:r>
    </w:p>
    <w:p w:rsidR="00000000" w:rsidRDefault="00000000">
      <w:pPr>
        <w:pStyle w:val="SingleTxt"/>
        <w:tabs>
          <w:tab w:val="clear" w:pos="1267"/>
        </w:tabs>
        <w:ind w:left="1264" w:right="1264"/>
        <w:rPr>
          <w:rtl/>
          <w:lang w:eastAsia="en-US"/>
        </w:rPr>
      </w:pPr>
      <w:r>
        <w:rPr>
          <w:rtl/>
          <w:lang w:eastAsia="en-US"/>
        </w:rPr>
        <w:t>793 -</w:t>
      </w:r>
      <w:r>
        <w:rPr>
          <w:rtl/>
          <w:lang w:eastAsia="en-US"/>
        </w:rPr>
        <w:tab/>
        <w:t>وأخيرا جاء عام 1989 ليشهد صدور قانون تعديل المدونة القانونية لكيبيك وغير ذلك من التشريعات الرامية إلى تأييد المساواة الاقتصادية بين الأزواج. ويُعالج القانون اقتسام الأصول في ممتلكات الأسرة عقب انهيار الزواج. ومن ذلك مثلا الأصول التي تتألف أساسا من مساكن الأسرة وأثاث الأسرة المعيشية والسيارات التي تستخدمها الأسرة والاشتراكات التي سددت خلال الزواج من جانب كل زوج في نظام المعاشات التقاعدية في كيبيك والمزايا التي استحقت خلال الزواج بموجب نظام للتقاعد. وهذه الإصلاحات الرئيسية أعقبتها طائفة متنوعة من التدابير الأخرى جاء في صدارتها تلك المتعلقة بالعمالة والواردة في قانون الأجر المتساوي (</w:t>
      </w:r>
      <w:r>
        <w:rPr>
          <w:lang w:eastAsia="en-US"/>
        </w:rPr>
        <w:t>S.Q. 1996, c. 43</w:t>
      </w:r>
      <w:r>
        <w:rPr>
          <w:rtl/>
          <w:lang w:eastAsia="en-US"/>
        </w:rPr>
        <w:t>).</w:t>
      </w:r>
    </w:p>
    <w:p w:rsidR="00000000" w:rsidRDefault="00000000">
      <w:pPr>
        <w:pStyle w:val="SingleTxt"/>
        <w:tabs>
          <w:tab w:val="clear" w:pos="1267"/>
        </w:tabs>
        <w:ind w:left="1264" w:right="1264"/>
        <w:rPr>
          <w:szCs w:val="32"/>
          <w:rtl/>
          <w:lang w:eastAsia="en-US"/>
        </w:rPr>
      </w:pPr>
      <w:r>
        <w:rPr>
          <w:rtl/>
          <w:lang w:eastAsia="en-US"/>
        </w:rPr>
        <w:br w:type="page"/>
      </w:r>
      <w:r>
        <w:rPr>
          <w:b/>
          <w:bCs/>
          <w:szCs w:val="32"/>
          <w:rtl/>
          <w:lang w:eastAsia="en-US"/>
        </w:rPr>
        <w:t>التذييل 1: الوثائق التي قُدِّمت إلى اللجنة</w:t>
      </w:r>
    </w:p>
    <w:p w:rsidR="00000000" w:rsidRDefault="00000000">
      <w:pPr>
        <w:pStyle w:val="SingleTxt"/>
        <w:tabs>
          <w:tab w:val="clear" w:pos="1267"/>
        </w:tabs>
        <w:ind w:left="1264" w:right="1264"/>
        <w:rPr>
          <w:rtl/>
          <w:lang w:eastAsia="en-US"/>
        </w:rPr>
      </w:pPr>
      <w:r>
        <w:rPr>
          <w:rtl/>
          <w:lang w:eastAsia="en-US"/>
        </w:rPr>
        <w:t xml:space="preserve">وزارة الصحة والخدمات الاجتماعية، الاعتداء الجنسي </w:t>
      </w:r>
      <w:r>
        <w:rPr>
          <w:lang w:eastAsia="en-US"/>
        </w:rPr>
        <w:t>STOP</w:t>
      </w:r>
      <w:r>
        <w:rPr>
          <w:rtl/>
          <w:lang w:eastAsia="en-US"/>
        </w:rPr>
        <w:t>، تقرير الفريق العامل المعني بالاعتداءات ذات الطابع الجنسي، كيبيك، 1995، ص 187 (من الأصل الفرنسي)</w:t>
      </w:r>
    </w:p>
    <w:p w:rsidR="00000000" w:rsidRDefault="00000000">
      <w:pPr>
        <w:pStyle w:val="SingleTxt"/>
        <w:tabs>
          <w:tab w:val="clear" w:pos="1267"/>
        </w:tabs>
        <w:ind w:left="1264" w:right="1264"/>
        <w:rPr>
          <w:rtl/>
          <w:lang w:eastAsia="en-US"/>
        </w:rPr>
      </w:pPr>
      <w:r>
        <w:rPr>
          <w:rtl/>
          <w:lang w:eastAsia="en-US"/>
        </w:rPr>
        <w:t xml:space="preserve">وزارة الصحة والخدمات الاجتماعية، خطة العمل للفترة 1997 </w:t>
      </w:r>
      <w:r>
        <w:rPr>
          <w:lang w:eastAsia="en-US"/>
        </w:rPr>
        <w:t>–</w:t>
      </w:r>
      <w:r>
        <w:rPr>
          <w:rtl/>
          <w:lang w:eastAsia="en-US"/>
        </w:rPr>
        <w:t xml:space="preserve"> 2000: الصحة والرفاه والأحوال المعيشية للمرأة، كيبيك 1997، ص 117</w:t>
      </w:r>
    </w:p>
    <w:p w:rsidR="00000000" w:rsidRDefault="00000000">
      <w:pPr>
        <w:pStyle w:val="SingleTxt"/>
        <w:tabs>
          <w:tab w:val="clear" w:pos="1267"/>
        </w:tabs>
        <w:ind w:left="1264" w:right="1264"/>
        <w:rPr>
          <w:rtl/>
          <w:lang w:eastAsia="en-US"/>
        </w:rPr>
      </w:pPr>
      <w:r>
        <w:rPr>
          <w:rtl/>
          <w:lang w:eastAsia="en-US"/>
        </w:rPr>
        <w:t xml:space="preserve">وزارة الصحة والخدمات الاجتماعية، وزارة العدل، وزارة الأمن العام، وزارة التعليم، أمانة الأسرة وأمانة وضع المرأة، منع وملاحقة ومكافحة العنف الزواجي </w:t>
      </w:r>
      <w:r>
        <w:rPr>
          <w:lang w:eastAsia="en-US"/>
        </w:rPr>
        <w:t>–</w:t>
      </w:r>
      <w:r>
        <w:rPr>
          <w:rtl/>
          <w:lang w:eastAsia="en-US"/>
        </w:rPr>
        <w:t xml:space="preserve"> الالتزامات التي تتحملها الوزارات والشبكات التابعة لها، كيبيك 1995، ص 26</w:t>
      </w:r>
    </w:p>
    <w:p w:rsidR="00000000" w:rsidRDefault="00000000">
      <w:pPr>
        <w:pStyle w:val="SingleTxt"/>
        <w:tabs>
          <w:tab w:val="clear" w:pos="1267"/>
        </w:tabs>
        <w:ind w:left="1264" w:right="1264"/>
        <w:rPr>
          <w:rtl/>
          <w:lang w:eastAsia="en-US"/>
        </w:rPr>
      </w:pPr>
      <w:r>
        <w:rPr>
          <w:rtl/>
          <w:lang w:eastAsia="en-US"/>
        </w:rPr>
        <w:t xml:space="preserve">وزارة الصحة والخدمات الاجتماعية، أمانة وضع المرأة، وزارة التعليم، وزارة العدل، منع وملاحقة ومكافحة العنف الزواجي </w:t>
      </w:r>
      <w:r>
        <w:rPr>
          <w:lang w:eastAsia="en-US"/>
        </w:rPr>
        <w:t>–</w:t>
      </w:r>
      <w:r>
        <w:rPr>
          <w:rtl/>
          <w:lang w:eastAsia="en-US"/>
        </w:rPr>
        <w:t xml:space="preserve"> سياسة  التدخل في حالة العنف الزواجي كيبيك، 1995، ص 75</w:t>
      </w:r>
    </w:p>
    <w:p w:rsidR="00000000" w:rsidRDefault="00000000">
      <w:pPr>
        <w:pStyle w:val="SingleTxt"/>
        <w:tabs>
          <w:tab w:val="clear" w:pos="1267"/>
        </w:tabs>
        <w:ind w:left="1264" w:right="1264"/>
        <w:rPr>
          <w:rtl/>
          <w:lang w:eastAsia="en-US"/>
        </w:rPr>
      </w:pPr>
      <w:r>
        <w:rPr>
          <w:rtl/>
          <w:lang w:eastAsia="en-US"/>
        </w:rPr>
        <w:t>أمانة وضع المرأة وحالة المرأة والقوانين: ملخص بالقوانين الرئيسية في كيبيك لدى وقوع حوادث تتعلق بالأحوال المعيشية للمرأة، كيبيك، كانون الأول/ديسمبر 1998، ص 190</w:t>
      </w:r>
    </w:p>
    <w:p w:rsidR="00000000" w:rsidRDefault="00000000">
      <w:pPr>
        <w:pStyle w:val="SingleTxt"/>
        <w:tabs>
          <w:tab w:val="clear" w:pos="1267"/>
        </w:tabs>
        <w:ind w:left="1264" w:right="1264"/>
        <w:rPr>
          <w:rtl/>
          <w:lang w:eastAsia="en-US"/>
        </w:rPr>
      </w:pPr>
      <w:r>
        <w:rPr>
          <w:rtl/>
          <w:lang w:eastAsia="en-US"/>
        </w:rPr>
        <w:t>أمانة وضع المرأة، موقع المرأة في تنمية المناطق، التوجيه الخامس، كيبيك، أيار/مايو 1997، ص 67</w:t>
      </w:r>
    </w:p>
    <w:p w:rsidR="00000000" w:rsidRDefault="00000000">
      <w:pPr>
        <w:pStyle w:val="SingleTxt"/>
        <w:tabs>
          <w:tab w:val="clear" w:pos="1267"/>
        </w:tabs>
        <w:ind w:left="1264" w:right="1264"/>
        <w:rPr>
          <w:rtl/>
          <w:lang w:eastAsia="en-US"/>
        </w:rPr>
      </w:pPr>
      <w:r>
        <w:rPr>
          <w:rtl/>
          <w:lang w:eastAsia="en-US"/>
        </w:rPr>
        <w:t xml:space="preserve">أمانة وضع المرأة، برنامج العمل للفترة 1997 </w:t>
      </w:r>
      <w:r>
        <w:rPr>
          <w:lang w:eastAsia="en-US"/>
        </w:rPr>
        <w:t>–</w:t>
      </w:r>
      <w:r>
        <w:rPr>
          <w:rtl/>
          <w:lang w:eastAsia="en-US"/>
        </w:rPr>
        <w:t xml:space="preserve"> 2000 لجميع سكان كيبيك، كيبيك، أيار/مايو 1997، ص 138</w:t>
      </w:r>
    </w:p>
    <w:p w:rsidR="00000000" w:rsidRDefault="00000000">
      <w:pPr>
        <w:pStyle w:val="SingleTxt"/>
        <w:tabs>
          <w:tab w:val="clear" w:pos="1267"/>
        </w:tabs>
        <w:ind w:left="1264" w:right="1264"/>
        <w:rPr>
          <w:b/>
          <w:bCs/>
          <w:szCs w:val="32"/>
          <w:rtl/>
          <w:lang w:eastAsia="en-US"/>
        </w:rPr>
      </w:pPr>
      <w:r>
        <w:rPr>
          <w:rtl/>
          <w:lang w:eastAsia="en-US"/>
        </w:rPr>
        <w:br w:type="page"/>
      </w:r>
      <w:r>
        <w:rPr>
          <w:b/>
          <w:bCs/>
          <w:szCs w:val="32"/>
          <w:rtl/>
          <w:lang w:eastAsia="en-US"/>
        </w:rPr>
        <w:t>التذييل 2: المرأة في مواقع السلطة</w:t>
      </w:r>
    </w:p>
    <w:p w:rsidR="00000000" w:rsidRDefault="00000000">
      <w:pPr>
        <w:pStyle w:val="SingleTxt"/>
        <w:tabs>
          <w:tab w:val="clear" w:pos="1267"/>
        </w:tabs>
        <w:ind w:left="1264" w:right="1264"/>
        <w:rPr>
          <w:rtl/>
          <w:lang w:eastAsia="en-US"/>
        </w:rPr>
      </w:pPr>
      <w:r>
        <w:rPr>
          <w:b/>
          <w:bCs/>
          <w:rtl/>
          <w:lang w:eastAsia="en-US"/>
        </w:rPr>
        <w:t>مستوى البلديات</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94"/>
        <w:gridCol w:w="1560"/>
        <w:gridCol w:w="567"/>
        <w:gridCol w:w="1417"/>
        <w:gridCol w:w="709"/>
        <w:gridCol w:w="1559"/>
        <w:gridCol w:w="567"/>
        <w:gridCol w:w="1418"/>
        <w:gridCol w:w="671"/>
      </w:tblGrid>
      <w:tr w:rsidR="00000000">
        <w:tblPrEx>
          <w:tblCellMar>
            <w:top w:w="0" w:type="dxa"/>
            <w:bottom w:w="0" w:type="dxa"/>
          </w:tblCellMar>
        </w:tblPrEx>
        <w:trPr>
          <w:cantSplit/>
        </w:trPr>
        <w:tc>
          <w:tcPr>
            <w:tcW w:w="1594" w:type="dxa"/>
            <w:vMerge w:val="restart"/>
          </w:tcPr>
          <w:p w:rsidR="00000000" w:rsidRDefault="00000000">
            <w:pPr>
              <w:rPr>
                <w:i/>
                <w:iCs/>
                <w:rtl/>
                <w:lang w:eastAsia="en-US"/>
              </w:rPr>
            </w:pPr>
            <w:r>
              <w:rPr>
                <w:i/>
                <w:iCs/>
                <w:rtl/>
                <w:lang w:eastAsia="en-US"/>
              </w:rPr>
              <w:t>ممثلو البلديات</w:t>
            </w:r>
          </w:p>
        </w:tc>
        <w:tc>
          <w:tcPr>
            <w:tcW w:w="2127" w:type="dxa"/>
            <w:gridSpan w:val="2"/>
          </w:tcPr>
          <w:p w:rsidR="00000000" w:rsidRDefault="00000000">
            <w:pPr>
              <w:jc w:val="center"/>
              <w:rPr>
                <w:i/>
                <w:iCs/>
                <w:szCs w:val="26"/>
                <w:rtl/>
                <w:lang w:eastAsia="en-US"/>
              </w:rPr>
            </w:pPr>
            <w:r>
              <w:rPr>
                <w:i/>
                <w:iCs/>
                <w:szCs w:val="26"/>
                <w:rtl/>
                <w:lang w:eastAsia="en-US"/>
              </w:rPr>
              <w:t>1994</w:t>
            </w:r>
          </w:p>
        </w:tc>
        <w:tc>
          <w:tcPr>
            <w:tcW w:w="2126" w:type="dxa"/>
            <w:gridSpan w:val="2"/>
          </w:tcPr>
          <w:p w:rsidR="00000000" w:rsidRDefault="00000000">
            <w:pPr>
              <w:jc w:val="center"/>
              <w:rPr>
                <w:i/>
                <w:iCs/>
                <w:szCs w:val="26"/>
                <w:rtl/>
                <w:lang w:eastAsia="en-US"/>
              </w:rPr>
            </w:pPr>
            <w:r>
              <w:rPr>
                <w:i/>
                <w:iCs/>
                <w:szCs w:val="26"/>
                <w:rtl/>
                <w:lang w:eastAsia="en-US"/>
              </w:rPr>
              <w:t>1995</w:t>
            </w:r>
          </w:p>
        </w:tc>
        <w:tc>
          <w:tcPr>
            <w:tcW w:w="2126" w:type="dxa"/>
            <w:gridSpan w:val="2"/>
          </w:tcPr>
          <w:p w:rsidR="00000000" w:rsidRDefault="00000000">
            <w:pPr>
              <w:jc w:val="center"/>
              <w:rPr>
                <w:i/>
                <w:iCs/>
                <w:szCs w:val="26"/>
                <w:rtl/>
                <w:lang w:eastAsia="en-US"/>
              </w:rPr>
            </w:pPr>
            <w:r>
              <w:rPr>
                <w:i/>
                <w:iCs/>
                <w:szCs w:val="26"/>
                <w:rtl/>
                <w:lang w:eastAsia="en-US"/>
              </w:rPr>
              <w:t>1996</w:t>
            </w:r>
          </w:p>
        </w:tc>
        <w:tc>
          <w:tcPr>
            <w:tcW w:w="2089" w:type="dxa"/>
            <w:gridSpan w:val="2"/>
          </w:tcPr>
          <w:p w:rsidR="00000000" w:rsidRDefault="00000000">
            <w:pPr>
              <w:jc w:val="center"/>
              <w:rPr>
                <w:i/>
                <w:iCs/>
                <w:szCs w:val="26"/>
                <w:rtl/>
                <w:lang w:eastAsia="en-US"/>
              </w:rPr>
            </w:pPr>
            <w:r>
              <w:rPr>
                <w:i/>
                <w:iCs/>
                <w:szCs w:val="26"/>
                <w:rtl/>
                <w:lang w:eastAsia="en-US"/>
              </w:rPr>
              <w:t>1997</w:t>
            </w:r>
          </w:p>
        </w:tc>
      </w:tr>
      <w:tr w:rsidR="00000000">
        <w:tblPrEx>
          <w:tblCellMar>
            <w:top w:w="0" w:type="dxa"/>
            <w:bottom w:w="0" w:type="dxa"/>
          </w:tblCellMar>
        </w:tblPrEx>
        <w:trPr>
          <w:cantSplit/>
        </w:trPr>
        <w:tc>
          <w:tcPr>
            <w:tcW w:w="1594" w:type="dxa"/>
            <w:vMerge/>
          </w:tcPr>
          <w:p w:rsidR="00000000" w:rsidRDefault="00000000">
            <w:pPr>
              <w:rPr>
                <w:rtl/>
                <w:lang w:eastAsia="en-US"/>
              </w:rPr>
            </w:pPr>
          </w:p>
        </w:tc>
        <w:tc>
          <w:tcPr>
            <w:tcW w:w="1560" w:type="dxa"/>
          </w:tcPr>
          <w:p w:rsidR="00000000" w:rsidRDefault="00000000">
            <w:pPr>
              <w:jc w:val="center"/>
              <w:rPr>
                <w:i/>
                <w:iCs/>
                <w:szCs w:val="26"/>
                <w:rtl/>
                <w:lang w:eastAsia="en-US"/>
              </w:rPr>
            </w:pPr>
            <w:r>
              <w:rPr>
                <w:i/>
                <w:iCs/>
                <w:szCs w:val="26"/>
                <w:rtl/>
                <w:lang w:eastAsia="en-US"/>
              </w:rPr>
              <w:t>ن/ج</w:t>
            </w:r>
          </w:p>
        </w:tc>
        <w:tc>
          <w:tcPr>
            <w:tcW w:w="567" w:type="dxa"/>
          </w:tcPr>
          <w:p w:rsidR="00000000" w:rsidRDefault="00000000">
            <w:pPr>
              <w:rPr>
                <w:rFonts w:cs="Akhbar MT"/>
                <w:i/>
                <w:iCs/>
                <w:szCs w:val="26"/>
                <w:rtl/>
                <w:lang w:eastAsia="en-US"/>
              </w:rPr>
            </w:pPr>
            <w:r>
              <w:rPr>
                <w:rFonts w:cs="Akhbar MT"/>
                <w:i/>
                <w:iCs/>
                <w:szCs w:val="26"/>
                <w:rtl/>
                <w:lang w:eastAsia="en-US"/>
              </w:rPr>
              <w:t>%</w:t>
            </w:r>
          </w:p>
        </w:tc>
        <w:tc>
          <w:tcPr>
            <w:tcW w:w="1417" w:type="dxa"/>
          </w:tcPr>
          <w:p w:rsidR="00000000" w:rsidRDefault="00000000">
            <w:pPr>
              <w:pStyle w:val="Heading1"/>
              <w:rPr>
                <w:rtl/>
              </w:rPr>
            </w:pPr>
            <w:r>
              <w:rPr>
                <w:rtl/>
              </w:rPr>
              <w:t>ن/ج</w:t>
            </w:r>
          </w:p>
        </w:tc>
        <w:tc>
          <w:tcPr>
            <w:tcW w:w="709" w:type="dxa"/>
          </w:tcPr>
          <w:p w:rsidR="00000000" w:rsidRDefault="00000000">
            <w:pPr>
              <w:rPr>
                <w:rFonts w:cs="Akhbar MT"/>
                <w:i/>
                <w:iCs/>
                <w:szCs w:val="26"/>
                <w:rtl/>
                <w:lang w:eastAsia="en-US"/>
              </w:rPr>
            </w:pPr>
            <w:r>
              <w:rPr>
                <w:rFonts w:cs="Akhbar MT"/>
                <w:i/>
                <w:iCs/>
                <w:szCs w:val="26"/>
                <w:rtl/>
                <w:lang w:eastAsia="en-US"/>
              </w:rPr>
              <w:t>%</w:t>
            </w:r>
          </w:p>
        </w:tc>
        <w:tc>
          <w:tcPr>
            <w:tcW w:w="1559" w:type="dxa"/>
          </w:tcPr>
          <w:p w:rsidR="00000000" w:rsidRDefault="00000000">
            <w:pPr>
              <w:jc w:val="center"/>
              <w:rPr>
                <w:i/>
                <w:iCs/>
                <w:szCs w:val="26"/>
                <w:rtl/>
                <w:lang w:eastAsia="en-US"/>
              </w:rPr>
            </w:pPr>
            <w:r>
              <w:rPr>
                <w:i/>
                <w:iCs/>
                <w:szCs w:val="26"/>
                <w:rtl/>
                <w:lang w:eastAsia="en-US"/>
              </w:rPr>
              <w:t>ن/ج</w:t>
            </w:r>
          </w:p>
        </w:tc>
        <w:tc>
          <w:tcPr>
            <w:tcW w:w="567" w:type="dxa"/>
          </w:tcPr>
          <w:p w:rsidR="00000000" w:rsidRDefault="00000000">
            <w:pPr>
              <w:rPr>
                <w:rFonts w:cs="Akhbar MT"/>
                <w:i/>
                <w:iCs/>
                <w:szCs w:val="26"/>
                <w:rtl/>
                <w:lang w:eastAsia="en-US"/>
              </w:rPr>
            </w:pPr>
            <w:r>
              <w:rPr>
                <w:rFonts w:cs="Akhbar MT"/>
                <w:i/>
                <w:iCs/>
                <w:szCs w:val="26"/>
                <w:rtl/>
                <w:lang w:eastAsia="en-US"/>
              </w:rPr>
              <w:t>%</w:t>
            </w:r>
          </w:p>
        </w:tc>
        <w:tc>
          <w:tcPr>
            <w:tcW w:w="1418" w:type="dxa"/>
          </w:tcPr>
          <w:p w:rsidR="00000000" w:rsidRDefault="00000000">
            <w:pPr>
              <w:jc w:val="center"/>
              <w:rPr>
                <w:i/>
                <w:iCs/>
                <w:szCs w:val="26"/>
                <w:rtl/>
                <w:lang w:eastAsia="en-US"/>
              </w:rPr>
            </w:pPr>
            <w:r>
              <w:rPr>
                <w:i/>
                <w:iCs/>
                <w:szCs w:val="26"/>
                <w:rtl/>
                <w:lang w:eastAsia="en-US"/>
              </w:rPr>
              <w:t>ن/ج</w:t>
            </w:r>
          </w:p>
        </w:tc>
        <w:tc>
          <w:tcPr>
            <w:tcW w:w="671" w:type="dxa"/>
          </w:tcPr>
          <w:p w:rsidR="00000000" w:rsidRDefault="00000000">
            <w:pPr>
              <w:rPr>
                <w:rFonts w:cs="Akhbar MT"/>
                <w:i/>
                <w:iCs/>
                <w:szCs w:val="26"/>
                <w:rtl/>
                <w:lang w:eastAsia="en-US"/>
              </w:rPr>
            </w:pPr>
            <w:r>
              <w:rPr>
                <w:rFonts w:cs="Akhbar MT"/>
                <w:i/>
                <w:iCs/>
                <w:szCs w:val="26"/>
                <w:rtl/>
                <w:lang w:eastAsia="en-US"/>
              </w:rPr>
              <w:t>%</w:t>
            </w:r>
          </w:p>
        </w:tc>
      </w:tr>
      <w:tr w:rsidR="00000000">
        <w:tblPrEx>
          <w:tblCellMar>
            <w:top w:w="0" w:type="dxa"/>
            <w:bottom w:w="0" w:type="dxa"/>
          </w:tblCellMar>
        </w:tblPrEx>
        <w:tc>
          <w:tcPr>
            <w:tcW w:w="1594" w:type="dxa"/>
          </w:tcPr>
          <w:p w:rsidR="00000000" w:rsidRDefault="00000000">
            <w:pPr>
              <w:rPr>
                <w:rtl/>
                <w:lang w:eastAsia="en-US"/>
              </w:rPr>
            </w:pPr>
            <w:r>
              <w:rPr>
                <w:rtl/>
                <w:lang w:eastAsia="en-US"/>
              </w:rPr>
              <w:t>رؤساء البلديات</w:t>
            </w:r>
          </w:p>
        </w:tc>
        <w:tc>
          <w:tcPr>
            <w:tcW w:w="1560" w:type="dxa"/>
          </w:tcPr>
          <w:p w:rsidR="00000000" w:rsidRDefault="00000000">
            <w:pPr>
              <w:rPr>
                <w:szCs w:val="24"/>
                <w:rtl/>
                <w:lang w:eastAsia="en-US"/>
              </w:rPr>
            </w:pPr>
            <w:r>
              <w:rPr>
                <w:szCs w:val="24"/>
                <w:rtl/>
                <w:lang w:eastAsia="en-US"/>
              </w:rPr>
              <w:t>126/413 1</w:t>
            </w:r>
          </w:p>
        </w:tc>
        <w:tc>
          <w:tcPr>
            <w:tcW w:w="567" w:type="dxa"/>
          </w:tcPr>
          <w:p w:rsidR="00000000" w:rsidRDefault="00000000">
            <w:pPr>
              <w:rPr>
                <w:szCs w:val="24"/>
                <w:rtl/>
                <w:lang w:eastAsia="en-US"/>
              </w:rPr>
            </w:pPr>
            <w:r>
              <w:rPr>
                <w:szCs w:val="24"/>
                <w:rtl/>
                <w:lang w:eastAsia="en-US"/>
              </w:rPr>
              <w:t>9</w:t>
            </w:r>
          </w:p>
        </w:tc>
        <w:tc>
          <w:tcPr>
            <w:tcW w:w="1417" w:type="dxa"/>
          </w:tcPr>
          <w:p w:rsidR="00000000" w:rsidRDefault="00000000">
            <w:pPr>
              <w:rPr>
                <w:szCs w:val="24"/>
                <w:rtl/>
                <w:lang w:eastAsia="en-US"/>
              </w:rPr>
            </w:pPr>
            <w:r>
              <w:rPr>
                <w:szCs w:val="24"/>
                <w:rtl/>
                <w:lang w:eastAsia="en-US"/>
              </w:rPr>
              <w:t>131/408 1</w:t>
            </w:r>
          </w:p>
        </w:tc>
        <w:tc>
          <w:tcPr>
            <w:tcW w:w="709" w:type="dxa"/>
          </w:tcPr>
          <w:p w:rsidR="00000000" w:rsidRDefault="00000000">
            <w:pPr>
              <w:rPr>
                <w:szCs w:val="24"/>
                <w:rtl/>
                <w:lang w:eastAsia="en-US"/>
              </w:rPr>
            </w:pPr>
            <w:r>
              <w:rPr>
                <w:szCs w:val="24"/>
                <w:rtl/>
                <w:lang w:eastAsia="en-US"/>
              </w:rPr>
              <w:t>9</w:t>
            </w:r>
          </w:p>
        </w:tc>
        <w:tc>
          <w:tcPr>
            <w:tcW w:w="1559" w:type="dxa"/>
          </w:tcPr>
          <w:p w:rsidR="00000000" w:rsidRDefault="00000000">
            <w:pPr>
              <w:rPr>
                <w:szCs w:val="24"/>
                <w:rtl/>
                <w:lang w:eastAsia="en-US"/>
              </w:rPr>
            </w:pPr>
            <w:r>
              <w:rPr>
                <w:szCs w:val="24"/>
                <w:rtl/>
                <w:lang w:eastAsia="en-US"/>
              </w:rPr>
              <w:t>127/393 1</w:t>
            </w:r>
          </w:p>
        </w:tc>
        <w:tc>
          <w:tcPr>
            <w:tcW w:w="567" w:type="dxa"/>
          </w:tcPr>
          <w:p w:rsidR="00000000" w:rsidRDefault="00000000">
            <w:pPr>
              <w:rPr>
                <w:szCs w:val="24"/>
                <w:rtl/>
                <w:lang w:eastAsia="en-US"/>
              </w:rPr>
            </w:pPr>
            <w:r>
              <w:rPr>
                <w:szCs w:val="24"/>
                <w:rtl/>
                <w:lang w:eastAsia="en-US"/>
              </w:rPr>
              <w:t>9.1</w:t>
            </w:r>
          </w:p>
        </w:tc>
        <w:tc>
          <w:tcPr>
            <w:tcW w:w="1418" w:type="dxa"/>
          </w:tcPr>
          <w:p w:rsidR="00000000" w:rsidRDefault="00000000">
            <w:pPr>
              <w:rPr>
                <w:szCs w:val="24"/>
                <w:rtl/>
                <w:lang w:eastAsia="en-US"/>
              </w:rPr>
            </w:pPr>
            <w:r>
              <w:rPr>
                <w:szCs w:val="24"/>
                <w:rtl/>
                <w:lang w:eastAsia="en-US"/>
              </w:rPr>
              <w:t>128/365 1</w:t>
            </w:r>
          </w:p>
        </w:tc>
        <w:tc>
          <w:tcPr>
            <w:tcW w:w="671" w:type="dxa"/>
          </w:tcPr>
          <w:p w:rsidR="00000000" w:rsidRDefault="00000000">
            <w:pPr>
              <w:rPr>
                <w:szCs w:val="24"/>
                <w:rtl/>
                <w:lang w:eastAsia="en-US"/>
              </w:rPr>
            </w:pPr>
            <w:r>
              <w:rPr>
                <w:szCs w:val="24"/>
                <w:rtl/>
                <w:lang w:eastAsia="en-US"/>
              </w:rPr>
              <w:t>9.4</w:t>
            </w:r>
          </w:p>
        </w:tc>
      </w:tr>
      <w:tr w:rsidR="00000000">
        <w:tblPrEx>
          <w:tblCellMar>
            <w:top w:w="0" w:type="dxa"/>
            <w:bottom w:w="0" w:type="dxa"/>
          </w:tblCellMar>
        </w:tblPrEx>
        <w:tc>
          <w:tcPr>
            <w:tcW w:w="1594" w:type="dxa"/>
          </w:tcPr>
          <w:p w:rsidR="00000000" w:rsidRDefault="00000000">
            <w:pPr>
              <w:rPr>
                <w:rtl/>
                <w:lang w:eastAsia="en-US"/>
              </w:rPr>
            </w:pPr>
            <w:r>
              <w:rPr>
                <w:rtl/>
                <w:lang w:eastAsia="en-US"/>
              </w:rPr>
              <w:t>المستشارون</w:t>
            </w:r>
          </w:p>
        </w:tc>
        <w:tc>
          <w:tcPr>
            <w:tcW w:w="1560" w:type="dxa"/>
          </w:tcPr>
          <w:p w:rsidR="00000000" w:rsidRDefault="00000000">
            <w:pPr>
              <w:rPr>
                <w:szCs w:val="24"/>
                <w:rtl/>
                <w:lang w:eastAsia="en-US"/>
              </w:rPr>
            </w:pPr>
            <w:r>
              <w:rPr>
                <w:szCs w:val="24"/>
                <w:rtl/>
                <w:lang w:eastAsia="en-US"/>
              </w:rPr>
              <w:t>721 1/835 8</w:t>
            </w:r>
          </w:p>
        </w:tc>
        <w:tc>
          <w:tcPr>
            <w:tcW w:w="567" w:type="dxa"/>
          </w:tcPr>
          <w:p w:rsidR="00000000" w:rsidRDefault="00000000">
            <w:pPr>
              <w:rPr>
                <w:szCs w:val="24"/>
                <w:rtl/>
                <w:lang w:eastAsia="en-US"/>
              </w:rPr>
            </w:pPr>
            <w:r>
              <w:rPr>
                <w:szCs w:val="24"/>
                <w:rtl/>
                <w:lang w:eastAsia="en-US"/>
              </w:rPr>
              <w:t>20</w:t>
            </w:r>
          </w:p>
        </w:tc>
        <w:tc>
          <w:tcPr>
            <w:tcW w:w="1417" w:type="dxa"/>
          </w:tcPr>
          <w:p w:rsidR="00000000" w:rsidRDefault="00000000">
            <w:pPr>
              <w:rPr>
                <w:szCs w:val="24"/>
                <w:rtl/>
                <w:lang w:eastAsia="en-US"/>
              </w:rPr>
            </w:pPr>
            <w:r>
              <w:rPr>
                <w:szCs w:val="24"/>
                <w:rtl/>
                <w:lang w:eastAsia="en-US"/>
              </w:rPr>
              <w:t>748 1/792 8</w:t>
            </w:r>
          </w:p>
        </w:tc>
        <w:tc>
          <w:tcPr>
            <w:tcW w:w="709" w:type="dxa"/>
          </w:tcPr>
          <w:p w:rsidR="00000000" w:rsidRDefault="00000000">
            <w:pPr>
              <w:rPr>
                <w:szCs w:val="24"/>
                <w:rtl/>
                <w:lang w:eastAsia="en-US"/>
              </w:rPr>
            </w:pPr>
            <w:r>
              <w:rPr>
                <w:szCs w:val="24"/>
                <w:rtl/>
                <w:lang w:eastAsia="en-US"/>
              </w:rPr>
              <w:t>20</w:t>
            </w:r>
          </w:p>
        </w:tc>
        <w:tc>
          <w:tcPr>
            <w:tcW w:w="1559" w:type="dxa"/>
          </w:tcPr>
          <w:p w:rsidR="00000000" w:rsidRDefault="00000000">
            <w:pPr>
              <w:rPr>
                <w:szCs w:val="24"/>
                <w:rtl/>
                <w:lang w:eastAsia="en-US"/>
              </w:rPr>
            </w:pPr>
            <w:r>
              <w:rPr>
                <w:szCs w:val="24"/>
                <w:rtl/>
                <w:lang w:eastAsia="en-US"/>
              </w:rPr>
              <w:t>750 1/690 8</w:t>
            </w:r>
          </w:p>
        </w:tc>
        <w:tc>
          <w:tcPr>
            <w:tcW w:w="567" w:type="dxa"/>
          </w:tcPr>
          <w:p w:rsidR="00000000" w:rsidRDefault="00000000">
            <w:pPr>
              <w:rPr>
                <w:szCs w:val="24"/>
                <w:rtl/>
                <w:lang w:eastAsia="en-US"/>
              </w:rPr>
            </w:pPr>
            <w:r>
              <w:rPr>
                <w:szCs w:val="24"/>
                <w:rtl/>
                <w:lang w:eastAsia="en-US"/>
              </w:rPr>
              <w:t>20</w:t>
            </w:r>
          </w:p>
        </w:tc>
        <w:tc>
          <w:tcPr>
            <w:tcW w:w="1418" w:type="dxa"/>
          </w:tcPr>
          <w:p w:rsidR="00000000" w:rsidRDefault="00000000">
            <w:pPr>
              <w:rPr>
                <w:szCs w:val="24"/>
                <w:rtl/>
                <w:lang w:eastAsia="en-US"/>
              </w:rPr>
            </w:pPr>
            <w:r>
              <w:rPr>
                <w:szCs w:val="24"/>
                <w:rtl/>
                <w:lang w:eastAsia="en-US"/>
              </w:rPr>
              <w:t>848 1/505 8</w:t>
            </w:r>
          </w:p>
        </w:tc>
        <w:tc>
          <w:tcPr>
            <w:tcW w:w="671" w:type="dxa"/>
          </w:tcPr>
          <w:p w:rsidR="00000000" w:rsidRDefault="00000000">
            <w:pPr>
              <w:rPr>
                <w:szCs w:val="24"/>
                <w:rtl/>
                <w:lang w:eastAsia="en-US"/>
              </w:rPr>
            </w:pPr>
            <w:r>
              <w:rPr>
                <w:szCs w:val="24"/>
                <w:rtl/>
                <w:lang w:eastAsia="en-US"/>
              </w:rPr>
              <w:t>22</w:t>
            </w:r>
          </w:p>
        </w:tc>
      </w:tr>
    </w:tbl>
    <w:p w:rsidR="00000000" w:rsidRDefault="00000000">
      <w:pPr>
        <w:pStyle w:val="SingleTxt"/>
        <w:tabs>
          <w:tab w:val="clear" w:pos="1267"/>
        </w:tabs>
        <w:ind w:left="1264" w:right="1264"/>
        <w:rPr>
          <w:rtl/>
          <w:lang w:eastAsia="en-US"/>
        </w:rPr>
      </w:pPr>
      <w:r>
        <w:rPr>
          <w:rtl/>
          <w:lang w:eastAsia="en-US"/>
        </w:rPr>
        <w:t>ن/ج =</w:t>
      </w:r>
      <w:r>
        <w:rPr>
          <w:rtl/>
          <w:lang w:eastAsia="en-US"/>
        </w:rPr>
        <w:tab/>
        <w:t>نساء بالنسبة للعدد الإجمالي</w:t>
      </w:r>
    </w:p>
    <w:p w:rsidR="00000000" w:rsidRDefault="00000000">
      <w:pPr>
        <w:pStyle w:val="SingleTxt"/>
        <w:tabs>
          <w:tab w:val="clear" w:pos="1267"/>
        </w:tabs>
        <w:ind w:left="1264" w:right="1264"/>
        <w:rPr>
          <w:szCs w:val="26"/>
          <w:rtl/>
          <w:lang w:eastAsia="en-US"/>
        </w:rPr>
      </w:pPr>
      <w:r>
        <w:rPr>
          <w:szCs w:val="26"/>
          <w:rtl/>
          <w:lang w:eastAsia="en-US"/>
        </w:rPr>
        <w:t>المصدر: وزارة الشؤون البلدية، حكومة كيبيك 1998.</w:t>
      </w:r>
    </w:p>
    <w:p w:rsidR="00000000" w:rsidRDefault="00000000">
      <w:pPr>
        <w:pStyle w:val="SingleTxt"/>
        <w:tabs>
          <w:tab w:val="clear" w:pos="1267"/>
        </w:tabs>
        <w:ind w:left="1264" w:right="1264"/>
        <w:rPr>
          <w:rtl/>
          <w:lang w:eastAsia="en-US"/>
        </w:rPr>
      </w:pPr>
    </w:p>
    <w:p w:rsidR="00000000" w:rsidRDefault="00000000">
      <w:pPr>
        <w:pStyle w:val="SingleTxt"/>
        <w:tabs>
          <w:tab w:val="clear" w:pos="1267"/>
        </w:tabs>
        <w:ind w:left="1264" w:right="1264"/>
        <w:rPr>
          <w:rtl/>
          <w:lang w:eastAsia="en-US"/>
        </w:rPr>
      </w:pPr>
      <w:r>
        <w:rPr>
          <w:b/>
          <w:bCs/>
          <w:rtl/>
          <w:lang w:eastAsia="en-US"/>
        </w:rPr>
        <w:t>مستوى المقاطعة</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0"/>
        <w:gridCol w:w="1007"/>
        <w:gridCol w:w="1008"/>
        <w:gridCol w:w="1008"/>
        <w:gridCol w:w="1008"/>
        <w:gridCol w:w="1007"/>
        <w:gridCol w:w="1008"/>
        <w:gridCol w:w="1008"/>
        <w:gridCol w:w="1008"/>
      </w:tblGrid>
      <w:tr w:rsidR="00000000">
        <w:tblPrEx>
          <w:tblCellMar>
            <w:top w:w="0" w:type="dxa"/>
            <w:bottom w:w="0" w:type="dxa"/>
          </w:tblCellMar>
        </w:tblPrEx>
        <w:trPr>
          <w:cantSplit/>
        </w:trPr>
        <w:tc>
          <w:tcPr>
            <w:tcW w:w="2000" w:type="dxa"/>
            <w:vMerge w:val="restart"/>
          </w:tcPr>
          <w:p w:rsidR="00000000" w:rsidRDefault="00000000">
            <w:pPr>
              <w:rPr>
                <w:i/>
                <w:iCs/>
                <w:rtl/>
                <w:lang w:eastAsia="en-US"/>
              </w:rPr>
            </w:pPr>
            <w:r>
              <w:rPr>
                <w:i/>
                <w:iCs/>
                <w:rtl/>
                <w:lang w:eastAsia="en-US"/>
              </w:rPr>
              <w:t>أعضاء الجمعية الوطنية</w:t>
            </w:r>
          </w:p>
        </w:tc>
        <w:tc>
          <w:tcPr>
            <w:tcW w:w="2015" w:type="dxa"/>
            <w:gridSpan w:val="2"/>
          </w:tcPr>
          <w:p w:rsidR="00000000" w:rsidRDefault="00000000">
            <w:pPr>
              <w:jc w:val="center"/>
              <w:rPr>
                <w:i/>
                <w:iCs/>
                <w:rtl/>
                <w:lang w:eastAsia="en-US"/>
              </w:rPr>
            </w:pPr>
            <w:r>
              <w:rPr>
                <w:i/>
                <w:iCs/>
                <w:rtl/>
                <w:lang w:eastAsia="en-US"/>
              </w:rPr>
              <w:t>1994</w:t>
            </w:r>
          </w:p>
        </w:tc>
        <w:tc>
          <w:tcPr>
            <w:tcW w:w="2016" w:type="dxa"/>
            <w:gridSpan w:val="2"/>
          </w:tcPr>
          <w:p w:rsidR="00000000" w:rsidRDefault="00000000">
            <w:pPr>
              <w:jc w:val="center"/>
              <w:rPr>
                <w:i/>
                <w:iCs/>
                <w:rtl/>
                <w:lang w:eastAsia="en-US"/>
              </w:rPr>
            </w:pPr>
            <w:r>
              <w:rPr>
                <w:i/>
                <w:iCs/>
                <w:rtl/>
                <w:lang w:eastAsia="en-US"/>
              </w:rPr>
              <w:t>1995</w:t>
            </w:r>
          </w:p>
        </w:tc>
        <w:tc>
          <w:tcPr>
            <w:tcW w:w="2015" w:type="dxa"/>
            <w:gridSpan w:val="2"/>
          </w:tcPr>
          <w:p w:rsidR="00000000" w:rsidRDefault="00000000">
            <w:pPr>
              <w:jc w:val="center"/>
              <w:rPr>
                <w:i/>
                <w:iCs/>
                <w:rtl/>
                <w:lang w:eastAsia="en-US"/>
              </w:rPr>
            </w:pPr>
            <w:r>
              <w:rPr>
                <w:i/>
                <w:iCs/>
                <w:rtl/>
                <w:lang w:eastAsia="en-US"/>
              </w:rPr>
              <w:t>1996</w:t>
            </w:r>
          </w:p>
        </w:tc>
        <w:tc>
          <w:tcPr>
            <w:tcW w:w="2016" w:type="dxa"/>
            <w:gridSpan w:val="2"/>
          </w:tcPr>
          <w:p w:rsidR="00000000" w:rsidRDefault="00000000">
            <w:pPr>
              <w:jc w:val="center"/>
              <w:rPr>
                <w:i/>
                <w:iCs/>
                <w:rtl/>
                <w:lang w:eastAsia="en-US"/>
              </w:rPr>
            </w:pPr>
            <w:r>
              <w:rPr>
                <w:i/>
                <w:iCs/>
                <w:rtl/>
                <w:lang w:eastAsia="en-US"/>
              </w:rPr>
              <w:t>1997</w:t>
            </w:r>
          </w:p>
        </w:tc>
      </w:tr>
      <w:tr w:rsidR="00000000">
        <w:tblPrEx>
          <w:tblCellMar>
            <w:top w:w="0" w:type="dxa"/>
            <w:bottom w:w="0" w:type="dxa"/>
          </w:tblCellMar>
        </w:tblPrEx>
        <w:trPr>
          <w:cantSplit/>
        </w:trPr>
        <w:tc>
          <w:tcPr>
            <w:tcW w:w="2000" w:type="dxa"/>
            <w:vMerge/>
          </w:tcPr>
          <w:p w:rsidR="00000000" w:rsidRDefault="00000000">
            <w:pPr>
              <w:rPr>
                <w:i/>
                <w:iCs/>
                <w:rtl/>
                <w:lang w:eastAsia="en-US"/>
              </w:rPr>
            </w:pPr>
          </w:p>
        </w:tc>
        <w:tc>
          <w:tcPr>
            <w:tcW w:w="1007" w:type="dxa"/>
          </w:tcPr>
          <w:p w:rsidR="00000000" w:rsidRDefault="00000000">
            <w:pPr>
              <w:jc w:val="center"/>
              <w:rPr>
                <w:i/>
                <w:iCs/>
                <w:rtl/>
                <w:lang w:eastAsia="en-US"/>
              </w:rPr>
            </w:pPr>
            <w:r>
              <w:rPr>
                <w:i/>
                <w:iCs/>
                <w:rtl/>
                <w:lang w:eastAsia="en-US"/>
              </w:rPr>
              <w:t>ن/ج</w:t>
            </w:r>
          </w:p>
        </w:tc>
        <w:tc>
          <w:tcPr>
            <w:tcW w:w="1008" w:type="dxa"/>
          </w:tcPr>
          <w:p w:rsidR="00000000" w:rsidRDefault="00000000">
            <w:pPr>
              <w:pStyle w:val="H56"/>
              <w:keepNext w:val="0"/>
              <w:keepLines w:val="0"/>
              <w:suppressAutoHyphens w:val="0"/>
              <w:spacing w:line="400" w:lineRule="exact"/>
              <w:jc w:val="center"/>
              <w:outlineLvl w:val="9"/>
              <w:rPr>
                <w:rFonts w:cs="Akhbar MT"/>
                <w:i/>
                <w:iCs/>
                <w:szCs w:val="26"/>
                <w:rtl/>
                <w:lang w:eastAsia="en-US"/>
              </w:rPr>
            </w:pPr>
            <w:r>
              <w:rPr>
                <w:rFonts w:cs="Akhbar MT"/>
                <w:i/>
                <w:iCs/>
                <w:szCs w:val="26"/>
                <w:rtl/>
                <w:lang w:eastAsia="en-US"/>
              </w:rPr>
              <w:t>%</w:t>
            </w:r>
          </w:p>
        </w:tc>
        <w:tc>
          <w:tcPr>
            <w:tcW w:w="1008" w:type="dxa"/>
          </w:tcPr>
          <w:p w:rsidR="00000000" w:rsidRDefault="00000000">
            <w:pPr>
              <w:jc w:val="center"/>
              <w:rPr>
                <w:i/>
                <w:iCs/>
                <w:rtl/>
                <w:lang w:eastAsia="en-US"/>
              </w:rPr>
            </w:pPr>
            <w:r>
              <w:rPr>
                <w:i/>
                <w:iCs/>
                <w:rtl/>
                <w:lang w:eastAsia="en-US"/>
              </w:rPr>
              <w:t>ن/ج</w:t>
            </w:r>
          </w:p>
        </w:tc>
        <w:tc>
          <w:tcPr>
            <w:tcW w:w="1008" w:type="dxa"/>
          </w:tcPr>
          <w:p w:rsidR="00000000" w:rsidRDefault="00000000">
            <w:pPr>
              <w:pStyle w:val="H56"/>
              <w:keepNext w:val="0"/>
              <w:keepLines w:val="0"/>
              <w:suppressAutoHyphens w:val="0"/>
              <w:spacing w:line="400" w:lineRule="exact"/>
              <w:jc w:val="center"/>
              <w:outlineLvl w:val="9"/>
              <w:rPr>
                <w:rFonts w:cs="Akhbar MT"/>
                <w:i/>
                <w:iCs/>
                <w:szCs w:val="26"/>
                <w:rtl/>
                <w:lang w:eastAsia="en-US"/>
              </w:rPr>
            </w:pPr>
            <w:r>
              <w:rPr>
                <w:rFonts w:cs="Akhbar MT"/>
                <w:i/>
                <w:iCs/>
                <w:szCs w:val="26"/>
                <w:rtl/>
                <w:lang w:eastAsia="en-US"/>
              </w:rPr>
              <w:t>%</w:t>
            </w:r>
          </w:p>
        </w:tc>
        <w:tc>
          <w:tcPr>
            <w:tcW w:w="1007" w:type="dxa"/>
          </w:tcPr>
          <w:p w:rsidR="00000000" w:rsidRDefault="00000000">
            <w:pPr>
              <w:jc w:val="center"/>
              <w:rPr>
                <w:i/>
                <w:iCs/>
                <w:rtl/>
                <w:lang w:eastAsia="en-US"/>
              </w:rPr>
            </w:pPr>
            <w:r>
              <w:rPr>
                <w:i/>
                <w:iCs/>
                <w:rtl/>
                <w:lang w:eastAsia="en-US"/>
              </w:rPr>
              <w:t>ن/ج</w:t>
            </w:r>
          </w:p>
        </w:tc>
        <w:tc>
          <w:tcPr>
            <w:tcW w:w="1008" w:type="dxa"/>
          </w:tcPr>
          <w:p w:rsidR="00000000" w:rsidRDefault="00000000">
            <w:pPr>
              <w:pStyle w:val="H56"/>
              <w:keepNext w:val="0"/>
              <w:keepLines w:val="0"/>
              <w:suppressAutoHyphens w:val="0"/>
              <w:spacing w:line="400" w:lineRule="exact"/>
              <w:jc w:val="center"/>
              <w:outlineLvl w:val="9"/>
              <w:rPr>
                <w:rFonts w:cs="Akhbar MT"/>
                <w:i/>
                <w:iCs/>
                <w:szCs w:val="26"/>
                <w:rtl/>
                <w:lang w:eastAsia="en-US"/>
              </w:rPr>
            </w:pPr>
            <w:r>
              <w:rPr>
                <w:rFonts w:cs="Akhbar MT"/>
                <w:i/>
                <w:iCs/>
                <w:szCs w:val="26"/>
                <w:rtl/>
                <w:lang w:eastAsia="en-US"/>
              </w:rPr>
              <w:t>%</w:t>
            </w:r>
          </w:p>
        </w:tc>
        <w:tc>
          <w:tcPr>
            <w:tcW w:w="1008" w:type="dxa"/>
          </w:tcPr>
          <w:p w:rsidR="00000000" w:rsidRDefault="00000000">
            <w:pPr>
              <w:jc w:val="center"/>
              <w:rPr>
                <w:i/>
                <w:iCs/>
                <w:rtl/>
                <w:lang w:eastAsia="en-US"/>
              </w:rPr>
            </w:pPr>
            <w:r>
              <w:rPr>
                <w:i/>
                <w:iCs/>
                <w:rtl/>
                <w:lang w:eastAsia="en-US"/>
              </w:rPr>
              <w:t>ن/ج</w:t>
            </w:r>
          </w:p>
        </w:tc>
        <w:tc>
          <w:tcPr>
            <w:tcW w:w="1008" w:type="dxa"/>
          </w:tcPr>
          <w:p w:rsidR="00000000" w:rsidRDefault="00000000">
            <w:pPr>
              <w:pStyle w:val="H56"/>
              <w:keepNext w:val="0"/>
              <w:keepLines w:val="0"/>
              <w:suppressAutoHyphens w:val="0"/>
              <w:spacing w:line="400" w:lineRule="exact"/>
              <w:jc w:val="center"/>
              <w:outlineLvl w:val="9"/>
              <w:rPr>
                <w:rFonts w:cs="Akhbar MT"/>
                <w:i/>
                <w:iCs/>
                <w:szCs w:val="26"/>
                <w:rtl/>
                <w:lang w:eastAsia="en-US"/>
              </w:rPr>
            </w:pPr>
            <w:r>
              <w:rPr>
                <w:rFonts w:cs="Akhbar MT"/>
                <w:i/>
                <w:iCs/>
                <w:szCs w:val="26"/>
                <w:rtl/>
                <w:lang w:eastAsia="en-US"/>
              </w:rPr>
              <w:t>%</w:t>
            </w:r>
          </w:p>
        </w:tc>
      </w:tr>
      <w:tr w:rsidR="00000000">
        <w:tblPrEx>
          <w:tblCellMar>
            <w:top w:w="0" w:type="dxa"/>
            <w:bottom w:w="0" w:type="dxa"/>
          </w:tblCellMar>
        </w:tblPrEx>
        <w:tc>
          <w:tcPr>
            <w:tcW w:w="2000" w:type="dxa"/>
          </w:tcPr>
          <w:p w:rsidR="00000000" w:rsidRDefault="00000000">
            <w:pPr>
              <w:rPr>
                <w:rtl/>
                <w:lang w:eastAsia="en-US"/>
              </w:rPr>
            </w:pPr>
            <w:r>
              <w:rPr>
                <w:rtl/>
                <w:lang w:eastAsia="en-US"/>
              </w:rPr>
              <w:t>أعضاء الجمعية الوطنية</w:t>
            </w:r>
          </w:p>
        </w:tc>
        <w:tc>
          <w:tcPr>
            <w:tcW w:w="1007" w:type="dxa"/>
          </w:tcPr>
          <w:p w:rsidR="00000000" w:rsidRDefault="00000000">
            <w:pPr>
              <w:rPr>
                <w:szCs w:val="26"/>
                <w:rtl/>
                <w:lang w:eastAsia="en-US"/>
              </w:rPr>
            </w:pPr>
            <w:r>
              <w:rPr>
                <w:szCs w:val="26"/>
                <w:rtl/>
                <w:lang w:eastAsia="en-US"/>
              </w:rPr>
              <w:t>23/125</w:t>
            </w:r>
          </w:p>
        </w:tc>
        <w:tc>
          <w:tcPr>
            <w:tcW w:w="1008" w:type="dxa"/>
          </w:tcPr>
          <w:p w:rsidR="00000000" w:rsidRDefault="00000000">
            <w:pPr>
              <w:rPr>
                <w:szCs w:val="26"/>
                <w:rtl/>
                <w:lang w:eastAsia="en-US"/>
              </w:rPr>
            </w:pPr>
            <w:r>
              <w:rPr>
                <w:szCs w:val="26"/>
                <w:rtl/>
                <w:lang w:eastAsia="en-US"/>
              </w:rPr>
              <w:t>18.4</w:t>
            </w:r>
          </w:p>
        </w:tc>
        <w:tc>
          <w:tcPr>
            <w:tcW w:w="1008" w:type="dxa"/>
          </w:tcPr>
          <w:p w:rsidR="00000000" w:rsidRDefault="00000000">
            <w:pPr>
              <w:rPr>
                <w:szCs w:val="26"/>
                <w:rtl/>
                <w:lang w:eastAsia="en-US"/>
              </w:rPr>
            </w:pPr>
            <w:r>
              <w:rPr>
                <w:szCs w:val="26"/>
                <w:rtl/>
                <w:lang w:eastAsia="en-US"/>
              </w:rPr>
              <w:t>23/125</w:t>
            </w:r>
          </w:p>
        </w:tc>
        <w:tc>
          <w:tcPr>
            <w:tcW w:w="1008" w:type="dxa"/>
          </w:tcPr>
          <w:p w:rsidR="00000000" w:rsidRDefault="00000000">
            <w:pPr>
              <w:rPr>
                <w:szCs w:val="26"/>
                <w:rtl/>
                <w:lang w:eastAsia="en-US"/>
              </w:rPr>
            </w:pPr>
            <w:r>
              <w:rPr>
                <w:szCs w:val="26"/>
                <w:rtl/>
                <w:lang w:eastAsia="en-US"/>
              </w:rPr>
              <w:t>18.4</w:t>
            </w:r>
          </w:p>
        </w:tc>
        <w:tc>
          <w:tcPr>
            <w:tcW w:w="1007" w:type="dxa"/>
          </w:tcPr>
          <w:p w:rsidR="00000000" w:rsidRDefault="00000000">
            <w:pPr>
              <w:rPr>
                <w:szCs w:val="26"/>
                <w:rtl/>
                <w:lang w:eastAsia="en-US"/>
              </w:rPr>
            </w:pPr>
            <w:r>
              <w:rPr>
                <w:szCs w:val="26"/>
                <w:rtl/>
                <w:lang w:eastAsia="en-US"/>
              </w:rPr>
              <w:t>24/125</w:t>
            </w:r>
          </w:p>
        </w:tc>
        <w:tc>
          <w:tcPr>
            <w:tcW w:w="1008" w:type="dxa"/>
          </w:tcPr>
          <w:p w:rsidR="00000000" w:rsidRDefault="00000000">
            <w:pPr>
              <w:rPr>
                <w:szCs w:val="26"/>
                <w:rtl/>
                <w:lang w:eastAsia="en-US"/>
              </w:rPr>
            </w:pPr>
            <w:r>
              <w:rPr>
                <w:szCs w:val="26"/>
                <w:rtl/>
                <w:lang w:eastAsia="en-US"/>
              </w:rPr>
              <w:t>19.2</w:t>
            </w:r>
          </w:p>
        </w:tc>
        <w:tc>
          <w:tcPr>
            <w:tcW w:w="1008" w:type="dxa"/>
          </w:tcPr>
          <w:p w:rsidR="00000000" w:rsidRDefault="00000000">
            <w:pPr>
              <w:rPr>
                <w:szCs w:val="26"/>
                <w:rtl/>
                <w:lang w:eastAsia="en-US"/>
              </w:rPr>
            </w:pPr>
            <w:r>
              <w:rPr>
                <w:szCs w:val="26"/>
                <w:rtl/>
                <w:lang w:eastAsia="en-US"/>
              </w:rPr>
              <w:t>25/125</w:t>
            </w:r>
          </w:p>
        </w:tc>
        <w:tc>
          <w:tcPr>
            <w:tcW w:w="1008" w:type="dxa"/>
          </w:tcPr>
          <w:p w:rsidR="00000000" w:rsidRDefault="00000000">
            <w:pPr>
              <w:rPr>
                <w:szCs w:val="26"/>
                <w:rtl/>
                <w:lang w:eastAsia="en-US"/>
              </w:rPr>
            </w:pPr>
            <w:r>
              <w:rPr>
                <w:szCs w:val="26"/>
                <w:rtl/>
                <w:lang w:eastAsia="en-US"/>
              </w:rPr>
              <w:t>20</w:t>
            </w:r>
          </w:p>
        </w:tc>
      </w:tr>
      <w:tr w:rsidR="00000000">
        <w:tblPrEx>
          <w:tblCellMar>
            <w:top w:w="0" w:type="dxa"/>
            <w:bottom w:w="0" w:type="dxa"/>
          </w:tblCellMar>
        </w:tblPrEx>
        <w:tc>
          <w:tcPr>
            <w:tcW w:w="2000" w:type="dxa"/>
          </w:tcPr>
          <w:p w:rsidR="00000000" w:rsidRDefault="00000000">
            <w:pPr>
              <w:rPr>
                <w:rtl/>
                <w:lang w:eastAsia="en-US"/>
              </w:rPr>
            </w:pPr>
            <w:r>
              <w:rPr>
                <w:rtl/>
                <w:lang w:eastAsia="en-US"/>
              </w:rPr>
              <w:t>الوزراء</w:t>
            </w:r>
          </w:p>
        </w:tc>
        <w:tc>
          <w:tcPr>
            <w:tcW w:w="1007" w:type="dxa"/>
          </w:tcPr>
          <w:p w:rsidR="00000000" w:rsidRDefault="00000000">
            <w:pPr>
              <w:rPr>
                <w:szCs w:val="26"/>
                <w:rtl/>
                <w:lang w:eastAsia="en-US"/>
              </w:rPr>
            </w:pPr>
            <w:r>
              <w:rPr>
                <w:szCs w:val="26"/>
                <w:rtl/>
                <w:lang w:eastAsia="en-US"/>
              </w:rPr>
              <w:t>4/21</w:t>
            </w:r>
          </w:p>
        </w:tc>
        <w:tc>
          <w:tcPr>
            <w:tcW w:w="1008" w:type="dxa"/>
          </w:tcPr>
          <w:p w:rsidR="00000000" w:rsidRDefault="00000000">
            <w:pPr>
              <w:rPr>
                <w:szCs w:val="26"/>
                <w:rtl/>
                <w:lang w:eastAsia="en-US"/>
              </w:rPr>
            </w:pPr>
            <w:r>
              <w:rPr>
                <w:szCs w:val="26"/>
                <w:rtl/>
                <w:lang w:eastAsia="en-US"/>
              </w:rPr>
              <w:t>19</w:t>
            </w:r>
          </w:p>
        </w:tc>
        <w:tc>
          <w:tcPr>
            <w:tcW w:w="1008" w:type="dxa"/>
          </w:tcPr>
          <w:p w:rsidR="00000000" w:rsidRDefault="00000000">
            <w:pPr>
              <w:rPr>
                <w:szCs w:val="26"/>
                <w:rtl/>
                <w:lang w:eastAsia="en-US"/>
              </w:rPr>
            </w:pPr>
            <w:r>
              <w:rPr>
                <w:szCs w:val="26"/>
                <w:rtl/>
                <w:lang w:eastAsia="en-US"/>
              </w:rPr>
              <w:t>6/20</w:t>
            </w:r>
          </w:p>
        </w:tc>
        <w:tc>
          <w:tcPr>
            <w:tcW w:w="1008" w:type="dxa"/>
          </w:tcPr>
          <w:p w:rsidR="00000000" w:rsidRDefault="00000000">
            <w:pPr>
              <w:rPr>
                <w:szCs w:val="26"/>
                <w:rtl/>
                <w:lang w:eastAsia="en-US"/>
              </w:rPr>
            </w:pPr>
            <w:r>
              <w:rPr>
                <w:szCs w:val="26"/>
                <w:rtl/>
                <w:lang w:eastAsia="en-US"/>
              </w:rPr>
              <w:t>30</w:t>
            </w:r>
          </w:p>
        </w:tc>
        <w:tc>
          <w:tcPr>
            <w:tcW w:w="1007" w:type="dxa"/>
          </w:tcPr>
          <w:p w:rsidR="00000000" w:rsidRDefault="00000000">
            <w:pPr>
              <w:rPr>
                <w:szCs w:val="26"/>
                <w:rtl/>
                <w:lang w:eastAsia="en-US"/>
              </w:rPr>
            </w:pPr>
            <w:r>
              <w:rPr>
                <w:szCs w:val="26"/>
                <w:rtl/>
                <w:lang w:eastAsia="en-US"/>
              </w:rPr>
              <w:t>5/22</w:t>
            </w:r>
          </w:p>
        </w:tc>
        <w:tc>
          <w:tcPr>
            <w:tcW w:w="1008" w:type="dxa"/>
          </w:tcPr>
          <w:p w:rsidR="00000000" w:rsidRDefault="00000000">
            <w:pPr>
              <w:rPr>
                <w:szCs w:val="26"/>
                <w:rtl/>
                <w:lang w:eastAsia="en-US"/>
              </w:rPr>
            </w:pPr>
            <w:r>
              <w:rPr>
                <w:szCs w:val="26"/>
                <w:rtl/>
                <w:lang w:eastAsia="en-US"/>
              </w:rPr>
              <w:t>22.7</w:t>
            </w:r>
          </w:p>
        </w:tc>
        <w:tc>
          <w:tcPr>
            <w:tcW w:w="1008" w:type="dxa"/>
          </w:tcPr>
          <w:p w:rsidR="00000000" w:rsidRDefault="00000000">
            <w:pPr>
              <w:rPr>
                <w:szCs w:val="26"/>
                <w:rtl/>
                <w:lang w:eastAsia="en-US"/>
              </w:rPr>
            </w:pPr>
            <w:r>
              <w:rPr>
                <w:szCs w:val="26"/>
                <w:rtl/>
                <w:lang w:eastAsia="en-US"/>
              </w:rPr>
              <w:t>5/22</w:t>
            </w:r>
          </w:p>
        </w:tc>
        <w:tc>
          <w:tcPr>
            <w:tcW w:w="1008" w:type="dxa"/>
          </w:tcPr>
          <w:p w:rsidR="00000000" w:rsidRDefault="00000000">
            <w:pPr>
              <w:rPr>
                <w:szCs w:val="26"/>
                <w:rtl/>
                <w:lang w:eastAsia="en-US"/>
              </w:rPr>
            </w:pPr>
            <w:r>
              <w:rPr>
                <w:szCs w:val="26"/>
                <w:rtl/>
                <w:lang w:eastAsia="en-US"/>
              </w:rPr>
              <w:t>22.7</w:t>
            </w:r>
          </w:p>
        </w:tc>
      </w:tr>
    </w:tbl>
    <w:p w:rsidR="00000000" w:rsidRDefault="00000000">
      <w:pPr>
        <w:pStyle w:val="SingleTxt"/>
        <w:tabs>
          <w:tab w:val="clear" w:pos="1267"/>
        </w:tabs>
        <w:ind w:left="1264" w:right="1264"/>
        <w:rPr>
          <w:rtl/>
          <w:lang w:eastAsia="en-US"/>
        </w:rPr>
      </w:pPr>
      <w:r>
        <w:rPr>
          <w:rtl/>
          <w:lang w:eastAsia="en-US"/>
        </w:rPr>
        <w:t>ن/ج =</w:t>
      </w:r>
      <w:r>
        <w:rPr>
          <w:rtl/>
          <w:lang w:eastAsia="en-US"/>
        </w:rPr>
        <w:tab/>
        <w:t>نساء بالنسبة للعدد الإجمالي</w:t>
      </w:r>
    </w:p>
    <w:p w:rsidR="00000000" w:rsidRDefault="00000000">
      <w:pPr>
        <w:pStyle w:val="SingleTxt"/>
        <w:tabs>
          <w:tab w:val="clear" w:pos="1267"/>
        </w:tabs>
        <w:ind w:left="1264" w:right="1264"/>
        <w:rPr>
          <w:szCs w:val="26"/>
          <w:rtl/>
          <w:lang w:eastAsia="en-US"/>
        </w:rPr>
      </w:pPr>
      <w:r>
        <w:rPr>
          <w:i/>
          <w:iCs/>
          <w:szCs w:val="26"/>
          <w:rtl/>
          <w:lang w:eastAsia="en-US"/>
        </w:rPr>
        <w:t>المصدر: الجمعية الوطنية.</w:t>
      </w:r>
    </w:p>
    <w:p w:rsidR="00000000" w:rsidRDefault="00000000">
      <w:pPr>
        <w:pStyle w:val="SingleTxt"/>
        <w:tabs>
          <w:tab w:val="clear" w:pos="1267"/>
        </w:tabs>
        <w:ind w:left="1264" w:right="1264"/>
        <w:rPr>
          <w:rtl/>
          <w:lang w:eastAsia="en-US"/>
        </w:rPr>
      </w:pPr>
    </w:p>
    <w:p w:rsidR="00000000" w:rsidRDefault="00000000">
      <w:pPr>
        <w:pStyle w:val="SingleTxt"/>
        <w:tabs>
          <w:tab w:val="clear" w:pos="1267"/>
        </w:tabs>
        <w:ind w:left="1264" w:right="1264"/>
        <w:rPr>
          <w:rtl/>
          <w:lang w:eastAsia="en-US"/>
        </w:rPr>
      </w:pPr>
      <w:r>
        <w:rPr>
          <w:b/>
          <w:bCs/>
          <w:rtl/>
          <w:lang w:eastAsia="en-US"/>
        </w:rPr>
        <w:t>هيئات صنع القرار الإقليمية</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21"/>
        <w:gridCol w:w="1586"/>
        <w:gridCol w:w="1586"/>
        <w:gridCol w:w="1586"/>
        <w:gridCol w:w="1586"/>
      </w:tblGrid>
      <w:tr w:rsidR="00000000">
        <w:tblPrEx>
          <w:tblCellMar>
            <w:top w:w="0" w:type="dxa"/>
            <w:bottom w:w="0" w:type="dxa"/>
          </w:tblCellMar>
        </w:tblPrEx>
        <w:tc>
          <w:tcPr>
            <w:tcW w:w="3721" w:type="dxa"/>
          </w:tcPr>
          <w:p w:rsidR="00000000" w:rsidRDefault="00000000">
            <w:pPr>
              <w:pStyle w:val="H4"/>
              <w:keepLines w:val="0"/>
              <w:suppressAutoHyphens w:val="0"/>
              <w:spacing w:line="400" w:lineRule="exact"/>
              <w:rPr>
                <w:spacing w:val="0"/>
                <w:rtl/>
                <w:lang w:eastAsia="en-US"/>
              </w:rPr>
            </w:pPr>
            <w:r>
              <w:rPr>
                <w:spacing w:val="0"/>
                <w:rtl/>
                <w:lang w:eastAsia="en-US"/>
              </w:rPr>
              <w:t>المنظمات</w:t>
            </w:r>
          </w:p>
        </w:tc>
        <w:tc>
          <w:tcPr>
            <w:tcW w:w="1586" w:type="dxa"/>
          </w:tcPr>
          <w:p w:rsidR="00000000" w:rsidRDefault="00000000">
            <w:pPr>
              <w:rPr>
                <w:rFonts w:cs="Akhbar MT"/>
                <w:i/>
                <w:iCs/>
                <w:szCs w:val="26"/>
                <w:rtl/>
                <w:lang w:eastAsia="en-US"/>
              </w:rPr>
            </w:pPr>
            <w:r>
              <w:rPr>
                <w:i/>
                <w:iCs/>
                <w:rtl/>
                <w:lang w:eastAsia="en-US"/>
              </w:rPr>
              <w:t xml:space="preserve">1994 </w:t>
            </w:r>
            <w:r>
              <w:rPr>
                <w:rFonts w:cs="Akhbar MT"/>
                <w:i/>
                <w:iCs/>
                <w:szCs w:val="26"/>
                <w:rtl/>
                <w:lang w:eastAsia="en-US"/>
              </w:rPr>
              <w:t>(%)</w:t>
            </w:r>
          </w:p>
        </w:tc>
        <w:tc>
          <w:tcPr>
            <w:tcW w:w="1586" w:type="dxa"/>
          </w:tcPr>
          <w:p w:rsidR="00000000" w:rsidRDefault="00000000">
            <w:pPr>
              <w:rPr>
                <w:i/>
                <w:iCs/>
                <w:rtl/>
                <w:lang w:eastAsia="en-US"/>
              </w:rPr>
            </w:pPr>
            <w:r>
              <w:rPr>
                <w:i/>
                <w:iCs/>
                <w:rtl/>
                <w:lang w:eastAsia="en-US"/>
              </w:rPr>
              <w:t xml:space="preserve">1995 </w:t>
            </w:r>
            <w:r>
              <w:rPr>
                <w:rFonts w:cs="Akhbar MT"/>
                <w:i/>
                <w:iCs/>
                <w:szCs w:val="26"/>
                <w:rtl/>
                <w:lang w:eastAsia="en-US"/>
              </w:rPr>
              <w:t>(%)</w:t>
            </w:r>
          </w:p>
        </w:tc>
        <w:tc>
          <w:tcPr>
            <w:tcW w:w="1586" w:type="dxa"/>
          </w:tcPr>
          <w:p w:rsidR="00000000" w:rsidRDefault="00000000">
            <w:pPr>
              <w:rPr>
                <w:i/>
                <w:iCs/>
                <w:rtl/>
                <w:lang w:eastAsia="en-US"/>
              </w:rPr>
            </w:pPr>
            <w:r>
              <w:rPr>
                <w:i/>
                <w:iCs/>
                <w:rtl/>
                <w:lang w:eastAsia="en-US"/>
              </w:rPr>
              <w:t xml:space="preserve">1996 </w:t>
            </w:r>
            <w:r>
              <w:rPr>
                <w:rFonts w:cs="Akhbar MT"/>
                <w:i/>
                <w:iCs/>
                <w:szCs w:val="26"/>
                <w:rtl/>
                <w:lang w:eastAsia="en-US"/>
              </w:rPr>
              <w:t>(%)</w:t>
            </w:r>
          </w:p>
        </w:tc>
        <w:tc>
          <w:tcPr>
            <w:tcW w:w="1586" w:type="dxa"/>
          </w:tcPr>
          <w:p w:rsidR="00000000" w:rsidRDefault="00000000">
            <w:pPr>
              <w:rPr>
                <w:i/>
                <w:iCs/>
                <w:rtl/>
                <w:lang w:eastAsia="en-US"/>
              </w:rPr>
            </w:pPr>
            <w:r>
              <w:rPr>
                <w:i/>
                <w:iCs/>
                <w:rtl/>
                <w:lang w:eastAsia="en-US"/>
              </w:rPr>
              <w:t xml:space="preserve">1997 </w:t>
            </w:r>
            <w:r>
              <w:rPr>
                <w:rFonts w:cs="Akhbar MT"/>
                <w:i/>
                <w:iCs/>
                <w:szCs w:val="26"/>
                <w:rtl/>
                <w:lang w:eastAsia="en-US"/>
              </w:rPr>
              <w:t>(%)</w:t>
            </w:r>
          </w:p>
        </w:tc>
      </w:tr>
      <w:tr w:rsidR="00000000">
        <w:tblPrEx>
          <w:tblCellMar>
            <w:top w:w="0" w:type="dxa"/>
            <w:bottom w:w="0" w:type="dxa"/>
          </w:tblCellMar>
        </w:tblPrEx>
        <w:tc>
          <w:tcPr>
            <w:tcW w:w="3721" w:type="dxa"/>
          </w:tcPr>
          <w:p w:rsidR="00000000" w:rsidRDefault="00000000">
            <w:pPr>
              <w:rPr>
                <w:rtl/>
                <w:lang w:eastAsia="en-US"/>
              </w:rPr>
            </w:pPr>
            <w:r>
              <w:rPr>
                <w:rtl/>
                <w:lang w:eastAsia="en-US"/>
              </w:rPr>
              <w:t>مجالس التنمية الإقليمية</w:t>
            </w:r>
          </w:p>
          <w:p w:rsidR="00000000" w:rsidRDefault="00000000">
            <w:pPr>
              <w:rPr>
                <w:rtl/>
                <w:lang w:eastAsia="en-US"/>
              </w:rPr>
            </w:pPr>
            <w:r>
              <w:rPr>
                <w:rtl/>
                <w:lang w:eastAsia="en-US"/>
              </w:rPr>
              <w:t>-</w:t>
            </w:r>
            <w:r>
              <w:rPr>
                <w:rtl/>
                <w:lang w:eastAsia="en-US"/>
              </w:rPr>
              <w:tab/>
              <w:t>مجالس المديرين</w:t>
            </w:r>
          </w:p>
        </w:tc>
        <w:tc>
          <w:tcPr>
            <w:tcW w:w="1586" w:type="dxa"/>
          </w:tcPr>
          <w:p w:rsidR="00000000" w:rsidRDefault="00000000">
            <w:pPr>
              <w:rPr>
                <w:rtl/>
                <w:lang w:eastAsia="en-US"/>
              </w:rPr>
            </w:pPr>
          </w:p>
          <w:p w:rsidR="00000000" w:rsidRDefault="00000000">
            <w:pPr>
              <w:rPr>
                <w:rtl/>
                <w:lang w:eastAsia="en-US"/>
              </w:rPr>
            </w:pPr>
            <w:r>
              <w:rPr>
                <w:rtl/>
                <w:lang w:eastAsia="en-US"/>
              </w:rPr>
              <w:t>15.2</w:t>
            </w:r>
          </w:p>
        </w:tc>
        <w:tc>
          <w:tcPr>
            <w:tcW w:w="1586" w:type="dxa"/>
          </w:tcPr>
          <w:p w:rsidR="00000000" w:rsidRDefault="00000000">
            <w:pPr>
              <w:rPr>
                <w:rtl/>
                <w:lang w:eastAsia="en-US"/>
              </w:rPr>
            </w:pPr>
          </w:p>
          <w:p w:rsidR="00000000" w:rsidRDefault="00000000">
            <w:pPr>
              <w:rPr>
                <w:rtl/>
                <w:lang w:eastAsia="en-US"/>
              </w:rPr>
            </w:pPr>
            <w:r>
              <w:rPr>
                <w:rtl/>
                <w:lang w:eastAsia="en-US"/>
              </w:rPr>
              <w:t>15.5</w:t>
            </w:r>
          </w:p>
        </w:tc>
        <w:tc>
          <w:tcPr>
            <w:tcW w:w="1586" w:type="dxa"/>
          </w:tcPr>
          <w:p w:rsidR="00000000" w:rsidRDefault="00000000">
            <w:pPr>
              <w:rPr>
                <w:rtl/>
                <w:lang w:eastAsia="en-US"/>
              </w:rPr>
            </w:pPr>
          </w:p>
          <w:p w:rsidR="00000000" w:rsidRDefault="00000000">
            <w:pPr>
              <w:rPr>
                <w:rtl/>
                <w:lang w:eastAsia="en-US"/>
              </w:rPr>
            </w:pPr>
            <w:r>
              <w:rPr>
                <w:rtl/>
                <w:lang w:eastAsia="en-US"/>
              </w:rPr>
              <w:t>17.1</w:t>
            </w:r>
          </w:p>
        </w:tc>
        <w:tc>
          <w:tcPr>
            <w:tcW w:w="1586" w:type="dxa"/>
          </w:tcPr>
          <w:p w:rsidR="00000000" w:rsidRDefault="00000000">
            <w:pPr>
              <w:rPr>
                <w:rtl/>
                <w:lang w:eastAsia="en-US"/>
              </w:rPr>
            </w:pPr>
          </w:p>
          <w:p w:rsidR="00000000" w:rsidRDefault="00000000">
            <w:pPr>
              <w:rPr>
                <w:rtl/>
                <w:lang w:eastAsia="en-US"/>
              </w:rPr>
            </w:pPr>
            <w:r>
              <w:rPr>
                <w:rtl/>
                <w:lang w:eastAsia="en-US"/>
              </w:rPr>
              <w:t>18</w:t>
            </w:r>
          </w:p>
        </w:tc>
      </w:tr>
      <w:tr w:rsidR="00000000">
        <w:tblPrEx>
          <w:tblCellMar>
            <w:top w:w="0" w:type="dxa"/>
            <w:bottom w:w="0" w:type="dxa"/>
          </w:tblCellMar>
        </w:tblPrEx>
        <w:tc>
          <w:tcPr>
            <w:tcW w:w="3721" w:type="dxa"/>
          </w:tcPr>
          <w:p w:rsidR="00000000" w:rsidRDefault="00000000">
            <w:pPr>
              <w:rPr>
                <w:rtl/>
                <w:lang w:eastAsia="en-US"/>
              </w:rPr>
            </w:pPr>
            <w:r>
              <w:rPr>
                <w:rtl/>
                <w:lang w:eastAsia="en-US"/>
              </w:rPr>
              <w:t>المجالس الإقليمية الصحية</w:t>
            </w:r>
          </w:p>
          <w:p w:rsidR="00000000" w:rsidRDefault="00000000">
            <w:pPr>
              <w:rPr>
                <w:rtl/>
                <w:lang w:eastAsia="en-US"/>
              </w:rPr>
            </w:pPr>
            <w:r>
              <w:rPr>
                <w:rtl/>
                <w:lang w:eastAsia="en-US"/>
              </w:rPr>
              <w:t>-</w:t>
            </w:r>
            <w:r>
              <w:rPr>
                <w:rtl/>
                <w:lang w:eastAsia="en-US"/>
              </w:rPr>
              <w:tab/>
              <w:t>مجالس المديرين</w:t>
            </w:r>
          </w:p>
        </w:tc>
        <w:tc>
          <w:tcPr>
            <w:tcW w:w="1586" w:type="dxa"/>
          </w:tcPr>
          <w:p w:rsidR="00000000" w:rsidRDefault="00000000">
            <w:pPr>
              <w:rPr>
                <w:rtl/>
                <w:lang w:eastAsia="en-US"/>
              </w:rPr>
            </w:pPr>
          </w:p>
          <w:p w:rsidR="00000000" w:rsidRDefault="00000000">
            <w:pPr>
              <w:rPr>
                <w:rtl/>
                <w:lang w:eastAsia="en-US"/>
              </w:rPr>
            </w:pPr>
            <w:r>
              <w:rPr>
                <w:rtl/>
                <w:lang w:eastAsia="en-US"/>
              </w:rPr>
              <w:t>33.8</w:t>
            </w:r>
          </w:p>
        </w:tc>
        <w:tc>
          <w:tcPr>
            <w:tcW w:w="1586" w:type="dxa"/>
          </w:tcPr>
          <w:p w:rsidR="00000000" w:rsidRDefault="00000000">
            <w:pPr>
              <w:rPr>
                <w:rtl/>
                <w:lang w:eastAsia="en-US"/>
              </w:rPr>
            </w:pPr>
          </w:p>
          <w:p w:rsidR="00000000" w:rsidRDefault="00000000">
            <w:pPr>
              <w:rPr>
                <w:rtl/>
                <w:lang w:eastAsia="en-US"/>
              </w:rPr>
            </w:pPr>
            <w:r>
              <w:rPr>
                <w:rtl/>
                <w:lang w:eastAsia="en-US"/>
              </w:rPr>
              <w:t>غير متاح</w:t>
            </w:r>
          </w:p>
        </w:tc>
        <w:tc>
          <w:tcPr>
            <w:tcW w:w="1586" w:type="dxa"/>
          </w:tcPr>
          <w:p w:rsidR="00000000" w:rsidRDefault="00000000">
            <w:pPr>
              <w:rPr>
                <w:rtl/>
                <w:lang w:eastAsia="en-US"/>
              </w:rPr>
            </w:pPr>
          </w:p>
          <w:p w:rsidR="00000000" w:rsidRDefault="00000000">
            <w:pPr>
              <w:rPr>
                <w:rtl/>
                <w:lang w:eastAsia="en-US"/>
              </w:rPr>
            </w:pPr>
            <w:r>
              <w:rPr>
                <w:rtl/>
                <w:lang w:eastAsia="en-US"/>
              </w:rPr>
              <w:t>غير متاح</w:t>
            </w:r>
          </w:p>
        </w:tc>
        <w:tc>
          <w:tcPr>
            <w:tcW w:w="1586" w:type="dxa"/>
          </w:tcPr>
          <w:p w:rsidR="00000000" w:rsidRDefault="00000000">
            <w:pPr>
              <w:rPr>
                <w:rtl/>
                <w:lang w:eastAsia="en-US"/>
              </w:rPr>
            </w:pPr>
          </w:p>
          <w:p w:rsidR="00000000" w:rsidRDefault="00000000">
            <w:pPr>
              <w:rPr>
                <w:rtl/>
                <w:lang w:eastAsia="en-US"/>
              </w:rPr>
            </w:pPr>
            <w:r>
              <w:rPr>
                <w:rtl/>
                <w:lang w:eastAsia="en-US"/>
              </w:rPr>
              <w:t>36.9</w:t>
            </w:r>
          </w:p>
        </w:tc>
      </w:tr>
    </w:tbl>
    <w:p w:rsidR="00000000" w:rsidRDefault="00000000">
      <w:pPr>
        <w:pStyle w:val="SingleTxt"/>
        <w:tabs>
          <w:tab w:val="clear" w:pos="1267"/>
        </w:tabs>
        <w:ind w:left="1264" w:right="1264"/>
        <w:rPr>
          <w:szCs w:val="26"/>
          <w:rtl/>
          <w:lang w:eastAsia="en-US"/>
        </w:rPr>
      </w:pPr>
      <w:r>
        <w:rPr>
          <w:i/>
          <w:iCs/>
          <w:szCs w:val="26"/>
          <w:rtl/>
          <w:lang w:eastAsia="en-US"/>
        </w:rPr>
        <w:t>المصادر:</w:t>
      </w:r>
      <w:r>
        <w:rPr>
          <w:i/>
          <w:iCs/>
          <w:szCs w:val="26"/>
          <w:rtl/>
          <w:lang w:eastAsia="en-US"/>
        </w:rPr>
        <w:tab/>
        <w:t>وزارة شؤون المناطق ووزارة الصحة والخدمات الاجتماعية.</w:t>
      </w:r>
    </w:p>
    <w:p w:rsidR="00000000" w:rsidRDefault="00000000">
      <w:pPr>
        <w:pStyle w:val="SingleTxt"/>
        <w:tabs>
          <w:tab w:val="clear" w:pos="1267"/>
        </w:tabs>
        <w:ind w:left="1264" w:right="1264"/>
        <w:rPr>
          <w:b/>
          <w:bCs/>
          <w:szCs w:val="32"/>
          <w:rtl/>
          <w:lang w:eastAsia="en-US"/>
        </w:rPr>
      </w:pPr>
    </w:p>
    <w:p w:rsidR="00000000" w:rsidRDefault="00000000">
      <w:pPr>
        <w:pStyle w:val="SingleTxt"/>
        <w:tabs>
          <w:tab w:val="clear" w:pos="1267"/>
        </w:tabs>
        <w:ind w:left="1264" w:right="1264"/>
        <w:rPr>
          <w:b/>
          <w:bCs/>
          <w:szCs w:val="32"/>
          <w:rtl/>
          <w:lang w:eastAsia="en-US"/>
        </w:rPr>
      </w:pPr>
    </w:p>
    <w:p w:rsidR="00000000" w:rsidRDefault="00000000">
      <w:pPr>
        <w:pStyle w:val="SingleTxt"/>
        <w:tabs>
          <w:tab w:val="clear" w:pos="1267"/>
        </w:tabs>
        <w:spacing w:line="360" w:lineRule="exact"/>
        <w:ind w:left="1264" w:right="1264"/>
        <w:rPr>
          <w:b/>
          <w:bCs/>
          <w:szCs w:val="32"/>
          <w:rtl/>
          <w:lang w:eastAsia="en-US"/>
        </w:rPr>
      </w:pPr>
      <w:r>
        <w:rPr>
          <w:b/>
          <w:bCs/>
          <w:szCs w:val="32"/>
          <w:rtl/>
          <w:lang w:eastAsia="en-US"/>
        </w:rPr>
        <w:t>التذييل 3: كبار الموظفين العموميين</w:t>
      </w:r>
    </w:p>
    <w:p w:rsidR="00000000" w:rsidRDefault="00000000">
      <w:pPr>
        <w:pStyle w:val="SingleTxt"/>
        <w:tabs>
          <w:tab w:val="clear" w:pos="1267"/>
        </w:tabs>
        <w:spacing w:after="0" w:line="360" w:lineRule="exact"/>
        <w:ind w:left="1264" w:right="1264"/>
        <w:rPr>
          <w:b/>
          <w:bCs/>
          <w:rtl/>
          <w:lang w:eastAsia="en-US"/>
        </w:rPr>
      </w:pPr>
      <w:r>
        <w:rPr>
          <w:b/>
          <w:bCs/>
          <w:rtl/>
          <w:lang w:eastAsia="en-US"/>
        </w:rPr>
        <w:t>تقسيم المستوى الأقدم بالخدمة العامة* حسب فئة الوظيفة ونوع الجنس</w:t>
      </w:r>
    </w:p>
    <w:p w:rsidR="00000000" w:rsidRDefault="00000000">
      <w:pPr>
        <w:pStyle w:val="SingleTxt"/>
        <w:tabs>
          <w:tab w:val="clear" w:pos="1267"/>
        </w:tabs>
        <w:spacing w:line="360" w:lineRule="exact"/>
        <w:ind w:left="1264" w:right="1264"/>
        <w:rPr>
          <w:rtl/>
          <w:lang w:eastAsia="en-US"/>
        </w:rPr>
      </w:pPr>
      <w:r>
        <w:rPr>
          <w:b/>
          <w:bCs/>
          <w:rtl/>
          <w:lang w:eastAsia="en-US"/>
        </w:rPr>
        <w:t xml:space="preserve">1 نيسان أبريل، 1994 </w:t>
      </w:r>
      <w:r>
        <w:rPr>
          <w:b/>
          <w:bCs/>
          <w:lang w:eastAsia="en-US"/>
        </w:rPr>
        <w:t>–</w:t>
      </w:r>
      <w:r>
        <w:rPr>
          <w:b/>
          <w:bCs/>
          <w:rtl/>
          <w:lang w:eastAsia="en-US"/>
        </w:rPr>
        <w:t xml:space="preserve"> 31 آذار مارس 1998</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12"/>
        <w:gridCol w:w="1175"/>
        <w:gridCol w:w="1176"/>
        <w:gridCol w:w="1176"/>
        <w:gridCol w:w="1175"/>
        <w:gridCol w:w="1176"/>
        <w:gridCol w:w="1176"/>
      </w:tblGrid>
      <w:tr w:rsidR="00000000">
        <w:tblPrEx>
          <w:tblCellMar>
            <w:top w:w="0" w:type="dxa"/>
            <w:bottom w:w="0" w:type="dxa"/>
          </w:tblCellMar>
        </w:tblPrEx>
        <w:trPr>
          <w:cantSplit/>
        </w:trPr>
        <w:tc>
          <w:tcPr>
            <w:tcW w:w="3012" w:type="dxa"/>
            <w:vMerge w:val="restart"/>
          </w:tcPr>
          <w:p w:rsidR="00000000" w:rsidRDefault="00000000">
            <w:pPr>
              <w:pStyle w:val="H4"/>
              <w:keepLines w:val="0"/>
              <w:suppressAutoHyphens w:val="0"/>
              <w:spacing w:line="300" w:lineRule="exact"/>
              <w:rPr>
                <w:spacing w:val="0"/>
                <w:rtl/>
                <w:lang w:eastAsia="en-US"/>
              </w:rPr>
            </w:pPr>
            <w:r>
              <w:rPr>
                <w:spacing w:val="0"/>
                <w:rtl/>
                <w:lang w:eastAsia="en-US"/>
              </w:rPr>
              <w:t>السنة وفئة الوظيفة</w:t>
            </w:r>
          </w:p>
        </w:tc>
        <w:tc>
          <w:tcPr>
            <w:tcW w:w="2351" w:type="dxa"/>
            <w:gridSpan w:val="2"/>
          </w:tcPr>
          <w:p w:rsidR="00000000" w:rsidRDefault="00000000">
            <w:pPr>
              <w:spacing w:line="300" w:lineRule="exact"/>
              <w:jc w:val="center"/>
              <w:rPr>
                <w:i/>
                <w:iCs/>
                <w:rtl/>
                <w:lang w:eastAsia="en-US"/>
              </w:rPr>
            </w:pPr>
            <w:r>
              <w:rPr>
                <w:i/>
                <w:iCs/>
                <w:rtl/>
                <w:lang w:eastAsia="en-US"/>
              </w:rPr>
              <w:t>رجل</w:t>
            </w:r>
          </w:p>
        </w:tc>
        <w:tc>
          <w:tcPr>
            <w:tcW w:w="2351" w:type="dxa"/>
            <w:gridSpan w:val="2"/>
          </w:tcPr>
          <w:p w:rsidR="00000000" w:rsidRDefault="00000000">
            <w:pPr>
              <w:spacing w:line="300" w:lineRule="exact"/>
              <w:jc w:val="center"/>
              <w:rPr>
                <w:i/>
                <w:iCs/>
                <w:rtl/>
                <w:lang w:eastAsia="en-US"/>
              </w:rPr>
            </w:pPr>
            <w:r>
              <w:rPr>
                <w:i/>
                <w:iCs/>
                <w:rtl/>
                <w:lang w:eastAsia="en-US"/>
              </w:rPr>
              <w:t>امرأة</w:t>
            </w:r>
          </w:p>
        </w:tc>
        <w:tc>
          <w:tcPr>
            <w:tcW w:w="2352" w:type="dxa"/>
            <w:gridSpan w:val="2"/>
          </w:tcPr>
          <w:p w:rsidR="00000000" w:rsidRDefault="00000000">
            <w:pPr>
              <w:spacing w:line="300" w:lineRule="exact"/>
              <w:jc w:val="center"/>
              <w:rPr>
                <w:i/>
                <w:iCs/>
                <w:rtl/>
                <w:lang w:eastAsia="en-US"/>
              </w:rPr>
            </w:pPr>
            <w:r>
              <w:rPr>
                <w:i/>
                <w:iCs/>
                <w:rtl/>
                <w:lang w:eastAsia="en-US"/>
              </w:rPr>
              <w:t>المجموع</w:t>
            </w:r>
          </w:p>
        </w:tc>
      </w:tr>
      <w:tr w:rsidR="00000000">
        <w:tblPrEx>
          <w:tblCellMar>
            <w:top w:w="0" w:type="dxa"/>
            <w:bottom w:w="0" w:type="dxa"/>
          </w:tblCellMar>
        </w:tblPrEx>
        <w:trPr>
          <w:cantSplit/>
        </w:trPr>
        <w:tc>
          <w:tcPr>
            <w:tcW w:w="3012" w:type="dxa"/>
            <w:vMerge/>
          </w:tcPr>
          <w:p w:rsidR="00000000" w:rsidRDefault="00000000">
            <w:pPr>
              <w:spacing w:line="300" w:lineRule="exact"/>
              <w:rPr>
                <w:rtl/>
                <w:lang w:eastAsia="en-US"/>
              </w:rPr>
            </w:pPr>
          </w:p>
        </w:tc>
        <w:tc>
          <w:tcPr>
            <w:tcW w:w="1175" w:type="dxa"/>
          </w:tcPr>
          <w:p w:rsidR="00000000" w:rsidRDefault="00000000">
            <w:pPr>
              <w:pStyle w:val="Heading2"/>
              <w:spacing w:line="300" w:lineRule="exact"/>
              <w:rPr>
                <w:rtl/>
              </w:rPr>
            </w:pPr>
            <w:r>
              <w:rPr>
                <w:rtl/>
              </w:rPr>
              <w:t>العدد</w:t>
            </w:r>
          </w:p>
        </w:tc>
        <w:tc>
          <w:tcPr>
            <w:tcW w:w="1176" w:type="dxa"/>
          </w:tcPr>
          <w:p w:rsidR="00000000" w:rsidRDefault="00000000">
            <w:pPr>
              <w:pStyle w:val="H56"/>
              <w:keepNext w:val="0"/>
              <w:keepLines w:val="0"/>
              <w:suppressAutoHyphens w:val="0"/>
              <w:spacing w:line="300" w:lineRule="exact"/>
              <w:jc w:val="center"/>
              <w:outlineLvl w:val="9"/>
              <w:rPr>
                <w:rFonts w:cs="Akhbar MT"/>
                <w:i/>
                <w:iCs/>
                <w:rtl/>
                <w:lang w:eastAsia="en-US"/>
              </w:rPr>
            </w:pPr>
            <w:r>
              <w:rPr>
                <w:rFonts w:cs="Akhbar MT"/>
                <w:i/>
                <w:iCs/>
                <w:rtl/>
                <w:lang w:eastAsia="en-US"/>
              </w:rPr>
              <w:t>%</w:t>
            </w:r>
          </w:p>
        </w:tc>
        <w:tc>
          <w:tcPr>
            <w:tcW w:w="1176" w:type="dxa"/>
          </w:tcPr>
          <w:p w:rsidR="00000000" w:rsidRDefault="00000000">
            <w:pPr>
              <w:spacing w:line="300" w:lineRule="exact"/>
              <w:jc w:val="center"/>
              <w:rPr>
                <w:i/>
                <w:iCs/>
                <w:rtl/>
                <w:lang w:eastAsia="en-US"/>
              </w:rPr>
            </w:pPr>
            <w:r>
              <w:rPr>
                <w:i/>
                <w:iCs/>
                <w:rtl/>
                <w:lang w:eastAsia="en-US"/>
              </w:rPr>
              <w:t>العدد</w:t>
            </w:r>
          </w:p>
        </w:tc>
        <w:tc>
          <w:tcPr>
            <w:tcW w:w="1175" w:type="dxa"/>
          </w:tcPr>
          <w:p w:rsidR="00000000" w:rsidRDefault="00000000">
            <w:pPr>
              <w:pStyle w:val="H56"/>
              <w:keepNext w:val="0"/>
              <w:keepLines w:val="0"/>
              <w:suppressAutoHyphens w:val="0"/>
              <w:spacing w:line="300" w:lineRule="exact"/>
              <w:jc w:val="center"/>
              <w:outlineLvl w:val="9"/>
              <w:rPr>
                <w:rFonts w:cs="Akhbar MT"/>
                <w:i/>
                <w:iCs/>
                <w:rtl/>
                <w:lang w:eastAsia="en-US"/>
              </w:rPr>
            </w:pPr>
            <w:r>
              <w:rPr>
                <w:rFonts w:cs="Akhbar MT"/>
                <w:i/>
                <w:iCs/>
                <w:rtl/>
                <w:lang w:eastAsia="en-US"/>
              </w:rPr>
              <w:t>%</w:t>
            </w:r>
          </w:p>
        </w:tc>
        <w:tc>
          <w:tcPr>
            <w:tcW w:w="1176" w:type="dxa"/>
          </w:tcPr>
          <w:p w:rsidR="00000000" w:rsidRDefault="00000000">
            <w:pPr>
              <w:spacing w:line="300" w:lineRule="exact"/>
              <w:jc w:val="center"/>
              <w:rPr>
                <w:i/>
                <w:iCs/>
                <w:rtl/>
                <w:lang w:eastAsia="en-US"/>
              </w:rPr>
            </w:pPr>
            <w:r>
              <w:rPr>
                <w:i/>
                <w:iCs/>
                <w:rtl/>
                <w:lang w:eastAsia="en-US"/>
              </w:rPr>
              <w:t>العدد</w:t>
            </w:r>
          </w:p>
        </w:tc>
        <w:tc>
          <w:tcPr>
            <w:tcW w:w="1176" w:type="dxa"/>
          </w:tcPr>
          <w:p w:rsidR="00000000" w:rsidRDefault="00000000">
            <w:pPr>
              <w:pStyle w:val="H56"/>
              <w:keepNext w:val="0"/>
              <w:keepLines w:val="0"/>
              <w:suppressAutoHyphens w:val="0"/>
              <w:spacing w:line="300" w:lineRule="exact"/>
              <w:jc w:val="center"/>
              <w:outlineLvl w:val="9"/>
              <w:rPr>
                <w:rFonts w:cs="Akhbar MT"/>
                <w:i/>
                <w:iCs/>
                <w:rtl/>
                <w:lang w:eastAsia="en-US"/>
              </w:rPr>
            </w:pPr>
            <w:r>
              <w:rPr>
                <w:rFonts w:cs="Akhbar MT"/>
                <w:i/>
                <w:iCs/>
                <w:rtl/>
                <w:lang w:eastAsia="en-US"/>
              </w:rPr>
              <w:t>%</w:t>
            </w:r>
          </w:p>
        </w:tc>
      </w:tr>
      <w:tr w:rsidR="00000000">
        <w:tblPrEx>
          <w:tblCellMar>
            <w:top w:w="0" w:type="dxa"/>
            <w:bottom w:w="0" w:type="dxa"/>
          </w:tblCellMar>
        </w:tblPrEx>
        <w:tc>
          <w:tcPr>
            <w:tcW w:w="3012" w:type="dxa"/>
          </w:tcPr>
          <w:p w:rsidR="00000000" w:rsidRDefault="00000000">
            <w:pPr>
              <w:spacing w:line="300" w:lineRule="exact"/>
              <w:rPr>
                <w:rtl/>
                <w:lang w:eastAsia="en-US"/>
              </w:rPr>
            </w:pPr>
            <w:r>
              <w:rPr>
                <w:rtl/>
                <w:lang w:eastAsia="en-US"/>
              </w:rPr>
              <w:t>1994</w:t>
            </w:r>
          </w:p>
          <w:p w:rsidR="00000000" w:rsidRDefault="00000000">
            <w:pPr>
              <w:spacing w:line="300" w:lineRule="exact"/>
              <w:rPr>
                <w:rtl/>
                <w:lang w:eastAsia="en-US"/>
              </w:rPr>
            </w:pPr>
            <w:r>
              <w:rPr>
                <w:rtl/>
                <w:lang w:eastAsia="en-US"/>
              </w:rPr>
              <w:t>نائب وزير</w:t>
            </w:r>
          </w:p>
          <w:p w:rsidR="00000000" w:rsidRDefault="00000000">
            <w:pPr>
              <w:spacing w:line="300" w:lineRule="exact"/>
              <w:rPr>
                <w:rtl/>
                <w:lang w:eastAsia="en-US"/>
              </w:rPr>
            </w:pPr>
            <w:r>
              <w:rPr>
                <w:rtl/>
                <w:lang w:eastAsia="en-US"/>
              </w:rPr>
              <w:t>مساعد/معاون نائب وزير</w:t>
            </w:r>
          </w:p>
          <w:p w:rsidR="00000000" w:rsidRDefault="00000000">
            <w:pPr>
              <w:spacing w:line="300" w:lineRule="exact"/>
              <w:rPr>
                <w:rtl/>
                <w:lang w:eastAsia="en-US"/>
              </w:rPr>
            </w:pPr>
            <w:r>
              <w:rPr>
                <w:rtl/>
                <w:lang w:eastAsia="en-US"/>
              </w:rPr>
              <w:t>رئيس هيئة</w:t>
            </w:r>
          </w:p>
          <w:p w:rsidR="00000000" w:rsidRDefault="00000000">
            <w:pPr>
              <w:spacing w:line="300" w:lineRule="exact"/>
              <w:rPr>
                <w:rtl/>
                <w:lang w:eastAsia="en-US"/>
              </w:rPr>
            </w:pPr>
            <w:r>
              <w:rPr>
                <w:rtl/>
                <w:lang w:eastAsia="en-US"/>
              </w:rPr>
              <w:t>موظف</w:t>
            </w:r>
          </w:p>
        </w:tc>
        <w:tc>
          <w:tcPr>
            <w:tcW w:w="1175"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24</w:t>
            </w:r>
          </w:p>
          <w:p w:rsidR="00000000" w:rsidRDefault="00000000">
            <w:pPr>
              <w:spacing w:line="300" w:lineRule="exact"/>
              <w:rPr>
                <w:rtl/>
                <w:lang w:eastAsia="en-US"/>
              </w:rPr>
            </w:pPr>
            <w:r>
              <w:rPr>
                <w:rtl/>
                <w:lang w:eastAsia="en-US"/>
              </w:rPr>
              <w:t>95</w:t>
            </w:r>
          </w:p>
          <w:p w:rsidR="00000000" w:rsidRDefault="00000000">
            <w:pPr>
              <w:spacing w:line="300" w:lineRule="exact"/>
              <w:rPr>
                <w:rtl/>
                <w:lang w:eastAsia="en-US"/>
              </w:rPr>
            </w:pPr>
            <w:r>
              <w:rPr>
                <w:rtl/>
                <w:lang w:eastAsia="en-US"/>
              </w:rPr>
              <w:t>94</w:t>
            </w:r>
          </w:p>
          <w:p w:rsidR="00000000" w:rsidRDefault="00000000">
            <w:pPr>
              <w:spacing w:line="300" w:lineRule="exact"/>
              <w:rPr>
                <w:rtl/>
                <w:lang w:eastAsia="en-US"/>
              </w:rPr>
            </w:pPr>
            <w:r>
              <w:rPr>
                <w:rtl/>
                <w:lang w:eastAsia="en-US"/>
              </w:rPr>
              <w:t>260</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85.7</w:t>
            </w:r>
          </w:p>
          <w:p w:rsidR="00000000" w:rsidRDefault="00000000">
            <w:pPr>
              <w:spacing w:line="300" w:lineRule="exact"/>
              <w:rPr>
                <w:rtl/>
                <w:lang w:eastAsia="en-US"/>
              </w:rPr>
            </w:pPr>
            <w:r>
              <w:rPr>
                <w:rtl/>
                <w:lang w:eastAsia="en-US"/>
              </w:rPr>
              <w:t>88.0</w:t>
            </w:r>
          </w:p>
          <w:p w:rsidR="00000000" w:rsidRDefault="00000000">
            <w:pPr>
              <w:spacing w:line="300" w:lineRule="exact"/>
              <w:rPr>
                <w:rtl/>
                <w:lang w:eastAsia="en-US"/>
              </w:rPr>
            </w:pPr>
            <w:r>
              <w:rPr>
                <w:rtl/>
                <w:lang w:eastAsia="en-US"/>
              </w:rPr>
              <w:t>86.2</w:t>
            </w:r>
          </w:p>
          <w:p w:rsidR="00000000" w:rsidRDefault="00000000">
            <w:pPr>
              <w:spacing w:line="300" w:lineRule="exact"/>
              <w:rPr>
                <w:rtl/>
                <w:lang w:eastAsia="en-US"/>
              </w:rPr>
            </w:pPr>
            <w:r>
              <w:rPr>
                <w:rtl/>
                <w:lang w:eastAsia="en-US"/>
              </w:rPr>
              <w:t>72.2</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4</w:t>
            </w:r>
          </w:p>
          <w:p w:rsidR="00000000" w:rsidRDefault="00000000">
            <w:pPr>
              <w:spacing w:line="300" w:lineRule="exact"/>
              <w:rPr>
                <w:rtl/>
                <w:lang w:eastAsia="en-US"/>
              </w:rPr>
            </w:pPr>
            <w:r>
              <w:rPr>
                <w:rtl/>
                <w:lang w:eastAsia="en-US"/>
              </w:rPr>
              <w:t>13</w:t>
            </w:r>
          </w:p>
          <w:p w:rsidR="00000000" w:rsidRDefault="00000000">
            <w:pPr>
              <w:spacing w:line="300" w:lineRule="exact"/>
              <w:rPr>
                <w:rtl/>
                <w:lang w:eastAsia="en-US"/>
              </w:rPr>
            </w:pPr>
            <w:r>
              <w:rPr>
                <w:rtl/>
                <w:lang w:eastAsia="en-US"/>
              </w:rPr>
              <w:t>15</w:t>
            </w:r>
          </w:p>
          <w:p w:rsidR="00000000" w:rsidRDefault="00000000">
            <w:pPr>
              <w:spacing w:line="300" w:lineRule="exact"/>
              <w:rPr>
                <w:rtl/>
                <w:lang w:eastAsia="en-US"/>
              </w:rPr>
            </w:pPr>
            <w:r>
              <w:rPr>
                <w:rtl/>
                <w:lang w:eastAsia="en-US"/>
              </w:rPr>
              <w:t>100</w:t>
            </w:r>
          </w:p>
        </w:tc>
        <w:tc>
          <w:tcPr>
            <w:tcW w:w="1175"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14.3</w:t>
            </w:r>
          </w:p>
          <w:p w:rsidR="00000000" w:rsidRDefault="00000000">
            <w:pPr>
              <w:spacing w:line="300" w:lineRule="exact"/>
              <w:rPr>
                <w:rtl/>
                <w:lang w:eastAsia="en-US"/>
              </w:rPr>
            </w:pPr>
            <w:r>
              <w:rPr>
                <w:rtl/>
                <w:lang w:eastAsia="en-US"/>
              </w:rPr>
              <w:t>12.0</w:t>
            </w:r>
          </w:p>
          <w:p w:rsidR="00000000" w:rsidRDefault="00000000">
            <w:pPr>
              <w:spacing w:line="300" w:lineRule="exact"/>
              <w:rPr>
                <w:rtl/>
                <w:lang w:eastAsia="en-US"/>
              </w:rPr>
            </w:pPr>
            <w:r>
              <w:rPr>
                <w:rtl/>
                <w:lang w:eastAsia="en-US"/>
              </w:rPr>
              <w:t>13.8</w:t>
            </w:r>
          </w:p>
          <w:p w:rsidR="00000000" w:rsidRDefault="00000000">
            <w:pPr>
              <w:spacing w:line="300" w:lineRule="exact"/>
              <w:rPr>
                <w:rtl/>
                <w:lang w:eastAsia="en-US"/>
              </w:rPr>
            </w:pPr>
            <w:r>
              <w:rPr>
                <w:rtl/>
                <w:lang w:eastAsia="en-US"/>
              </w:rPr>
              <w:t>27.8</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28</w:t>
            </w:r>
          </w:p>
          <w:p w:rsidR="00000000" w:rsidRDefault="00000000">
            <w:pPr>
              <w:spacing w:line="300" w:lineRule="exact"/>
              <w:rPr>
                <w:rtl/>
                <w:lang w:eastAsia="en-US"/>
              </w:rPr>
            </w:pPr>
            <w:r>
              <w:rPr>
                <w:rtl/>
                <w:lang w:eastAsia="en-US"/>
              </w:rPr>
              <w:t>108</w:t>
            </w:r>
          </w:p>
          <w:p w:rsidR="00000000" w:rsidRDefault="00000000">
            <w:pPr>
              <w:spacing w:line="300" w:lineRule="exact"/>
              <w:rPr>
                <w:rtl/>
                <w:lang w:eastAsia="en-US"/>
              </w:rPr>
            </w:pPr>
            <w:r>
              <w:rPr>
                <w:rtl/>
                <w:lang w:eastAsia="en-US"/>
              </w:rPr>
              <w:t>109</w:t>
            </w:r>
          </w:p>
          <w:p w:rsidR="00000000" w:rsidRDefault="00000000">
            <w:pPr>
              <w:spacing w:line="300" w:lineRule="exact"/>
              <w:rPr>
                <w:rtl/>
                <w:lang w:eastAsia="en-US"/>
              </w:rPr>
            </w:pPr>
            <w:r>
              <w:rPr>
                <w:rtl/>
                <w:lang w:eastAsia="en-US"/>
              </w:rPr>
              <w:t>360</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100</w:t>
            </w:r>
          </w:p>
          <w:p w:rsidR="00000000" w:rsidRDefault="00000000">
            <w:pPr>
              <w:spacing w:line="300" w:lineRule="exact"/>
              <w:rPr>
                <w:rtl/>
                <w:lang w:eastAsia="en-US"/>
              </w:rPr>
            </w:pPr>
            <w:r>
              <w:rPr>
                <w:rtl/>
                <w:lang w:eastAsia="en-US"/>
              </w:rPr>
              <w:t>100</w:t>
            </w:r>
          </w:p>
          <w:p w:rsidR="00000000" w:rsidRDefault="00000000">
            <w:pPr>
              <w:spacing w:line="300" w:lineRule="exact"/>
              <w:rPr>
                <w:rtl/>
                <w:lang w:eastAsia="en-US"/>
              </w:rPr>
            </w:pPr>
            <w:r>
              <w:rPr>
                <w:rtl/>
                <w:lang w:eastAsia="en-US"/>
              </w:rPr>
              <w:t>100</w:t>
            </w:r>
          </w:p>
          <w:p w:rsidR="00000000" w:rsidRDefault="00000000">
            <w:pPr>
              <w:spacing w:line="300" w:lineRule="exact"/>
              <w:rPr>
                <w:rtl/>
                <w:lang w:eastAsia="en-US"/>
              </w:rPr>
            </w:pPr>
            <w:r>
              <w:rPr>
                <w:rtl/>
                <w:lang w:eastAsia="en-US"/>
              </w:rPr>
              <w:t>100</w:t>
            </w:r>
          </w:p>
        </w:tc>
      </w:tr>
      <w:tr w:rsidR="00000000">
        <w:tblPrEx>
          <w:tblCellMar>
            <w:top w:w="0" w:type="dxa"/>
            <w:bottom w:w="0" w:type="dxa"/>
          </w:tblCellMar>
        </w:tblPrEx>
        <w:tc>
          <w:tcPr>
            <w:tcW w:w="3012" w:type="dxa"/>
          </w:tcPr>
          <w:p w:rsidR="00000000" w:rsidRDefault="00000000">
            <w:pPr>
              <w:spacing w:line="300" w:lineRule="exact"/>
              <w:rPr>
                <w:rtl/>
                <w:lang w:eastAsia="en-US"/>
              </w:rPr>
            </w:pPr>
            <w:r>
              <w:rPr>
                <w:rtl/>
                <w:lang w:eastAsia="en-US"/>
              </w:rPr>
              <w:t>المجموع</w:t>
            </w:r>
          </w:p>
        </w:tc>
        <w:tc>
          <w:tcPr>
            <w:tcW w:w="1175" w:type="dxa"/>
          </w:tcPr>
          <w:p w:rsidR="00000000" w:rsidRDefault="00000000">
            <w:pPr>
              <w:spacing w:line="300" w:lineRule="exact"/>
              <w:rPr>
                <w:rtl/>
                <w:lang w:eastAsia="en-US"/>
              </w:rPr>
            </w:pPr>
            <w:r>
              <w:rPr>
                <w:rtl/>
                <w:lang w:eastAsia="en-US"/>
              </w:rPr>
              <w:t>473</w:t>
            </w:r>
          </w:p>
        </w:tc>
        <w:tc>
          <w:tcPr>
            <w:tcW w:w="1176" w:type="dxa"/>
          </w:tcPr>
          <w:p w:rsidR="00000000" w:rsidRDefault="00000000">
            <w:pPr>
              <w:spacing w:line="300" w:lineRule="exact"/>
              <w:rPr>
                <w:rtl/>
                <w:lang w:eastAsia="en-US"/>
              </w:rPr>
            </w:pPr>
            <w:r>
              <w:rPr>
                <w:rtl/>
                <w:lang w:eastAsia="en-US"/>
              </w:rPr>
              <w:t>78</w:t>
            </w:r>
          </w:p>
        </w:tc>
        <w:tc>
          <w:tcPr>
            <w:tcW w:w="1176" w:type="dxa"/>
          </w:tcPr>
          <w:p w:rsidR="00000000" w:rsidRDefault="00000000">
            <w:pPr>
              <w:spacing w:line="300" w:lineRule="exact"/>
              <w:rPr>
                <w:rtl/>
                <w:lang w:eastAsia="en-US"/>
              </w:rPr>
            </w:pPr>
            <w:r>
              <w:rPr>
                <w:rtl/>
                <w:lang w:eastAsia="en-US"/>
              </w:rPr>
              <w:t>132</w:t>
            </w:r>
          </w:p>
        </w:tc>
        <w:tc>
          <w:tcPr>
            <w:tcW w:w="1175" w:type="dxa"/>
          </w:tcPr>
          <w:p w:rsidR="00000000" w:rsidRDefault="00000000">
            <w:pPr>
              <w:spacing w:line="300" w:lineRule="exact"/>
              <w:rPr>
                <w:rtl/>
                <w:lang w:eastAsia="en-US"/>
              </w:rPr>
            </w:pPr>
            <w:r>
              <w:rPr>
                <w:rtl/>
                <w:lang w:eastAsia="en-US"/>
              </w:rPr>
              <w:t>22</w:t>
            </w:r>
          </w:p>
        </w:tc>
        <w:tc>
          <w:tcPr>
            <w:tcW w:w="1176" w:type="dxa"/>
          </w:tcPr>
          <w:p w:rsidR="00000000" w:rsidRDefault="00000000">
            <w:pPr>
              <w:spacing w:line="300" w:lineRule="exact"/>
              <w:rPr>
                <w:rtl/>
                <w:lang w:eastAsia="en-US"/>
              </w:rPr>
            </w:pPr>
            <w:r>
              <w:rPr>
                <w:rtl/>
                <w:lang w:eastAsia="en-US"/>
              </w:rPr>
              <w:t>605</w:t>
            </w:r>
          </w:p>
        </w:tc>
        <w:tc>
          <w:tcPr>
            <w:tcW w:w="1176" w:type="dxa"/>
          </w:tcPr>
          <w:p w:rsidR="00000000" w:rsidRDefault="00000000">
            <w:pPr>
              <w:spacing w:line="300" w:lineRule="exact"/>
              <w:rPr>
                <w:rtl/>
                <w:lang w:eastAsia="en-US"/>
              </w:rPr>
            </w:pPr>
            <w:r>
              <w:rPr>
                <w:rtl/>
                <w:lang w:eastAsia="en-US"/>
              </w:rPr>
              <w:t>100</w:t>
            </w:r>
          </w:p>
        </w:tc>
      </w:tr>
      <w:tr w:rsidR="00000000">
        <w:tblPrEx>
          <w:tblCellMar>
            <w:top w:w="0" w:type="dxa"/>
            <w:bottom w:w="0" w:type="dxa"/>
          </w:tblCellMar>
        </w:tblPrEx>
        <w:tc>
          <w:tcPr>
            <w:tcW w:w="3012" w:type="dxa"/>
          </w:tcPr>
          <w:p w:rsidR="00000000" w:rsidRDefault="00000000">
            <w:pPr>
              <w:spacing w:line="300" w:lineRule="exact"/>
              <w:rPr>
                <w:rtl/>
                <w:lang w:eastAsia="en-US"/>
              </w:rPr>
            </w:pPr>
            <w:r>
              <w:rPr>
                <w:rtl/>
                <w:lang w:eastAsia="en-US"/>
              </w:rPr>
              <w:t>1995</w:t>
            </w:r>
          </w:p>
          <w:p w:rsidR="00000000" w:rsidRDefault="00000000">
            <w:pPr>
              <w:spacing w:line="300" w:lineRule="exact"/>
              <w:rPr>
                <w:rtl/>
                <w:lang w:eastAsia="en-US"/>
              </w:rPr>
            </w:pPr>
            <w:r>
              <w:rPr>
                <w:rtl/>
                <w:lang w:eastAsia="en-US"/>
              </w:rPr>
              <w:t>نائب وزير</w:t>
            </w:r>
          </w:p>
          <w:p w:rsidR="00000000" w:rsidRDefault="00000000">
            <w:pPr>
              <w:spacing w:line="300" w:lineRule="exact"/>
              <w:rPr>
                <w:rtl/>
                <w:lang w:eastAsia="en-US"/>
              </w:rPr>
            </w:pPr>
            <w:r>
              <w:rPr>
                <w:rtl/>
                <w:lang w:eastAsia="en-US"/>
              </w:rPr>
              <w:t>مساعد/معاون نائب وزير</w:t>
            </w:r>
          </w:p>
          <w:p w:rsidR="00000000" w:rsidRDefault="00000000">
            <w:pPr>
              <w:spacing w:line="300" w:lineRule="exact"/>
              <w:rPr>
                <w:rtl/>
                <w:lang w:eastAsia="en-US"/>
              </w:rPr>
            </w:pPr>
            <w:r>
              <w:rPr>
                <w:rtl/>
                <w:lang w:eastAsia="en-US"/>
              </w:rPr>
              <w:t>رئيس هيئة</w:t>
            </w:r>
          </w:p>
          <w:p w:rsidR="00000000" w:rsidRDefault="00000000">
            <w:pPr>
              <w:spacing w:line="300" w:lineRule="exact"/>
              <w:rPr>
                <w:rtl/>
                <w:lang w:eastAsia="en-US"/>
              </w:rPr>
            </w:pPr>
            <w:r>
              <w:rPr>
                <w:rtl/>
                <w:lang w:eastAsia="en-US"/>
              </w:rPr>
              <w:t>موظف</w:t>
            </w:r>
          </w:p>
        </w:tc>
        <w:tc>
          <w:tcPr>
            <w:tcW w:w="1175"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26</w:t>
            </w:r>
          </w:p>
          <w:p w:rsidR="00000000" w:rsidRDefault="00000000">
            <w:pPr>
              <w:spacing w:line="300" w:lineRule="exact"/>
              <w:rPr>
                <w:rtl/>
                <w:lang w:eastAsia="en-US"/>
              </w:rPr>
            </w:pPr>
            <w:r>
              <w:rPr>
                <w:rtl/>
                <w:lang w:eastAsia="en-US"/>
              </w:rPr>
              <w:t>91</w:t>
            </w:r>
          </w:p>
          <w:p w:rsidR="00000000" w:rsidRDefault="00000000">
            <w:pPr>
              <w:spacing w:line="300" w:lineRule="exact"/>
              <w:rPr>
                <w:rtl/>
                <w:lang w:eastAsia="en-US"/>
              </w:rPr>
            </w:pPr>
            <w:r>
              <w:rPr>
                <w:rtl/>
                <w:lang w:eastAsia="en-US"/>
              </w:rPr>
              <w:t>94</w:t>
            </w:r>
          </w:p>
          <w:p w:rsidR="00000000" w:rsidRDefault="00000000">
            <w:pPr>
              <w:spacing w:line="300" w:lineRule="exact"/>
              <w:rPr>
                <w:rtl/>
                <w:lang w:eastAsia="en-US"/>
              </w:rPr>
            </w:pPr>
            <w:r>
              <w:rPr>
                <w:rtl/>
                <w:lang w:eastAsia="en-US"/>
              </w:rPr>
              <w:t>274</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96.3</w:t>
            </w:r>
          </w:p>
          <w:p w:rsidR="00000000" w:rsidRDefault="00000000">
            <w:pPr>
              <w:spacing w:line="300" w:lineRule="exact"/>
              <w:rPr>
                <w:rtl/>
                <w:lang w:eastAsia="en-US"/>
              </w:rPr>
            </w:pPr>
            <w:r>
              <w:rPr>
                <w:rtl/>
                <w:lang w:eastAsia="en-US"/>
              </w:rPr>
              <w:t>87.5</w:t>
            </w:r>
          </w:p>
          <w:p w:rsidR="00000000" w:rsidRDefault="00000000">
            <w:pPr>
              <w:spacing w:line="300" w:lineRule="exact"/>
              <w:rPr>
                <w:rtl/>
                <w:lang w:eastAsia="en-US"/>
              </w:rPr>
            </w:pPr>
            <w:r>
              <w:rPr>
                <w:rtl/>
                <w:lang w:eastAsia="en-US"/>
              </w:rPr>
              <w:t>85.4</w:t>
            </w:r>
          </w:p>
          <w:p w:rsidR="00000000" w:rsidRDefault="00000000">
            <w:pPr>
              <w:spacing w:line="300" w:lineRule="exact"/>
              <w:rPr>
                <w:rtl/>
                <w:lang w:eastAsia="en-US"/>
              </w:rPr>
            </w:pPr>
            <w:r>
              <w:rPr>
                <w:rtl/>
                <w:lang w:eastAsia="en-US"/>
              </w:rPr>
              <w:t>72.5</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1</w:t>
            </w:r>
          </w:p>
          <w:p w:rsidR="00000000" w:rsidRDefault="00000000">
            <w:pPr>
              <w:spacing w:line="300" w:lineRule="exact"/>
              <w:rPr>
                <w:rtl/>
                <w:lang w:eastAsia="en-US"/>
              </w:rPr>
            </w:pPr>
            <w:r>
              <w:rPr>
                <w:rtl/>
                <w:lang w:eastAsia="en-US"/>
              </w:rPr>
              <w:t>13</w:t>
            </w:r>
          </w:p>
          <w:p w:rsidR="00000000" w:rsidRDefault="00000000">
            <w:pPr>
              <w:spacing w:line="300" w:lineRule="exact"/>
              <w:rPr>
                <w:rtl/>
                <w:lang w:eastAsia="en-US"/>
              </w:rPr>
            </w:pPr>
            <w:r>
              <w:rPr>
                <w:rtl/>
                <w:lang w:eastAsia="en-US"/>
              </w:rPr>
              <w:t>16</w:t>
            </w:r>
          </w:p>
          <w:p w:rsidR="00000000" w:rsidRDefault="00000000">
            <w:pPr>
              <w:spacing w:line="300" w:lineRule="exact"/>
              <w:rPr>
                <w:rtl/>
                <w:lang w:eastAsia="en-US"/>
              </w:rPr>
            </w:pPr>
            <w:r>
              <w:rPr>
                <w:rtl/>
                <w:lang w:eastAsia="en-US"/>
              </w:rPr>
              <w:t>104</w:t>
            </w:r>
          </w:p>
        </w:tc>
        <w:tc>
          <w:tcPr>
            <w:tcW w:w="1175"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3.7</w:t>
            </w:r>
          </w:p>
          <w:p w:rsidR="00000000" w:rsidRDefault="00000000">
            <w:pPr>
              <w:spacing w:line="300" w:lineRule="exact"/>
              <w:rPr>
                <w:rtl/>
                <w:lang w:eastAsia="en-US"/>
              </w:rPr>
            </w:pPr>
            <w:r>
              <w:rPr>
                <w:rtl/>
                <w:lang w:eastAsia="en-US"/>
              </w:rPr>
              <w:t>12.5</w:t>
            </w:r>
          </w:p>
          <w:p w:rsidR="00000000" w:rsidRDefault="00000000">
            <w:pPr>
              <w:spacing w:line="300" w:lineRule="exact"/>
              <w:rPr>
                <w:rtl/>
                <w:lang w:eastAsia="en-US"/>
              </w:rPr>
            </w:pPr>
            <w:r>
              <w:rPr>
                <w:rtl/>
                <w:lang w:eastAsia="en-US"/>
              </w:rPr>
              <w:t>14.6</w:t>
            </w:r>
          </w:p>
          <w:p w:rsidR="00000000" w:rsidRDefault="00000000">
            <w:pPr>
              <w:spacing w:line="300" w:lineRule="exact"/>
              <w:rPr>
                <w:rtl/>
                <w:lang w:eastAsia="en-US"/>
              </w:rPr>
            </w:pPr>
            <w:r>
              <w:rPr>
                <w:rtl/>
                <w:lang w:eastAsia="en-US"/>
              </w:rPr>
              <w:t>27.5</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27</w:t>
            </w:r>
          </w:p>
          <w:p w:rsidR="00000000" w:rsidRDefault="00000000">
            <w:pPr>
              <w:spacing w:line="300" w:lineRule="exact"/>
              <w:rPr>
                <w:rtl/>
                <w:lang w:eastAsia="en-US"/>
              </w:rPr>
            </w:pPr>
            <w:r>
              <w:rPr>
                <w:rtl/>
                <w:lang w:eastAsia="en-US"/>
              </w:rPr>
              <w:t>105</w:t>
            </w:r>
          </w:p>
          <w:p w:rsidR="00000000" w:rsidRDefault="00000000">
            <w:pPr>
              <w:spacing w:line="300" w:lineRule="exact"/>
              <w:rPr>
                <w:rtl/>
                <w:lang w:eastAsia="en-US"/>
              </w:rPr>
            </w:pPr>
            <w:r>
              <w:rPr>
                <w:rtl/>
                <w:lang w:eastAsia="en-US"/>
              </w:rPr>
              <w:t>110</w:t>
            </w:r>
          </w:p>
          <w:p w:rsidR="00000000" w:rsidRDefault="00000000">
            <w:pPr>
              <w:spacing w:line="300" w:lineRule="exact"/>
              <w:rPr>
                <w:rtl/>
                <w:lang w:eastAsia="en-US"/>
              </w:rPr>
            </w:pPr>
            <w:r>
              <w:rPr>
                <w:rtl/>
                <w:lang w:eastAsia="en-US"/>
              </w:rPr>
              <w:t>378</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100</w:t>
            </w:r>
          </w:p>
          <w:p w:rsidR="00000000" w:rsidRDefault="00000000">
            <w:pPr>
              <w:spacing w:line="300" w:lineRule="exact"/>
              <w:rPr>
                <w:rtl/>
                <w:lang w:eastAsia="en-US"/>
              </w:rPr>
            </w:pPr>
            <w:r>
              <w:rPr>
                <w:rtl/>
                <w:lang w:eastAsia="en-US"/>
              </w:rPr>
              <w:t>100</w:t>
            </w:r>
          </w:p>
          <w:p w:rsidR="00000000" w:rsidRDefault="00000000">
            <w:pPr>
              <w:spacing w:line="300" w:lineRule="exact"/>
              <w:rPr>
                <w:rtl/>
                <w:lang w:eastAsia="en-US"/>
              </w:rPr>
            </w:pPr>
            <w:r>
              <w:rPr>
                <w:rtl/>
                <w:lang w:eastAsia="en-US"/>
              </w:rPr>
              <w:t>100</w:t>
            </w:r>
          </w:p>
          <w:p w:rsidR="00000000" w:rsidRDefault="00000000">
            <w:pPr>
              <w:spacing w:line="300" w:lineRule="exact"/>
              <w:rPr>
                <w:rtl/>
                <w:lang w:eastAsia="en-US"/>
              </w:rPr>
            </w:pPr>
            <w:r>
              <w:rPr>
                <w:rtl/>
                <w:lang w:eastAsia="en-US"/>
              </w:rPr>
              <w:t>100</w:t>
            </w:r>
          </w:p>
        </w:tc>
      </w:tr>
      <w:tr w:rsidR="00000000">
        <w:tblPrEx>
          <w:tblCellMar>
            <w:top w:w="0" w:type="dxa"/>
            <w:bottom w:w="0" w:type="dxa"/>
          </w:tblCellMar>
        </w:tblPrEx>
        <w:tc>
          <w:tcPr>
            <w:tcW w:w="3012" w:type="dxa"/>
          </w:tcPr>
          <w:p w:rsidR="00000000" w:rsidRDefault="00000000">
            <w:pPr>
              <w:spacing w:line="300" w:lineRule="exact"/>
              <w:rPr>
                <w:rtl/>
                <w:lang w:eastAsia="en-US"/>
              </w:rPr>
            </w:pPr>
            <w:r>
              <w:rPr>
                <w:rtl/>
                <w:lang w:eastAsia="en-US"/>
              </w:rPr>
              <w:t>المجموع</w:t>
            </w:r>
          </w:p>
        </w:tc>
        <w:tc>
          <w:tcPr>
            <w:tcW w:w="1175" w:type="dxa"/>
          </w:tcPr>
          <w:p w:rsidR="00000000" w:rsidRDefault="00000000">
            <w:pPr>
              <w:spacing w:line="300" w:lineRule="exact"/>
              <w:rPr>
                <w:rtl/>
                <w:lang w:eastAsia="en-US"/>
              </w:rPr>
            </w:pPr>
            <w:r>
              <w:rPr>
                <w:rtl/>
                <w:lang w:eastAsia="en-US"/>
              </w:rPr>
              <w:t>485</w:t>
            </w:r>
          </w:p>
        </w:tc>
        <w:tc>
          <w:tcPr>
            <w:tcW w:w="1176" w:type="dxa"/>
          </w:tcPr>
          <w:p w:rsidR="00000000" w:rsidRDefault="00000000">
            <w:pPr>
              <w:spacing w:line="300" w:lineRule="exact"/>
              <w:rPr>
                <w:rtl/>
                <w:lang w:eastAsia="en-US"/>
              </w:rPr>
            </w:pPr>
            <w:r>
              <w:rPr>
                <w:rtl/>
                <w:lang w:eastAsia="en-US"/>
              </w:rPr>
              <w:t>78</w:t>
            </w:r>
          </w:p>
        </w:tc>
        <w:tc>
          <w:tcPr>
            <w:tcW w:w="1176" w:type="dxa"/>
          </w:tcPr>
          <w:p w:rsidR="00000000" w:rsidRDefault="00000000">
            <w:pPr>
              <w:spacing w:line="300" w:lineRule="exact"/>
              <w:rPr>
                <w:rtl/>
                <w:lang w:eastAsia="en-US"/>
              </w:rPr>
            </w:pPr>
            <w:r>
              <w:rPr>
                <w:rtl/>
                <w:lang w:eastAsia="en-US"/>
              </w:rPr>
              <w:t>134</w:t>
            </w:r>
          </w:p>
        </w:tc>
        <w:tc>
          <w:tcPr>
            <w:tcW w:w="1175" w:type="dxa"/>
          </w:tcPr>
          <w:p w:rsidR="00000000" w:rsidRDefault="00000000">
            <w:pPr>
              <w:spacing w:line="300" w:lineRule="exact"/>
              <w:rPr>
                <w:rtl/>
                <w:lang w:eastAsia="en-US"/>
              </w:rPr>
            </w:pPr>
            <w:r>
              <w:rPr>
                <w:rtl/>
                <w:lang w:eastAsia="en-US"/>
              </w:rPr>
              <w:t>22</w:t>
            </w:r>
          </w:p>
        </w:tc>
        <w:tc>
          <w:tcPr>
            <w:tcW w:w="1176" w:type="dxa"/>
          </w:tcPr>
          <w:p w:rsidR="00000000" w:rsidRDefault="00000000">
            <w:pPr>
              <w:spacing w:line="300" w:lineRule="exact"/>
              <w:rPr>
                <w:rtl/>
                <w:lang w:eastAsia="en-US"/>
              </w:rPr>
            </w:pPr>
            <w:r>
              <w:rPr>
                <w:rtl/>
                <w:lang w:eastAsia="en-US"/>
              </w:rPr>
              <w:t>619</w:t>
            </w:r>
          </w:p>
        </w:tc>
        <w:tc>
          <w:tcPr>
            <w:tcW w:w="1176" w:type="dxa"/>
          </w:tcPr>
          <w:p w:rsidR="00000000" w:rsidRDefault="00000000">
            <w:pPr>
              <w:spacing w:line="300" w:lineRule="exact"/>
              <w:rPr>
                <w:rtl/>
                <w:lang w:eastAsia="en-US"/>
              </w:rPr>
            </w:pPr>
            <w:r>
              <w:rPr>
                <w:rtl/>
                <w:lang w:eastAsia="en-US"/>
              </w:rPr>
              <w:t>100</w:t>
            </w:r>
          </w:p>
        </w:tc>
      </w:tr>
      <w:tr w:rsidR="00000000">
        <w:tblPrEx>
          <w:tblCellMar>
            <w:top w:w="0" w:type="dxa"/>
            <w:bottom w:w="0" w:type="dxa"/>
          </w:tblCellMar>
        </w:tblPrEx>
        <w:tc>
          <w:tcPr>
            <w:tcW w:w="3012" w:type="dxa"/>
          </w:tcPr>
          <w:p w:rsidR="00000000" w:rsidRDefault="00000000">
            <w:pPr>
              <w:spacing w:line="300" w:lineRule="exact"/>
              <w:rPr>
                <w:rtl/>
                <w:lang w:eastAsia="en-US"/>
              </w:rPr>
            </w:pPr>
            <w:r>
              <w:rPr>
                <w:rtl/>
                <w:lang w:eastAsia="en-US"/>
              </w:rPr>
              <w:t>1996</w:t>
            </w:r>
          </w:p>
          <w:p w:rsidR="00000000" w:rsidRDefault="00000000">
            <w:pPr>
              <w:spacing w:line="300" w:lineRule="exact"/>
              <w:rPr>
                <w:rtl/>
                <w:lang w:eastAsia="en-US"/>
              </w:rPr>
            </w:pPr>
            <w:r>
              <w:rPr>
                <w:rtl/>
                <w:lang w:eastAsia="en-US"/>
              </w:rPr>
              <w:t>نائب وزير</w:t>
            </w:r>
          </w:p>
          <w:p w:rsidR="00000000" w:rsidRDefault="00000000">
            <w:pPr>
              <w:spacing w:line="300" w:lineRule="exact"/>
              <w:rPr>
                <w:rtl/>
                <w:lang w:eastAsia="en-US"/>
              </w:rPr>
            </w:pPr>
            <w:r>
              <w:rPr>
                <w:rtl/>
                <w:lang w:eastAsia="en-US"/>
              </w:rPr>
              <w:t>مساعد/معاون نائب وزير</w:t>
            </w:r>
          </w:p>
          <w:p w:rsidR="00000000" w:rsidRDefault="00000000">
            <w:pPr>
              <w:spacing w:line="300" w:lineRule="exact"/>
              <w:rPr>
                <w:rtl/>
                <w:lang w:eastAsia="en-US"/>
              </w:rPr>
            </w:pPr>
            <w:r>
              <w:rPr>
                <w:rtl/>
                <w:lang w:eastAsia="en-US"/>
              </w:rPr>
              <w:t>رئيس هيئة</w:t>
            </w:r>
          </w:p>
          <w:p w:rsidR="00000000" w:rsidRDefault="00000000">
            <w:pPr>
              <w:spacing w:line="300" w:lineRule="exact"/>
              <w:rPr>
                <w:rtl/>
                <w:lang w:eastAsia="en-US"/>
              </w:rPr>
            </w:pPr>
            <w:r>
              <w:rPr>
                <w:rtl/>
                <w:lang w:eastAsia="en-US"/>
              </w:rPr>
              <w:t>موظف</w:t>
            </w:r>
          </w:p>
        </w:tc>
        <w:tc>
          <w:tcPr>
            <w:tcW w:w="1175"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28</w:t>
            </w:r>
          </w:p>
          <w:p w:rsidR="00000000" w:rsidRDefault="00000000">
            <w:pPr>
              <w:spacing w:line="300" w:lineRule="exact"/>
              <w:rPr>
                <w:rtl/>
                <w:lang w:eastAsia="en-US"/>
              </w:rPr>
            </w:pPr>
            <w:r>
              <w:rPr>
                <w:rtl/>
                <w:lang w:eastAsia="en-US"/>
              </w:rPr>
              <w:t>91</w:t>
            </w:r>
          </w:p>
          <w:p w:rsidR="00000000" w:rsidRDefault="00000000">
            <w:pPr>
              <w:spacing w:line="300" w:lineRule="exact"/>
              <w:rPr>
                <w:rtl/>
                <w:lang w:eastAsia="en-US"/>
              </w:rPr>
            </w:pPr>
            <w:r>
              <w:rPr>
                <w:rtl/>
                <w:lang w:eastAsia="en-US"/>
              </w:rPr>
              <w:t>89</w:t>
            </w:r>
          </w:p>
          <w:p w:rsidR="00000000" w:rsidRDefault="00000000">
            <w:pPr>
              <w:spacing w:line="300" w:lineRule="exact"/>
              <w:rPr>
                <w:rtl/>
                <w:lang w:eastAsia="en-US"/>
              </w:rPr>
            </w:pPr>
            <w:r>
              <w:rPr>
                <w:rtl/>
                <w:lang w:eastAsia="en-US"/>
              </w:rPr>
              <w:t>265</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93.3</w:t>
            </w:r>
          </w:p>
          <w:p w:rsidR="00000000" w:rsidRDefault="00000000">
            <w:pPr>
              <w:spacing w:line="300" w:lineRule="exact"/>
              <w:rPr>
                <w:rtl/>
                <w:lang w:eastAsia="en-US"/>
              </w:rPr>
            </w:pPr>
            <w:r>
              <w:rPr>
                <w:rtl/>
                <w:lang w:eastAsia="en-US"/>
              </w:rPr>
              <w:t>85.0</w:t>
            </w:r>
          </w:p>
          <w:p w:rsidR="00000000" w:rsidRDefault="00000000">
            <w:pPr>
              <w:spacing w:line="300" w:lineRule="exact"/>
              <w:rPr>
                <w:rtl/>
                <w:lang w:eastAsia="en-US"/>
              </w:rPr>
            </w:pPr>
            <w:r>
              <w:rPr>
                <w:rtl/>
                <w:lang w:eastAsia="en-US"/>
              </w:rPr>
              <w:t>82.4</w:t>
            </w:r>
          </w:p>
          <w:p w:rsidR="00000000" w:rsidRDefault="00000000">
            <w:pPr>
              <w:spacing w:line="300" w:lineRule="exact"/>
              <w:rPr>
                <w:rtl/>
                <w:lang w:eastAsia="en-US"/>
              </w:rPr>
            </w:pPr>
            <w:r>
              <w:rPr>
                <w:rtl/>
                <w:lang w:eastAsia="en-US"/>
              </w:rPr>
              <w:t>70.3</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2</w:t>
            </w:r>
          </w:p>
          <w:p w:rsidR="00000000" w:rsidRDefault="00000000">
            <w:pPr>
              <w:spacing w:line="300" w:lineRule="exact"/>
              <w:rPr>
                <w:rtl/>
                <w:lang w:eastAsia="en-US"/>
              </w:rPr>
            </w:pPr>
            <w:r>
              <w:rPr>
                <w:rtl/>
                <w:lang w:eastAsia="en-US"/>
              </w:rPr>
              <w:t>16</w:t>
            </w:r>
          </w:p>
          <w:p w:rsidR="00000000" w:rsidRDefault="00000000">
            <w:pPr>
              <w:spacing w:line="300" w:lineRule="exact"/>
              <w:rPr>
                <w:rtl/>
                <w:lang w:eastAsia="en-US"/>
              </w:rPr>
            </w:pPr>
            <w:r>
              <w:rPr>
                <w:rtl/>
                <w:lang w:eastAsia="en-US"/>
              </w:rPr>
              <w:t>19</w:t>
            </w:r>
          </w:p>
          <w:p w:rsidR="00000000" w:rsidRDefault="00000000">
            <w:pPr>
              <w:spacing w:line="300" w:lineRule="exact"/>
              <w:rPr>
                <w:rtl/>
                <w:lang w:eastAsia="en-US"/>
              </w:rPr>
            </w:pPr>
            <w:r>
              <w:rPr>
                <w:rtl/>
                <w:lang w:eastAsia="en-US"/>
              </w:rPr>
              <w:t>112</w:t>
            </w:r>
          </w:p>
        </w:tc>
        <w:tc>
          <w:tcPr>
            <w:tcW w:w="1175"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6.7</w:t>
            </w:r>
          </w:p>
          <w:p w:rsidR="00000000" w:rsidRDefault="00000000">
            <w:pPr>
              <w:spacing w:line="300" w:lineRule="exact"/>
              <w:rPr>
                <w:rtl/>
                <w:lang w:eastAsia="en-US"/>
              </w:rPr>
            </w:pPr>
            <w:r>
              <w:rPr>
                <w:rtl/>
                <w:lang w:eastAsia="en-US"/>
              </w:rPr>
              <w:t>15.0</w:t>
            </w:r>
          </w:p>
          <w:p w:rsidR="00000000" w:rsidRDefault="00000000">
            <w:pPr>
              <w:spacing w:line="300" w:lineRule="exact"/>
              <w:rPr>
                <w:rtl/>
                <w:lang w:eastAsia="en-US"/>
              </w:rPr>
            </w:pPr>
            <w:r>
              <w:rPr>
                <w:rtl/>
                <w:lang w:eastAsia="en-US"/>
              </w:rPr>
              <w:t>17.6</w:t>
            </w:r>
          </w:p>
          <w:p w:rsidR="00000000" w:rsidRDefault="00000000">
            <w:pPr>
              <w:spacing w:line="300" w:lineRule="exact"/>
              <w:rPr>
                <w:rtl/>
                <w:lang w:eastAsia="en-US"/>
              </w:rPr>
            </w:pPr>
            <w:r>
              <w:rPr>
                <w:rtl/>
                <w:lang w:eastAsia="en-US"/>
              </w:rPr>
              <w:t>29.7</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30</w:t>
            </w:r>
          </w:p>
          <w:p w:rsidR="00000000" w:rsidRDefault="00000000">
            <w:pPr>
              <w:spacing w:line="300" w:lineRule="exact"/>
              <w:rPr>
                <w:rtl/>
                <w:lang w:eastAsia="en-US"/>
              </w:rPr>
            </w:pPr>
            <w:r>
              <w:rPr>
                <w:rtl/>
                <w:lang w:eastAsia="en-US"/>
              </w:rPr>
              <w:t>107</w:t>
            </w:r>
          </w:p>
          <w:p w:rsidR="00000000" w:rsidRDefault="00000000">
            <w:pPr>
              <w:spacing w:line="300" w:lineRule="exact"/>
              <w:rPr>
                <w:rtl/>
                <w:lang w:eastAsia="en-US"/>
              </w:rPr>
            </w:pPr>
            <w:r>
              <w:rPr>
                <w:rtl/>
                <w:lang w:eastAsia="en-US"/>
              </w:rPr>
              <w:t>108</w:t>
            </w:r>
          </w:p>
          <w:p w:rsidR="00000000" w:rsidRDefault="00000000">
            <w:pPr>
              <w:spacing w:line="300" w:lineRule="exact"/>
              <w:rPr>
                <w:rtl/>
                <w:lang w:eastAsia="en-US"/>
              </w:rPr>
            </w:pPr>
            <w:r>
              <w:rPr>
                <w:rtl/>
                <w:lang w:eastAsia="en-US"/>
              </w:rPr>
              <w:t>377</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100</w:t>
            </w:r>
          </w:p>
          <w:p w:rsidR="00000000" w:rsidRDefault="00000000">
            <w:pPr>
              <w:spacing w:line="300" w:lineRule="exact"/>
              <w:rPr>
                <w:rtl/>
                <w:lang w:eastAsia="en-US"/>
              </w:rPr>
            </w:pPr>
            <w:r>
              <w:rPr>
                <w:rtl/>
                <w:lang w:eastAsia="en-US"/>
              </w:rPr>
              <w:t>100</w:t>
            </w:r>
          </w:p>
          <w:p w:rsidR="00000000" w:rsidRDefault="00000000">
            <w:pPr>
              <w:spacing w:line="300" w:lineRule="exact"/>
              <w:rPr>
                <w:rtl/>
                <w:lang w:eastAsia="en-US"/>
              </w:rPr>
            </w:pPr>
            <w:r>
              <w:rPr>
                <w:rtl/>
                <w:lang w:eastAsia="en-US"/>
              </w:rPr>
              <w:t>100</w:t>
            </w:r>
          </w:p>
          <w:p w:rsidR="00000000" w:rsidRDefault="00000000">
            <w:pPr>
              <w:spacing w:line="300" w:lineRule="exact"/>
              <w:rPr>
                <w:rtl/>
                <w:lang w:eastAsia="en-US"/>
              </w:rPr>
            </w:pPr>
            <w:r>
              <w:rPr>
                <w:rtl/>
                <w:lang w:eastAsia="en-US"/>
              </w:rPr>
              <w:t>100</w:t>
            </w:r>
          </w:p>
        </w:tc>
      </w:tr>
      <w:tr w:rsidR="00000000">
        <w:tblPrEx>
          <w:tblCellMar>
            <w:top w:w="0" w:type="dxa"/>
            <w:bottom w:w="0" w:type="dxa"/>
          </w:tblCellMar>
        </w:tblPrEx>
        <w:tc>
          <w:tcPr>
            <w:tcW w:w="3012" w:type="dxa"/>
          </w:tcPr>
          <w:p w:rsidR="00000000" w:rsidRDefault="00000000">
            <w:pPr>
              <w:spacing w:line="300" w:lineRule="exact"/>
              <w:rPr>
                <w:rtl/>
                <w:lang w:eastAsia="en-US"/>
              </w:rPr>
            </w:pPr>
            <w:r>
              <w:rPr>
                <w:rtl/>
                <w:lang w:eastAsia="en-US"/>
              </w:rPr>
              <w:t>المجموع</w:t>
            </w:r>
          </w:p>
        </w:tc>
        <w:tc>
          <w:tcPr>
            <w:tcW w:w="1175" w:type="dxa"/>
          </w:tcPr>
          <w:p w:rsidR="00000000" w:rsidRDefault="00000000">
            <w:pPr>
              <w:spacing w:line="300" w:lineRule="exact"/>
              <w:rPr>
                <w:rtl/>
                <w:lang w:eastAsia="en-US"/>
              </w:rPr>
            </w:pPr>
            <w:r>
              <w:rPr>
                <w:rtl/>
                <w:lang w:eastAsia="en-US"/>
              </w:rPr>
              <w:t>473</w:t>
            </w:r>
          </w:p>
        </w:tc>
        <w:tc>
          <w:tcPr>
            <w:tcW w:w="1176" w:type="dxa"/>
          </w:tcPr>
          <w:p w:rsidR="00000000" w:rsidRDefault="00000000">
            <w:pPr>
              <w:spacing w:line="300" w:lineRule="exact"/>
              <w:rPr>
                <w:rtl/>
                <w:lang w:eastAsia="en-US"/>
              </w:rPr>
            </w:pPr>
            <w:r>
              <w:rPr>
                <w:rtl/>
                <w:lang w:eastAsia="en-US"/>
              </w:rPr>
              <w:t>76</w:t>
            </w:r>
          </w:p>
        </w:tc>
        <w:tc>
          <w:tcPr>
            <w:tcW w:w="1176" w:type="dxa"/>
          </w:tcPr>
          <w:p w:rsidR="00000000" w:rsidRDefault="00000000">
            <w:pPr>
              <w:spacing w:line="300" w:lineRule="exact"/>
              <w:rPr>
                <w:rtl/>
                <w:lang w:eastAsia="en-US"/>
              </w:rPr>
            </w:pPr>
            <w:r>
              <w:rPr>
                <w:rtl/>
                <w:lang w:eastAsia="en-US"/>
              </w:rPr>
              <w:t>149</w:t>
            </w:r>
          </w:p>
        </w:tc>
        <w:tc>
          <w:tcPr>
            <w:tcW w:w="1175" w:type="dxa"/>
          </w:tcPr>
          <w:p w:rsidR="00000000" w:rsidRDefault="00000000">
            <w:pPr>
              <w:spacing w:line="300" w:lineRule="exact"/>
              <w:rPr>
                <w:rtl/>
                <w:lang w:eastAsia="en-US"/>
              </w:rPr>
            </w:pPr>
            <w:r>
              <w:rPr>
                <w:rtl/>
                <w:lang w:eastAsia="en-US"/>
              </w:rPr>
              <w:t>24</w:t>
            </w:r>
          </w:p>
        </w:tc>
        <w:tc>
          <w:tcPr>
            <w:tcW w:w="1176" w:type="dxa"/>
          </w:tcPr>
          <w:p w:rsidR="00000000" w:rsidRDefault="00000000">
            <w:pPr>
              <w:spacing w:line="300" w:lineRule="exact"/>
              <w:rPr>
                <w:rtl/>
                <w:lang w:eastAsia="en-US"/>
              </w:rPr>
            </w:pPr>
            <w:r>
              <w:rPr>
                <w:rtl/>
                <w:lang w:eastAsia="en-US"/>
              </w:rPr>
              <w:t>622</w:t>
            </w:r>
          </w:p>
        </w:tc>
        <w:tc>
          <w:tcPr>
            <w:tcW w:w="1176" w:type="dxa"/>
          </w:tcPr>
          <w:p w:rsidR="00000000" w:rsidRDefault="00000000">
            <w:pPr>
              <w:spacing w:line="300" w:lineRule="exact"/>
              <w:rPr>
                <w:rtl/>
                <w:lang w:eastAsia="en-US"/>
              </w:rPr>
            </w:pPr>
            <w:r>
              <w:rPr>
                <w:rtl/>
                <w:lang w:eastAsia="en-US"/>
              </w:rPr>
              <w:t>100</w:t>
            </w:r>
          </w:p>
        </w:tc>
      </w:tr>
      <w:tr w:rsidR="00000000">
        <w:tblPrEx>
          <w:tblCellMar>
            <w:top w:w="0" w:type="dxa"/>
            <w:bottom w:w="0" w:type="dxa"/>
          </w:tblCellMar>
        </w:tblPrEx>
        <w:tc>
          <w:tcPr>
            <w:tcW w:w="3012" w:type="dxa"/>
          </w:tcPr>
          <w:p w:rsidR="00000000" w:rsidRDefault="00000000">
            <w:pPr>
              <w:spacing w:line="300" w:lineRule="exact"/>
              <w:rPr>
                <w:rtl/>
                <w:lang w:eastAsia="en-US"/>
              </w:rPr>
            </w:pPr>
            <w:r>
              <w:rPr>
                <w:rtl/>
                <w:lang w:eastAsia="en-US"/>
              </w:rPr>
              <w:t>1997</w:t>
            </w:r>
          </w:p>
          <w:p w:rsidR="00000000" w:rsidRDefault="00000000">
            <w:pPr>
              <w:spacing w:line="300" w:lineRule="exact"/>
              <w:rPr>
                <w:rtl/>
                <w:lang w:eastAsia="en-US"/>
              </w:rPr>
            </w:pPr>
            <w:r>
              <w:rPr>
                <w:rtl/>
                <w:lang w:eastAsia="en-US"/>
              </w:rPr>
              <w:t>نائب وزير</w:t>
            </w:r>
          </w:p>
          <w:p w:rsidR="00000000" w:rsidRDefault="00000000">
            <w:pPr>
              <w:spacing w:line="300" w:lineRule="exact"/>
              <w:rPr>
                <w:rtl/>
                <w:lang w:eastAsia="en-US"/>
              </w:rPr>
            </w:pPr>
            <w:r>
              <w:rPr>
                <w:rtl/>
                <w:lang w:eastAsia="en-US"/>
              </w:rPr>
              <w:t>مساعد/معاون نائب وزير</w:t>
            </w:r>
          </w:p>
          <w:p w:rsidR="00000000" w:rsidRDefault="00000000">
            <w:pPr>
              <w:spacing w:line="300" w:lineRule="exact"/>
              <w:rPr>
                <w:rtl/>
                <w:lang w:eastAsia="en-US"/>
              </w:rPr>
            </w:pPr>
            <w:r>
              <w:rPr>
                <w:rtl/>
                <w:lang w:eastAsia="en-US"/>
              </w:rPr>
              <w:t>رئيس هيئة</w:t>
            </w:r>
          </w:p>
          <w:p w:rsidR="00000000" w:rsidRDefault="00000000">
            <w:pPr>
              <w:spacing w:line="300" w:lineRule="exact"/>
              <w:rPr>
                <w:rtl/>
                <w:lang w:eastAsia="en-US"/>
              </w:rPr>
            </w:pPr>
            <w:r>
              <w:rPr>
                <w:rtl/>
                <w:lang w:eastAsia="en-US"/>
              </w:rPr>
              <w:t>موظف</w:t>
            </w:r>
          </w:p>
        </w:tc>
        <w:tc>
          <w:tcPr>
            <w:tcW w:w="1175"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25</w:t>
            </w:r>
          </w:p>
          <w:p w:rsidR="00000000" w:rsidRDefault="00000000">
            <w:pPr>
              <w:spacing w:line="300" w:lineRule="exact"/>
              <w:rPr>
                <w:rtl/>
                <w:lang w:eastAsia="en-US"/>
              </w:rPr>
            </w:pPr>
            <w:r>
              <w:rPr>
                <w:rtl/>
                <w:lang w:eastAsia="en-US"/>
              </w:rPr>
              <w:t>78</w:t>
            </w:r>
          </w:p>
          <w:p w:rsidR="00000000" w:rsidRDefault="00000000">
            <w:pPr>
              <w:spacing w:line="300" w:lineRule="exact"/>
              <w:rPr>
                <w:rtl/>
                <w:lang w:eastAsia="en-US"/>
              </w:rPr>
            </w:pPr>
            <w:r>
              <w:rPr>
                <w:rtl/>
                <w:lang w:eastAsia="en-US"/>
              </w:rPr>
              <w:t>83</w:t>
            </w:r>
          </w:p>
          <w:p w:rsidR="00000000" w:rsidRDefault="00000000">
            <w:pPr>
              <w:spacing w:line="300" w:lineRule="exact"/>
              <w:rPr>
                <w:rtl/>
                <w:lang w:eastAsia="en-US"/>
              </w:rPr>
            </w:pPr>
            <w:r>
              <w:rPr>
                <w:rtl/>
                <w:lang w:eastAsia="en-US"/>
              </w:rPr>
              <w:t>243</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75.6</w:t>
            </w:r>
          </w:p>
          <w:p w:rsidR="00000000" w:rsidRDefault="00000000">
            <w:pPr>
              <w:spacing w:line="300" w:lineRule="exact"/>
              <w:rPr>
                <w:rtl/>
                <w:lang w:eastAsia="en-US"/>
              </w:rPr>
            </w:pPr>
            <w:r>
              <w:rPr>
                <w:rtl/>
                <w:lang w:eastAsia="en-US"/>
              </w:rPr>
              <w:t>72.2</w:t>
            </w:r>
          </w:p>
          <w:p w:rsidR="00000000" w:rsidRDefault="00000000">
            <w:pPr>
              <w:spacing w:line="300" w:lineRule="exact"/>
              <w:rPr>
                <w:rtl/>
                <w:lang w:eastAsia="en-US"/>
              </w:rPr>
            </w:pPr>
            <w:r>
              <w:rPr>
                <w:rtl/>
                <w:lang w:eastAsia="en-US"/>
              </w:rPr>
              <w:t>79.8</w:t>
            </w:r>
          </w:p>
          <w:p w:rsidR="00000000" w:rsidRDefault="00000000">
            <w:pPr>
              <w:spacing w:line="300" w:lineRule="exact"/>
              <w:rPr>
                <w:rtl/>
                <w:lang w:eastAsia="en-US"/>
              </w:rPr>
            </w:pPr>
            <w:r>
              <w:rPr>
                <w:rtl/>
                <w:lang w:eastAsia="en-US"/>
              </w:rPr>
              <w:t>69.0</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8</w:t>
            </w:r>
          </w:p>
          <w:p w:rsidR="00000000" w:rsidRDefault="00000000">
            <w:pPr>
              <w:spacing w:line="300" w:lineRule="exact"/>
              <w:rPr>
                <w:rtl/>
                <w:lang w:eastAsia="en-US"/>
              </w:rPr>
            </w:pPr>
            <w:r>
              <w:rPr>
                <w:rtl/>
                <w:lang w:eastAsia="en-US"/>
              </w:rPr>
              <w:t>30</w:t>
            </w:r>
          </w:p>
          <w:p w:rsidR="00000000" w:rsidRDefault="00000000">
            <w:pPr>
              <w:spacing w:line="300" w:lineRule="exact"/>
              <w:rPr>
                <w:rtl/>
                <w:lang w:eastAsia="en-US"/>
              </w:rPr>
            </w:pPr>
            <w:r>
              <w:rPr>
                <w:rtl/>
                <w:lang w:eastAsia="en-US"/>
              </w:rPr>
              <w:t>21</w:t>
            </w:r>
          </w:p>
          <w:p w:rsidR="00000000" w:rsidRDefault="00000000">
            <w:pPr>
              <w:spacing w:line="300" w:lineRule="exact"/>
              <w:rPr>
                <w:rtl/>
                <w:lang w:eastAsia="en-US"/>
              </w:rPr>
            </w:pPr>
            <w:r>
              <w:rPr>
                <w:rtl/>
                <w:lang w:eastAsia="en-US"/>
              </w:rPr>
              <w:t>109</w:t>
            </w:r>
          </w:p>
        </w:tc>
        <w:tc>
          <w:tcPr>
            <w:tcW w:w="1175"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24.4</w:t>
            </w:r>
          </w:p>
          <w:p w:rsidR="00000000" w:rsidRDefault="00000000">
            <w:pPr>
              <w:spacing w:line="300" w:lineRule="exact"/>
              <w:rPr>
                <w:rtl/>
                <w:lang w:eastAsia="en-US"/>
              </w:rPr>
            </w:pPr>
            <w:r>
              <w:rPr>
                <w:rtl/>
                <w:lang w:eastAsia="en-US"/>
              </w:rPr>
              <w:t>27.8</w:t>
            </w:r>
          </w:p>
          <w:p w:rsidR="00000000" w:rsidRDefault="00000000">
            <w:pPr>
              <w:spacing w:line="300" w:lineRule="exact"/>
              <w:rPr>
                <w:rtl/>
                <w:lang w:eastAsia="en-US"/>
              </w:rPr>
            </w:pPr>
            <w:r>
              <w:rPr>
                <w:rtl/>
                <w:lang w:eastAsia="en-US"/>
              </w:rPr>
              <w:t>20.2</w:t>
            </w:r>
          </w:p>
          <w:p w:rsidR="00000000" w:rsidRDefault="00000000">
            <w:pPr>
              <w:spacing w:line="300" w:lineRule="exact"/>
              <w:rPr>
                <w:rtl/>
                <w:lang w:eastAsia="en-US"/>
              </w:rPr>
            </w:pPr>
            <w:r>
              <w:rPr>
                <w:rtl/>
                <w:lang w:eastAsia="en-US"/>
              </w:rPr>
              <w:t>31.0</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33</w:t>
            </w:r>
          </w:p>
          <w:p w:rsidR="00000000" w:rsidRDefault="00000000">
            <w:pPr>
              <w:spacing w:line="300" w:lineRule="exact"/>
              <w:rPr>
                <w:rtl/>
                <w:lang w:eastAsia="en-US"/>
              </w:rPr>
            </w:pPr>
            <w:r>
              <w:rPr>
                <w:rtl/>
                <w:lang w:eastAsia="en-US"/>
              </w:rPr>
              <w:t>108</w:t>
            </w:r>
          </w:p>
          <w:p w:rsidR="00000000" w:rsidRDefault="00000000">
            <w:pPr>
              <w:spacing w:line="300" w:lineRule="exact"/>
              <w:rPr>
                <w:rtl/>
                <w:lang w:eastAsia="en-US"/>
              </w:rPr>
            </w:pPr>
            <w:r>
              <w:rPr>
                <w:rtl/>
                <w:lang w:eastAsia="en-US"/>
              </w:rPr>
              <w:t>104</w:t>
            </w:r>
          </w:p>
          <w:p w:rsidR="00000000" w:rsidRDefault="00000000">
            <w:pPr>
              <w:spacing w:line="300" w:lineRule="exact"/>
              <w:rPr>
                <w:rtl/>
                <w:lang w:eastAsia="en-US"/>
              </w:rPr>
            </w:pPr>
            <w:r>
              <w:rPr>
                <w:rtl/>
                <w:lang w:eastAsia="en-US"/>
              </w:rPr>
              <w:t>352</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100</w:t>
            </w:r>
          </w:p>
          <w:p w:rsidR="00000000" w:rsidRDefault="00000000">
            <w:pPr>
              <w:spacing w:line="300" w:lineRule="exact"/>
              <w:rPr>
                <w:rtl/>
                <w:lang w:eastAsia="en-US"/>
              </w:rPr>
            </w:pPr>
            <w:r>
              <w:rPr>
                <w:rtl/>
                <w:lang w:eastAsia="en-US"/>
              </w:rPr>
              <w:t>100</w:t>
            </w:r>
          </w:p>
          <w:p w:rsidR="00000000" w:rsidRDefault="00000000">
            <w:pPr>
              <w:spacing w:line="300" w:lineRule="exact"/>
              <w:rPr>
                <w:rtl/>
                <w:lang w:eastAsia="en-US"/>
              </w:rPr>
            </w:pPr>
            <w:r>
              <w:rPr>
                <w:rtl/>
                <w:lang w:eastAsia="en-US"/>
              </w:rPr>
              <w:t>100</w:t>
            </w:r>
          </w:p>
          <w:p w:rsidR="00000000" w:rsidRDefault="00000000">
            <w:pPr>
              <w:spacing w:line="300" w:lineRule="exact"/>
              <w:rPr>
                <w:rtl/>
                <w:lang w:eastAsia="en-US"/>
              </w:rPr>
            </w:pPr>
            <w:r>
              <w:rPr>
                <w:rtl/>
                <w:lang w:eastAsia="en-US"/>
              </w:rPr>
              <w:t>100</w:t>
            </w:r>
          </w:p>
        </w:tc>
      </w:tr>
      <w:tr w:rsidR="00000000">
        <w:tblPrEx>
          <w:tblCellMar>
            <w:top w:w="0" w:type="dxa"/>
            <w:bottom w:w="0" w:type="dxa"/>
          </w:tblCellMar>
        </w:tblPrEx>
        <w:tc>
          <w:tcPr>
            <w:tcW w:w="3012" w:type="dxa"/>
          </w:tcPr>
          <w:p w:rsidR="00000000" w:rsidRDefault="00000000">
            <w:pPr>
              <w:spacing w:line="300" w:lineRule="exact"/>
              <w:rPr>
                <w:rtl/>
                <w:lang w:eastAsia="en-US"/>
              </w:rPr>
            </w:pPr>
            <w:r>
              <w:rPr>
                <w:rtl/>
                <w:lang w:eastAsia="en-US"/>
              </w:rPr>
              <w:t>المجموع</w:t>
            </w:r>
          </w:p>
        </w:tc>
        <w:tc>
          <w:tcPr>
            <w:tcW w:w="1175" w:type="dxa"/>
          </w:tcPr>
          <w:p w:rsidR="00000000" w:rsidRDefault="00000000">
            <w:pPr>
              <w:spacing w:line="300" w:lineRule="exact"/>
              <w:rPr>
                <w:rtl/>
                <w:lang w:eastAsia="en-US"/>
              </w:rPr>
            </w:pPr>
            <w:r>
              <w:rPr>
                <w:rtl/>
                <w:lang w:eastAsia="en-US"/>
              </w:rPr>
              <w:t>429</w:t>
            </w:r>
          </w:p>
        </w:tc>
        <w:tc>
          <w:tcPr>
            <w:tcW w:w="1176" w:type="dxa"/>
          </w:tcPr>
          <w:p w:rsidR="00000000" w:rsidRDefault="00000000">
            <w:pPr>
              <w:spacing w:line="300" w:lineRule="exact"/>
              <w:rPr>
                <w:rtl/>
                <w:lang w:eastAsia="en-US"/>
              </w:rPr>
            </w:pPr>
            <w:r>
              <w:rPr>
                <w:rtl/>
                <w:lang w:eastAsia="en-US"/>
              </w:rPr>
              <w:t>72</w:t>
            </w:r>
          </w:p>
        </w:tc>
        <w:tc>
          <w:tcPr>
            <w:tcW w:w="1176" w:type="dxa"/>
          </w:tcPr>
          <w:p w:rsidR="00000000" w:rsidRDefault="00000000">
            <w:pPr>
              <w:spacing w:line="300" w:lineRule="exact"/>
              <w:rPr>
                <w:rtl/>
                <w:lang w:eastAsia="en-US"/>
              </w:rPr>
            </w:pPr>
            <w:r>
              <w:rPr>
                <w:rtl/>
                <w:lang w:eastAsia="en-US"/>
              </w:rPr>
              <w:t>168</w:t>
            </w:r>
          </w:p>
        </w:tc>
        <w:tc>
          <w:tcPr>
            <w:tcW w:w="1175" w:type="dxa"/>
          </w:tcPr>
          <w:p w:rsidR="00000000" w:rsidRDefault="00000000">
            <w:pPr>
              <w:spacing w:line="300" w:lineRule="exact"/>
              <w:rPr>
                <w:rtl/>
                <w:lang w:eastAsia="en-US"/>
              </w:rPr>
            </w:pPr>
            <w:r>
              <w:rPr>
                <w:rtl/>
                <w:lang w:eastAsia="en-US"/>
              </w:rPr>
              <w:t>28</w:t>
            </w:r>
          </w:p>
        </w:tc>
        <w:tc>
          <w:tcPr>
            <w:tcW w:w="1176" w:type="dxa"/>
          </w:tcPr>
          <w:p w:rsidR="00000000" w:rsidRDefault="00000000">
            <w:pPr>
              <w:spacing w:line="300" w:lineRule="exact"/>
              <w:rPr>
                <w:rtl/>
                <w:lang w:eastAsia="en-US"/>
              </w:rPr>
            </w:pPr>
            <w:r>
              <w:rPr>
                <w:rtl/>
                <w:lang w:eastAsia="en-US"/>
              </w:rPr>
              <w:t>597</w:t>
            </w:r>
          </w:p>
        </w:tc>
        <w:tc>
          <w:tcPr>
            <w:tcW w:w="1176" w:type="dxa"/>
          </w:tcPr>
          <w:p w:rsidR="00000000" w:rsidRDefault="00000000">
            <w:pPr>
              <w:spacing w:line="300" w:lineRule="exact"/>
              <w:rPr>
                <w:rtl/>
                <w:lang w:eastAsia="en-US"/>
              </w:rPr>
            </w:pPr>
            <w:r>
              <w:rPr>
                <w:rtl/>
                <w:lang w:eastAsia="en-US"/>
              </w:rPr>
              <w:t>100</w:t>
            </w:r>
          </w:p>
        </w:tc>
      </w:tr>
      <w:tr w:rsidR="00000000">
        <w:tblPrEx>
          <w:tblCellMar>
            <w:top w:w="0" w:type="dxa"/>
            <w:bottom w:w="0" w:type="dxa"/>
          </w:tblCellMar>
        </w:tblPrEx>
        <w:tc>
          <w:tcPr>
            <w:tcW w:w="3012" w:type="dxa"/>
          </w:tcPr>
          <w:p w:rsidR="00000000" w:rsidRDefault="00000000">
            <w:pPr>
              <w:spacing w:line="300" w:lineRule="exact"/>
              <w:rPr>
                <w:rtl/>
                <w:lang w:eastAsia="en-US"/>
              </w:rPr>
            </w:pPr>
            <w:r>
              <w:rPr>
                <w:rtl/>
                <w:lang w:eastAsia="en-US"/>
              </w:rPr>
              <w:t>1998</w:t>
            </w:r>
          </w:p>
          <w:p w:rsidR="00000000" w:rsidRDefault="00000000">
            <w:pPr>
              <w:spacing w:line="300" w:lineRule="exact"/>
              <w:rPr>
                <w:rtl/>
                <w:lang w:eastAsia="en-US"/>
              </w:rPr>
            </w:pPr>
            <w:r>
              <w:rPr>
                <w:rtl/>
                <w:lang w:eastAsia="en-US"/>
              </w:rPr>
              <w:t>نائب وزير</w:t>
            </w:r>
          </w:p>
          <w:p w:rsidR="00000000" w:rsidRDefault="00000000">
            <w:pPr>
              <w:spacing w:line="300" w:lineRule="exact"/>
              <w:rPr>
                <w:rtl/>
                <w:lang w:eastAsia="en-US"/>
              </w:rPr>
            </w:pPr>
            <w:r>
              <w:rPr>
                <w:rtl/>
                <w:lang w:eastAsia="en-US"/>
              </w:rPr>
              <w:t>مساعد/معاون نائب وزير</w:t>
            </w:r>
          </w:p>
          <w:p w:rsidR="00000000" w:rsidRDefault="00000000">
            <w:pPr>
              <w:spacing w:line="300" w:lineRule="exact"/>
              <w:rPr>
                <w:rtl/>
                <w:lang w:eastAsia="en-US"/>
              </w:rPr>
            </w:pPr>
            <w:r>
              <w:rPr>
                <w:rtl/>
                <w:lang w:eastAsia="en-US"/>
              </w:rPr>
              <w:t>رئيس هيئة</w:t>
            </w:r>
          </w:p>
          <w:p w:rsidR="00000000" w:rsidRDefault="00000000">
            <w:pPr>
              <w:spacing w:line="300" w:lineRule="exact"/>
              <w:rPr>
                <w:rtl/>
                <w:lang w:eastAsia="en-US"/>
              </w:rPr>
            </w:pPr>
            <w:r>
              <w:rPr>
                <w:rtl/>
                <w:lang w:eastAsia="en-US"/>
              </w:rPr>
              <w:t>موظف</w:t>
            </w:r>
          </w:p>
        </w:tc>
        <w:tc>
          <w:tcPr>
            <w:tcW w:w="1175"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21</w:t>
            </w:r>
          </w:p>
          <w:p w:rsidR="00000000" w:rsidRDefault="00000000">
            <w:pPr>
              <w:spacing w:line="300" w:lineRule="exact"/>
              <w:rPr>
                <w:rtl/>
                <w:lang w:eastAsia="en-US"/>
              </w:rPr>
            </w:pPr>
            <w:r>
              <w:rPr>
                <w:rtl/>
                <w:lang w:eastAsia="en-US"/>
              </w:rPr>
              <w:t>81</w:t>
            </w:r>
          </w:p>
          <w:p w:rsidR="00000000" w:rsidRDefault="00000000">
            <w:pPr>
              <w:spacing w:line="300" w:lineRule="exact"/>
              <w:rPr>
                <w:rtl/>
                <w:lang w:eastAsia="en-US"/>
              </w:rPr>
            </w:pPr>
            <w:r>
              <w:rPr>
                <w:rtl/>
                <w:lang w:eastAsia="en-US"/>
              </w:rPr>
              <w:t>80</w:t>
            </w:r>
          </w:p>
          <w:p w:rsidR="00000000" w:rsidRDefault="00000000">
            <w:pPr>
              <w:spacing w:line="300" w:lineRule="exact"/>
              <w:rPr>
                <w:rtl/>
                <w:lang w:eastAsia="en-US"/>
              </w:rPr>
            </w:pPr>
            <w:r>
              <w:rPr>
                <w:rtl/>
                <w:lang w:eastAsia="en-US"/>
              </w:rPr>
              <w:t>235</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72.4</w:t>
            </w:r>
          </w:p>
          <w:p w:rsidR="00000000" w:rsidRDefault="00000000">
            <w:pPr>
              <w:spacing w:line="300" w:lineRule="exact"/>
              <w:rPr>
                <w:rtl/>
                <w:lang w:eastAsia="en-US"/>
              </w:rPr>
            </w:pPr>
            <w:r>
              <w:rPr>
                <w:rtl/>
                <w:lang w:eastAsia="en-US"/>
              </w:rPr>
              <w:t>74.3</w:t>
            </w:r>
          </w:p>
          <w:p w:rsidR="00000000" w:rsidRDefault="00000000">
            <w:pPr>
              <w:spacing w:line="300" w:lineRule="exact"/>
              <w:rPr>
                <w:rtl/>
                <w:lang w:eastAsia="en-US"/>
              </w:rPr>
            </w:pPr>
            <w:r>
              <w:rPr>
                <w:rtl/>
                <w:lang w:eastAsia="en-US"/>
              </w:rPr>
              <w:t>77.0</w:t>
            </w:r>
          </w:p>
          <w:p w:rsidR="00000000" w:rsidRDefault="00000000">
            <w:pPr>
              <w:spacing w:line="300" w:lineRule="exact"/>
              <w:rPr>
                <w:rtl/>
                <w:lang w:eastAsia="en-US"/>
              </w:rPr>
            </w:pPr>
            <w:r>
              <w:rPr>
                <w:rtl/>
                <w:lang w:eastAsia="en-US"/>
              </w:rPr>
              <w:t>69.0</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8</w:t>
            </w:r>
          </w:p>
          <w:p w:rsidR="00000000" w:rsidRDefault="00000000">
            <w:pPr>
              <w:spacing w:line="300" w:lineRule="exact"/>
              <w:rPr>
                <w:rtl/>
                <w:lang w:eastAsia="en-US"/>
              </w:rPr>
            </w:pPr>
            <w:r>
              <w:rPr>
                <w:rtl/>
                <w:lang w:eastAsia="en-US"/>
              </w:rPr>
              <w:t>28</w:t>
            </w:r>
          </w:p>
          <w:p w:rsidR="00000000" w:rsidRDefault="00000000">
            <w:pPr>
              <w:spacing w:line="300" w:lineRule="exact"/>
              <w:rPr>
                <w:rtl/>
                <w:lang w:eastAsia="en-US"/>
              </w:rPr>
            </w:pPr>
            <w:r>
              <w:rPr>
                <w:rtl/>
                <w:lang w:eastAsia="en-US"/>
              </w:rPr>
              <w:t>24</w:t>
            </w:r>
          </w:p>
          <w:p w:rsidR="00000000" w:rsidRDefault="00000000">
            <w:pPr>
              <w:spacing w:line="300" w:lineRule="exact"/>
              <w:rPr>
                <w:rtl/>
                <w:lang w:eastAsia="en-US"/>
              </w:rPr>
            </w:pPr>
            <w:r>
              <w:rPr>
                <w:rtl/>
                <w:lang w:eastAsia="en-US"/>
              </w:rPr>
              <w:t>106</w:t>
            </w:r>
          </w:p>
        </w:tc>
        <w:tc>
          <w:tcPr>
            <w:tcW w:w="1175"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27.6</w:t>
            </w:r>
          </w:p>
          <w:p w:rsidR="00000000" w:rsidRDefault="00000000">
            <w:pPr>
              <w:spacing w:line="300" w:lineRule="exact"/>
              <w:rPr>
                <w:rtl/>
                <w:lang w:eastAsia="en-US"/>
              </w:rPr>
            </w:pPr>
            <w:r>
              <w:rPr>
                <w:rtl/>
                <w:lang w:eastAsia="en-US"/>
              </w:rPr>
              <w:t>25.7</w:t>
            </w:r>
          </w:p>
          <w:p w:rsidR="00000000" w:rsidRDefault="00000000">
            <w:pPr>
              <w:spacing w:line="300" w:lineRule="exact"/>
              <w:rPr>
                <w:rtl/>
                <w:lang w:eastAsia="en-US"/>
              </w:rPr>
            </w:pPr>
            <w:r>
              <w:rPr>
                <w:rtl/>
                <w:lang w:eastAsia="en-US"/>
              </w:rPr>
              <w:t>23.0</w:t>
            </w:r>
          </w:p>
          <w:p w:rsidR="00000000" w:rsidRDefault="00000000">
            <w:pPr>
              <w:spacing w:line="300" w:lineRule="exact"/>
              <w:rPr>
                <w:rtl/>
                <w:lang w:eastAsia="en-US"/>
              </w:rPr>
            </w:pPr>
            <w:r>
              <w:rPr>
                <w:rtl/>
                <w:lang w:eastAsia="en-US"/>
              </w:rPr>
              <w:t>31.0</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29</w:t>
            </w:r>
          </w:p>
          <w:p w:rsidR="00000000" w:rsidRDefault="00000000">
            <w:pPr>
              <w:spacing w:line="300" w:lineRule="exact"/>
              <w:rPr>
                <w:rtl/>
                <w:lang w:eastAsia="en-US"/>
              </w:rPr>
            </w:pPr>
            <w:r>
              <w:rPr>
                <w:rtl/>
                <w:lang w:eastAsia="en-US"/>
              </w:rPr>
              <w:t>109</w:t>
            </w:r>
          </w:p>
          <w:p w:rsidR="00000000" w:rsidRDefault="00000000">
            <w:pPr>
              <w:spacing w:line="300" w:lineRule="exact"/>
              <w:rPr>
                <w:rtl/>
                <w:lang w:eastAsia="en-US"/>
              </w:rPr>
            </w:pPr>
            <w:r>
              <w:rPr>
                <w:rtl/>
                <w:lang w:eastAsia="en-US"/>
              </w:rPr>
              <w:t>104</w:t>
            </w:r>
          </w:p>
          <w:p w:rsidR="00000000" w:rsidRDefault="00000000">
            <w:pPr>
              <w:spacing w:line="300" w:lineRule="exact"/>
              <w:rPr>
                <w:rtl/>
                <w:lang w:eastAsia="en-US"/>
              </w:rPr>
            </w:pPr>
            <w:r>
              <w:rPr>
                <w:rtl/>
                <w:lang w:eastAsia="en-US"/>
              </w:rPr>
              <w:t>341</w:t>
            </w:r>
          </w:p>
        </w:tc>
        <w:tc>
          <w:tcPr>
            <w:tcW w:w="1176" w:type="dxa"/>
          </w:tcPr>
          <w:p w:rsidR="00000000" w:rsidRDefault="00000000">
            <w:pPr>
              <w:spacing w:line="300" w:lineRule="exact"/>
              <w:rPr>
                <w:rtl/>
                <w:lang w:eastAsia="en-US"/>
              </w:rPr>
            </w:pPr>
          </w:p>
          <w:p w:rsidR="00000000" w:rsidRDefault="00000000">
            <w:pPr>
              <w:spacing w:line="300" w:lineRule="exact"/>
              <w:rPr>
                <w:rtl/>
                <w:lang w:eastAsia="en-US"/>
              </w:rPr>
            </w:pPr>
            <w:r>
              <w:rPr>
                <w:rtl/>
                <w:lang w:eastAsia="en-US"/>
              </w:rPr>
              <w:t>100</w:t>
            </w:r>
          </w:p>
          <w:p w:rsidR="00000000" w:rsidRDefault="00000000">
            <w:pPr>
              <w:spacing w:line="300" w:lineRule="exact"/>
              <w:rPr>
                <w:rtl/>
                <w:lang w:eastAsia="en-US"/>
              </w:rPr>
            </w:pPr>
            <w:r>
              <w:rPr>
                <w:rtl/>
                <w:lang w:eastAsia="en-US"/>
              </w:rPr>
              <w:t>100</w:t>
            </w:r>
          </w:p>
          <w:p w:rsidR="00000000" w:rsidRDefault="00000000">
            <w:pPr>
              <w:spacing w:line="300" w:lineRule="exact"/>
              <w:rPr>
                <w:rtl/>
                <w:lang w:eastAsia="en-US"/>
              </w:rPr>
            </w:pPr>
            <w:r>
              <w:rPr>
                <w:rtl/>
                <w:lang w:eastAsia="en-US"/>
              </w:rPr>
              <w:t>100</w:t>
            </w:r>
          </w:p>
          <w:p w:rsidR="00000000" w:rsidRDefault="00000000">
            <w:pPr>
              <w:spacing w:line="300" w:lineRule="exact"/>
              <w:rPr>
                <w:rtl/>
                <w:lang w:eastAsia="en-US"/>
              </w:rPr>
            </w:pPr>
            <w:r>
              <w:rPr>
                <w:rtl/>
                <w:lang w:eastAsia="en-US"/>
              </w:rPr>
              <w:t>100</w:t>
            </w:r>
          </w:p>
        </w:tc>
      </w:tr>
      <w:tr w:rsidR="00000000">
        <w:tblPrEx>
          <w:tblCellMar>
            <w:top w:w="0" w:type="dxa"/>
            <w:bottom w:w="0" w:type="dxa"/>
          </w:tblCellMar>
        </w:tblPrEx>
        <w:tc>
          <w:tcPr>
            <w:tcW w:w="3012" w:type="dxa"/>
          </w:tcPr>
          <w:p w:rsidR="00000000" w:rsidRDefault="00000000">
            <w:pPr>
              <w:spacing w:line="300" w:lineRule="exact"/>
              <w:rPr>
                <w:rtl/>
                <w:lang w:eastAsia="en-US"/>
              </w:rPr>
            </w:pPr>
            <w:r>
              <w:rPr>
                <w:rtl/>
                <w:lang w:eastAsia="en-US"/>
              </w:rPr>
              <w:t>المجموع</w:t>
            </w:r>
          </w:p>
        </w:tc>
        <w:tc>
          <w:tcPr>
            <w:tcW w:w="1175" w:type="dxa"/>
          </w:tcPr>
          <w:p w:rsidR="00000000" w:rsidRDefault="00000000">
            <w:pPr>
              <w:pStyle w:val="H56"/>
              <w:keepNext w:val="0"/>
              <w:keepLines w:val="0"/>
              <w:suppressAutoHyphens w:val="0"/>
              <w:spacing w:line="300" w:lineRule="exact"/>
              <w:outlineLvl w:val="9"/>
              <w:rPr>
                <w:rtl/>
                <w:lang w:eastAsia="en-US"/>
              </w:rPr>
            </w:pPr>
            <w:r>
              <w:rPr>
                <w:rtl/>
                <w:lang w:eastAsia="en-US"/>
              </w:rPr>
              <w:t>417</w:t>
            </w:r>
          </w:p>
        </w:tc>
        <w:tc>
          <w:tcPr>
            <w:tcW w:w="1176" w:type="dxa"/>
          </w:tcPr>
          <w:p w:rsidR="00000000" w:rsidRDefault="00000000">
            <w:pPr>
              <w:spacing w:line="300" w:lineRule="exact"/>
              <w:rPr>
                <w:rtl/>
                <w:lang w:eastAsia="en-US"/>
              </w:rPr>
            </w:pPr>
            <w:r>
              <w:rPr>
                <w:rtl/>
                <w:lang w:eastAsia="en-US"/>
              </w:rPr>
              <w:t>72</w:t>
            </w:r>
          </w:p>
        </w:tc>
        <w:tc>
          <w:tcPr>
            <w:tcW w:w="1176" w:type="dxa"/>
          </w:tcPr>
          <w:p w:rsidR="00000000" w:rsidRDefault="00000000">
            <w:pPr>
              <w:spacing w:line="300" w:lineRule="exact"/>
              <w:rPr>
                <w:rtl/>
                <w:lang w:eastAsia="en-US"/>
              </w:rPr>
            </w:pPr>
            <w:r>
              <w:rPr>
                <w:rtl/>
                <w:lang w:eastAsia="en-US"/>
              </w:rPr>
              <w:t>166</w:t>
            </w:r>
          </w:p>
        </w:tc>
        <w:tc>
          <w:tcPr>
            <w:tcW w:w="1175" w:type="dxa"/>
          </w:tcPr>
          <w:p w:rsidR="00000000" w:rsidRDefault="00000000">
            <w:pPr>
              <w:spacing w:line="300" w:lineRule="exact"/>
              <w:rPr>
                <w:rtl/>
                <w:lang w:eastAsia="en-US"/>
              </w:rPr>
            </w:pPr>
            <w:r>
              <w:rPr>
                <w:rtl/>
                <w:lang w:eastAsia="en-US"/>
              </w:rPr>
              <w:t>29</w:t>
            </w:r>
          </w:p>
        </w:tc>
        <w:tc>
          <w:tcPr>
            <w:tcW w:w="1176" w:type="dxa"/>
          </w:tcPr>
          <w:p w:rsidR="00000000" w:rsidRDefault="00000000">
            <w:pPr>
              <w:spacing w:line="300" w:lineRule="exact"/>
              <w:rPr>
                <w:rtl/>
                <w:lang w:eastAsia="en-US"/>
              </w:rPr>
            </w:pPr>
            <w:r>
              <w:rPr>
                <w:rtl/>
                <w:lang w:eastAsia="en-US"/>
              </w:rPr>
              <w:t>583</w:t>
            </w:r>
          </w:p>
        </w:tc>
        <w:tc>
          <w:tcPr>
            <w:tcW w:w="1176" w:type="dxa"/>
          </w:tcPr>
          <w:p w:rsidR="00000000" w:rsidRDefault="00000000">
            <w:pPr>
              <w:spacing w:line="300" w:lineRule="exact"/>
              <w:rPr>
                <w:rtl/>
                <w:lang w:eastAsia="en-US"/>
              </w:rPr>
            </w:pPr>
            <w:r>
              <w:rPr>
                <w:rtl/>
                <w:lang w:eastAsia="en-US"/>
              </w:rPr>
              <w:t>100</w:t>
            </w:r>
          </w:p>
        </w:tc>
      </w:tr>
    </w:tbl>
    <w:p w:rsidR="00000000" w:rsidRDefault="00000000">
      <w:pPr>
        <w:pStyle w:val="SingleTxt"/>
        <w:tabs>
          <w:tab w:val="clear" w:pos="1267"/>
          <w:tab w:val="clear" w:pos="2592"/>
          <w:tab w:val="clear" w:pos="3254"/>
          <w:tab w:val="left" w:pos="2337"/>
          <w:tab w:val="left" w:pos="2762"/>
        </w:tabs>
        <w:spacing w:line="320" w:lineRule="exact"/>
        <w:ind w:left="1264" w:right="1264"/>
        <w:rPr>
          <w:szCs w:val="26"/>
          <w:rtl/>
        </w:rPr>
      </w:pPr>
      <w:r>
        <w:rPr>
          <w:szCs w:val="26"/>
          <w:rtl/>
        </w:rPr>
        <w:tab/>
        <w:t>*</w:t>
      </w:r>
      <w:r>
        <w:rPr>
          <w:szCs w:val="26"/>
          <w:rtl/>
        </w:rPr>
        <w:tab/>
        <w:t>لا يشمل سوى الذين يتولون مناصب مديرين ومعيَّنين بمقتضى سلطات الحكومة في الوزارات والوكالات الحكومية</w:t>
      </w:r>
    </w:p>
    <w:p w:rsidR="00000000" w:rsidRDefault="00000000">
      <w:pPr>
        <w:pStyle w:val="SingleTxt"/>
        <w:tabs>
          <w:tab w:val="clear" w:pos="1267"/>
          <w:tab w:val="clear" w:pos="2592"/>
          <w:tab w:val="clear" w:pos="3254"/>
          <w:tab w:val="left" w:pos="2337"/>
          <w:tab w:val="left" w:pos="2762"/>
        </w:tabs>
        <w:ind w:left="1264" w:right="1264"/>
        <w:rPr>
          <w:szCs w:val="26"/>
          <w:rtl/>
          <w:lang w:eastAsia="en-US"/>
        </w:rPr>
      </w:pPr>
      <w:r>
        <w:rPr>
          <w:i/>
          <w:iCs/>
          <w:rtl/>
        </w:rPr>
        <w:tab/>
        <w:t>المصدر:</w:t>
      </w:r>
      <w:r>
        <w:rPr>
          <w:i/>
          <w:iCs/>
          <w:rtl/>
        </w:rPr>
        <w:tab/>
        <w:t>أمانة التعيينات التنفيذية، مكتب المجلس التنفيذي، حكومة كيبيك</w:t>
      </w:r>
    </w:p>
    <w:p w:rsidR="00000000" w:rsidRDefault="00000000">
      <w:pPr>
        <w:pStyle w:val="SingleTxt"/>
        <w:tabs>
          <w:tab w:val="clear" w:pos="1267"/>
        </w:tabs>
        <w:ind w:left="1264" w:right="1264"/>
        <w:rPr>
          <w:b/>
          <w:bCs/>
          <w:szCs w:val="32"/>
          <w:rtl/>
          <w:lang w:eastAsia="en-US"/>
        </w:rPr>
      </w:pPr>
      <w:r>
        <w:rPr>
          <w:b/>
          <w:bCs/>
          <w:szCs w:val="32"/>
          <w:rtl/>
          <w:lang w:eastAsia="en-US"/>
        </w:rPr>
        <w:t>التذييل 4: المرأة على منصة القضاء</w:t>
      </w:r>
    </w:p>
    <w:p w:rsidR="00000000" w:rsidRDefault="00000000">
      <w:pPr>
        <w:pStyle w:val="SingleTxt"/>
        <w:tabs>
          <w:tab w:val="clear" w:pos="1267"/>
        </w:tabs>
        <w:ind w:left="1264" w:right="1264"/>
        <w:rPr>
          <w:b/>
          <w:bCs/>
          <w:rtl/>
          <w:lang w:eastAsia="en-US"/>
        </w:rPr>
      </w:pPr>
      <w:r>
        <w:rPr>
          <w:b/>
          <w:bCs/>
          <w:rtl/>
          <w:lang w:eastAsia="en-US"/>
        </w:rPr>
        <w:t>المرأة على منصة القضاء</w:t>
      </w:r>
    </w:p>
    <w:tbl>
      <w:tblPr>
        <w:bidiVisual/>
        <w:tblW w:w="0" w:type="auto"/>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9"/>
        <w:gridCol w:w="2127"/>
        <w:gridCol w:w="2268"/>
        <w:gridCol w:w="1701"/>
      </w:tblGrid>
      <w:tr w:rsidR="00000000">
        <w:tblPrEx>
          <w:tblCellMar>
            <w:top w:w="0" w:type="dxa"/>
            <w:bottom w:w="0" w:type="dxa"/>
          </w:tblCellMar>
        </w:tblPrEx>
        <w:trPr>
          <w:cantSplit/>
        </w:trPr>
        <w:tc>
          <w:tcPr>
            <w:tcW w:w="8505" w:type="dxa"/>
            <w:gridSpan w:val="4"/>
          </w:tcPr>
          <w:p w:rsidR="00000000" w:rsidRDefault="00000000">
            <w:pPr>
              <w:pStyle w:val="Heading2"/>
              <w:spacing w:line="340" w:lineRule="exact"/>
              <w:rPr>
                <w:rtl/>
              </w:rPr>
            </w:pPr>
            <w:r>
              <w:rPr>
                <w:rtl/>
              </w:rPr>
              <w:t>محاكم البلديات</w:t>
            </w:r>
          </w:p>
        </w:tc>
      </w:tr>
      <w:tr w:rsidR="00000000">
        <w:tblPrEx>
          <w:tblCellMar>
            <w:top w:w="0" w:type="dxa"/>
            <w:bottom w:w="0" w:type="dxa"/>
          </w:tblCellMar>
        </w:tblPrEx>
        <w:tc>
          <w:tcPr>
            <w:tcW w:w="2409" w:type="dxa"/>
          </w:tcPr>
          <w:p w:rsidR="00000000" w:rsidRDefault="00000000">
            <w:pPr>
              <w:pStyle w:val="Heading3"/>
              <w:rPr>
                <w:rtl/>
              </w:rPr>
            </w:pPr>
            <w:r>
              <w:rPr>
                <w:rtl/>
              </w:rPr>
              <w:t>في 31 آذار/مارس 1998</w:t>
            </w:r>
          </w:p>
        </w:tc>
        <w:tc>
          <w:tcPr>
            <w:tcW w:w="2127" w:type="dxa"/>
          </w:tcPr>
          <w:p w:rsidR="00000000" w:rsidRDefault="00000000">
            <w:pPr>
              <w:pStyle w:val="H4"/>
              <w:keepLines w:val="0"/>
              <w:suppressAutoHyphens w:val="0"/>
              <w:spacing w:line="340" w:lineRule="exact"/>
              <w:rPr>
                <w:spacing w:val="0"/>
                <w:szCs w:val="24"/>
                <w:rtl/>
                <w:lang w:eastAsia="en-US"/>
              </w:rPr>
            </w:pPr>
            <w:r>
              <w:rPr>
                <w:spacing w:val="0"/>
                <w:szCs w:val="24"/>
                <w:rtl/>
                <w:lang w:eastAsia="en-US"/>
              </w:rPr>
              <w:t>المجموع الإجمالي لعدد القضاة</w:t>
            </w:r>
          </w:p>
        </w:tc>
        <w:tc>
          <w:tcPr>
            <w:tcW w:w="2268" w:type="dxa"/>
          </w:tcPr>
          <w:p w:rsidR="00000000" w:rsidRDefault="00000000">
            <w:pPr>
              <w:pStyle w:val="Heading3"/>
              <w:rPr>
                <w:rtl/>
              </w:rPr>
            </w:pPr>
            <w:r>
              <w:rPr>
                <w:rtl/>
              </w:rPr>
              <w:t>المجموع الإجمالي لعدد النساء</w:t>
            </w:r>
          </w:p>
        </w:tc>
        <w:tc>
          <w:tcPr>
            <w:tcW w:w="1701" w:type="dxa"/>
          </w:tcPr>
          <w:p w:rsidR="00000000" w:rsidRDefault="00000000">
            <w:pPr>
              <w:pStyle w:val="Heading3"/>
              <w:rPr>
                <w:rtl/>
              </w:rPr>
            </w:pPr>
            <w:r>
              <w:rPr>
                <w:rtl/>
              </w:rPr>
              <w:t>النسبة المئوية</w:t>
            </w:r>
          </w:p>
        </w:tc>
      </w:tr>
      <w:tr w:rsidR="00000000">
        <w:tblPrEx>
          <w:tblCellMar>
            <w:top w:w="0" w:type="dxa"/>
            <w:bottom w:w="0" w:type="dxa"/>
          </w:tblCellMar>
        </w:tblPrEx>
        <w:tc>
          <w:tcPr>
            <w:tcW w:w="2409" w:type="dxa"/>
            <w:tcBorders>
              <w:bottom w:val="nil"/>
            </w:tcBorders>
          </w:tcPr>
          <w:p w:rsidR="00000000" w:rsidRDefault="00000000">
            <w:pPr>
              <w:spacing w:line="340" w:lineRule="exact"/>
              <w:rPr>
                <w:rtl/>
                <w:lang w:eastAsia="en-US"/>
              </w:rPr>
            </w:pPr>
            <w:r>
              <w:rPr>
                <w:rtl/>
                <w:lang w:eastAsia="en-US"/>
              </w:rPr>
              <w:t>1994</w:t>
            </w:r>
          </w:p>
          <w:p w:rsidR="00000000" w:rsidRDefault="00000000">
            <w:pPr>
              <w:spacing w:line="340" w:lineRule="exact"/>
              <w:rPr>
                <w:rtl/>
                <w:lang w:eastAsia="en-US"/>
              </w:rPr>
            </w:pPr>
            <w:r>
              <w:rPr>
                <w:rtl/>
                <w:lang w:eastAsia="en-US"/>
              </w:rPr>
              <w:t>1995</w:t>
            </w:r>
          </w:p>
          <w:p w:rsidR="00000000" w:rsidRDefault="00000000">
            <w:pPr>
              <w:spacing w:line="340" w:lineRule="exact"/>
              <w:rPr>
                <w:rtl/>
                <w:lang w:eastAsia="en-US"/>
              </w:rPr>
            </w:pPr>
            <w:r>
              <w:rPr>
                <w:rtl/>
                <w:lang w:eastAsia="en-US"/>
              </w:rPr>
              <w:t>1996</w:t>
            </w:r>
          </w:p>
          <w:p w:rsidR="00000000" w:rsidRDefault="00000000">
            <w:pPr>
              <w:spacing w:line="340" w:lineRule="exact"/>
              <w:rPr>
                <w:rtl/>
                <w:lang w:eastAsia="en-US"/>
              </w:rPr>
            </w:pPr>
            <w:r>
              <w:rPr>
                <w:rtl/>
                <w:lang w:eastAsia="en-US"/>
              </w:rPr>
              <w:t>1997</w:t>
            </w:r>
          </w:p>
          <w:p w:rsidR="00000000" w:rsidRDefault="00000000">
            <w:pPr>
              <w:spacing w:line="340" w:lineRule="exact"/>
              <w:rPr>
                <w:rtl/>
                <w:lang w:eastAsia="en-US"/>
              </w:rPr>
            </w:pPr>
            <w:r>
              <w:rPr>
                <w:rtl/>
                <w:lang w:eastAsia="en-US"/>
              </w:rPr>
              <w:t>1998</w:t>
            </w:r>
          </w:p>
        </w:tc>
        <w:tc>
          <w:tcPr>
            <w:tcW w:w="2127" w:type="dxa"/>
            <w:tcBorders>
              <w:bottom w:val="nil"/>
            </w:tcBorders>
          </w:tcPr>
          <w:p w:rsidR="00000000" w:rsidRDefault="00000000">
            <w:pPr>
              <w:spacing w:line="340" w:lineRule="exact"/>
              <w:rPr>
                <w:rtl/>
                <w:lang w:eastAsia="en-US"/>
              </w:rPr>
            </w:pPr>
            <w:r>
              <w:rPr>
                <w:rtl/>
                <w:lang w:eastAsia="en-US"/>
              </w:rPr>
              <w:tab/>
              <w:t>97</w:t>
            </w:r>
          </w:p>
          <w:p w:rsidR="00000000" w:rsidRDefault="00000000">
            <w:pPr>
              <w:spacing w:line="340" w:lineRule="exact"/>
              <w:rPr>
                <w:rtl/>
                <w:lang w:eastAsia="en-US"/>
              </w:rPr>
            </w:pPr>
            <w:r>
              <w:rPr>
                <w:rtl/>
                <w:lang w:eastAsia="en-US"/>
              </w:rPr>
              <w:tab/>
              <w:t>96</w:t>
            </w:r>
          </w:p>
          <w:p w:rsidR="00000000" w:rsidRDefault="00000000">
            <w:pPr>
              <w:spacing w:line="340" w:lineRule="exact"/>
              <w:rPr>
                <w:rtl/>
                <w:lang w:eastAsia="en-US"/>
              </w:rPr>
            </w:pPr>
            <w:r>
              <w:rPr>
                <w:rtl/>
                <w:lang w:eastAsia="en-US"/>
              </w:rPr>
              <w:tab/>
              <w:t>99</w:t>
            </w:r>
          </w:p>
          <w:p w:rsidR="00000000" w:rsidRDefault="00000000">
            <w:pPr>
              <w:spacing w:line="340" w:lineRule="exact"/>
              <w:rPr>
                <w:rtl/>
                <w:lang w:eastAsia="en-US"/>
              </w:rPr>
            </w:pPr>
            <w:r>
              <w:rPr>
                <w:rtl/>
                <w:lang w:eastAsia="en-US"/>
              </w:rPr>
              <w:tab/>
              <w:t>94</w:t>
            </w:r>
          </w:p>
          <w:p w:rsidR="00000000" w:rsidRDefault="00000000">
            <w:pPr>
              <w:spacing w:line="340" w:lineRule="exact"/>
              <w:rPr>
                <w:rtl/>
                <w:lang w:eastAsia="en-US"/>
              </w:rPr>
            </w:pPr>
            <w:r>
              <w:rPr>
                <w:rtl/>
                <w:lang w:eastAsia="en-US"/>
              </w:rPr>
              <w:tab/>
              <w:t>100</w:t>
            </w:r>
          </w:p>
        </w:tc>
        <w:tc>
          <w:tcPr>
            <w:tcW w:w="2268" w:type="dxa"/>
            <w:tcBorders>
              <w:bottom w:val="nil"/>
            </w:tcBorders>
          </w:tcPr>
          <w:p w:rsidR="00000000" w:rsidRDefault="00000000">
            <w:pPr>
              <w:spacing w:line="340" w:lineRule="exact"/>
              <w:rPr>
                <w:rtl/>
                <w:lang w:eastAsia="en-US"/>
              </w:rPr>
            </w:pPr>
            <w:r>
              <w:rPr>
                <w:rtl/>
                <w:lang w:eastAsia="en-US"/>
              </w:rPr>
              <w:tab/>
              <w:t>6</w:t>
            </w:r>
          </w:p>
          <w:p w:rsidR="00000000" w:rsidRDefault="00000000">
            <w:pPr>
              <w:spacing w:line="340" w:lineRule="exact"/>
              <w:rPr>
                <w:rtl/>
                <w:lang w:eastAsia="en-US"/>
              </w:rPr>
            </w:pPr>
            <w:r>
              <w:rPr>
                <w:rtl/>
                <w:lang w:eastAsia="en-US"/>
              </w:rPr>
              <w:tab/>
              <w:t>6</w:t>
            </w:r>
          </w:p>
          <w:p w:rsidR="00000000" w:rsidRDefault="00000000">
            <w:pPr>
              <w:spacing w:line="340" w:lineRule="exact"/>
              <w:rPr>
                <w:rtl/>
                <w:lang w:eastAsia="en-US"/>
              </w:rPr>
            </w:pPr>
            <w:r>
              <w:rPr>
                <w:rtl/>
                <w:lang w:eastAsia="en-US"/>
              </w:rPr>
              <w:tab/>
              <w:t>9</w:t>
            </w:r>
          </w:p>
          <w:p w:rsidR="00000000" w:rsidRDefault="00000000">
            <w:pPr>
              <w:spacing w:line="340" w:lineRule="exact"/>
              <w:rPr>
                <w:rtl/>
                <w:lang w:eastAsia="en-US"/>
              </w:rPr>
            </w:pPr>
            <w:r>
              <w:rPr>
                <w:rtl/>
                <w:lang w:eastAsia="en-US"/>
              </w:rPr>
              <w:tab/>
              <w:t>10</w:t>
            </w:r>
          </w:p>
          <w:p w:rsidR="00000000" w:rsidRDefault="00000000">
            <w:pPr>
              <w:spacing w:line="340" w:lineRule="exact"/>
              <w:rPr>
                <w:rtl/>
                <w:lang w:eastAsia="en-US"/>
              </w:rPr>
            </w:pPr>
            <w:r>
              <w:rPr>
                <w:rtl/>
                <w:lang w:eastAsia="en-US"/>
              </w:rPr>
              <w:tab/>
              <w:t>11</w:t>
            </w:r>
          </w:p>
        </w:tc>
        <w:tc>
          <w:tcPr>
            <w:tcW w:w="1701" w:type="dxa"/>
            <w:tcBorders>
              <w:bottom w:val="nil"/>
            </w:tcBorders>
          </w:tcPr>
          <w:p w:rsidR="00000000" w:rsidRDefault="00000000">
            <w:pPr>
              <w:spacing w:line="340" w:lineRule="exact"/>
              <w:rPr>
                <w:rtl/>
                <w:lang w:eastAsia="en-US"/>
              </w:rPr>
            </w:pPr>
            <w:r>
              <w:rPr>
                <w:rtl/>
                <w:lang w:eastAsia="en-US"/>
              </w:rPr>
              <w:tab/>
              <w:t>6.2</w:t>
            </w:r>
          </w:p>
          <w:p w:rsidR="00000000" w:rsidRDefault="00000000">
            <w:pPr>
              <w:spacing w:line="340" w:lineRule="exact"/>
              <w:rPr>
                <w:rtl/>
                <w:lang w:eastAsia="en-US"/>
              </w:rPr>
            </w:pPr>
            <w:r>
              <w:rPr>
                <w:rtl/>
                <w:lang w:eastAsia="en-US"/>
              </w:rPr>
              <w:tab/>
              <w:t>6.2</w:t>
            </w:r>
          </w:p>
          <w:p w:rsidR="00000000" w:rsidRDefault="00000000">
            <w:pPr>
              <w:spacing w:line="340" w:lineRule="exact"/>
              <w:rPr>
                <w:rtl/>
                <w:lang w:eastAsia="en-US"/>
              </w:rPr>
            </w:pPr>
            <w:r>
              <w:rPr>
                <w:rtl/>
                <w:lang w:eastAsia="en-US"/>
              </w:rPr>
              <w:tab/>
              <w:t>9.1</w:t>
            </w:r>
          </w:p>
          <w:p w:rsidR="00000000" w:rsidRDefault="00000000">
            <w:pPr>
              <w:spacing w:line="340" w:lineRule="exact"/>
              <w:rPr>
                <w:rtl/>
                <w:lang w:eastAsia="en-US"/>
              </w:rPr>
            </w:pPr>
            <w:r>
              <w:rPr>
                <w:rtl/>
                <w:lang w:eastAsia="en-US"/>
              </w:rPr>
              <w:tab/>
              <w:t>10.6</w:t>
            </w:r>
          </w:p>
          <w:p w:rsidR="00000000" w:rsidRDefault="00000000">
            <w:pPr>
              <w:spacing w:line="340" w:lineRule="exact"/>
              <w:rPr>
                <w:rtl/>
                <w:lang w:eastAsia="en-US"/>
              </w:rPr>
            </w:pPr>
            <w:r>
              <w:rPr>
                <w:rtl/>
                <w:lang w:eastAsia="en-US"/>
              </w:rPr>
              <w:tab/>
              <w:t>11.0</w:t>
            </w:r>
          </w:p>
        </w:tc>
      </w:tr>
      <w:tr w:rsidR="00000000">
        <w:tblPrEx>
          <w:tblCellMar>
            <w:top w:w="0" w:type="dxa"/>
            <w:bottom w:w="0" w:type="dxa"/>
          </w:tblCellMar>
        </w:tblPrEx>
        <w:trPr>
          <w:cantSplit/>
        </w:trPr>
        <w:tc>
          <w:tcPr>
            <w:tcW w:w="8505" w:type="dxa"/>
            <w:gridSpan w:val="4"/>
            <w:tcBorders>
              <w:left w:val="nil"/>
            </w:tcBorders>
          </w:tcPr>
          <w:p w:rsidR="00000000" w:rsidRDefault="00000000">
            <w:pPr>
              <w:spacing w:line="340" w:lineRule="exact"/>
              <w:rPr>
                <w:rtl/>
                <w:lang w:eastAsia="en-US"/>
              </w:rPr>
            </w:pPr>
          </w:p>
        </w:tc>
      </w:tr>
      <w:tr w:rsidR="00000000">
        <w:tblPrEx>
          <w:tblCellMar>
            <w:top w:w="0" w:type="dxa"/>
            <w:bottom w:w="0" w:type="dxa"/>
          </w:tblCellMar>
        </w:tblPrEx>
        <w:trPr>
          <w:cantSplit/>
        </w:trPr>
        <w:tc>
          <w:tcPr>
            <w:tcW w:w="8505" w:type="dxa"/>
            <w:gridSpan w:val="4"/>
          </w:tcPr>
          <w:p w:rsidR="00000000" w:rsidRDefault="00000000">
            <w:pPr>
              <w:pStyle w:val="Heading2"/>
              <w:spacing w:line="340" w:lineRule="exact"/>
              <w:rPr>
                <w:rtl/>
              </w:rPr>
            </w:pPr>
            <w:r>
              <w:rPr>
                <w:rtl/>
              </w:rPr>
              <w:t>محكمة كيبيك</w:t>
            </w:r>
          </w:p>
        </w:tc>
      </w:tr>
      <w:tr w:rsidR="00000000">
        <w:tblPrEx>
          <w:tblCellMar>
            <w:top w:w="0" w:type="dxa"/>
            <w:bottom w:w="0" w:type="dxa"/>
          </w:tblCellMar>
        </w:tblPrEx>
        <w:tc>
          <w:tcPr>
            <w:tcW w:w="2409" w:type="dxa"/>
          </w:tcPr>
          <w:p w:rsidR="00000000" w:rsidRDefault="00000000">
            <w:pPr>
              <w:pStyle w:val="Heading3"/>
              <w:rPr>
                <w:rtl/>
              </w:rPr>
            </w:pPr>
            <w:r>
              <w:rPr>
                <w:rtl/>
              </w:rPr>
              <w:t>في 31 آذار/مارس 1998</w:t>
            </w:r>
          </w:p>
        </w:tc>
        <w:tc>
          <w:tcPr>
            <w:tcW w:w="2127" w:type="dxa"/>
          </w:tcPr>
          <w:p w:rsidR="00000000" w:rsidRDefault="00000000">
            <w:pPr>
              <w:pStyle w:val="H4"/>
              <w:keepLines w:val="0"/>
              <w:suppressAutoHyphens w:val="0"/>
              <w:spacing w:line="340" w:lineRule="exact"/>
              <w:rPr>
                <w:spacing w:val="0"/>
                <w:szCs w:val="24"/>
                <w:rtl/>
                <w:lang w:eastAsia="en-US"/>
              </w:rPr>
            </w:pPr>
            <w:r>
              <w:rPr>
                <w:spacing w:val="0"/>
                <w:szCs w:val="24"/>
                <w:rtl/>
                <w:lang w:eastAsia="en-US"/>
              </w:rPr>
              <w:t>المجموع الإجمالي لعدد القضاة</w:t>
            </w:r>
          </w:p>
        </w:tc>
        <w:tc>
          <w:tcPr>
            <w:tcW w:w="2268" w:type="dxa"/>
          </w:tcPr>
          <w:p w:rsidR="00000000" w:rsidRDefault="00000000">
            <w:pPr>
              <w:pStyle w:val="Heading3"/>
              <w:rPr>
                <w:rtl/>
              </w:rPr>
            </w:pPr>
            <w:r>
              <w:rPr>
                <w:rtl/>
              </w:rPr>
              <w:t>المجموع الإجمالي لعدد النساء</w:t>
            </w:r>
          </w:p>
        </w:tc>
        <w:tc>
          <w:tcPr>
            <w:tcW w:w="1701" w:type="dxa"/>
          </w:tcPr>
          <w:p w:rsidR="00000000" w:rsidRDefault="00000000">
            <w:pPr>
              <w:pStyle w:val="Heading3"/>
              <w:rPr>
                <w:rtl/>
              </w:rPr>
            </w:pPr>
            <w:r>
              <w:rPr>
                <w:rtl/>
              </w:rPr>
              <w:t>النسبة المئوية</w:t>
            </w:r>
          </w:p>
        </w:tc>
      </w:tr>
      <w:tr w:rsidR="00000000">
        <w:tblPrEx>
          <w:tblCellMar>
            <w:top w:w="0" w:type="dxa"/>
            <w:bottom w:w="0" w:type="dxa"/>
          </w:tblCellMar>
        </w:tblPrEx>
        <w:tc>
          <w:tcPr>
            <w:tcW w:w="2409" w:type="dxa"/>
          </w:tcPr>
          <w:p w:rsidR="00000000" w:rsidRDefault="00000000">
            <w:pPr>
              <w:spacing w:line="340" w:lineRule="exact"/>
              <w:rPr>
                <w:rtl/>
                <w:lang w:eastAsia="en-US"/>
              </w:rPr>
            </w:pPr>
            <w:r>
              <w:rPr>
                <w:rtl/>
                <w:lang w:eastAsia="en-US"/>
              </w:rPr>
              <w:t>1994</w:t>
            </w:r>
          </w:p>
          <w:p w:rsidR="00000000" w:rsidRDefault="00000000">
            <w:pPr>
              <w:spacing w:line="340" w:lineRule="exact"/>
              <w:rPr>
                <w:rtl/>
                <w:lang w:eastAsia="en-US"/>
              </w:rPr>
            </w:pPr>
            <w:r>
              <w:rPr>
                <w:rtl/>
                <w:lang w:eastAsia="en-US"/>
              </w:rPr>
              <w:t>1995</w:t>
            </w:r>
          </w:p>
          <w:p w:rsidR="00000000" w:rsidRDefault="00000000">
            <w:pPr>
              <w:spacing w:line="340" w:lineRule="exact"/>
              <w:rPr>
                <w:rtl/>
                <w:lang w:eastAsia="en-US"/>
              </w:rPr>
            </w:pPr>
            <w:r>
              <w:rPr>
                <w:rtl/>
                <w:lang w:eastAsia="en-US"/>
              </w:rPr>
              <w:t>1996</w:t>
            </w:r>
          </w:p>
          <w:p w:rsidR="00000000" w:rsidRDefault="00000000">
            <w:pPr>
              <w:spacing w:line="340" w:lineRule="exact"/>
              <w:rPr>
                <w:rtl/>
                <w:lang w:eastAsia="en-US"/>
              </w:rPr>
            </w:pPr>
            <w:r>
              <w:rPr>
                <w:rtl/>
                <w:lang w:eastAsia="en-US"/>
              </w:rPr>
              <w:t>1997</w:t>
            </w:r>
          </w:p>
          <w:p w:rsidR="00000000" w:rsidRDefault="00000000">
            <w:pPr>
              <w:spacing w:line="340" w:lineRule="exact"/>
              <w:rPr>
                <w:rtl/>
                <w:lang w:eastAsia="en-US"/>
              </w:rPr>
            </w:pPr>
            <w:r>
              <w:rPr>
                <w:rtl/>
                <w:lang w:eastAsia="en-US"/>
              </w:rPr>
              <w:t>1998</w:t>
            </w:r>
          </w:p>
        </w:tc>
        <w:tc>
          <w:tcPr>
            <w:tcW w:w="2127" w:type="dxa"/>
          </w:tcPr>
          <w:p w:rsidR="00000000" w:rsidRDefault="00000000">
            <w:pPr>
              <w:spacing w:line="340" w:lineRule="exact"/>
              <w:jc w:val="center"/>
              <w:rPr>
                <w:rtl/>
                <w:lang w:eastAsia="en-US"/>
              </w:rPr>
            </w:pPr>
            <w:r>
              <w:rPr>
                <w:rtl/>
                <w:lang w:eastAsia="en-US"/>
              </w:rPr>
              <w:t>290</w:t>
            </w:r>
          </w:p>
          <w:p w:rsidR="00000000" w:rsidRDefault="00000000">
            <w:pPr>
              <w:spacing w:line="340" w:lineRule="exact"/>
              <w:jc w:val="center"/>
              <w:rPr>
                <w:rtl/>
                <w:lang w:eastAsia="en-US"/>
              </w:rPr>
            </w:pPr>
            <w:r>
              <w:rPr>
                <w:rtl/>
                <w:lang w:eastAsia="en-US"/>
              </w:rPr>
              <w:t>290</w:t>
            </w:r>
          </w:p>
          <w:p w:rsidR="00000000" w:rsidRDefault="00000000">
            <w:pPr>
              <w:spacing w:line="340" w:lineRule="exact"/>
              <w:jc w:val="center"/>
              <w:rPr>
                <w:rtl/>
                <w:lang w:eastAsia="en-US"/>
              </w:rPr>
            </w:pPr>
            <w:r>
              <w:rPr>
                <w:rtl/>
                <w:lang w:eastAsia="en-US"/>
              </w:rPr>
              <w:t>290</w:t>
            </w:r>
          </w:p>
          <w:p w:rsidR="00000000" w:rsidRDefault="00000000">
            <w:pPr>
              <w:spacing w:line="340" w:lineRule="exact"/>
              <w:jc w:val="center"/>
              <w:rPr>
                <w:rtl/>
                <w:lang w:eastAsia="en-US"/>
              </w:rPr>
            </w:pPr>
            <w:r>
              <w:rPr>
                <w:rtl/>
                <w:lang w:eastAsia="en-US"/>
              </w:rPr>
              <w:t>290</w:t>
            </w:r>
          </w:p>
          <w:p w:rsidR="00000000" w:rsidRDefault="00000000">
            <w:pPr>
              <w:spacing w:line="340" w:lineRule="exact"/>
              <w:jc w:val="center"/>
              <w:rPr>
                <w:rtl/>
                <w:lang w:eastAsia="en-US"/>
              </w:rPr>
            </w:pPr>
            <w:r>
              <w:rPr>
                <w:rtl/>
                <w:lang w:eastAsia="en-US"/>
              </w:rPr>
              <w:t>270</w:t>
            </w:r>
          </w:p>
        </w:tc>
        <w:tc>
          <w:tcPr>
            <w:tcW w:w="2268" w:type="dxa"/>
          </w:tcPr>
          <w:p w:rsidR="00000000" w:rsidRDefault="00000000">
            <w:pPr>
              <w:spacing w:line="340" w:lineRule="exact"/>
              <w:jc w:val="center"/>
              <w:rPr>
                <w:rtl/>
                <w:lang w:eastAsia="en-US"/>
              </w:rPr>
            </w:pPr>
            <w:r>
              <w:rPr>
                <w:rtl/>
                <w:lang w:eastAsia="en-US"/>
              </w:rPr>
              <w:t>37</w:t>
            </w:r>
          </w:p>
          <w:p w:rsidR="00000000" w:rsidRDefault="00000000">
            <w:pPr>
              <w:spacing w:line="340" w:lineRule="exact"/>
              <w:jc w:val="center"/>
              <w:rPr>
                <w:rtl/>
                <w:lang w:eastAsia="en-US"/>
              </w:rPr>
            </w:pPr>
            <w:r>
              <w:rPr>
                <w:rtl/>
                <w:lang w:eastAsia="en-US"/>
              </w:rPr>
              <w:t>41</w:t>
            </w:r>
          </w:p>
          <w:p w:rsidR="00000000" w:rsidRDefault="00000000">
            <w:pPr>
              <w:spacing w:line="340" w:lineRule="exact"/>
              <w:jc w:val="center"/>
              <w:rPr>
                <w:rtl/>
                <w:lang w:eastAsia="en-US"/>
              </w:rPr>
            </w:pPr>
            <w:r>
              <w:rPr>
                <w:rtl/>
                <w:lang w:eastAsia="en-US"/>
              </w:rPr>
              <w:t>46</w:t>
            </w:r>
          </w:p>
          <w:p w:rsidR="00000000" w:rsidRDefault="00000000">
            <w:pPr>
              <w:spacing w:line="340" w:lineRule="exact"/>
              <w:jc w:val="center"/>
              <w:rPr>
                <w:rtl/>
                <w:lang w:eastAsia="en-US"/>
              </w:rPr>
            </w:pPr>
            <w:r>
              <w:rPr>
                <w:rtl/>
                <w:lang w:eastAsia="en-US"/>
              </w:rPr>
              <w:t>49</w:t>
            </w:r>
          </w:p>
          <w:p w:rsidR="00000000" w:rsidRDefault="00000000">
            <w:pPr>
              <w:spacing w:line="340" w:lineRule="exact"/>
              <w:jc w:val="center"/>
              <w:rPr>
                <w:rtl/>
                <w:lang w:eastAsia="en-US"/>
              </w:rPr>
            </w:pPr>
            <w:r>
              <w:rPr>
                <w:rtl/>
                <w:lang w:eastAsia="en-US"/>
              </w:rPr>
              <w:t>49</w:t>
            </w:r>
          </w:p>
        </w:tc>
        <w:tc>
          <w:tcPr>
            <w:tcW w:w="1701" w:type="dxa"/>
          </w:tcPr>
          <w:p w:rsidR="00000000" w:rsidRDefault="00000000">
            <w:pPr>
              <w:spacing w:line="340" w:lineRule="exact"/>
              <w:jc w:val="center"/>
              <w:rPr>
                <w:rtl/>
                <w:lang w:eastAsia="en-US"/>
              </w:rPr>
            </w:pPr>
            <w:r>
              <w:rPr>
                <w:rtl/>
                <w:lang w:eastAsia="en-US"/>
              </w:rPr>
              <w:t>12.8</w:t>
            </w:r>
          </w:p>
          <w:p w:rsidR="00000000" w:rsidRDefault="00000000">
            <w:pPr>
              <w:spacing w:line="340" w:lineRule="exact"/>
              <w:jc w:val="center"/>
              <w:rPr>
                <w:rtl/>
                <w:lang w:eastAsia="en-US"/>
              </w:rPr>
            </w:pPr>
            <w:r>
              <w:rPr>
                <w:rtl/>
                <w:lang w:eastAsia="en-US"/>
              </w:rPr>
              <w:t>14.1</w:t>
            </w:r>
          </w:p>
          <w:p w:rsidR="00000000" w:rsidRDefault="00000000">
            <w:pPr>
              <w:spacing w:line="340" w:lineRule="exact"/>
              <w:jc w:val="center"/>
              <w:rPr>
                <w:rtl/>
                <w:lang w:eastAsia="en-US"/>
              </w:rPr>
            </w:pPr>
            <w:r>
              <w:rPr>
                <w:rtl/>
                <w:lang w:eastAsia="en-US"/>
              </w:rPr>
              <w:t>15.9</w:t>
            </w:r>
          </w:p>
          <w:p w:rsidR="00000000" w:rsidRDefault="00000000">
            <w:pPr>
              <w:spacing w:line="340" w:lineRule="exact"/>
              <w:jc w:val="center"/>
              <w:rPr>
                <w:rtl/>
                <w:lang w:eastAsia="en-US"/>
              </w:rPr>
            </w:pPr>
            <w:r>
              <w:rPr>
                <w:rtl/>
                <w:lang w:eastAsia="en-US"/>
              </w:rPr>
              <w:t>16.9</w:t>
            </w:r>
          </w:p>
          <w:p w:rsidR="00000000" w:rsidRDefault="00000000">
            <w:pPr>
              <w:spacing w:line="340" w:lineRule="exact"/>
              <w:jc w:val="center"/>
              <w:rPr>
                <w:rtl/>
                <w:lang w:eastAsia="en-US"/>
              </w:rPr>
            </w:pPr>
            <w:r>
              <w:rPr>
                <w:rtl/>
                <w:lang w:eastAsia="en-US"/>
              </w:rPr>
              <w:t>18.2</w:t>
            </w:r>
          </w:p>
        </w:tc>
      </w:tr>
      <w:tr w:rsidR="00000000">
        <w:tblPrEx>
          <w:tblCellMar>
            <w:top w:w="0" w:type="dxa"/>
            <w:bottom w:w="0" w:type="dxa"/>
          </w:tblCellMar>
        </w:tblPrEx>
        <w:trPr>
          <w:cantSplit/>
        </w:trPr>
        <w:tc>
          <w:tcPr>
            <w:tcW w:w="8505" w:type="dxa"/>
            <w:gridSpan w:val="4"/>
          </w:tcPr>
          <w:p w:rsidR="00000000" w:rsidRDefault="00000000">
            <w:pPr>
              <w:spacing w:line="340" w:lineRule="exact"/>
              <w:rPr>
                <w:rtl/>
                <w:lang w:eastAsia="en-US"/>
              </w:rPr>
            </w:pPr>
          </w:p>
        </w:tc>
      </w:tr>
      <w:tr w:rsidR="00000000">
        <w:tblPrEx>
          <w:tblCellMar>
            <w:top w:w="0" w:type="dxa"/>
            <w:bottom w:w="0" w:type="dxa"/>
          </w:tblCellMar>
        </w:tblPrEx>
        <w:trPr>
          <w:cantSplit/>
        </w:trPr>
        <w:tc>
          <w:tcPr>
            <w:tcW w:w="8505" w:type="dxa"/>
            <w:gridSpan w:val="4"/>
          </w:tcPr>
          <w:p w:rsidR="00000000" w:rsidRDefault="00000000">
            <w:pPr>
              <w:pStyle w:val="Heading2"/>
              <w:spacing w:line="340" w:lineRule="exact"/>
              <w:rPr>
                <w:rtl/>
              </w:rPr>
            </w:pPr>
            <w:r>
              <w:rPr>
                <w:rtl/>
              </w:rPr>
              <w:t>محكمة الدرجة الأعلى</w:t>
            </w:r>
          </w:p>
        </w:tc>
      </w:tr>
      <w:tr w:rsidR="00000000">
        <w:tblPrEx>
          <w:tblCellMar>
            <w:top w:w="0" w:type="dxa"/>
            <w:bottom w:w="0" w:type="dxa"/>
          </w:tblCellMar>
        </w:tblPrEx>
        <w:tc>
          <w:tcPr>
            <w:tcW w:w="2409" w:type="dxa"/>
          </w:tcPr>
          <w:p w:rsidR="00000000" w:rsidRDefault="00000000">
            <w:pPr>
              <w:pStyle w:val="Heading3"/>
              <w:rPr>
                <w:rtl/>
              </w:rPr>
            </w:pPr>
            <w:r>
              <w:rPr>
                <w:rtl/>
              </w:rPr>
              <w:t>في 31 آذار/مارس 1998</w:t>
            </w:r>
          </w:p>
        </w:tc>
        <w:tc>
          <w:tcPr>
            <w:tcW w:w="2127" w:type="dxa"/>
          </w:tcPr>
          <w:p w:rsidR="00000000" w:rsidRDefault="00000000">
            <w:pPr>
              <w:pStyle w:val="H4"/>
              <w:keepLines w:val="0"/>
              <w:suppressAutoHyphens w:val="0"/>
              <w:spacing w:line="340" w:lineRule="exact"/>
              <w:rPr>
                <w:spacing w:val="0"/>
                <w:szCs w:val="24"/>
                <w:rtl/>
                <w:lang w:eastAsia="en-US"/>
              </w:rPr>
            </w:pPr>
            <w:r>
              <w:rPr>
                <w:spacing w:val="0"/>
                <w:szCs w:val="24"/>
                <w:rtl/>
                <w:lang w:eastAsia="en-US"/>
              </w:rPr>
              <w:t>المجموع الإجمالي لعدد القضاة</w:t>
            </w:r>
          </w:p>
        </w:tc>
        <w:tc>
          <w:tcPr>
            <w:tcW w:w="2268" w:type="dxa"/>
          </w:tcPr>
          <w:p w:rsidR="00000000" w:rsidRDefault="00000000">
            <w:pPr>
              <w:pStyle w:val="Heading3"/>
              <w:rPr>
                <w:rtl/>
              </w:rPr>
            </w:pPr>
            <w:r>
              <w:rPr>
                <w:rtl/>
              </w:rPr>
              <w:t>المجموع الإجمالي لعدد النساء</w:t>
            </w:r>
          </w:p>
        </w:tc>
        <w:tc>
          <w:tcPr>
            <w:tcW w:w="1701" w:type="dxa"/>
          </w:tcPr>
          <w:p w:rsidR="00000000" w:rsidRDefault="00000000">
            <w:pPr>
              <w:pStyle w:val="Heading3"/>
              <w:rPr>
                <w:rtl/>
              </w:rPr>
            </w:pPr>
            <w:r>
              <w:rPr>
                <w:rtl/>
              </w:rPr>
              <w:t>النسبة المئوية</w:t>
            </w:r>
          </w:p>
        </w:tc>
      </w:tr>
      <w:tr w:rsidR="00000000">
        <w:tblPrEx>
          <w:tblCellMar>
            <w:top w:w="0" w:type="dxa"/>
            <w:bottom w:w="0" w:type="dxa"/>
          </w:tblCellMar>
        </w:tblPrEx>
        <w:tc>
          <w:tcPr>
            <w:tcW w:w="2409" w:type="dxa"/>
          </w:tcPr>
          <w:p w:rsidR="00000000" w:rsidRDefault="00000000">
            <w:pPr>
              <w:spacing w:line="340" w:lineRule="exact"/>
              <w:rPr>
                <w:rtl/>
                <w:lang w:eastAsia="en-US"/>
              </w:rPr>
            </w:pPr>
            <w:r>
              <w:rPr>
                <w:rtl/>
                <w:lang w:eastAsia="en-US"/>
              </w:rPr>
              <w:t>1994</w:t>
            </w:r>
          </w:p>
          <w:p w:rsidR="00000000" w:rsidRDefault="00000000">
            <w:pPr>
              <w:spacing w:line="340" w:lineRule="exact"/>
              <w:rPr>
                <w:rtl/>
                <w:lang w:eastAsia="en-US"/>
              </w:rPr>
            </w:pPr>
            <w:r>
              <w:rPr>
                <w:rtl/>
                <w:lang w:eastAsia="en-US"/>
              </w:rPr>
              <w:t>1995</w:t>
            </w:r>
          </w:p>
          <w:p w:rsidR="00000000" w:rsidRDefault="00000000">
            <w:pPr>
              <w:spacing w:line="340" w:lineRule="exact"/>
              <w:rPr>
                <w:rtl/>
                <w:lang w:eastAsia="en-US"/>
              </w:rPr>
            </w:pPr>
            <w:r>
              <w:rPr>
                <w:rtl/>
                <w:lang w:eastAsia="en-US"/>
              </w:rPr>
              <w:t>1996</w:t>
            </w:r>
          </w:p>
          <w:p w:rsidR="00000000" w:rsidRDefault="00000000">
            <w:pPr>
              <w:spacing w:line="340" w:lineRule="exact"/>
              <w:rPr>
                <w:rtl/>
                <w:lang w:eastAsia="en-US"/>
              </w:rPr>
            </w:pPr>
            <w:r>
              <w:rPr>
                <w:rtl/>
                <w:lang w:eastAsia="en-US"/>
              </w:rPr>
              <w:t>1997</w:t>
            </w:r>
          </w:p>
          <w:p w:rsidR="00000000" w:rsidRDefault="00000000">
            <w:pPr>
              <w:spacing w:line="340" w:lineRule="exact"/>
              <w:rPr>
                <w:rtl/>
                <w:lang w:eastAsia="en-US"/>
              </w:rPr>
            </w:pPr>
            <w:r>
              <w:rPr>
                <w:rtl/>
                <w:lang w:eastAsia="en-US"/>
              </w:rPr>
              <w:t>1998</w:t>
            </w:r>
          </w:p>
        </w:tc>
        <w:tc>
          <w:tcPr>
            <w:tcW w:w="2127" w:type="dxa"/>
          </w:tcPr>
          <w:p w:rsidR="00000000" w:rsidRDefault="00000000">
            <w:pPr>
              <w:spacing w:line="340" w:lineRule="exact"/>
              <w:jc w:val="center"/>
              <w:rPr>
                <w:rtl/>
                <w:lang w:eastAsia="en-US"/>
              </w:rPr>
            </w:pPr>
            <w:r>
              <w:rPr>
                <w:rtl/>
                <w:lang w:eastAsia="en-US"/>
              </w:rPr>
              <w:t>143</w:t>
            </w:r>
          </w:p>
          <w:p w:rsidR="00000000" w:rsidRDefault="00000000">
            <w:pPr>
              <w:spacing w:line="340" w:lineRule="exact"/>
              <w:jc w:val="center"/>
              <w:rPr>
                <w:rtl/>
                <w:lang w:eastAsia="en-US"/>
              </w:rPr>
            </w:pPr>
            <w:r>
              <w:rPr>
                <w:rtl/>
                <w:lang w:eastAsia="en-US"/>
              </w:rPr>
              <w:t>143</w:t>
            </w:r>
          </w:p>
          <w:p w:rsidR="00000000" w:rsidRDefault="00000000">
            <w:pPr>
              <w:spacing w:line="340" w:lineRule="exact"/>
              <w:jc w:val="center"/>
              <w:rPr>
                <w:rtl/>
                <w:lang w:eastAsia="en-US"/>
              </w:rPr>
            </w:pPr>
            <w:r>
              <w:rPr>
                <w:rtl/>
                <w:lang w:eastAsia="en-US"/>
              </w:rPr>
              <w:t>143</w:t>
            </w:r>
          </w:p>
          <w:p w:rsidR="00000000" w:rsidRDefault="00000000">
            <w:pPr>
              <w:spacing w:line="340" w:lineRule="exact"/>
              <w:jc w:val="center"/>
              <w:rPr>
                <w:rtl/>
                <w:lang w:eastAsia="en-US"/>
              </w:rPr>
            </w:pPr>
            <w:r>
              <w:rPr>
                <w:rtl/>
                <w:lang w:eastAsia="en-US"/>
              </w:rPr>
              <w:t>143</w:t>
            </w:r>
          </w:p>
          <w:p w:rsidR="00000000" w:rsidRDefault="00000000">
            <w:pPr>
              <w:spacing w:line="340" w:lineRule="exact"/>
              <w:jc w:val="center"/>
              <w:rPr>
                <w:rtl/>
                <w:lang w:eastAsia="en-US"/>
              </w:rPr>
            </w:pPr>
            <w:r>
              <w:rPr>
                <w:rtl/>
                <w:lang w:eastAsia="en-US"/>
              </w:rPr>
              <w:t>143</w:t>
            </w:r>
          </w:p>
        </w:tc>
        <w:tc>
          <w:tcPr>
            <w:tcW w:w="2268" w:type="dxa"/>
          </w:tcPr>
          <w:p w:rsidR="00000000" w:rsidRDefault="00000000">
            <w:pPr>
              <w:spacing w:line="340" w:lineRule="exact"/>
              <w:jc w:val="center"/>
              <w:rPr>
                <w:rtl/>
                <w:lang w:eastAsia="en-US"/>
              </w:rPr>
            </w:pPr>
            <w:r>
              <w:rPr>
                <w:rtl/>
                <w:lang w:eastAsia="en-US"/>
              </w:rPr>
              <w:t>17</w:t>
            </w:r>
          </w:p>
          <w:p w:rsidR="00000000" w:rsidRDefault="00000000">
            <w:pPr>
              <w:spacing w:line="340" w:lineRule="exact"/>
              <w:jc w:val="center"/>
              <w:rPr>
                <w:rtl/>
                <w:lang w:eastAsia="en-US"/>
              </w:rPr>
            </w:pPr>
            <w:r>
              <w:rPr>
                <w:rtl/>
                <w:lang w:eastAsia="en-US"/>
              </w:rPr>
              <w:t>20</w:t>
            </w:r>
          </w:p>
          <w:p w:rsidR="00000000" w:rsidRDefault="00000000">
            <w:pPr>
              <w:spacing w:line="340" w:lineRule="exact"/>
              <w:jc w:val="center"/>
              <w:rPr>
                <w:rtl/>
                <w:lang w:eastAsia="en-US"/>
              </w:rPr>
            </w:pPr>
            <w:r>
              <w:rPr>
                <w:rtl/>
                <w:lang w:eastAsia="en-US"/>
              </w:rPr>
              <w:t>22</w:t>
            </w:r>
          </w:p>
          <w:p w:rsidR="00000000" w:rsidRDefault="00000000">
            <w:pPr>
              <w:spacing w:line="340" w:lineRule="exact"/>
              <w:jc w:val="center"/>
              <w:rPr>
                <w:rtl/>
                <w:lang w:eastAsia="en-US"/>
              </w:rPr>
            </w:pPr>
            <w:r>
              <w:rPr>
                <w:rtl/>
                <w:lang w:eastAsia="en-US"/>
              </w:rPr>
              <w:t>24</w:t>
            </w:r>
          </w:p>
          <w:p w:rsidR="00000000" w:rsidRDefault="00000000">
            <w:pPr>
              <w:spacing w:line="340" w:lineRule="exact"/>
              <w:jc w:val="center"/>
              <w:rPr>
                <w:rtl/>
                <w:lang w:eastAsia="en-US"/>
              </w:rPr>
            </w:pPr>
            <w:r>
              <w:rPr>
                <w:rtl/>
                <w:lang w:eastAsia="en-US"/>
              </w:rPr>
              <w:t>26</w:t>
            </w:r>
          </w:p>
        </w:tc>
        <w:tc>
          <w:tcPr>
            <w:tcW w:w="1701" w:type="dxa"/>
          </w:tcPr>
          <w:p w:rsidR="00000000" w:rsidRDefault="00000000">
            <w:pPr>
              <w:spacing w:line="340" w:lineRule="exact"/>
              <w:jc w:val="center"/>
              <w:rPr>
                <w:rtl/>
                <w:lang w:eastAsia="en-US"/>
              </w:rPr>
            </w:pPr>
            <w:r>
              <w:rPr>
                <w:rtl/>
                <w:lang w:eastAsia="en-US"/>
              </w:rPr>
              <w:t>11.9</w:t>
            </w:r>
          </w:p>
          <w:p w:rsidR="00000000" w:rsidRDefault="00000000">
            <w:pPr>
              <w:spacing w:line="340" w:lineRule="exact"/>
              <w:jc w:val="center"/>
              <w:rPr>
                <w:rtl/>
                <w:lang w:eastAsia="en-US"/>
              </w:rPr>
            </w:pPr>
            <w:r>
              <w:rPr>
                <w:rtl/>
                <w:lang w:eastAsia="en-US"/>
              </w:rPr>
              <w:t>14.0</w:t>
            </w:r>
          </w:p>
          <w:p w:rsidR="00000000" w:rsidRDefault="00000000">
            <w:pPr>
              <w:spacing w:line="340" w:lineRule="exact"/>
              <w:jc w:val="center"/>
              <w:rPr>
                <w:rtl/>
                <w:lang w:eastAsia="en-US"/>
              </w:rPr>
            </w:pPr>
            <w:r>
              <w:rPr>
                <w:rtl/>
                <w:lang w:eastAsia="en-US"/>
              </w:rPr>
              <w:t>15.4</w:t>
            </w:r>
          </w:p>
          <w:p w:rsidR="00000000" w:rsidRDefault="00000000">
            <w:pPr>
              <w:spacing w:line="340" w:lineRule="exact"/>
              <w:jc w:val="center"/>
              <w:rPr>
                <w:rtl/>
                <w:lang w:eastAsia="en-US"/>
              </w:rPr>
            </w:pPr>
            <w:r>
              <w:rPr>
                <w:rtl/>
                <w:lang w:eastAsia="en-US"/>
              </w:rPr>
              <w:t>16.8</w:t>
            </w:r>
          </w:p>
          <w:p w:rsidR="00000000" w:rsidRDefault="00000000">
            <w:pPr>
              <w:spacing w:line="340" w:lineRule="exact"/>
              <w:jc w:val="center"/>
              <w:rPr>
                <w:rtl/>
                <w:lang w:eastAsia="en-US"/>
              </w:rPr>
            </w:pPr>
            <w:r>
              <w:rPr>
                <w:rtl/>
                <w:lang w:eastAsia="en-US"/>
              </w:rPr>
              <w:t>18.2</w:t>
            </w:r>
          </w:p>
        </w:tc>
      </w:tr>
      <w:tr w:rsidR="00000000">
        <w:tblPrEx>
          <w:tblCellMar>
            <w:top w:w="0" w:type="dxa"/>
            <w:bottom w:w="0" w:type="dxa"/>
          </w:tblCellMar>
        </w:tblPrEx>
        <w:trPr>
          <w:cantSplit/>
        </w:trPr>
        <w:tc>
          <w:tcPr>
            <w:tcW w:w="8505" w:type="dxa"/>
            <w:gridSpan w:val="4"/>
          </w:tcPr>
          <w:p w:rsidR="00000000" w:rsidRDefault="00000000">
            <w:pPr>
              <w:spacing w:line="340" w:lineRule="exact"/>
              <w:rPr>
                <w:rtl/>
                <w:lang w:eastAsia="en-US"/>
              </w:rPr>
            </w:pPr>
          </w:p>
        </w:tc>
      </w:tr>
      <w:tr w:rsidR="00000000">
        <w:tblPrEx>
          <w:tblCellMar>
            <w:top w:w="0" w:type="dxa"/>
            <w:bottom w:w="0" w:type="dxa"/>
          </w:tblCellMar>
        </w:tblPrEx>
        <w:trPr>
          <w:cantSplit/>
        </w:trPr>
        <w:tc>
          <w:tcPr>
            <w:tcW w:w="8505" w:type="dxa"/>
            <w:gridSpan w:val="4"/>
          </w:tcPr>
          <w:p w:rsidR="00000000" w:rsidRDefault="00000000">
            <w:pPr>
              <w:pStyle w:val="Heading2"/>
              <w:spacing w:line="340" w:lineRule="exact"/>
              <w:rPr>
                <w:rtl/>
              </w:rPr>
            </w:pPr>
            <w:r>
              <w:rPr>
                <w:rtl/>
              </w:rPr>
              <w:t>محكمة الاستئناف</w:t>
            </w:r>
          </w:p>
        </w:tc>
      </w:tr>
      <w:tr w:rsidR="00000000">
        <w:tblPrEx>
          <w:tblCellMar>
            <w:top w:w="0" w:type="dxa"/>
            <w:bottom w:w="0" w:type="dxa"/>
          </w:tblCellMar>
        </w:tblPrEx>
        <w:tc>
          <w:tcPr>
            <w:tcW w:w="2409" w:type="dxa"/>
          </w:tcPr>
          <w:p w:rsidR="00000000" w:rsidRDefault="00000000">
            <w:pPr>
              <w:pStyle w:val="Heading3"/>
              <w:rPr>
                <w:rtl/>
              </w:rPr>
            </w:pPr>
            <w:r>
              <w:rPr>
                <w:rtl/>
              </w:rPr>
              <w:t>في 31 آذار/مارس 1998</w:t>
            </w:r>
          </w:p>
        </w:tc>
        <w:tc>
          <w:tcPr>
            <w:tcW w:w="2127" w:type="dxa"/>
          </w:tcPr>
          <w:p w:rsidR="00000000" w:rsidRDefault="00000000">
            <w:pPr>
              <w:pStyle w:val="H4"/>
              <w:keepLines w:val="0"/>
              <w:suppressAutoHyphens w:val="0"/>
              <w:spacing w:line="340" w:lineRule="exact"/>
              <w:rPr>
                <w:spacing w:val="0"/>
                <w:szCs w:val="24"/>
                <w:rtl/>
                <w:lang w:eastAsia="en-US"/>
              </w:rPr>
            </w:pPr>
            <w:r>
              <w:rPr>
                <w:spacing w:val="0"/>
                <w:szCs w:val="24"/>
                <w:rtl/>
                <w:lang w:eastAsia="en-US"/>
              </w:rPr>
              <w:t>المجموع الإجمالي لعدد القضاة</w:t>
            </w:r>
          </w:p>
        </w:tc>
        <w:tc>
          <w:tcPr>
            <w:tcW w:w="2268" w:type="dxa"/>
          </w:tcPr>
          <w:p w:rsidR="00000000" w:rsidRDefault="00000000">
            <w:pPr>
              <w:pStyle w:val="Heading3"/>
              <w:rPr>
                <w:rtl/>
              </w:rPr>
            </w:pPr>
            <w:r>
              <w:rPr>
                <w:rtl/>
              </w:rPr>
              <w:t>المجموع الإجمالي لعدد النساء</w:t>
            </w:r>
          </w:p>
        </w:tc>
        <w:tc>
          <w:tcPr>
            <w:tcW w:w="1701" w:type="dxa"/>
          </w:tcPr>
          <w:p w:rsidR="00000000" w:rsidRDefault="00000000">
            <w:pPr>
              <w:pStyle w:val="Heading3"/>
              <w:rPr>
                <w:rtl/>
              </w:rPr>
            </w:pPr>
            <w:r>
              <w:rPr>
                <w:rtl/>
              </w:rPr>
              <w:t>النسبة المئوية</w:t>
            </w:r>
          </w:p>
        </w:tc>
      </w:tr>
      <w:tr w:rsidR="00000000">
        <w:tblPrEx>
          <w:tblCellMar>
            <w:top w:w="0" w:type="dxa"/>
            <w:bottom w:w="0" w:type="dxa"/>
          </w:tblCellMar>
        </w:tblPrEx>
        <w:tc>
          <w:tcPr>
            <w:tcW w:w="2409" w:type="dxa"/>
          </w:tcPr>
          <w:p w:rsidR="00000000" w:rsidRDefault="00000000">
            <w:pPr>
              <w:spacing w:line="340" w:lineRule="exact"/>
              <w:rPr>
                <w:rtl/>
                <w:lang w:eastAsia="en-US"/>
              </w:rPr>
            </w:pPr>
            <w:r>
              <w:rPr>
                <w:rtl/>
                <w:lang w:eastAsia="en-US"/>
              </w:rPr>
              <w:t>1994</w:t>
            </w:r>
          </w:p>
          <w:p w:rsidR="00000000" w:rsidRDefault="00000000">
            <w:pPr>
              <w:spacing w:line="340" w:lineRule="exact"/>
              <w:rPr>
                <w:rtl/>
                <w:lang w:eastAsia="en-US"/>
              </w:rPr>
            </w:pPr>
            <w:r>
              <w:rPr>
                <w:rtl/>
                <w:lang w:eastAsia="en-US"/>
              </w:rPr>
              <w:t>1995</w:t>
            </w:r>
          </w:p>
          <w:p w:rsidR="00000000" w:rsidRDefault="00000000">
            <w:pPr>
              <w:spacing w:line="340" w:lineRule="exact"/>
              <w:rPr>
                <w:rtl/>
                <w:lang w:eastAsia="en-US"/>
              </w:rPr>
            </w:pPr>
            <w:r>
              <w:rPr>
                <w:rtl/>
                <w:lang w:eastAsia="en-US"/>
              </w:rPr>
              <w:t>1996</w:t>
            </w:r>
          </w:p>
          <w:p w:rsidR="00000000" w:rsidRDefault="00000000">
            <w:pPr>
              <w:spacing w:line="340" w:lineRule="exact"/>
              <w:rPr>
                <w:rtl/>
                <w:lang w:eastAsia="en-US"/>
              </w:rPr>
            </w:pPr>
            <w:r>
              <w:rPr>
                <w:rtl/>
                <w:lang w:eastAsia="en-US"/>
              </w:rPr>
              <w:t>1997</w:t>
            </w:r>
          </w:p>
          <w:p w:rsidR="00000000" w:rsidRDefault="00000000">
            <w:pPr>
              <w:spacing w:line="340" w:lineRule="exact"/>
              <w:rPr>
                <w:rtl/>
                <w:lang w:eastAsia="en-US"/>
              </w:rPr>
            </w:pPr>
            <w:r>
              <w:rPr>
                <w:rtl/>
                <w:lang w:eastAsia="en-US"/>
              </w:rPr>
              <w:t>1998</w:t>
            </w:r>
          </w:p>
        </w:tc>
        <w:tc>
          <w:tcPr>
            <w:tcW w:w="2127" w:type="dxa"/>
          </w:tcPr>
          <w:p w:rsidR="00000000" w:rsidRDefault="00000000">
            <w:pPr>
              <w:spacing w:line="340" w:lineRule="exact"/>
              <w:jc w:val="center"/>
              <w:rPr>
                <w:rtl/>
                <w:lang w:eastAsia="en-US"/>
              </w:rPr>
            </w:pPr>
            <w:r>
              <w:rPr>
                <w:rtl/>
                <w:lang w:eastAsia="en-US"/>
              </w:rPr>
              <w:t>20</w:t>
            </w:r>
          </w:p>
          <w:p w:rsidR="00000000" w:rsidRDefault="00000000">
            <w:pPr>
              <w:spacing w:line="340" w:lineRule="exact"/>
              <w:jc w:val="center"/>
              <w:rPr>
                <w:rtl/>
                <w:lang w:eastAsia="en-US"/>
              </w:rPr>
            </w:pPr>
            <w:r>
              <w:rPr>
                <w:rtl/>
                <w:lang w:eastAsia="en-US"/>
              </w:rPr>
              <w:t>20</w:t>
            </w:r>
          </w:p>
          <w:p w:rsidR="00000000" w:rsidRDefault="00000000">
            <w:pPr>
              <w:spacing w:line="340" w:lineRule="exact"/>
              <w:jc w:val="center"/>
              <w:rPr>
                <w:rtl/>
                <w:lang w:eastAsia="en-US"/>
              </w:rPr>
            </w:pPr>
            <w:r>
              <w:rPr>
                <w:rtl/>
                <w:lang w:eastAsia="en-US"/>
              </w:rPr>
              <w:t>20</w:t>
            </w:r>
          </w:p>
          <w:p w:rsidR="00000000" w:rsidRDefault="00000000">
            <w:pPr>
              <w:spacing w:line="340" w:lineRule="exact"/>
              <w:jc w:val="center"/>
              <w:rPr>
                <w:rtl/>
                <w:lang w:eastAsia="en-US"/>
              </w:rPr>
            </w:pPr>
            <w:r>
              <w:rPr>
                <w:rtl/>
                <w:lang w:eastAsia="en-US"/>
              </w:rPr>
              <w:t>20</w:t>
            </w:r>
          </w:p>
          <w:p w:rsidR="00000000" w:rsidRDefault="00000000">
            <w:pPr>
              <w:spacing w:line="340" w:lineRule="exact"/>
              <w:jc w:val="center"/>
              <w:rPr>
                <w:rtl/>
                <w:lang w:eastAsia="en-US"/>
              </w:rPr>
            </w:pPr>
            <w:r>
              <w:rPr>
                <w:rtl/>
                <w:lang w:eastAsia="en-US"/>
              </w:rPr>
              <w:t>20</w:t>
            </w:r>
          </w:p>
        </w:tc>
        <w:tc>
          <w:tcPr>
            <w:tcW w:w="2268" w:type="dxa"/>
          </w:tcPr>
          <w:p w:rsidR="00000000" w:rsidRDefault="00000000">
            <w:pPr>
              <w:spacing w:line="340" w:lineRule="exact"/>
              <w:jc w:val="center"/>
              <w:rPr>
                <w:rtl/>
                <w:lang w:eastAsia="en-US"/>
              </w:rPr>
            </w:pPr>
            <w:r>
              <w:rPr>
                <w:rtl/>
                <w:lang w:eastAsia="en-US"/>
              </w:rPr>
              <w:t>5</w:t>
            </w:r>
          </w:p>
          <w:p w:rsidR="00000000" w:rsidRDefault="00000000">
            <w:pPr>
              <w:spacing w:line="340" w:lineRule="exact"/>
              <w:jc w:val="center"/>
              <w:rPr>
                <w:rtl/>
                <w:lang w:eastAsia="en-US"/>
              </w:rPr>
            </w:pPr>
            <w:r>
              <w:rPr>
                <w:rtl/>
                <w:lang w:eastAsia="en-US"/>
              </w:rPr>
              <w:t>5</w:t>
            </w:r>
          </w:p>
          <w:p w:rsidR="00000000" w:rsidRDefault="00000000">
            <w:pPr>
              <w:spacing w:line="340" w:lineRule="exact"/>
              <w:jc w:val="center"/>
              <w:rPr>
                <w:rtl/>
                <w:lang w:eastAsia="en-US"/>
              </w:rPr>
            </w:pPr>
            <w:r>
              <w:rPr>
                <w:rtl/>
                <w:lang w:eastAsia="en-US"/>
              </w:rPr>
              <w:t>5</w:t>
            </w:r>
          </w:p>
          <w:p w:rsidR="00000000" w:rsidRDefault="00000000">
            <w:pPr>
              <w:spacing w:line="340" w:lineRule="exact"/>
              <w:jc w:val="center"/>
              <w:rPr>
                <w:rtl/>
                <w:lang w:eastAsia="en-US"/>
              </w:rPr>
            </w:pPr>
            <w:r>
              <w:rPr>
                <w:rtl/>
                <w:lang w:eastAsia="en-US"/>
              </w:rPr>
              <w:t>5</w:t>
            </w:r>
          </w:p>
          <w:p w:rsidR="00000000" w:rsidRDefault="00000000">
            <w:pPr>
              <w:spacing w:line="340" w:lineRule="exact"/>
              <w:jc w:val="center"/>
              <w:rPr>
                <w:rtl/>
                <w:lang w:eastAsia="en-US"/>
              </w:rPr>
            </w:pPr>
            <w:r>
              <w:rPr>
                <w:rtl/>
                <w:lang w:eastAsia="en-US"/>
              </w:rPr>
              <w:t>5</w:t>
            </w:r>
          </w:p>
        </w:tc>
        <w:tc>
          <w:tcPr>
            <w:tcW w:w="1701" w:type="dxa"/>
          </w:tcPr>
          <w:p w:rsidR="00000000" w:rsidRDefault="00000000">
            <w:pPr>
              <w:spacing w:line="340" w:lineRule="exact"/>
              <w:jc w:val="center"/>
              <w:rPr>
                <w:rtl/>
                <w:lang w:eastAsia="en-US"/>
              </w:rPr>
            </w:pPr>
            <w:r>
              <w:rPr>
                <w:rtl/>
                <w:lang w:eastAsia="en-US"/>
              </w:rPr>
              <w:t>25.0</w:t>
            </w:r>
          </w:p>
          <w:p w:rsidR="00000000" w:rsidRDefault="00000000">
            <w:pPr>
              <w:spacing w:line="340" w:lineRule="exact"/>
              <w:jc w:val="center"/>
              <w:rPr>
                <w:rtl/>
                <w:lang w:eastAsia="en-US"/>
              </w:rPr>
            </w:pPr>
            <w:r>
              <w:rPr>
                <w:rtl/>
                <w:lang w:eastAsia="en-US"/>
              </w:rPr>
              <w:t>25.0</w:t>
            </w:r>
          </w:p>
          <w:p w:rsidR="00000000" w:rsidRDefault="00000000">
            <w:pPr>
              <w:spacing w:line="340" w:lineRule="exact"/>
              <w:jc w:val="center"/>
              <w:rPr>
                <w:rtl/>
                <w:lang w:eastAsia="en-US"/>
              </w:rPr>
            </w:pPr>
            <w:r>
              <w:rPr>
                <w:rtl/>
                <w:lang w:eastAsia="en-US"/>
              </w:rPr>
              <w:t>25.0</w:t>
            </w:r>
          </w:p>
          <w:p w:rsidR="00000000" w:rsidRDefault="00000000">
            <w:pPr>
              <w:spacing w:line="340" w:lineRule="exact"/>
              <w:jc w:val="center"/>
              <w:rPr>
                <w:rtl/>
                <w:lang w:eastAsia="en-US"/>
              </w:rPr>
            </w:pPr>
            <w:r>
              <w:rPr>
                <w:rtl/>
                <w:lang w:eastAsia="en-US"/>
              </w:rPr>
              <w:t>25.0</w:t>
            </w:r>
          </w:p>
          <w:p w:rsidR="00000000" w:rsidRDefault="00000000">
            <w:pPr>
              <w:spacing w:line="340" w:lineRule="exact"/>
              <w:jc w:val="center"/>
              <w:rPr>
                <w:rtl/>
                <w:lang w:eastAsia="en-US"/>
              </w:rPr>
            </w:pPr>
            <w:r>
              <w:rPr>
                <w:rtl/>
                <w:lang w:eastAsia="en-US"/>
              </w:rPr>
              <w:t>25.0</w:t>
            </w:r>
          </w:p>
        </w:tc>
      </w:tr>
    </w:tbl>
    <w:p w:rsidR="00000000" w:rsidRDefault="00000000">
      <w:pPr>
        <w:pStyle w:val="SingleTxt"/>
        <w:tabs>
          <w:tab w:val="clear" w:pos="1267"/>
        </w:tabs>
        <w:ind w:left="1264" w:right="1264"/>
        <w:rPr>
          <w:rtl/>
          <w:lang w:eastAsia="en-US"/>
        </w:rPr>
      </w:pPr>
      <w:r>
        <w:rPr>
          <w:i/>
          <w:iCs/>
          <w:szCs w:val="26"/>
          <w:rtl/>
          <w:lang w:eastAsia="en-US"/>
        </w:rPr>
        <w:t>المصدر:</w:t>
      </w:r>
      <w:r>
        <w:rPr>
          <w:i/>
          <w:iCs/>
          <w:szCs w:val="26"/>
          <w:rtl/>
          <w:lang w:eastAsia="en-US"/>
        </w:rPr>
        <w:tab/>
        <w:t>وزارة العدل في كيبيك، حزيران/يونيه 1999.</w:t>
      </w:r>
    </w:p>
    <w:p w:rsidR="00000000" w:rsidRDefault="00000000">
      <w:pPr>
        <w:pStyle w:val="SingleTxt"/>
        <w:tabs>
          <w:tab w:val="clear" w:pos="1267"/>
        </w:tabs>
        <w:ind w:left="1264" w:right="1264"/>
        <w:rPr>
          <w:szCs w:val="32"/>
          <w:rtl/>
          <w:lang w:eastAsia="en-US"/>
        </w:rPr>
      </w:pPr>
      <w:r>
        <w:rPr>
          <w:rtl/>
          <w:lang w:eastAsia="en-US"/>
        </w:rPr>
        <w:br w:type="page"/>
      </w:r>
      <w:r>
        <w:rPr>
          <w:b/>
          <w:bCs/>
          <w:szCs w:val="32"/>
          <w:rtl/>
          <w:lang w:eastAsia="en-US"/>
        </w:rPr>
        <w:t>التذييل 5: دبلومات الدراسات في المعاهد</w:t>
      </w:r>
    </w:p>
    <w:p w:rsidR="00000000" w:rsidRDefault="00000000">
      <w:pPr>
        <w:pStyle w:val="SingleTxt"/>
        <w:tabs>
          <w:tab w:val="clear" w:pos="1267"/>
        </w:tabs>
        <w:spacing w:after="0"/>
        <w:ind w:left="1264" w:right="1264"/>
        <w:rPr>
          <w:b/>
          <w:bCs/>
          <w:rtl/>
          <w:lang w:eastAsia="en-US"/>
        </w:rPr>
      </w:pPr>
      <w:r>
        <w:rPr>
          <w:b/>
          <w:bCs/>
          <w:rtl/>
          <w:lang w:eastAsia="en-US"/>
        </w:rPr>
        <w:t>النسبة المئوية لدبلومات الدراسات في المعاهد التقنية</w:t>
      </w:r>
    </w:p>
    <w:p w:rsidR="00000000" w:rsidRDefault="00000000">
      <w:pPr>
        <w:pStyle w:val="SingleTxt"/>
        <w:tabs>
          <w:tab w:val="clear" w:pos="1267"/>
        </w:tabs>
        <w:ind w:left="1264" w:right="1264"/>
        <w:rPr>
          <w:b/>
          <w:bCs/>
          <w:szCs w:val="32"/>
          <w:rtl/>
          <w:lang w:eastAsia="en-US"/>
        </w:rPr>
      </w:pPr>
      <w:r>
        <w:rPr>
          <w:b/>
          <w:bCs/>
          <w:rtl/>
          <w:lang w:eastAsia="en-US"/>
        </w:rPr>
        <w:t>الممنوحة للنساء من المعاهد العامة والخاصة حسب البرنامج، 1994 - 1996</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6"/>
        <w:gridCol w:w="2516"/>
        <w:gridCol w:w="2516"/>
        <w:gridCol w:w="2516"/>
      </w:tblGrid>
      <w:tr w:rsidR="00000000">
        <w:tblPrEx>
          <w:tblCellMar>
            <w:top w:w="0" w:type="dxa"/>
            <w:bottom w:w="0" w:type="dxa"/>
          </w:tblCellMar>
        </w:tblPrEx>
        <w:trPr>
          <w:cantSplit/>
        </w:trPr>
        <w:tc>
          <w:tcPr>
            <w:tcW w:w="2516" w:type="dxa"/>
            <w:vMerge w:val="restart"/>
          </w:tcPr>
          <w:p w:rsidR="00000000" w:rsidRDefault="00000000">
            <w:pPr>
              <w:jc w:val="center"/>
              <w:rPr>
                <w:i/>
                <w:iCs/>
                <w:rtl/>
                <w:lang w:eastAsia="en-US"/>
              </w:rPr>
            </w:pPr>
            <w:r>
              <w:rPr>
                <w:i/>
                <w:iCs/>
                <w:rtl/>
                <w:lang w:eastAsia="en-US"/>
              </w:rPr>
              <w:t>البرنامج</w:t>
            </w:r>
          </w:p>
        </w:tc>
        <w:tc>
          <w:tcPr>
            <w:tcW w:w="2516" w:type="dxa"/>
          </w:tcPr>
          <w:p w:rsidR="00000000" w:rsidRDefault="00000000">
            <w:pPr>
              <w:jc w:val="center"/>
              <w:rPr>
                <w:i/>
                <w:iCs/>
                <w:rtl/>
                <w:lang w:eastAsia="en-US"/>
              </w:rPr>
            </w:pPr>
            <w:r>
              <w:rPr>
                <w:i/>
                <w:iCs/>
                <w:rtl/>
                <w:lang w:eastAsia="en-US"/>
              </w:rPr>
              <w:t>1994</w:t>
            </w:r>
          </w:p>
        </w:tc>
        <w:tc>
          <w:tcPr>
            <w:tcW w:w="2516" w:type="dxa"/>
          </w:tcPr>
          <w:p w:rsidR="00000000" w:rsidRDefault="00000000">
            <w:pPr>
              <w:jc w:val="center"/>
              <w:rPr>
                <w:i/>
                <w:iCs/>
                <w:rtl/>
                <w:lang w:eastAsia="en-US"/>
              </w:rPr>
            </w:pPr>
            <w:r>
              <w:rPr>
                <w:i/>
                <w:iCs/>
                <w:rtl/>
                <w:lang w:eastAsia="en-US"/>
              </w:rPr>
              <w:t>1995</w:t>
            </w:r>
          </w:p>
        </w:tc>
        <w:tc>
          <w:tcPr>
            <w:tcW w:w="2516" w:type="dxa"/>
          </w:tcPr>
          <w:p w:rsidR="00000000" w:rsidRDefault="00000000">
            <w:pPr>
              <w:jc w:val="center"/>
              <w:rPr>
                <w:i/>
                <w:iCs/>
                <w:rtl/>
                <w:lang w:eastAsia="en-US"/>
              </w:rPr>
            </w:pPr>
            <w:r>
              <w:rPr>
                <w:i/>
                <w:iCs/>
                <w:rtl/>
                <w:lang w:eastAsia="en-US"/>
              </w:rPr>
              <w:t>1996</w:t>
            </w:r>
          </w:p>
        </w:tc>
      </w:tr>
      <w:tr w:rsidR="00000000">
        <w:tblPrEx>
          <w:tblCellMar>
            <w:top w:w="0" w:type="dxa"/>
            <w:bottom w:w="0" w:type="dxa"/>
          </w:tblCellMar>
        </w:tblPrEx>
        <w:trPr>
          <w:cantSplit/>
        </w:trPr>
        <w:tc>
          <w:tcPr>
            <w:tcW w:w="2516" w:type="dxa"/>
            <w:vMerge/>
          </w:tcPr>
          <w:p w:rsidR="00000000" w:rsidRDefault="00000000">
            <w:pPr>
              <w:jc w:val="center"/>
              <w:rPr>
                <w:i/>
                <w:iCs/>
                <w:rtl/>
                <w:lang w:eastAsia="en-US"/>
              </w:rPr>
            </w:pPr>
          </w:p>
        </w:tc>
        <w:tc>
          <w:tcPr>
            <w:tcW w:w="2516" w:type="dxa"/>
          </w:tcPr>
          <w:p w:rsidR="00000000" w:rsidRDefault="00000000">
            <w:pPr>
              <w:jc w:val="center"/>
              <w:rPr>
                <w:rFonts w:cs="Akhbar MT"/>
                <w:i/>
                <w:iCs/>
                <w:rtl/>
                <w:lang w:eastAsia="en-US"/>
              </w:rPr>
            </w:pPr>
            <w:r>
              <w:rPr>
                <w:i/>
                <w:iCs/>
                <w:rtl/>
                <w:lang w:eastAsia="en-US"/>
              </w:rPr>
              <w:t xml:space="preserve">نساء </w:t>
            </w:r>
            <w:r>
              <w:rPr>
                <w:rFonts w:cs="Akhbar MT"/>
                <w:i/>
                <w:iCs/>
                <w:rtl/>
                <w:lang w:eastAsia="en-US"/>
              </w:rPr>
              <w:t>(%)</w:t>
            </w:r>
          </w:p>
        </w:tc>
        <w:tc>
          <w:tcPr>
            <w:tcW w:w="2516" w:type="dxa"/>
          </w:tcPr>
          <w:p w:rsidR="00000000" w:rsidRDefault="00000000">
            <w:pPr>
              <w:jc w:val="center"/>
              <w:rPr>
                <w:i/>
                <w:iCs/>
                <w:rtl/>
                <w:lang w:eastAsia="en-US"/>
              </w:rPr>
            </w:pPr>
            <w:r>
              <w:rPr>
                <w:i/>
                <w:iCs/>
                <w:rtl/>
                <w:lang w:eastAsia="en-US"/>
              </w:rPr>
              <w:t xml:space="preserve">نساء </w:t>
            </w:r>
            <w:r>
              <w:rPr>
                <w:rFonts w:cs="Akhbar MT"/>
                <w:i/>
                <w:iCs/>
                <w:rtl/>
                <w:lang w:eastAsia="en-US"/>
              </w:rPr>
              <w:t>(%)</w:t>
            </w:r>
          </w:p>
        </w:tc>
        <w:tc>
          <w:tcPr>
            <w:tcW w:w="2516" w:type="dxa"/>
          </w:tcPr>
          <w:p w:rsidR="00000000" w:rsidRDefault="00000000">
            <w:pPr>
              <w:jc w:val="center"/>
              <w:rPr>
                <w:i/>
                <w:iCs/>
                <w:rtl/>
                <w:lang w:eastAsia="en-US"/>
              </w:rPr>
            </w:pPr>
            <w:r>
              <w:rPr>
                <w:i/>
                <w:iCs/>
                <w:rtl/>
                <w:lang w:eastAsia="en-US"/>
              </w:rPr>
              <w:t xml:space="preserve">نساء </w:t>
            </w:r>
            <w:r>
              <w:rPr>
                <w:rFonts w:cs="Akhbar MT"/>
                <w:i/>
                <w:iCs/>
                <w:rtl/>
                <w:lang w:eastAsia="en-US"/>
              </w:rPr>
              <w:t>(%)</w:t>
            </w:r>
          </w:p>
        </w:tc>
      </w:tr>
      <w:tr w:rsidR="00000000">
        <w:tblPrEx>
          <w:tblCellMar>
            <w:top w:w="0" w:type="dxa"/>
            <w:bottom w:w="0" w:type="dxa"/>
          </w:tblCellMar>
        </w:tblPrEx>
        <w:tc>
          <w:tcPr>
            <w:tcW w:w="2516" w:type="dxa"/>
          </w:tcPr>
          <w:p w:rsidR="00000000" w:rsidRDefault="00000000">
            <w:pPr>
              <w:rPr>
                <w:rtl/>
                <w:lang w:eastAsia="en-US"/>
              </w:rPr>
            </w:pPr>
            <w:r>
              <w:rPr>
                <w:rtl/>
                <w:lang w:eastAsia="en-US"/>
              </w:rPr>
              <w:t>علم الأحياء</w:t>
            </w:r>
          </w:p>
        </w:tc>
        <w:tc>
          <w:tcPr>
            <w:tcW w:w="2516" w:type="dxa"/>
          </w:tcPr>
          <w:p w:rsidR="00000000" w:rsidRDefault="00000000">
            <w:pPr>
              <w:rPr>
                <w:rtl/>
                <w:lang w:eastAsia="en-US"/>
              </w:rPr>
            </w:pPr>
            <w:r>
              <w:rPr>
                <w:rtl/>
                <w:lang w:eastAsia="en-US"/>
              </w:rPr>
              <w:tab/>
              <w:t>79.3</w:t>
            </w:r>
          </w:p>
        </w:tc>
        <w:tc>
          <w:tcPr>
            <w:tcW w:w="2516" w:type="dxa"/>
          </w:tcPr>
          <w:p w:rsidR="00000000" w:rsidRDefault="00000000">
            <w:pPr>
              <w:rPr>
                <w:rtl/>
                <w:lang w:eastAsia="en-US"/>
              </w:rPr>
            </w:pPr>
            <w:r>
              <w:rPr>
                <w:rtl/>
                <w:lang w:eastAsia="en-US"/>
              </w:rPr>
              <w:tab/>
              <w:t>76.8</w:t>
            </w:r>
          </w:p>
        </w:tc>
        <w:tc>
          <w:tcPr>
            <w:tcW w:w="2516" w:type="dxa"/>
          </w:tcPr>
          <w:p w:rsidR="00000000" w:rsidRDefault="00000000">
            <w:pPr>
              <w:rPr>
                <w:rtl/>
                <w:lang w:eastAsia="en-US"/>
              </w:rPr>
            </w:pPr>
            <w:r>
              <w:rPr>
                <w:rtl/>
                <w:lang w:eastAsia="en-US"/>
              </w:rPr>
              <w:tab/>
              <w:t>80.3</w:t>
            </w:r>
          </w:p>
        </w:tc>
      </w:tr>
      <w:tr w:rsidR="00000000">
        <w:tblPrEx>
          <w:tblCellMar>
            <w:top w:w="0" w:type="dxa"/>
            <w:bottom w:w="0" w:type="dxa"/>
          </w:tblCellMar>
        </w:tblPrEx>
        <w:tc>
          <w:tcPr>
            <w:tcW w:w="2516" w:type="dxa"/>
          </w:tcPr>
          <w:p w:rsidR="00000000" w:rsidRDefault="00000000">
            <w:pPr>
              <w:rPr>
                <w:rtl/>
                <w:lang w:eastAsia="en-US"/>
              </w:rPr>
            </w:pPr>
            <w:r>
              <w:rPr>
                <w:rtl/>
                <w:lang w:eastAsia="en-US"/>
              </w:rPr>
              <w:t>علم الفيزياء</w:t>
            </w:r>
          </w:p>
        </w:tc>
        <w:tc>
          <w:tcPr>
            <w:tcW w:w="2516" w:type="dxa"/>
          </w:tcPr>
          <w:p w:rsidR="00000000" w:rsidRDefault="00000000">
            <w:pPr>
              <w:rPr>
                <w:rtl/>
                <w:lang w:eastAsia="en-US"/>
              </w:rPr>
            </w:pPr>
            <w:r>
              <w:rPr>
                <w:rtl/>
                <w:lang w:eastAsia="en-US"/>
              </w:rPr>
              <w:tab/>
              <w:t>15.7</w:t>
            </w:r>
          </w:p>
        </w:tc>
        <w:tc>
          <w:tcPr>
            <w:tcW w:w="2516" w:type="dxa"/>
          </w:tcPr>
          <w:p w:rsidR="00000000" w:rsidRDefault="00000000">
            <w:pPr>
              <w:rPr>
                <w:rtl/>
                <w:lang w:eastAsia="en-US"/>
              </w:rPr>
            </w:pPr>
            <w:r>
              <w:rPr>
                <w:rtl/>
                <w:lang w:eastAsia="en-US"/>
              </w:rPr>
              <w:tab/>
              <w:t>16.5</w:t>
            </w:r>
          </w:p>
        </w:tc>
        <w:tc>
          <w:tcPr>
            <w:tcW w:w="2516" w:type="dxa"/>
          </w:tcPr>
          <w:p w:rsidR="00000000" w:rsidRDefault="00000000">
            <w:pPr>
              <w:rPr>
                <w:rtl/>
                <w:lang w:eastAsia="en-US"/>
              </w:rPr>
            </w:pPr>
            <w:r>
              <w:rPr>
                <w:rtl/>
                <w:lang w:eastAsia="en-US"/>
              </w:rPr>
              <w:tab/>
              <w:t>15</w:t>
            </w:r>
          </w:p>
        </w:tc>
      </w:tr>
      <w:tr w:rsidR="00000000">
        <w:tblPrEx>
          <w:tblCellMar>
            <w:top w:w="0" w:type="dxa"/>
            <w:bottom w:w="0" w:type="dxa"/>
          </w:tblCellMar>
        </w:tblPrEx>
        <w:tc>
          <w:tcPr>
            <w:tcW w:w="2516" w:type="dxa"/>
          </w:tcPr>
          <w:p w:rsidR="00000000" w:rsidRDefault="00000000">
            <w:pPr>
              <w:rPr>
                <w:rtl/>
                <w:lang w:eastAsia="en-US"/>
              </w:rPr>
            </w:pPr>
            <w:r>
              <w:rPr>
                <w:rtl/>
                <w:lang w:eastAsia="en-US"/>
              </w:rPr>
              <w:t>العلوم الاجتماعية</w:t>
            </w:r>
          </w:p>
        </w:tc>
        <w:tc>
          <w:tcPr>
            <w:tcW w:w="2516" w:type="dxa"/>
          </w:tcPr>
          <w:p w:rsidR="00000000" w:rsidRDefault="00000000">
            <w:pPr>
              <w:rPr>
                <w:rtl/>
                <w:lang w:eastAsia="en-US"/>
              </w:rPr>
            </w:pPr>
            <w:r>
              <w:rPr>
                <w:rtl/>
                <w:lang w:eastAsia="en-US"/>
              </w:rPr>
              <w:tab/>
              <w:t>69.45</w:t>
            </w:r>
          </w:p>
        </w:tc>
        <w:tc>
          <w:tcPr>
            <w:tcW w:w="2516" w:type="dxa"/>
          </w:tcPr>
          <w:p w:rsidR="00000000" w:rsidRDefault="00000000">
            <w:pPr>
              <w:rPr>
                <w:rtl/>
                <w:lang w:eastAsia="en-US"/>
              </w:rPr>
            </w:pPr>
            <w:r>
              <w:rPr>
                <w:rtl/>
                <w:lang w:eastAsia="en-US"/>
              </w:rPr>
              <w:tab/>
              <w:t>67.4</w:t>
            </w:r>
          </w:p>
        </w:tc>
        <w:tc>
          <w:tcPr>
            <w:tcW w:w="2516" w:type="dxa"/>
          </w:tcPr>
          <w:p w:rsidR="00000000" w:rsidRDefault="00000000">
            <w:pPr>
              <w:rPr>
                <w:rtl/>
                <w:lang w:eastAsia="en-US"/>
              </w:rPr>
            </w:pPr>
            <w:r>
              <w:rPr>
                <w:rtl/>
                <w:lang w:eastAsia="en-US"/>
              </w:rPr>
              <w:tab/>
              <w:t>73.9</w:t>
            </w:r>
          </w:p>
        </w:tc>
      </w:tr>
      <w:tr w:rsidR="00000000">
        <w:tblPrEx>
          <w:tblCellMar>
            <w:top w:w="0" w:type="dxa"/>
            <w:bottom w:w="0" w:type="dxa"/>
          </w:tblCellMar>
        </w:tblPrEx>
        <w:tc>
          <w:tcPr>
            <w:tcW w:w="2516" w:type="dxa"/>
          </w:tcPr>
          <w:p w:rsidR="00000000" w:rsidRDefault="00000000">
            <w:pPr>
              <w:rPr>
                <w:rtl/>
                <w:lang w:eastAsia="en-US"/>
              </w:rPr>
            </w:pPr>
            <w:r>
              <w:rPr>
                <w:rtl/>
                <w:lang w:eastAsia="en-US"/>
              </w:rPr>
              <w:t>إدارة الأعمال</w:t>
            </w:r>
          </w:p>
        </w:tc>
        <w:tc>
          <w:tcPr>
            <w:tcW w:w="2516" w:type="dxa"/>
          </w:tcPr>
          <w:p w:rsidR="00000000" w:rsidRDefault="00000000">
            <w:pPr>
              <w:rPr>
                <w:rtl/>
                <w:lang w:eastAsia="en-US"/>
              </w:rPr>
            </w:pPr>
            <w:r>
              <w:rPr>
                <w:rtl/>
                <w:lang w:eastAsia="en-US"/>
              </w:rPr>
              <w:tab/>
              <w:t>68</w:t>
            </w:r>
          </w:p>
        </w:tc>
        <w:tc>
          <w:tcPr>
            <w:tcW w:w="2516" w:type="dxa"/>
          </w:tcPr>
          <w:p w:rsidR="00000000" w:rsidRDefault="00000000">
            <w:pPr>
              <w:rPr>
                <w:rtl/>
                <w:lang w:eastAsia="en-US"/>
              </w:rPr>
            </w:pPr>
            <w:r>
              <w:rPr>
                <w:rtl/>
                <w:lang w:eastAsia="en-US"/>
              </w:rPr>
              <w:tab/>
              <w:t>64.7</w:t>
            </w:r>
          </w:p>
        </w:tc>
        <w:tc>
          <w:tcPr>
            <w:tcW w:w="2516" w:type="dxa"/>
          </w:tcPr>
          <w:p w:rsidR="00000000" w:rsidRDefault="00000000">
            <w:pPr>
              <w:rPr>
                <w:rtl/>
                <w:lang w:eastAsia="en-US"/>
              </w:rPr>
            </w:pPr>
            <w:r>
              <w:rPr>
                <w:rtl/>
                <w:lang w:eastAsia="en-US"/>
              </w:rPr>
              <w:tab/>
              <w:t>65.3</w:t>
            </w:r>
          </w:p>
        </w:tc>
      </w:tr>
      <w:tr w:rsidR="00000000">
        <w:tblPrEx>
          <w:tblCellMar>
            <w:top w:w="0" w:type="dxa"/>
            <w:bottom w:w="0" w:type="dxa"/>
          </w:tblCellMar>
        </w:tblPrEx>
        <w:tc>
          <w:tcPr>
            <w:tcW w:w="2516" w:type="dxa"/>
          </w:tcPr>
          <w:p w:rsidR="00000000" w:rsidRDefault="00000000">
            <w:pPr>
              <w:rPr>
                <w:rtl/>
                <w:lang w:eastAsia="en-US"/>
              </w:rPr>
            </w:pPr>
            <w:r>
              <w:rPr>
                <w:rtl/>
                <w:lang w:eastAsia="en-US"/>
              </w:rPr>
              <w:t>الفنون التطبيقية</w:t>
            </w:r>
          </w:p>
        </w:tc>
        <w:tc>
          <w:tcPr>
            <w:tcW w:w="2516" w:type="dxa"/>
          </w:tcPr>
          <w:p w:rsidR="00000000" w:rsidRDefault="00000000">
            <w:pPr>
              <w:rPr>
                <w:rtl/>
                <w:lang w:eastAsia="en-US"/>
              </w:rPr>
            </w:pPr>
            <w:r>
              <w:rPr>
                <w:rtl/>
                <w:lang w:eastAsia="en-US"/>
              </w:rPr>
              <w:tab/>
              <w:t>74.6</w:t>
            </w:r>
          </w:p>
        </w:tc>
        <w:tc>
          <w:tcPr>
            <w:tcW w:w="2516" w:type="dxa"/>
          </w:tcPr>
          <w:p w:rsidR="00000000" w:rsidRDefault="00000000">
            <w:pPr>
              <w:rPr>
                <w:rtl/>
                <w:lang w:eastAsia="en-US"/>
              </w:rPr>
            </w:pPr>
            <w:r>
              <w:rPr>
                <w:rtl/>
                <w:lang w:eastAsia="en-US"/>
              </w:rPr>
              <w:tab/>
              <w:t>69.7</w:t>
            </w:r>
          </w:p>
        </w:tc>
        <w:tc>
          <w:tcPr>
            <w:tcW w:w="2516" w:type="dxa"/>
          </w:tcPr>
          <w:p w:rsidR="00000000" w:rsidRDefault="00000000">
            <w:pPr>
              <w:rPr>
                <w:rtl/>
                <w:lang w:eastAsia="en-US"/>
              </w:rPr>
            </w:pPr>
            <w:r>
              <w:rPr>
                <w:rtl/>
                <w:lang w:eastAsia="en-US"/>
              </w:rPr>
              <w:tab/>
              <w:t>71.2</w:t>
            </w:r>
          </w:p>
        </w:tc>
      </w:tr>
      <w:tr w:rsidR="00000000">
        <w:tblPrEx>
          <w:tblCellMar>
            <w:top w:w="0" w:type="dxa"/>
            <w:bottom w:w="0" w:type="dxa"/>
          </w:tblCellMar>
        </w:tblPrEx>
        <w:tc>
          <w:tcPr>
            <w:tcW w:w="2516" w:type="dxa"/>
          </w:tcPr>
          <w:p w:rsidR="00000000" w:rsidRDefault="00000000">
            <w:pPr>
              <w:rPr>
                <w:rtl/>
                <w:lang w:eastAsia="en-US"/>
              </w:rPr>
            </w:pPr>
            <w:r>
              <w:rPr>
                <w:rtl/>
                <w:lang w:eastAsia="en-US"/>
              </w:rPr>
              <w:t>المجموع</w:t>
            </w:r>
          </w:p>
        </w:tc>
        <w:tc>
          <w:tcPr>
            <w:tcW w:w="2516" w:type="dxa"/>
          </w:tcPr>
          <w:p w:rsidR="00000000" w:rsidRDefault="00000000">
            <w:pPr>
              <w:rPr>
                <w:rtl/>
                <w:lang w:eastAsia="en-US"/>
              </w:rPr>
            </w:pPr>
            <w:r>
              <w:rPr>
                <w:rtl/>
                <w:lang w:eastAsia="en-US"/>
              </w:rPr>
              <w:tab/>
              <w:t>58.9</w:t>
            </w:r>
          </w:p>
        </w:tc>
        <w:tc>
          <w:tcPr>
            <w:tcW w:w="2516" w:type="dxa"/>
          </w:tcPr>
          <w:p w:rsidR="00000000" w:rsidRDefault="00000000">
            <w:pPr>
              <w:rPr>
                <w:rtl/>
                <w:lang w:eastAsia="en-US"/>
              </w:rPr>
            </w:pPr>
            <w:r>
              <w:rPr>
                <w:rtl/>
                <w:lang w:eastAsia="en-US"/>
              </w:rPr>
              <w:tab/>
              <w:t>57.8</w:t>
            </w:r>
          </w:p>
        </w:tc>
        <w:tc>
          <w:tcPr>
            <w:tcW w:w="2516" w:type="dxa"/>
          </w:tcPr>
          <w:p w:rsidR="00000000" w:rsidRDefault="00000000">
            <w:pPr>
              <w:rPr>
                <w:rtl/>
                <w:lang w:eastAsia="en-US"/>
              </w:rPr>
            </w:pPr>
            <w:r>
              <w:rPr>
                <w:rtl/>
                <w:lang w:eastAsia="en-US"/>
              </w:rPr>
              <w:tab/>
              <w:t>59.2</w:t>
            </w:r>
          </w:p>
        </w:tc>
      </w:tr>
    </w:tbl>
    <w:p w:rsidR="00000000" w:rsidRDefault="00000000">
      <w:pPr>
        <w:pStyle w:val="SingleTxt"/>
        <w:tabs>
          <w:tab w:val="clear" w:pos="1267"/>
        </w:tabs>
        <w:ind w:left="1264" w:right="1264"/>
        <w:rPr>
          <w:szCs w:val="26"/>
          <w:rtl/>
          <w:lang w:eastAsia="en-US"/>
        </w:rPr>
      </w:pPr>
      <w:r>
        <w:rPr>
          <w:i/>
          <w:iCs/>
          <w:szCs w:val="26"/>
          <w:rtl/>
          <w:lang w:eastAsia="en-US"/>
        </w:rPr>
        <w:t>المصدر:</w:t>
      </w:r>
      <w:r>
        <w:rPr>
          <w:i/>
          <w:iCs/>
          <w:szCs w:val="26"/>
          <w:rtl/>
          <w:lang w:eastAsia="en-US"/>
        </w:rPr>
        <w:tab/>
        <w:t xml:space="preserve">وزارة التعليم، نظام اعتماد دراسات المعاهد،.(3 </w:t>
      </w:r>
      <w:r>
        <w:rPr>
          <w:i/>
          <w:iCs/>
          <w:szCs w:val="26"/>
          <w:lang w:eastAsia="en-US"/>
        </w:rPr>
        <w:t>–</w:t>
      </w:r>
      <w:r>
        <w:rPr>
          <w:i/>
          <w:iCs/>
          <w:szCs w:val="26"/>
          <w:rtl/>
          <w:lang w:eastAsia="en-US"/>
        </w:rPr>
        <w:t xml:space="preserve"> 12 </w:t>
      </w:r>
      <w:r>
        <w:rPr>
          <w:i/>
          <w:iCs/>
          <w:szCs w:val="26"/>
          <w:lang w:eastAsia="en-US"/>
        </w:rPr>
        <w:t>–</w:t>
      </w:r>
      <w:r>
        <w:rPr>
          <w:i/>
          <w:iCs/>
          <w:szCs w:val="26"/>
          <w:rtl/>
          <w:lang w:eastAsia="en-US"/>
        </w:rPr>
        <w:t xml:space="preserve"> 1998).</w:t>
      </w:r>
    </w:p>
    <w:p w:rsidR="00000000" w:rsidRDefault="00000000">
      <w:pPr>
        <w:pStyle w:val="SingleTxt"/>
        <w:tabs>
          <w:tab w:val="clear" w:pos="1267"/>
        </w:tabs>
        <w:ind w:left="1264" w:right="1264"/>
        <w:rPr>
          <w:b/>
          <w:bCs/>
          <w:szCs w:val="32"/>
          <w:rtl/>
          <w:lang w:eastAsia="en-US"/>
        </w:rPr>
      </w:pPr>
      <w:r>
        <w:rPr>
          <w:rtl/>
          <w:lang w:eastAsia="en-US"/>
        </w:rPr>
        <w:br w:type="page"/>
      </w:r>
      <w:r>
        <w:rPr>
          <w:b/>
          <w:bCs/>
          <w:szCs w:val="32"/>
          <w:rtl/>
          <w:lang w:eastAsia="en-US"/>
        </w:rPr>
        <w:t>التذييل 6: الدرجات الجامعية</w:t>
      </w:r>
    </w:p>
    <w:p w:rsidR="00000000" w:rsidRDefault="00000000">
      <w:pPr>
        <w:pStyle w:val="SingleTxt"/>
        <w:tabs>
          <w:tab w:val="clear" w:pos="1267"/>
        </w:tabs>
        <w:ind w:left="1264" w:right="1264"/>
        <w:rPr>
          <w:b/>
          <w:bCs/>
          <w:w w:val="95"/>
          <w:rtl/>
          <w:lang w:eastAsia="en-US"/>
        </w:rPr>
      </w:pPr>
      <w:r>
        <w:rPr>
          <w:b/>
          <w:bCs/>
          <w:w w:val="95"/>
          <w:rtl/>
          <w:lang w:eastAsia="en-US"/>
        </w:rPr>
        <w:t>النسبة المئويـة لدرجات البكالوريوس التي حصلت عليها النساء حسب ميدان الدراسة، 1992-1996</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28"/>
        <w:gridCol w:w="2304"/>
        <w:gridCol w:w="2516"/>
        <w:gridCol w:w="2516"/>
      </w:tblGrid>
      <w:tr w:rsidR="00000000">
        <w:tblPrEx>
          <w:tblCellMar>
            <w:top w:w="0" w:type="dxa"/>
            <w:bottom w:w="0" w:type="dxa"/>
          </w:tblCellMar>
        </w:tblPrEx>
        <w:tc>
          <w:tcPr>
            <w:tcW w:w="2728" w:type="dxa"/>
          </w:tcPr>
          <w:p w:rsidR="00000000" w:rsidRDefault="00000000">
            <w:pPr>
              <w:jc w:val="center"/>
              <w:rPr>
                <w:i/>
                <w:iCs/>
                <w:rtl/>
                <w:lang w:eastAsia="en-US"/>
              </w:rPr>
            </w:pPr>
            <w:r>
              <w:rPr>
                <w:i/>
                <w:iCs/>
                <w:rtl/>
                <w:lang w:eastAsia="en-US"/>
              </w:rPr>
              <w:t>ميدان الدراسة</w:t>
            </w:r>
          </w:p>
        </w:tc>
        <w:tc>
          <w:tcPr>
            <w:tcW w:w="2304" w:type="dxa"/>
          </w:tcPr>
          <w:p w:rsidR="00000000" w:rsidRDefault="00000000">
            <w:pPr>
              <w:jc w:val="center"/>
              <w:rPr>
                <w:i/>
                <w:iCs/>
                <w:rtl/>
                <w:lang w:eastAsia="en-US"/>
              </w:rPr>
            </w:pPr>
            <w:r>
              <w:rPr>
                <w:i/>
                <w:iCs/>
                <w:rtl/>
                <w:lang w:eastAsia="en-US"/>
              </w:rPr>
              <w:t>1994</w:t>
            </w:r>
          </w:p>
        </w:tc>
        <w:tc>
          <w:tcPr>
            <w:tcW w:w="2516" w:type="dxa"/>
          </w:tcPr>
          <w:p w:rsidR="00000000" w:rsidRDefault="00000000">
            <w:pPr>
              <w:jc w:val="center"/>
              <w:rPr>
                <w:i/>
                <w:iCs/>
                <w:rtl/>
                <w:lang w:eastAsia="en-US"/>
              </w:rPr>
            </w:pPr>
            <w:r>
              <w:rPr>
                <w:i/>
                <w:iCs/>
                <w:rtl/>
                <w:lang w:eastAsia="en-US"/>
              </w:rPr>
              <w:t>1995</w:t>
            </w:r>
          </w:p>
        </w:tc>
        <w:tc>
          <w:tcPr>
            <w:tcW w:w="2516" w:type="dxa"/>
          </w:tcPr>
          <w:p w:rsidR="00000000" w:rsidRDefault="00000000">
            <w:pPr>
              <w:jc w:val="center"/>
              <w:rPr>
                <w:i/>
                <w:iCs/>
                <w:rtl/>
                <w:lang w:eastAsia="en-US"/>
              </w:rPr>
            </w:pPr>
            <w:r>
              <w:rPr>
                <w:i/>
                <w:iCs/>
                <w:rtl/>
                <w:lang w:eastAsia="en-US"/>
              </w:rPr>
              <w:t>1996</w:t>
            </w:r>
          </w:p>
        </w:tc>
      </w:tr>
      <w:tr w:rsidR="00000000">
        <w:tblPrEx>
          <w:tblCellMar>
            <w:top w:w="0" w:type="dxa"/>
            <w:bottom w:w="0" w:type="dxa"/>
          </w:tblCellMar>
        </w:tblPrEx>
        <w:tc>
          <w:tcPr>
            <w:tcW w:w="2728" w:type="dxa"/>
          </w:tcPr>
          <w:p w:rsidR="00000000" w:rsidRDefault="00000000">
            <w:pPr>
              <w:jc w:val="center"/>
              <w:rPr>
                <w:i/>
                <w:iCs/>
                <w:rtl/>
                <w:lang w:eastAsia="en-US"/>
              </w:rPr>
            </w:pPr>
          </w:p>
        </w:tc>
        <w:tc>
          <w:tcPr>
            <w:tcW w:w="2304" w:type="dxa"/>
          </w:tcPr>
          <w:p w:rsidR="00000000" w:rsidRDefault="00000000">
            <w:pPr>
              <w:jc w:val="center"/>
              <w:rPr>
                <w:i/>
                <w:iCs/>
                <w:rtl/>
                <w:lang w:eastAsia="en-US"/>
              </w:rPr>
            </w:pPr>
            <w:r>
              <w:rPr>
                <w:i/>
                <w:iCs/>
                <w:rtl/>
                <w:lang w:eastAsia="en-US"/>
              </w:rPr>
              <w:t xml:space="preserve">نساء </w:t>
            </w:r>
            <w:r>
              <w:rPr>
                <w:rFonts w:cs="Akhbar MT"/>
                <w:i/>
                <w:iCs/>
                <w:rtl/>
                <w:lang w:eastAsia="en-US"/>
              </w:rPr>
              <w:t>(%)</w:t>
            </w:r>
          </w:p>
        </w:tc>
        <w:tc>
          <w:tcPr>
            <w:tcW w:w="2516" w:type="dxa"/>
          </w:tcPr>
          <w:p w:rsidR="00000000" w:rsidRDefault="00000000">
            <w:pPr>
              <w:jc w:val="center"/>
              <w:rPr>
                <w:i/>
                <w:iCs/>
                <w:rtl/>
                <w:lang w:eastAsia="en-US"/>
              </w:rPr>
            </w:pPr>
            <w:r>
              <w:rPr>
                <w:i/>
                <w:iCs/>
                <w:rtl/>
                <w:lang w:eastAsia="en-US"/>
              </w:rPr>
              <w:t xml:space="preserve">نساء </w:t>
            </w:r>
            <w:r>
              <w:rPr>
                <w:rFonts w:cs="Akhbar MT"/>
                <w:i/>
                <w:iCs/>
                <w:rtl/>
                <w:lang w:eastAsia="en-US"/>
              </w:rPr>
              <w:t>(%)</w:t>
            </w:r>
          </w:p>
        </w:tc>
        <w:tc>
          <w:tcPr>
            <w:tcW w:w="2516" w:type="dxa"/>
          </w:tcPr>
          <w:p w:rsidR="00000000" w:rsidRDefault="00000000">
            <w:pPr>
              <w:jc w:val="center"/>
              <w:rPr>
                <w:i/>
                <w:iCs/>
                <w:rtl/>
                <w:lang w:eastAsia="en-US"/>
              </w:rPr>
            </w:pPr>
            <w:r>
              <w:rPr>
                <w:i/>
                <w:iCs/>
                <w:rtl/>
                <w:lang w:eastAsia="en-US"/>
              </w:rPr>
              <w:t xml:space="preserve">نساء </w:t>
            </w:r>
            <w:r>
              <w:rPr>
                <w:rFonts w:cs="Akhbar MT"/>
                <w:i/>
                <w:iCs/>
                <w:rtl/>
                <w:lang w:eastAsia="en-US"/>
              </w:rPr>
              <w:t>(%)</w:t>
            </w:r>
          </w:p>
        </w:tc>
      </w:tr>
      <w:tr w:rsidR="00000000">
        <w:tblPrEx>
          <w:tblCellMar>
            <w:top w:w="0" w:type="dxa"/>
            <w:bottom w:w="0" w:type="dxa"/>
          </w:tblCellMar>
        </w:tblPrEx>
        <w:tc>
          <w:tcPr>
            <w:tcW w:w="2728" w:type="dxa"/>
          </w:tcPr>
          <w:p w:rsidR="00000000" w:rsidRDefault="00000000">
            <w:pPr>
              <w:rPr>
                <w:rtl/>
                <w:lang w:eastAsia="en-US"/>
              </w:rPr>
            </w:pPr>
            <w:r>
              <w:rPr>
                <w:rtl/>
                <w:lang w:eastAsia="en-US"/>
              </w:rPr>
              <w:t>الصحة</w:t>
            </w:r>
          </w:p>
        </w:tc>
        <w:tc>
          <w:tcPr>
            <w:tcW w:w="2304" w:type="dxa"/>
          </w:tcPr>
          <w:p w:rsidR="00000000" w:rsidRDefault="00000000">
            <w:pPr>
              <w:jc w:val="center"/>
              <w:rPr>
                <w:rtl/>
                <w:lang w:eastAsia="en-US"/>
              </w:rPr>
            </w:pPr>
            <w:r>
              <w:rPr>
                <w:rtl/>
                <w:lang w:eastAsia="en-US"/>
              </w:rPr>
              <w:t>75.4</w:t>
            </w:r>
          </w:p>
        </w:tc>
        <w:tc>
          <w:tcPr>
            <w:tcW w:w="2516" w:type="dxa"/>
          </w:tcPr>
          <w:p w:rsidR="00000000" w:rsidRDefault="00000000">
            <w:pPr>
              <w:rPr>
                <w:rtl/>
                <w:lang w:eastAsia="en-US"/>
              </w:rPr>
            </w:pPr>
            <w:r>
              <w:rPr>
                <w:rtl/>
                <w:lang w:eastAsia="en-US"/>
              </w:rPr>
              <w:tab/>
              <w:t>73.9</w:t>
            </w:r>
          </w:p>
        </w:tc>
        <w:tc>
          <w:tcPr>
            <w:tcW w:w="2516" w:type="dxa"/>
          </w:tcPr>
          <w:p w:rsidR="00000000" w:rsidRDefault="00000000">
            <w:pPr>
              <w:rPr>
                <w:rtl/>
                <w:lang w:eastAsia="en-US"/>
              </w:rPr>
            </w:pPr>
            <w:r>
              <w:rPr>
                <w:rtl/>
                <w:lang w:eastAsia="en-US"/>
              </w:rPr>
              <w:tab/>
              <w:t>74.1</w:t>
            </w:r>
          </w:p>
        </w:tc>
      </w:tr>
      <w:tr w:rsidR="00000000">
        <w:tblPrEx>
          <w:tblCellMar>
            <w:top w:w="0" w:type="dxa"/>
            <w:bottom w:w="0" w:type="dxa"/>
          </w:tblCellMar>
        </w:tblPrEx>
        <w:tc>
          <w:tcPr>
            <w:tcW w:w="2728" w:type="dxa"/>
          </w:tcPr>
          <w:p w:rsidR="00000000" w:rsidRDefault="00000000">
            <w:pPr>
              <w:rPr>
                <w:rtl/>
                <w:lang w:eastAsia="en-US"/>
              </w:rPr>
            </w:pPr>
            <w:r>
              <w:rPr>
                <w:rtl/>
                <w:lang w:eastAsia="en-US"/>
              </w:rPr>
              <w:t>العلوم البحتة</w:t>
            </w:r>
          </w:p>
        </w:tc>
        <w:tc>
          <w:tcPr>
            <w:tcW w:w="2304" w:type="dxa"/>
          </w:tcPr>
          <w:p w:rsidR="00000000" w:rsidRDefault="00000000">
            <w:pPr>
              <w:jc w:val="center"/>
              <w:rPr>
                <w:rtl/>
                <w:lang w:eastAsia="en-US"/>
              </w:rPr>
            </w:pPr>
            <w:r>
              <w:rPr>
                <w:rtl/>
                <w:lang w:eastAsia="en-US"/>
              </w:rPr>
              <w:t>46.3</w:t>
            </w:r>
          </w:p>
        </w:tc>
        <w:tc>
          <w:tcPr>
            <w:tcW w:w="2516" w:type="dxa"/>
          </w:tcPr>
          <w:p w:rsidR="00000000" w:rsidRDefault="00000000">
            <w:pPr>
              <w:rPr>
                <w:rtl/>
                <w:lang w:eastAsia="en-US"/>
              </w:rPr>
            </w:pPr>
            <w:r>
              <w:rPr>
                <w:rtl/>
                <w:lang w:eastAsia="en-US"/>
              </w:rPr>
              <w:tab/>
              <w:t>49.7</w:t>
            </w:r>
          </w:p>
        </w:tc>
        <w:tc>
          <w:tcPr>
            <w:tcW w:w="2516" w:type="dxa"/>
          </w:tcPr>
          <w:p w:rsidR="00000000" w:rsidRDefault="00000000">
            <w:pPr>
              <w:rPr>
                <w:rtl/>
                <w:lang w:eastAsia="en-US"/>
              </w:rPr>
            </w:pPr>
            <w:r>
              <w:rPr>
                <w:rtl/>
                <w:lang w:eastAsia="en-US"/>
              </w:rPr>
              <w:tab/>
              <w:t>49.9</w:t>
            </w:r>
          </w:p>
        </w:tc>
      </w:tr>
      <w:tr w:rsidR="00000000">
        <w:tblPrEx>
          <w:tblCellMar>
            <w:top w:w="0" w:type="dxa"/>
            <w:bottom w:w="0" w:type="dxa"/>
          </w:tblCellMar>
        </w:tblPrEx>
        <w:tc>
          <w:tcPr>
            <w:tcW w:w="2728" w:type="dxa"/>
          </w:tcPr>
          <w:p w:rsidR="00000000" w:rsidRDefault="00000000">
            <w:pPr>
              <w:rPr>
                <w:rtl/>
                <w:lang w:eastAsia="en-US"/>
              </w:rPr>
            </w:pPr>
            <w:r>
              <w:rPr>
                <w:rtl/>
                <w:lang w:eastAsia="en-US"/>
              </w:rPr>
              <w:t>العلوم التطبيقية</w:t>
            </w:r>
          </w:p>
        </w:tc>
        <w:tc>
          <w:tcPr>
            <w:tcW w:w="2304" w:type="dxa"/>
          </w:tcPr>
          <w:p w:rsidR="00000000" w:rsidRDefault="00000000">
            <w:pPr>
              <w:jc w:val="center"/>
              <w:rPr>
                <w:rtl/>
                <w:lang w:eastAsia="en-US"/>
              </w:rPr>
            </w:pPr>
            <w:r>
              <w:rPr>
                <w:rtl/>
                <w:lang w:eastAsia="en-US"/>
              </w:rPr>
              <w:t>25.9</w:t>
            </w:r>
          </w:p>
        </w:tc>
        <w:tc>
          <w:tcPr>
            <w:tcW w:w="2516" w:type="dxa"/>
          </w:tcPr>
          <w:p w:rsidR="00000000" w:rsidRDefault="00000000">
            <w:pPr>
              <w:rPr>
                <w:rtl/>
                <w:lang w:eastAsia="en-US"/>
              </w:rPr>
            </w:pPr>
            <w:r>
              <w:rPr>
                <w:rtl/>
                <w:lang w:eastAsia="en-US"/>
              </w:rPr>
              <w:tab/>
              <w:t>25.1</w:t>
            </w:r>
          </w:p>
        </w:tc>
        <w:tc>
          <w:tcPr>
            <w:tcW w:w="2516" w:type="dxa"/>
          </w:tcPr>
          <w:p w:rsidR="00000000" w:rsidRDefault="00000000">
            <w:pPr>
              <w:rPr>
                <w:rtl/>
                <w:lang w:eastAsia="en-US"/>
              </w:rPr>
            </w:pPr>
            <w:r>
              <w:rPr>
                <w:rtl/>
                <w:lang w:eastAsia="en-US"/>
              </w:rPr>
              <w:tab/>
              <w:t>26.3</w:t>
            </w:r>
          </w:p>
        </w:tc>
      </w:tr>
      <w:tr w:rsidR="00000000">
        <w:tblPrEx>
          <w:tblCellMar>
            <w:top w:w="0" w:type="dxa"/>
            <w:bottom w:w="0" w:type="dxa"/>
          </w:tblCellMar>
        </w:tblPrEx>
        <w:tc>
          <w:tcPr>
            <w:tcW w:w="2728" w:type="dxa"/>
          </w:tcPr>
          <w:p w:rsidR="00000000" w:rsidRDefault="00000000">
            <w:pPr>
              <w:rPr>
                <w:rtl/>
                <w:lang w:eastAsia="en-US"/>
              </w:rPr>
            </w:pPr>
            <w:r>
              <w:rPr>
                <w:rtl/>
                <w:lang w:eastAsia="en-US"/>
              </w:rPr>
              <w:t>العلوم الاجتماعية</w:t>
            </w:r>
          </w:p>
        </w:tc>
        <w:tc>
          <w:tcPr>
            <w:tcW w:w="2304" w:type="dxa"/>
          </w:tcPr>
          <w:p w:rsidR="00000000" w:rsidRDefault="00000000">
            <w:pPr>
              <w:jc w:val="center"/>
              <w:rPr>
                <w:rtl/>
                <w:lang w:eastAsia="en-US"/>
              </w:rPr>
            </w:pPr>
            <w:r>
              <w:rPr>
                <w:rtl/>
                <w:lang w:eastAsia="en-US"/>
              </w:rPr>
              <w:t>63.6</w:t>
            </w:r>
          </w:p>
        </w:tc>
        <w:tc>
          <w:tcPr>
            <w:tcW w:w="2516" w:type="dxa"/>
          </w:tcPr>
          <w:p w:rsidR="00000000" w:rsidRDefault="00000000">
            <w:pPr>
              <w:rPr>
                <w:rtl/>
                <w:lang w:eastAsia="en-US"/>
              </w:rPr>
            </w:pPr>
            <w:r>
              <w:rPr>
                <w:rtl/>
                <w:lang w:eastAsia="en-US"/>
              </w:rPr>
              <w:tab/>
              <w:t>63</w:t>
            </w:r>
          </w:p>
        </w:tc>
        <w:tc>
          <w:tcPr>
            <w:tcW w:w="2516" w:type="dxa"/>
          </w:tcPr>
          <w:p w:rsidR="00000000" w:rsidRDefault="00000000">
            <w:pPr>
              <w:rPr>
                <w:rtl/>
                <w:lang w:eastAsia="en-US"/>
              </w:rPr>
            </w:pPr>
            <w:r>
              <w:rPr>
                <w:rtl/>
                <w:lang w:eastAsia="en-US"/>
              </w:rPr>
              <w:tab/>
              <w:t>64.9</w:t>
            </w:r>
          </w:p>
        </w:tc>
      </w:tr>
      <w:tr w:rsidR="00000000">
        <w:tblPrEx>
          <w:tblCellMar>
            <w:top w:w="0" w:type="dxa"/>
            <w:bottom w:w="0" w:type="dxa"/>
          </w:tblCellMar>
        </w:tblPrEx>
        <w:tc>
          <w:tcPr>
            <w:tcW w:w="2728" w:type="dxa"/>
          </w:tcPr>
          <w:p w:rsidR="00000000" w:rsidRDefault="00000000">
            <w:pPr>
              <w:rPr>
                <w:rtl/>
                <w:lang w:eastAsia="en-US"/>
              </w:rPr>
            </w:pPr>
            <w:r>
              <w:rPr>
                <w:rtl/>
                <w:lang w:eastAsia="en-US"/>
              </w:rPr>
              <w:t>التربية</w:t>
            </w:r>
          </w:p>
        </w:tc>
        <w:tc>
          <w:tcPr>
            <w:tcW w:w="2304" w:type="dxa"/>
          </w:tcPr>
          <w:p w:rsidR="00000000" w:rsidRDefault="00000000">
            <w:pPr>
              <w:jc w:val="center"/>
              <w:rPr>
                <w:rtl/>
                <w:lang w:eastAsia="en-US"/>
              </w:rPr>
            </w:pPr>
            <w:r>
              <w:rPr>
                <w:rtl/>
                <w:lang w:eastAsia="en-US"/>
              </w:rPr>
              <w:t>77.5</w:t>
            </w:r>
          </w:p>
        </w:tc>
        <w:tc>
          <w:tcPr>
            <w:tcW w:w="2516" w:type="dxa"/>
          </w:tcPr>
          <w:p w:rsidR="00000000" w:rsidRDefault="00000000">
            <w:pPr>
              <w:rPr>
                <w:rtl/>
                <w:lang w:eastAsia="en-US"/>
              </w:rPr>
            </w:pPr>
            <w:r>
              <w:rPr>
                <w:rtl/>
                <w:lang w:eastAsia="en-US"/>
              </w:rPr>
              <w:tab/>
              <w:t>75.1</w:t>
            </w:r>
          </w:p>
        </w:tc>
        <w:tc>
          <w:tcPr>
            <w:tcW w:w="2516" w:type="dxa"/>
          </w:tcPr>
          <w:p w:rsidR="00000000" w:rsidRDefault="00000000">
            <w:pPr>
              <w:rPr>
                <w:rtl/>
                <w:lang w:eastAsia="en-US"/>
              </w:rPr>
            </w:pPr>
            <w:r>
              <w:rPr>
                <w:rtl/>
                <w:lang w:eastAsia="en-US"/>
              </w:rPr>
              <w:tab/>
              <w:t>76.9</w:t>
            </w:r>
          </w:p>
        </w:tc>
      </w:tr>
      <w:tr w:rsidR="00000000">
        <w:tblPrEx>
          <w:tblCellMar>
            <w:top w:w="0" w:type="dxa"/>
            <w:bottom w:w="0" w:type="dxa"/>
          </w:tblCellMar>
        </w:tblPrEx>
        <w:tc>
          <w:tcPr>
            <w:tcW w:w="2728" w:type="dxa"/>
          </w:tcPr>
          <w:p w:rsidR="00000000" w:rsidRDefault="00000000">
            <w:pPr>
              <w:rPr>
                <w:rtl/>
                <w:lang w:eastAsia="en-US"/>
              </w:rPr>
            </w:pPr>
            <w:r>
              <w:rPr>
                <w:rtl/>
                <w:lang w:eastAsia="en-US"/>
              </w:rPr>
              <w:t>الإدارة</w:t>
            </w:r>
          </w:p>
        </w:tc>
        <w:tc>
          <w:tcPr>
            <w:tcW w:w="2304" w:type="dxa"/>
          </w:tcPr>
          <w:p w:rsidR="00000000" w:rsidRDefault="00000000">
            <w:pPr>
              <w:jc w:val="center"/>
              <w:rPr>
                <w:rtl/>
                <w:lang w:eastAsia="en-US"/>
              </w:rPr>
            </w:pPr>
            <w:r>
              <w:rPr>
                <w:rtl/>
                <w:lang w:eastAsia="en-US"/>
              </w:rPr>
              <w:t>52.9</w:t>
            </w:r>
          </w:p>
        </w:tc>
        <w:tc>
          <w:tcPr>
            <w:tcW w:w="2516" w:type="dxa"/>
          </w:tcPr>
          <w:p w:rsidR="00000000" w:rsidRDefault="00000000">
            <w:pPr>
              <w:rPr>
                <w:rtl/>
                <w:lang w:eastAsia="en-US"/>
              </w:rPr>
            </w:pPr>
            <w:r>
              <w:rPr>
                <w:rtl/>
                <w:lang w:eastAsia="en-US"/>
              </w:rPr>
              <w:tab/>
              <w:t>53.1</w:t>
            </w:r>
          </w:p>
        </w:tc>
        <w:tc>
          <w:tcPr>
            <w:tcW w:w="2516" w:type="dxa"/>
          </w:tcPr>
          <w:p w:rsidR="00000000" w:rsidRDefault="00000000">
            <w:pPr>
              <w:rPr>
                <w:rtl/>
                <w:lang w:eastAsia="en-US"/>
              </w:rPr>
            </w:pPr>
            <w:r>
              <w:rPr>
                <w:rtl/>
                <w:lang w:eastAsia="en-US"/>
              </w:rPr>
              <w:tab/>
              <w:t>53.7</w:t>
            </w:r>
          </w:p>
        </w:tc>
      </w:tr>
      <w:tr w:rsidR="00000000">
        <w:tblPrEx>
          <w:tblCellMar>
            <w:top w:w="0" w:type="dxa"/>
            <w:bottom w:w="0" w:type="dxa"/>
          </w:tblCellMar>
        </w:tblPrEx>
        <w:tc>
          <w:tcPr>
            <w:tcW w:w="2728" w:type="dxa"/>
          </w:tcPr>
          <w:p w:rsidR="00000000" w:rsidRDefault="00000000">
            <w:pPr>
              <w:rPr>
                <w:rtl/>
                <w:lang w:eastAsia="en-US"/>
              </w:rPr>
            </w:pPr>
            <w:r>
              <w:rPr>
                <w:rtl/>
                <w:lang w:eastAsia="en-US"/>
              </w:rPr>
              <w:t>الفنون</w:t>
            </w:r>
          </w:p>
        </w:tc>
        <w:tc>
          <w:tcPr>
            <w:tcW w:w="2304" w:type="dxa"/>
          </w:tcPr>
          <w:p w:rsidR="00000000" w:rsidRDefault="00000000">
            <w:pPr>
              <w:jc w:val="center"/>
              <w:rPr>
                <w:rtl/>
                <w:lang w:eastAsia="en-US"/>
              </w:rPr>
            </w:pPr>
            <w:r>
              <w:rPr>
                <w:rtl/>
                <w:lang w:eastAsia="en-US"/>
              </w:rPr>
              <w:t>62.6</w:t>
            </w:r>
          </w:p>
        </w:tc>
        <w:tc>
          <w:tcPr>
            <w:tcW w:w="2516" w:type="dxa"/>
          </w:tcPr>
          <w:p w:rsidR="00000000" w:rsidRDefault="00000000">
            <w:pPr>
              <w:rPr>
                <w:rtl/>
                <w:lang w:eastAsia="en-US"/>
              </w:rPr>
            </w:pPr>
            <w:r>
              <w:rPr>
                <w:rtl/>
                <w:lang w:eastAsia="en-US"/>
              </w:rPr>
              <w:tab/>
              <w:t>64.8</w:t>
            </w:r>
          </w:p>
        </w:tc>
        <w:tc>
          <w:tcPr>
            <w:tcW w:w="2516" w:type="dxa"/>
          </w:tcPr>
          <w:p w:rsidR="00000000" w:rsidRDefault="00000000">
            <w:pPr>
              <w:rPr>
                <w:rtl/>
                <w:lang w:eastAsia="en-US"/>
              </w:rPr>
            </w:pPr>
            <w:r>
              <w:rPr>
                <w:rtl/>
                <w:lang w:eastAsia="en-US"/>
              </w:rPr>
              <w:tab/>
              <w:t>63.9</w:t>
            </w:r>
          </w:p>
        </w:tc>
      </w:tr>
      <w:tr w:rsidR="00000000">
        <w:tblPrEx>
          <w:tblCellMar>
            <w:top w:w="0" w:type="dxa"/>
            <w:bottom w:w="0" w:type="dxa"/>
          </w:tblCellMar>
        </w:tblPrEx>
        <w:tc>
          <w:tcPr>
            <w:tcW w:w="2728" w:type="dxa"/>
          </w:tcPr>
          <w:p w:rsidR="00000000" w:rsidRDefault="00000000">
            <w:pPr>
              <w:rPr>
                <w:rtl/>
                <w:lang w:eastAsia="en-US"/>
              </w:rPr>
            </w:pPr>
            <w:r>
              <w:rPr>
                <w:rtl/>
                <w:lang w:eastAsia="en-US"/>
              </w:rPr>
              <w:t>الأدب</w:t>
            </w:r>
          </w:p>
        </w:tc>
        <w:tc>
          <w:tcPr>
            <w:tcW w:w="2304" w:type="dxa"/>
          </w:tcPr>
          <w:p w:rsidR="00000000" w:rsidRDefault="00000000">
            <w:pPr>
              <w:jc w:val="center"/>
              <w:rPr>
                <w:rtl/>
                <w:lang w:eastAsia="en-US"/>
              </w:rPr>
            </w:pPr>
            <w:r>
              <w:rPr>
                <w:rtl/>
                <w:lang w:eastAsia="en-US"/>
              </w:rPr>
              <w:t>71.3</w:t>
            </w:r>
          </w:p>
        </w:tc>
        <w:tc>
          <w:tcPr>
            <w:tcW w:w="2516" w:type="dxa"/>
          </w:tcPr>
          <w:p w:rsidR="00000000" w:rsidRDefault="00000000">
            <w:pPr>
              <w:rPr>
                <w:rtl/>
                <w:lang w:eastAsia="en-US"/>
              </w:rPr>
            </w:pPr>
            <w:r>
              <w:rPr>
                <w:rtl/>
                <w:lang w:eastAsia="en-US"/>
              </w:rPr>
              <w:tab/>
              <w:t>72.4</w:t>
            </w:r>
          </w:p>
        </w:tc>
        <w:tc>
          <w:tcPr>
            <w:tcW w:w="2516" w:type="dxa"/>
          </w:tcPr>
          <w:p w:rsidR="00000000" w:rsidRDefault="00000000">
            <w:pPr>
              <w:rPr>
                <w:rtl/>
                <w:lang w:eastAsia="en-US"/>
              </w:rPr>
            </w:pPr>
            <w:r>
              <w:rPr>
                <w:rtl/>
                <w:lang w:eastAsia="en-US"/>
              </w:rPr>
              <w:tab/>
              <w:t>73.2</w:t>
            </w:r>
          </w:p>
        </w:tc>
      </w:tr>
      <w:tr w:rsidR="00000000">
        <w:tblPrEx>
          <w:tblCellMar>
            <w:top w:w="0" w:type="dxa"/>
            <w:bottom w:w="0" w:type="dxa"/>
          </w:tblCellMar>
        </w:tblPrEx>
        <w:tc>
          <w:tcPr>
            <w:tcW w:w="2728" w:type="dxa"/>
          </w:tcPr>
          <w:p w:rsidR="00000000" w:rsidRDefault="00000000">
            <w:pPr>
              <w:rPr>
                <w:rtl/>
                <w:lang w:eastAsia="en-US"/>
              </w:rPr>
            </w:pPr>
            <w:r>
              <w:rPr>
                <w:rtl/>
                <w:lang w:eastAsia="en-US"/>
              </w:rPr>
              <w:t>القانون</w:t>
            </w:r>
          </w:p>
        </w:tc>
        <w:tc>
          <w:tcPr>
            <w:tcW w:w="2304" w:type="dxa"/>
          </w:tcPr>
          <w:p w:rsidR="00000000" w:rsidRDefault="00000000">
            <w:pPr>
              <w:jc w:val="center"/>
              <w:rPr>
                <w:rtl/>
                <w:lang w:eastAsia="en-US"/>
              </w:rPr>
            </w:pPr>
            <w:r>
              <w:rPr>
                <w:rtl/>
                <w:lang w:eastAsia="en-US"/>
              </w:rPr>
              <w:t>56.8</w:t>
            </w:r>
          </w:p>
        </w:tc>
        <w:tc>
          <w:tcPr>
            <w:tcW w:w="2516" w:type="dxa"/>
          </w:tcPr>
          <w:p w:rsidR="00000000" w:rsidRDefault="00000000">
            <w:pPr>
              <w:rPr>
                <w:rtl/>
                <w:lang w:eastAsia="en-US"/>
              </w:rPr>
            </w:pPr>
            <w:r>
              <w:rPr>
                <w:rtl/>
                <w:lang w:eastAsia="en-US"/>
              </w:rPr>
              <w:tab/>
              <w:t>58.8</w:t>
            </w:r>
          </w:p>
        </w:tc>
        <w:tc>
          <w:tcPr>
            <w:tcW w:w="2516" w:type="dxa"/>
          </w:tcPr>
          <w:p w:rsidR="00000000" w:rsidRDefault="00000000">
            <w:pPr>
              <w:rPr>
                <w:rtl/>
                <w:lang w:eastAsia="en-US"/>
              </w:rPr>
            </w:pPr>
            <w:r>
              <w:rPr>
                <w:rtl/>
                <w:lang w:eastAsia="en-US"/>
              </w:rPr>
              <w:tab/>
              <w:t>61</w:t>
            </w:r>
          </w:p>
        </w:tc>
      </w:tr>
      <w:tr w:rsidR="00000000">
        <w:tblPrEx>
          <w:tblCellMar>
            <w:top w:w="0" w:type="dxa"/>
            <w:bottom w:w="0" w:type="dxa"/>
          </w:tblCellMar>
        </w:tblPrEx>
        <w:tc>
          <w:tcPr>
            <w:tcW w:w="2728" w:type="dxa"/>
          </w:tcPr>
          <w:p w:rsidR="00000000" w:rsidRDefault="00000000">
            <w:pPr>
              <w:rPr>
                <w:rtl/>
                <w:lang w:eastAsia="en-US"/>
              </w:rPr>
            </w:pPr>
            <w:r>
              <w:rPr>
                <w:rtl/>
                <w:lang w:eastAsia="en-US"/>
              </w:rPr>
              <w:t>الدراسات المتعددة التخصصات</w:t>
            </w:r>
          </w:p>
        </w:tc>
        <w:tc>
          <w:tcPr>
            <w:tcW w:w="2304" w:type="dxa"/>
          </w:tcPr>
          <w:p w:rsidR="00000000" w:rsidRDefault="00000000">
            <w:pPr>
              <w:jc w:val="center"/>
              <w:rPr>
                <w:rtl/>
                <w:lang w:eastAsia="en-US"/>
              </w:rPr>
            </w:pPr>
            <w:r>
              <w:rPr>
                <w:rtl/>
                <w:lang w:eastAsia="en-US"/>
              </w:rPr>
              <w:t>64.1</w:t>
            </w:r>
          </w:p>
        </w:tc>
        <w:tc>
          <w:tcPr>
            <w:tcW w:w="2516" w:type="dxa"/>
          </w:tcPr>
          <w:p w:rsidR="00000000" w:rsidRDefault="00000000">
            <w:pPr>
              <w:rPr>
                <w:rtl/>
                <w:lang w:eastAsia="en-US"/>
              </w:rPr>
            </w:pPr>
            <w:r>
              <w:rPr>
                <w:rtl/>
                <w:lang w:eastAsia="en-US"/>
              </w:rPr>
              <w:tab/>
              <w:t>67.8</w:t>
            </w:r>
          </w:p>
        </w:tc>
        <w:tc>
          <w:tcPr>
            <w:tcW w:w="2516" w:type="dxa"/>
          </w:tcPr>
          <w:p w:rsidR="00000000" w:rsidRDefault="00000000">
            <w:pPr>
              <w:rPr>
                <w:rtl/>
                <w:lang w:eastAsia="en-US"/>
              </w:rPr>
            </w:pPr>
            <w:r>
              <w:rPr>
                <w:rtl/>
                <w:lang w:eastAsia="en-US"/>
              </w:rPr>
              <w:tab/>
              <w:t>66.4</w:t>
            </w:r>
          </w:p>
        </w:tc>
      </w:tr>
      <w:tr w:rsidR="00000000">
        <w:tblPrEx>
          <w:tblCellMar>
            <w:top w:w="0" w:type="dxa"/>
            <w:bottom w:w="0" w:type="dxa"/>
          </w:tblCellMar>
        </w:tblPrEx>
        <w:tc>
          <w:tcPr>
            <w:tcW w:w="2728" w:type="dxa"/>
          </w:tcPr>
          <w:p w:rsidR="00000000" w:rsidRDefault="00000000">
            <w:pPr>
              <w:rPr>
                <w:rtl/>
                <w:lang w:eastAsia="en-US"/>
              </w:rPr>
            </w:pPr>
            <w:r>
              <w:rPr>
                <w:rtl/>
                <w:lang w:eastAsia="en-US"/>
              </w:rPr>
              <w:t>المجموع</w:t>
            </w:r>
          </w:p>
        </w:tc>
        <w:tc>
          <w:tcPr>
            <w:tcW w:w="2304" w:type="dxa"/>
          </w:tcPr>
          <w:p w:rsidR="00000000" w:rsidRDefault="00000000">
            <w:pPr>
              <w:jc w:val="center"/>
              <w:rPr>
                <w:rtl/>
                <w:lang w:eastAsia="en-US"/>
              </w:rPr>
            </w:pPr>
            <w:r>
              <w:rPr>
                <w:rtl/>
                <w:lang w:eastAsia="en-US"/>
              </w:rPr>
              <w:t>58.3</w:t>
            </w:r>
          </w:p>
        </w:tc>
        <w:tc>
          <w:tcPr>
            <w:tcW w:w="2516" w:type="dxa"/>
          </w:tcPr>
          <w:p w:rsidR="00000000" w:rsidRDefault="00000000">
            <w:pPr>
              <w:rPr>
                <w:rtl/>
                <w:lang w:eastAsia="en-US"/>
              </w:rPr>
            </w:pPr>
            <w:r>
              <w:rPr>
                <w:rtl/>
                <w:lang w:eastAsia="en-US"/>
              </w:rPr>
              <w:tab/>
              <w:t>58.6</w:t>
            </w:r>
          </w:p>
        </w:tc>
        <w:tc>
          <w:tcPr>
            <w:tcW w:w="2516" w:type="dxa"/>
          </w:tcPr>
          <w:p w:rsidR="00000000" w:rsidRDefault="00000000">
            <w:pPr>
              <w:rPr>
                <w:rtl/>
                <w:lang w:eastAsia="en-US"/>
              </w:rPr>
            </w:pPr>
            <w:r>
              <w:rPr>
                <w:rtl/>
                <w:lang w:eastAsia="en-US"/>
              </w:rPr>
              <w:tab/>
              <w:t>59.9</w:t>
            </w:r>
          </w:p>
        </w:tc>
      </w:tr>
    </w:tbl>
    <w:p w:rsidR="00000000" w:rsidRDefault="00000000">
      <w:pPr>
        <w:pStyle w:val="SingleTxt"/>
        <w:tabs>
          <w:tab w:val="clear" w:pos="1267"/>
        </w:tabs>
        <w:ind w:left="1264" w:right="1264"/>
        <w:rPr>
          <w:i/>
          <w:iCs/>
          <w:szCs w:val="26"/>
          <w:rtl/>
          <w:lang w:eastAsia="en-US"/>
        </w:rPr>
      </w:pPr>
      <w:r>
        <w:rPr>
          <w:i/>
          <w:iCs/>
          <w:szCs w:val="26"/>
          <w:rtl/>
          <w:lang w:eastAsia="en-US"/>
        </w:rPr>
        <w:t>المصدر:</w:t>
      </w:r>
      <w:r>
        <w:rPr>
          <w:i/>
          <w:iCs/>
          <w:szCs w:val="26"/>
          <w:rtl/>
          <w:lang w:eastAsia="en-US"/>
        </w:rPr>
        <w:tab/>
        <w:t xml:space="preserve">وزارة التعليم، نظام تعداد الملتحقين بالجامعات (5 </w:t>
      </w:r>
      <w:r>
        <w:rPr>
          <w:i/>
          <w:iCs/>
          <w:szCs w:val="26"/>
          <w:lang w:eastAsia="en-US"/>
        </w:rPr>
        <w:t>–</w:t>
      </w:r>
      <w:r>
        <w:rPr>
          <w:i/>
          <w:iCs/>
          <w:szCs w:val="26"/>
          <w:rtl/>
          <w:lang w:eastAsia="en-US"/>
        </w:rPr>
        <w:t xml:space="preserve"> 1 </w:t>
      </w:r>
      <w:r>
        <w:rPr>
          <w:i/>
          <w:iCs/>
          <w:szCs w:val="26"/>
          <w:lang w:eastAsia="en-US"/>
        </w:rPr>
        <w:t>–</w:t>
      </w:r>
      <w:r>
        <w:rPr>
          <w:i/>
          <w:iCs/>
          <w:szCs w:val="26"/>
          <w:rtl/>
          <w:lang w:eastAsia="en-US"/>
        </w:rPr>
        <w:t xml:space="preserve"> 1998)</w:t>
      </w:r>
    </w:p>
    <w:p w:rsidR="00000000" w:rsidRDefault="00000000">
      <w:pPr>
        <w:pStyle w:val="SingleTxt"/>
        <w:tabs>
          <w:tab w:val="clear" w:pos="1267"/>
        </w:tabs>
        <w:ind w:left="1264" w:right="1264"/>
        <w:rPr>
          <w:rtl/>
          <w:lang w:eastAsia="en-US"/>
        </w:rPr>
      </w:pPr>
      <w:r>
        <w:rPr>
          <w:i/>
          <w:iCs/>
          <w:szCs w:val="26"/>
          <w:rtl/>
          <w:lang w:eastAsia="en-US"/>
        </w:rPr>
        <w:t>ملاحظة:</w:t>
      </w:r>
      <w:r>
        <w:rPr>
          <w:i/>
          <w:iCs/>
          <w:szCs w:val="26"/>
          <w:rtl/>
          <w:lang w:eastAsia="en-US"/>
        </w:rPr>
        <w:tab/>
        <w:t>لا يشمل الدرجات التي تمنحها كلية سان جين الملكية العسكرية.</w:t>
      </w:r>
    </w:p>
    <w:p w:rsidR="00000000" w:rsidRDefault="00000000">
      <w:pPr>
        <w:pStyle w:val="SingleTxt"/>
        <w:tabs>
          <w:tab w:val="clear" w:pos="1267"/>
        </w:tabs>
        <w:ind w:left="1264" w:right="1264"/>
        <w:rPr>
          <w:b/>
          <w:bCs/>
          <w:szCs w:val="32"/>
          <w:rtl/>
          <w:lang w:eastAsia="en-US"/>
        </w:rPr>
      </w:pPr>
      <w:r>
        <w:rPr>
          <w:rtl/>
          <w:lang w:eastAsia="en-US"/>
        </w:rPr>
        <w:br w:type="page"/>
      </w:r>
      <w:r>
        <w:rPr>
          <w:b/>
          <w:bCs/>
          <w:szCs w:val="32"/>
          <w:rtl/>
          <w:lang w:eastAsia="en-US"/>
        </w:rPr>
        <w:t>التذييل 7: أُسر الوالد الوحيد</w:t>
      </w:r>
    </w:p>
    <w:p w:rsidR="00000000" w:rsidRDefault="00000000">
      <w:pPr>
        <w:pStyle w:val="SingleTxt"/>
        <w:tabs>
          <w:tab w:val="clear" w:pos="1267"/>
        </w:tabs>
        <w:ind w:left="1264" w:right="1264"/>
        <w:rPr>
          <w:rtl/>
          <w:lang w:eastAsia="en-US"/>
        </w:rPr>
      </w:pPr>
      <w:r>
        <w:rPr>
          <w:b/>
          <w:bCs/>
          <w:rtl/>
          <w:lang w:eastAsia="en-US"/>
        </w:rPr>
        <w:t>التغيّرات في عدد أُسر الوالد الوحيد في كيبيك</w:t>
      </w:r>
    </w:p>
    <w:tbl>
      <w:tblPr>
        <w:bidiVisual/>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1134"/>
        <w:gridCol w:w="851"/>
        <w:gridCol w:w="992"/>
        <w:gridCol w:w="709"/>
        <w:gridCol w:w="1134"/>
        <w:gridCol w:w="850"/>
        <w:gridCol w:w="1276"/>
        <w:gridCol w:w="709"/>
      </w:tblGrid>
      <w:tr w:rsidR="00000000">
        <w:tblPrEx>
          <w:tblCellMar>
            <w:top w:w="0" w:type="dxa"/>
            <w:bottom w:w="0" w:type="dxa"/>
          </w:tblCellMar>
        </w:tblPrEx>
        <w:trPr>
          <w:cantSplit/>
        </w:trPr>
        <w:tc>
          <w:tcPr>
            <w:tcW w:w="992" w:type="dxa"/>
            <w:vMerge w:val="restart"/>
          </w:tcPr>
          <w:p w:rsidR="00000000" w:rsidRDefault="00000000">
            <w:pPr>
              <w:jc w:val="center"/>
              <w:rPr>
                <w:i/>
                <w:iCs/>
                <w:rtl/>
                <w:lang w:eastAsia="en-US"/>
              </w:rPr>
            </w:pPr>
            <w:r>
              <w:rPr>
                <w:i/>
                <w:iCs/>
                <w:rtl/>
                <w:lang w:eastAsia="en-US"/>
              </w:rPr>
              <w:t>السنة</w:t>
            </w:r>
          </w:p>
        </w:tc>
        <w:tc>
          <w:tcPr>
            <w:tcW w:w="5670" w:type="dxa"/>
            <w:gridSpan w:val="6"/>
          </w:tcPr>
          <w:p w:rsidR="00000000" w:rsidRDefault="00000000">
            <w:pPr>
              <w:jc w:val="center"/>
              <w:rPr>
                <w:i/>
                <w:iCs/>
                <w:rtl/>
                <w:lang w:eastAsia="en-US"/>
              </w:rPr>
            </w:pPr>
            <w:r>
              <w:rPr>
                <w:i/>
                <w:iCs/>
                <w:rtl/>
                <w:lang w:eastAsia="en-US"/>
              </w:rPr>
              <w:t>أسر الوالد الوحيد</w:t>
            </w:r>
          </w:p>
        </w:tc>
        <w:tc>
          <w:tcPr>
            <w:tcW w:w="1985" w:type="dxa"/>
            <w:gridSpan w:val="2"/>
            <w:vMerge w:val="restart"/>
          </w:tcPr>
          <w:p w:rsidR="00000000" w:rsidRDefault="00000000">
            <w:pPr>
              <w:jc w:val="center"/>
              <w:rPr>
                <w:i/>
                <w:iCs/>
                <w:rtl/>
                <w:lang w:eastAsia="en-US"/>
              </w:rPr>
            </w:pPr>
            <w:r>
              <w:rPr>
                <w:i/>
                <w:iCs/>
                <w:rtl/>
                <w:lang w:eastAsia="en-US"/>
              </w:rPr>
              <w:t>جميع الأسر</w:t>
            </w:r>
          </w:p>
        </w:tc>
      </w:tr>
      <w:tr w:rsidR="00000000">
        <w:tblPrEx>
          <w:tblCellMar>
            <w:top w:w="0" w:type="dxa"/>
            <w:bottom w:w="0" w:type="dxa"/>
          </w:tblCellMar>
        </w:tblPrEx>
        <w:trPr>
          <w:cantSplit/>
        </w:trPr>
        <w:tc>
          <w:tcPr>
            <w:tcW w:w="992" w:type="dxa"/>
            <w:vMerge/>
          </w:tcPr>
          <w:p w:rsidR="00000000" w:rsidRDefault="00000000">
            <w:pPr>
              <w:jc w:val="center"/>
              <w:rPr>
                <w:i/>
                <w:iCs/>
                <w:rtl/>
                <w:lang w:eastAsia="en-US"/>
              </w:rPr>
            </w:pPr>
          </w:p>
        </w:tc>
        <w:tc>
          <w:tcPr>
            <w:tcW w:w="1985" w:type="dxa"/>
            <w:gridSpan w:val="2"/>
          </w:tcPr>
          <w:p w:rsidR="00000000" w:rsidRDefault="00000000">
            <w:pPr>
              <w:jc w:val="center"/>
              <w:rPr>
                <w:i/>
                <w:iCs/>
                <w:rtl/>
                <w:lang w:eastAsia="en-US"/>
              </w:rPr>
            </w:pPr>
            <w:r>
              <w:rPr>
                <w:i/>
                <w:iCs/>
                <w:rtl/>
                <w:lang w:eastAsia="en-US"/>
              </w:rPr>
              <w:t>امرأة</w:t>
            </w:r>
          </w:p>
        </w:tc>
        <w:tc>
          <w:tcPr>
            <w:tcW w:w="1701" w:type="dxa"/>
            <w:gridSpan w:val="2"/>
          </w:tcPr>
          <w:p w:rsidR="00000000" w:rsidRDefault="00000000">
            <w:pPr>
              <w:pStyle w:val="Heading2"/>
              <w:rPr>
                <w:rtl/>
              </w:rPr>
            </w:pPr>
            <w:r>
              <w:rPr>
                <w:rtl/>
              </w:rPr>
              <w:t>رجل</w:t>
            </w:r>
          </w:p>
        </w:tc>
        <w:tc>
          <w:tcPr>
            <w:tcW w:w="1984" w:type="dxa"/>
            <w:gridSpan w:val="2"/>
          </w:tcPr>
          <w:p w:rsidR="00000000" w:rsidRDefault="00000000">
            <w:pPr>
              <w:jc w:val="center"/>
              <w:rPr>
                <w:i/>
                <w:iCs/>
                <w:rtl/>
                <w:lang w:eastAsia="en-US"/>
              </w:rPr>
            </w:pPr>
            <w:r>
              <w:rPr>
                <w:i/>
                <w:iCs/>
                <w:rtl/>
                <w:lang w:eastAsia="en-US"/>
              </w:rPr>
              <w:t>المجموع</w:t>
            </w:r>
          </w:p>
        </w:tc>
        <w:tc>
          <w:tcPr>
            <w:tcW w:w="1985" w:type="dxa"/>
            <w:gridSpan w:val="2"/>
            <w:vMerge/>
          </w:tcPr>
          <w:p w:rsidR="00000000" w:rsidRDefault="00000000">
            <w:pPr>
              <w:jc w:val="center"/>
              <w:rPr>
                <w:i/>
                <w:iCs/>
                <w:rtl/>
                <w:lang w:eastAsia="en-US"/>
              </w:rPr>
            </w:pPr>
          </w:p>
        </w:tc>
      </w:tr>
      <w:tr w:rsidR="00000000">
        <w:tblPrEx>
          <w:tblCellMar>
            <w:top w:w="0" w:type="dxa"/>
            <w:bottom w:w="0" w:type="dxa"/>
          </w:tblCellMar>
        </w:tblPrEx>
        <w:tc>
          <w:tcPr>
            <w:tcW w:w="992" w:type="dxa"/>
          </w:tcPr>
          <w:p w:rsidR="00000000" w:rsidRDefault="00000000">
            <w:pPr>
              <w:jc w:val="center"/>
              <w:rPr>
                <w:i/>
                <w:iCs/>
                <w:rtl/>
                <w:lang w:eastAsia="en-US"/>
              </w:rPr>
            </w:pPr>
          </w:p>
        </w:tc>
        <w:tc>
          <w:tcPr>
            <w:tcW w:w="1134" w:type="dxa"/>
          </w:tcPr>
          <w:p w:rsidR="00000000" w:rsidRDefault="00000000">
            <w:pPr>
              <w:jc w:val="center"/>
              <w:rPr>
                <w:i/>
                <w:iCs/>
                <w:rtl/>
                <w:lang w:eastAsia="en-US"/>
              </w:rPr>
            </w:pPr>
            <w:r>
              <w:rPr>
                <w:i/>
                <w:iCs/>
                <w:rtl/>
                <w:lang w:eastAsia="en-US"/>
              </w:rPr>
              <w:t>العدد</w:t>
            </w:r>
          </w:p>
        </w:tc>
        <w:tc>
          <w:tcPr>
            <w:tcW w:w="851" w:type="dxa"/>
          </w:tcPr>
          <w:p w:rsidR="00000000" w:rsidRDefault="00000000">
            <w:pPr>
              <w:jc w:val="center"/>
              <w:rPr>
                <w:i/>
                <w:iCs/>
                <w:rtl/>
                <w:lang w:eastAsia="en-US"/>
              </w:rPr>
            </w:pPr>
            <w:r>
              <w:rPr>
                <w:rFonts w:cs="Akhbar MT"/>
                <w:i/>
                <w:iCs/>
                <w:rtl/>
                <w:lang w:eastAsia="en-US"/>
              </w:rPr>
              <w:t>(%)</w:t>
            </w:r>
          </w:p>
        </w:tc>
        <w:tc>
          <w:tcPr>
            <w:tcW w:w="992" w:type="dxa"/>
          </w:tcPr>
          <w:p w:rsidR="00000000" w:rsidRDefault="00000000">
            <w:pPr>
              <w:jc w:val="center"/>
              <w:rPr>
                <w:i/>
                <w:iCs/>
                <w:rtl/>
                <w:lang w:eastAsia="en-US"/>
              </w:rPr>
            </w:pPr>
            <w:r>
              <w:rPr>
                <w:i/>
                <w:iCs/>
                <w:rtl/>
                <w:lang w:eastAsia="en-US"/>
              </w:rPr>
              <w:t>العدد</w:t>
            </w:r>
          </w:p>
        </w:tc>
        <w:tc>
          <w:tcPr>
            <w:tcW w:w="709" w:type="dxa"/>
          </w:tcPr>
          <w:p w:rsidR="00000000" w:rsidRDefault="00000000">
            <w:pPr>
              <w:jc w:val="center"/>
              <w:rPr>
                <w:i/>
                <w:iCs/>
                <w:rtl/>
                <w:lang w:eastAsia="en-US"/>
              </w:rPr>
            </w:pPr>
            <w:r>
              <w:rPr>
                <w:rFonts w:cs="Akhbar MT"/>
                <w:i/>
                <w:iCs/>
                <w:rtl/>
                <w:lang w:eastAsia="en-US"/>
              </w:rPr>
              <w:t>(%)</w:t>
            </w:r>
          </w:p>
        </w:tc>
        <w:tc>
          <w:tcPr>
            <w:tcW w:w="1134" w:type="dxa"/>
          </w:tcPr>
          <w:p w:rsidR="00000000" w:rsidRDefault="00000000">
            <w:pPr>
              <w:jc w:val="center"/>
              <w:rPr>
                <w:i/>
                <w:iCs/>
                <w:rtl/>
                <w:lang w:eastAsia="en-US"/>
              </w:rPr>
            </w:pPr>
            <w:r>
              <w:rPr>
                <w:i/>
                <w:iCs/>
                <w:rtl/>
                <w:lang w:eastAsia="en-US"/>
              </w:rPr>
              <w:t>العدد</w:t>
            </w:r>
          </w:p>
        </w:tc>
        <w:tc>
          <w:tcPr>
            <w:tcW w:w="850" w:type="dxa"/>
          </w:tcPr>
          <w:p w:rsidR="00000000" w:rsidRDefault="00000000">
            <w:pPr>
              <w:jc w:val="center"/>
              <w:rPr>
                <w:i/>
                <w:iCs/>
                <w:rtl/>
                <w:lang w:eastAsia="en-US"/>
              </w:rPr>
            </w:pPr>
            <w:r>
              <w:rPr>
                <w:rFonts w:cs="Akhbar MT"/>
                <w:i/>
                <w:iCs/>
                <w:rtl/>
                <w:lang w:eastAsia="en-US"/>
              </w:rPr>
              <w:t>(%)</w:t>
            </w:r>
          </w:p>
        </w:tc>
        <w:tc>
          <w:tcPr>
            <w:tcW w:w="1276" w:type="dxa"/>
          </w:tcPr>
          <w:p w:rsidR="00000000" w:rsidRDefault="00000000">
            <w:pPr>
              <w:jc w:val="center"/>
              <w:rPr>
                <w:i/>
                <w:iCs/>
                <w:rtl/>
                <w:lang w:eastAsia="en-US"/>
              </w:rPr>
            </w:pPr>
            <w:r>
              <w:rPr>
                <w:i/>
                <w:iCs/>
                <w:rtl/>
                <w:lang w:eastAsia="en-US"/>
              </w:rPr>
              <w:t>العدد</w:t>
            </w:r>
          </w:p>
        </w:tc>
        <w:tc>
          <w:tcPr>
            <w:tcW w:w="709" w:type="dxa"/>
          </w:tcPr>
          <w:p w:rsidR="00000000" w:rsidRDefault="00000000">
            <w:pPr>
              <w:jc w:val="center"/>
              <w:rPr>
                <w:i/>
                <w:iCs/>
                <w:rtl/>
                <w:lang w:eastAsia="en-US"/>
              </w:rPr>
            </w:pPr>
            <w:r>
              <w:rPr>
                <w:rFonts w:cs="Akhbar MT"/>
                <w:i/>
                <w:iCs/>
                <w:rtl/>
                <w:lang w:eastAsia="en-US"/>
              </w:rPr>
              <w:t>(%)</w:t>
            </w:r>
          </w:p>
        </w:tc>
      </w:tr>
      <w:tr w:rsidR="00000000">
        <w:tblPrEx>
          <w:tblCellMar>
            <w:top w:w="0" w:type="dxa"/>
            <w:bottom w:w="0" w:type="dxa"/>
          </w:tblCellMar>
        </w:tblPrEx>
        <w:tc>
          <w:tcPr>
            <w:tcW w:w="992" w:type="dxa"/>
          </w:tcPr>
          <w:p w:rsidR="00000000" w:rsidRDefault="00000000">
            <w:pPr>
              <w:rPr>
                <w:rtl/>
                <w:lang w:eastAsia="en-US"/>
              </w:rPr>
            </w:pPr>
            <w:r>
              <w:rPr>
                <w:rtl/>
                <w:lang w:eastAsia="en-US"/>
              </w:rPr>
              <w:t>1991</w:t>
            </w:r>
          </w:p>
        </w:tc>
        <w:tc>
          <w:tcPr>
            <w:tcW w:w="1134" w:type="dxa"/>
          </w:tcPr>
          <w:p w:rsidR="00000000" w:rsidRDefault="00000000">
            <w:pPr>
              <w:rPr>
                <w:szCs w:val="26"/>
                <w:rtl/>
                <w:lang w:eastAsia="en-US"/>
              </w:rPr>
            </w:pPr>
            <w:r>
              <w:rPr>
                <w:szCs w:val="26"/>
                <w:rtl/>
                <w:lang w:eastAsia="en-US"/>
              </w:rPr>
              <w:t>205 221</w:t>
            </w:r>
          </w:p>
        </w:tc>
        <w:tc>
          <w:tcPr>
            <w:tcW w:w="851" w:type="dxa"/>
          </w:tcPr>
          <w:p w:rsidR="00000000" w:rsidRDefault="00000000">
            <w:pPr>
              <w:rPr>
                <w:szCs w:val="26"/>
                <w:rtl/>
                <w:lang w:eastAsia="en-US"/>
              </w:rPr>
            </w:pPr>
            <w:r>
              <w:rPr>
                <w:szCs w:val="26"/>
                <w:rtl/>
                <w:lang w:eastAsia="en-US"/>
              </w:rPr>
              <w:t>82.3</w:t>
            </w:r>
          </w:p>
        </w:tc>
        <w:tc>
          <w:tcPr>
            <w:tcW w:w="992" w:type="dxa"/>
          </w:tcPr>
          <w:p w:rsidR="00000000" w:rsidRDefault="00000000">
            <w:pPr>
              <w:rPr>
                <w:szCs w:val="26"/>
                <w:rtl/>
                <w:lang w:eastAsia="en-US"/>
              </w:rPr>
            </w:pPr>
            <w:r>
              <w:rPr>
                <w:szCs w:val="26"/>
                <w:rtl/>
                <w:lang w:eastAsia="en-US"/>
              </w:rPr>
              <w:t>645 47</w:t>
            </w:r>
          </w:p>
        </w:tc>
        <w:tc>
          <w:tcPr>
            <w:tcW w:w="709" w:type="dxa"/>
          </w:tcPr>
          <w:p w:rsidR="00000000" w:rsidRDefault="00000000">
            <w:pPr>
              <w:rPr>
                <w:szCs w:val="26"/>
                <w:rtl/>
                <w:lang w:eastAsia="en-US"/>
              </w:rPr>
            </w:pPr>
            <w:r>
              <w:rPr>
                <w:szCs w:val="26"/>
                <w:rtl/>
                <w:lang w:eastAsia="en-US"/>
              </w:rPr>
              <w:t>17.7</w:t>
            </w:r>
          </w:p>
        </w:tc>
        <w:tc>
          <w:tcPr>
            <w:tcW w:w="1134" w:type="dxa"/>
          </w:tcPr>
          <w:p w:rsidR="00000000" w:rsidRDefault="00000000">
            <w:pPr>
              <w:rPr>
                <w:szCs w:val="26"/>
                <w:rtl/>
                <w:lang w:eastAsia="en-US"/>
              </w:rPr>
            </w:pPr>
            <w:r>
              <w:rPr>
                <w:szCs w:val="26"/>
                <w:rtl/>
                <w:lang w:eastAsia="en-US"/>
              </w:rPr>
              <w:t>850 268</w:t>
            </w:r>
          </w:p>
        </w:tc>
        <w:tc>
          <w:tcPr>
            <w:tcW w:w="850" w:type="dxa"/>
          </w:tcPr>
          <w:p w:rsidR="00000000" w:rsidRDefault="00000000">
            <w:pPr>
              <w:rPr>
                <w:szCs w:val="26"/>
                <w:rtl/>
                <w:lang w:eastAsia="en-US"/>
              </w:rPr>
            </w:pPr>
            <w:r>
              <w:rPr>
                <w:szCs w:val="26"/>
                <w:rtl/>
                <w:lang w:eastAsia="en-US"/>
              </w:rPr>
              <w:t>14.2</w:t>
            </w:r>
          </w:p>
        </w:tc>
        <w:tc>
          <w:tcPr>
            <w:tcW w:w="1276" w:type="dxa"/>
          </w:tcPr>
          <w:p w:rsidR="00000000" w:rsidRDefault="00000000">
            <w:pPr>
              <w:rPr>
                <w:szCs w:val="26"/>
                <w:rtl/>
                <w:lang w:eastAsia="en-US"/>
              </w:rPr>
            </w:pPr>
            <w:r>
              <w:rPr>
                <w:szCs w:val="26"/>
                <w:rtl/>
                <w:lang w:eastAsia="en-US"/>
              </w:rPr>
              <w:t>135 883 1</w:t>
            </w:r>
          </w:p>
        </w:tc>
        <w:tc>
          <w:tcPr>
            <w:tcW w:w="709" w:type="dxa"/>
          </w:tcPr>
          <w:p w:rsidR="00000000" w:rsidRDefault="00000000">
            <w:pPr>
              <w:rPr>
                <w:szCs w:val="26"/>
                <w:rtl/>
                <w:lang w:eastAsia="en-US"/>
              </w:rPr>
            </w:pPr>
            <w:r>
              <w:rPr>
                <w:szCs w:val="26"/>
                <w:rtl/>
                <w:lang w:eastAsia="en-US"/>
              </w:rPr>
              <w:t>100</w:t>
            </w:r>
          </w:p>
        </w:tc>
      </w:tr>
      <w:tr w:rsidR="00000000">
        <w:tblPrEx>
          <w:tblCellMar>
            <w:top w:w="0" w:type="dxa"/>
            <w:bottom w:w="0" w:type="dxa"/>
          </w:tblCellMar>
        </w:tblPrEx>
        <w:tc>
          <w:tcPr>
            <w:tcW w:w="992" w:type="dxa"/>
          </w:tcPr>
          <w:p w:rsidR="00000000" w:rsidRDefault="00000000">
            <w:pPr>
              <w:rPr>
                <w:rtl/>
                <w:lang w:eastAsia="en-US"/>
              </w:rPr>
            </w:pPr>
            <w:r>
              <w:rPr>
                <w:rtl/>
                <w:lang w:eastAsia="en-US"/>
              </w:rPr>
              <w:t>1996</w:t>
            </w:r>
          </w:p>
        </w:tc>
        <w:tc>
          <w:tcPr>
            <w:tcW w:w="1134" w:type="dxa"/>
          </w:tcPr>
          <w:p w:rsidR="00000000" w:rsidRDefault="00000000">
            <w:pPr>
              <w:rPr>
                <w:szCs w:val="26"/>
                <w:rtl/>
                <w:lang w:eastAsia="en-US"/>
              </w:rPr>
            </w:pPr>
            <w:r>
              <w:rPr>
                <w:szCs w:val="26"/>
                <w:rtl/>
                <w:lang w:eastAsia="en-US"/>
              </w:rPr>
              <w:t>515 252</w:t>
            </w:r>
          </w:p>
        </w:tc>
        <w:tc>
          <w:tcPr>
            <w:tcW w:w="851" w:type="dxa"/>
          </w:tcPr>
          <w:p w:rsidR="00000000" w:rsidRDefault="00000000">
            <w:pPr>
              <w:rPr>
                <w:szCs w:val="26"/>
                <w:rtl/>
                <w:lang w:eastAsia="en-US"/>
              </w:rPr>
            </w:pPr>
            <w:r>
              <w:rPr>
                <w:szCs w:val="26"/>
                <w:rtl/>
                <w:lang w:eastAsia="en-US"/>
              </w:rPr>
              <w:t>81.6</w:t>
            </w:r>
          </w:p>
        </w:tc>
        <w:tc>
          <w:tcPr>
            <w:tcW w:w="992" w:type="dxa"/>
          </w:tcPr>
          <w:p w:rsidR="00000000" w:rsidRDefault="00000000">
            <w:pPr>
              <w:rPr>
                <w:szCs w:val="26"/>
                <w:rtl/>
                <w:lang w:eastAsia="en-US"/>
              </w:rPr>
            </w:pPr>
            <w:r>
              <w:rPr>
                <w:szCs w:val="26"/>
                <w:rtl/>
                <w:lang w:eastAsia="en-US"/>
              </w:rPr>
              <w:t>920 56</w:t>
            </w:r>
          </w:p>
        </w:tc>
        <w:tc>
          <w:tcPr>
            <w:tcW w:w="709" w:type="dxa"/>
          </w:tcPr>
          <w:p w:rsidR="00000000" w:rsidRDefault="00000000">
            <w:pPr>
              <w:rPr>
                <w:szCs w:val="26"/>
                <w:rtl/>
                <w:lang w:eastAsia="en-US"/>
              </w:rPr>
            </w:pPr>
            <w:r>
              <w:rPr>
                <w:szCs w:val="26"/>
                <w:rtl/>
                <w:lang w:eastAsia="en-US"/>
              </w:rPr>
              <w:t>18.4</w:t>
            </w:r>
          </w:p>
        </w:tc>
        <w:tc>
          <w:tcPr>
            <w:tcW w:w="1134" w:type="dxa"/>
          </w:tcPr>
          <w:p w:rsidR="00000000" w:rsidRDefault="00000000">
            <w:pPr>
              <w:rPr>
                <w:szCs w:val="26"/>
                <w:rtl/>
                <w:lang w:eastAsia="en-US"/>
              </w:rPr>
            </w:pPr>
            <w:r>
              <w:rPr>
                <w:szCs w:val="26"/>
                <w:rtl/>
                <w:lang w:eastAsia="en-US"/>
              </w:rPr>
              <w:t>435 309</w:t>
            </w:r>
          </w:p>
        </w:tc>
        <w:tc>
          <w:tcPr>
            <w:tcW w:w="850" w:type="dxa"/>
          </w:tcPr>
          <w:p w:rsidR="00000000" w:rsidRDefault="00000000">
            <w:pPr>
              <w:rPr>
                <w:szCs w:val="26"/>
                <w:rtl/>
                <w:lang w:eastAsia="en-US"/>
              </w:rPr>
            </w:pPr>
            <w:r>
              <w:rPr>
                <w:szCs w:val="26"/>
                <w:rtl/>
                <w:lang w:eastAsia="en-US"/>
              </w:rPr>
              <w:t>15.9</w:t>
            </w:r>
          </w:p>
        </w:tc>
        <w:tc>
          <w:tcPr>
            <w:tcW w:w="1276" w:type="dxa"/>
          </w:tcPr>
          <w:p w:rsidR="00000000" w:rsidRDefault="00000000">
            <w:pPr>
              <w:rPr>
                <w:szCs w:val="26"/>
                <w:rtl/>
                <w:lang w:eastAsia="en-US"/>
              </w:rPr>
            </w:pPr>
            <w:r>
              <w:rPr>
                <w:szCs w:val="26"/>
                <w:rtl/>
                <w:lang w:eastAsia="en-US"/>
              </w:rPr>
              <w:t>975 949 1</w:t>
            </w:r>
          </w:p>
        </w:tc>
        <w:tc>
          <w:tcPr>
            <w:tcW w:w="709" w:type="dxa"/>
          </w:tcPr>
          <w:p w:rsidR="00000000" w:rsidRDefault="00000000">
            <w:pPr>
              <w:rPr>
                <w:szCs w:val="26"/>
                <w:rtl/>
                <w:lang w:eastAsia="en-US"/>
              </w:rPr>
            </w:pPr>
            <w:r>
              <w:rPr>
                <w:szCs w:val="26"/>
                <w:rtl/>
                <w:lang w:eastAsia="en-US"/>
              </w:rPr>
              <w:t>100</w:t>
            </w:r>
          </w:p>
        </w:tc>
      </w:tr>
    </w:tbl>
    <w:p w:rsidR="00000000" w:rsidRDefault="00000000">
      <w:pPr>
        <w:pStyle w:val="SingleTxt"/>
        <w:tabs>
          <w:tab w:val="clear" w:pos="1267"/>
        </w:tabs>
        <w:ind w:left="1264" w:right="1264"/>
        <w:rPr>
          <w:i/>
          <w:iCs/>
          <w:szCs w:val="26"/>
          <w:rtl/>
          <w:lang w:eastAsia="en-US"/>
        </w:rPr>
      </w:pPr>
      <w:r>
        <w:rPr>
          <w:i/>
          <w:iCs/>
          <w:szCs w:val="26"/>
          <w:rtl/>
          <w:lang w:eastAsia="en-US"/>
        </w:rPr>
        <w:t>المصدر:</w:t>
      </w:r>
      <w:r>
        <w:rPr>
          <w:i/>
          <w:iCs/>
          <w:szCs w:val="26"/>
          <w:rtl/>
          <w:lang w:eastAsia="en-US"/>
        </w:rPr>
        <w:tab/>
        <w:t>إحصاءات كندا، تعدادا 1991 و 1996، جداول السلاسل القومية.</w:t>
      </w:r>
    </w:p>
    <w:p w:rsidR="00000000" w:rsidRDefault="00000000">
      <w:pPr>
        <w:pStyle w:val="SingleTxt"/>
        <w:tabs>
          <w:tab w:val="clear" w:pos="1267"/>
        </w:tabs>
        <w:ind w:left="1264" w:right="1264"/>
        <w:rPr>
          <w:szCs w:val="32"/>
          <w:rtl/>
          <w:lang w:eastAsia="en-US"/>
        </w:rPr>
      </w:pPr>
      <w:r>
        <w:rPr>
          <w:i/>
          <w:iCs/>
          <w:szCs w:val="26"/>
          <w:rtl/>
          <w:lang w:eastAsia="en-US"/>
        </w:rPr>
        <w:br w:type="page"/>
      </w:r>
      <w:r>
        <w:rPr>
          <w:b/>
          <w:bCs/>
          <w:szCs w:val="32"/>
          <w:rtl/>
          <w:lang w:eastAsia="en-US"/>
        </w:rPr>
        <w:t>التذييل 8: الإجراءات القانونية التي شملت التحرُّش الجنسي</w:t>
      </w:r>
    </w:p>
    <w:p w:rsidR="00000000" w:rsidRDefault="00000000">
      <w:pPr>
        <w:pStyle w:val="SingleTxt"/>
        <w:tabs>
          <w:tab w:val="clear" w:pos="1267"/>
          <w:tab w:val="left" w:pos="1486"/>
        </w:tabs>
        <w:ind w:left="1927" w:right="1264" w:hanging="663"/>
        <w:rPr>
          <w:rtl/>
          <w:lang w:eastAsia="en-US"/>
        </w:rPr>
      </w:pPr>
      <w:r>
        <w:rPr>
          <w:i/>
          <w:iCs/>
          <w:szCs w:val="26"/>
          <w:rtl/>
          <w:lang w:eastAsia="en-US"/>
        </w:rPr>
        <w:tab/>
        <w:t>•</w:t>
      </w:r>
      <w:r>
        <w:rPr>
          <w:i/>
          <w:iCs/>
          <w:szCs w:val="26"/>
          <w:rtl/>
          <w:lang w:eastAsia="en-US"/>
        </w:rPr>
        <w:tab/>
      </w:r>
      <w:r>
        <w:rPr>
          <w:i/>
          <w:iCs/>
          <w:szCs w:val="26"/>
          <w:lang w:eastAsia="en-US"/>
        </w:rPr>
        <w:t>CDP v. Ville de Montr</w:t>
      </w:r>
      <w:r>
        <w:rPr>
          <w:rFonts w:cs="Times New Roman"/>
          <w:i/>
          <w:iCs/>
          <w:szCs w:val="26"/>
          <w:lang w:eastAsia="en-US"/>
        </w:rPr>
        <w:t>é</w:t>
      </w:r>
      <w:r>
        <w:rPr>
          <w:i/>
          <w:iCs/>
          <w:szCs w:val="26"/>
          <w:lang w:eastAsia="en-US"/>
        </w:rPr>
        <w:t xml:space="preserve">al et Marcel Bastien, </w:t>
      </w:r>
      <w:r>
        <w:rPr>
          <w:szCs w:val="26"/>
          <w:lang w:eastAsia="en-US"/>
        </w:rPr>
        <w:t>T.D.P.Q., No 500-53-000003-495</w:t>
      </w:r>
      <w:r>
        <w:rPr>
          <w:szCs w:val="26"/>
          <w:rtl/>
          <w:lang w:eastAsia="en-US"/>
        </w:rPr>
        <w:t xml:space="preserve">، </w:t>
      </w:r>
      <w:r>
        <w:rPr>
          <w:rtl/>
          <w:lang w:eastAsia="en-US"/>
        </w:rPr>
        <w:t>14 كانون الأول/ديسمبر 1994 (القاضي سيمون بروسار) ادعت الشاكية حدوث تحرش جنسي من جانب رئيس فريقها في العمل أوصل إلى حيث أجبرها فيها على أن تمارس عليه عملية الاستمناء. وطالبت الشاكية بمبلغ 000 15 دولار عن الآلام والمعاناة ومبلغ 000 4 دولار عن التعويضات المادية. وقضت المحكمة برفض الشكوى وتحميل المدعية المصاريف.</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r>
      <w:r>
        <w:rPr>
          <w:i/>
          <w:iCs/>
          <w:lang w:eastAsia="en-US"/>
        </w:rPr>
        <w:t xml:space="preserve">CDP v. Jacques Lemay, T.D.P.Q., </w:t>
      </w:r>
      <w:r>
        <w:rPr>
          <w:lang w:eastAsia="en-US"/>
        </w:rPr>
        <w:t>No 615-53-000002-943, No 615-53-000003-941, No 615-53-000004-949</w:t>
      </w:r>
      <w:r>
        <w:rPr>
          <w:rtl/>
          <w:lang w:eastAsia="en-US"/>
        </w:rPr>
        <w:t>، 12 حزيران/يونيه 1995 (القاضي مايكل شيهان) ثلاث شكاوى ادعت صاحباتها فيها بحدوث تحرش جنسي من جانب المدير العام لسوبرماركت يعملن فيه. وقد تم قبول الشكاوى مع التكاليف ومُنحت الشاكيات تعويضات عما كابدن من آلام ومعاناة بمبالغ 000 2 دولار و 000 3 و 000 6 دولار على التوالي.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r>
      <w:r>
        <w:rPr>
          <w:i/>
          <w:iCs/>
          <w:lang w:eastAsia="en-US"/>
        </w:rPr>
        <w:t>CDPDJ v. R</w:t>
      </w:r>
      <w:r>
        <w:rPr>
          <w:rFonts w:cs="Times New Roman"/>
          <w:i/>
          <w:iCs/>
          <w:lang w:eastAsia="en-US"/>
        </w:rPr>
        <w:t>é</w:t>
      </w:r>
      <w:r>
        <w:rPr>
          <w:i/>
          <w:iCs/>
          <w:lang w:eastAsia="en-US"/>
        </w:rPr>
        <w:t>ginald Trudel</w:t>
      </w:r>
      <w:r>
        <w:rPr>
          <w:lang w:eastAsia="en-US"/>
        </w:rPr>
        <w:t>, T.D.P.Q., No 700-53-000001-960</w:t>
      </w:r>
      <w:r>
        <w:rPr>
          <w:rtl/>
          <w:lang w:eastAsia="en-US"/>
        </w:rPr>
        <w:t>، 27 أيلول/سبتمبر 1996 (القاضي سيمون بروسار) ادعت الشاكية أنها تعرضت لتحرش جنسي من جانب رب عملها وبالذات أنه كان يوجه لها ملاحظات مهينة. وبما أن الشاكية لم تحضر لتدلي بشهادتها في المحاكمة فقد تم رفض الشكوى مع تحميلها المصاريف.</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r>
      <w:r>
        <w:rPr>
          <w:i/>
          <w:iCs/>
          <w:lang w:eastAsia="en-US"/>
        </w:rPr>
        <w:t>CDPDJ v. John Zervakis, faisant affaires sous la raison social “VITO SUBM</w:t>
      </w:r>
      <w:r>
        <w:rPr>
          <w:i/>
          <w:iCs/>
          <w:lang w:eastAsia="en-US"/>
        </w:rPr>
        <w:t>A</w:t>
      </w:r>
      <w:r>
        <w:rPr>
          <w:i/>
          <w:iCs/>
          <w:lang w:eastAsia="en-US"/>
        </w:rPr>
        <w:t xml:space="preserve">RINE” et Joannis Chustoulakis faisant affaires sous la raison sociale “VITO SUBMARINE” et Maurice Loyer, </w:t>
      </w:r>
      <w:r>
        <w:rPr>
          <w:lang w:eastAsia="en-US"/>
        </w:rPr>
        <w:t>T.D.P.Q., No 755-53-000001-964</w:t>
      </w:r>
      <w:r>
        <w:rPr>
          <w:rtl/>
          <w:lang w:eastAsia="en-US"/>
        </w:rPr>
        <w:t>، 6حزيران/يونيه 1997 (القاضي سيمون بروسار) أدرجت اللجنة شكوى تحرش في موقع العمل ورفضت المحكمة الشكوى مع تحميل المصاريف على أساس عدم كفاية الأدلة.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r>
      <w:r>
        <w:rPr>
          <w:i/>
          <w:iCs/>
          <w:lang w:eastAsia="en-US"/>
        </w:rPr>
        <w:t>CDPDJ v. Coiffures Woncor inc. faisant affaires sous la raison sociale de “S</w:t>
      </w:r>
      <w:r>
        <w:rPr>
          <w:i/>
          <w:iCs/>
          <w:lang w:eastAsia="en-US"/>
        </w:rPr>
        <w:t>a</w:t>
      </w:r>
      <w:r>
        <w:rPr>
          <w:i/>
          <w:iCs/>
          <w:lang w:eastAsia="en-US"/>
        </w:rPr>
        <w:t xml:space="preserve">lon de coiffure Magicut” et Serge Therrien, </w:t>
      </w:r>
      <w:r>
        <w:rPr>
          <w:lang w:eastAsia="en-US"/>
        </w:rPr>
        <w:t>T.D.P.Q., No 500-53-000082-872</w:t>
      </w:r>
      <w:r>
        <w:rPr>
          <w:rtl/>
          <w:lang w:eastAsia="en-US"/>
        </w:rPr>
        <w:t>، 9 آذار/مارس 1998 (القاضي سيمون بروسار) ادعت الشاكية أنها تعرضت لتحرش جنسي كمصففة شعر. ولم تتمكن اللجنة من إثبات الطابع العدواني للتصرفات من جانب المتهم وتم رفض الشكوى مع تحميلها المصاريف.</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r>
      <w:r>
        <w:rPr>
          <w:i/>
          <w:iCs/>
          <w:lang w:eastAsia="en-US"/>
        </w:rPr>
        <w:t>CDPDJ v. 2849-5224 Qu</w:t>
      </w:r>
      <w:r>
        <w:rPr>
          <w:rFonts w:cs="Times New Roman"/>
          <w:i/>
          <w:iCs/>
          <w:lang w:eastAsia="en-US"/>
        </w:rPr>
        <w:t>é</w:t>
      </w:r>
      <w:r>
        <w:rPr>
          <w:i/>
          <w:iCs/>
          <w:lang w:eastAsia="en-US"/>
        </w:rPr>
        <w:t xml:space="preserve">bec inc. faisant affaires sous la raison sociale de Restaurant Delicatessen chez Alexandra enr. Et Georges Koutrouvideas, </w:t>
      </w:r>
      <w:r>
        <w:rPr>
          <w:lang w:eastAsia="en-US"/>
        </w:rPr>
        <w:t>T.D.P.Q., No 600-53-000004-974, No 600-53-000003-976</w:t>
      </w:r>
      <w:r>
        <w:rPr>
          <w:rtl/>
          <w:lang w:eastAsia="en-US"/>
        </w:rPr>
        <w:t>، 23 آذار/مارس 1998 (القاضي مايكل شيهان). ادعت الشاكيات أنهن تعرضن للتحرش الجنسي أثناء العمل وأن هذا التحرش اتخذ شكل تكرار ملاحظات وحركات ذات طابع جنسي. وقد قُبلت الشكاوى مع المصاريف، ومُنحت الشاكيات مبلغ 000 3 دولار و 000 2 دولار تعويضات عن الآلام والمعاناة ومبلغ 500 1 دولار و 000 1 دولار عن الأضرار المادية على التوالي.</w:t>
      </w:r>
    </w:p>
    <w:p w:rsidR="00000000" w:rsidRDefault="00000000">
      <w:pPr>
        <w:pStyle w:val="SingleTxt"/>
        <w:tabs>
          <w:tab w:val="clear" w:pos="1267"/>
          <w:tab w:val="left" w:pos="1486"/>
        </w:tabs>
        <w:ind w:left="1927" w:right="1264" w:hanging="663"/>
        <w:rPr>
          <w:rtl/>
          <w:lang w:eastAsia="en-US"/>
        </w:rPr>
      </w:pPr>
      <w:r>
        <w:rPr>
          <w:b/>
          <w:bCs/>
          <w:rtl/>
          <w:lang w:eastAsia="en-US"/>
        </w:rPr>
        <w:t>الإجراءات القانونية التي شملت التمييز على اساس الحمل</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r>
      <w:r>
        <w:rPr>
          <w:i/>
          <w:iCs/>
          <w:lang w:eastAsia="en-US"/>
        </w:rPr>
        <w:t>CDP v. Lingerie Roxanal It</w:t>
      </w:r>
      <w:r>
        <w:rPr>
          <w:rFonts w:cs="Times New Roman"/>
          <w:i/>
          <w:iCs/>
          <w:lang w:eastAsia="en-US"/>
        </w:rPr>
        <w:t>é</w:t>
      </w:r>
      <w:r>
        <w:rPr>
          <w:i/>
          <w:iCs/>
          <w:lang w:eastAsia="en-US"/>
        </w:rPr>
        <w:t>e,</w:t>
      </w:r>
      <w:r>
        <w:rPr>
          <w:lang w:eastAsia="en-US"/>
        </w:rPr>
        <w:t xml:space="preserve"> T.D.P.Q., No 500-53-000005-940</w:t>
      </w:r>
      <w:r>
        <w:rPr>
          <w:rtl/>
          <w:lang w:eastAsia="en-US"/>
        </w:rPr>
        <w:t>، 23 شباط/فبراير 1995 (القاضي ميشيل ريفيه) طرد عاملة ماكينة خياطة صناعية حامل. وقد ذُكِر أن القضية مقدمة بالوكالة لأن المتهم لم يَمُثل أمام المحكمة التي نظرت في الشكوى وقبلتها مع المصاريف. ومنحت الشاكية مبلغ 500 3 تعويضات عن الأضرار المادية ومبلغ 000 5 دولار عن الآلام والمعاناة.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r>
      <w:r>
        <w:rPr>
          <w:i/>
          <w:iCs/>
          <w:lang w:eastAsia="en-US"/>
        </w:rPr>
        <w:t xml:space="preserve">CDP v. La Commission scolaire de Jean-Rivard, </w:t>
      </w:r>
      <w:r>
        <w:rPr>
          <w:lang w:eastAsia="en-US"/>
        </w:rPr>
        <w:t>T.D.P.Q., No 253-53-000001-942</w:t>
      </w:r>
      <w:r>
        <w:rPr>
          <w:rtl/>
          <w:lang w:eastAsia="en-US"/>
        </w:rPr>
        <w:t>، 20 حزيران/يونيه 1995 (القاضي ميشيل ريفيه) رُفض إبرام عقد مع الشاكية وهي مدرسة للتعليم الديني في المستوى الثانوي الأول لأنها كانت حامل. وقُبلت الشكوى مع المصاريف ومُنحت الشاكية مبلغ 589 25 دولارا تعويضا عن الأضرار المادية و000 5 دولار تعويضا عن الآلام والمعاناة.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r>
      <w:r>
        <w:rPr>
          <w:i/>
          <w:iCs/>
          <w:lang w:eastAsia="en-US"/>
        </w:rPr>
        <w:t>CDP v. Les Syst</w:t>
      </w:r>
      <w:r>
        <w:rPr>
          <w:rFonts w:cs="Times New Roman"/>
          <w:i/>
          <w:iCs/>
          <w:lang w:eastAsia="en-US"/>
        </w:rPr>
        <w:t>è</w:t>
      </w:r>
      <w:r>
        <w:rPr>
          <w:i/>
          <w:iCs/>
          <w:lang w:eastAsia="en-US"/>
        </w:rPr>
        <w:t xml:space="preserve">mes internationaux de fret Dillon Reid inc. et Joseph Courdi, </w:t>
      </w:r>
      <w:r>
        <w:rPr>
          <w:lang w:eastAsia="en-US"/>
        </w:rPr>
        <w:t>T.D.P.Q., No 550-53-000016-954</w:t>
      </w:r>
      <w:r>
        <w:rPr>
          <w:rtl/>
          <w:lang w:eastAsia="en-US"/>
        </w:rPr>
        <w:t>، 12 نيسان/أبريل 1996 (القاضي ميشيل ريفيه) فُصلت الشاكية بواسطة رب عملها بعد عودتها من إجازة الأمومة. وقد رُفضت المطالبة بتعويضات مع إلزامها بالمصاريف.</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r>
      <w:r>
        <w:rPr>
          <w:i/>
          <w:iCs/>
          <w:lang w:eastAsia="en-US"/>
        </w:rPr>
        <w:t>CDPDJ v. Ville de Montr</w:t>
      </w:r>
      <w:r>
        <w:rPr>
          <w:rFonts w:cs="Times New Roman"/>
          <w:i/>
          <w:iCs/>
          <w:lang w:eastAsia="en-US"/>
        </w:rPr>
        <w:t>é</w:t>
      </w:r>
      <w:r>
        <w:rPr>
          <w:i/>
          <w:iCs/>
          <w:lang w:eastAsia="en-US"/>
        </w:rPr>
        <w:t>al et Syndicat canadien de la fonction publique,</w:t>
      </w:r>
      <w:r>
        <w:rPr>
          <w:lang w:eastAsia="en-US"/>
        </w:rPr>
        <w:t xml:space="preserve"> T.D.P.Q., No 500-53-000070-977, No 500-53-000071-975</w:t>
      </w:r>
      <w:r>
        <w:rPr>
          <w:rtl/>
          <w:lang w:eastAsia="en-US"/>
        </w:rPr>
        <w:t>، 21 تشرين الثاني/نوفمبر 1997 (القاضي مايكل شيهان) مدينة مونتريال ميَّزت على أساس الحمل فلم تحسب للموظفات المعنيات الأقدمية المتراكمة خلال إجازة الأمومة حتى خلال فترة الاختبار. وقد قُبلت الشكاوى مع تحميل المصاريف وتلقت شاكية مبلغ 934.67 2 دولار تعويضا عن الأضرار المادية ومنح الأقدمية بأثر رجعي أما الأخرى فقد منحت فقط الأقدمية بالأثر الرجعي.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r>
      <w:r>
        <w:rPr>
          <w:i/>
          <w:iCs/>
          <w:lang w:eastAsia="en-US"/>
        </w:rPr>
        <w:t xml:space="preserve">CDPDJ v. Ville de Montral, </w:t>
      </w:r>
      <w:r>
        <w:rPr>
          <w:lang w:eastAsia="en-US"/>
        </w:rPr>
        <w:t>T.D.P.Q., No 500-53-000084-978</w:t>
      </w:r>
      <w:r>
        <w:rPr>
          <w:rtl/>
          <w:lang w:eastAsia="en-US"/>
        </w:rPr>
        <w:t>، 20 آذار/مارس 1998 (القاضي سيمون بروسار) شكوى التمييز في ظروف العمل بسبب الحمل. وقد سمحت المحكمة بقبول الشكوى وحكمت على مدينة مونتريال بدفع 500 7 دولار للشاكية وأمرت المدينة بان تكف في المستقبل عن ممارسة جميع أشكال التمييز ضد الموظفات الحوامل وبإدماج الفترة الزمنية المتراكمة خلال حالات الغياب بسبب المشاكل الصحية المرتبطة بالحمل لكي تراعَى في حسابات الأقدمية.</w:t>
      </w:r>
    </w:p>
    <w:p w:rsidR="00000000" w:rsidRDefault="00000000">
      <w:pPr>
        <w:pStyle w:val="SingleTxt"/>
        <w:tabs>
          <w:tab w:val="clear" w:pos="1267"/>
          <w:tab w:val="left" w:pos="1486"/>
        </w:tabs>
        <w:ind w:left="1927" w:right="1264" w:hanging="663"/>
        <w:rPr>
          <w:rtl/>
          <w:lang w:eastAsia="en-US"/>
        </w:rPr>
      </w:pPr>
      <w:r>
        <w:rPr>
          <w:rtl/>
          <w:lang w:eastAsia="en-US"/>
        </w:rPr>
        <w:br w:type="page"/>
      </w:r>
      <w:r>
        <w:rPr>
          <w:b/>
          <w:bCs/>
          <w:rtl/>
          <w:lang w:eastAsia="en-US"/>
        </w:rPr>
        <w:t>الإجراءات القانونية التي تشمل تمييزا جنسيا</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r>
      <w:r>
        <w:rPr>
          <w:i/>
          <w:iCs/>
          <w:lang w:eastAsia="en-US"/>
        </w:rPr>
        <w:t>CDP v. Centre d’accueil Villa Plaisance,</w:t>
      </w:r>
      <w:r>
        <w:rPr>
          <w:lang w:eastAsia="en-US"/>
        </w:rPr>
        <w:t xml:space="preserve"> T.D.P.Q., No 115-53-000001-946</w:t>
      </w:r>
      <w:r>
        <w:rPr>
          <w:rtl/>
          <w:lang w:eastAsia="en-US"/>
        </w:rPr>
        <w:t>، 12 كانون الأول/ديسمبر 1998 (القاضي ميشيل ريفيه) رؤي أن ثمة سياسة تشمل متطلبات حسب نوع الجنس لموظفي مركز استقبال في دار للمسنين وتتسم بطابع تمييزي حيث لم تستطع جهة العمل أن تثبت، طبقا لمعايير المعقولية والتناسبية التي طُرحت في حكم بروسار، أن السياسة المتبعة تتصل بأي سبب معقول بالهدف المتوخى أو أنها متناسبة مع ذلك الهدف. وبعبارة أخرى رؤي أن السياسة غير لازمة لتلبية احتياجات سكان المركز، فقُبلت الشكوى جزئيا مع تحميل المصاريف.</w:t>
      </w:r>
    </w:p>
    <w:p w:rsidR="00000000" w:rsidRDefault="00000000">
      <w:pPr>
        <w:pStyle w:val="SingleTxt"/>
        <w:tabs>
          <w:tab w:val="clear" w:pos="1267"/>
          <w:tab w:val="left" w:pos="1486"/>
        </w:tabs>
        <w:ind w:left="1927" w:right="1264" w:hanging="663"/>
        <w:rPr>
          <w:rtl/>
          <w:lang w:eastAsia="en-US"/>
        </w:rPr>
      </w:pPr>
      <w:r>
        <w:rPr>
          <w:b/>
          <w:bCs/>
          <w:rtl/>
          <w:lang w:eastAsia="en-US"/>
        </w:rPr>
        <w:t>الإجراءات القانونية التي تشمل التحرش الجنسي والتمييز الجنسي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r>
      <w:r>
        <w:rPr>
          <w:i/>
          <w:iCs/>
          <w:lang w:eastAsia="en-US"/>
        </w:rPr>
        <w:t xml:space="preserve">CDP v. Dr Yvan Johnson et Clinique dentaire Yvan Johnson Inc., </w:t>
      </w:r>
      <w:r>
        <w:rPr>
          <w:lang w:eastAsia="en-US"/>
        </w:rPr>
        <w:t>T.D.P.Q., No 705-53-000004-948</w:t>
      </w:r>
      <w:r>
        <w:rPr>
          <w:rtl/>
          <w:lang w:eastAsia="en-US"/>
        </w:rPr>
        <w:t>، 18 نيسان/أبريل 1995 (القاضي مايكل شيهان) خضعت مساعدة طبيب أسنان للإذلال والسلوك المهين من جانب رب عملها إضافة إلى ملاحظات كانت جنسية في طابعها. وخلصت المحكمة إلى أنها كانت ضحية تحرش جنسي وتمييز جنسي وسمحت بالنظر في الشكوى مع المصاريف وهي 600 2 دولار تعويضا عن الأضرار المادية و 000 5 دولار عن الألم والمعاناة.</w:t>
      </w:r>
    </w:p>
    <w:p w:rsidR="00000000" w:rsidRDefault="00000000">
      <w:pPr>
        <w:pStyle w:val="SingleTxt"/>
        <w:tabs>
          <w:tab w:val="clear" w:pos="1267"/>
          <w:tab w:val="left" w:pos="1486"/>
        </w:tabs>
        <w:ind w:left="1264" w:right="1264"/>
        <w:rPr>
          <w:rtl/>
          <w:lang w:eastAsia="en-US"/>
        </w:rPr>
      </w:pPr>
      <w:r>
        <w:rPr>
          <w:b/>
          <w:bCs/>
          <w:rtl/>
          <w:lang w:eastAsia="en-US"/>
        </w:rPr>
        <w:t>الإجراءات القانونية التي تشمل التحرش والتمييز على أساس نوع الجنس والسِّن والوضع الاجتماعي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r>
      <w:r>
        <w:rPr>
          <w:i/>
          <w:iCs/>
          <w:lang w:eastAsia="en-US"/>
        </w:rPr>
        <w:t xml:space="preserve">CDPDJ v. Dr Favid O'Hashi, </w:t>
      </w:r>
      <w:r>
        <w:rPr>
          <w:lang w:eastAsia="en-US"/>
        </w:rPr>
        <w:t>T.D.P.Q., No 500-53d-000026-953</w:t>
      </w:r>
      <w:r>
        <w:rPr>
          <w:rtl/>
          <w:lang w:eastAsia="en-US"/>
        </w:rPr>
        <w:t>، 25 أيلول/سبتمبر 1996 (القاضي مايكل شيهان). إجراء بطلب تعويضات ضد طبيب عن سلوك عدواني يشمل تحرشا تمييزيا على أساس نوع الجنس والسن والوضع الاجتماعي بالنسبة لممرضة. ولم تكن تلك قضية تحرش جنسي ولكنها كانت قضية سلوك عدواني ورُفضت الشكوى دون مصاريف.</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r>
      <w:r>
        <w:rPr>
          <w:i/>
          <w:iCs/>
          <w:lang w:eastAsia="en-US"/>
        </w:rPr>
        <w:t>CDPDJ v. 2641-0431 Qu</w:t>
      </w:r>
      <w:r>
        <w:rPr>
          <w:rFonts w:cs="Times New Roman"/>
          <w:i/>
          <w:iCs/>
          <w:lang w:eastAsia="en-US"/>
        </w:rPr>
        <w:t>é</w:t>
      </w:r>
      <w:r>
        <w:rPr>
          <w:i/>
          <w:iCs/>
          <w:lang w:eastAsia="en-US"/>
        </w:rPr>
        <w:t xml:space="preserve">bec inc., faisant </w:t>
      </w:r>
      <w:r>
        <w:rPr>
          <w:rFonts w:cs="Times New Roman"/>
          <w:i/>
          <w:iCs/>
          <w:lang w:eastAsia="en-US"/>
        </w:rPr>
        <w:t>é</w:t>
      </w:r>
      <w:r>
        <w:rPr>
          <w:i/>
          <w:iCs/>
          <w:lang w:eastAsia="en-US"/>
        </w:rPr>
        <w:t>galement affaires sous les noms Andr</w:t>
      </w:r>
      <w:r>
        <w:rPr>
          <w:rFonts w:cs="Times New Roman"/>
          <w:i/>
          <w:iCs/>
          <w:lang w:eastAsia="en-US"/>
        </w:rPr>
        <w:t>é</w:t>
      </w:r>
      <w:r>
        <w:rPr>
          <w:i/>
          <w:iCs/>
          <w:lang w:eastAsia="en-US"/>
        </w:rPr>
        <w:t xml:space="preserve"> Gosselin Bois de foyer et Transport Andr</w:t>
      </w:r>
      <w:r>
        <w:rPr>
          <w:rFonts w:cs="Times New Roman"/>
          <w:i/>
          <w:iCs/>
          <w:lang w:eastAsia="en-US"/>
        </w:rPr>
        <w:t>é</w:t>
      </w:r>
      <w:r>
        <w:rPr>
          <w:i/>
          <w:iCs/>
          <w:lang w:eastAsia="en-US"/>
        </w:rPr>
        <w:t xml:space="preserve"> Gosselin, </w:t>
      </w:r>
      <w:r>
        <w:rPr>
          <w:lang w:eastAsia="en-US"/>
        </w:rPr>
        <w:t>T.D.P.Q., No 505-53-000004-967, No 505-53-000005-964</w:t>
      </w:r>
      <w:r>
        <w:rPr>
          <w:rtl/>
          <w:lang w:eastAsia="en-US"/>
        </w:rPr>
        <w:t>، 10 آذار/مارس 1997 (القاضي مايكل شيهان) الشاكيتان اتهمتا مديرة شركة استطلاعات رأي صغيرة تستخدم 4 أو 5 أفراد بتهمة التحرش (تهمة عادة توجه إلى الرجال).وقد رُفضت الشكويان مع المصاريف.</w:t>
      </w:r>
    </w:p>
    <w:p w:rsidR="00000000" w:rsidRDefault="00000000">
      <w:pPr>
        <w:pStyle w:val="SingleTxt"/>
        <w:tabs>
          <w:tab w:val="clear" w:pos="1267"/>
          <w:tab w:val="left" w:pos="1486"/>
        </w:tabs>
        <w:ind w:left="1927" w:right="1264" w:hanging="663"/>
        <w:rPr>
          <w:b/>
          <w:bCs/>
          <w:szCs w:val="32"/>
          <w:rtl/>
          <w:lang w:eastAsia="en-US"/>
        </w:rPr>
      </w:pPr>
      <w:r>
        <w:rPr>
          <w:rtl/>
          <w:lang w:eastAsia="en-US"/>
        </w:rPr>
        <w:br w:type="page"/>
      </w:r>
      <w:r>
        <w:rPr>
          <w:b/>
          <w:bCs/>
          <w:szCs w:val="32"/>
          <w:rtl/>
          <w:lang w:eastAsia="en-US"/>
        </w:rPr>
        <w:t>أونتاريو</w:t>
      </w:r>
    </w:p>
    <w:p w:rsidR="00000000" w:rsidRDefault="00000000">
      <w:pPr>
        <w:pStyle w:val="SingleTxt"/>
        <w:tabs>
          <w:tab w:val="clear" w:pos="1267"/>
        </w:tabs>
        <w:ind w:left="1264" w:right="1264"/>
        <w:rPr>
          <w:rtl/>
          <w:lang w:eastAsia="en-US"/>
        </w:rPr>
      </w:pPr>
      <w:r>
        <w:rPr>
          <w:b/>
          <w:bCs/>
          <w:rtl/>
          <w:lang w:eastAsia="en-US"/>
        </w:rPr>
        <w:t>مقدمة</w:t>
      </w:r>
    </w:p>
    <w:p w:rsidR="00000000" w:rsidRDefault="00000000">
      <w:pPr>
        <w:pStyle w:val="SingleTxt"/>
        <w:tabs>
          <w:tab w:val="clear" w:pos="1267"/>
        </w:tabs>
        <w:ind w:left="1264" w:right="1264"/>
        <w:rPr>
          <w:rtl/>
          <w:lang w:eastAsia="en-US"/>
        </w:rPr>
      </w:pPr>
      <w:r>
        <w:rPr>
          <w:rtl/>
          <w:lang w:eastAsia="en-US"/>
        </w:rPr>
        <w:t>794 -</w:t>
      </w:r>
      <w:r>
        <w:rPr>
          <w:rtl/>
          <w:lang w:eastAsia="en-US"/>
        </w:rPr>
        <w:tab/>
        <w:t>هذه الوثيقة تلخص وتستكمل التدابير التي اتخذتها مقاطعة أونتاريو منذ التقرير الرابع (للفترة التي تغطي نيسان/أبريل 1994 إلى آذار/مارس 1998) فيما يتعلق بما صدر عن  المقاطعة من سياسات وتشريعات وبرامج تتصل بمواد اتفاقية القضاء على جميع أشكال التمييز ضد المرأة.</w:t>
      </w:r>
    </w:p>
    <w:p w:rsidR="00000000" w:rsidRDefault="00000000">
      <w:pPr>
        <w:pStyle w:val="SingleTxt"/>
        <w:tabs>
          <w:tab w:val="clear" w:pos="1267"/>
        </w:tabs>
        <w:ind w:left="1264" w:right="1264"/>
        <w:rPr>
          <w:b/>
          <w:bCs/>
          <w:szCs w:val="32"/>
          <w:rtl/>
          <w:lang w:eastAsia="en-US"/>
        </w:rPr>
      </w:pPr>
      <w:r>
        <w:rPr>
          <w:b/>
          <w:bCs/>
          <w:szCs w:val="32"/>
          <w:rtl/>
          <w:lang w:eastAsia="en-US"/>
        </w:rPr>
        <w:t>المادتان 2 و 3: تدابير منع التمييز والتدابير الرامية إلى كفالة النهوض بالمرأة</w:t>
      </w:r>
    </w:p>
    <w:p w:rsidR="00000000" w:rsidRDefault="00000000">
      <w:pPr>
        <w:pStyle w:val="SingleTxt"/>
        <w:tabs>
          <w:tab w:val="clear" w:pos="1267"/>
        </w:tabs>
        <w:ind w:left="1264" w:right="1264"/>
        <w:rPr>
          <w:rtl/>
          <w:lang w:eastAsia="en-US"/>
        </w:rPr>
      </w:pPr>
      <w:r>
        <w:rPr>
          <w:rtl/>
          <w:lang w:eastAsia="en-US"/>
        </w:rPr>
        <w:t>795 -</w:t>
      </w:r>
      <w:r>
        <w:rPr>
          <w:rtl/>
          <w:lang w:eastAsia="en-US"/>
        </w:rPr>
        <w:tab/>
        <w:t>أونتاريو ملتزمة بقوة بإنفاذ قانون أونتاريو لحقوق الإنسان (“القانون”) الذي ينص على أن لكل شخص الحق في المعاملة المتساوية دون تمييز بسبب نوع الجنس أو العِرْق أو الأرومة أو مكان المنشأ أو اللون أو الأصل الإثني أو المواطَنة أو العقيدة أو عدد من الأسس الأخرى. ويحمي القانون المرأة من التمييز بما في ذلك المضايقات والتحرش الجنسي، على أساس جنسها في مجالات الخدمات والعقود وتهيئة المسكن والعمالة والرابطات المهنية.</w:t>
      </w:r>
    </w:p>
    <w:p w:rsidR="00000000" w:rsidRDefault="00000000">
      <w:pPr>
        <w:pStyle w:val="SingleTxt"/>
        <w:tabs>
          <w:tab w:val="clear" w:pos="1267"/>
        </w:tabs>
        <w:ind w:left="1264" w:right="1264"/>
        <w:rPr>
          <w:rtl/>
          <w:lang w:eastAsia="en-US"/>
        </w:rPr>
      </w:pPr>
      <w:r>
        <w:rPr>
          <w:rtl/>
          <w:lang w:eastAsia="en-US"/>
        </w:rPr>
        <w:t>796 -</w:t>
      </w:r>
      <w:r>
        <w:rPr>
          <w:rtl/>
          <w:lang w:eastAsia="en-US"/>
        </w:rPr>
        <w:tab/>
        <w:t>ويتم إعمال البنود المحددة من القانون بما يتيح خدمات مقتصرة على الإناث و/أو المرافق حيث يكون ذلك ضروريا لأغراض الحشمة العامة أو لحماية المرأة من حالات الإيذاء. كما يسمح القانون باتخاذ تدابير خاصة (“برامج خاصة”) ويحمي المنظمات التي تدعم حق المرأة في المساواة والتوظيف بما يسهم في نيلها للفرصة المتكافئة.</w:t>
      </w:r>
    </w:p>
    <w:p w:rsidR="00000000" w:rsidRDefault="00000000">
      <w:pPr>
        <w:pStyle w:val="SingleTxt"/>
        <w:tabs>
          <w:tab w:val="clear" w:pos="1267"/>
        </w:tabs>
        <w:ind w:left="1264" w:right="1264"/>
        <w:rPr>
          <w:rtl/>
          <w:lang w:eastAsia="en-US"/>
        </w:rPr>
      </w:pPr>
      <w:r>
        <w:rPr>
          <w:rtl/>
          <w:lang w:eastAsia="en-US"/>
        </w:rPr>
        <w:t>797 -</w:t>
      </w:r>
      <w:r>
        <w:rPr>
          <w:rtl/>
          <w:lang w:eastAsia="en-US"/>
        </w:rPr>
        <w:tab/>
        <w:t xml:space="preserve">وما زالت لجنة أونتاريو لحقوق الإنسان هي الوكالة التي تعمل ضمن سلطة القانون على تنفيذ الحق في الحرية من التمييز على أساس نوع الجنس. وفي الفترة 1994-1995كان ما يقرب من 24 في المائة من جميع الشكاوى المقدمة إلى اللجنة يتعلق أساسا بالتمييز على أساس نوع الجنس أو الحمل أو التحرش الجنسي. وكان هذا الرقم هو 27 في المائة للفترة 1995 </w:t>
      </w:r>
      <w:r>
        <w:rPr>
          <w:lang w:eastAsia="en-US"/>
        </w:rPr>
        <w:t>–</w:t>
      </w:r>
      <w:r>
        <w:rPr>
          <w:rtl/>
          <w:lang w:eastAsia="en-US"/>
        </w:rPr>
        <w:t xml:space="preserve"> 1996 وكان 26 في المائة للفترة 1996 </w:t>
      </w:r>
      <w:r>
        <w:rPr>
          <w:lang w:eastAsia="en-US"/>
        </w:rPr>
        <w:t>–</w:t>
      </w:r>
      <w:r>
        <w:rPr>
          <w:rtl/>
          <w:lang w:eastAsia="en-US"/>
        </w:rPr>
        <w:t xml:space="preserve"> 1997 و 25 في المائة للفترة 1997 </w:t>
      </w:r>
      <w:r>
        <w:rPr>
          <w:lang w:eastAsia="en-US"/>
        </w:rPr>
        <w:t>–</w:t>
      </w:r>
      <w:r>
        <w:rPr>
          <w:rtl/>
          <w:lang w:eastAsia="en-US"/>
        </w:rPr>
        <w:t xml:space="preserve"> 1998.</w:t>
      </w:r>
    </w:p>
    <w:p w:rsidR="00000000" w:rsidRDefault="00000000">
      <w:pPr>
        <w:pStyle w:val="SingleTxt"/>
        <w:tabs>
          <w:tab w:val="clear" w:pos="1267"/>
        </w:tabs>
        <w:ind w:left="1264" w:right="1264"/>
        <w:rPr>
          <w:rtl/>
          <w:lang w:eastAsia="en-US"/>
        </w:rPr>
      </w:pPr>
      <w:r>
        <w:rPr>
          <w:rtl/>
          <w:lang w:eastAsia="en-US"/>
        </w:rPr>
        <w:t>798 -</w:t>
      </w:r>
      <w:r>
        <w:rPr>
          <w:rtl/>
          <w:lang w:eastAsia="en-US"/>
        </w:rPr>
        <w:tab/>
        <w:t>وفي عام 1995 طرحت حكومة أونتاريو خطة الفرصة المتكافئة استنادا إلى حظر القانون للتمييز. وتتجسد الخطة في أربعة مبادئ أساسية هي: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معاملة جميع الأفراد بكرامة واحترام</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اتخاذ إجراءات للقضاء على التمييز والتحرش</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تحديد وإزالة الحواجز التي تحول دون إتاحة الفرصة المتكافئة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اتخاذ قرارات التوظيف على أساس جدارة وقدرات الفرد</w:t>
      </w:r>
    </w:p>
    <w:p w:rsidR="00000000" w:rsidRDefault="00000000">
      <w:pPr>
        <w:pStyle w:val="SingleTxt"/>
        <w:tabs>
          <w:tab w:val="clear" w:pos="1267"/>
        </w:tabs>
        <w:ind w:left="1927" w:right="1264" w:hanging="663"/>
        <w:rPr>
          <w:rtl/>
          <w:lang w:eastAsia="en-US"/>
        </w:rPr>
      </w:pPr>
      <w:r>
        <w:rPr>
          <w:rtl/>
          <w:lang w:eastAsia="en-US"/>
        </w:rPr>
        <w:t>799 -</w:t>
      </w:r>
      <w:r>
        <w:rPr>
          <w:rtl/>
          <w:lang w:eastAsia="en-US"/>
        </w:rPr>
        <w:tab/>
        <w:t>كما تشمل خطة الفرصة المتكافئة طائفة من العناصر ومنها مثلا:</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الخدمات التي تدعم جهود أرباب العمل والمستخدَمين من أجل إيجاد مواقع للعمل تكفل مزيدا من الإنصاف بما في ذلك خدمة معلومات وإحالة على موقع للشبكة الإلكترونية العالمية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تعمل الحكومة في إطار من الشراكة مع رابطات أرباب العمل والمستخدَمين من أجل تهيئة موارد التدريب والتعليم والبيان العملي لأفضل الممارسات الرامية لإزالة ومنع الحواجز التي تحول دون الفرصة المتكافئة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التدابير الرامية إلى تحسين فرص الوصول إلى المهن والحرف للذين تدربوا وتعلموا خارج كندا بما في ذلك العمل مع الهيئات المهنية النظامية لتطوير النماذج اللازمة لتقييم المؤهلات الخارجية والاعتراف بها</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وضع مبادئ توجيهية من أجل تكافؤ الفرص لدوائر الشرطة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اتخاذ تدابير لتعزيز الفرصة المتكافئة في سلك الخدمة العامة في أونتاريو</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إنجاز عملية إعادة هيكلة في لجنة أونتاريو لحقوق الإنسان من أجل تحسين خدمة العملاء</w:t>
      </w:r>
    </w:p>
    <w:p w:rsidR="00000000" w:rsidRDefault="00000000">
      <w:pPr>
        <w:pStyle w:val="SingleTxt"/>
        <w:tabs>
          <w:tab w:val="clear" w:pos="1267"/>
          <w:tab w:val="left" w:pos="1486"/>
        </w:tabs>
        <w:ind w:left="1264" w:right="1264"/>
        <w:rPr>
          <w:rtl/>
          <w:lang w:eastAsia="en-US"/>
        </w:rPr>
      </w:pPr>
      <w:r>
        <w:rPr>
          <w:rtl/>
          <w:lang w:eastAsia="en-US"/>
        </w:rPr>
        <w:t>800 -</w:t>
      </w:r>
      <w:r>
        <w:rPr>
          <w:rtl/>
          <w:lang w:eastAsia="en-US"/>
        </w:rPr>
        <w:tab/>
        <w:t>وفي عام 1996 أصدرت لجنة أونتاريو لحقوق الإنسان كتيبها المفصل بشأن خطابها السياسي وبلغة مبسطة حيث يعالِج مسائل التحرش الجنسي والتمييز الجنساني (أنظر الفقرة 429 من تقرير كندا الرابع بشأن اتفاقية القضاء على جميع أشكال التمييز ضد المرأة).</w:t>
      </w:r>
    </w:p>
    <w:p w:rsidR="00000000" w:rsidRDefault="00000000">
      <w:pPr>
        <w:pStyle w:val="SingleTxt"/>
        <w:tabs>
          <w:tab w:val="clear" w:pos="1267"/>
          <w:tab w:val="left" w:pos="1486"/>
        </w:tabs>
        <w:ind w:left="1264" w:right="1264"/>
        <w:rPr>
          <w:rtl/>
          <w:lang w:eastAsia="en-US"/>
        </w:rPr>
      </w:pPr>
      <w:r>
        <w:rPr>
          <w:rtl/>
          <w:lang w:eastAsia="en-US"/>
        </w:rPr>
        <w:t>801 -</w:t>
      </w:r>
      <w:r>
        <w:rPr>
          <w:rtl/>
          <w:lang w:eastAsia="en-US"/>
        </w:rPr>
        <w:tab/>
        <w:t>وفي الفترة 1997-1998 عدَّلت اللجنة إجراءات الشكاوى التي تعتمدها بما يكفل لها أن تطلب من المتصلين بها الإبلاغ عن التحرش الجنسي إذا ما ساورتهم شواغل بشأن سلامتهم الشخصية. وبات موظفو اللجنة يوجهون هؤلاء الأشخاص على الفور إلى السلطات المختصة أي الشرطة وجماعات الدعم و/أو دور الإيواء. كما طوَّرت اللجنة سُبل التدريب المتخصص بشأن التحرش الجنسي من أجل الاستجابة إلى هذه القضايا. وبالإضافة إلى ذلك نظمت اللجنة حملة توعية بشأن التحرش الجنسي في نُظم النقل المحلية في جميع أنحاء المقاطعة.</w:t>
      </w:r>
    </w:p>
    <w:p w:rsidR="00000000" w:rsidRDefault="00000000">
      <w:pPr>
        <w:pStyle w:val="SingleTxt"/>
        <w:tabs>
          <w:tab w:val="clear" w:pos="1267"/>
          <w:tab w:val="left" w:pos="1486"/>
        </w:tabs>
        <w:ind w:left="1264" w:right="1264"/>
        <w:rPr>
          <w:b/>
          <w:bCs/>
          <w:rtl/>
          <w:lang w:eastAsia="en-US"/>
        </w:rPr>
      </w:pPr>
    </w:p>
    <w:p w:rsidR="00000000" w:rsidRDefault="00000000">
      <w:pPr>
        <w:pStyle w:val="SingleTxt"/>
        <w:tabs>
          <w:tab w:val="clear" w:pos="1267"/>
          <w:tab w:val="left" w:pos="1486"/>
        </w:tabs>
        <w:ind w:left="1264" w:right="1264"/>
        <w:rPr>
          <w:b/>
          <w:bCs/>
          <w:rtl/>
          <w:lang w:eastAsia="en-US"/>
        </w:rPr>
      </w:pPr>
    </w:p>
    <w:p w:rsidR="00000000" w:rsidRDefault="00000000">
      <w:pPr>
        <w:pStyle w:val="SingleTxt"/>
        <w:tabs>
          <w:tab w:val="clear" w:pos="1267"/>
          <w:tab w:val="left" w:pos="1486"/>
        </w:tabs>
        <w:ind w:left="1264" w:right="1264"/>
        <w:rPr>
          <w:rtl/>
          <w:lang w:eastAsia="en-US"/>
        </w:rPr>
      </w:pPr>
      <w:r>
        <w:rPr>
          <w:b/>
          <w:bCs/>
          <w:rtl/>
          <w:lang w:eastAsia="en-US"/>
        </w:rPr>
        <w:t>المرأة التي تواجه أشكالا متعددة من التمييز</w:t>
      </w:r>
    </w:p>
    <w:p w:rsidR="00000000" w:rsidRDefault="00000000">
      <w:pPr>
        <w:pStyle w:val="SingleTxt"/>
        <w:tabs>
          <w:tab w:val="clear" w:pos="1267"/>
          <w:tab w:val="left" w:pos="1486"/>
        </w:tabs>
        <w:ind w:left="1264" w:right="1264"/>
        <w:rPr>
          <w:rtl/>
          <w:lang w:eastAsia="en-US"/>
        </w:rPr>
      </w:pPr>
      <w:r>
        <w:rPr>
          <w:rtl/>
          <w:lang w:eastAsia="en-US"/>
        </w:rPr>
        <w:t>802 -</w:t>
      </w:r>
      <w:r>
        <w:rPr>
          <w:rtl/>
          <w:lang w:eastAsia="en-US"/>
        </w:rPr>
        <w:tab/>
        <w:t>حيثما لا يرد ذكر حالات محددة لحقوق الإنسان، بوصفها أسساً ينطبق عليها القانون المذكور أعلاه، فقد وضعت اللجنة سياسات تكفل التوجيه في التصدي لهذه المسائل بشكل مباشر أو من خلال ربطها بالأسس التي ورد تعدادها في صلب القانون. وعلى سبيل المثال، نشرت اللجنة سياسات بشأن التحرش الجنسي والتعليقات والسلوكيات الجنسانية الخارجة عن اللياقة، وتشويه الأعضاء التناسلية للأنثى، والتمييز واللغة، والتمييز بسبب الحمل. كما نقحت اللجنة السياسات القائمة لكي تعكس المعايير الدولية لدى انطباقها. ومن ذلك مثلا فإن السياسة المتعلقة بالتمييز على أساس الحمل تحوي إشارات محددة إلى حقيقة أن كندا هي من الأطراف الموقعة على العهد الدولي الخاص بالحقوق الاقتصادية والاجتماعية والثقافية. كما تحيل السياسة إلى اللغة التي صيغ بها الصك المذكور وتنص على الحماية الخاصة للأمهات خلال فترة معقولة قبل الوضع وبعده.</w:t>
      </w:r>
    </w:p>
    <w:p w:rsidR="00000000" w:rsidRDefault="00000000">
      <w:pPr>
        <w:pStyle w:val="SingleTxt"/>
        <w:tabs>
          <w:tab w:val="clear" w:pos="1267"/>
          <w:tab w:val="left" w:pos="1486"/>
        </w:tabs>
        <w:ind w:left="1264" w:right="1264"/>
        <w:rPr>
          <w:rtl/>
          <w:lang w:eastAsia="en-US"/>
        </w:rPr>
      </w:pPr>
      <w:r>
        <w:rPr>
          <w:rtl/>
          <w:lang w:eastAsia="en-US"/>
        </w:rPr>
        <w:t>803 -</w:t>
      </w:r>
      <w:r>
        <w:rPr>
          <w:rtl/>
          <w:lang w:eastAsia="en-US"/>
        </w:rPr>
        <w:tab/>
        <w:t>وقامت اللجنة من خلال أحكام المبادئ التوجيهية لتقييم متطلبات إيواء الأشخاص من ذوي الإعاقات، بتوعية أرباب العمل ومقدمي الخدمات بواجباتهم نحو إيواء النساء من ذوات الإعاقات.</w:t>
      </w:r>
    </w:p>
    <w:p w:rsidR="00000000" w:rsidRDefault="00000000">
      <w:pPr>
        <w:pStyle w:val="SingleTxt"/>
        <w:tabs>
          <w:tab w:val="clear" w:pos="1267"/>
          <w:tab w:val="left" w:pos="1486"/>
        </w:tabs>
        <w:ind w:left="1264" w:right="1264"/>
        <w:rPr>
          <w:rtl/>
          <w:lang w:eastAsia="en-US"/>
        </w:rPr>
      </w:pPr>
      <w:r>
        <w:rPr>
          <w:rtl/>
          <w:lang w:eastAsia="en-US"/>
        </w:rPr>
        <w:t>804 -</w:t>
      </w:r>
      <w:r>
        <w:rPr>
          <w:rtl/>
          <w:lang w:eastAsia="en-US"/>
        </w:rPr>
        <w:tab/>
        <w:t>ونفذت حكومة أونتاريو برامج تتبنى تحقيق المساواة للنساء اللائي يواجهن أشكالا متعددة من التمييز. وفيما يلي عرض لبعض السياسات والبرامج المحددة في هذا الصدد والرامية إلى مساعدة هؤلاء النساء.</w:t>
      </w:r>
    </w:p>
    <w:p w:rsidR="00000000" w:rsidRDefault="00000000">
      <w:pPr>
        <w:pStyle w:val="SingleTxt"/>
        <w:tabs>
          <w:tab w:val="clear" w:pos="1267"/>
          <w:tab w:val="left" w:pos="1486"/>
        </w:tabs>
        <w:ind w:left="1264" w:right="1264"/>
        <w:rPr>
          <w:rtl/>
          <w:lang w:eastAsia="en-US"/>
        </w:rPr>
      </w:pPr>
      <w:r>
        <w:rPr>
          <w:rtl/>
          <w:lang w:eastAsia="en-US"/>
        </w:rPr>
        <w:t>’1’</w:t>
      </w:r>
      <w:r>
        <w:rPr>
          <w:rtl/>
          <w:lang w:eastAsia="en-US"/>
        </w:rPr>
        <w:tab/>
      </w:r>
      <w:r>
        <w:rPr>
          <w:i/>
          <w:iCs/>
          <w:rtl/>
          <w:lang w:eastAsia="en-US"/>
        </w:rPr>
        <w:t>النساء المعاقات والمسنات</w:t>
      </w:r>
    </w:p>
    <w:p w:rsidR="00000000" w:rsidRDefault="00000000">
      <w:pPr>
        <w:pStyle w:val="SingleTxt"/>
        <w:tabs>
          <w:tab w:val="clear" w:pos="1267"/>
          <w:tab w:val="left" w:pos="1486"/>
        </w:tabs>
        <w:ind w:left="1264" w:right="1264"/>
        <w:rPr>
          <w:rtl/>
          <w:lang w:eastAsia="en-US"/>
        </w:rPr>
      </w:pPr>
      <w:r>
        <w:rPr>
          <w:rtl/>
          <w:lang w:eastAsia="en-US"/>
        </w:rPr>
        <w:t>805 -</w:t>
      </w:r>
      <w:r>
        <w:rPr>
          <w:rtl/>
          <w:lang w:eastAsia="en-US"/>
        </w:rPr>
        <w:tab/>
        <w:t>في عام 1996 بدأت حكومة أونتاريو اتباع نهج على أساس مجتمعي يرمي إلى تعزيز كرامة ومصالح البالغين من المستضعفين (الذين يجدون صعوبات في التعبير أو التصرف وفقا لرغباتهم بسبب إعاقة أو ظرف طبي أو مشكلة تَواصُل أو تقدم في العمر). وبالإضافة إلى ذلك انطلقت خدمة تحت عنوان “قدرة الإعلام” وهي خدمة معلومات وإحالة على مستوى المقاطعة مزودة بقاعدة بيانات مرجعية من أجل مؤازرة هؤلاء المستضعفين وأسرهم ومقدمي الرعاية لهم.</w:t>
      </w:r>
    </w:p>
    <w:p w:rsidR="00000000" w:rsidRDefault="00000000">
      <w:pPr>
        <w:pStyle w:val="SingleTxt"/>
        <w:tabs>
          <w:tab w:val="clear" w:pos="1267"/>
          <w:tab w:val="left" w:pos="1486"/>
        </w:tabs>
        <w:ind w:left="1264" w:right="1264"/>
        <w:rPr>
          <w:rtl/>
          <w:lang w:eastAsia="en-US"/>
        </w:rPr>
      </w:pPr>
      <w:r>
        <w:rPr>
          <w:rtl/>
          <w:lang w:eastAsia="en-US"/>
        </w:rPr>
        <w:t>806 -</w:t>
      </w:r>
      <w:r>
        <w:rPr>
          <w:rtl/>
          <w:lang w:eastAsia="en-US"/>
        </w:rPr>
        <w:tab/>
        <w:t>وساعدت الوزارة السابقة المعنية بشؤون الجنسية والثقافة والترفيه على دعم عدد من البرامج المجتمعية الرامية إلى تقديم العون للنساء المعاقات والنساء المسنات ومن ذلك:</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الصلات المجتمعية (1996) وهو برنامج للمنح يدعم تنسيق الخدمات المحلية المقدَّمة في مجال الدعوة لصالح المستضعفين من البالغين</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مشاريع مجتمعية تكفل التوعية بشأن منع العنف لصالح النساء من المعاقات</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الجيران الطيبون وهي حملة تعزز أنشطة التطوع غير الرسمية على مستوى المجتمع المحلي لمساعدة المستضعفين (الأشخاص المعزولون أو الضعفاء جسميا أو المسنون أو المعاقون) ضمن نطاق بيوتهم وجيرتهم</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صندوق الوصول إلى الهدف الذي أعيد التركيز عليه في عام 1996 في إطار خطة الفرص المتكافئة لحكومة أونتاريو تعزيزاً للفرص المتاحة للأشخاص ذوي الإعاقات للعمل كمتطوعين وللمشاركة في أنشطة ملء ثغرات العمالة.</w:t>
      </w:r>
    </w:p>
    <w:p w:rsidR="00000000" w:rsidRDefault="00000000">
      <w:pPr>
        <w:pStyle w:val="SingleTxt"/>
        <w:tabs>
          <w:tab w:val="clear" w:pos="1267"/>
          <w:tab w:val="left" w:pos="1486"/>
        </w:tabs>
        <w:ind w:left="1927" w:right="1264" w:hanging="663"/>
        <w:rPr>
          <w:i/>
          <w:iCs/>
          <w:rtl/>
          <w:lang w:eastAsia="en-US"/>
        </w:rPr>
      </w:pPr>
      <w:r>
        <w:rPr>
          <w:rtl/>
          <w:lang w:eastAsia="en-US"/>
        </w:rPr>
        <w:t>’2’</w:t>
      </w:r>
      <w:r>
        <w:rPr>
          <w:rtl/>
          <w:lang w:eastAsia="en-US"/>
        </w:rPr>
        <w:tab/>
      </w:r>
      <w:r>
        <w:rPr>
          <w:i/>
          <w:iCs/>
          <w:rtl/>
          <w:lang w:eastAsia="en-US"/>
        </w:rPr>
        <w:t>النساء المهاجرات ونساء الأقليات الواضحة</w:t>
      </w:r>
    </w:p>
    <w:p w:rsidR="00000000" w:rsidRDefault="00000000">
      <w:pPr>
        <w:pStyle w:val="SingleTxt"/>
        <w:tabs>
          <w:tab w:val="clear" w:pos="1267"/>
          <w:tab w:val="left" w:pos="1486"/>
        </w:tabs>
        <w:ind w:left="1264" w:right="1264"/>
        <w:rPr>
          <w:rtl/>
          <w:lang w:eastAsia="en-US"/>
        </w:rPr>
      </w:pPr>
      <w:r>
        <w:rPr>
          <w:rtl/>
          <w:lang w:eastAsia="en-US"/>
        </w:rPr>
        <w:t>807 -</w:t>
      </w:r>
      <w:r>
        <w:rPr>
          <w:rtl/>
          <w:lang w:eastAsia="en-US"/>
        </w:rPr>
        <w:tab/>
        <w:t>قدمت وزارة الجنسية والثقافة والترفيه السابقة الدعم لعمليات أداء الخدمة لمترجم ثقافي على مستوى مجتمعي من أجل مساعدة النساء اللائي لا يتكلمن الإنكليزية أو الفرنسية وكن من ضحايا العنف، للوصول إلى مرافق المأوى وسائر خدمات الدعم الاجتماعي والقانوني والطبي اللازمة. وبالإضافة إلى ذلك عززت الوزارة عمليات التوعية بمنع العنف في مجتمعات المهاجرين واللاجئين من خلال تمويل مبادرات محلية.</w:t>
      </w:r>
    </w:p>
    <w:p w:rsidR="00000000" w:rsidRDefault="00000000">
      <w:pPr>
        <w:pStyle w:val="SingleTxt"/>
        <w:tabs>
          <w:tab w:val="clear" w:pos="1267"/>
          <w:tab w:val="left" w:pos="1486"/>
        </w:tabs>
        <w:ind w:left="1264" w:right="1264"/>
        <w:rPr>
          <w:rtl/>
          <w:lang w:eastAsia="en-US"/>
        </w:rPr>
      </w:pPr>
      <w:r>
        <w:rPr>
          <w:rtl/>
          <w:lang w:eastAsia="en-US"/>
        </w:rPr>
        <w:t>808 -</w:t>
      </w:r>
      <w:r>
        <w:rPr>
          <w:rtl/>
          <w:lang w:eastAsia="en-US"/>
        </w:rPr>
        <w:tab/>
        <w:t>وما زالت حكومة أونتاريو تموِّل مركز المهاجرات في ريفرديل لتقديم خدمات الاستقرار والإدماج فضلا عن برامج تعلم الإنكليزية كلغة ثانية للنساء الناطقات بلغات جنوب آسيا واللغة الصينية ولأسرهن. كما تموِّل التجارب الجديدة للاجئات في تورنتو لكي تقدِّم خدمات مماثلة للاجئات من بلدان أمريكا اللاتينية.</w:t>
      </w:r>
    </w:p>
    <w:p w:rsidR="00000000" w:rsidRDefault="00000000">
      <w:pPr>
        <w:pStyle w:val="SingleTxt"/>
        <w:tabs>
          <w:tab w:val="clear" w:pos="1267"/>
          <w:tab w:val="left" w:pos="1486"/>
        </w:tabs>
        <w:ind w:left="1264" w:right="1264"/>
        <w:rPr>
          <w:rtl/>
          <w:lang w:eastAsia="en-US"/>
        </w:rPr>
      </w:pPr>
      <w:r>
        <w:rPr>
          <w:rtl/>
          <w:lang w:eastAsia="en-US"/>
        </w:rPr>
        <w:t>809 -</w:t>
      </w:r>
      <w:r>
        <w:rPr>
          <w:rtl/>
          <w:lang w:eastAsia="en-US"/>
        </w:rPr>
        <w:tab/>
        <w:t>وبرغم أن سياسة لجنة أونتاريو لحقوق الإنسان بشأن الإهانات العرقية والتحرش والفكاهات العرقية ليست مُعَّدة لكي تلائم تحديدا نساء الأقليات العرقية إلا أن هذه السياسة تنطبق على نساء الأقليات العرقية.</w:t>
      </w:r>
    </w:p>
    <w:p w:rsidR="00000000" w:rsidRDefault="00000000">
      <w:pPr>
        <w:pStyle w:val="SingleTxt"/>
        <w:tabs>
          <w:tab w:val="clear" w:pos="1267"/>
          <w:tab w:val="left" w:pos="1486"/>
        </w:tabs>
        <w:ind w:left="1264" w:right="1264"/>
        <w:rPr>
          <w:rtl/>
          <w:lang w:eastAsia="en-US"/>
        </w:rPr>
      </w:pPr>
      <w:r>
        <w:rPr>
          <w:rtl/>
          <w:lang w:eastAsia="en-US"/>
        </w:rPr>
        <w:t>810 -</w:t>
      </w:r>
      <w:r>
        <w:rPr>
          <w:rtl/>
          <w:lang w:eastAsia="en-US"/>
        </w:rPr>
        <w:tab/>
        <w:t>وبعد إطلاق سياساتها بشأن تشويه الأعضاء التناسلية للأنثى في عام 1996، أصدرت اللجنة وثيقة مبسطة الأسلوب باللغات العربية والسواحيلية والأمهرية والصومالية لتوعية النساء المنتميات إلى المجتمعات المتأثرة في هذا الشأن، بحقوقهن ومسؤولياتهن في هذا الصدد. كما أعانت المنظمات المجتمعية الحكومة على توزيع هذه الوثائق.</w:t>
      </w:r>
    </w:p>
    <w:p w:rsidR="00000000" w:rsidRDefault="00000000">
      <w:pPr>
        <w:pStyle w:val="SingleTxt"/>
        <w:tabs>
          <w:tab w:val="clear" w:pos="1267"/>
          <w:tab w:val="left" w:pos="1486"/>
        </w:tabs>
        <w:ind w:left="1264" w:right="1264"/>
        <w:rPr>
          <w:rtl/>
          <w:lang w:eastAsia="en-US"/>
        </w:rPr>
      </w:pPr>
      <w:r>
        <w:rPr>
          <w:rtl/>
          <w:lang w:eastAsia="en-US"/>
        </w:rPr>
        <w:t>’3’</w:t>
      </w:r>
      <w:r>
        <w:rPr>
          <w:rtl/>
          <w:lang w:eastAsia="en-US"/>
        </w:rPr>
        <w:tab/>
      </w:r>
      <w:r>
        <w:rPr>
          <w:i/>
          <w:iCs/>
          <w:rtl/>
          <w:lang w:eastAsia="en-US"/>
        </w:rPr>
        <w:t>نساء السكان الأصليين</w:t>
      </w:r>
    </w:p>
    <w:p w:rsidR="00000000" w:rsidRDefault="00000000">
      <w:pPr>
        <w:pStyle w:val="SingleTxt"/>
        <w:tabs>
          <w:tab w:val="clear" w:pos="1267"/>
          <w:tab w:val="left" w:pos="1486"/>
        </w:tabs>
        <w:ind w:left="1264" w:right="1264"/>
        <w:rPr>
          <w:rtl/>
          <w:lang w:eastAsia="en-US"/>
        </w:rPr>
      </w:pPr>
      <w:r>
        <w:rPr>
          <w:rtl/>
          <w:lang w:eastAsia="en-US"/>
        </w:rPr>
        <w:t>811 -</w:t>
      </w:r>
      <w:r>
        <w:rPr>
          <w:rtl/>
          <w:lang w:eastAsia="en-US"/>
        </w:rPr>
        <w:tab/>
        <w:t>بين نيسان/أبريل 1994 وآذار/مارس 1998 قدمت أمانة شؤون السكان الأصليين في أونتاريو التمويل إلى رابطة نساء السكان الأصليين في أونتاريو لدعم أعمالها لصالح المرأة من السكان الأصليين. وما زالت استراتيجية المداواة والتعافي للسكان الأصليين (أنظر الفقرة 443 من التقرير الرابع) تتلقى التمويل. وبالإضافة إلى الخدمات المقدمة عن طريق هذه الاستراتيجية، يوجد أربع دور للمأوى في المحميات ويشارك في تمويلها المقاطعة مع الأقوام الأولى من السكان القدماء.</w:t>
      </w:r>
    </w:p>
    <w:p w:rsidR="00000000" w:rsidRDefault="00000000">
      <w:pPr>
        <w:pStyle w:val="SingleTxt"/>
        <w:tabs>
          <w:tab w:val="clear" w:pos="1267"/>
          <w:tab w:val="left" w:pos="1486"/>
        </w:tabs>
        <w:ind w:left="1264" w:right="1264"/>
        <w:rPr>
          <w:b/>
          <w:bCs/>
          <w:szCs w:val="32"/>
          <w:lang w:eastAsia="en-US"/>
        </w:rPr>
      </w:pPr>
      <w:r>
        <w:rPr>
          <w:b/>
          <w:bCs/>
          <w:szCs w:val="32"/>
          <w:rtl/>
          <w:lang w:eastAsia="en-US"/>
        </w:rPr>
        <w:t>المادة 4: التدابير المؤقتة الخاصة</w:t>
      </w:r>
    </w:p>
    <w:p w:rsidR="00000000" w:rsidRDefault="00000000">
      <w:pPr>
        <w:pStyle w:val="SingleTxt"/>
        <w:tabs>
          <w:tab w:val="clear" w:pos="1267"/>
          <w:tab w:val="left" w:pos="1486"/>
        </w:tabs>
        <w:ind w:left="1264" w:right="1264"/>
        <w:rPr>
          <w:rtl/>
          <w:lang w:eastAsia="en-US"/>
        </w:rPr>
      </w:pPr>
      <w:r>
        <w:rPr>
          <w:rtl/>
          <w:lang w:eastAsia="en-US"/>
        </w:rPr>
        <w:t>812 -</w:t>
      </w:r>
      <w:r>
        <w:rPr>
          <w:rtl/>
          <w:lang w:eastAsia="en-US"/>
        </w:rPr>
        <w:tab/>
        <w:t>في كانون الأول/ديسمبر 1995 أصدر المجلس التشريعي في أونتاريو القانون 8 وهو القانون الذي يقصد إلى إلغاء حصص الوظائف وإعادة ممارسات التوظيف على أساس من الجدارة في أونتاريو. وألغى القانون المذكور قانون المساواة في التوظيف في عام 1993 وأشار إلى الفقرة 451 من تقرير كندا الرابع بشأن اتفاقية القضاء على جميع أشكال التمييز ضد المرأة. وما زال البند 14 من قانون أونتاريو لحقوق الإنسان يسمح بتنفيذ برامج خاصة تقصد إلى مساعدة الفئات المحرومة تاريخياً ومنها المرأة.</w:t>
      </w:r>
    </w:p>
    <w:p w:rsidR="00000000" w:rsidRDefault="00000000">
      <w:pPr>
        <w:pStyle w:val="SingleTxt"/>
        <w:tabs>
          <w:tab w:val="clear" w:pos="1267"/>
          <w:tab w:val="left" w:pos="1486"/>
        </w:tabs>
        <w:ind w:left="1264" w:right="1264"/>
        <w:rPr>
          <w:rtl/>
          <w:lang w:eastAsia="en-US"/>
        </w:rPr>
      </w:pPr>
      <w:r>
        <w:rPr>
          <w:rtl/>
          <w:lang w:eastAsia="en-US"/>
        </w:rPr>
        <w:t>813 -</w:t>
      </w:r>
      <w:r>
        <w:rPr>
          <w:rtl/>
          <w:lang w:eastAsia="en-US"/>
        </w:rPr>
        <w:tab/>
        <w:t>وقامت اللجنة بتنقيح وتحديث مبادئها التوجيهية الإلزامية بشأن البرامج الخاصة في عام 1996 بما يعكس البيئة التشريعية الجديدة.</w:t>
      </w:r>
    </w:p>
    <w:p w:rsidR="00000000" w:rsidRDefault="00000000">
      <w:pPr>
        <w:pStyle w:val="SingleTxt"/>
        <w:tabs>
          <w:tab w:val="clear" w:pos="1267"/>
          <w:tab w:val="left" w:pos="1486"/>
        </w:tabs>
        <w:ind w:left="1264" w:right="1264"/>
        <w:rPr>
          <w:b/>
          <w:bCs/>
          <w:szCs w:val="32"/>
          <w:rtl/>
          <w:lang w:eastAsia="en-US"/>
        </w:rPr>
      </w:pPr>
      <w:r>
        <w:rPr>
          <w:b/>
          <w:bCs/>
          <w:szCs w:val="32"/>
          <w:rtl/>
          <w:lang w:eastAsia="en-US"/>
        </w:rPr>
        <w:t>المادة 5: القضاء على الصور النمطية الجامدة</w:t>
      </w:r>
    </w:p>
    <w:p w:rsidR="00000000" w:rsidRDefault="00000000">
      <w:pPr>
        <w:pStyle w:val="SingleTxt"/>
        <w:tabs>
          <w:tab w:val="clear" w:pos="1267"/>
          <w:tab w:val="left" w:pos="1486"/>
        </w:tabs>
        <w:ind w:left="1264" w:right="1264"/>
        <w:rPr>
          <w:rtl/>
          <w:lang w:eastAsia="en-US"/>
        </w:rPr>
      </w:pPr>
      <w:r>
        <w:rPr>
          <w:rtl/>
          <w:lang w:eastAsia="en-US"/>
        </w:rPr>
        <w:t>814 -</w:t>
      </w:r>
      <w:r>
        <w:rPr>
          <w:rtl/>
          <w:lang w:eastAsia="en-US"/>
        </w:rPr>
        <w:tab/>
        <w:t>يُعد برنامج "المواليد الأصحاء أطفال أصحاء" عملا جديدا مشتركا بين وزارة الصحة ووزارة الخدمات المحلية والاجتماعية. وهو مبادرة وقاية/تدخل مبكر تقصد إلى كفالة سُبل وصول الأسر ذات الأطفال ممن يحدق بهم خطر يتمثل في مشاكل بدنية أو عقلية أو اتصالية أو سيكو - اجتماعية، إلى الخدمات الفعَّالة والمتسقة والداعمة. وهذا البرنامج ذو الأساس المجتمعي ينشئ شبكة من مقدمي الخدمات المحليين الذين يركِّز التعاون معهم على تحديد ودعم احتياجات الأطفال والآباء المستضعفين في أقرب وقت ممكن. وهذه الخدمات تشمل الفحص فيما بعد الولادة بالمستشفيات. إضافة إلى عمليات تقييم من جانب ممرضي الصحة العامة وتخصيص منسِّق خدمات لكل أسرة يحدق بها خطر جسيم حسبما يقتضيه الأمر.</w:t>
      </w:r>
    </w:p>
    <w:p w:rsidR="00000000" w:rsidRDefault="00000000">
      <w:pPr>
        <w:pStyle w:val="SingleTxt"/>
        <w:tabs>
          <w:tab w:val="clear" w:pos="1267"/>
          <w:tab w:val="left" w:pos="1486"/>
        </w:tabs>
        <w:ind w:left="1264" w:right="1264"/>
        <w:rPr>
          <w:rtl/>
          <w:lang w:eastAsia="en-US"/>
        </w:rPr>
      </w:pPr>
      <w:r>
        <w:rPr>
          <w:rtl/>
          <w:lang w:eastAsia="en-US"/>
        </w:rPr>
        <w:t>815 -</w:t>
      </w:r>
      <w:r>
        <w:rPr>
          <w:rtl/>
          <w:lang w:eastAsia="en-US"/>
        </w:rPr>
        <w:tab/>
        <w:t>وتقوم الحكومة بتمويل الخدمات المتصلة بالعنف الموجه ضد المرأة. وتموِّل وزارة الخدمات المحلية والاجتماعية 98 من دور الإيواء للنساء المعرَّضات للأذى وأطفالهن بالإضافة إلى أكثر من 100 من وكالات المشورة. وتعكف الوزارة على وضع منهج دراسي للعمل بصورة مشتركة على تدريب العاملين في مجال حماية الأطفال والعنف الموجه ضد المرأة، على الفهم الأفضل لدور كل قطاع في دعم النساء والأطفال المعرضين للأذى وتطوير التنسيق بين الأنشطة التي يضطلعون بها.</w:t>
      </w:r>
    </w:p>
    <w:p w:rsidR="00000000" w:rsidRDefault="00000000">
      <w:pPr>
        <w:pStyle w:val="SingleTxt"/>
        <w:tabs>
          <w:tab w:val="clear" w:pos="1267"/>
          <w:tab w:val="left" w:pos="1486"/>
        </w:tabs>
        <w:ind w:left="1264" w:right="1264"/>
        <w:rPr>
          <w:rtl/>
          <w:lang w:eastAsia="en-US"/>
        </w:rPr>
      </w:pPr>
      <w:r>
        <w:rPr>
          <w:rtl/>
          <w:lang w:eastAsia="en-US"/>
        </w:rPr>
        <w:t>816 -</w:t>
      </w:r>
      <w:r>
        <w:rPr>
          <w:rtl/>
          <w:lang w:eastAsia="en-US"/>
        </w:rPr>
        <w:tab/>
        <w:t>كما تتعاون وزارة التنمية الشمالية والمناجم مع مديرية المرأة في أونتاريو على تقديم منح للمنظمات الداعمة التي تساعد الناجين من الاعتداء الجنسي والاعتداء على الزوجة من خلال تحسين فرص التحاقهم ببرامج التواصل والمساعدة الذاتية. ويقصد التزايد في فرص الوصول إلى خدمات المنع على صعيد الشمال إلى تقليل وقوع العنف التي تتعرض له المرأة في المجتمعات الشمالية من أونتاريو.</w:t>
      </w:r>
    </w:p>
    <w:p w:rsidR="00000000" w:rsidRDefault="00000000">
      <w:pPr>
        <w:pStyle w:val="SingleTxt"/>
        <w:tabs>
          <w:tab w:val="clear" w:pos="1267"/>
          <w:tab w:val="left" w:pos="1486"/>
        </w:tabs>
        <w:ind w:left="1264" w:right="1264"/>
        <w:rPr>
          <w:rtl/>
          <w:lang w:eastAsia="en-US"/>
        </w:rPr>
      </w:pPr>
      <w:r>
        <w:rPr>
          <w:rtl/>
          <w:lang w:eastAsia="en-US"/>
        </w:rPr>
        <w:t>817 -</w:t>
      </w:r>
      <w:r>
        <w:rPr>
          <w:rtl/>
          <w:lang w:eastAsia="en-US"/>
        </w:rPr>
        <w:tab/>
        <w:t>واشتركت دائرة المحامي العام، مع الوزارات الأخرى في تنفيذ استراتيجية أونتاريو لإقامة العدل في مجال العنف المنزلي فيما يتعلق بتوسيع الخدمات الموجهة نحو ضحايا العنف المنزلي وتنسيق إقامة العدل على مستوى المجتمع المحلي وإجراء تحقيقات متخصصة بشأن الحوادث، وبواسطة شرطة مدربة، إضافة إلى عملية تقاضي متناسقة يقودها عدد مدرب من مدعي التاج فضلا عن المتابعة السريعة لهذه القضايا.</w:t>
      </w:r>
    </w:p>
    <w:p w:rsidR="00000000" w:rsidRDefault="00000000">
      <w:pPr>
        <w:pStyle w:val="SingleTxt"/>
        <w:tabs>
          <w:tab w:val="clear" w:pos="1267"/>
          <w:tab w:val="left" w:pos="1486"/>
        </w:tabs>
        <w:ind w:left="1264" w:right="1264"/>
        <w:rPr>
          <w:rtl/>
          <w:lang w:eastAsia="en-US"/>
        </w:rPr>
      </w:pPr>
      <w:r>
        <w:rPr>
          <w:rtl/>
          <w:lang w:eastAsia="en-US"/>
        </w:rPr>
        <w:t>818 -</w:t>
      </w:r>
      <w:r>
        <w:rPr>
          <w:rtl/>
          <w:lang w:eastAsia="en-US"/>
        </w:rPr>
        <w:tab/>
        <w:t>ولتكميل برامجها وخدماتها المموَّلة، ولدعم تنفيذ الاستراتيجية المذكورة أعلاه، كلَّفـت دائرة المدعي العام بتهيئة استجابة من جانب الشرطة وتم النص عليها رسميا في لوائح معايير الكفاية في قانون دوائر الشرطة. ومن بين المتطلبات المحددة في اللوائح رسم إطار عمل متكامل لتقديم الخدمات من أجل مساعدة ضحايا العنف المنزلي. وهذا يقتضي من كل دائرة شرطة في أونتاريو أن تكون قد أعدت في 1 كانون الثاني/يناير 2001 سياسات بشأن التحقيقات التي تجريها في حوادث العنف المنزلي وبشأن إجراءات وعمليات تنفيذ وإدارة تلك التحقيقات. كما اتخذت دائرة المدعي العام عدة مبادرات لمساعدة دوائر الشرطة على الوفاء بهذه المتطلبات.</w:t>
      </w:r>
    </w:p>
    <w:p w:rsidR="00000000" w:rsidRDefault="00000000">
      <w:pPr>
        <w:pStyle w:val="SingleTxt"/>
        <w:tabs>
          <w:tab w:val="clear" w:pos="1267"/>
          <w:tab w:val="left" w:pos="1486"/>
        </w:tabs>
        <w:ind w:left="1264" w:right="1264"/>
        <w:rPr>
          <w:rtl/>
          <w:lang w:eastAsia="en-US"/>
        </w:rPr>
      </w:pPr>
      <w:r>
        <w:rPr>
          <w:rtl/>
          <w:lang w:eastAsia="en-US"/>
        </w:rPr>
        <w:t>819 -</w:t>
      </w:r>
      <w:r>
        <w:rPr>
          <w:rtl/>
          <w:lang w:eastAsia="en-US"/>
        </w:rPr>
        <w:tab/>
        <w:t>وأعلنت دائرة المحامي العام ودائرة المدعي العام بصورة مشتركة قانون حقوق المجني عليهم في حزيران/يونيه 1996 من أجل تقنين مجموعة من المبادئ الرامية إلى دعم المجني عليهم في الجرائم التي تقع، من خلال معالجة دقيقة زمنيا فضلا عن تنفيذها على أساس من الاحترام واللياقة في جميع جوانب نظام العدالة الجنائية. وكثير من الضحايا وخاصة ضحايا الاعتداء الجنسي والعنف المنزلي هم من النساء. وشمل تعديل أُدخل في تشرين الثاني/نوفمبر 1997 على قانون خدمات الشرطة تقديم مساعدات للضحايا باعتبار أن ذلك أحد الواجبات المقننة تشريعيا التي تتحملها دوائر الشرطة عبر أونتاريو كلها.</w:t>
      </w:r>
    </w:p>
    <w:p w:rsidR="00000000" w:rsidRDefault="00000000">
      <w:pPr>
        <w:pStyle w:val="SingleTxt"/>
        <w:tabs>
          <w:tab w:val="clear" w:pos="1267"/>
          <w:tab w:val="left" w:pos="1486"/>
        </w:tabs>
        <w:ind w:left="1264" w:right="1264"/>
        <w:rPr>
          <w:rtl/>
          <w:lang w:eastAsia="en-US"/>
        </w:rPr>
      </w:pPr>
      <w:r>
        <w:rPr>
          <w:rtl/>
          <w:lang w:eastAsia="en-US"/>
        </w:rPr>
        <w:t>820 -</w:t>
      </w:r>
      <w:r>
        <w:rPr>
          <w:rtl/>
          <w:lang w:eastAsia="en-US"/>
        </w:rPr>
        <w:tab/>
        <w:t>ومن خلال وحدة خدمات المجني عليهم التابعة لدائرة المحامي العام، تقوم الدائرة المذكورة بتمويل وإدارة سلسلة من البرامج التي توجَّه، كليا أو جزئيا، نحو التصدي للعنف الذي تتعرض له المرأة. وهذه البرامج تشمل 33 مركز أزمات معنية بالاعتداء الجنسي/الاغتصاب و 21 برنامجا لمساعدة الضحايا وخدمات الإحالة في حالات الأزمات وبرنامج وصلة الهاتف اللاسلكي للدعم وخط مؤازرة الضحايا وبرامج الاستجابة إزاء إعتداءات الشركاء. وبالإضافة إلى ذلك تتولى وحدة خدمات الضحايا تنسيق حلقات العمل التدريبية لتوعية ضباط الشرطة. وهذه الحلقات تقصد إلى تعزيز قدرة ضباط الشرطة على الاستجابة للضحايا بطريقة مهنية ومتعاطفة مع إيجاد علاقات إيجابية مع مقدمي الخدمات للضحايا.</w:t>
      </w:r>
    </w:p>
    <w:p w:rsidR="00000000" w:rsidRDefault="00000000">
      <w:pPr>
        <w:pStyle w:val="SingleTxt"/>
        <w:tabs>
          <w:tab w:val="clear" w:pos="1267"/>
          <w:tab w:val="left" w:pos="1486"/>
        </w:tabs>
        <w:ind w:left="1264" w:right="1264"/>
        <w:rPr>
          <w:rtl/>
          <w:lang w:eastAsia="en-US"/>
        </w:rPr>
      </w:pPr>
      <w:r>
        <w:rPr>
          <w:rtl/>
          <w:lang w:eastAsia="en-US"/>
        </w:rPr>
        <w:t>821 -</w:t>
      </w:r>
      <w:r>
        <w:rPr>
          <w:rtl/>
          <w:lang w:eastAsia="en-US"/>
        </w:rPr>
        <w:tab/>
        <w:t>كما تقوم دائرة المحامي العام وبالتمويل والمشاركة في اتخاذ مبادرات تثقيفية وشنَّ حملات للتوعية الجماهيرية.</w:t>
      </w:r>
    </w:p>
    <w:p w:rsidR="00000000" w:rsidRDefault="00000000">
      <w:pPr>
        <w:pStyle w:val="SingleTxt"/>
        <w:tabs>
          <w:tab w:val="clear" w:pos="1267"/>
          <w:tab w:val="left" w:pos="1486"/>
        </w:tabs>
        <w:ind w:left="1264" w:right="1264"/>
        <w:rPr>
          <w:rtl/>
          <w:lang w:eastAsia="en-US"/>
        </w:rPr>
      </w:pPr>
      <w:r>
        <w:rPr>
          <w:rtl/>
          <w:lang w:eastAsia="en-US"/>
        </w:rPr>
        <w:t>822 -</w:t>
      </w:r>
      <w:r>
        <w:rPr>
          <w:rtl/>
          <w:lang w:eastAsia="en-US"/>
        </w:rPr>
        <w:tab/>
        <w:t>وتمول وزارة التعليم عددا من المشاريع والمبادرات المتصلة بتقليل وقوع جميع أشكال العنف الموجه ضد النساء والفتيات. وتُنشر المواد التثقيفية العامة في 28 لغة مختلفة بما في ذلك كثير من لغات السكان الأصليين.</w:t>
      </w:r>
    </w:p>
    <w:p w:rsidR="00000000" w:rsidRDefault="00000000">
      <w:pPr>
        <w:pStyle w:val="SingleTxt"/>
        <w:tabs>
          <w:tab w:val="clear" w:pos="1267"/>
          <w:tab w:val="left" w:pos="1486"/>
        </w:tabs>
        <w:ind w:left="1264" w:right="1264"/>
        <w:rPr>
          <w:rtl/>
          <w:lang w:eastAsia="en-US"/>
        </w:rPr>
      </w:pPr>
      <w:r>
        <w:rPr>
          <w:rtl/>
          <w:lang w:eastAsia="en-US"/>
        </w:rPr>
        <w:t>823 -</w:t>
      </w:r>
      <w:r>
        <w:rPr>
          <w:rtl/>
          <w:lang w:eastAsia="en-US"/>
        </w:rPr>
        <w:tab/>
        <w:t>وقد وضعت لجنة أونتاريو لحقوق الإنسان بيانا بالسياسات المتعلقة بحقوق الأشخاص المثليين من الناحية الجنسية وهذه السياسة المعنية بالتمييز والتحرش بسبب الهوية الجنسانية واردة في ورقة مناقشة صدرت للجمهور العام. ويرجع جانب كبير من التمييز والتحرش والوصم الاجتماعي الذي يعانيه الأشخاص المثليون جنسيا، إلى التصور النمطي الجامد للأدوار الجنسية مما يبرر حماية حقوق الإنسان. وتقبل اللجنة حاليا الشكاوى المرتبطة بالهوية الجنسانية على أساس المبررات الجنسية.</w:t>
      </w:r>
    </w:p>
    <w:p w:rsidR="00000000" w:rsidRDefault="00000000">
      <w:pPr>
        <w:pStyle w:val="SingleTxt"/>
        <w:tabs>
          <w:tab w:val="clear" w:pos="1267"/>
          <w:tab w:val="left" w:pos="1486"/>
        </w:tabs>
        <w:ind w:left="1264" w:right="1264"/>
        <w:rPr>
          <w:rtl/>
          <w:lang w:eastAsia="en-US"/>
        </w:rPr>
      </w:pPr>
      <w:r>
        <w:rPr>
          <w:rtl/>
          <w:lang w:eastAsia="en-US"/>
        </w:rPr>
        <w:t>824 -</w:t>
      </w:r>
      <w:r>
        <w:rPr>
          <w:rtl/>
          <w:lang w:eastAsia="en-US"/>
        </w:rPr>
        <w:tab/>
        <w:t>وفيما لا تنص اتفاقية القضاء على جميع أشكال التمييز ضد المرأة صراحة على حق للمرأة في أن تتحرر من التمييز على أساس التوجه الجنسي ولا على وضعية شريك من نفس الجنس، فإن هذه الحقوق محمية صراحة سواء باللوائح أو بالدستور في أونتاريو وكندا كما أن لجنة أونتاريو لحقوق الإنسان وضعت بيانا بالسياسات العامة بشأن التوجه الجنسي.</w:t>
      </w:r>
    </w:p>
    <w:p w:rsidR="00000000" w:rsidRDefault="00000000">
      <w:pPr>
        <w:pStyle w:val="SingleTxt"/>
        <w:tabs>
          <w:tab w:val="clear" w:pos="1267"/>
          <w:tab w:val="left" w:pos="1486"/>
        </w:tabs>
        <w:ind w:left="1264" w:right="1264"/>
        <w:rPr>
          <w:b/>
          <w:bCs/>
          <w:szCs w:val="32"/>
          <w:rtl/>
          <w:lang w:eastAsia="en-US"/>
        </w:rPr>
      </w:pPr>
      <w:r>
        <w:rPr>
          <w:b/>
          <w:bCs/>
          <w:szCs w:val="32"/>
          <w:rtl/>
          <w:lang w:eastAsia="en-US"/>
        </w:rPr>
        <w:t>المادة 10: التعليم</w:t>
      </w:r>
    </w:p>
    <w:p w:rsidR="00000000" w:rsidRDefault="00000000">
      <w:pPr>
        <w:pStyle w:val="SingleTxt"/>
        <w:tabs>
          <w:tab w:val="clear" w:pos="1267"/>
          <w:tab w:val="left" w:pos="1486"/>
        </w:tabs>
        <w:ind w:left="1264" w:right="1264"/>
        <w:rPr>
          <w:rtl/>
          <w:lang w:eastAsia="en-US"/>
        </w:rPr>
      </w:pPr>
      <w:r>
        <w:rPr>
          <w:rtl/>
          <w:lang w:eastAsia="en-US"/>
        </w:rPr>
        <w:t>825 -</w:t>
      </w:r>
      <w:r>
        <w:rPr>
          <w:rtl/>
          <w:lang w:eastAsia="en-US"/>
        </w:rPr>
        <w:tab/>
        <w:t>قامت وزارة التدريب والمعاهد والجامعات بنشر وتوزيع وثائق معلومات أساسية بشأن وضع المرأة في مؤسسات ما بعد المرحلة الثانوية. وعلى سبيل المثال فإن سلسلة وضع المرأة في جامعات أونتاريو (مجلدان) هو مجموعة من التقارير الإحصائية التي تتقصى مشاركة المرأة على جميع المستويات ضمن نظام أونتاريو الجامعي. وهذه التقارير كانت تشكل مرجعاً مهما في رصد التغيُّرات التي طرأت على مشاركة الطالبات وعضوات هيئات التدريس والموظفين الإداريين في جامعات أونتاريو.</w:t>
      </w:r>
    </w:p>
    <w:p w:rsidR="00000000" w:rsidRDefault="00000000">
      <w:pPr>
        <w:pStyle w:val="SingleTxt"/>
        <w:tabs>
          <w:tab w:val="clear" w:pos="1267"/>
          <w:tab w:val="left" w:pos="1486"/>
        </w:tabs>
        <w:ind w:left="1264" w:right="1264"/>
        <w:rPr>
          <w:rtl/>
          <w:lang w:eastAsia="en-US"/>
        </w:rPr>
      </w:pPr>
      <w:r>
        <w:rPr>
          <w:rtl/>
          <w:lang w:eastAsia="en-US"/>
        </w:rPr>
        <w:t>826 -</w:t>
      </w:r>
      <w:r>
        <w:rPr>
          <w:rtl/>
          <w:lang w:eastAsia="en-US"/>
        </w:rPr>
        <w:tab/>
        <w:t>وتقدم وزارة التدريب والمعاهد والجامعات الدعم لعدد من النساء المنخرطات في برامج التلمذة المهنية. ويؤكد فرع خدمات دعم موقع العمل، الذي يشرف على الاستراتجيات الشاملة للتدريب وإعادة التوظيف على أهمية المشاركة العاملة والفعالة للفئات المحرومة والمنخفضة التمثيل، بما في ذلك النساء في برامج وخدمات تنمية قوة العمل.</w:t>
      </w:r>
    </w:p>
    <w:p w:rsidR="00000000" w:rsidRDefault="00000000">
      <w:pPr>
        <w:pStyle w:val="SingleTxt"/>
        <w:tabs>
          <w:tab w:val="clear" w:pos="1267"/>
          <w:tab w:val="left" w:pos="1486"/>
        </w:tabs>
        <w:ind w:left="1264" w:right="1264"/>
        <w:rPr>
          <w:rtl/>
          <w:lang w:eastAsia="en-US"/>
        </w:rPr>
      </w:pPr>
      <w:r>
        <w:rPr>
          <w:rtl/>
          <w:lang w:eastAsia="en-US"/>
        </w:rPr>
        <w:t>827 -</w:t>
      </w:r>
      <w:r>
        <w:rPr>
          <w:rtl/>
          <w:lang w:eastAsia="en-US"/>
        </w:rPr>
        <w:tab/>
        <w:t>كما تقدِّم وزارة التدريب والمعاهد والجامعات منحا لرعاية الطفل بموجب خطة مساعدة طلاب أونتاريو من أجل إعانة الطلاب الذين يتحملون تكاليف لرعاية الأطفال وهم ينتظمون للدراسة في المعاهد أو الجامعات. وبالإضافة إلى ذلك فالمساعدات متاحة للطلاب الذين لديهم أطفال معالون وللنساء المنخرطات في برامج الدكتوراه ممن يعانين احتياجات مالية.</w:t>
      </w:r>
    </w:p>
    <w:p w:rsidR="00000000" w:rsidRDefault="00000000">
      <w:pPr>
        <w:pStyle w:val="SingleTxt"/>
        <w:tabs>
          <w:tab w:val="clear" w:pos="1267"/>
          <w:tab w:val="left" w:pos="1486"/>
        </w:tabs>
        <w:ind w:left="1264" w:right="1264"/>
        <w:rPr>
          <w:rtl/>
          <w:lang w:eastAsia="en-US"/>
        </w:rPr>
      </w:pPr>
      <w:r>
        <w:rPr>
          <w:rtl/>
          <w:lang w:eastAsia="en-US"/>
        </w:rPr>
        <w:t>828 -</w:t>
      </w:r>
      <w:r>
        <w:rPr>
          <w:rtl/>
          <w:lang w:eastAsia="en-US"/>
        </w:rPr>
        <w:tab/>
        <w:t>وفي أيار/مايو 1995 أطلقت لجنة أونتاريو لحقوق الإنسان حزمة متكاملة من المواد التعليمية لطلاب الثانويات بعنوان “تدريس حقوق الإنسان في أونتاريو”. وتضم الحزمة مواد ونشرات ترمي إلى إطلاع الطلاب على حماية حقوق الإنسان المكفولة في القانون وإلى مساعدتهم على فهم دور اللجنة. وقد أُرسلت الحزمة الصادرة بالإنكليزية والفرنسية إلى كل مدرسة ثانوية وكل مجلس مدرسة في أونتاريو إضافة إلى مئات من الأفراد الآخرين والجماعات بناءً على الطلب. وبالإضافة إلى ذلك، تُستخدَم المواد لتدريس حقوق الإنسان في المعاهد المحلية والجامعات وفي فصول التعليم الأساسي للكبار وتدريس الإنكليزية كلغة ثانية. كما أن اللجنة عضو مساهم في لجنة وزارة التعليم المعنية بالمساواة في مواد التعلُّم.</w:t>
      </w:r>
    </w:p>
    <w:p w:rsidR="00000000" w:rsidRDefault="00000000">
      <w:pPr>
        <w:pStyle w:val="SingleTxt"/>
        <w:tabs>
          <w:tab w:val="clear" w:pos="1267"/>
          <w:tab w:val="left" w:pos="1486"/>
        </w:tabs>
        <w:ind w:left="1264" w:right="1264"/>
        <w:rPr>
          <w:rtl/>
          <w:lang w:eastAsia="en-US"/>
        </w:rPr>
      </w:pPr>
      <w:r>
        <w:rPr>
          <w:rtl/>
          <w:lang w:eastAsia="en-US"/>
        </w:rPr>
        <w:t>829 -</w:t>
      </w:r>
      <w:r>
        <w:rPr>
          <w:rtl/>
          <w:lang w:eastAsia="en-US"/>
        </w:rPr>
        <w:tab/>
        <w:t xml:space="preserve">وتتاح المعلومات بشأن القانون واللجنة لآلاف من الطلاب في كل أنحاء كندا عبر شبكة الإنترنت في إطار خدمة “شبكة المدارس” عن طريق موقع اللجنة ذاتها على الشبكة العالمية </w:t>
      </w:r>
      <w:r>
        <w:rPr>
          <w:lang w:eastAsia="en-US"/>
        </w:rPr>
        <w:t>(</w:t>
      </w:r>
      <w:hyperlink r:id="rId15" w:history="1">
        <w:r>
          <w:rPr>
            <w:rStyle w:val="Hyperlink"/>
          </w:rPr>
          <w:t>www.ohrc.on.ca)</w:t>
        </w:r>
      </w:hyperlink>
      <w:r>
        <w:rPr>
          <w:rtl/>
          <w:lang w:eastAsia="en-US"/>
        </w:rPr>
        <w:t>، الذي انطلق في كانون الأول/ديسمبر 1996.</w:t>
      </w:r>
    </w:p>
    <w:p w:rsidR="00000000" w:rsidRDefault="00000000">
      <w:pPr>
        <w:pStyle w:val="SingleTxt"/>
        <w:tabs>
          <w:tab w:val="clear" w:pos="1267"/>
          <w:tab w:val="left" w:pos="1486"/>
        </w:tabs>
        <w:ind w:left="1264" w:right="1264"/>
        <w:rPr>
          <w:rtl/>
          <w:lang w:eastAsia="en-US"/>
        </w:rPr>
      </w:pPr>
      <w:r>
        <w:rPr>
          <w:rtl/>
          <w:lang w:eastAsia="en-US"/>
        </w:rPr>
        <w:t>830 -</w:t>
      </w:r>
      <w:r>
        <w:rPr>
          <w:rtl/>
          <w:lang w:eastAsia="en-US"/>
        </w:rPr>
        <w:tab/>
        <w:t xml:space="preserve">وفي عام 1997 طرحت اللجنة استراتيجية لتفعيل أنشطتها في مجال التعليم والمعلومات. وهيأ سُبل التعليم والتدريب أعضاء اللجنة وموظفوها شخصيا إلى 497 3 فردا في الفترة 1997 </w:t>
      </w:r>
      <w:r>
        <w:rPr>
          <w:lang w:eastAsia="en-US"/>
        </w:rPr>
        <w:t>–</w:t>
      </w:r>
      <w:r>
        <w:rPr>
          <w:rtl/>
          <w:lang w:eastAsia="en-US"/>
        </w:rPr>
        <w:t xml:space="preserve"> 1998 وإلى 715 1 فردا في الفترة 1996 </w:t>
      </w:r>
      <w:r>
        <w:rPr>
          <w:lang w:eastAsia="en-US"/>
        </w:rPr>
        <w:t>–</w:t>
      </w:r>
      <w:r>
        <w:rPr>
          <w:rtl/>
          <w:lang w:eastAsia="en-US"/>
        </w:rPr>
        <w:t xml:space="preserve"> 1997 و إلى 384 1 فردا في الفترة 1995 </w:t>
      </w:r>
      <w:r>
        <w:rPr>
          <w:lang w:eastAsia="en-US"/>
        </w:rPr>
        <w:t>–</w:t>
      </w:r>
      <w:r>
        <w:rPr>
          <w:rtl/>
          <w:lang w:eastAsia="en-US"/>
        </w:rPr>
        <w:t xml:space="preserve"> 1996 وإلى 311 فرداً في الفترة 1994 </w:t>
      </w:r>
      <w:r>
        <w:rPr>
          <w:lang w:eastAsia="en-US"/>
        </w:rPr>
        <w:t>–</w:t>
      </w:r>
      <w:r>
        <w:rPr>
          <w:rtl/>
          <w:lang w:eastAsia="en-US"/>
        </w:rPr>
        <w:t xml:space="preserve"> 1995.</w:t>
      </w:r>
    </w:p>
    <w:p w:rsidR="00000000" w:rsidRDefault="00000000">
      <w:pPr>
        <w:pStyle w:val="SingleTxt"/>
        <w:tabs>
          <w:tab w:val="clear" w:pos="1267"/>
          <w:tab w:val="left" w:pos="1486"/>
        </w:tabs>
        <w:ind w:left="1264" w:right="1264"/>
        <w:rPr>
          <w:rtl/>
          <w:lang w:eastAsia="en-US"/>
        </w:rPr>
      </w:pPr>
      <w:r>
        <w:rPr>
          <w:rtl/>
          <w:lang w:eastAsia="en-US"/>
        </w:rPr>
        <w:t>831 -</w:t>
      </w:r>
      <w:r>
        <w:rPr>
          <w:rtl/>
          <w:lang w:eastAsia="en-US"/>
        </w:rPr>
        <w:tab/>
        <w:t>وتقوم مديرية المرأة في أونتاريو على تنفيذ وإدارة برنامج الشركاء من أجل التغيير وهذا البرنامج يقصد إلى تشجيع مشاريع الشراكة المبتكرة مع المربين ومنظمات الأعمال والتجارة والمنظمات المجتمعية لدعم الفرص التعليمية للفتيات مما يفضي إلى النجاح في المهنة والحياة وتعزيز مشاركة المرأة في مجالات التدريب القائمة على أساس الرياضيات والعلوم والتكنولوجيا وتشجيع توظيف واستبقاء وترقية النساء ومؤازرة نجاح المرأة في مجال تنظيم المشاريع.</w:t>
      </w:r>
    </w:p>
    <w:p w:rsidR="00000000" w:rsidRDefault="00000000">
      <w:pPr>
        <w:pStyle w:val="SingleTxt"/>
        <w:tabs>
          <w:tab w:val="clear" w:pos="1267"/>
          <w:tab w:val="left" w:pos="1486"/>
        </w:tabs>
        <w:ind w:left="1264" w:right="1264"/>
        <w:rPr>
          <w:b/>
          <w:bCs/>
          <w:szCs w:val="32"/>
          <w:rtl/>
          <w:lang w:eastAsia="en-US"/>
        </w:rPr>
      </w:pPr>
      <w:r>
        <w:rPr>
          <w:b/>
          <w:bCs/>
          <w:szCs w:val="32"/>
          <w:rtl/>
          <w:lang w:eastAsia="en-US"/>
        </w:rPr>
        <w:t>المادة 11: العمالة</w:t>
      </w:r>
    </w:p>
    <w:p w:rsidR="00000000" w:rsidRDefault="00000000">
      <w:pPr>
        <w:pStyle w:val="SingleTxt"/>
        <w:tabs>
          <w:tab w:val="clear" w:pos="1267"/>
          <w:tab w:val="left" w:pos="1486"/>
        </w:tabs>
        <w:ind w:left="1264" w:right="1264"/>
        <w:rPr>
          <w:rtl/>
          <w:lang w:eastAsia="en-US"/>
        </w:rPr>
      </w:pPr>
      <w:r>
        <w:rPr>
          <w:rtl/>
          <w:lang w:eastAsia="en-US"/>
        </w:rPr>
        <w:t>832 -</w:t>
      </w:r>
      <w:r>
        <w:rPr>
          <w:rtl/>
          <w:lang w:eastAsia="en-US"/>
        </w:rPr>
        <w:tab/>
        <w:t xml:space="preserve">بين نيسان/أبريل 1994 وآذار/مارس 1998، كانت نسبة 73 في المائة من جميع الشكاوى المقدمة إلى اللجنة تتصل بمجال العمالة. وفي الفترة 1994 </w:t>
      </w:r>
      <w:r>
        <w:rPr>
          <w:lang w:eastAsia="en-US"/>
        </w:rPr>
        <w:t>–</w:t>
      </w:r>
      <w:r>
        <w:rPr>
          <w:rtl/>
          <w:lang w:eastAsia="en-US"/>
        </w:rPr>
        <w:t xml:space="preserve"> 1995 كان ما يقرب من 32 في المائة من شكاوى العمالة المقدمة إلى اللجنة، يتعلق أساساً بالتمييز على أساس نوع الجنس أو الحمل أو التحرش الجنسي. وهذا الرقم كان 32 في المائة للفترة 1995 </w:t>
      </w:r>
      <w:r>
        <w:rPr>
          <w:lang w:eastAsia="en-US"/>
        </w:rPr>
        <w:t>–</w:t>
      </w:r>
      <w:r>
        <w:rPr>
          <w:rtl/>
          <w:lang w:eastAsia="en-US"/>
        </w:rPr>
        <w:t xml:space="preserve"> 1996 فيما كان أيضا 32 في المائة للفترة 1996 </w:t>
      </w:r>
      <w:r>
        <w:rPr>
          <w:lang w:eastAsia="en-US"/>
        </w:rPr>
        <w:t>–</w:t>
      </w:r>
      <w:r>
        <w:rPr>
          <w:rtl/>
          <w:lang w:eastAsia="en-US"/>
        </w:rPr>
        <w:t xml:space="preserve"> 1997 وكان 31 في المائة للفترة 1997 </w:t>
      </w:r>
      <w:r>
        <w:rPr>
          <w:lang w:eastAsia="en-US"/>
        </w:rPr>
        <w:t>–</w:t>
      </w:r>
      <w:r>
        <w:rPr>
          <w:rtl/>
          <w:lang w:eastAsia="en-US"/>
        </w:rPr>
        <w:t xml:space="preserve"> 1998.</w:t>
      </w:r>
    </w:p>
    <w:p w:rsidR="00000000" w:rsidRDefault="00000000">
      <w:pPr>
        <w:pStyle w:val="SingleTxt"/>
        <w:tabs>
          <w:tab w:val="clear" w:pos="1267"/>
          <w:tab w:val="left" w:pos="1486"/>
        </w:tabs>
        <w:ind w:left="1264" w:right="1264"/>
        <w:rPr>
          <w:rtl/>
          <w:lang w:eastAsia="en-US"/>
        </w:rPr>
      </w:pPr>
      <w:r>
        <w:rPr>
          <w:b/>
          <w:bCs/>
          <w:rtl/>
          <w:lang w:eastAsia="en-US"/>
        </w:rPr>
        <w:t>الحق في العمل</w:t>
      </w:r>
    </w:p>
    <w:p w:rsidR="00000000" w:rsidRDefault="00000000">
      <w:pPr>
        <w:pStyle w:val="SingleTxt"/>
        <w:tabs>
          <w:tab w:val="clear" w:pos="1267"/>
          <w:tab w:val="left" w:pos="1486"/>
        </w:tabs>
        <w:ind w:left="1264" w:right="1264"/>
        <w:rPr>
          <w:rtl/>
          <w:lang w:eastAsia="en-US"/>
        </w:rPr>
      </w:pPr>
      <w:r>
        <w:rPr>
          <w:rtl/>
          <w:lang w:eastAsia="en-US"/>
        </w:rPr>
        <w:t>833 -</w:t>
      </w:r>
      <w:r>
        <w:rPr>
          <w:rtl/>
          <w:lang w:eastAsia="en-US"/>
        </w:rPr>
        <w:tab/>
        <w:t>في 10 تشرين الثاني/نوفمبر 1995 صدر القانون بتعديل قانون علاقات العمل ولوائح التوظيف (مشروع القانون 7) وهو الذي طرح الأخذ بتدابير الديمقراطية في مواقع العمـــل في قانـــون علاقـــات العمـــل الذي عزز الحقوق الديمقراطية للعاملين الأفراد. وفيما لا يشمل قانون علاقات العمل عمال المنازل إلا أنهم ما زالوا أحرارا في تشكيل رابطات طوعية.</w:t>
      </w:r>
    </w:p>
    <w:p w:rsidR="00000000" w:rsidRDefault="00000000">
      <w:pPr>
        <w:pStyle w:val="SingleTxt"/>
        <w:tabs>
          <w:tab w:val="clear" w:pos="1267"/>
          <w:tab w:val="left" w:pos="1486"/>
        </w:tabs>
        <w:ind w:left="1264" w:right="1264"/>
        <w:rPr>
          <w:rtl/>
          <w:lang w:eastAsia="en-US"/>
        </w:rPr>
      </w:pPr>
      <w:r>
        <w:rPr>
          <w:b/>
          <w:bCs/>
          <w:rtl/>
          <w:lang w:eastAsia="en-US"/>
        </w:rPr>
        <w:t xml:space="preserve">فرص العمل </w:t>
      </w:r>
      <w:r>
        <w:rPr>
          <w:b/>
          <w:bCs/>
          <w:lang w:eastAsia="en-US"/>
        </w:rPr>
        <w:t>–</w:t>
      </w:r>
      <w:r>
        <w:rPr>
          <w:b/>
          <w:bCs/>
          <w:rtl/>
          <w:lang w:eastAsia="en-US"/>
        </w:rPr>
        <w:t xml:space="preserve"> التدريب</w:t>
      </w:r>
    </w:p>
    <w:p w:rsidR="00000000" w:rsidRDefault="00000000">
      <w:pPr>
        <w:pStyle w:val="SingleTxt"/>
        <w:tabs>
          <w:tab w:val="clear" w:pos="1267"/>
          <w:tab w:val="left" w:pos="1486"/>
        </w:tabs>
        <w:ind w:left="1264" w:right="1264"/>
        <w:rPr>
          <w:rtl/>
          <w:lang w:eastAsia="en-US"/>
        </w:rPr>
      </w:pPr>
      <w:r>
        <w:rPr>
          <w:rtl/>
          <w:lang w:eastAsia="en-US"/>
        </w:rPr>
        <w:t>834 -</w:t>
      </w:r>
      <w:r>
        <w:rPr>
          <w:rtl/>
          <w:lang w:eastAsia="en-US"/>
        </w:rPr>
        <w:tab/>
        <w:t>استضافت وزارة التنمية الاقتصادية والتجارة (سابقا وزارة التنمية الاقتصادية والتجارة والسياحة) حلقة دراسية تابعة لسلك الخدمة العامة في أونتاريو عن الدور المتغيِّر للمرأة في سلك الخدمة العامة وكان ذلك في كانون الأول/ديسمبر 1995. وانتظم في الحلقة الدراسية 350 من الأفراد ليستمعوا إلى متكلمين من القطاعين العام والخاص.</w:t>
      </w:r>
    </w:p>
    <w:p w:rsidR="00000000" w:rsidRDefault="00000000">
      <w:pPr>
        <w:pStyle w:val="SingleTxt"/>
        <w:tabs>
          <w:tab w:val="clear" w:pos="1267"/>
          <w:tab w:val="left" w:pos="1486"/>
        </w:tabs>
        <w:ind w:left="1264" w:right="1264"/>
        <w:rPr>
          <w:rtl/>
          <w:lang w:eastAsia="en-US"/>
        </w:rPr>
      </w:pPr>
      <w:r>
        <w:rPr>
          <w:rtl/>
          <w:lang w:eastAsia="en-US"/>
        </w:rPr>
        <w:t>835 -</w:t>
      </w:r>
      <w:r>
        <w:rPr>
          <w:rtl/>
          <w:lang w:eastAsia="en-US"/>
        </w:rPr>
        <w:tab/>
        <w:t>وتواصل تدعم وزارة النقل، دعم، مؤتمر عن المرأة في مجال الهندسة يتيح الفرصة أمام مهندسات الوزارة كي يناقشن احتياجات وفرص التدريب والتنمية.</w:t>
      </w:r>
    </w:p>
    <w:p w:rsidR="00000000" w:rsidRDefault="00000000">
      <w:pPr>
        <w:pStyle w:val="SingleTxt"/>
        <w:tabs>
          <w:tab w:val="clear" w:pos="1267"/>
          <w:tab w:val="left" w:pos="1486"/>
        </w:tabs>
        <w:ind w:left="1264" w:right="1264"/>
        <w:rPr>
          <w:rtl/>
          <w:lang w:eastAsia="en-US"/>
        </w:rPr>
      </w:pPr>
      <w:r>
        <w:rPr>
          <w:b/>
          <w:bCs/>
          <w:rtl/>
          <w:lang w:eastAsia="en-US"/>
        </w:rPr>
        <w:t>رعاية الطفل</w:t>
      </w:r>
    </w:p>
    <w:p w:rsidR="00000000" w:rsidRDefault="00000000">
      <w:pPr>
        <w:pStyle w:val="SingleTxt"/>
        <w:tabs>
          <w:tab w:val="clear" w:pos="1267"/>
          <w:tab w:val="left" w:pos="1486"/>
        </w:tabs>
        <w:ind w:left="1264" w:right="1264"/>
        <w:rPr>
          <w:rtl/>
          <w:lang w:eastAsia="en-US"/>
        </w:rPr>
      </w:pPr>
      <w:r>
        <w:rPr>
          <w:rtl/>
          <w:lang w:eastAsia="en-US"/>
        </w:rPr>
        <w:t>836 -</w:t>
      </w:r>
      <w:r>
        <w:rPr>
          <w:rtl/>
          <w:lang w:eastAsia="en-US"/>
        </w:rPr>
        <w:tab/>
        <w:t>منذ عام 1995، استمر الإنفاق على رعاية الطفــل. وهناك الآن ما يقرب من 500 143 من أماكن رعاية الطفل في المراكز ذات الصلة وتلك زيادة بمقدار 500 14 مكان منذ آذار/مارس 1995. كذلك ففي عام 1998 تم إنشاء ما يقرب من 180 مركزا إضافيا أي بزيادة بنسبة 6 في المائة عن عام 1995.</w:t>
      </w:r>
    </w:p>
    <w:p w:rsidR="00000000" w:rsidRDefault="00000000">
      <w:pPr>
        <w:pStyle w:val="SingleTxt"/>
        <w:tabs>
          <w:tab w:val="clear" w:pos="1267"/>
          <w:tab w:val="left" w:pos="1486"/>
        </w:tabs>
        <w:ind w:left="1264" w:right="1264"/>
        <w:rPr>
          <w:rtl/>
          <w:lang w:eastAsia="en-US"/>
        </w:rPr>
      </w:pPr>
      <w:r>
        <w:rPr>
          <w:rtl/>
          <w:lang w:eastAsia="en-US"/>
        </w:rPr>
        <w:t>837 -</w:t>
      </w:r>
      <w:r>
        <w:rPr>
          <w:rtl/>
          <w:lang w:eastAsia="en-US"/>
        </w:rPr>
        <w:tab/>
        <w:t>وأعلنت ميزانية أونتاريو لعام 1997 أن 000 90 من الأسر و 000 125 من الأطفال سيفيدون من ائتمان ضريبي جديد لرعاية الطفل يقصد إلى مساعدة الأسر العاملة التي لا تستفيد من النظام المؤسسي الراهن لرعاية الطفل. والنظام الجديد سوف يكفل مزيدا من الاختيار أمام الوالدين ويساعد مقدمي رعاية الطفل على تقليل تكاليف هذه الرعاية. وسوف يتلقى المساعدة المزيد من الأسر حيث تُعطى الأولوية للأسر المحتاجة للمساعدة كي تلتحق بالعمل أو تظل منخرطة فيه.</w:t>
      </w:r>
    </w:p>
    <w:p w:rsidR="00000000" w:rsidRDefault="00000000">
      <w:pPr>
        <w:pStyle w:val="SingleTxt"/>
        <w:tabs>
          <w:tab w:val="clear" w:pos="1267"/>
          <w:tab w:val="left" w:pos="1486"/>
        </w:tabs>
        <w:ind w:left="1264" w:right="1264"/>
        <w:rPr>
          <w:rtl/>
          <w:lang w:eastAsia="en-US"/>
        </w:rPr>
      </w:pPr>
      <w:r>
        <w:rPr>
          <w:rtl/>
          <w:lang w:eastAsia="en-US"/>
        </w:rPr>
        <w:t>838 -</w:t>
      </w:r>
      <w:r>
        <w:rPr>
          <w:rtl/>
          <w:lang w:eastAsia="en-US"/>
        </w:rPr>
        <w:tab/>
        <w:t>وتدرك أونتاريو مدى الحاجة للعمل على إيجاد توازن أفضل بين قطاعي رعاية الطفل الخاص وغير الربحي بما يُلبي احتياجات الأسر بنجاح. وقد اتخذت المقاطعة عدة خطوات نحو استعادة هذا التوازن بما في ذلك إنهاء مبادرة التحوُّل التي كانت برامج القطاع الخاص تتحول بمقتضاها إلى برامج غير ربحية مع رفع الحظر على شراء الأماكن في القطاع الخاص المُرخَّص وإتاحة الفرص أمام هذا القطاع الخاص المُرخَّص للحصول على أموال الإصلاحات/الصيانة.</w:t>
      </w:r>
    </w:p>
    <w:p w:rsidR="00000000" w:rsidRDefault="00000000">
      <w:pPr>
        <w:pStyle w:val="SingleTxt"/>
        <w:tabs>
          <w:tab w:val="clear" w:pos="1267"/>
          <w:tab w:val="left" w:pos="1486"/>
        </w:tabs>
        <w:ind w:left="1264" w:right="1264"/>
        <w:rPr>
          <w:rtl/>
          <w:lang w:eastAsia="en-US"/>
        </w:rPr>
      </w:pPr>
      <w:r>
        <w:rPr>
          <w:rtl/>
          <w:lang w:eastAsia="en-US"/>
        </w:rPr>
        <w:t>839 -</w:t>
      </w:r>
      <w:r>
        <w:rPr>
          <w:rtl/>
          <w:lang w:eastAsia="en-US"/>
        </w:rPr>
        <w:tab/>
        <w:t>ويتلقى جميع أطفال السكان الأصليين الملتحقين بالبرامج التي تدار بواسطة الأقوام الأولى إعانات للمصاريف. وتشارك أونتاريو في التكاليف الناجمة عن إعانات المصاريف بنسبة 80 إلى 20 مع الأقوام الأولى. وفي عام 1998 كان هناك 53 مركزا يقوم على تشغيلها الأقوام الأولى.</w:t>
      </w:r>
    </w:p>
    <w:p w:rsidR="00000000" w:rsidRDefault="00000000">
      <w:pPr>
        <w:pStyle w:val="SingleTxt"/>
        <w:tabs>
          <w:tab w:val="clear" w:pos="1267"/>
          <w:tab w:val="left" w:pos="1486"/>
        </w:tabs>
        <w:ind w:left="1264" w:right="1264"/>
        <w:rPr>
          <w:rtl/>
          <w:lang w:eastAsia="en-US"/>
        </w:rPr>
      </w:pPr>
      <w:r>
        <w:rPr>
          <w:b/>
          <w:bCs/>
          <w:rtl/>
          <w:lang w:eastAsia="en-US"/>
        </w:rPr>
        <w:t>الأجر المتكافئ</w:t>
      </w:r>
    </w:p>
    <w:p w:rsidR="00000000" w:rsidRDefault="00000000">
      <w:pPr>
        <w:pStyle w:val="SingleTxt"/>
        <w:tabs>
          <w:tab w:val="clear" w:pos="1267"/>
          <w:tab w:val="left" w:pos="1486"/>
        </w:tabs>
        <w:ind w:left="1264" w:right="1264"/>
        <w:rPr>
          <w:rtl/>
          <w:lang w:eastAsia="en-US"/>
        </w:rPr>
      </w:pPr>
      <w:r>
        <w:rPr>
          <w:rtl/>
          <w:lang w:eastAsia="en-US"/>
        </w:rPr>
        <w:t>840 -</w:t>
      </w:r>
      <w:r>
        <w:rPr>
          <w:rtl/>
          <w:lang w:eastAsia="en-US"/>
        </w:rPr>
        <w:tab/>
        <w:t>في تموز/يوليه 1995 أكدت حكومة أونتاريو علناً التزامها بمساعدة أرباب العمل من القطاع العام في كلفة تحقيق التكافؤ الأجْري ملتزمة بتقديم تمويل سنوي في هذا الشأن. كما أُدخلت في عام 1997 تعديلات على مدفوعات المرة الواحدة للتكافؤ الأجري بأثر رجعي.</w:t>
      </w:r>
    </w:p>
    <w:p w:rsidR="00000000" w:rsidRDefault="00000000">
      <w:pPr>
        <w:pStyle w:val="SingleTxt"/>
        <w:tabs>
          <w:tab w:val="clear" w:pos="1267"/>
          <w:tab w:val="left" w:pos="1486"/>
        </w:tabs>
        <w:ind w:left="1264" w:right="1264"/>
        <w:rPr>
          <w:rtl/>
          <w:lang w:eastAsia="en-US"/>
        </w:rPr>
      </w:pPr>
      <w:r>
        <w:rPr>
          <w:rtl/>
          <w:lang w:eastAsia="en-US"/>
        </w:rPr>
        <w:t>841 -</w:t>
      </w:r>
      <w:r>
        <w:rPr>
          <w:rtl/>
          <w:lang w:eastAsia="en-US"/>
        </w:rPr>
        <w:tab/>
        <w:t>وأُدخل تعديل على قانون التكافؤ الأجري في إطار قانون استقرار التحوُّل في القطاع العام لعام 1997 بما يسمح بتعديلات لتخفيض الأجور مستقبلا إذا ما وجد أن خطة المساواة في الأجر لم تعد ملائمة في أعقاب عمليات بيع أو اندماج. كما أن مراكز الدعوة للتكافؤ الأجري والخدمات القانونية التي قدمت معلومات قانونية ومشورة قانونية مجانية فيما يتعلق بالتكافؤ الأجري توقفت عن قبول حالات جديدة منذ 1 آب/أغسطس 1995. وقدمت الحكومة تمويلا لعمليات تحجيم الأنشطة بما يتيح لهذه الخدمة أن تنهي الحالات الجارية.</w:t>
      </w:r>
    </w:p>
    <w:p w:rsidR="00000000" w:rsidRDefault="00000000">
      <w:pPr>
        <w:pStyle w:val="SingleTxt"/>
        <w:tabs>
          <w:tab w:val="clear" w:pos="1267"/>
          <w:tab w:val="left" w:pos="1486"/>
        </w:tabs>
        <w:ind w:left="1264" w:right="1264"/>
        <w:rPr>
          <w:b/>
          <w:bCs/>
          <w:rtl/>
          <w:lang w:eastAsia="en-US"/>
        </w:rPr>
      </w:pPr>
    </w:p>
    <w:p w:rsidR="00000000" w:rsidRDefault="00000000">
      <w:pPr>
        <w:pStyle w:val="SingleTxt"/>
        <w:tabs>
          <w:tab w:val="clear" w:pos="1267"/>
          <w:tab w:val="left" w:pos="1486"/>
        </w:tabs>
        <w:ind w:left="1264" w:right="1264"/>
        <w:rPr>
          <w:rtl/>
          <w:lang w:eastAsia="en-US"/>
        </w:rPr>
      </w:pPr>
      <w:r>
        <w:rPr>
          <w:b/>
          <w:bCs/>
          <w:rtl/>
          <w:lang w:eastAsia="en-US"/>
        </w:rPr>
        <w:t>ظروف العمل</w:t>
      </w:r>
    </w:p>
    <w:p w:rsidR="00000000" w:rsidRDefault="00000000">
      <w:pPr>
        <w:pStyle w:val="SingleTxt"/>
        <w:tabs>
          <w:tab w:val="clear" w:pos="1267"/>
          <w:tab w:val="left" w:pos="1486"/>
        </w:tabs>
        <w:ind w:left="1264" w:right="1264"/>
        <w:rPr>
          <w:rtl/>
          <w:lang w:eastAsia="en-US"/>
        </w:rPr>
      </w:pPr>
      <w:r>
        <w:rPr>
          <w:rtl/>
          <w:lang w:eastAsia="en-US"/>
        </w:rPr>
        <w:t>842 -</w:t>
      </w:r>
      <w:r>
        <w:rPr>
          <w:rtl/>
          <w:lang w:eastAsia="en-US"/>
        </w:rPr>
        <w:tab/>
        <w:t>منذ التقرير الأخير زاد الحد الأدنى للأجر بالساعة في أونتاريو ليصبح 6.85 في المائة من الدولارات ويُعد بذلك بين الأعلى في كندا. وتم تعديل قانون معايير التوظيف للقضاء على حالات الاستبعاد من أجر العمل الإضافي والإجازات العامة لعمال المنازل، وطُلب إلى أرباب العمل تزويد العاملين بالمنازل بتفاصيل مكتوبة تتعلق بأعمالهم وأجورهم. كما تم رفع الحد الأدنى لأجور عمال المنازل إلى 110 في المائة من الحد الأدنى العام للأجر بالساعة.</w:t>
      </w:r>
    </w:p>
    <w:p w:rsidR="00000000" w:rsidRDefault="00000000">
      <w:pPr>
        <w:pStyle w:val="SingleTxt"/>
        <w:tabs>
          <w:tab w:val="clear" w:pos="1267"/>
          <w:tab w:val="left" w:pos="1486"/>
        </w:tabs>
        <w:ind w:left="1264" w:right="1264"/>
        <w:rPr>
          <w:rtl/>
          <w:lang w:eastAsia="en-US"/>
        </w:rPr>
      </w:pPr>
      <w:r>
        <w:rPr>
          <w:b/>
          <w:bCs/>
          <w:rtl/>
          <w:lang w:eastAsia="en-US"/>
        </w:rPr>
        <w:t>إجازات الأمومة والحمل والوالدية</w:t>
      </w:r>
    </w:p>
    <w:p w:rsidR="00000000" w:rsidRDefault="00000000">
      <w:pPr>
        <w:pStyle w:val="SingleTxt"/>
        <w:tabs>
          <w:tab w:val="clear" w:pos="1267"/>
          <w:tab w:val="left" w:pos="1486"/>
        </w:tabs>
        <w:ind w:left="1264" w:right="1264"/>
        <w:rPr>
          <w:rtl/>
          <w:lang w:eastAsia="en-US"/>
        </w:rPr>
      </w:pPr>
      <w:r>
        <w:rPr>
          <w:rtl/>
          <w:lang w:eastAsia="en-US"/>
        </w:rPr>
        <w:t>843 -</w:t>
      </w:r>
      <w:r>
        <w:rPr>
          <w:rtl/>
          <w:lang w:eastAsia="en-US"/>
        </w:rPr>
        <w:tab/>
        <w:t>في عام 1996 تم تعديل قانون معايير العمالة لتوضيح الأخذ بقاعدة التراكم في الأقدمية وطول مدة التوظيف والخدمة على امتداد إجازات الحمل والوالدية.</w:t>
      </w:r>
    </w:p>
    <w:p w:rsidR="00000000" w:rsidRDefault="00000000">
      <w:pPr>
        <w:pStyle w:val="SingleTxt"/>
        <w:tabs>
          <w:tab w:val="clear" w:pos="1267"/>
          <w:tab w:val="left" w:pos="1486"/>
        </w:tabs>
        <w:ind w:left="1264" w:right="1264"/>
        <w:rPr>
          <w:rtl/>
          <w:lang w:eastAsia="en-US"/>
        </w:rPr>
      </w:pPr>
      <w:r>
        <w:rPr>
          <w:rtl/>
          <w:lang w:eastAsia="en-US"/>
        </w:rPr>
        <w:t>844 -</w:t>
      </w:r>
      <w:r>
        <w:rPr>
          <w:rtl/>
          <w:lang w:eastAsia="en-US"/>
        </w:rPr>
        <w:tab/>
        <w:t>واستكملت لجنة أونتاريو لحقوق الإنسان سياستها لعام 1996 بشأن التمييز بسبب الحمل لكي تشمل حقوقا واضحة فيما يتعلق بالمرأة الحامل والمرأة المرضع بما في ذلك حق هذه الفئة من النساء في أن يتهيأ لها مكان يستوعبها أثناء العمل.</w:t>
      </w:r>
    </w:p>
    <w:p w:rsidR="00000000" w:rsidRDefault="00000000">
      <w:pPr>
        <w:pStyle w:val="SingleTxt"/>
        <w:tabs>
          <w:tab w:val="clear" w:pos="1267"/>
          <w:tab w:val="left" w:pos="1486"/>
        </w:tabs>
        <w:ind w:left="1264" w:right="1264"/>
        <w:rPr>
          <w:b/>
          <w:bCs/>
          <w:szCs w:val="32"/>
          <w:rtl/>
          <w:lang w:eastAsia="en-US"/>
        </w:rPr>
      </w:pPr>
      <w:r>
        <w:rPr>
          <w:b/>
          <w:bCs/>
          <w:szCs w:val="32"/>
          <w:rtl/>
          <w:lang w:eastAsia="en-US"/>
        </w:rPr>
        <w:t>المادة 12: الصحة</w:t>
      </w:r>
    </w:p>
    <w:p w:rsidR="00000000" w:rsidRDefault="00000000">
      <w:pPr>
        <w:pStyle w:val="SingleTxt"/>
        <w:tabs>
          <w:tab w:val="clear" w:pos="1267"/>
          <w:tab w:val="left" w:pos="1486"/>
        </w:tabs>
        <w:ind w:left="1264" w:right="1264"/>
        <w:rPr>
          <w:rtl/>
          <w:lang w:eastAsia="en-US"/>
        </w:rPr>
      </w:pPr>
      <w:r>
        <w:rPr>
          <w:rtl/>
          <w:lang w:eastAsia="en-US"/>
        </w:rPr>
        <w:t>845 -</w:t>
      </w:r>
      <w:r>
        <w:rPr>
          <w:rtl/>
          <w:lang w:eastAsia="en-US"/>
        </w:rPr>
        <w:tab/>
        <w:t>ما زال معمولا بالأمر الزجري المشار إليه في الفقرة 529 من التقرير الرابع الذي يمنع مضايقة وترويع مريضات الإجهاض ومقدمي خدماته وعائلاتهن في بعض منازل ومكاتب الأطباء وفي ثلاث من عيادات الإجهاض في أونتاريو. وما زال من الصالح العام حماية سلامة وخصوصية المرضى ومقدمي الخدمات، وكفالة سُبل استمرار الوصول إلى خدمات الإجهاض. كما تواصل الحكومة تقديم التمويل إلى عيادات الإجهاض المجانية في أونتاريو.</w:t>
      </w:r>
    </w:p>
    <w:p w:rsidR="00000000" w:rsidRDefault="00000000">
      <w:pPr>
        <w:pStyle w:val="SingleTxt"/>
        <w:tabs>
          <w:tab w:val="clear" w:pos="1267"/>
          <w:tab w:val="left" w:pos="1486"/>
        </w:tabs>
        <w:ind w:left="1264" w:right="1264"/>
        <w:rPr>
          <w:rtl/>
          <w:lang w:eastAsia="en-US"/>
        </w:rPr>
      </w:pPr>
      <w:r>
        <w:rPr>
          <w:rtl/>
          <w:lang w:eastAsia="en-US"/>
        </w:rPr>
        <w:t>846 -</w:t>
      </w:r>
      <w:r>
        <w:rPr>
          <w:rtl/>
          <w:lang w:eastAsia="en-US"/>
        </w:rPr>
        <w:tab/>
        <w:t xml:space="preserve">وفي الفترة 1994 </w:t>
      </w:r>
      <w:r>
        <w:rPr>
          <w:lang w:eastAsia="en-US"/>
        </w:rPr>
        <w:t>–</w:t>
      </w:r>
      <w:r>
        <w:rPr>
          <w:rtl/>
          <w:lang w:eastAsia="en-US"/>
        </w:rPr>
        <w:t xml:space="preserve"> 1995 كان هناك 71 قابلة في أونتاريو فيما استمر التزام أونتاريو إزاء الرعاية المأذونة والممولة في مجال القبالة وزاد التمويل أيضا في هذا الصدد.</w:t>
      </w:r>
    </w:p>
    <w:p w:rsidR="00000000" w:rsidRDefault="00000000">
      <w:pPr>
        <w:pStyle w:val="SingleTxt"/>
        <w:tabs>
          <w:tab w:val="clear" w:pos="1267"/>
          <w:tab w:val="left" w:pos="1486"/>
        </w:tabs>
        <w:ind w:left="1264" w:right="1264"/>
        <w:rPr>
          <w:rtl/>
          <w:lang w:eastAsia="en-US"/>
        </w:rPr>
      </w:pPr>
      <w:r>
        <w:rPr>
          <w:rtl/>
          <w:lang w:eastAsia="en-US"/>
        </w:rPr>
        <w:t>847 -</w:t>
      </w:r>
      <w:r>
        <w:rPr>
          <w:rtl/>
          <w:lang w:eastAsia="en-US"/>
        </w:rPr>
        <w:tab/>
        <w:t>ومن نتائج التقرير المعنون “الولادة القيصرية: برنامج لضمان الجودة من أجل زيادة الاستخدام المناسب للولادة القيصرية” المشار إليه في الفقرة 533 من التقرير الرابع، أنشئ مشروع لمبادئ توجيهة في مجال رعاية الأمومة بوصفه مشروعا نموذجيا في منطقة أوريا. ويتمثل الغرض من هذا المشروع في تنفيذ مبادئ توجيهية للممارسة على أساس من القرائن ومن ذلك مثلاً دعم المخاض الطبيعي على يد الأفراد والتسمع المتقطع للجنين من أجل تقليل معدل الولادة القيصرية. ويتعاون في هذا المشروع رابطة أونتاريو الطبية ووزارة الصحة ومعهد العلوم السريرية ومقدمو الخدمة المحليون.</w:t>
      </w:r>
    </w:p>
    <w:p w:rsidR="00000000" w:rsidRDefault="00000000">
      <w:pPr>
        <w:pStyle w:val="SingleTxt"/>
        <w:tabs>
          <w:tab w:val="clear" w:pos="1267"/>
          <w:tab w:val="left" w:pos="1486"/>
        </w:tabs>
        <w:ind w:left="1264" w:right="1264"/>
        <w:rPr>
          <w:rtl/>
          <w:lang w:eastAsia="en-US"/>
        </w:rPr>
      </w:pPr>
      <w:r>
        <w:rPr>
          <w:rtl/>
          <w:lang w:eastAsia="en-US"/>
        </w:rPr>
        <w:t>848 -</w:t>
      </w:r>
      <w:r>
        <w:rPr>
          <w:rtl/>
          <w:lang w:eastAsia="en-US"/>
        </w:rPr>
        <w:tab/>
        <w:t>وأنشأت وزارة الصحة فريقا عاملا لينظر في الخيارات التنظيمية والتمويلية لتكنولوجيات الإنجاب الجديدة في أونتاريو.</w:t>
      </w:r>
    </w:p>
    <w:p w:rsidR="00000000" w:rsidRDefault="00000000">
      <w:pPr>
        <w:pStyle w:val="SingleTxt"/>
        <w:tabs>
          <w:tab w:val="clear" w:pos="1267"/>
          <w:tab w:val="left" w:pos="1486"/>
        </w:tabs>
        <w:ind w:left="1264" w:right="1264"/>
        <w:rPr>
          <w:rtl/>
          <w:lang w:eastAsia="en-US"/>
        </w:rPr>
      </w:pPr>
      <w:r>
        <w:rPr>
          <w:rtl/>
          <w:lang w:eastAsia="en-US"/>
        </w:rPr>
        <w:t>849 -</w:t>
      </w:r>
      <w:r>
        <w:rPr>
          <w:rtl/>
          <w:lang w:eastAsia="en-US"/>
        </w:rPr>
        <w:tab/>
        <w:t>وتواصل حكومة أونتاريو تقديم التمويل إلى 39 من مراكز المشورة للنساء البالغات من الناجيات من حوادث الاعتداء الجنسي وإلى مراكز معالجة الاعتداءات الجنسية في 27 مستشفى و 12 موقعا فرعيا في كل أنحاء المقاطعة. وثمة برنامج لمِنح الاعتداءات على الزوجات والاعتداءات الجنسية لتثقيف المهنيين في مجال الرعاية الصحية، وهو يقدم الأموال اللازمة لمساعدة المهنيين العاملين في مجال هذه الرعاية على معالجة الناجيات من الاعتداءات الزوجية أو الجنسية.</w:t>
      </w:r>
    </w:p>
    <w:p w:rsidR="00000000" w:rsidRDefault="00000000">
      <w:pPr>
        <w:pStyle w:val="SingleTxt"/>
        <w:tabs>
          <w:tab w:val="clear" w:pos="1267"/>
          <w:tab w:val="left" w:pos="1486"/>
        </w:tabs>
        <w:ind w:left="1264" w:right="1264"/>
        <w:rPr>
          <w:rtl/>
          <w:lang w:eastAsia="en-US"/>
        </w:rPr>
      </w:pPr>
      <w:r>
        <w:rPr>
          <w:rtl/>
          <w:lang w:eastAsia="en-US"/>
        </w:rPr>
        <w:t>850 -</w:t>
      </w:r>
      <w:r>
        <w:rPr>
          <w:rtl/>
          <w:lang w:eastAsia="en-US"/>
        </w:rPr>
        <w:tab/>
        <w:t>وتواصل وزارة العمل توفير الرعاية الصحية للنساء بموجب قانون الصحة والسلامة المهنية. كما تعمل الوزارة بالذات على تأمين وظائف الإنجاب والحمل من أخطار التعرُّض للإشعاع.</w:t>
      </w:r>
    </w:p>
    <w:p w:rsidR="00000000" w:rsidRDefault="00000000">
      <w:pPr>
        <w:pStyle w:val="SingleTxt"/>
        <w:tabs>
          <w:tab w:val="clear" w:pos="1267"/>
          <w:tab w:val="left" w:pos="1486"/>
        </w:tabs>
        <w:ind w:left="1264" w:right="1264"/>
        <w:rPr>
          <w:rtl/>
          <w:lang w:eastAsia="en-US"/>
        </w:rPr>
      </w:pPr>
      <w:r>
        <w:rPr>
          <w:rtl/>
          <w:lang w:eastAsia="en-US"/>
        </w:rPr>
        <w:t>851 -</w:t>
      </w:r>
      <w:r>
        <w:rPr>
          <w:rtl/>
          <w:lang w:eastAsia="en-US"/>
        </w:rPr>
        <w:tab/>
        <w:t>ومن المسائل التي تجلت أهميتها خلال مؤتمر الأمم المتحدة العالمي الرابع المعني بالمرأة في بيجين لعام 1995، واتخذت بشأنها لجنة أونتاريو لحقوق الإنسان خطوات للتصدي لها، مسألة تشويه الأعضاء التناسلية للأنثى التي تشمل قطع و/أو بتر الأعضاء الجنسية للطفلة الأنثى. وبسبب زيادة الهجرة إلى أونتاريو من المناطق التي ما زالت فيها هذه الممارسة قائمة، أصبحت اللجنة على بيّنة بأن الطفلة الأنثي من المجتمعات المتأثرة بهذا الأمر يحدق بها خطر في أونتاريو. وهناك كذلك تساؤلات مهمة تحيط برعاية ومعالجة المرأة التي خضعت لهذا الإجراء. وقد أجرت اللجنة بحوثا واسعة النطاق ثم أصدرت سنة 1996 سياسة بشأن آثار هذه الممارسة على حقوق الإنسان.</w:t>
      </w:r>
    </w:p>
    <w:p w:rsidR="00000000" w:rsidRDefault="00000000">
      <w:pPr>
        <w:pStyle w:val="SingleTxt"/>
        <w:tabs>
          <w:tab w:val="clear" w:pos="1267"/>
          <w:tab w:val="left" w:pos="1486"/>
        </w:tabs>
        <w:ind w:left="1264" w:right="1264"/>
        <w:rPr>
          <w:b/>
          <w:bCs/>
          <w:szCs w:val="32"/>
          <w:rtl/>
          <w:lang w:eastAsia="en-US"/>
        </w:rPr>
      </w:pPr>
      <w:r>
        <w:rPr>
          <w:b/>
          <w:bCs/>
          <w:szCs w:val="32"/>
          <w:rtl/>
          <w:lang w:eastAsia="en-US"/>
        </w:rPr>
        <w:t>المادة 13: الاقتصاد والحياة الاجتماعية</w:t>
      </w:r>
    </w:p>
    <w:p w:rsidR="00000000" w:rsidRDefault="00000000">
      <w:pPr>
        <w:pStyle w:val="SingleTxt"/>
        <w:tabs>
          <w:tab w:val="clear" w:pos="1267"/>
          <w:tab w:val="left" w:pos="1486"/>
        </w:tabs>
        <w:ind w:left="1264" w:right="1264"/>
        <w:rPr>
          <w:rtl/>
          <w:lang w:eastAsia="en-US"/>
        </w:rPr>
      </w:pPr>
      <w:r>
        <w:rPr>
          <w:rtl/>
          <w:lang w:eastAsia="en-US"/>
        </w:rPr>
        <w:t>852 -</w:t>
      </w:r>
      <w:r>
        <w:rPr>
          <w:rtl/>
          <w:lang w:eastAsia="en-US"/>
        </w:rPr>
        <w:tab/>
        <w:t>يوضح قانون حماية المستأجر نوعية المعلومات التي يمكن أن يطلبها أصحاب المنازل عندما يقيِّمون المستأجرين المحتملين. وفي السابق كان ثمة شاغل بأن أصحاب البيوت يمتلكون القدرة على فرز المستأجرين على أساس معايير الحد الأدنى من الدخل أو على أساس نسبة الإيجار إلى الدخل. وهذا في واقع الأمر ينطوي على إباحة التمييز ضد الأشخاص الذين يعيشون على المساعدات الاجتماعية وضد المسنين والمعاقين والكنديين الجدد وبالذات النساء اللائي يرأسن أسر الوالد الوحيد. وللتصدي لهذا الأمر، تم تعديل قانون حقوق الإنسان لكي يعترف بأن كثيرا من المستأجرين، ولا سيما أولئك الذين يعيشون على المساعدة الاجتماعية يدفعون جزءا لا يستهان به من دخلهم لأغراض الإيجار. ولا تستخدم اللائحة نسبة الإيجار إلى الدخل بل إن الأمر في حالات محدودة قد يتيح استخدام معلومات الدخل بوصفها العامل الوحيد في تقييم المستأجرين عندما لا تكون المعلومات متاحة بصورة معقولة لصاحب البيت.</w:t>
      </w:r>
    </w:p>
    <w:p w:rsidR="00000000" w:rsidRDefault="00000000">
      <w:pPr>
        <w:pStyle w:val="SingleTxt"/>
        <w:tabs>
          <w:tab w:val="clear" w:pos="1267"/>
          <w:tab w:val="left" w:pos="1486"/>
        </w:tabs>
        <w:ind w:left="1264" w:right="1264"/>
        <w:rPr>
          <w:rtl/>
          <w:lang w:eastAsia="en-US"/>
        </w:rPr>
      </w:pPr>
      <w:r>
        <w:rPr>
          <w:rtl/>
          <w:lang w:eastAsia="en-US"/>
        </w:rPr>
        <w:t>853 -</w:t>
      </w:r>
      <w:r>
        <w:rPr>
          <w:rtl/>
          <w:lang w:eastAsia="en-US"/>
        </w:rPr>
        <w:tab/>
        <w:t>وتلتزم وزارة الشؤون البلدية والإسكان بأن تتيح على سبيل الأولوية الفرصة للحصول على سكن مدعوم أمام ضحايا العنف الأسري وغالبيتهم العظمى نساء. وبالإضافة إلى ذلك، عملت الوزارة بصورة وثيقة مع مؤسسة الإسكان في أونتاريو لزيادة مشاريع التنمية الاقتصادية المجتمعية للمقيمين فيها، وكثير من المقيمين في وحدات مؤسسة الإسكان في أونتاريو من الأمهات الوحيدات.</w:t>
      </w:r>
    </w:p>
    <w:p w:rsidR="00000000" w:rsidRDefault="00000000">
      <w:pPr>
        <w:pStyle w:val="SingleTxt"/>
        <w:tabs>
          <w:tab w:val="clear" w:pos="1267"/>
          <w:tab w:val="left" w:pos="1486"/>
        </w:tabs>
        <w:ind w:left="1264" w:right="1264"/>
        <w:rPr>
          <w:rtl/>
          <w:lang w:eastAsia="en-US"/>
        </w:rPr>
      </w:pPr>
      <w:r>
        <w:rPr>
          <w:rtl/>
          <w:lang w:eastAsia="en-US"/>
        </w:rPr>
        <w:t>854 -</w:t>
      </w:r>
      <w:r>
        <w:rPr>
          <w:rtl/>
          <w:lang w:eastAsia="en-US"/>
        </w:rPr>
        <w:tab/>
        <w:t>ولأي مقيم في أونتاريو، ذكراً كان أو أنثى، أن يقدم طلبا للحصول على مساعدة اجتماعية من خلال وزارة الخدمات المحلية والاجتماعية. وتُحدد الأهلية على أساس الاحتياجات المالية إضافة إلى معايير أخرى.</w:t>
      </w:r>
    </w:p>
    <w:p w:rsidR="00000000" w:rsidRDefault="00000000">
      <w:pPr>
        <w:pStyle w:val="SingleTxt"/>
        <w:tabs>
          <w:tab w:val="clear" w:pos="1267"/>
          <w:tab w:val="left" w:pos="1486"/>
        </w:tabs>
        <w:ind w:left="1264" w:right="1264"/>
        <w:rPr>
          <w:rtl/>
          <w:lang w:eastAsia="en-US"/>
        </w:rPr>
      </w:pPr>
      <w:r>
        <w:rPr>
          <w:rtl/>
          <w:lang w:eastAsia="en-US"/>
        </w:rPr>
        <w:t>855 -</w:t>
      </w:r>
      <w:r>
        <w:rPr>
          <w:rtl/>
          <w:lang w:eastAsia="en-US"/>
        </w:rPr>
        <w:tab/>
        <w:t>كما واصلت وزارة شؤون الجنسية والثقافة والترفيه السابقة تنفيذ السياسة الإقليمية المعنونة “تهيئة السُبل الكاملة أمام النساء والفتيات لممارسة الألعاب الرياضية والنشاط البدني”. وهذه السياسة تقصد إلى أن يتاح للمرأة والفتاة في أونتاريو نطاق كامل من الفرص للمشاركة والمنافسة والقيادة في ميدان الألعاب الرياضية والترويح البدني.</w:t>
      </w:r>
    </w:p>
    <w:p w:rsidR="00000000" w:rsidRDefault="00000000">
      <w:pPr>
        <w:pStyle w:val="SingleTxt"/>
        <w:tabs>
          <w:tab w:val="clear" w:pos="1267"/>
          <w:tab w:val="left" w:pos="1486"/>
        </w:tabs>
        <w:ind w:left="1264" w:right="1264"/>
        <w:rPr>
          <w:rtl/>
          <w:lang w:eastAsia="en-US"/>
        </w:rPr>
      </w:pPr>
      <w:r>
        <w:rPr>
          <w:rtl/>
          <w:lang w:eastAsia="en-US"/>
        </w:rPr>
        <w:t>856 -</w:t>
      </w:r>
      <w:r>
        <w:rPr>
          <w:rtl/>
          <w:lang w:eastAsia="en-US"/>
        </w:rPr>
        <w:tab/>
        <w:t xml:space="preserve">وتشمل مبادرات السياسة المُنجَزة تطوير الموارد اللازمة لمقدمي الخدمات في مجال الألعاب الرياضية والترويح على مستوى المقاطعة ومستوى المجتمع المحلي. وما زال متاحا إثنان من الأدلة إضافة إلى ملصق عند الطلب. وقد أصدرت وزارة شؤون الجنسية والثقافة والترفيه استراتيجية الهواة في مجال الألعاب الرياضية في أونتاريو عام 1996، وعملت على المزيد من تعزيز التزام الحكومة بخلق البيئات الآمنة والمواتية لممارسة الألعاب الرياضية. وفي إطار هذه الاستراتيجية أصبحت مشاريع منظمات الألعاب الرياضية على مستوى المقاطعة لصالح المرأة والفتاة تستحق التمويل الحكومي. وبالنسبة للسنة المالية 1997 </w:t>
      </w:r>
      <w:r>
        <w:rPr>
          <w:lang w:eastAsia="en-US"/>
        </w:rPr>
        <w:t>–</w:t>
      </w:r>
      <w:r>
        <w:rPr>
          <w:rtl/>
          <w:lang w:eastAsia="en-US"/>
        </w:rPr>
        <w:t xml:space="preserve"> 1998 قُدمت منح لمبادرات تقصد إلى مناهضة التحرش والإيذاء.</w:t>
      </w:r>
    </w:p>
    <w:p w:rsidR="00000000" w:rsidRDefault="00000000">
      <w:pPr>
        <w:pStyle w:val="SingleTxt"/>
        <w:tabs>
          <w:tab w:val="clear" w:pos="1267"/>
          <w:tab w:val="left" w:pos="1486"/>
        </w:tabs>
        <w:ind w:left="1264" w:right="1264"/>
        <w:rPr>
          <w:b/>
          <w:bCs/>
          <w:szCs w:val="32"/>
          <w:rtl/>
          <w:lang w:eastAsia="en-US"/>
        </w:rPr>
      </w:pPr>
      <w:r>
        <w:rPr>
          <w:b/>
          <w:bCs/>
          <w:szCs w:val="32"/>
          <w:rtl/>
          <w:lang w:eastAsia="en-US"/>
        </w:rPr>
        <w:t>المادة 14: المرأة الريفية</w:t>
      </w:r>
    </w:p>
    <w:p w:rsidR="00000000" w:rsidRDefault="00000000">
      <w:pPr>
        <w:pStyle w:val="SingleTxt"/>
        <w:tabs>
          <w:tab w:val="clear" w:pos="1267"/>
          <w:tab w:val="left" w:pos="1486"/>
        </w:tabs>
        <w:ind w:left="1264" w:right="1264"/>
        <w:rPr>
          <w:rtl/>
          <w:lang w:eastAsia="en-US"/>
        </w:rPr>
      </w:pPr>
      <w:r>
        <w:rPr>
          <w:rtl/>
          <w:lang w:eastAsia="en-US"/>
        </w:rPr>
        <w:t>857 -</w:t>
      </w:r>
      <w:r>
        <w:rPr>
          <w:rtl/>
          <w:lang w:eastAsia="en-US"/>
        </w:rPr>
        <w:tab/>
        <w:t>تعمل وزارة الزراعة والأغذية والشؤون الريفية مع هيئة النساء والتنمية الاقتصادية الريفية من أجل تهيئة سُبل التدريب والمشورة في مجال تنظيم المشاريع للمرأة الريفية. وقد موَّلت الوزارة مشروعا بحثيا بعنوان “المتابعة من جانب الشرطة للعدوان الزواجي في المجتمعات المحلية الريفية” وذلك من خلال البرنامج المستدام للمجتمعات الريفية في عامي 1997 و 1998. وتهيئ الوزارة أيضا سُبل القيادة وخدمات المشورة الإنمائية التنظيمية لبرنامج مكافحة الإيذاء المجتمعي في أرياف أونتاريو الذي يركِّز على الظروف والاحتياجات التي تختص بها المجتمعات المحلية الريفية.</w:t>
      </w:r>
    </w:p>
    <w:p w:rsidR="00000000" w:rsidRDefault="00000000">
      <w:pPr>
        <w:pStyle w:val="SingleTxt"/>
        <w:tabs>
          <w:tab w:val="clear" w:pos="1267"/>
          <w:tab w:val="left" w:pos="1486"/>
        </w:tabs>
        <w:ind w:left="1264" w:right="1264"/>
        <w:rPr>
          <w:rtl/>
          <w:lang w:eastAsia="en-US"/>
        </w:rPr>
      </w:pPr>
      <w:r>
        <w:rPr>
          <w:rtl/>
          <w:lang w:eastAsia="en-US"/>
        </w:rPr>
        <w:t>858 -</w:t>
      </w:r>
      <w:r>
        <w:rPr>
          <w:rtl/>
          <w:lang w:eastAsia="en-US"/>
        </w:rPr>
        <w:tab/>
        <w:t>وتنتج الوزارة برنامجا تليفزيونيا أسبوعيا بعنوان “المدينة والريف في أونتاريو” وقد قدَّم صورا للقدوة النموذجية بين النساء. كما تُصوَّر المرأة في كل نوع من أنواع النشاط على مستوى المجتمع الريفي المحلي بما في ذلك دورها كشريك أو مالك في الأعمال التجارية الزراعية ومشاريغ تجهيز الأغذية. وثمة استراتيجية لمشاريع شباب الريف تكفل تقديم الدعم للمشاريع التي تُعد الشابة الريفية للانخراط في قوة العمل.</w:t>
      </w:r>
    </w:p>
    <w:p w:rsidR="00000000" w:rsidRDefault="00000000">
      <w:pPr>
        <w:pStyle w:val="SingleTxt"/>
        <w:tabs>
          <w:tab w:val="clear" w:pos="1267"/>
          <w:tab w:val="left" w:pos="1486"/>
        </w:tabs>
        <w:ind w:left="1264" w:right="1264"/>
        <w:rPr>
          <w:rtl/>
          <w:lang w:eastAsia="en-US"/>
        </w:rPr>
      </w:pPr>
      <w:r>
        <w:rPr>
          <w:rtl/>
          <w:lang w:eastAsia="en-US"/>
        </w:rPr>
        <w:t>859 -</w:t>
      </w:r>
      <w:r>
        <w:rPr>
          <w:rtl/>
          <w:lang w:eastAsia="en-US"/>
        </w:rPr>
        <w:tab/>
        <w:t>ويستخدم برنامج يتعلق بمستشار مجتمعي لشؤون الأغذية، أسلوب تثقيف الأقران المدرَّبين لتحسين المعارف والسلوكيات المتصلة بالخيارات الصحية في مجال الغذاء والسلامة مع تعزيز قدرات القيادة المجتمعية لمتطوعي البرنامج. وما يقرب من 90 في المائة من المتطوعين هم من النساء، وكثير من عملاء البرنامج نساء أيضا بمن في ذلك النساء اللائي يُحدق بهن خطر مثل الأمهات المراهقات والحوامل والمسنات وذوات الدخل المنخفض.</w:t>
      </w:r>
    </w:p>
    <w:p w:rsidR="00000000" w:rsidRDefault="00000000">
      <w:pPr>
        <w:pStyle w:val="SingleTxt"/>
        <w:tabs>
          <w:tab w:val="clear" w:pos="1267"/>
          <w:tab w:val="left" w:pos="1486"/>
        </w:tabs>
        <w:ind w:left="1264" w:right="1264"/>
        <w:rPr>
          <w:rtl/>
          <w:lang w:eastAsia="en-US"/>
        </w:rPr>
      </w:pPr>
      <w:r>
        <w:rPr>
          <w:rtl/>
          <w:lang w:eastAsia="en-US"/>
        </w:rPr>
        <w:t>860 -</w:t>
      </w:r>
      <w:r>
        <w:rPr>
          <w:rtl/>
          <w:lang w:eastAsia="en-US"/>
        </w:rPr>
        <w:tab/>
        <w:t>وفي شراكة مع لجنة رعاية الطفل الريفي في أونتاريو، أنتجت الوزارة ووزعت حزمة معلومات متكاملة بعنوان “عملية التنمية المجتمعية الريفية لتلبية احتياجات رعاية الطفل الريفي”. وقد حصلت لجنة رعاية الطفل الريفي في أونتاريو على التمويل من برنامج السلامة الزراعية الكندي من أجل إنتاج وتوزيع الحزمة المذكورة في كل أنحاء كندا.</w:t>
      </w:r>
    </w:p>
    <w:p w:rsidR="00000000" w:rsidRDefault="00000000">
      <w:pPr>
        <w:pStyle w:val="SingleTxt"/>
        <w:tabs>
          <w:tab w:val="clear" w:pos="1267"/>
          <w:tab w:val="left" w:pos="1486"/>
        </w:tabs>
        <w:ind w:left="1264" w:right="1264"/>
        <w:rPr>
          <w:rtl/>
          <w:lang w:eastAsia="en-US"/>
        </w:rPr>
      </w:pPr>
      <w:r>
        <w:rPr>
          <w:rtl/>
          <w:lang w:eastAsia="en-US"/>
        </w:rPr>
        <w:t>861 -</w:t>
      </w:r>
      <w:r>
        <w:rPr>
          <w:rtl/>
          <w:lang w:eastAsia="en-US"/>
        </w:rPr>
        <w:tab/>
        <w:t xml:space="preserve">وتقوم برامج القيادة الميدانية مرتين سنويا بمساعدة 25 </w:t>
      </w:r>
      <w:r>
        <w:rPr>
          <w:lang w:eastAsia="en-US"/>
        </w:rPr>
        <w:t>–</w:t>
      </w:r>
      <w:r>
        <w:rPr>
          <w:rtl/>
          <w:lang w:eastAsia="en-US"/>
        </w:rPr>
        <w:t xml:space="preserve"> 35 من المشتركين فيها، على تنمية المهارات القيادية والتنظيمية. وقد شاركت أعداد متزايدة من النساء الريفيات في حلقات العمل المذكورة مما أدى إلى بناء القدرات وزيادة فعالية المنظمات التي يضمها المجتمع المحلي.</w:t>
      </w:r>
    </w:p>
    <w:p w:rsidR="00000000" w:rsidRDefault="00000000">
      <w:pPr>
        <w:pStyle w:val="SingleTxt"/>
        <w:tabs>
          <w:tab w:val="clear" w:pos="1267"/>
          <w:tab w:val="left" w:pos="1486"/>
        </w:tabs>
        <w:ind w:left="1264" w:right="1264"/>
        <w:rPr>
          <w:b/>
          <w:bCs/>
          <w:szCs w:val="32"/>
          <w:rtl/>
          <w:lang w:eastAsia="en-US"/>
        </w:rPr>
      </w:pPr>
      <w:r>
        <w:rPr>
          <w:rtl/>
          <w:lang w:eastAsia="en-US"/>
        </w:rPr>
        <w:br w:type="page"/>
      </w:r>
      <w:r>
        <w:rPr>
          <w:b/>
          <w:bCs/>
          <w:szCs w:val="32"/>
          <w:rtl/>
          <w:lang w:eastAsia="en-US"/>
        </w:rPr>
        <w:t>مانيتوبا</w:t>
      </w:r>
    </w:p>
    <w:p w:rsidR="00000000" w:rsidRDefault="00000000">
      <w:pPr>
        <w:pStyle w:val="SingleTxt"/>
        <w:tabs>
          <w:tab w:val="clear" w:pos="1267"/>
          <w:tab w:val="left" w:pos="1486"/>
        </w:tabs>
        <w:ind w:left="1264" w:right="1264"/>
        <w:rPr>
          <w:rtl/>
          <w:lang w:eastAsia="en-US"/>
        </w:rPr>
      </w:pPr>
      <w:r>
        <w:rPr>
          <w:rtl/>
          <w:lang w:eastAsia="en-US"/>
        </w:rPr>
        <w:t>862 -</w:t>
      </w:r>
      <w:r>
        <w:rPr>
          <w:rtl/>
          <w:lang w:eastAsia="en-US"/>
        </w:rPr>
        <w:tab/>
        <w:t>يستكمل هذا التقرير، حتى آذار/مارس 1998 المعلومات الواردة فيما قدمته مانيتوبا إلى تقرير كندا الرابع عن اتفاقية القضاء على جميع أشكال التمييز ضد المرأة.</w:t>
      </w:r>
    </w:p>
    <w:p w:rsidR="00000000" w:rsidRDefault="00000000">
      <w:pPr>
        <w:pStyle w:val="SingleTxt"/>
        <w:tabs>
          <w:tab w:val="clear" w:pos="1267"/>
          <w:tab w:val="left" w:pos="1486"/>
        </w:tabs>
        <w:ind w:left="1264" w:right="1264"/>
        <w:rPr>
          <w:b/>
          <w:bCs/>
          <w:szCs w:val="32"/>
          <w:lang w:eastAsia="en-US"/>
        </w:rPr>
      </w:pPr>
      <w:r>
        <w:rPr>
          <w:b/>
          <w:bCs/>
          <w:szCs w:val="32"/>
          <w:rtl/>
          <w:lang w:eastAsia="en-US"/>
        </w:rPr>
        <w:t>المادة 2: تدابير منع التمييز</w:t>
      </w:r>
    </w:p>
    <w:p w:rsidR="00000000" w:rsidRDefault="00000000">
      <w:pPr>
        <w:pStyle w:val="SingleTxt"/>
        <w:tabs>
          <w:tab w:val="clear" w:pos="1267"/>
          <w:tab w:val="left" w:pos="1486"/>
        </w:tabs>
        <w:ind w:left="1264" w:right="1264"/>
        <w:rPr>
          <w:rtl/>
          <w:lang w:eastAsia="en-US"/>
        </w:rPr>
      </w:pPr>
      <w:r>
        <w:rPr>
          <w:rtl/>
          <w:lang w:eastAsia="en-US"/>
        </w:rPr>
        <w:t>863 -</w:t>
      </w:r>
      <w:r>
        <w:rPr>
          <w:rtl/>
          <w:lang w:eastAsia="en-US"/>
        </w:rPr>
        <w:tab/>
        <w:t>تعمل لجنة مانيتوبا لحقوق الإنسان على إدارة وإنفاذ قانون حقوق الإنسان لعام 1987 الذي يكفل تحديداً الحماية ضد التمييز على أساس المنبت والقومية/الأصل القومي والخلفية/الأصل الإثني والديانة والسن ونوع الجنس (بما في ذلك الحمل) والخصائص المحددة جنسانيا والتوجه الجنسي والحالة الزواجية/العائلية ومصدر الدخل والمعتقَد السياسي والإعاقة البدنية أو العقلية.</w:t>
      </w:r>
    </w:p>
    <w:p w:rsidR="00000000" w:rsidRDefault="00000000">
      <w:pPr>
        <w:pStyle w:val="SingleTxt"/>
        <w:tabs>
          <w:tab w:val="clear" w:pos="1267"/>
          <w:tab w:val="left" w:pos="1486"/>
        </w:tabs>
        <w:ind w:left="1264" w:right="1264"/>
        <w:rPr>
          <w:rtl/>
          <w:lang w:eastAsia="en-US"/>
        </w:rPr>
      </w:pPr>
      <w:r>
        <w:rPr>
          <w:rtl/>
          <w:lang w:eastAsia="en-US"/>
        </w:rPr>
        <w:t>864 -</w:t>
      </w:r>
      <w:r>
        <w:rPr>
          <w:rtl/>
          <w:lang w:eastAsia="en-US"/>
        </w:rPr>
        <w:tab/>
        <w:t>على أن التمييز على أساس نوع الجنس كان الأكثر وروداً بوصفه أساسا للشكاوى المقدمة في السنوات من 1994 حتى 1997. وشمل 26 في المائة من جميع الشكاوى المقدمة في عام 1994 و 30 في المائة عام 1995 و 38 في المائة عام 1996 و 36 في المائة من تلك التي قُدِّمت عام 1997. وفي عام 1994، كان 56 في المائة (32 حالة) من شكاوى التمييز الجنسي عبارة عن ادعاءات بتحرش جنسي. وفي عام 1995 كان هناك 58 في المائة (29 حالة) و في 1996 كان هناك 54 في المائة (47 حالة) وفي عام 1997 كانت النسبة 52 في المائة (33 حالة) من شكاوى التمييز الجنسي عبارة عن ادعاءات بتحرش جنسي.</w:t>
      </w:r>
    </w:p>
    <w:p w:rsidR="00000000" w:rsidRDefault="00000000">
      <w:pPr>
        <w:pStyle w:val="SingleTxt"/>
        <w:tabs>
          <w:tab w:val="clear" w:pos="1267"/>
          <w:tab w:val="left" w:pos="1486"/>
        </w:tabs>
        <w:ind w:left="1264" w:right="1264"/>
        <w:rPr>
          <w:rtl/>
          <w:lang w:eastAsia="en-US"/>
        </w:rPr>
      </w:pPr>
      <w:r>
        <w:rPr>
          <w:rtl/>
          <w:lang w:eastAsia="en-US"/>
        </w:rPr>
        <w:t>865 -</w:t>
      </w:r>
      <w:r>
        <w:rPr>
          <w:rtl/>
          <w:lang w:eastAsia="en-US"/>
        </w:rPr>
        <w:tab/>
        <w:t>وفي عام 1997 نظمت لجنة مانيتوبا لحقوق الإنسان سلسلة جديدة من الحلقات الدراسية المعنية بالتوظيف فغطت جميع أشكال التمييز في مجال التوظيف الذي نجم عنه أثر بالنسبة للمرأة بما في ذلك التمييز على أساس نوع الجنس والحمل والتمييز المرتبط بالحمل. ومن المواضيع المطروحة في هذا الشأن فصل عن التحرش الجنسي. وقد تمثلَّ هدف اللجنة في التثقيف الإيجابي لأرباب العمل لمنع التحرش في موقع العمل حيث تحدث معظم شكاوى التحرش التي يتم إثارتها. وتستجيب اللجنة إلى عديد من الطلبات من منظمات التجارة والخدمات لعقد حلقات دراسية عن التحرش الجنسي وتساعد على وضع وتنفيذ السياسات المتعلقة بالتحرش الجنسي في موقع العمل.</w:t>
      </w:r>
    </w:p>
    <w:p w:rsidR="00000000" w:rsidRDefault="00000000">
      <w:pPr>
        <w:pStyle w:val="SingleTxt"/>
        <w:tabs>
          <w:tab w:val="clear" w:pos="1267"/>
          <w:tab w:val="left" w:pos="1486"/>
        </w:tabs>
        <w:ind w:left="1264" w:right="1264"/>
        <w:rPr>
          <w:rtl/>
          <w:lang w:eastAsia="en-US"/>
        </w:rPr>
      </w:pPr>
      <w:r>
        <w:rPr>
          <w:rtl/>
          <w:lang w:eastAsia="en-US"/>
        </w:rPr>
        <w:t>866 -</w:t>
      </w:r>
      <w:r>
        <w:rPr>
          <w:rtl/>
          <w:lang w:eastAsia="en-US"/>
        </w:rPr>
        <w:tab/>
        <w:t>وفي آذار/مارس 1998، قامت دائرة الخدمة المدنية في مانيتوبا، في إطار مبادئها وسياساتها لإدارة الموارد البشرية بتنفيذ سياسات عامة تشمل:</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تخطيط المساواة في التوظيف</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الإعلان عن الوظائف دون حواجز</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المساواة في العمالة في مجال التزويد بالموظفين</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التحرش الجنسي</w:t>
      </w:r>
    </w:p>
    <w:p w:rsidR="00000000" w:rsidRDefault="00000000">
      <w:pPr>
        <w:pStyle w:val="SingleTxt"/>
        <w:tabs>
          <w:tab w:val="clear" w:pos="1267"/>
          <w:tab w:val="left" w:pos="1486"/>
        </w:tabs>
        <w:ind w:left="1264" w:right="1264"/>
        <w:rPr>
          <w:rtl/>
          <w:lang w:eastAsia="en-US"/>
        </w:rPr>
      </w:pPr>
      <w:r>
        <w:rPr>
          <w:rtl/>
          <w:lang w:eastAsia="en-US"/>
        </w:rPr>
        <w:t>867 -</w:t>
      </w:r>
      <w:r>
        <w:rPr>
          <w:rtl/>
          <w:lang w:eastAsia="en-US"/>
        </w:rPr>
        <w:tab/>
        <w:t>كذلك فإن موظفي برنامج مساعدة المستخدِمين، الذي تضمه دائرة الخدمة المدنية، يقدمون المشورة والدعم إلى الموظفين المتضررين من جراء حوادث التحرش الجنسي.</w:t>
      </w:r>
    </w:p>
    <w:p w:rsidR="00000000" w:rsidRDefault="00000000">
      <w:pPr>
        <w:pStyle w:val="SingleTxt"/>
        <w:tabs>
          <w:tab w:val="clear" w:pos="1267"/>
          <w:tab w:val="left" w:pos="1486"/>
        </w:tabs>
        <w:ind w:left="1264" w:right="1264"/>
        <w:rPr>
          <w:rtl/>
          <w:lang w:eastAsia="en-US"/>
        </w:rPr>
      </w:pPr>
      <w:r>
        <w:rPr>
          <w:rtl/>
          <w:lang w:eastAsia="en-US"/>
        </w:rPr>
        <w:t>868 -</w:t>
      </w:r>
      <w:r>
        <w:rPr>
          <w:rtl/>
          <w:lang w:eastAsia="en-US"/>
        </w:rPr>
        <w:tab/>
        <w:t>وفي صيف عام 1994 أصدرت وزارة العدل في مانيتوبا قانون الأسرة في مانيتوبا، 1994 وهو كتيب معلومات تم توزيعه على نطاقٍ واسع وأتيح للجمهور في المحاكم ووكالات حماية الطفولة وهيئات تنفيذ نفقات الإعالة ومكاتب المصالحات الأسرية وعدة مكاتب حكومية أخرى وهيئة المعونة القانونية في مانيتوبا ودور المأوى للنساء وغيرها من المواقع في كل أنحاء مانيتوبا.</w:t>
      </w:r>
    </w:p>
    <w:p w:rsidR="00000000" w:rsidRDefault="00000000">
      <w:pPr>
        <w:pStyle w:val="SingleTxt"/>
        <w:tabs>
          <w:tab w:val="clear" w:pos="1267"/>
          <w:tab w:val="left" w:pos="1486"/>
        </w:tabs>
        <w:ind w:left="1264" w:right="1264"/>
        <w:rPr>
          <w:rtl/>
          <w:lang w:eastAsia="en-US"/>
        </w:rPr>
      </w:pPr>
      <w:r>
        <w:rPr>
          <w:rtl/>
          <w:lang w:eastAsia="en-US"/>
        </w:rPr>
        <w:t>869 -</w:t>
      </w:r>
      <w:r>
        <w:rPr>
          <w:rtl/>
          <w:lang w:eastAsia="en-US"/>
        </w:rPr>
        <w:tab/>
        <w:t>وفي عامي 1994 و 1995 وُضعت مجموعة شاملة من التعديلات والتغييرات التشريعية الجديدة التي أُدخلت على اللوائح ثم صدرت لكي تنفذ طائفة واسعة من الآليات المبتكرة الكفيلة بسداد مبالغ الإعالة (الحجز على الأصول المشتركة والحجز المتواصل على الأموال بخلاف الأجور والحجز على الاستحقاقات التقاعدية واستحقاقات الائتمان ووقف رخصة القيادة/عدم تجديد الرخصة). وهذه الأساليب الجديدة للتعويض أدت إلى تعزيز قدرة برنامج تنفيذ نفقات الإعالة بالمقاطعة على جباية مدفوعات الدخل.</w:t>
      </w:r>
    </w:p>
    <w:p w:rsidR="00000000" w:rsidRDefault="00000000">
      <w:pPr>
        <w:pStyle w:val="SingleTxt"/>
        <w:tabs>
          <w:tab w:val="clear" w:pos="1267"/>
          <w:tab w:val="left" w:pos="1486"/>
        </w:tabs>
        <w:ind w:left="1264" w:right="1264"/>
        <w:rPr>
          <w:b/>
          <w:bCs/>
          <w:szCs w:val="32"/>
          <w:rtl/>
          <w:lang w:eastAsia="en-US"/>
        </w:rPr>
      </w:pPr>
      <w:r>
        <w:rPr>
          <w:b/>
          <w:bCs/>
          <w:szCs w:val="32"/>
          <w:rtl/>
          <w:lang w:eastAsia="en-US"/>
        </w:rPr>
        <w:t>المادة 3: التدابير الكفيلة بالنهوض بالمرأة</w:t>
      </w:r>
    </w:p>
    <w:p w:rsidR="00000000" w:rsidRDefault="00000000">
      <w:pPr>
        <w:pStyle w:val="SingleTxt"/>
        <w:tabs>
          <w:tab w:val="clear" w:pos="1267"/>
          <w:tab w:val="left" w:pos="1486"/>
        </w:tabs>
        <w:ind w:left="1264" w:right="1264"/>
        <w:rPr>
          <w:rtl/>
          <w:lang w:eastAsia="en-US"/>
        </w:rPr>
      </w:pPr>
      <w:r>
        <w:rPr>
          <w:rtl/>
          <w:lang w:eastAsia="en-US"/>
        </w:rPr>
        <w:t>870 -</w:t>
      </w:r>
      <w:r>
        <w:rPr>
          <w:rtl/>
          <w:lang w:eastAsia="en-US"/>
        </w:rPr>
        <w:tab/>
        <w:t>صدرت تعديلات على قانون إعالة الأسرة في عام 1997 مع الموافقة على لائحة بإنشاء نظام للمبادئ التوجيهية للدعم على مستوى المقاطعة وما لبث أن دخل حيِّز النفاذ في 1 حزيران/يونيه 1998.</w:t>
      </w:r>
    </w:p>
    <w:p w:rsidR="00000000" w:rsidRDefault="00000000">
      <w:pPr>
        <w:pStyle w:val="SingleTxt"/>
        <w:tabs>
          <w:tab w:val="clear" w:pos="1267"/>
          <w:tab w:val="left" w:pos="1486"/>
        </w:tabs>
        <w:ind w:left="1264" w:right="1264"/>
        <w:rPr>
          <w:rtl/>
          <w:lang w:eastAsia="en-US"/>
        </w:rPr>
      </w:pPr>
      <w:r>
        <w:rPr>
          <w:rtl/>
          <w:lang w:eastAsia="en-US"/>
        </w:rPr>
        <w:t>871 -</w:t>
      </w:r>
      <w:r>
        <w:rPr>
          <w:rtl/>
          <w:lang w:eastAsia="en-US"/>
        </w:rPr>
        <w:tab/>
        <w:t>وطُرح تشريع جديد عن “منع العنف المنزلي ومنع الملاحقة والحماية منه والتعويض عنه" وما لبث أن أصبح بعد ذلك قانونا في حزيران/يونيه 1998. ويكفل هذا القانون دفع تعويضات مدنية لضحايا الملاحقة ويوسِّع سُبل التعويض المدني المتاحة للمجني عليهم بسبب العنف المنزلي. ويستند التشريع جزئيا إلى التوصيات الواردة في لجنة إصلاح القوانين في مانيتوبا التي أصدرت عام 1997 قانونا بشأن الملاحقة، ثم الدراسة المتعلقة بالعنف المنزلي ونظام العدالة في مانيتوبا وتقرير سماحة القاضي السيد شومان فيما يتعلق بلجنة التحقيق في وفاة روندا لافو وروي لافو (الصادر أيضا في عام 1997).</w:t>
      </w:r>
    </w:p>
    <w:p w:rsidR="00000000" w:rsidRDefault="00000000">
      <w:pPr>
        <w:pStyle w:val="SingleTxt"/>
        <w:tabs>
          <w:tab w:val="clear" w:pos="1267"/>
          <w:tab w:val="left" w:pos="1486"/>
        </w:tabs>
        <w:ind w:left="1264" w:right="1264"/>
        <w:rPr>
          <w:rtl/>
          <w:lang w:eastAsia="en-US"/>
        </w:rPr>
      </w:pPr>
      <w:r>
        <w:rPr>
          <w:rtl/>
          <w:lang w:eastAsia="en-US"/>
        </w:rPr>
        <w:t>872 -</w:t>
      </w:r>
      <w:r>
        <w:rPr>
          <w:rtl/>
          <w:lang w:eastAsia="en-US"/>
        </w:rPr>
        <w:tab/>
        <w:t>وتولت الدوائر المجتمعية وإصلاحيات الشباب التابعة لوزارة العدل في مانيتوبا، وكذلك وزارة الثقافة والسياحة وضع برنامج جديد للتصدي للعنف المنزلي من منظور متعدد الثقافات. وفيما شمل برنامج العنف المنزلي السابق مدخلات من مجتمعات محلية مختلفة، فقد تم وضعه وتنفيذه بالنسبة لجميع المجتمعات المحلية بواسطة ممثلين من داخل الوزارة. وثمة برنامج متعدد الثقافات معني بالعنف المنزلي وهو يتصدى للاحتياجات الإثنية واللغوية والثقافية الخاصة لمرتكبي العنف المنزلي من خلال تقديم خدمات المترجمين الشفويين الذين يكونون قد تلقوا تدريبا في مسألة العنف المنزلي لكي يقدموا معلومات في البرنامج باللغة الوطنية للجاني. وقد أدى تمكين المجتمعات المحلية من تلبية احتياجاتها المحددة الخاصة بها إلى المزيد من التنفيذ الواعي ثقافيا للبرامج الرامية إلى التصدي للعنف المنزلي.</w:t>
      </w:r>
    </w:p>
    <w:p w:rsidR="00000000" w:rsidRDefault="00000000">
      <w:pPr>
        <w:pStyle w:val="SingleTxt"/>
        <w:tabs>
          <w:tab w:val="clear" w:pos="1267"/>
          <w:tab w:val="left" w:pos="1486"/>
        </w:tabs>
        <w:ind w:left="1264" w:right="1264"/>
        <w:rPr>
          <w:rtl/>
          <w:lang w:eastAsia="en-US"/>
        </w:rPr>
      </w:pPr>
      <w:r>
        <w:rPr>
          <w:rtl/>
          <w:lang w:eastAsia="en-US"/>
        </w:rPr>
        <w:t>873 -</w:t>
      </w:r>
      <w:r>
        <w:rPr>
          <w:rtl/>
          <w:lang w:eastAsia="en-US"/>
        </w:rPr>
        <w:tab/>
        <w:t>وعمدت وزارة التعليم والتدريب في مانيتوبا إلى جعل التعليم والتدريب للسكان الأصليين إحدى أولوياتها وهي تتخذ الخطوات التي تكفل لسياسة عدم الاستبعاد التي تنهجها أن تطبق على تعليم وتدريب السكان الأصليين في جميع المجالات بالوزارة وهو ما يشمل رياض الأطفال حتى الصف الرابع الأعلى، ثم التدريب عند مستوى تعليم ما بعد الثانوي. وفيما لا تركِّز هذه السياسة مباشرة على المرأة من السكان الأصليين إلا أنه سينجم عنها أثر ملموس بالنسبة لتحسين النتائج التعليمية المتعلقة بها.</w:t>
      </w:r>
    </w:p>
    <w:p w:rsidR="00000000" w:rsidRDefault="00000000">
      <w:pPr>
        <w:pStyle w:val="SingleTxt"/>
        <w:tabs>
          <w:tab w:val="clear" w:pos="1267"/>
          <w:tab w:val="left" w:pos="1486"/>
        </w:tabs>
        <w:ind w:left="1264" w:right="1264"/>
        <w:rPr>
          <w:rtl/>
          <w:lang w:eastAsia="en-US"/>
        </w:rPr>
      </w:pPr>
      <w:r>
        <w:rPr>
          <w:rtl/>
          <w:lang w:eastAsia="en-US"/>
        </w:rPr>
        <w:t>874 -</w:t>
      </w:r>
      <w:r>
        <w:rPr>
          <w:rtl/>
          <w:lang w:eastAsia="en-US"/>
        </w:rPr>
        <w:tab/>
        <w:t>وفي عام 1998 كانت الخدمات المعنية بالعنف الأسري تشمل 33 من الوكالات القائمة على أساس مجتمعي في كل أنحاء مانيتوبا. وكانت الخدمات في ونبيغ (أكبر مركز حضري بالمقاطعة) تشمل مساكن المرحلة الثانية وتقديم المشورة في الأجل الطويل لضحايا الإيذاء من السكان الأصليين ومن غير السكان الأصليين ولأطفالهن وللجناة من مرتكبي حوادث الإيذاء.</w:t>
      </w:r>
    </w:p>
    <w:p w:rsidR="00000000" w:rsidRDefault="00000000">
      <w:pPr>
        <w:pStyle w:val="SingleTxt"/>
        <w:tabs>
          <w:tab w:val="clear" w:pos="1267"/>
          <w:tab w:val="left" w:pos="1486"/>
        </w:tabs>
        <w:ind w:left="1264" w:right="1264"/>
        <w:rPr>
          <w:rtl/>
          <w:lang w:eastAsia="en-US"/>
        </w:rPr>
      </w:pPr>
      <w:r>
        <w:rPr>
          <w:rtl/>
          <w:lang w:eastAsia="en-US"/>
        </w:rPr>
        <w:t>875 -</w:t>
      </w:r>
      <w:r>
        <w:rPr>
          <w:rtl/>
          <w:lang w:eastAsia="en-US"/>
        </w:rPr>
        <w:tab/>
        <w:t>وفي إطار سياسة مانيتوبا للتعليم والتدريب والوثائق الداعمة، يتم التأكيد على المساواة الجنسانية ومناهضة المنظورات العنصرية وعلى التعددية الثقافية للسكان الأصليين وعلى مبدأ عدم الاستبعاد والمساواة.</w:t>
      </w:r>
    </w:p>
    <w:p w:rsidR="00000000" w:rsidRDefault="00000000">
      <w:pPr>
        <w:pStyle w:val="SingleTxt"/>
        <w:tabs>
          <w:tab w:val="clear" w:pos="1267"/>
          <w:tab w:val="left" w:pos="1486"/>
        </w:tabs>
        <w:ind w:left="1264" w:right="1264"/>
        <w:rPr>
          <w:rtl/>
          <w:lang w:eastAsia="en-US"/>
        </w:rPr>
      </w:pPr>
      <w:r>
        <w:rPr>
          <w:rtl/>
          <w:lang w:eastAsia="en-US"/>
        </w:rPr>
        <w:t>876 -</w:t>
      </w:r>
      <w:r>
        <w:rPr>
          <w:rtl/>
          <w:lang w:eastAsia="en-US"/>
        </w:rPr>
        <w:tab/>
        <w:t xml:space="preserve">وتشمل الخدمات الأخرى المعنية بالعنف الأسري مراكز موارد للنساء وتقديم المشورة في الأجل الطويل لضحايا زنى المحارم الذين يعانون مشاكل الإدمان. كما أن الخدمات في كل أنحاء المقاطعة تشمل الإيواء في حالة الأزمات وتقديم المشورة والتثقيف العام وإتاحة خطوط الهاتف في حالة الأزمة. ويقدَّر أن 700 4 امرأة طلبت المأوى في السنة المالية 1997 </w:t>
      </w:r>
      <w:r>
        <w:rPr>
          <w:lang w:eastAsia="en-US"/>
        </w:rPr>
        <w:t>–</w:t>
      </w:r>
      <w:r>
        <w:rPr>
          <w:rtl/>
          <w:lang w:eastAsia="en-US"/>
        </w:rPr>
        <w:t xml:space="preserve"> 1998.</w:t>
      </w:r>
    </w:p>
    <w:p w:rsidR="00000000" w:rsidRDefault="00000000">
      <w:pPr>
        <w:pStyle w:val="SingleTxt"/>
        <w:tabs>
          <w:tab w:val="clear" w:pos="1267"/>
          <w:tab w:val="left" w:pos="1486"/>
        </w:tabs>
        <w:ind w:left="1264" w:right="1264"/>
        <w:rPr>
          <w:rtl/>
          <w:lang w:eastAsia="en-US"/>
        </w:rPr>
      </w:pPr>
      <w:r>
        <w:rPr>
          <w:rtl/>
          <w:lang w:eastAsia="en-US"/>
        </w:rPr>
        <w:t>877 -</w:t>
      </w:r>
      <w:r>
        <w:rPr>
          <w:rtl/>
          <w:lang w:eastAsia="en-US"/>
        </w:rPr>
        <w:tab/>
        <w:t>واعتبارا من عام 1998 كان هناك 10 من دور الإيواء في حالات الأزمات لضحايا العنف المنزلي في 9 مجتمعات محلية في كل أنحاء مانيتوبا. وقد أقيمت هذه الدور في إطار برنامج الإسكان الحكومي ذي الغرض الخاص غير الربحي التابع للاتحاد والمقاطعة. وقد اضطلعت وزارة إسكان مانيتوبا بجميع مهام الإدارة المتصلة بالسكن بالنسبة إلى هذه الدور اعتبارا من نيسان/أبريل 1993 مع وضع معايير الحد الأدنى للبناء لدور الإيواء في حالات الأزمات.</w:t>
      </w:r>
    </w:p>
    <w:p w:rsidR="00000000" w:rsidRDefault="00000000">
      <w:pPr>
        <w:pStyle w:val="SingleTxt"/>
        <w:tabs>
          <w:tab w:val="clear" w:pos="1267"/>
          <w:tab w:val="left" w:pos="1486"/>
        </w:tabs>
        <w:ind w:left="1264" w:right="1264"/>
        <w:rPr>
          <w:rtl/>
          <w:lang w:eastAsia="en-US"/>
        </w:rPr>
      </w:pPr>
      <w:r>
        <w:rPr>
          <w:rtl/>
          <w:lang w:eastAsia="en-US"/>
        </w:rPr>
        <w:t>878 -</w:t>
      </w:r>
      <w:r>
        <w:rPr>
          <w:rtl/>
          <w:lang w:eastAsia="en-US"/>
        </w:rPr>
        <w:tab/>
        <w:t>وفي أيلول/سبتمبر 1996 أطلقت مديرية المرأة في مانيتوبا مبادرة بعنوان “كفالة السلامة في العمل” في شراكة مع مصرف أمبريال الكندي للتجارة وهيئة تعويضات العاملين وشرطة الخيالة الكندية الملكية ودوائر الشرطة بالمقاطعة. وهذه المبادرة التي تمت على مستوى المقاطعة بأسرها تركِّز على سلامة الذين يعملون وحدهم أو الذين يسافرون وحدهم للعمل ذهابا وإياباً. وهي تقدِّم معلومات مفيدة بشأن الوعي بالمخاطر المحتملة وأسلوب التصدي لها. ومن أجل تعظيم السلامة الشخصية تُقدم دورات معلومات في مواقع العمل ذاتها أو في مراكز التدريب بالإضافة إلى توزيع كراسات عبر المقاطعة.</w:t>
      </w:r>
    </w:p>
    <w:p w:rsidR="00000000" w:rsidRDefault="00000000">
      <w:pPr>
        <w:pStyle w:val="SingleTxt"/>
        <w:tabs>
          <w:tab w:val="clear" w:pos="1267"/>
          <w:tab w:val="left" w:pos="1486"/>
        </w:tabs>
        <w:ind w:left="1264" w:right="1264"/>
        <w:rPr>
          <w:rtl/>
          <w:lang w:eastAsia="en-US"/>
        </w:rPr>
      </w:pPr>
      <w:r>
        <w:rPr>
          <w:rtl/>
          <w:lang w:eastAsia="en-US"/>
        </w:rPr>
        <w:t>879 -</w:t>
      </w:r>
      <w:r>
        <w:rPr>
          <w:rtl/>
          <w:lang w:eastAsia="en-US"/>
        </w:rPr>
        <w:tab/>
        <w:t>ويوضح تعداد كندا لعام 1996 أن 83.5 في المائة (260 31) من عائلات الوالد الوحيد في مانيتوبا كان على رأسها امرأة.</w:t>
      </w:r>
    </w:p>
    <w:p w:rsidR="00000000" w:rsidRDefault="00000000">
      <w:pPr>
        <w:pStyle w:val="SingleTxt"/>
        <w:tabs>
          <w:tab w:val="clear" w:pos="1267"/>
          <w:tab w:val="left" w:pos="1486"/>
        </w:tabs>
        <w:ind w:left="1264" w:right="1264"/>
        <w:rPr>
          <w:rtl/>
          <w:lang w:eastAsia="en-US"/>
        </w:rPr>
      </w:pPr>
      <w:r>
        <w:rPr>
          <w:rtl/>
          <w:lang w:eastAsia="en-US"/>
        </w:rPr>
        <w:t>880 -</w:t>
      </w:r>
      <w:r>
        <w:rPr>
          <w:rtl/>
          <w:lang w:eastAsia="en-US"/>
        </w:rPr>
        <w:tab/>
        <w:t>وتم كذلك تعديل لوائح المساعدة الاجتماعية من أجل إعفاء بعض الموارد المالية الإضافية من أن تؤخذ في الاعتبار لدى حساب استحقاقات المساعدة الاجتماعية للأسرة. ومع الأخذ باستحقاق الطفولة الوطني في عام 1998 ظلت لوائح المساعدة الاجتماعية تعفي استحقاق الطفولة الضريبي في كندا باستثناء الجزء المعروف بمكمِّل استحقاق الطفولة الوطني. ويعاد استثمار الوفورات في تكاليف المساعدة من هذه المساهمة الاتحادية المتزايدة المقدمة إلى الأسر ذات الدخل المنخفض، في برامج وخدمات تتم لصالح الأسر ذات الدخل المنخفض وكثير منها تترأسها نساء. وفي خريف عام 1998 من المزمع إدخال برنامج تغذية المرأة والوليد لتقديم مشورة في مجال التغذية إضافة إلى ميزة مالية لشراء الأغذية الصحية للحوامل والأمهات المرضعات والآباء الذين لديهم أطفال دون السنة الأولى من العمر.</w:t>
      </w:r>
    </w:p>
    <w:p w:rsidR="00000000" w:rsidRDefault="00000000">
      <w:pPr>
        <w:pStyle w:val="SingleTxt"/>
        <w:tabs>
          <w:tab w:val="clear" w:pos="1267"/>
          <w:tab w:val="left" w:pos="1486"/>
        </w:tabs>
        <w:ind w:left="1264" w:right="1264"/>
        <w:rPr>
          <w:b/>
          <w:bCs/>
          <w:szCs w:val="32"/>
          <w:rtl/>
          <w:lang w:eastAsia="en-US"/>
        </w:rPr>
      </w:pPr>
      <w:r>
        <w:rPr>
          <w:b/>
          <w:bCs/>
          <w:szCs w:val="32"/>
          <w:rtl/>
          <w:lang w:eastAsia="en-US"/>
        </w:rPr>
        <w:t>المادة 5: القضاء على الصور النمطية الجامدة</w:t>
      </w:r>
    </w:p>
    <w:p w:rsidR="00000000" w:rsidRDefault="00000000">
      <w:pPr>
        <w:pStyle w:val="SingleTxt"/>
        <w:tabs>
          <w:tab w:val="clear" w:pos="1267"/>
          <w:tab w:val="left" w:pos="1486"/>
        </w:tabs>
        <w:ind w:left="1264" w:right="1264"/>
        <w:rPr>
          <w:rtl/>
          <w:lang w:eastAsia="en-US"/>
        </w:rPr>
      </w:pPr>
      <w:r>
        <w:rPr>
          <w:rtl/>
          <w:lang w:eastAsia="en-US"/>
        </w:rPr>
        <w:t>881 -</w:t>
      </w:r>
      <w:r>
        <w:rPr>
          <w:rtl/>
          <w:lang w:eastAsia="en-US"/>
        </w:rPr>
        <w:tab/>
        <w:t>عملــت مديريــة المــرأة في مانيتوبا بالاشتراك مع هيئـــة التعليــم والتدريب ومعهد “رد رفر” المحلي على إعداد وإنتاج شريط بعنوان “التدريب من أجل الغد: شريط فيديو لنموذج القدوة ودليل للمنهج لاستخدام الصفوف العليا من الأول إلى الرابع بالمدارس”. ويصوِّر هذا الفيديو الشابات وهن يعملن في الميادين المتصلة بالتكنولوجيا ويشجع الطلاب على النظر في تلقي التدريب والانخراط في مهن التكنولوجيا الرفيعة.</w:t>
      </w:r>
    </w:p>
    <w:p w:rsidR="00000000" w:rsidRDefault="00000000">
      <w:pPr>
        <w:pStyle w:val="SingleTxt"/>
        <w:tabs>
          <w:tab w:val="clear" w:pos="1267"/>
          <w:tab w:val="left" w:pos="1486"/>
        </w:tabs>
        <w:ind w:left="1264" w:right="1264"/>
        <w:rPr>
          <w:rtl/>
          <w:lang w:eastAsia="en-US"/>
        </w:rPr>
      </w:pPr>
    </w:p>
    <w:p w:rsidR="00000000" w:rsidRDefault="00000000">
      <w:pPr>
        <w:pStyle w:val="SingleTxt"/>
        <w:tabs>
          <w:tab w:val="clear" w:pos="1267"/>
          <w:tab w:val="left" w:pos="1486"/>
        </w:tabs>
        <w:ind w:left="1264" w:right="1264"/>
        <w:rPr>
          <w:b/>
          <w:bCs/>
          <w:szCs w:val="32"/>
          <w:rtl/>
          <w:lang w:eastAsia="en-US"/>
        </w:rPr>
      </w:pPr>
      <w:r>
        <w:rPr>
          <w:b/>
          <w:bCs/>
          <w:szCs w:val="32"/>
          <w:rtl/>
          <w:lang w:eastAsia="en-US"/>
        </w:rPr>
        <w:t>المادة 7: المرأة في السياسة والحياة العامة</w:t>
      </w:r>
    </w:p>
    <w:p w:rsidR="00000000" w:rsidRDefault="00000000">
      <w:pPr>
        <w:pStyle w:val="SingleTxt"/>
        <w:tabs>
          <w:tab w:val="clear" w:pos="1267"/>
          <w:tab w:val="left" w:pos="1486"/>
        </w:tabs>
        <w:ind w:left="1264" w:right="1264"/>
        <w:rPr>
          <w:rtl/>
          <w:lang w:eastAsia="en-US"/>
        </w:rPr>
      </w:pPr>
      <w:r>
        <w:rPr>
          <w:rtl/>
          <w:lang w:eastAsia="en-US"/>
        </w:rPr>
        <w:t>882-</w:t>
      </w:r>
      <w:r>
        <w:rPr>
          <w:rtl/>
          <w:lang w:eastAsia="en-US"/>
        </w:rPr>
        <w:tab/>
        <w:t>يوجد 16 سيدة بين القضاة المتفرغين وعددهم 70 في مانيتوبا. كما أن رئيس القضاة في محكمة المقاطعة سيدة. وبين 1 نيسان/أبريل 1994 و 1 آذار/مارس 1998، كان هناك 5 سيدات من بين القضاة الثمانية الذين تم تعيينهم لإرتقاء منصة الملكة بالمحكمة. وخلال الفترة نفسها كان هناك سيدتان من بين القضاة الستة المعيَّنين في محكمة المقاطعة.</w:t>
      </w:r>
    </w:p>
    <w:p w:rsidR="00000000" w:rsidRDefault="00000000">
      <w:pPr>
        <w:pStyle w:val="SingleTxt"/>
        <w:tabs>
          <w:tab w:val="clear" w:pos="1267"/>
          <w:tab w:val="left" w:pos="1486"/>
        </w:tabs>
        <w:ind w:left="1264" w:right="1264"/>
        <w:rPr>
          <w:rtl/>
          <w:lang w:eastAsia="en-US"/>
        </w:rPr>
      </w:pPr>
      <w:r>
        <w:rPr>
          <w:rtl/>
          <w:lang w:eastAsia="en-US"/>
        </w:rPr>
        <w:t>883 -</w:t>
      </w:r>
      <w:r>
        <w:rPr>
          <w:rtl/>
          <w:lang w:eastAsia="en-US"/>
        </w:rPr>
        <w:tab/>
        <w:t>وتشغل النساء 11 من بين 057 1 مقعدا في المجلس التشريعي في مانيتوبا وهو نقص بواقع مقعد واحد عن التقرير السابق. ومن بين مناصب أعضاء مجلس الوزراء وعددها 17 تشغل المرأة 4 منها بزيادة منصب واحد عن التقرير السابق. وهناك سيدات في منصب نائب الوزير من بين 20 نائبا وبزيادة منصب واحد أيضا.</w:t>
      </w:r>
    </w:p>
    <w:p w:rsidR="00000000" w:rsidRDefault="00000000">
      <w:pPr>
        <w:pStyle w:val="SingleTxt"/>
        <w:tabs>
          <w:tab w:val="clear" w:pos="1267"/>
          <w:tab w:val="left" w:pos="1486"/>
        </w:tabs>
        <w:ind w:left="1264" w:right="1264"/>
        <w:rPr>
          <w:rtl/>
          <w:lang w:eastAsia="en-US"/>
        </w:rPr>
      </w:pPr>
      <w:r>
        <w:rPr>
          <w:rtl/>
          <w:lang w:eastAsia="en-US"/>
        </w:rPr>
        <w:t>884 -</w:t>
      </w:r>
      <w:r>
        <w:rPr>
          <w:rtl/>
          <w:lang w:eastAsia="en-US"/>
        </w:rPr>
        <w:tab/>
        <w:t>وتشغل النساء ثلاثة مناصب من بين مناصب 15 لمستشار مدينة ونبغ.</w:t>
      </w:r>
    </w:p>
    <w:p w:rsidR="00000000" w:rsidRDefault="00000000">
      <w:pPr>
        <w:pStyle w:val="SingleTxt"/>
        <w:tabs>
          <w:tab w:val="clear" w:pos="1267"/>
          <w:tab w:val="left" w:pos="1486"/>
        </w:tabs>
        <w:ind w:left="1264" w:right="1264"/>
        <w:rPr>
          <w:rtl/>
          <w:lang w:eastAsia="en-US"/>
        </w:rPr>
      </w:pPr>
      <w:r>
        <w:rPr>
          <w:rtl/>
          <w:lang w:eastAsia="en-US"/>
        </w:rPr>
        <w:t>885 -</w:t>
      </w:r>
      <w:r>
        <w:rPr>
          <w:rtl/>
          <w:lang w:eastAsia="en-US"/>
        </w:rPr>
        <w:tab/>
        <w:t>وهناك سيدة واحدة من بين الرؤساء الثلاثة لكليات المجتمع المحلي في مانيتوبا بانخفاض موقع واحد عن التقرير السابق.</w:t>
      </w:r>
    </w:p>
    <w:p w:rsidR="00000000" w:rsidRDefault="00000000">
      <w:pPr>
        <w:pStyle w:val="SingleTxt"/>
        <w:tabs>
          <w:tab w:val="clear" w:pos="1267"/>
          <w:tab w:val="left" w:pos="1486"/>
        </w:tabs>
        <w:ind w:left="1264" w:right="1264"/>
        <w:rPr>
          <w:b/>
          <w:bCs/>
          <w:szCs w:val="32"/>
          <w:rtl/>
          <w:lang w:eastAsia="en-US"/>
        </w:rPr>
      </w:pPr>
      <w:r>
        <w:rPr>
          <w:b/>
          <w:bCs/>
          <w:szCs w:val="32"/>
          <w:rtl/>
          <w:lang w:eastAsia="en-US"/>
        </w:rPr>
        <w:t>المادة 10: التعليم</w:t>
      </w:r>
    </w:p>
    <w:p w:rsidR="00000000" w:rsidRDefault="00000000">
      <w:pPr>
        <w:pStyle w:val="SingleTxt"/>
        <w:tabs>
          <w:tab w:val="clear" w:pos="1267"/>
          <w:tab w:val="left" w:pos="1486"/>
        </w:tabs>
        <w:ind w:left="1264" w:right="1264"/>
        <w:rPr>
          <w:rtl/>
          <w:lang w:eastAsia="en-US"/>
        </w:rPr>
      </w:pPr>
      <w:r>
        <w:rPr>
          <w:rtl/>
          <w:lang w:eastAsia="en-US"/>
        </w:rPr>
        <w:t>886 -</w:t>
      </w:r>
      <w:r>
        <w:rPr>
          <w:rtl/>
          <w:lang w:eastAsia="en-US"/>
        </w:rPr>
        <w:tab/>
        <w:t>تشمل مبادرات المنهج لوزارة التعليم والتدريب في مجال رياض الأطفال إلى الصف الرابع الأعلى بالمدارس تركيزا على دمج استراتيجيات محددة متصلة بالإنصاف وتتسم بملمح مهم واحد وهو عدالتها الجنسانية. وتقصد الاستراتيجيات إلى المساعدة على تعزيز نظام للتعليم غير استبعادي في المقاطعة بحيث يعكس الاهتمام والوعي بالعدالة الجنسانية في المنهج الدراسي لجميع المواضيع.</w:t>
      </w:r>
    </w:p>
    <w:p w:rsidR="00000000" w:rsidRDefault="00000000">
      <w:pPr>
        <w:pStyle w:val="SingleTxt"/>
        <w:tabs>
          <w:tab w:val="clear" w:pos="1267"/>
          <w:tab w:val="left" w:pos="1486"/>
        </w:tabs>
        <w:ind w:left="1264" w:right="1264"/>
        <w:rPr>
          <w:rtl/>
          <w:lang w:eastAsia="en-US"/>
        </w:rPr>
      </w:pPr>
      <w:r>
        <w:rPr>
          <w:rtl/>
          <w:lang w:eastAsia="en-US"/>
        </w:rPr>
        <w:t>887 -</w:t>
      </w:r>
      <w:r>
        <w:rPr>
          <w:rtl/>
          <w:lang w:eastAsia="en-US"/>
        </w:rPr>
        <w:tab/>
        <w:t>وحتى الآن، صدرت للتنفيذ برامج جديدة في مجالات الرياضيات واللغات والفنون (من روضة الأطفال حتى الصف الثالث الأعلى) والعلوم (من روضة الأطفال حتى الفرقة الرابعة). وقد تمت المرحلة الأولية من تطوير المنهج لكل من تلك الموضوعات بوصفها مشروعا تعاونيا متعدد المواقع في إطار بروتوكولات غربي كندا (الرياضيات والمهارات اللغوية وفي عموم كندا (العلوم). وبما أنه انتهى الأمر على اتفاق عام بشأن أهمية المناهج التي تُعالج التنوع في مجتمعات كندا والعالم بأن المطلوب تحديدا هو مكافحة التمييز ضد المرأة مع دعم قيام مجتمع عادل ومنصف، فإن الأطر المشتركة للمناهج التي نجمت عن تلك المشاريع تشمل محصلات محددة لتعليم الطلاب تنطوي على توقعات في هذه المجالات وقد تم تطويع مناهج مانيتوبا الدراسية لكي تتفق مع تلك الأُطر المشتركة للمناهج.</w:t>
      </w:r>
    </w:p>
    <w:p w:rsidR="00000000" w:rsidRDefault="00000000">
      <w:pPr>
        <w:pStyle w:val="SingleTxt"/>
        <w:tabs>
          <w:tab w:val="clear" w:pos="1267"/>
          <w:tab w:val="left" w:pos="1486"/>
        </w:tabs>
        <w:ind w:left="1264" w:right="1264"/>
        <w:rPr>
          <w:rtl/>
          <w:lang w:eastAsia="en-US"/>
        </w:rPr>
      </w:pPr>
      <w:r>
        <w:rPr>
          <w:rtl/>
          <w:lang w:eastAsia="en-US"/>
        </w:rPr>
        <w:t>888 -</w:t>
      </w:r>
      <w:r>
        <w:rPr>
          <w:rtl/>
          <w:lang w:eastAsia="en-US"/>
        </w:rPr>
        <w:tab/>
        <w:t>وتجمع أفرقة تطوير المناهج في مانيتوبا بين الجنسين بحيث تضطلع المرأة بأدوار قيادية مهمة في جميع جوانب تطوير المناهج.</w:t>
      </w:r>
    </w:p>
    <w:p w:rsidR="00000000" w:rsidRDefault="00000000">
      <w:pPr>
        <w:pStyle w:val="SingleTxt"/>
        <w:tabs>
          <w:tab w:val="clear" w:pos="1267"/>
          <w:tab w:val="left" w:pos="1486"/>
        </w:tabs>
        <w:ind w:left="1264" w:right="1264"/>
        <w:rPr>
          <w:rtl/>
          <w:lang w:eastAsia="en-US"/>
        </w:rPr>
      </w:pPr>
      <w:r>
        <w:rPr>
          <w:rtl/>
          <w:lang w:eastAsia="en-US"/>
        </w:rPr>
        <w:t>889 -</w:t>
      </w:r>
      <w:r>
        <w:rPr>
          <w:rtl/>
          <w:lang w:eastAsia="en-US"/>
        </w:rPr>
        <w:tab/>
        <w:t>واليوم تعبر رؤية محو الأمية العلمية (على نحو ما ينعكس في إطار العلوم لعموم كندا وإطار مانيتوبا من روضة الأطفال إلى الصف الرابع) عن موقف شمولي يتعلق بنوع الجنس وبالمنظورات الثقافية المتباينة بما في ذلك منظور للسكان الأصليين وهو ما يتعارض مع الرأي السابق للعلوم بوصفها مجالاً مقصوراً على العلماء الذكور البيض من العالم الغربي. وقد أدمجت مانيتوبا هذه الرؤية في نتائج التعلُّم العامة التي تعكس توقعات الطلاب في ختام نهاية تعليمهم من روضة الأطفال إلى الصف الرابع الأعلى. ومن الأمثلة المهمة بصورة خاصة في هذا الصدد ما ورد في ص 612 من “روضة الطفل إلى الصف العلمي الرابع: إطار نتائج المنهج في مانيتوبا” على النحو التالي:</w:t>
      </w:r>
    </w:p>
    <w:p w:rsidR="00000000" w:rsidRDefault="00000000">
      <w:pPr>
        <w:pStyle w:val="SingleTxt"/>
        <w:tabs>
          <w:tab w:val="clear" w:pos="1267"/>
        </w:tabs>
        <w:ind w:left="1927" w:right="1264" w:hanging="663"/>
        <w:rPr>
          <w:rtl/>
          <w:lang w:eastAsia="en-US"/>
        </w:rPr>
      </w:pPr>
      <w:r>
        <w:rPr>
          <w:rtl/>
          <w:lang w:eastAsia="en-US"/>
        </w:rPr>
        <w:tab/>
      </w:r>
      <w:r>
        <w:rPr>
          <w:rtl/>
          <w:lang w:eastAsia="en-US"/>
        </w:rPr>
        <w:tab/>
      </w:r>
      <w:r>
        <w:rPr>
          <w:rtl/>
          <w:lang w:eastAsia="en-US"/>
        </w:rPr>
        <w:tab/>
        <w:t>“تحديد وتثمين مساهمات المرأة والرجل في كثير من المجتمعات والخلفيات الثقافية نحو زيادة فهمنا للعالم وتحقيق الابتكار التكنولوجي”.</w:t>
      </w:r>
    </w:p>
    <w:p w:rsidR="00000000" w:rsidRDefault="00000000">
      <w:pPr>
        <w:pStyle w:val="SingleTxt"/>
        <w:tabs>
          <w:tab w:val="clear" w:pos="1267"/>
          <w:tab w:val="left" w:pos="1486"/>
        </w:tabs>
        <w:ind w:left="1264" w:right="1264"/>
        <w:rPr>
          <w:rtl/>
          <w:lang w:eastAsia="en-US"/>
        </w:rPr>
      </w:pPr>
      <w:r>
        <w:rPr>
          <w:rtl/>
          <w:lang w:eastAsia="en-US"/>
        </w:rPr>
        <w:t>890 -</w:t>
      </w:r>
      <w:r>
        <w:rPr>
          <w:rtl/>
          <w:lang w:eastAsia="en-US"/>
        </w:rPr>
        <w:tab/>
        <w:t>وقد لاحظ المدرسون المشاركون في مشروع السنوات الوسطى المتعدد الاختصاصات والمتعدد الوسائط مشاركة منصفة بين الطلاب الذكور والطالبات الإناث في حجرات الدراسة في إطار المشروع المذكور. وشجعت أفضل أساليب التدريس داخل حجرة الدراسة في إطار المشروع. ومن ذلك مثلا اتصالات العالم الحقيقي والتعلُّم التعاوني وإيلاء الاهتمام لأسلوب التعلُّم وممارسة الذكاء المتعدد الأطراف مما أدى إلى خلق بيئة تعلم تشمل الجماعة حيث يتم الاحتفال بالتنوع داخل حجرة الدراسة. وقد شارك كلا الجنسين مشاركة متساوية في إنتاج وتشييد أطر المعارف الخاصة بهم باستخدام تشكيلة من موارد التعلم من أجل الحصول على نتائج من المنهج ضمن سياق متعدد الاختصاصات. ويطرح المشروع المذكور أعلاه نموذجا يمكن أن يدلل به الطلاب والطالبات في سنوات الدراسة المتوسطة على الاستخدام الملائم لتكنولوجيا المعلومات بطرق لها مغزاها.</w:t>
      </w:r>
    </w:p>
    <w:p w:rsidR="00000000" w:rsidRDefault="00000000">
      <w:pPr>
        <w:pStyle w:val="SingleTxt"/>
        <w:tabs>
          <w:tab w:val="clear" w:pos="1267"/>
          <w:tab w:val="left" w:pos="1486"/>
        </w:tabs>
        <w:ind w:left="1264" w:right="1264"/>
        <w:rPr>
          <w:rtl/>
          <w:lang w:eastAsia="en-US"/>
        </w:rPr>
      </w:pPr>
      <w:r>
        <w:rPr>
          <w:rtl/>
          <w:lang w:eastAsia="en-US"/>
        </w:rPr>
        <w:t>891 -</w:t>
      </w:r>
      <w:r>
        <w:rPr>
          <w:rtl/>
          <w:lang w:eastAsia="en-US"/>
        </w:rPr>
        <w:tab/>
        <w:t>ويتم فحص جميع الكتب المدرسية والمواد الداعمة من روضة الأطفال إلى الصف الرابع الأعلى على أساس متواصل من خلال إجراءات اختيار المواد التي تستند إلى النموذج التحليلي الكندي الثلاثّي المراحل لتبادل المواد التعليمية. واللغة غير الجنسانية هي واحد من المعايير الكثيرة المستخدمة في تلك العملية، فيما تشمل المعايير الأخرى: السن والعِرق والأصل الإثني والديانة والإعاقة والحالة الاجتماعية الاقتصادية والاعتقاد السياسي والتسامح.</w:t>
      </w:r>
    </w:p>
    <w:p w:rsidR="00000000" w:rsidRDefault="00000000">
      <w:pPr>
        <w:pStyle w:val="SingleTxt"/>
        <w:tabs>
          <w:tab w:val="clear" w:pos="1267"/>
          <w:tab w:val="left" w:pos="1486"/>
        </w:tabs>
        <w:ind w:left="1264" w:right="1264"/>
        <w:rPr>
          <w:rtl/>
          <w:lang w:eastAsia="en-US"/>
        </w:rPr>
      </w:pPr>
      <w:r>
        <w:rPr>
          <w:rtl/>
          <w:lang w:eastAsia="en-US"/>
        </w:rPr>
        <w:t>892 -</w:t>
      </w:r>
      <w:r>
        <w:rPr>
          <w:rtl/>
          <w:lang w:eastAsia="en-US"/>
        </w:rPr>
        <w:tab/>
        <w:t>وتتولى لجان تقييم وفحص المناهج دراسة المواد المطروحة من روضة الأطفال إلى المستوى الرابع الأعلى وتتدارس المشاكل على أساس متواصل فيما يتعلق بالتحيُّز العرقي والجنسي.</w:t>
      </w:r>
    </w:p>
    <w:p w:rsidR="00000000" w:rsidRDefault="00000000">
      <w:pPr>
        <w:pStyle w:val="SingleTxt"/>
        <w:tabs>
          <w:tab w:val="clear" w:pos="1267"/>
          <w:tab w:val="left" w:pos="1486"/>
        </w:tabs>
        <w:ind w:left="1264" w:right="1264"/>
        <w:rPr>
          <w:rtl/>
          <w:lang w:eastAsia="en-US"/>
        </w:rPr>
      </w:pPr>
      <w:r>
        <w:rPr>
          <w:rtl/>
          <w:lang w:eastAsia="en-US"/>
        </w:rPr>
        <w:t>893 -</w:t>
      </w:r>
      <w:r>
        <w:rPr>
          <w:rtl/>
          <w:lang w:eastAsia="en-US"/>
        </w:rPr>
        <w:tab/>
        <w:t>كما أن برنامج مانيتوبا للمساعدة المالية للطلاب يدير برنامج المساعدة الدراسية للمستفيدين من العلاوة الاجتماعية وهذا البرنامج يقدم للطلاب القروض لتغطية التكاليف التعليمية إلى من هم في موقع الوالد الوحيد ممن يتلقون مساعدات اجتماعية، ويرغبون في مواصلة تعليمهم بعد المرحلة الثانوية مع مواصلة تلقى المساعدة الاجتماعية. وأكثر من 80 في المائة ممن هم في موقع الوالد الوحيد في مانيتوبا نساء.</w:t>
      </w:r>
    </w:p>
    <w:p w:rsidR="00000000" w:rsidRDefault="00000000">
      <w:pPr>
        <w:pStyle w:val="SingleTxt"/>
        <w:tabs>
          <w:tab w:val="clear" w:pos="1267"/>
          <w:tab w:val="left" w:pos="1486"/>
        </w:tabs>
        <w:ind w:left="1264" w:right="1264"/>
        <w:rPr>
          <w:rtl/>
          <w:lang w:eastAsia="en-US"/>
        </w:rPr>
      </w:pPr>
      <w:r>
        <w:rPr>
          <w:rtl/>
          <w:lang w:eastAsia="en-US"/>
        </w:rPr>
        <w:t>894 -</w:t>
      </w:r>
      <w:r>
        <w:rPr>
          <w:rtl/>
          <w:lang w:eastAsia="en-US"/>
        </w:rPr>
        <w:tab/>
        <w:t>ومنذ كانون الثاني/يناير 1991 نفذت جامعة ونبيغ عدة برامج أو سياسات أدت إلى تقليل أو إزالة أشكال التمييز ضد المرأة وتشمل:</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سياسة إجازة الأمومة/التبني (1991) التي تكمِّل استحقاقات ضمان التوظيف وإجازة الأمومة والتبني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سياسة التحرش الجنسي (1991) وإنشاء منصب موظف مسؤول معني بالتحرش الجنسي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برنامج التنمية الوظيفية لدعم الموظفين (1992) ويكفل إجازة مدفوعة للموظفين الذين يعملون على تحسين مؤهلاتهم ويحصلون على تدريب إضافي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سياسة المنحة الدراسية (1995) التي استخدمتها كثير من النساء لاستكمال برامجهن لنيل درجة جامعية على أساس عدم التفرغ مع أدائهن العمل بدوام كامل</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سياسة التدريب والتنمية لدعم الموظفين (1991) وهي عبارة عن برنامج شامل لسياسة التدريب وحوافز التمويل وهو يشجع التدريب ويعزز فرص التنمية للموظفين وقد أفاد المرأة بصفة رئيسية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وضع سياسة لتهيئة بيئة محترمة للتعلم والعمل (1999)</w:t>
      </w:r>
    </w:p>
    <w:p w:rsidR="00000000" w:rsidRDefault="00000000">
      <w:pPr>
        <w:pStyle w:val="SingleTxt"/>
        <w:tabs>
          <w:tab w:val="clear" w:pos="1267"/>
          <w:tab w:val="left" w:pos="1486"/>
        </w:tabs>
        <w:ind w:left="1264" w:right="1264"/>
        <w:rPr>
          <w:rtl/>
          <w:lang w:eastAsia="en-US"/>
        </w:rPr>
      </w:pPr>
      <w:r>
        <w:rPr>
          <w:rtl/>
          <w:lang w:eastAsia="en-US"/>
        </w:rPr>
        <w:t>895 -</w:t>
      </w:r>
      <w:r>
        <w:rPr>
          <w:rtl/>
          <w:lang w:eastAsia="en-US"/>
        </w:rPr>
        <w:tab/>
        <w:t>وقد أفادت المرأة من التغييرات التي طرأت على الاتفاقات الجماعية بين جامعة ونبيغ وجماعات موظفيها وهذه التغييرات تشمل:</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أحكام الأقدمية التي باتت تسمح لحساب تراكم الأقدمية خلال إجازة الأمومة/التبني (1991)</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أحكام الإجازة الوالدية التي تسمح بإجازة والدية مدتها 17 أسبوعا عقب إجازة أمومة (1991)</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مشاركة الإدارة والنقابة في برامج تجربة العمل الرامية إلى تقديم أو إعادة تقديم المرأة ضمن قوة العمل (1991)</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إجازة تعاطف/طوارئ تتيح وقت فراغ مستقطعاً كحق للموظفين الذين يحتاجون إجازة لرعاية أفراد في أسرهم (1992)</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ترتيبات تقاسم الوظيفة التي فتحت آفاق فرص لأمهات الأطفال الصغار (1992)</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تنفيذ مبادرات الإنصاف التوظيفي الرامية إلى زيادة وتعزيز تمثيل ومشاركة المرأة في قوة العمل (1997).</w:t>
      </w:r>
    </w:p>
    <w:p w:rsidR="00000000" w:rsidRDefault="00000000">
      <w:pPr>
        <w:pStyle w:val="SingleTxt"/>
        <w:tabs>
          <w:tab w:val="clear" w:pos="1267"/>
          <w:tab w:val="left" w:pos="1486"/>
        </w:tabs>
        <w:ind w:left="1264" w:right="1264"/>
        <w:rPr>
          <w:rtl/>
          <w:lang w:eastAsia="en-US"/>
        </w:rPr>
      </w:pPr>
      <w:r>
        <w:rPr>
          <w:rtl/>
          <w:lang w:eastAsia="en-US"/>
        </w:rPr>
        <w:t>896 -</w:t>
      </w:r>
      <w:r>
        <w:rPr>
          <w:rtl/>
          <w:lang w:eastAsia="en-US"/>
        </w:rPr>
        <w:tab/>
        <w:t>وقد أنجزت جامعة مانيتوبا دراسة من جزأين عن التمييز على أساس جنساني في مرتبات أعضاء هيئات التدريس المتفرغين وأفضت إلى تعديل مرتبات النساء في عام 1995. وقُدرت التعديلات الإجمالية في مرتبات النساء الأكاديميات نتيجة هذه الدراسة بجزأيها بمبلغ 000 600 دولار.</w:t>
      </w:r>
    </w:p>
    <w:p w:rsidR="00000000" w:rsidRDefault="00000000">
      <w:pPr>
        <w:pStyle w:val="SingleTxt"/>
        <w:tabs>
          <w:tab w:val="clear" w:pos="1267"/>
          <w:tab w:val="left" w:pos="1486"/>
        </w:tabs>
        <w:ind w:left="1264" w:right="1264"/>
        <w:rPr>
          <w:rtl/>
          <w:lang w:eastAsia="en-US"/>
        </w:rPr>
      </w:pPr>
      <w:r>
        <w:rPr>
          <w:rtl/>
          <w:lang w:eastAsia="en-US"/>
        </w:rPr>
        <w:t>897 -</w:t>
      </w:r>
      <w:r>
        <w:rPr>
          <w:rtl/>
          <w:lang w:eastAsia="en-US"/>
        </w:rPr>
        <w:tab/>
        <w:t>كما أنجزت جامعة مانيتوبا بنجاح استعراض الامتثال لبرنامجها المتعلق بالإنصاف التوظيفي من جانب الحكومة الاتحادية. وأنجزت وزارة تنمية الموارد البشرية لكندا استعراضها الثاني لبرنامج الجامعة للإنصاف التوظيفي في تشرين الثاني/نوفمبر 1994. وبحلول نيسان/أبريل 1997 كانت الجامعة قد حسَّنت تمثيل المرأة في قوة عملها برغم ما شهدته من انخفاض إجمالي في عدد الموظفين بسبب قيود اقتصادية قاسية. وقد زاد تمثيل المرأة لتشكل 21 في المائة من الأكاديميين المتفرغين ذوي التعيينات إما الدائمة أو تحت الاختبار أو المتواصلة وكذلك 25 في المائة لكبار المديرين و 45 في المائة للموظفين الفنيين والإداريين و 60 في المائة لموظفي الدعم.</w:t>
      </w:r>
    </w:p>
    <w:p w:rsidR="00000000" w:rsidRDefault="00000000">
      <w:pPr>
        <w:pStyle w:val="SingleTxt"/>
        <w:tabs>
          <w:tab w:val="clear" w:pos="1267"/>
          <w:tab w:val="left" w:pos="1486"/>
        </w:tabs>
        <w:ind w:left="1264" w:right="1264"/>
        <w:rPr>
          <w:rtl/>
          <w:lang w:eastAsia="en-US"/>
        </w:rPr>
      </w:pPr>
      <w:r>
        <w:rPr>
          <w:rtl/>
          <w:lang w:eastAsia="en-US"/>
        </w:rPr>
        <w:t>898 -</w:t>
      </w:r>
      <w:r>
        <w:rPr>
          <w:rtl/>
          <w:lang w:eastAsia="en-US"/>
        </w:rPr>
        <w:tab/>
        <w:t>ونقَّحت جامعة مانيتوبا سياستها وإجراءاتها في توظيف الأكاديميين بتنفيذ إجراءات الإنصاف مع الحفاظ على هدفها في استخدام أفضل المرشحين المؤهلين. كما استهلت الجامعة التدريب للجنتها المختصة بالبحث في إجراءات التوظيف بما في ذلك إجراءات الإنصاف التوظيفي. وزاد توظيف النساء إلى نسبة 45 في المائة بين صفوف الأكاديميين و 64 في المائة لموظفي الدعم بما أتاح للجامعة أن تتجاوز أهدافها التوظيفية بالنسبة للمرأة.</w:t>
      </w:r>
    </w:p>
    <w:p w:rsidR="00000000" w:rsidRDefault="00000000">
      <w:pPr>
        <w:pStyle w:val="SingleTxt"/>
        <w:tabs>
          <w:tab w:val="clear" w:pos="1267"/>
          <w:tab w:val="left" w:pos="1486"/>
        </w:tabs>
        <w:spacing w:line="380" w:lineRule="exact"/>
        <w:ind w:left="1264" w:right="1264"/>
        <w:rPr>
          <w:rtl/>
          <w:lang w:eastAsia="en-US"/>
        </w:rPr>
      </w:pPr>
      <w:r>
        <w:rPr>
          <w:rtl/>
          <w:lang w:eastAsia="en-US"/>
        </w:rPr>
        <w:t>899 -</w:t>
      </w:r>
      <w:r>
        <w:rPr>
          <w:rtl/>
          <w:lang w:eastAsia="en-US"/>
        </w:rPr>
        <w:tab/>
        <w:t xml:space="preserve">وفي الفترة 1994 </w:t>
      </w:r>
      <w:r>
        <w:rPr>
          <w:lang w:eastAsia="en-US"/>
        </w:rPr>
        <w:t>–</w:t>
      </w:r>
      <w:r>
        <w:rPr>
          <w:rtl/>
          <w:lang w:eastAsia="en-US"/>
        </w:rPr>
        <w:t xml:space="preserve"> 1995 شكَّلت الطالبات 51.9 في المائة من مجموع المقيدين بدوام كامل أو جزئي بين طلاب الجامعة وطلاب الدراسات العليا. وفي الفترة 1997 </w:t>
      </w:r>
      <w:r>
        <w:rPr>
          <w:lang w:eastAsia="en-US"/>
        </w:rPr>
        <w:t>–</w:t>
      </w:r>
      <w:r>
        <w:rPr>
          <w:rtl/>
          <w:lang w:eastAsia="en-US"/>
        </w:rPr>
        <w:t xml:space="preserve"> 1998 زاد هذا العدد إلى 53.6 في المائة.</w:t>
      </w:r>
    </w:p>
    <w:p w:rsidR="00000000" w:rsidRDefault="00000000">
      <w:pPr>
        <w:pStyle w:val="SingleTxt"/>
        <w:tabs>
          <w:tab w:val="clear" w:pos="1267"/>
          <w:tab w:val="left" w:pos="1486"/>
        </w:tabs>
        <w:spacing w:line="380" w:lineRule="exact"/>
        <w:ind w:left="1264" w:right="1264"/>
        <w:rPr>
          <w:rtl/>
          <w:lang w:eastAsia="en-US"/>
        </w:rPr>
      </w:pPr>
      <w:r>
        <w:rPr>
          <w:rtl/>
          <w:lang w:eastAsia="en-US"/>
        </w:rPr>
        <w:t>900 -</w:t>
      </w:r>
      <w:r>
        <w:rPr>
          <w:rtl/>
          <w:lang w:eastAsia="en-US"/>
        </w:rPr>
        <w:tab/>
        <w:t xml:space="preserve">ومن الفترة 1994 </w:t>
      </w:r>
      <w:r>
        <w:rPr>
          <w:lang w:eastAsia="en-US"/>
        </w:rPr>
        <w:t>–</w:t>
      </w:r>
      <w:r>
        <w:rPr>
          <w:rtl/>
          <w:lang w:eastAsia="en-US"/>
        </w:rPr>
        <w:t xml:space="preserve"> 1995 إلى الفترة 1997 </w:t>
      </w:r>
      <w:r>
        <w:rPr>
          <w:lang w:eastAsia="en-US"/>
        </w:rPr>
        <w:t>–</w:t>
      </w:r>
      <w:r>
        <w:rPr>
          <w:rtl/>
          <w:lang w:eastAsia="en-US"/>
        </w:rPr>
        <w:t xml:space="preserve"> 1998 طرأت زيادات على النسب المئوية للطالبات المسجلات في البرامج التي جرى العرف بأن يهيمن عليها الذكور. ومن أمثلة ذلك أن زادت النسب المئوية للطالبات المنخرطات في مجال علم الزراعة والأغذية من 43.2 في المائة إلى 50.4 في المائة وفي الهندسة زادت من 17 في المائة إلى 20.2 في المائة وفي القانون زادت من 42.3 في المائة إلى 49.1 في المائة وفي العلوم البحتة زادت من 40.3 في المائة إلى 43.1 في المائة.</w:t>
      </w:r>
    </w:p>
    <w:p w:rsidR="00000000" w:rsidRDefault="00000000">
      <w:pPr>
        <w:pStyle w:val="SingleTxt"/>
        <w:tabs>
          <w:tab w:val="clear" w:pos="1267"/>
          <w:tab w:val="left" w:pos="1486"/>
        </w:tabs>
        <w:spacing w:line="380" w:lineRule="exact"/>
        <w:ind w:left="1264" w:right="1264"/>
        <w:rPr>
          <w:b/>
          <w:bCs/>
          <w:szCs w:val="32"/>
          <w:rtl/>
          <w:lang w:eastAsia="en-US"/>
        </w:rPr>
      </w:pPr>
      <w:r>
        <w:rPr>
          <w:b/>
          <w:bCs/>
          <w:szCs w:val="32"/>
          <w:rtl/>
          <w:lang w:eastAsia="en-US"/>
        </w:rPr>
        <w:t>المادة 11: العمالة</w:t>
      </w:r>
    </w:p>
    <w:p w:rsidR="00000000" w:rsidRDefault="00000000">
      <w:pPr>
        <w:pStyle w:val="SingleTxt"/>
        <w:tabs>
          <w:tab w:val="clear" w:pos="1267"/>
          <w:tab w:val="left" w:pos="1486"/>
        </w:tabs>
        <w:spacing w:line="380" w:lineRule="exact"/>
        <w:ind w:left="1264" w:right="1264"/>
        <w:rPr>
          <w:rtl/>
          <w:lang w:eastAsia="en-US"/>
        </w:rPr>
      </w:pPr>
      <w:r>
        <w:rPr>
          <w:rtl/>
          <w:lang w:eastAsia="en-US"/>
        </w:rPr>
        <w:t>901 -</w:t>
      </w:r>
      <w:r>
        <w:rPr>
          <w:rtl/>
          <w:lang w:eastAsia="en-US"/>
        </w:rPr>
        <w:tab/>
        <w:t>تتعاون مديرية المرأة في مانيتوبا مع دوائر مانيتوبا للتعليم والتدريب والقوى العاملة وفروع التلمذة الصناعية وتحالف الصناعيين والمصدرين والمدرسة العليا التقنية الفنية من أجل وضع برنامج تدريبي للتلمذة الصناعية في مرحلة ما قبل الاستخدام بعنوان “التدريب من أجل مستقبلك” لتشجع المرأة على الانخراط في تدريب التلمذة الصناعية. ومن المقرر أن ينفذ البرنامج مرحلته الأولى في خريف عام 1999.</w:t>
      </w:r>
    </w:p>
    <w:p w:rsidR="00000000" w:rsidRDefault="00000000">
      <w:pPr>
        <w:pStyle w:val="SingleTxt"/>
        <w:tabs>
          <w:tab w:val="clear" w:pos="1267"/>
          <w:tab w:val="left" w:pos="1486"/>
        </w:tabs>
        <w:spacing w:line="380" w:lineRule="exact"/>
        <w:ind w:left="1264" w:right="1264"/>
        <w:rPr>
          <w:b/>
          <w:bCs/>
          <w:szCs w:val="32"/>
          <w:rtl/>
          <w:lang w:eastAsia="en-US"/>
        </w:rPr>
      </w:pPr>
      <w:r>
        <w:rPr>
          <w:b/>
          <w:bCs/>
          <w:szCs w:val="32"/>
          <w:rtl/>
          <w:lang w:eastAsia="en-US"/>
        </w:rPr>
        <w:t>المادة 13: الحياة الاقتصادية والاجتماعية</w:t>
      </w:r>
    </w:p>
    <w:p w:rsidR="00000000" w:rsidRDefault="00000000">
      <w:pPr>
        <w:pStyle w:val="SingleTxt"/>
        <w:tabs>
          <w:tab w:val="clear" w:pos="1267"/>
          <w:tab w:val="left" w:pos="1486"/>
        </w:tabs>
        <w:spacing w:line="380" w:lineRule="exact"/>
        <w:ind w:left="1264" w:right="1264"/>
        <w:rPr>
          <w:rtl/>
          <w:lang w:eastAsia="en-US"/>
        </w:rPr>
      </w:pPr>
      <w:r>
        <w:rPr>
          <w:rtl/>
          <w:lang w:eastAsia="en-US"/>
        </w:rPr>
        <w:t>902 -</w:t>
      </w:r>
      <w:r>
        <w:rPr>
          <w:rtl/>
          <w:lang w:eastAsia="en-US"/>
        </w:rPr>
        <w:tab/>
        <w:t>يَتبع وزارة الصناعة والتجارة والسياحة في مانيتوبا مستشار لتنمية المشاريع التجارية، وهو متاح لكي يقدم المعلومات والمشورة وخدمات التدريب من خلال مبادرة لتنظيم المشاريع للمرأة، يتمثل هدفها في تبنّي نجاح المرأة في إنشاء وتوسيع الأعمال التجارية. وتجمع هذه المبادرة بين التعليم والتدريب في مجال تنظيم المشاريع والوصول إلى رأس المال للاستغلال والتوسع فضلا عن الحصول على مشورة الخبراء لأغراض الدعم.</w:t>
      </w:r>
    </w:p>
    <w:p w:rsidR="00000000" w:rsidRDefault="00000000">
      <w:pPr>
        <w:pStyle w:val="SingleTxt"/>
        <w:tabs>
          <w:tab w:val="clear" w:pos="1267"/>
          <w:tab w:val="left" w:pos="1486"/>
        </w:tabs>
        <w:spacing w:line="380" w:lineRule="exact"/>
        <w:ind w:left="1264" w:right="1264"/>
        <w:rPr>
          <w:rtl/>
          <w:lang w:eastAsia="en-US"/>
        </w:rPr>
      </w:pPr>
      <w:r>
        <w:rPr>
          <w:rtl/>
          <w:lang w:eastAsia="en-US"/>
        </w:rPr>
        <w:t>903 -</w:t>
      </w:r>
      <w:r>
        <w:rPr>
          <w:rtl/>
          <w:lang w:eastAsia="en-US"/>
        </w:rPr>
        <w:tab/>
        <w:t>وشاركت مديرية المرأة في مانيتوبا مع 4 وزارات حكومية وثلاث منظمات نسائية ودوائر تجارية من القطاع الخاص في استضافة مؤتمر “المرأة في مجال الأعمال التجارية في مانيتوبا: أصوات الخبرة” المعقود للنساء القائمات بتنظيم المشاريع. وشمل المؤتمر استراتيجيات للتسويق وصنع القرار والتعاقد مع مصادر خارجية واستخدام شبكة الإنترنت. وأتاح فرصة لإجراء اتصالات بقصد التعلم. كما انطوى الأمر على وصلة مؤتمر تفاعلي بالفيديو بين ونبيغ (موقع المؤتمر) وبين المجتمع النسائي في فلن فلون.</w:t>
      </w:r>
    </w:p>
    <w:p w:rsidR="00000000" w:rsidRDefault="00000000">
      <w:pPr>
        <w:pStyle w:val="SingleTxt"/>
        <w:tabs>
          <w:tab w:val="clear" w:pos="1267"/>
          <w:tab w:val="left" w:pos="1486"/>
        </w:tabs>
        <w:spacing w:line="380" w:lineRule="exact"/>
        <w:ind w:left="1264" w:right="1264"/>
        <w:rPr>
          <w:rtl/>
          <w:lang w:eastAsia="en-US"/>
        </w:rPr>
      </w:pPr>
      <w:r>
        <w:rPr>
          <w:rtl/>
          <w:lang w:eastAsia="en-US"/>
        </w:rPr>
        <w:t>904 -</w:t>
      </w:r>
      <w:r>
        <w:rPr>
          <w:rtl/>
          <w:lang w:eastAsia="en-US"/>
        </w:rPr>
        <w:tab/>
        <w:t>وفي آذار/مارس 1995 أطلقت مديرية المرأة في مانيتوبا برنامجا جامعا وجاريا يقصد إلى تشجيع الشابات على أن تكون خياراتهن للحياة خيارات مسؤولة وصحية، وشمل تدابير لتشجيع الفتيات على توسيع آفاقهن الوظيفية (مثلاً، تدريب لمنح دراسية للغد وفيديو لنموذج القدوة واستعدادات المستقبل) إضافة إلى مبادرات للتشجيع على اتباع أساليب حياة صحية (على طريق تشجيع النشاط الجسماني وارتباطات لإلقاء أحاديث في المدارس لإبراز أهمية الأنشطة البدنية للفتيات ومنظورات في دورات التدريب بحلقات العمل حول القيـــادة للنساء بتشجيع المرأة على زيادة نفوذها القيادي). وملصق تحفيزي بعنوان “فلنفعل ذلك من أجل أنفسنا” وملصق آخر بعنوان “أدوار القدوة” وقد تم توزيعهما على المدارس بكل أنحاء المقاطعة.</w:t>
      </w:r>
    </w:p>
    <w:p w:rsidR="00000000" w:rsidRDefault="00000000">
      <w:pPr>
        <w:pStyle w:val="SingleTxt"/>
        <w:tabs>
          <w:tab w:val="clear" w:pos="1267"/>
          <w:tab w:val="left" w:pos="1486"/>
        </w:tabs>
        <w:spacing w:line="380" w:lineRule="exact"/>
        <w:ind w:left="1264" w:right="1264"/>
        <w:rPr>
          <w:b/>
          <w:bCs/>
          <w:szCs w:val="32"/>
          <w:rtl/>
          <w:lang w:eastAsia="en-US"/>
        </w:rPr>
      </w:pPr>
      <w:r>
        <w:rPr>
          <w:b/>
          <w:bCs/>
          <w:szCs w:val="32"/>
          <w:rtl/>
          <w:lang w:eastAsia="en-US"/>
        </w:rPr>
        <w:t>المادة 14: المرأة الريفية</w:t>
      </w:r>
    </w:p>
    <w:p w:rsidR="00000000" w:rsidRDefault="00000000">
      <w:pPr>
        <w:pStyle w:val="SingleTxt"/>
        <w:tabs>
          <w:tab w:val="clear" w:pos="1267"/>
          <w:tab w:val="left" w:pos="1486"/>
        </w:tabs>
        <w:spacing w:line="380" w:lineRule="exact"/>
        <w:ind w:left="1264" w:right="1264"/>
        <w:rPr>
          <w:rtl/>
          <w:lang w:eastAsia="en-US"/>
        </w:rPr>
      </w:pPr>
      <w:r>
        <w:rPr>
          <w:rtl/>
          <w:lang w:eastAsia="en-US"/>
        </w:rPr>
        <w:t>905 -</w:t>
      </w:r>
      <w:r>
        <w:rPr>
          <w:rtl/>
          <w:lang w:eastAsia="en-US"/>
        </w:rPr>
        <w:tab/>
        <w:t>تم إنشاء خط معلومات مجاني للمرأة من أي جزء في المقاطعة لتزويدها بالمعلومات المبسّطة عن البرامج والخدمات الحكومية والمجتمعية.</w:t>
      </w:r>
    </w:p>
    <w:p w:rsidR="00000000" w:rsidRDefault="00000000">
      <w:pPr>
        <w:pStyle w:val="SingleTxt"/>
        <w:tabs>
          <w:tab w:val="clear" w:pos="1267"/>
          <w:tab w:val="left" w:pos="1486"/>
        </w:tabs>
        <w:spacing w:line="380" w:lineRule="exact"/>
        <w:ind w:left="1264" w:right="1264"/>
        <w:rPr>
          <w:rtl/>
          <w:lang w:eastAsia="en-US"/>
        </w:rPr>
      </w:pPr>
      <w:r>
        <w:rPr>
          <w:rtl/>
          <w:lang w:eastAsia="en-US"/>
        </w:rPr>
        <w:t>906 -</w:t>
      </w:r>
      <w:r>
        <w:rPr>
          <w:rtl/>
          <w:lang w:eastAsia="en-US"/>
        </w:rPr>
        <w:tab/>
        <w:t>كما شاركت مديرية المرأة في مانيتوبا مع وزارة التعليم والتدريب في مانيتوبا لاتخاذ مبادرة للتدريب على حاسوب بعنوان “فلنحشد الطاقة من أجل تهيئة التدريب لنساء مانيتوبا في كل أنحاء المقاطعة ممن هن بحاجة إلى تعلم مهارات الإلمام الأساسي بالحاسوب”. ولسوف تعزز المبادرة أهمية التكنولوجيا بالنسبة للمرأة في سوق اليوم، وتقدِّم التدريب الذي من شأنه أن يبني مهارات الحاسوب والإنترنت بين صفوف المشاركات من النساء الناضجات في كل أنحاء مانيتوبا ممن لم يتح لهن سوى سُبل التعامل المحدود مع الحواسيب. وتبدأ الدورات التدريبية في حزيران/يونيه 1999.</w:t>
      </w:r>
    </w:p>
    <w:p w:rsidR="00000000" w:rsidRDefault="00000000">
      <w:pPr>
        <w:pStyle w:val="SingleTxt"/>
        <w:tabs>
          <w:tab w:val="clear" w:pos="1267"/>
          <w:tab w:val="left" w:pos="1486"/>
        </w:tabs>
        <w:spacing w:line="380" w:lineRule="exact"/>
        <w:ind w:left="1264" w:right="1264"/>
        <w:rPr>
          <w:b/>
          <w:bCs/>
          <w:szCs w:val="32"/>
          <w:rtl/>
          <w:lang w:eastAsia="en-US"/>
        </w:rPr>
      </w:pPr>
      <w:r>
        <w:rPr>
          <w:b/>
          <w:bCs/>
          <w:szCs w:val="32"/>
          <w:rtl/>
          <w:lang w:eastAsia="en-US"/>
        </w:rPr>
        <w:t>المادة 16: المرأة والأسرة</w:t>
      </w:r>
    </w:p>
    <w:p w:rsidR="00000000" w:rsidRDefault="00000000">
      <w:pPr>
        <w:pStyle w:val="SingleTxt"/>
        <w:tabs>
          <w:tab w:val="left" w:pos="1628"/>
          <w:tab w:val="left" w:pos="2904"/>
        </w:tabs>
        <w:spacing w:line="380" w:lineRule="exact"/>
        <w:ind w:left="1264" w:right="1264"/>
        <w:rPr>
          <w:rtl/>
          <w:lang w:eastAsia="en-US"/>
        </w:rPr>
      </w:pPr>
      <w:r>
        <w:rPr>
          <w:rtl/>
          <w:lang w:eastAsia="en-US"/>
        </w:rPr>
        <w:t>907 -</w:t>
      </w:r>
      <w:r>
        <w:rPr>
          <w:rtl/>
          <w:lang w:eastAsia="en-US"/>
        </w:rPr>
        <w:tab/>
        <w:t>أفادت مانيتوبا في السابق بشأن قضية “فوجل ونورث” المرفوعة ضد حكومة مانيتوبا. وقد شملت هذه القضية مسألة ما إذا كان رفض منح الاستحقاقات الزواجية إلى الشركاء من نفس الجنس في إطار نظام الاستحقاقات الزواجية لحكومة مانيتوبا يعد تمييزا على أساس التوجه الجنسي أو الحالة الزواجية أو العائلية و/أو نوع الجنس. وقد ترتب على القضية آثار بالنسبة للمرأة في علاقات المثلية الجنسية الزواجية وأُسرها. وجاءت القرارات الأولى للمحكِّم (1991) ثم لقضاة محكمة كوين (1992) لتقضي بأن هذه السياسات لم تكن تمييزية. وفي عام 1995 نقضت محكمة الاستئناف هذه القرارات وأحالت المسألة من جديد إلى التحكيم لكي تتيح للحكومة الفرصة لمحاولة التدليل على سبب معقول بحسن نية للمعاملة التمييزية. وفي قرار صدر في تشرين الثاني/نوفمبر 1997 انتهى المحكِّم غودمان إلى أن الحكومة لم تفلح في طرح سبب معقول للمعاملة التمييزية ووجه إلى توسيع التغطية لجميع نظم الاستحقاقات فيما عدا الاستحقاقات التقاعدية (لأن تعريف زوج في قانون ضريبة الدخل الاتحادية ربما يكون قد أدى إلى استبعاد التسجيل من النظام) وهذا القرار لم تستأنفه حكومة مانيتوبا.</w:t>
      </w:r>
    </w:p>
    <w:p w:rsidR="00000000" w:rsidRDefault="00000000">
      <w:pPr>
        <w:pStyle w:val="SingleTxt"/>
        <w:tabs>
          <w:tab w:val="clear" w:pos="1930"/>
          <w:tab w:val="left" w:pos="2053"/>
        </w:tabs>
        <w:ind w:left="1264" w:right="1264"/>
        <w:rPr>
          <w:b/>
          <w:bCs/>
          <w:szCs w:val="32"/>
          <w:rtl/>
          <w:lang w:eastAsia="en-US"/>
        </w:rPr>
      </w:pPr>
      <w:r>
        <w:rPr>
          <w:b/>
          <w:bCs/>
          <w:szCs w:val="32"/>
          <w:rtl/>
          <w:lang w:eastAsia="en-US"/>
        </w:rPr>
        <w:tab/>
        <w:t>ساسكاتشيوان</w:t>
      </w:r>
    </w:p>
    <w:p w:rsidR="00000000" w:rsidRDefault="00000000">
      <w:pPr>
        <w:pStyle w:val="SingleTxt"/>
        <w:tabs>
          <w:tab w:val="clear" w:pos="1930"/>
          <w:tab w:val="left" w:pos="2053"/>
        </w:tabs>
        <w:rPr>
          <w:rtl/>
          <w:lang w:eastAsia="en-US"/>
        </w:rPr>
      </w:pPr>
      <w:r>
        <w:rPr>
          <w:rtl/>
          <w:lang w:eastAsia="en-US"/>
        </w:rPr>
        <w:t>908 -</w:t>
      </w:r>
      <w:r>
        <w:rPr>
          <w:rtl/>
          <w:lang w:eastAsia="en-US"/>
        </w:rPr>
        <w:tab/>
        <w:t>يستكمل هذا التقرير حتى آذار/مارس 1998 المعلومات الواردة فيما قدمته ساسكاتشيوان إلى تقرير كندا الرابع عن اتفاقية القضاء على جميع أشكال التمييز ضد المرأة.</w:t>
      </w:r>
    </w:p>
    <w:p w:rsidR="00000000" w:rsidRDefault="00000000">
      <w:pPr>
        <w:pStyle w:val="SingleTxt"/>
        <w:tabs>
          <w:tab w:val="clear" w:pos="1930"/>
          <w:tab w:val="left" w:pos="2053"/>
        </w:tabs>
        <w:rPr>
          <w:b/>
          <w:bCs/>
          <w:szCs w:val="32"/>
          <w:rtl/>
          <w:lang w:eastAsia="en-US"/>
        </w:rPr>
      </w:pPr>
      <w:r>
        <w:rPr>
          <w:b/>
          <w:bCs/>
          <w:szCs w:val="32"/>
          <w:rtl/>
          <w:lang w:eastAsia="en-US"/>
        </w:rPr>
        <w:t>المادة 3: التدابير الكفيلة بالنهوض بالمرأة</w:t>
      </w:r>
    </w:p>
    <w:p w:rsidR="00000000" w:rsidRDefault="00000000">
      <w:pPr>
        <w:pStyle w:val="SingleTxt"/>
        <w:tabs>
          <w:tab w:val="clear" w:pos="1930"/>
          <w:tab w:val="left" w:pos="2053"/>
        </w:tabs>
        <w:rPr>
          <w:rtl/>
          <w:lang w:eastAsia="en-US"/>
        </w:rPr>
      </w:pPr>
      <w:r>
        <w:rPr>
          <w:rtl/>
          <w:lang w:eastAsia="en-US"/>
        </w:rPr>
        <w:t>909 -</w:t>
      </w:r>
      <w:r>
        <w:rPr>
          <w:rtl/>
          <w:lang w:eastAsia="en-US"/>
        </w:rPr>
        <w:tab/>
        <w:t>تواصل لجنة حقوق الإنسان في ساسكاتشيوان إدارة وإنفاذ قانون حقوق الإنسان في ساسكاتشيوان الذي يحظر التمييز على أساس نوع الجنس أو الحمل في مجالات العمالة والتعليم والسكن وتقديم الخدمات العامة.</w:t>
      </w:r>
    </w:p>
    <w:p w:rsidR="00000000" w:rsidRDefault="00000000">
      <w:pPr>
        <w:pStyle w:val="SingleTxt"/>
        <w:tabs>
          <w:tab w:val="clear" w:pos="1930"/>
          <w:tab w:val="left" w:pos="2053"/>
        </w:tabs>
        <w:rPr>
          <w:rtl/>
          <w:lang w:eastAsia="en-US"/>
        </w:rPr>
      </w:pPr>
      <w:r>
        <w:rPr>
          <w:rtl/>
          <w:lang w:eastAsia="en-US"/>
        </w:rPr>
        <w:t>910 -</w:t>
      </w:r>
      <w:r>
        <w:rPr>
          <w:rtl/>
          <w:lang w:eastAsia="en-US"/>
        </w:rPr>
        <w:tab/>
        <w:t>كما تواصل أمانة المرأة في ساسكاتشيوان تهيئة سُبل القيادة للحكومة في المسائل التي تؤثر على الأحوال الاقتصادية والاجتماعية والسياسية للمرأة في ساسكاتشيوان.</w:t>
      </w:r>
    </w:p>
    <w:p w:rsidR="00000000" w:rsidRDefault="00000000">
      <w:pPr>
        <w:pStyle w:val="SingleTxt"/>
        <w:tabs>
          <w:tab w:val="clear" w:pos="1930"/>
          <w:tab w:val="left" w:pos="2053"/>
        </w:tabs>
        <w:rPr>
          <w:rtl/>
          <w:lang w:eastAsia="en-US"/>
        </w:rPr>
      </w:pPr>
      <w:r>
        <w:rPr>
          <w:rtl/>
          <w:lang w:eastAsia="en-US"/>
        </w:rPr>
        <w:t>911 -</w:t>
      </w:r>
      <w:r>
        <w:rPr>
          <w:rtl/>
          <w:lang w:eastAsia="en-US"/>
        </w:rPr>
        <w:tab/>
        <w:t>وقد أنشأت الأمانة العامة قاعدة بيانات إحصائية ومجموعة من المؤشرات الاقتصادية التي تقيس التقدم الاقتصادي للمرأة في ساسكاتشيوان والآثار المترتبة على السياسات بالنسبة للحكومة.</w:t>
      </w:r>
    </w:p>
    <w:p w:rsidR="00000000" w:rsidRDefault="00000000">
      <w:pPr>
        <w:pStyle w:val="SingleTxt"/>
        <w:tabs>
          <w:tab w:val="clear" w:pos="1930"/>
          <w:tab w:val="left" w:pos="2053"/>
        </w:tabs>
        <w:rPr>
          <w:rtl/>
          <w:lang w:eastAsia="en-US"/>
        </w:rPr>
      </w:pPr>
      <w:r>
        <w:rPr>
          <w:rtl/>
          <w:lang w:eastAsia="en-US"/>
        </w:rPr>
        <w:t>912 -</w:t>
      </w:r>
      <w:r>
        <w:rPr>
          <w:rtl/>
          <w:lang w:eastAsia="en-US"/>
        </w:rPr>
        <w:tab/>
        <w:t>وبين عامي 1994 و 1998 أجرت الأمانة العامة للمرأة بحوثا ووضعت سياسات بشأن قضايا من قبيل الأمن الاقتصادي والعنف الأسري والوالد الوحيد والإنصاف الأجري والإنصاف التوظيفي وثغرة الأجور وإصلاح المعاشات التقاعدية والعمل غير المأجور والفقر والموازنة بين العمل والأسرة والتطبيع الاجتماعي الجنساني والتحرش الجنسي والمرأة من شعوب السكان الأصليين والمرأة المُسِنَّة.</w:t>
      </w:r>
    </w:p>
    <w:p w:rsidR="00000000" w:rsidRDefault="00000000">
      <w:pPr>
        <w:pStyle w:val="SingleTxt"/>
        <w:tabs>
          <w:tab w:val="clear" w:pos="1930"/>
          <w:tab w:val="left" w:pos="2053"/>
        </w:tabs>
        <w:rPr>
          <w:rtl/>
          <w:lang w:eastAsia="en-US"/>
        </w:rPr>
      </w:pPr>
      <w:r>
        <w:rPr>
          <w:rtl/>
          <w:lang w:eastAsia="en-US"/>
        </w:rPr>
        <w:t>913 -</w:t>
      </w:r>
      <w:r>
        <w:rPr>
          <w:rtl/>
          <w:lang w:eastAsia="en-US"/>
        </w:rPr>
        <w:tab/>
        <w:t>كما أُعلن في عام 1994 قانون ضحايا العنف المنزلي المشار إليه في تقرير كندا الرابع. وجاء القانون ليقر الأوامر القضائية في حالات الطوارئ المتاحة في حالات العنف المنزلي التي تتيح للطرف المعرَّض للأذى (عادة هو المرأة) أن يبقى في بيت الأسرة. ويتاح إصدار الأوامر بما يكفل للطرف المُعرض للأذى سُبل الحصول على متعلقاته الشخصية في أعقاب حادثة إيذاء. وتتاح أيضا سُبل الانتصاف الأخرى للطرف المعرض للأذى في أعقاب حادثة إيذاء، كما يسمح التشريع للسلطات بالحصول على إذن بدخول المنزل للتحقيق في ادعاءات وقوع الإيذاء.</w:t>
      </w:r>
    </w:p>
    <w:p w:rsidR="00000000" w:rsidRDefault="00000000">
      <w:pPr>
        <w:pStyle w:val="SingleTxt"/>
        <w:tabs>
          <w:tab w:val="clear" w:pos="1930"/>
          <w:tab w:val="left" w:pos="2053"/>
        </w:tabs>
        <w:rPr>
          <w:b/>
          <w:bCs/>
          <w:szCs w:val="32"/>
          <w:rtl/>
          <w:lang w:eastAsia="en-US"/>
        </w:rPr>
      </w:pPr>
      <w:r>
        <w:rPr>
          <w:b/>
          <w:bCs/>
          <w:szCs w:val="32"/>
          <w:rtl/>
          <w:lang w:eastAsia="en-US"/>
        </w:rPr>
        <w:t>المادة 4: التدابير المؤقتة الخاصة</w:t>
      </w:r>
    </w:p>
    <w:p w:rsidR="00000000" w:rsidRDefault="00000000">
      <w:pPr>
        <w:pStyle w:val="SingleTxt"/>
        <w:tabs>
          <w:tab w:val="clear" w:pos="1930"/>
          <w:tab w:val="left" w:pos="2053"/>
        </w:tabs>
        <w:rPr>
          <w:rtl/>
          <w:lang w:eastAsia="en-US"/>
        </w:rPr>
      </w:pPr>
      <w:r>
        <w:rPr>
          <w:rtl/>
          <w:lang w:eastAsia="en-US"/>
        </w:rPr>
        <w:t>914 -</w:t>
      </w:r>
      <w:r>
        <w:rPr>
          <w:rtl/>
          <w:lang w:eastAsia="en-US"/>
        </w:rPr>
        <w:tab/>
        <w:t>تواصل لجنة حقوق الإنسان في ساسكاتشيوان إقرار البرامج الرامية إلى التصدي للسلبيات التي يواجهها الأفراد على أساس مبررات التمييز المحظورة. وتستهدف البرامج الراهنة للجنة المرأة والأشخاص من ذوي الإعاقات والسكان الأصليين وأعضاء الأقليات الواضحة. كما تشرف اللجنة على 35 من خطط الإنصاف التوظيفـــي التي تؤثــــر على أكــثر من 000 35 من العاملين وعلى 29 من خطط الإنصاف التعليمي التي تمثل أكثــــر مــن 000 77 طالب.</w:t>
      </w:r>
    </w:p>
    <w:p w:rsidR="00000000" w:rsidRDefault="00000000">
      <w:pPr>
        <w:pStyle w:val="SingleTxt"/>
        <w:tabs>
          <w:tab w:val="clear" w:pos="1930"/>
          <w:tab w:val="left" w:pos="2053"/>
        </w:tabs>
        <w:rPr>
          <w:b/>
          <w:bCs/>
          <w:szCs w:val="32"/>
          <w:rtl/>
          <w:lang w:eastAsia="en-US"/>
        </w:rPr>
      </w:pPr>
      <w:r>
        <w:rPr>
          <w:b/>
          <w:bCs/>
          <w:szCs w:val="32"/>
          <w:rtl/>
          <w:lang w:eastAsia="en-US"/>
        </w:rPr>
        <w:t>المادة 5: القضاء على الصور النمطية الجامدة</w:t>
      </w:r>
    </w:p>
    <w:p w:rsidR="00000000" w:rsidRDefault="00000000">
      <w:pPr>
        <w:pStyle w:val="SingleTxt"/>
        <w:tabs>
          <w:tab w:val="clear" w:pos="1930"/>
          <w:tab w:val="left" w:pos="2053"/>
        </w:tabs>
        <w:rPr>
          <w:rtl/>
          <w:lang w:eastAsia="en-US"/>
        </w:rPr>
      </w:pPr>
      <w:r>
        <w:rPr>
          <w:rtl/>
          <w:lang w:eastAsia="en-US"/>
        </w:rPr>
        <w:t>915 -</w:t>
      </w:r>
      <w:r>
        <w:rPr>
          <w:rtl/>
          <w:lang w:eastAsia="en-US"/>
        </w:rPr>
        <w:tab/>
        <w:t>قامت الأمانة العامة للمرأة بإعداد وتنفيذ سلسلة من حلقات العمل التعليمية لموظفي الحكومة والجمهور العام. وتشمل مواضيع الحلقات المذكورة تحقيق التوازن بين العمل والأسرة، والتطبيع الاجتماعي الجنساني والإنصاف التوظيفي والتواصل في ظل الاحترام ثم التحرش الجنسي.</w:t>
      </w:r>
    </w:p>
    <w:p w:rsidR="00000000" w:rsidRDefault="00000000">
      <w:pPr>
        <w:pStyle w:val="SingleTxt"/>
        <w:tabs>
          <w:tab w:val="clear" w:pos="1930"/>
          <w:tab w:val="left" w:pos="2053"/>
        </w:tabs>
        <w:rPr>
          <w:rtl/>
          <w:lang w:eastAsia="en-US"/>
        </w:rPr>
      </w:pPr>
      <w:r>
        <w:rPr>
          <w:rtl/>
          <w:lang w:eastAsia="en-US"/>
        </w:rPr>
        <w:t>916 -</w:t>
      </w:r>
      <w:r>
        <w:rPr>
          <w:rtl/>
          <w:lang w:eastAsia="en-US"/>
        </w:rPr>
        <w:tab/>
        <w:t>وتضم اللجنة الوزارية المعنية بالعنف الأسري ما يقرب من 10 وزارات حكومية. وفي عام 1997 تم اعتماد إطار عمل للسياسات يقصد إلى التصدي لقضية العنف الأسري. وثمة استراتيجية مدتها ثلاث سنوات تشمل إقامة شراكة مع المجتمع المحلي ودعم الخدمات القائمة وتطوير خدمات بديلة في مجال إقامة العدل.</w:t>
      </w:r>
    </w:p>
    <w:p w:rsidR="00000000" w:rsidRDefault="00000000">
      <w:pPr>
        <w:pStyle w:val="SingleTxt"/>
        <w:tabs>
          <w:tab w:val="clear" w:pos="1930"/>
          <w:tab w:val="left" w:pos="2053"/>
        </w:tabs>
        <w:rPr>
          <w:rtl/>
          <w:lang w:eastAsia="en-US"/>
        </w:rPr>
      </w:pPr>
      <w:r>
        <w:rPr>
          <w:rtl/>
          <w:lang w:eastAsia="en-US"/>
        </w:rPr>
        <w:t>917 -</w:t>
      </w:r>
      <w:r>
        <w:rPr>
          <w:rtl/>
          <w:lang w:eastAsia="en-US"/>
        </w:rPr>
        <w:tab/>
        <w:t>وتتولى وزارة الخدمات الاجتماعية تشغيل مركز الدعم المعني بالعنف الأسري كما تموِّل المنظمات المجتمعية بما في ذلك 9 من دور المأوى و 9 من مستشاري الاعتداء الجنسي واثنان من البرامج التي تكفل الدور الآمنة وعدد من برامج التواصل المعنية بالإيذاء المنزلي في في كل أنحاء المقاطعة وهي تقدِّم خدمات إحالة ومتابعة إلى النساء المعرَّضات للأذى. وقد شارك في إنشاء دور المأوى شركة الإسكان في ساسكاتشيوان وهي تابعة لوزارة الحكومات المحلية.</w:t>
      </w:r>
    </w:p>
    <w:p w:rsidR="00000000" w:rsidRDefault="00000000">
      <w:pPr>
        <w:pStyle w:val="SingleTxt"/>
        <w:tabs>
          <w:tab w:val="clear" w:pos="1930"/>
          <w:tab w:val="left" w:pos="2053"/>
        </w:tabs>
        <w:rPr>
          <w:rtl/>
          <w:lang w:eastAsia="en-US"/>
        </w:rPr>
      </w:pPr>
      <w:r>
        <w:rPr>
          <w:rtl/>
          <w:lang w:eastAsia="en-US"/>
        </w:rPr>
        <w:t>918 -</w:t>
      </w:r>
      <w:r>
        <w:rPr>
          <w:rtl/>
          <w:lang w:eastAsia="en-US"/>
        </w:rPr>
        <w:tab/>
        <w:t>ووضعت وزارة التعليم وحدات في منهج الدراسات الصحية للمستوى المتوسط من المدارس الحكومية تتطرق إلى مسألة الصور النمطية الجنسانية الجامدة وإلى التثقيف الأسري. ويضم المنهج الدراسي وحدات تعالج أمر الاحترام والعلاقات والعنف العائلي والمجتمعي وهيكل الأسرة والأدوار والمسؤوليات ولقاءات المواعدة بين الجنسين. وتؤكد جميع المناهج في المقاطعة على عنصر الإنصاف الجنساني في جميع المواضيع لجميع الصفوف الدراسية. كما يتضح التأكيد على الإنصاف الجنساني من واقع استخدام لغة جامعة والعمل قدر الإمكان على استعمال أمثلة غير تقليدية للذكور والإناث على السواء، فضلا عن التركيز على تجارب الإنصاف بين الجنسين في الأنشطة المقترح القيام بها.</w:t>
      </w:r>
    </w:p>
    <w:p w:rsidR="00000000" w:rsidRDefault="00000000">
      <w:pPr>
        <w:pStyle w:val="SingleTxt"/>
        <w:tabs>
          <w:tab w:val="clear" w:pos="1930"/>
          <w:tab w:val="left" w:pos="2053"/>
        </w:tabs>
        <w:rPr>
          <w:rtl/>
          <w:lang w:eastAsia="en-US"/>
        </w:rPr>
      </w:pPr>
    </w:p>
    <w:p w:rsidR="00000000" w:rsidRDefault="00000000">
      <w:pPr>
        <w:pStyle w:val="SingleTxt"/>
        <w:tabs>
          <w:tab w:val="clear" w:pos="1930"/>
          <w:tab w:val="left" w:pos="2053"/>
        </w:tabs>
        <w:rPr>
          <w:rtl/>
          <w:lang w:eastAsia="en-US"/>
        </w:rPr>
      </w:pPr>
    </w:p>
    <w:p w:rsidR="00000000" w:rsidRDefault="00000000">
      <w:pPr>
        <w:pStyle w:val="SingleTxt"/>
        <w:tabs>
          <w:tab w:val="clear" w:pos="1930"/>
          <w:tab w:val="left" w:pos="2053"/>
        </w:tabs>
        <w:rPr>
          <w:b/>
          <w:bCs/>
          <w:szCs w:val="32"/>
          <w:rtl/>
          <w:lang w:eastAsia="en-US"/>
        </w:rPr>
      </w:pPr>
      <w:r>
        <w:rPr>
          <w:b/>
          <w:bCs/>
          <w:szCs w:val="32"/>
          <w:rtl/>
          <w:lang w:eastAsia="en-US"/>
        </w:rPr>
        <w:t>المادة 6: الاتجار بالنساء والبغاء</w:t>
      </w:r>
    </w:p>
    <w:p w:rsidR="00000000" w:rsidRDefault="00000000">
      <w:pPr>
        <w:pStyle w:val="SingleTxt"/>
        <w:tabs>
          <w:tab w:val="clear" w:pos="1930"/>
          <w:tab w:val="left" w:pos="2053"/>
        </w:tabs>
        <w:rPr>
          <w:rtl/>
          <w:lang w:eastAsia="en-US"/>
        </w:rPr>
      </w:pPr>
      <w:r>
        <w:rPr>
          <w:rtl/>
          <w:lang w:eastAsia="en-US"/>
        </w:rPr>
        <w:t>919 -</w:t>
      </w:r>
      <w:r>
        <w:rPr>
          <w:rtl/>
          <w:lang w:eastAsia="en-US"/>
        </w:rPr>
        <w:tab/>
        <w:t>وضعت وزارتا الخدمات الاجتماعية والعدل استراتيجية من خمس نقاط لمعالجة مسألة الأطفال والشباب المتورطين في البغاء (وهم إناث بصورة رئيسية). أما العناصر الرئيسية من الاستراتيجية فهي: حملة إعلانية عامة تؤكد أن بغاء الأطفال هو ضرب من إيذاء الطفل وسياسة تقضي بصرامة إنفاذ القوانين وهي موجهة صوب الذين يضطهدون الأطفال جنسيا، إضافة إلى خدمات اتصال هادفة والإفادة من الوكالات المجتمعية لخدمة الأطفال المتورطين في البغاء ونظام للمتابعة والرصد لتعزيز كشف ومقاضاة الجناة وتيسير تقديم الخدمات إلى الضحايا في نطاق ساسكاتشيوان وعلى صعيد البلد بأسره، واستعراض القوانين القائمة في المقاطعة وعلى المستوى الاتحادي بما يكفل اتساقها مع هدف النجاح في الملاحقة القضائية للذين يستغلون الأطفال جنسيا.</w:t>
      </w:r>
    </w:p>
    <w:p w:rsidR="00000000" w:rsidRDefault="00000000">
      <w:pPr>
        <w:pStyle w:val="SingleTxt"/>
        <w:tabs>
          <w:tab w:val="clear" w:pos="1930"/>
          <w:tab w:val="left" w:pos="2053"/>
        </w:tabs>
        <w:rPr>
          <w:b/>
          <w:bCs/>
          <w:szCs w:val="32"/>
          <w:rtl/>
          <w:lang w:eastAsia="en-US"/>
        </w:rPr>
      </w:pPr>
      <w:r>
        <w:rPr>
          <w:b/>
          <w:bCs/>
          <w:szCs w:val="32"/>
          <w:rtl/>
          <w:lang w:eastAsia="en-US"/>
        </w:rPr>
        <w:t>المادة 10: التعليم</w:t>
      </w:r>
    </w:p>
    <w:p w:rsidR="00000000" w:rsidRDefault="00000000">
      <w:pPr>
        <w:pStyle w:val="SingleTxt"/>
        <w:tabs>
          <w:tab w:val="clear" w:pos="1930"/>
          <w:tab w:val="left" w:pos="2053"/>
        </w:tabs>
        <w:rPr>
          <w:rtl/>
          <w:lang w:eastAsia="en-US"/>
        </w:rPr>
      </w:pPr>
      <w:r>
        <w:rPr>
          <w:rtl/>
          <w:lang w:eastAsia="en-US"/>
        </w:rPr>
        <w:t>920 -</w:t>
      </w:r>
      <w:r>
        <w:rPr>
          <w:rtl/>
          <w:lang w:eastAsia="en-US"/>
        </w:rPr>
        <w:tab/>
        <w:t>يتألف منتدى للإنصاف في مجال التعليم من ممثلين عن لجنة حقوق الإنسان في ساسكاتشيوان ووزارة التعليم ورابطة أمناء المدارس في ساسكاتشيوان واتحاد مدرسي ساسكاتشيوان وعصبة الإداريين والمديرين والمشرفين في المجال التعليمي. وفي تشرين الثاني/نوفمبر 1997 شارك المنتدى ووزير التعليم في إصدار وثيقة أعدها المنتدى ذاته بعنوان “أطفالنا ومجتمعاتنا ومستقبلنا”. وهذه الوثيقة تؤكد على رؤية مشتركة تقصد إلى تعزيز الإنصاف في مدارس ساسكاتشيوان ووضع سياسات وخطط عمل تكفل المعاملة العادلة والمحترمة ضمن النظام التعليمي. وقد استطاع المنتدى أن يطرح تدابير يتخذها لتحقيق أهداف إطار السياسات المرسوم. كذلك فثمة عدد من الخطط المنفذة لتحقيق الإنصاف في مرحلة ما بعد الثانوية. كما أن جامعة ساسكاتشيوان على سبيل المثال تضم برنامجا للانصاف للطالبات في قسم الرياضيات.</w:t>
      </w:r>
    </w:p>
    <w:p w:rsidR="00000000" w:rsidRDefault="00000000">
      <w:pPr>
        <w:pStyle w:val="SingleTxt"/>
        <w:tabs>
          <w:tab w:val="clear" w:pos="1930"/>
          <w:tab w:val="left" w:pos="2053"/>
        </w:tabs>
        <w:rPr>
          <w:rtl/>
          <w:lang w:eastAsia="en-US"/>
        </w:rPr>
      </w:pPr>
      <w:r>
        <w:rPr>
          <w:rtl/>
          <w:lang w:eastAsia="en-US"/>
        </w:rPr>
        <w:t>921 -</w:t>
      </w:r>
      <w:r>
        <w:rPr>
          <w:rtl/>
          <w:lang w:eastAsia="en-US"/>
        </w:rPr>
        <w:tab/>
        <w:t>وتكفل لجنة حقوق الإنسان في ساسكاتشيوان استثناءات في بعض الأحيان من الشروط الصارمة التي يقتضيها قانون ساسكاتشيوان لحقوق الإنسان عندما يُعد ذلك أمرا “ضروريا ومستصوباً”. وعلى سبيل المثال فبرغم أن القانون يحظر التمييز الجنساني في التعليم فقد منحت اللجنة استثناءً بتمكين مدرسة رجينا الثانوية من تقديم برنامج للرياضيات مقصور على الفتيات وحدهن.</w:t>
      </w:r>
    </w:p>
    <w:p w:rsidR="00000000" w:rsidRDefault="00000000">
      <w:pPr>
        <w:pStyle w:val="SingleTxt"/>
        <w:tabs>
          <w:tab w:val="clear" w:pos="1930"/>
          <w:tab w:val="left" w:pos="2053"/>
        </w:tabs>
        <w:rPr>
          <w:rtl/>
          <w:lang w:eastAsia="en-US"/>
        </w:rPr>
      </w:pPr>
    </w:p>
    <w:p w:rsidR="00000000" w:rsidRDefault="00000000">
      <w:pPr>
        <w:pStyle w:val="SingleTxt"/>
        <w:tabs>
          <w:tab w:val="clear" w:pos="1930"/>
          <w:tab w:val="left" w:pos="2053"/>
        </w:tabs>
        <w:rPr>
          <w:rtl/>
          <w:lang w:eastAsia="en-US"/>
        </w:rPr>
      </w:pPr>
    </w:p>
    <w:p w:rsidR="00000000" w:rsidRDefault="00000000">
      <w:pPr>
        <w:pStyle w:val="SingleTxt"/>
        <w:tabs>
          <w:tab w:val="clear" w:pos="1930"/>
          <w:tab w:val="left" w:pos="2053"/>
        </w:tabs>
        <w:rPr>
          <w:b/>
          <w:bCs/>
          <w:szCs w:val="32"/>
          <w:rtl/>
          <w:lang w:eastAsia="en-US"/>
        </w:rPr>
      </w:pPr>
      <w:r>
        <w:rPr>
          <w:b/>
          <w:bCs/>
          <w:szCs w:val="32"/>
          <w:rtl/>
          <w:lang w:eastAsia="en-US"/>
        </w:rPr>
        <w:t>المادة 11: العمالة</w:t>
      </w:r>
    </w:p>
    <w:p w:rsidR="00000000" w:rsidRDefault="00000000">
      <w:pPr>
        <w:pStyle w:val="SingleTxt"/>
        <w:tabs>
          <w:tab w:val="clear" w:pos="1930"/>
          <w:tab w:val="left" w:pos="2053"/>
        </w:tabs>
        <w:rPr>
          <w:rtl/>
          <w:lang w:eastAsia="en-US"/>
        </w:rPr>
      </w:pPr>
      <w:r>
        <w:rPr>
          <w:rtl/>
          <w:lang w:eastAsia="en-US"/>
        </w:rPr>
        <w:t>922 -</w:t>
      </w:r>
      <w:r>
        <w:rPr>
          <w:rtl/>
          <w:lang w:eastAsia="en-US"/>
        </w:rPr>
        <w:tab/>
        <w:t>وضعت أمانة المرأة إطارا للسياسات عن الأجر المتساوي لقاء العمل المتساوي القيمة وسياسة الإنصاف الأجري ليشكل دليلا لتنفيذ السياسة الحكومية، وأسدت المشورة إلى مواقع العمل الحكومية بشأن تنفيذ السياسة المذكورة. وهذا الإطار للسياسات يطرح الحد الأدنى من معايير تنفيذ سياسة الإنصاف في الأجر ويتطلب نظاماً لتقييم الوظائف يتسم بالحيدة الجنسانية ويتم التفاوض عليه بصورة مشتركة من خلال عملية المساومة الجماعية. وفي تشرين الأول/أكتوبر 1998 تعاونت لجنة الخدمة العامة مع اتحاد الموظفين الحكوميين في ساسكاتشيوان على تنفيذ الخطة لصالح 000 10 من أعضاء الاتحاد وسوف يتم التنفيذ على مراحل في مدى يزيد على فترة خمس سنوات.</w:t>
      </w:r>
    </w:p>
    <w:p w:rsidR="00000000" w:rsidRDefault="00000000">
      <w:pPr>
        <w:pStyle w:val="SingleTxt"/>
        <w:tabs>
          <w:tab w:val="clear" w:pos="1930"/>
          <w:tab w:val="left" w:pos="2053"/>
        </w:tabs>
        <w:rPr>
          <w:rtl/>
          <w:lang w:eastAsia="en-US"/>
        </w:rPr>
      </w:pPr>
      <w:r>
        <w:rPr>
          <w:rtl/>
          <w:lang w:eastAsia="en-US"/>
        </w:rPr>
        <w:t>923 -</w:t>
      </w:r>
      <w:r>
        <w:rPr>
          <w:rtl/>
          <w:lang w:eastAsia="en-US"/>
        </w:rPr>
        <w:tab/>
        <w:t>وتشمل التغيُّرات التي طرأت مؤخرا على الاتفاق الجماعي بين موظفي الحكومة ولجنة الخدمة العامة مضاعفة الحد الأقصى لطول إجازة الأمومة غير المدفوعة من سنة إلى سنتين.</w:t>
      </w:r>
    </w:p>
    <w:p w:rsidR="00000000" w:rsidRDefault="00000000">
      <w:pPr>
        <w:pStyle w:val="SingleTxt"/>
        <w:tabs>
          <w:tab w:val="clear" w:pos="1930"/>
          <w:tab w:val="left" w:pos="2053"/>
        </w:tabs>
        <w:rPr>
          <w:rtl/>
          <w:lang w:eastAsia="en-US"/>
        </w:rPr>
      </w:pPr>
      <w:r>
        <w:rPr>
          <w:rtl/>
          <w:lang w:eastAsia="en-US"/>
        </w:rPr>
        <w:t>924 -</w:t>
      </w:r>
      <w:r>
        <w:rPr>
          <w:rtl/>
          <w:lang w:eastAsia="en-US"/>
        </w:rPr>
        <w:tab/>
        <w:t>وفي عام 1997 بدأت وزارة العمل مبادرة على سنتين للموازنة بين العمل والأسرة من أجل تحديد ومواجهة التحديات التي يصادفها العاملون في ساسكاتشيوان ممن يواجهون تضارباً بين التزامات العمل والأسرة. وهذه المبادرة التي تتبناها الحكومة والمجتمع تشمل التوعية العامة، وإضافة إلى ندوة واستقصاء لمنظمات مختارة من القطاعين العام والخاص من أجل تحديد قضايا العمل والأسرة. وتتولى قوة عمل تضم قيادات من دوائر الأعمال التجارية والعمالة إجراء مشاورات في هذا الشأن على صعيد المجتمع المحلي.</w:t>
      </w:r>
    </w:p>
    <w:p w:rsidR="00000000" w:rsidRDefault="00000000">
      <w:pPr>
        <w:pStyle w:val="SingleTxt"/>
        <w:tabs>
          <w:tab w:val="clear" w:pos="1930"/>
          <w:tab w:val="left" w:pos="2053"/>
        </w:tabs>
        <w:rPr>
          <w:rtl/>
          <w:lang w:eastAsia="en-US"/>
        </w:rPr>
      </w:pPr>
      <w:r>
        <w:rPr>
          <w:rtl/>
          <w:lang w:eastAsia="en-US"/>
        </w:rPr>
        <w:t>925 -</w:t>
      </w:r>
      <w:r>
        <w:rPr>
          <w:rtl/>
          <w:lang w:eastAsia="en-US"/>
        </w:rPr>
        <w:tab/>
        <w:t>ويحظر قانون حقوق الإنسان في ساسكاتشيوان التمييز في مجال التوظيف على أساس “الوضع العائلي” الذي يتم تعريفه على أساس “أن يكون المرء داخلا في علاقة والد أو أبن” وقد أضيف الوضع العائلي إلى القانون ليشكل أساسا محظورا من أسس التمييز في عام 1993. وتفسر لجنة حقوق الإنسان القانون لكي تفرض التزاما على أرباب الأعمال بحيث يستوعبون الالتزامات الأسرية لموظفيهم.</w:t>
      </w:r>
    </w:p>
    <w:p w:rsidR="00000000" w:rsidRDefault="00000000">
      <w:pPr>
        <w:pStyle w:val="SingleTxt"/>
        <w:tabs>
          <w:tab w:val="clear" w:pos="1930"/>
          <w:tab w:val="left" w:pos="2053"/>
        </w:tabs>
        <w:rPr>
          <w:rtl/>
          <w:lang w:eastAsia="en-US"/>
        </w:rPr>
      </w:pPr>
      <w:r>
        <w:rPr>
          <w:rtl/>
          <w:lang w:eastAsia="en-US"/>
        </w:rPr>
        <w:t>926 -</w:t>
      </w:r>
      <w:r>
        <w:rPr>
          <w:rtl/>
          <w:lang w:eastAsia="en-US"/>
        </w:rPr>
        <w:tab/>
        <w:t xml:space="preserve">وفي الفترة 1997 </w:t>
      </w:r>
      <w:r>
        <w:rPr>
          <w:lang w:eastAsia="en-US"/>
        </w:rPr>
        <w:t>–</w:t>
      </w:r>
      <w:r>
        <w:rPr>
          <w:rtl/>
          <w:lang w:eastAsia="en-US"/>
        </w:rPr>
        <w:t xml:space="preserve"> 1998 شكلت المرأة 46.4 في المائة من مجموع قوة العمل لجميع أرباب العمل، فيما تم إقرار برامج الإنصاف التوظيفي من جانب لجنة حقوق الإنسان في ساسكاتشيوان (“قوة عمل الكفيل”). وهو ما يقل قليلا عن النسبة المئوية للفترة 1996 </w:t>
      </w:r>
      <w:r>
        <w:rPr>
          <w:lang w:eastAsia="en-US"/>
        </w:rPr>
        <w:t>–</w:t>
      </w:r>
      <w:r>
        <w:rPr>
          <w:rtl/>
          <w:lang w:eastAsia="en-US"/>
        </w:rPr>
        <w:t xml:space="preserve"> 1997، وإن كان يتجاوز هدف لجنة حقوق الإنسان البالغ 45 في المائة. وشكلت المرأة ما يصل إلى 41.1 في المائة من قوة عمل مؤسسات القطاع العام (أي المؤسسات التي تم رصدها في تلك السنة).</w:t>
      </w:r>
    </w:p>
    <w:p w:rsidR="00000000" w:rsidRDefault="00000000">
      <w:pPr>
        <w:pStyle w:val="SingleTxt"/>
        <w:tabs>
          <w:tab w:val="clear" w:pos="1930"/>
          <w:tab w:val="left" w:pos="2053"/>
        </w:tabs>
        <w:rPr>
          <w:rtl/>
          <w:lang w:eastAsia="en-US"/>
        </w:rPr>
      </w:pPr>
      <w:r>
        <w:rPr>
          <w:rtl/>
          <w:lang w:eastAsia="en-US"/>
        </w:rPr>
        <w:t>927 -</w:t>
      </w:r>
      <w:r>
        <w:rPr>
          <w:rtl/>
          <w:lang w:eastAsia="en-US"/>
        </w:rPr>
        <w:tab/>
        <w:t xml:space="preserve">وتشير اللجنة إلى أن المرأة ما زالت تواجه حواجز في القطاع العام فيما يتعلق بمناصب الإدارة والمهن غير التقليديـة التي يشوبها قصور في تمثيل النساء. وفي الفترة 1996 </w:t>
      </w:r>
      <w:r>
        <w:rPr>
          <w:lang w:eastAsia="en-US"/>
        </w:rPr>
        <w:t>–</w:t>
      </w:r>
      <w:r>
        <w:rPr>
          <w:rtl/>
          <w:lang w:eastAsia="en-US"/>
        </w:rPr>
        <w:t xml:space="preserve"> 1997، كانت النساء يشغلن 53.1 في المائة من جميع مناصب المديرين في مجمل قوة عمل الكفيل ولكن يشغلن 28.2 في المائة فقط من مناصب الإدارة في مؤسسات القطاع العام. وعلى سبيل المقارنة، فقد حدد تقرير 1993 نسبة 22.5 في المائة من النساء في مناصب الإدارة في قوة عمل الكفيل بأكملها.</w:t>
      </w:r>
    </w:p>
    <w:p w:rsidR="00000000" w:rsidRDefault="00000000">
      <w:pPr>
        <w:pStyle w:val="SingleTxt"/>
        <w:tabs>
          <w:tab w:val="clear" w:pos="1930"/>
          <w:tab w:val="left" w:pos="2053"/>
        </w:tabs>
        <w:rPr>
          <w:rtl/>
          <w:lang w:eastAsia="en-US"/>
        </w:rPr>
      </w:pPr>
      <w:r>
        <w:rPr>
          <w:rtl/>
          <w:lang w:eastAsia="en-US"/>
        </w:rPr>
        <w:t>928 -</w:t>
      </w:r>
      <w:r>
        <w:rPr>
          <w:rtl/>
          <w:lang w:eastAsia="en-US"/>
        </w:rPr>
        <w:tab/>
        <w:t xml:space="preserve">وفي الفترة 1997 </w:t>
      </w:r>
      <w:r>
        <w:rPr>
          <w:lang w:eastAsia="en-US"/>
        </w:rPr>
        <w:t>–</w:t>
      </w:r>
      <w:r>
        <w:rPr>
          <w:rtl/>
          <w:lang w:eastAsia="en-US"/>
        </w:rPr>
        <w:t xml:space="preserve"> 1998 شغلت النساء 27.4 في المائة من المناصب العليا في الإدارة و 38.9 في المائة من مناصب الإدارة الوسطى في قوة العمل المذكورة. ولكن شغلن فقط 14.4 في المائة من مناصب الإدارة العليا و 30.8 في المائة من مناصب الإدارة الوسطى في القطاع العام. والأرقام المقارنة من عام 1993 (بالنسبة إلى قوة عمل الكفيل بأكملها) كانت 16.2 في المائة في الإدارة العليا و 28.7 في المائة في الإدارة الوسطى.</w:t>
      </w:r>
    </w:p>
    <w:p w:rsidR="00000000" w:rsidRDefault="00000000">
      <w:pPr>
        <w:pStyle w:val="SingleTxt"/>
        <w:tabs>
          <w:tab w:val="clear" w:pos="1930"/>
          <w:tab w:val="left" w:pos="2053"/>
        </w:tabs>
        <w:rPr>
          <w:rtl/>
          <w:lang w:eastAsia="en-US"/>
        </w:rPr>
      </w:pPr>
      <w:r>
        <w:rPr>
          <w:rtl/>
          <w:lang w:eastAsia="en-US"/>
        </w:rPr>
        <w:t>929 -</w:t>
      </w:r>
      <w:r>
        <w:rPr>
          <w:rtl/>
          <w:lang w:eastAsia="en-US"/>
        </w:rPr>
        <w:tab/>
        <w:t>ويتم توظيف النساء بأعداد أكبر من نسبة تمثيلهن في قوة العمل وهي 45 في المائة. ومع ذلك فما زالت النساء يتركزن في فئات مهنية بعينها. وفي معظم المنظمات كانت هذه الوظائف تجنح إلى أن تكون الأدنى أجرا. كذلك فالمرأة منخفضة في التمثيل في الوظائف الدائمة.</w:t>
      </w:r>
    </w:p>
    <w:p w:rsidR="00000000" w:rsidRDefault="00000000">
      <w:pPr>
        <w:pStyle w:val="SingleTxt"/>
        <w:tabs>
          <w:tab w:val="clear" w:pos="1930"/>
          <w:tab w:val="left" w:pos="2053"/>
        </w:tabs>
        <w:rPr>
          <w:rtl/>
          <w:lang w:eastAsia="en-US"/>
        </w:rPr>
      </w:pPr>
      <w:r>
        <w:rPr>
          <w:rtl/>
          <w:lang w:eastAsia="en-US"/>
        </w:rPr>
        <w:t>930 -</w:t>
      </w:r>
      <w:r>
        <w:rPr>
          <w:rtl/>
          <w:lang w:eastAsia="en-US"/>
        </w:rPr>
        <w:tab/>
        <w:t>على أن الاتجاه العام لشغل المرأة مناصب الادارة اتجاه مشجع. ويفيد الكفلاء بأن عدد النساء في مواقع الإدارة قد زاد بصورة طفيفة، ومع ذلك فما يقرب من نصف الكفلاء لديهم أقل من 25 في المائة تمثيلا للمرأة في مناصب الإدارة العليا. وتوصي اللجنة بزيادة التركيز على تمثيل المرأة في مواقع الإدارة بمؤسسات القطاع العام.</w:t>
      </w:r>
    </w:p>
    <w:p w:rsidR="00000000" w:rsidRDefault="00000000">
      <w:pPr>
        <w:pStyle w:val="SingleTxt"/>
        <w:tabs>
          <w:tab w:val="clear" w:pos="1930"/>
          <w:tab w:val="left" w:pos="2053"/>
        </w:tabs>
        <w:rPr>
          <w:b/>
          <w:bCs/>
          <w:szCs w:val="32"/>
          <w:rtl/>
          <w:lang w:eastAsia="en-US"/>
        </w:rPr>
      </w:pPr>
      <w:r>
        <w:rPr>
          <w:b/>
          <w:bCs/>
          <w:szCs w:val="32"/>
          <w:rtl/>
          <w:lang w:eastAsia="en-US"/>
        </w:rPr>
        <w:t>المادة 12: الصحة</w:t>
      </w:r>
    </w:p>
    <w:p w:rsidR="00000000" w:rsidRDefault="00000000">
      <w:pPr>
        <w:pStyle w:val="SingleTxt"/>
        <w:tabs>
          <w:tab w:val="clear" w:pos="1930"/>
          <w:tab w:val="left" w:pos="2053"/>
        </w:tabs>
        <w:rPr>
          <w:rtl/>
          <w:lang w:eastAsia="en-US"/>
        </w:rPr>
      </w:pPr>
      <w:r>
        <w:rPr>
          <w:rtl/>
          <w:lang w:eastAsia="en-US"/>
        </w:rPr>
        <w:t>931 -</w:t>
      </w:r>
      <w:r>
        <w:rPr>
          <w:rtl/>
          <w:lang w:eastAsia="en-US"/>
        </w:rPr>
        <w:tab/>
        <w:t>أصبح برنامج الفحص الجماعي لسرطان الثدي يقدم خدمات الكشف عن سرطان الثدي على مستوى المقاطعة للنساء بين سن 50 و 69 سنة. والبرنامج يتدارس حاليا إمكانية توسيع تقديم خدماته إلى النساء بين سن الأربعين والتاسعة والأربعين.</w:t>
      </w:r>
    </w:p>
    <w:p w:rsidR="00000000" w:rsidRDefault="00000000">
      <w:pPr>
        <w:pStyle w:val="SingleTxt"/>
        <w:tabs>
          <w:tab w:val="clear" w:pos="1930"/>
          <w:tab w:val="left" w:pos="2053"/>
        </w:tabs>
        <w:rPr>
          <w:rtl/>
          <w:lang w:eastAsia="en-US"/>
        </w:rPr>
      </w:pPr>
      <w:r>
        <w:rPr>
          <w:rtl/>
          <w:lang w:eastAsia="en-US"/>
        </w:rPr>
        <w:t>932 -</w:t>
      </w:r>
      <w:r>
        <w:rPr>
          <w:rtl/>
          <w:lang w:eastAsia="en-US"/>
        </w:rPr>
        <w:tab/>
        <w:t>وأعلن وزير الصحة المعلومات المتعلقة بتشكيل قوة العمل المعنية بالفحص الجماعي لسرطان الحوض في 18 شباط/فبراير 1998 في مركز آلان بلير للسرطان. وتعمل وزارة الصحة في ساسكاتشيوان مع وكالة السرطان في ساسكاتشيوان على إعداد برنامج للفحص الجماعي لسرطان الحوض في المقاطعة وإنشاء نظام المعلومات لتحسين معدلات اختبارات العينة وتحسين جمع البيانات من أجل تجهيز البرامج واتخاذ القرارات اللازمة في هذا المجال.</w:t>
      </w:r>
    </w:p>
    <w:p w:rsidR="00000000" w:rsidRDefault="00000000">
      <w:pPr>
        <w:pStyle w:val="SingleTxt"/>
        <w:tabs>
          <w:tab w:val="clear" w:pos="1930"/>
          <w:tab w:val="left" w:pos="2053"/>
        </w:tabs>
        <w:rPr>
          <w:rtl/>
          <w:lang w:eastAsia="en-US"/>
        </w:rPr>
      </w:pPr>
      <w:r>
        <w:rPr>
          <w:rtl/>
          <w:lang w:eastAsia="en-US"/>
        </w:rPr>
        <w:t>933 -</w:t>
      </w:r>
      <w:r>
        <w:rPr>
          <w:rtl/>
          <w:lang w:eastAsia="en-US"/>
        </w:rPr>
        <w:tab/>
        <w:t>كما أُنشئت لجنة استشارية لتنظيم الأسرة لكي تضع توصيات ترفع إلى وزير الصحة بشأن قضايا الصحة الإنجابية ومنها مثلا حالات الحمل غير المخطط لها. وتم تنفيذ وتقييم ستة مشاريع نموذجية تمثلت في مراكز لصحة المراهقين. وجرى تمويل خط هاتفي مجاني بعنوان “حقائق الحياة” كما عُقد في آذار/مارس 1998 مؤتمر تحت شعار “عافية الشباب: قضية تشغل كل فرد”.</w:t>
      </w:r>
    </w:p>
    <w:p w:rsidR="00000000" w:rsidRDefault="00000000">
      <w:pPr>
        <w:pStyle w:val="SingleTxt"/>
        <w:tabs>
          <w:tab w:val="clear" w:pos="1930"/>
          <w:tab w:val="left" w:pos="2053"/>
        </w:tabs>
        <w:rPr>
          <w:rtl/>
          <w:lang w:eastAsia="en-US"/>
        </w:rPr>
      </w:pPr>
      <w:r>
        <w:rPr>
          <w:rtl/>
          <w:lang w:eastAsia="en-US"/>
        </w:rPr>
        <w:t>934 -</w:t>
      </w:r>
      <w:r>
        <w:rPr>
          <w:rtl/>
          <w:lang w:eastAsia="en-US"/>
        </w:rPr>
        <w:tab/>
        <w:t>وينفذم مركز بريدج بوينت لإضطرابات التغذية القائم في مدينة ملدين عمليات إعادة تأهيل مكثَّفة للأفراد (نساء وفتيات أساسا) ممن يعانون من اضطرابات في تناول الطعام. ويقدم البرنامج في وحدات تستغرق بين 4 إلى 6 أسابيع وتستمر 4 مرات سنوياً في غالب الأحيان. ومن العناصر الأساسية ضمن البرنامج عنصر المتابعة في المجتمع الأصلي ويدعم هذا تدابير وقاية من العْود في عطلات نهاية الأسبوع بالمركز. ويشكل هذا مشروعا للبيان العملي مدته ثلاث سنوات وقد بدأ في استقبال أول المتعاملين معه في خريف عام 1997.</w:t>
      </w:r>
    </w:p>
    <w:p w:rsidR="00000000" w:rsidRDefault="00000000">
      <w:pPr>
        <w:pStyle w:val="SingleTxt"/>
        <w:tabs>
          <w:tab w:val="clear" w:pos="1930"/>
          <w:tab w:val="left" w:pos="2053"/>
        </w:tabs>
        <w:rPr>
          <w:rtl/>
          <w:lang w:eastAsia="en-US"/>
        </w:rPr>
      </w:pPr>
      <w:r>
        <w:rPr>
          <w:rtl/>
          <w:lang w:eastAsia="en-US"/>
        </w:rPr>
        <w:t>935 -</w:t>
      </w:r>
      <w:r>
        <w:rPr>
          <w:rtl/>
          <w:lang w:eastAsia="en-US"/>
        </w:rPr>
        <w:tab/>
        <w:t>ويكفل برنامج دعم الأم الناجحة سُبل التواصل مع المراهقين وشباب الآباء والأمهات من ذوي الإعاقات، والأطفال الذين يعيشون وسط ظروف تضعهم موضع خطر من سوء الصحة العقلية والجسمية.</w:t>
      </w:r>
    </w:p>
    <w:p w:rsidR="00000000" w:rsidRDefault="00000000">
      <w:pPr>
        <w:pStyle w:val="SingleTxt"/>
        <w:tabs>
          <w:tab w:val="clear" w:pos="1930"/>
          <w:tab w:val="left" w:pos="2053"/>
        </w:tabs>
        <w:rPr>
          <w:rtl/>
          <w:lang w:eastAsia="en-US"/>
        </w:rPr>
      </w:pPr>
      <w:r>
        <w:rPr>
          <w:rtl/>
          <w:lang w:eastAsia="en-US"/>
        </w:rPr>
        <w:t>936 -</w:t>
      </w:r>
      <w:r>
        <w:rPr>
          <w:rtl/>
          <w:lang w:eastAsia="en-US"/>
        </w:rPr>
        <w:tab/>
        <w:t>كما أنشأت وزارة الصحة في ساسكاتشيوان في عام 1997 الفريق التنفيذي العامل المعني بالقبالة ويعمل على طرح تشريعات لتنظيم القبالة. كما أن هذا الفريق العامل عاكف على استعراض وتطوير الآليات التنظيمية والتعليمية والعملية اللازمة للسماح بالممارسة المأذون بها للقبالة في ساسكاتشيوان.</w:t>
      </w:r>
    </w:p>
    <w:p w:rsidR="00000000" w:rsidRDefault="00000000">
      <w:pPr>
        <w:pStyle w:val="SingleTxt"/>
        <w:tabs>
          <w:tab w:val="clear" w:pos="1930"/>
          <w:tab w:val="left" w:pos="2053"/>
        </w:tabs>
        <w:rPr>
          <w:b/>
          <w:bCs/>
          <w:szCs w:val="32"/>
          <w:rtl/>
          <w:lang w:eastAsia="en-US"/>
        </w:rPr>
      </w:pPr>
      <w:r>
        <w:rPr>
          <w:b/>
          <w:bCs/>
          <w:szCs w:val="32"/>
          <w:rtl/>
          <w:lang w:eastAsia="en-US"/>
        </w:rPr>
        <w:t>المادة 13: الحياة الاقتصادية والاجتماعية</w:t>
      </w:r>
    </w:p>
    <w:p w:rsidR="00000000" w:rsidRDefault="00000000">
      <w:pPr>
        <w:pStyle w:val="SingleTxt"/>
        <w:tabs>
          <w:tab w:val="clear" w:pos="1930"/>
          <w:tab w:val="left" w:pos="2053"/>
        </w:tabs>
        <w:rPr>
          <w:rtl/>
          <w:lang w:eastAsia="en-US"/>
        </w:rPr>
      </w:pPr>
      <w:r>
        <w:rPr>
          <w:rtl/>
          <w:lang w:eastAsia="en-US"/>
        </w:rPr>
        <w:t>937 -</w:t>
      </w:r>
      <w:r>
        <w:rPr>
          <w:rtl/>
          <w:lang w:eastAsia="en-US"/>
        </w:rPr>
        <w:tab/>
        <w:t>وضعت وزارة البلديات قائمة حصرية للإنصاف لمساعدة الجماعات والأفراد على تقييم الاتجاهات والسلوكيات نحو المرأة ونحو الأفراد من ذوي الأصول المختلفة والأشخاص ذوي الإعاقات. وتم توزيع الوثيقة على صعيد دوائر الألعاب الرياضية والترفيه بأسرها في ساسكاتشيوان. وأصبحت مؤسسة الألعاب الرياضية في ساسكاتشيوان تفرض بصورة إلزامية أن تُقِر منظمات الألعاب الرياضية سياسة متعلقة بالتحرش (كشرط لمنح إعانة تمويل لجوائز اليانصيب إلى أعضائها).</w:t>
      </w:r>
    </w:p>
    <w:p w:rsidR="00000000" w:rsidRDefault="00000000">
      <w:pPr>
        <w:pStyle w:val="SingleTxt"/>
        <w:tabs>
          <w:tab w:val="clear" w:pos="1930"/>
          <w:tab w:val="left" w:pos="2053"/>
        </w:tabs>
        <w:rPr>
          <w:rtl/>
          <w:lang w:eastAsia="en-US"/>
        </w:rPr>
      </w:pPr>
      <w:r>
        <w:rPr>
          <w:rtl/>
          <w:lang w:eastAsia="en-US"/>
        </w:rPr>
        <w:t>938 -</w:t>
      </w:r>
      <w:r>
        <w:rPr>
          <w:rtl/>
          <w:lang w:eastAsia="en-US"/>
        </w:rPr>
        <w:tab/>
        <w:t>وتساعد وزارة التنمية والتعاون الاقتصادي المجتمعات المحلية على إنشاء تعاونيات الرعاية النهارية في جميع أنحاء المقاطعة.</w:t>
      </w:r>
    </w:p>
    <w:p w:rsidR="00000000" w:rsidRDefault="00000000">
      <w:pPr>
        <w:pStyle w:val="SingleTxt"/>
        <w:tabs>
          <w:tab w:val="clear" w:pos="1930"/>
          <w:tab w:val="left" w:pos="2053"/>
        </w:tabs>
        <w:rPr>
          <w:rtl/>
          <w:lang w:eastAsia="en-US"/>
        </w:rPr>
      </w:pPr>
      <w:r>
        <w:rPr>
          <w:rtl/>
          <w:lang w:eastAsia="en-US"/>
        </w:rPr>
        <w:t>939 -</w:t>
      </w:r>
      <w:r>
        <w:rPr>
          <w:rtl/>
          <w:lang w:eastAsia="en-US"/>
        </w:rPr>
        <w:tab/>
        <w:t xml:space="preserve">ويتولى برنامج رعاية الطفل الذي تديره وزارة الخدمات الاجتماعية ترخيص وتنظيم مراكز الرعاية النهارية ودور الرعاية النهارية الأسرية ويقدم المعونات للوالدين من ذوي الدخل المنخفض ومنهم 87 في المائة أمهات وحيدات. وتواصل الوزارة إضفاء تحسينات مطردة في مجال التنفيذ والتمويل بقطاع الرعاية الصحية المقننة. وقد طرأت زيادة بنسبة 17 في المائة في النفقات على مِنَح رعاية الطفل وعلى المعونات المقدمة في هذا الصدد منذ الفترة 1993 </w:t>
      </w:r>
      <w:r>
        <w:rPr>
          <w:lang w:eastAsia="en-US"/>
        </w:rPr>
        <w:t>–</w:t>
      </w:r>
      <w:r>
        <w:rPr>
          <w:rtl/>
          <w:lang w:eastAsia="en-US"/>
        </w:rPr>
        <w:t xml:space="preserve"> 1994، كما زاد عدد الأماكن المرخصة بنسبة 2.7 في المائة ليصبح 124 7. واعتبارا من الفترة 1992 </w:t>
      </w:r>
      <w:r>
        <w:rPr>
          <w:lang w:eastAsia="en-US"/>
        </w:rPr>
        <w:t>–</w:t>
      </w:r>
      <w:r>
        <w:rPr>
          <w:rtl/>
          <w:lang w:eastAsia="en-US"/>
        </w:rPr>
        <w:t xml:space="preserve"> 1993، تم إنفاق ما يزيد على 4 ملايين دولار على التحسينات اللازمة لرعاية الطفل. وزادت وزارة الخدمات الاجتماعية عدد أماكن رعاية الطفل والمواقع المتاحة للأطفال الصغار والرُضَّع للأمهات المراهقات الملتحقات بالمدارس الثانوية مع كفالة مزيد من الخيارات المرنة لرعاية الطفل أمام النساء الريفيات. وزادت معدلات الإعانة الوالدية لصغار الأطفال والرُضَّع. وبدأ العمل بِمنَح دعم للاجور (حوالي دولار واحد في الساعة) للعاملين المدرَّبين في مجال رعاية الطفل.</w:t>
      </w:r>
    </w:p>
    <w:p w:rsidR="00000000" w:rsidRDefault="00000000">
      <w:pPr>
        <w:pStyle w:val="SingleTxt"/>
        <w:tabs>
          <w:tab w:val="clear" w:pos="1930"/>
          <w:tab w:val="left" w:pos="2053"/>
        </w:tabs>
        <w:rPr>
          <w:rtl/>
          <w:lang w:eastAsia="en-US"/>
        </w:rPr>
      </w:pPr>
      <w:r>
        <w:rPr>
          <w:rtl/>
          <w:lang w:eastAsia="en-US"/>
        </w:rPr>
        <w:t>940 -</w:t>
      </w:r>
      <w:r>
        <w:rPr>
          <w:rtl/>
          <w:lang w:eastAsia="en-US"/>
        </w:rPr>
        <w:tab/>
        <w:t>ويقصد برنامج استحقاقات صحة الأسرة إلى مساعدة الأسر التي تتلقى مساعدة اجتماعية على الالتحاق بقوة العمل دون أن تفقد استحقاقات صحة الطفل (بما في ذلك خدمات علاج الأسنان والنظارات الطبية والإمدادات والتجهيزات الطبية والأدوية الموصوفة وخدمات مركبات الإسعاف) مع مساعدة الأسر العاملة المنخفضة الأجر بما يكفل عدم اضطرارها إلى الاعتماد على المساعدة الاجتماعية لتلبية الاحتياجات الصحية لأطفالها.</w:t>
      </w:r>
    </w:p>
    <w:p w:rsidR="00000000" w:rsidRDefault="00000000">
      <w:pPr>
        <w:pStyle w:val="SingleTxt"/>
        <w:tabs>
          <w:tab w:val="clear" w:pos="1930"/>
          <w:tab w:val="left" w:pos="2053"/>
        </w:tabs>
        <w:rPr>
          <w:rtl/>
          <w:lang w:eastAsia="en-US"/>
        </w:rPr>
      </w:pPr>
      <w:r>
        <w:rPr>
          <w:rtl/>
          <w:lang w:eastAsia="en-US"/>
        </w:rPr>
        <w:t>941 -</w:t>
      </w:r>
      <w:r>
        <w:rPr>
          <w:rtl/>
          <w:lang w:eastAsia="en-US"/>
        </w:rPr>
        <w:tab/>
        <w:t>ومن خلال التعاون فيما بين وزارة الصحة والخدمات الاجتماعية ومؤسسة الإسكان في ساسكاتشيوان بدأت المقاطعة خدمات المعيشة المدعومة في ساسكاتشيوان للأفراد من ذوي الدخل النخفض للمقيمين في الإسكان الاجتماعي للمسنين ويحتاجون إلى مزيد من خدمات المأوى والدعم للحفاظ على استقلاليتهم. وفي عام 1995 كانت النساء يشكلن 74 في المائة من المستأجرين المسنين و90 في المائة ممن كانوا يعيشون بمفردهم.</w:t>
      </w:r>
    </w:p>
    <w:p w:rsidR="00000000" w:rsidRDefault="00000000">
      <w:pPr>
        <w:pStyle w:val="SingleTxt"/>
        <w:tabs>
          <w:tab w:val="clear" w:pos="1930"/>
          <w:tab w:val="left" w:pos="2053"/>
        </w:tabs>
        <w:rPr>
          <w:b/>
          <w:bCs/>
          <w:szCs w:val="32"/>
          <w:rtl/>
          <w:lang w:eastAsia="en-US"/>
        </w:rPr>
      </w:pPr>
      <w:r>
        <w:rPr>
          <w:b/>
          <w:bCs/>
          <w:szCs w:val="32"/>
          <w:rtl/>
          <w:lang w:eastAsia="en-US"/>
        </w:rPr>
        <w:t>المادة 14: المرأة الريفية</w:t>
      </w:r>
    </w:p>
    <w:p w:rsidR="00000000" w:rsidRDefault="00000000">
      <w:pPr>
        <w:pStyle w:val="SingleTxt"/>
        <w:tabs>
          <w:tab w:val="clear" w:pos="1930"/>
          <w:tab w:val="left" w:pos="2053"/>
        </w:tabs>
        <w:rPr>
          <w:rtl/>
          <w:lang w:eastAsia="en-US"/>
        </w:rPr>
      </w:pPr>
      <w:r>
        <w:rPr>
          <w:rtl/>
          <w:lang w:eastAsia="en-US"/>
        </w:rPr>
        <w:t>942 -</w:t>
      </w:r>
      <w:r>
        <w:rPr>
          <w:rtl/>
          <w:lang w:eastAsia="en-US"/>
        </w:rPr>
        <w:tab/>
        <w:t>تشمل الجهود المبذولة لزيادة الدخل المزرعي عن طريق التنمية والتنويع إجراءات التشجيع والتدريب للنساء صاحبات المشاريع. كما أن البرامج التدريبية المدعومة من وزارة الزراعة والأغذية تشمل إدارة الأعمال التجارية والإدارة المالية للمزرعة.</w:t>
      </w:r>
    </w:p>
    <w:p w:rsidR="00000000" w:rsidRDefault="00000000">
      <w:pPr>
        <w:pStyle w:val="SingleTxt"/>
        <w:tabs>
          <w:tab w:val="clear" w:pos="1930"/>
          <w:tab w:val="left" w:pos="2053"/>
        </w:tabs>
        <w:rPr>
          <w:rtl/>
          <w:lang w:eastAsia="en-US"/>
        </w:rPr>
      </w:pPr>
      <w:r>
        <w:rPr>
          <w:rtl/>
          <w:lang w:eastAsia="en-US"/>
        </w:rPr>
        <w:t>943 -</w:t>
      </w:r>
      <w:r>
        <w:rPr>
          <w:rtl/>
          <w:lang w:eastAsia="en-US"/>
        </w:rPr>
        <w:tab/>
        <w:t>ويقدِّم "هاتف التوتر المزرعي" التابع لوزارة الزراعة والأغذية الذي يتلقى دعما جزئيا من أمانة المرأة، خدمة مشورة وإحالة للأفراد المزارعين والريفيين الذين يواجهون أزمات. وكثيرا ما تشمل القضايا التي يتم الكشف عنها معاناة ضغوط مالية أو إدمان المسُكرات أو الاكتئاب أو الانتحار. ونحو نصف المكالمات التي يتلقاها الخط الهاتفي سنويا تأتي من نساء. وكثيرا ما تجد النساء الريفيات أنفسهن في مواقف معزولة وسلبية بالمقارنة مع نظيراتهن الحضريات حيث تزيد خدمات الطوارئ وحيث هذه الخدمات أيسر منالاً.</w:t>
      </w:r>
    </w:p>
    <w:p w:rsidR="00000000" w:rsidRDefault="00000000">
      <w:pPr>
        <w:pStyle w:val="SingleTxt"/>
        <w:tabs>
          <w:tab w:val="clear" w:pos="1930"/>
          <w:tab w:val="left" w:pos="2053"/>
        </w:tabs>
        <w:rPr>
          <w:rtl/>
          <w:lang w:eastAsia="en-US"/>
        </w:rPr>
      </w:pPr>
      <w:r>
        <w:rPr>
          <w:rtl/>
          <w:lang w:eastAsia="en-US"/>
        </w:rPr>
        <w:t>944 -</w:t>
      </w:r>
      <w:r>
        <w:rPr>
          <w:rtl/>
          <w:lang w:eastAsia="en-US"/>
        </w:rPr>
        <w:tab/>
        <w:t>كما شاركت وزارة التنمية والتعاون في المجال الاقتصادي في إجراء دراسة بشأن المزايا الاقتصادية للرعاية النهارية الريفية تولاها مركز دراسة التعاونيات بجامعة ساسكاتشيوان. وقد وصفت الدراسة حالة الرعاية النهارية الريفية وتدارست بدائل لتقديم الرعاية النهارية وأوصت بوضع استراتيجية يتم النظر فيها في إطار استعراض الحكومة لرعاية الطفولة.</w:t>
      </w:r>
    </w:p>
    <w:p w:rsidR="00000000" w:rsidRDefault="00000000">
      <w:pPr>
        <w:pStyle w:val="SingleTxt"/>
        <w:tabs>
          <w:tab w:val="clear" w:pos="1930"/>
          <w:tab w:val="left" w:pos="2053"/>
        </w:tabs>
        <w:rPr>
          <w:rtl/>
          <w:lang w:eastAsia="en-US"/>
        </w:rPr>
      </w:pPr>
      <w:r>
        <w:rPr>
          <w:rtl/>
          <w:lang w:eastAsia="en-US"/>
        </w:rPr>
        <w:t>945 -</w:t>
      </w:r>
      <w:r>
        <w:rPr>
          <w:rtl/>
          <w:lang w:eastAsia="en-US"/>
        </w:rPr>
        <w:tab/>
        <w:t>وبدأت أمانة المرأة مشروعا للمرأة الريفية والمرأة المُزارعة وهو يقدم نُبذات عن منجزات ومساهمات المرأة في أسلوب الحياة الاقتصادية والاجتماعية في ساسكاتشيوان ويطرح معلومات ذات أهمية خاصة لهذين القطاعين.</w:t>
      </w:r>
    </w:p>
    <w:p w:rsidR="00000000" w:rsidRDefault="00000000">
      <w:pPr>
        <w:pStyle w:val="SingleTxt"/>
        <w:tabs>
          <w:tab w:val="clear" w:pos="1930"/>
          <w:tab w:val="left" w:pos="2053"/>
        </w:tabs>
        <w:rPr>
          <w:b/>
          <w:bCs/>
          <w:szCs w:val="32"/>
          <w:rtl/>
          <w:lang w:eastAsia="en-US"/>
        </w:rPr>
      </w:pPr>
      <w:r>
        <w:rPr>
          <w:rtl/>
          <w:lang w:eastAsia="en-US"/>
        </w:rPr>
        <w:br w:type="page"/>
      </w:r>
      <w:r>
        <w:rPr>
          <w:b/>
          <w:bCs/>
          <w:szCs w:val="32"/>
          <w:rtl/>
          <w:lang w:eastAsia="en-US"/>
        </w:rPr>
        <w:t>ألبرتا</w:t>
      </w:r>
    </w:p>
    <w:p w:rsidR="00000000" w:rsidRDefault="00000000">
      <w:pPr>
        <w:pStyle w:val="SingleTxt"/>
        <w:tabs>
          <w:tab w:val="clear" w:pos="1930"/>
          <w:tab w:val="left" w:pos="2053"/>
        </w:tabs>
        <w:rPr>
          <w:rtl/>
          <w:lang w:eastAsia="en-US"/>
        </w:rPr>
      </w:pPr>
      <w:r>
        <w:rPr>
          <w:b/>
          <w:bCs/>
          <w:rtl/>
          <w:lang w:eastAsia="en-US"/>
        </w:rPr>
        <w:t>مقدمة</w:t>
      </w:r>
    </w:p>
    <w:p w:rsidR="00000000" w:rsidRDefault="00000000">
      <w:pPr>
        <w:pStyle w:val="SingleTxt"/>
        <w:tabs>
          <w:tab w:val="clear" w:pos="1930"/>
          <w:tab w:val="left" w:pos="2053"/>
        </w:tabs>
        <w:rPr>
          <w:rtl/>
          <w:lang w:eastAsia="en-US"/>
        </w:rPr>
      </w:pPr>
      <w:r>
        <w:rPr>
          <w:rtl/>
          <w:lang w:eastAsia="en-US"/>
        </w:rPr>
        <w:t>946 -</w:t>
      </w:r>
      <w:r>
        <w:rPr>
          <w:rtl/>
          <w:lang w:eastAsia="en-US"/>
        </w:rPr>
        <w:tab/>
        <w:t>هذا التقرير مقدَّم من مقاطعة ألبرتا ويغطي الفترة 1 نيسان/أبريل 1994 إلى 31 آذار/مارس 1998.</w:t>
      </w:r>
    </w:p>
    <w:p w:rsidR="00000000" w:rsidRDefault="00000000">
      <w:pPr>
        <w:pStyle w:val="SingleTxt"/>
        <w:tabs>
          <w:tab w:val="clear" w:pos="1930"/>
          <w:tab w:val="left" w:pos="2053"/>
        </w:tabs>
        <w:rPr>
          <w:rtl/>
          <w:lang w:eastAsia="en-US"/>
        </w:rPr>
      </w:pPr>
      <w:r>
        <w:rPr>
          <w:rtl/>
          <w:lang w:eastAsia="en-US"/>
        </w:rPr>
        <w:t>947 -</w:t>
      </w:r>
      <w:r>
        <w:rPr>
          <w:rtl/>
          <w:lang w:eastAsia="en-US"/>
        </w:rPr>
        <w:tab/>
        <w:t>وما زالت مقاطعة ألبرتا ملتزمة بتعزيز الفرص المتاحة للمرأة. وفي إطار القيود المالية واستقطاعات الميزانية في الوقت الراهن، ستواصل حكومة ألبرتا التركيز على ضمان أن يتاح لجميع مواطني ألبرتا فرصة المشاركة الكاملة والفعَّالة في الحياة الاقتصادية والاجتماعية والثقافية بالمقاطعة وفي عمليات صنع القرار التي تؤثر على رفاههم.</w:t>
      </w:r>
    </w:p>
    <w:p w:rsidR="00000000" w:rsidRDefault="00000000">
      <w:pPr>
        <w:pStyle w:val="SingleTxt"/>
        <w:tabs>
          <w:tab w:val="clear" w:pos="1930"/>
          <w:tab w:val="left" w:pos="2053"/>
        </w:tabs>
        <w:rPr>
          <w:b/>
          <w:bCs/>
          <w:szCs w:val="32"/>
          <w:rtl/>
          <w:lang w:eastAsia="en-US"/>
        </w:rPr>
      </w:pPr>
      <w:r>
        <w:rPr>
          <w:b/>
          <w:bCs/>
          <w:szCs w:val="32"/>
          <w:rtl/>
          <w:lang w:eastAsia="en-US"/>
        </w:rPr>
        <w:t>المادة 2 (هـ): المساواة</w:t>
      </w:r>
    </w:p>
    <w:p w:rsidR="00000000" w:rsidRDefault="00000000">
      <w:pPr>
        <w:pStyle w:val="SingleTxt"/>
        <w:tabs>
          <w:tab w:val="clear" w:pos="1930"/>
          <w:tab w:val="left" w:pos="2053"/>
        </w:tabs>
        <w:rPr>
          <w:rtl/>
          <w:lang w:eastAsia="en-US"/>
        </w:rPr>
      </w:pPr>
      <w:r>
        <w:rPr>
          <w:rtl/>
          <w:lang w:eastAsia="en-US"/>
        </w:rPr>
        <w:t>948 -</w:t>
      </w:r>
      <w:r>
        <w:rPr>
          <w:rtl/>
          <w:lang w:eastAsia="en-US"/>
        </w:rPr>
        <w:tab/>
        <w:t>ستواصل حكومة ألبرتا وضع السياسات والبرامج والتشريعات الحكومية الملائمة التي تؤثر على المرأة.</w:t>
      </w:r>
    </w:p>
    <w:p w:rsidR="00000000" w:rsidRDefault="00000000">
      <w:pPr>
        <w:pStyle w:val="SingleTxt"/>
        <w:tabs>
          <w:tab w:val="clear" w:pos="1930"/>
          <w:tab w:val="left" w:pos="2053"/>
        </w:tabs>
        <w:rPr>
          <w:rtl/>
          <w:lang w:eastAsia="en-US"/>
        </w:rPr>
      </w:pPr>
      <w:r>
        <w:rPr>
          <w:rtl/>
          <w:lang w:eastAsia="en-US"/>
        </w:rPr>
        <w:t>949 -</w:t>
      </w:r>
      <w:r>
        <w:rPr>
          <w:rtl/>
          <w:lang w:eastAsia="en-US"/>
        </w:rPr>
        <w:tab/>
        <w:t>وقد أجرت ألبرتا استعراضاً عاماً لتشريعاتها في مجال حقوق الإنسان متمثلة في قانون حقوق الأفراد وحمايتهم الذي ينظم حماية حقوق الإنسان في ألبرتا وكذلك لجنة حقوق الإنسان التي تتولى أمر القانون. وفي حزيران/يونيه 1994 نُشر التقرير النهائي لهذا الاستعراض والتوصيات الواردة فيه. كما نُشرت استجابة الحكومة لتوصيات فريق استعراض ألبرتا لحقوق الإنسان في كانون الأول/ديسمبر 1995 تحت عنوان “التزامنا بحقوق الإنسان”.</w:t>
      </w:r>
    </w:p>
    <w:p w:rsidR="00000000" w:rsidRDefault="00000000">
      <w:pPr>
        <w:pStyle w:val="SingleTxt"/>
        <w:tabs>
          <w:tab w:val="clear" w:pos="1930"/>
          <w:tab w:val="left" w:pos="2053"/>
        </w:tabs>
        <w:rPr>
          <w:rtl/>
          <w:lang w:eastAsia="en-US"/>
        </w:rPr>
      </w:pPr>
      <w:r>
        <w:rPr>
          <w:rtl/>
          <w:lang w:eastAsia="en-US"/>
        </w:rPr>
        <w:t>950 -</w:t>
      </w:r>
      <w:r>
        <w:rPr>
          <w:rtl/>
          <w:lang w:eastAsia="en-US"/>
        </w:rPr>
        <w:tab/>
        <w:t>أما التوصيات الرئيسية المتصلة بالمساواة بين الجنسين التي قدمها فريق الاستعراض وقبلتها حكومة ألبرتا فهي:</w:t>
      </w:r>
    </w:p>
    <w:p w:rsidR="00000000" w:rsidRDefault="00000000">
      <w:pPr>
        <w:pStyle w:val="SingleTxt"/>
        <w:tabs>
          <w:tab w:val="clear" w:pos="1930"/>
          <w:tab w:val="left" w:pos="1486"/>
          <w:tab w:val="left" w:pos="2053"/>
        </w:tabs>
        <w:ind w:left="1927" w:right="1264" w:hanging="663"/>
        <w:rPr>
          <w:rtl/>
          <w:lang w:eastAsia="en-US"/>
        </w:rPr>
      </w:pPr>
      <w:r>
        <w:rPr>
          <w:rtl/>
          <w:lang w:eastAsia="en-US"/>
        </w:rPr>
        <w:tab/>
      </w:r>
      <w:r>
        <w:rPr>
          <w:rtl/>
          <w:lang w:eastAsia="en-US"/>
        </w:rPr>
        <w:tab/>
        <w:t>•</w:t>
      </w:r>
      <w:r>
        <w:rPr>
          <w:b/>
          <w:bCs/>
          <w:rtl/>
          <w:lang w:eastAsia="en-US"/>
        </w:rPr>
        <w:tab/>
        <w:t>التوصية:</w:t>
      </w:r>
      <w:r>
        <w:rPr>
          <w:rtl/>
          <w:lang w:eastAsia="en-US"/>
        </w:rPr>
        <w:t xml:space="preserve"> الحالة الزواجية تنطبق على جميع المجالات ولا تقتصر فقط على مجال العمالة.</w:t>
      </w:r>
    </w:p>
    <w:p w:rsidR="00000000" w:rsidRDefault="00000000">
      <w:pPr>
        <w:pStyle w:val="SingleTxt"/>
        <w:tabs>
          <w:tab w:val="clear" w:pos="1930"/>
          <w:tab w:val="left" w:pos="1486"/>
          <w:tab w:val="left" w:pos="2053"/>
        </w:tabs>
        <w:ind w:left="1927" w:right="1264" w:hanging="663"/>
        <w:rPr>
          <w:rtl/>
          <w:lang w:eastAsia="en-US"/>
        </w:rPr>
      </w:pPr>
      <w:r>
        <w:rPr>
          <w:rtl/>
          <w:lang w:eastAsia="en-US"/>
        </w:rPr>
        <w:tab/>
      </w:r>
      <w:r>
        <w:rPr>
          <w:rtl/>
          <w:lang w:eastAsia="en-US"/>
        </w:rPr>
        <w:tab/>
      </w:r>
      <w:r>
        <w:rPr>
          <w:rtl/>
          <w:lang w:eastAsia="en-US"/>
        </w:rPr>
        <w:tab/>
      </w:r>
      <w:r>
        <w:rPr>
          <w:b/>
          <w:bCs/>
          <w:rtl/>
          <w:lang w:eastAsia="en-US"/>
        </w:rPr>
        <w:t>استجابة الحكومة:</w:t>
      </w:r>
      <w:r>
        <w:rPr>
          <w:rtl/>
          <w:lang w:eastAsia="en-US"/>
        </w:rPr>
        <w:t xml:space="preserve"> موافقة. ومن المهم أن تنطبق الحالة الزواجية على جميع المجالات بما يكفل أفضل حماية ممكنة من التمييز. ولا توجد حاليا حماية للفرد بسبب الحالة الزواجية في مجال الاستئجار أو الخدمات.</w:t>
      </w:r>
    </w:p>
    <w:p w:rsidR="00000000" w:rsidRDefault="00000000">
      <w:pPr>
        <w:pStyle w:val="SingleTxt"/>
        <w:tabs>
          <w:tab w:val="clear" w:pos="1930"/>
          <w:tab w:val="left" w:pos="1486"/>
          <w:tab w:val="left" w:pos="2053"/>
        </w:tabs>
        <w:ind w:left="1927" w:right="1264" w:hanging="663"/>
        <w:rPr>
          <w:rtl/>
          <w:lang w:eastAsia="en-US"/>
        </w:rPr>
      </w:pPr>
      <w:r>
        <w:rPr>
          <w:b/>
          <w:bCs/>
          <w:rtl/>
          <w:lang w:eastAsia="en-US"/>
        </w:rPr>
        <w:tab/>
      </w:r>
      <w:r>
        <w:rPr>
          <w:b/>
          <w:bCs/>
          <w:rtl/>
          <w:lang w:eastAsia="en-US"/>
        </w:rPr>
        <w:tab/>
      </w:r>
      <w:r>
        <w:rPr>
          <w:b/>
          <w:bCs/>
          <w:rtl/>
          <w:lang w:eastAsia="en-US"/>
        </w:rPr>
        <w:tab/>
      </w:r>
      <w:r>
        <w:rPr>
          <w:rtl/>
          <w:lang w:eastAsia="en-US"/>
        </w:rPr>
        <w:t>ويمكن لمالك عقار أن يرفض التأجير لفرد بسبب الحالة الزواجية لهذا الشخص كأن يكون الشخص منفصلا أو مطلقا.</w:t>
      </w:r>
    </w:p>
    <w:p w:rsidR="00000000" w:rsidRDefault="00000000">
      <w:pPr>
        <w:pStyle w:val="SingleTxt"/>
        <w:tabs>
          <w:tab w:val="clear" w:pos="1930"/>
          <w:tab w:val="left" w:pos="1486"/>
          <w:tab w:val="left" w:pos="2053"/>
        </w:tabs>
        <w:ind w:left="1927" w:right="1264" w:hanging="663"/>
        <w:rPr>
          <w:rtl/>
          <w:lang w:eastAsia="en-US"/>
        </w:rPr>
      </w:pPr>
      <w:r>
        <w:rPr>
          <w:rtl/>
          <w:lang w:eastAsia="en-US"/>
        </w:rPr>
        <w:tab/>
      </w:r>
      <w:r>
        <w:rPr>
          <w:rtl/>
          <w:lang w:eastAsia="en-US"/>
        </w:rPr>
        <w:tab/>
      </w:r>
      <w:r>
        <w:rPr>
          <w:rtl/>
          <w:lang w:eastAsia="en-US"/>
        </w:rPr>
        <w:tab/>
        <w:t>ويمكن أيضا لأحد مقدمي الخدمات، كأن يكون مثلا عاملا في مهنة تصليح، أن يرفض تقديم الخدمة المتاحة عُرفاً للجمهور بسبب الحالة الزواجية لفرد ما (التزامنا بحقوق الإنسان، ص 17)</w:t>
      </w:r>
    </w:p>
    <w:p w:rsidR="00000000" w:rsidRDefault="00000000">
      <w:pPr>
        <w:pStyle w:val="SingleTxt"/>
        <w:tabs>
          <w:tab w:val="clear" w:pos="1930"/>
          <w:tab w:val="left" w:pos="1486"/>
          <w:tab w:val="left" w:pos="2053"/>
        </w:tabs>
        <w:ind w:left="1927" w:right="1264" w:hanging="663"/>
        <w:rPr>
          <w:rtl/>
          <w:lang w:eastAsia="en-US"/>
        </w:rPr>
      </w:pPr>
      <w:r>
        <w:rPr>
          <w:rtl/>
          <w:lang w:eastAsia="en-US"/>
        </w:rPr>
        <w:tab/>
      </w:r>
      <w:r>
        <w:rPr>
          <w:rtl/>
          <w:lang w:eastAsia="en-US"/>
        </w:rPr>
        <w:tab/>
        <w:t>•</w:t>
      </w:r>
      <w:r>
        <w:rPr>
          <w:rtl/>
          <w:lang w:eastAsia="en-US"/>
        </w:rPr>
        <w:tab/>
      </w:r>
      <w:r>
        <w:rPr>
          <w:b/>
          <w:bCs/>
          <w:rtl/>
          <w:lang w:eastAsia="en-US"/>
        </w:rPr>
        <w:t>التوصية:</w:t>
      </w:r>
      <w:r>
        <w:rPr>
          <w:rtl/>
          <w:lang w:eastAsia="en-US"/>
        </w:rPr>
        <w:t xml:space="preserve"> أن لا يقتصر التعويض في حالات التحرش الجنسي على الأجور التي ضاعت فحسب ولكن يمتد ليشمل الألم والمعاناة (الأثر النفساني).</w:t>
      </w:r>
    </w:p>
    <w:p w:rsidR="00000000" w:rsidRDefault="00000000">
      <w:pPr>
        <w:pStyle w:val="SingleTxt"/>
        <w:tabs>
          <w:tab w:val="clear" w:pos="1930"/>
          <w:tab w:val="left" w:pos="1486"/>
          <w:tab w:val="left" w:pos="2053"/>
        </w:tabs>
        <w:ind w:left="1927" w:right="1264" w:hanging="663"/>
        <w:rPr>
          <w:rtl/>
          <w:lang w:eastAsia="en-US"/>
        </w:rPr>
      </w:pPr>
      <w:r>
        <w:rPr>
          <w:rtl/>
          <w:lang w:eastAsia="en-US"/>
        </w:rPr>
        <w:tab/>
      </w:r>
      <w:r>
        <w:rPr>
          <w:rtl/>
          <w:lang w:eastAsia="en-US"/>
        </w:rPr>
        <w:tab/>
      </w:r>
      <w:r>
        <w:rPr>
          <w:rtl/>
          <w:lang w:eastAsia="en-US"/>
        </w:rPr>
        <w:tab/>
      </w:r>
      <w:r>
        <w:rPr>
          <w:b/>
          <w:bCs/>
          <w:rtl/>
          <w:lang w:eastAsia="en-US"/>
        </w:rPr>
        <w:t>استجابة الحكومة:</w:t>
      </w:r>
      <w:r>
        <w:rPr>
          <w:rtl/>
          <w:lang w:eastAsia="en-US"/>
        </w:rPr>
        <w:t xml:space="preserve"> الممارسة الراهنة. هذه هي بالفعل الممارسة الراهنة. (التزامنا بحقوق الإنسان، ص 17)</w:t>
      </w:r>
    </w:p>
    <w:p w:rsidR="00000000" w:rsidRDefault="00000000">
      <w:pPr>
        <w:pStyle w:val="SingleTxt"/>
        <w:tabs>
          <w:tab w:val="clear" w:pos="1930"/>
          <w:tab w:val="left" w:pos="1486"/>
          <w:tab w:val="left" w:pos="2053"/>
        </w:tabs>
        <w:ind w:left="1927" w:right="1264" w:hanging="663"/>
        <w:rPr>
          <w:rtl/>
          <w:lang w:eastAsia="en-US"/>
        </w:rPr>
      </w:pPr>
      <w:r>
        <w:rPr>
          <w:b/>
          <w:bCs/>
          <w:rtl/>
          <w:lang w:eastAsia="en-US"/>
        </w:rPr>
        <w:tab/>
      </w:r>
      <w:r>
        <w:rPr>
          <w:b/>
          <w:bCs/>
          <w:rtl/>
          <w:lang w:eastAsia="en-US"/>
        </w:rPr>
        <w:tab/>
        <w:t>•</w:t>
      </w:r>
      <w:r>
        <w:rPr>
          <w:b/>
          <w:bCs/>
          <w:rtl/>
          <w:lang w:eastAsia="en-US"/>
        </w:rPr>
        <w:tab/>
        <w:t>التوصية:</w:t>
      </w:r>
      <w:r>
        <w:rPr>
          <w:rtl/>
          <w:lang w:eastAsia="en-US"/>
        </w:rPr>
        <w:t xml:space="preserve"> تأييد التوصية التي أبداها سكان ألبرتا بأن تتواصل اللجنة على نحو أكبر مع جماعات النساء المهاجرات لكي تصبح على وعي أكثر بشواغلهن.</w:t>
      </w:r>
    </w:p>
    <w:p w:rsidR="00000000" w:rsidRDefault="00000000">
      <w:pPr>
        <w:pStyle w:val="SingleTxt"/>
        <w:tabs>
          <w:tab w:val="clear" w:pos="1930"/>
          <w:tab w:val="left" w:pos="1486"/>
          <w:tab w:val="left" w:pos="2053"/>
        </w:tabs>
        <w:ind w:left="1927" w:right="1264" w:hanging="663"/>
        <w:rPr>
          <w:rtl/>
          <w:lang w:eastAsia="en-US"/>
        </w:rPr>
      </w:pPr>
      <w:r>
        <w:rPr>
          <w:b/>
          <w:bCs/>
          <w:rtl/>
          <w:lang w:eastAsia="en-US"/>
        </w:rPr>
        <w:tab/>
      </w:r>
      <w:r>
        <w:rPr>
          <w:b/>
          <w:bCs/>
          <w:rtl/>
          <w:lang w:eastAsia="en-US"/>
        </w:rPr>
        <w:tab/>
      </w:r>
      <w:r>
        <w:rPr>
          <w:b/>
          <w:bCs/>
          <w:rtl/>
          <w:lang w:eastAsia="en-US"/>
        </w:rPr>
        <w:tab/>
        <w:t>استجابة الحكومة:</w:t>
      </w:r>
      <w:r>
        <w:rPr>
          <w:rtl/>
          <w:lang w:eastAsia="en-US"/>
        </w:rPr>
        <w:t xml:space="preserve"> القبول. من شأن الشراكات الاستراتيجية أن تتيح للمهاجرات فرصا أفضل للتعبير عن شواغلهن (التزامنا بحقوق الإنسان، ص 18)</w:t>
      </w:r>
    </w:p>
    <w:p w:rsidR="00000000" w:rsidRDefault="00000000">
      <w:pPr>
        <w:pStyle w:val="SingleTxt"/>
        <w:tabs>
          <w:tab w:val="clear" w:pos="1930"/>
          <w:tab w:val="left" w:pos="1486"/>
          <w:tab w:val="left" w:pos="2053"/>
        </w:tabs>
        <w:ind w:left="1927" w:right="1264" w:hanging="663"/>
        <w:rPr>
          <w:rtl/>
          <w:lang w:eastAsia="en-US"/>
        </w:rPr>
      </w:pPr>
      <w:r>
        <w:rPr>
          <w:b/>
          <w:bCs/>
          <w:rtl/>
          <w:lang w:eastAsia="en-US"/>
        </w:rPr>
        <w:tab/>
      </w:r>
      <w:r>
        <w:rPr>
          <w:b/>
          <w:bCs/>
          <w:rtl/>
          <w:lang w:eastAsia="en-US"/>
        </w:rPr>
        <w:tab/>
        <w:t>•</w:t>
      </w:r>
      <w:r>
        <w:rPr>
          <w:b/>
          <w:bCs/>
          <w:rtl/>
          <w:lang w:eastAsia="en-US"/>
        </w:rPr>
        <w:tab/>
        <w:t>التوصية:</w:t>
      </w:r>
      <w:r>
        <w:rPr>
          <w:rtl/>
          <w:lang w:eastAsia="en-US"/>
        </w:rPr>
        <w:t xml:space="preserve"> ينبغي إضافة الحالة الأسرية إلى القانون كأساس لا يُسمح بموجبه ممارسة التمييز على أن يطبق هذا على جميع المجالات.</w:t>
      </w:r>
    </w:p>
    <w:p w:rsidR="00000000" w:rsidRDefault="00000000">
      <w:pPr>
        <w:pStyle w:val="SingleTxt"/>
        <w:tabs>
          <w:tab w:val="clear" w:pos="1930"/>
          <w:tab w:val="left" w:pos="1486"/>
          <w:tab w:val="left" w:pos="2053"/>
        </w:tabs>
        <w:ind w:left="1927" w:right="1264" w:hanging="663"/>
        <w:rPr>
          <w:rtl/>
          <w:lang w:eastAsia="en-US"/>
        </w:rPr>
      </w:pPr>
      <w:r>
        <w:rPr>
          <w:b/>
          <w:bCs/>
          <w:rtl/>
          <w:lang w:eastAsia="en-US"/>
        </w:rPr>
        <w:tab/>
      </w:r>
      <w:r>
        <w:rPr>
          <w:b/>
          <w:bCs/>
          <w:rtl/>
          <w:lang w:eastAsia="en-US"/>
        </w:rPr>
        <w:tab/>
      </w:r>
      <w:r>
        <w:rPr>
          <w:b/>
          <w:bCs/>
          <w:rtl/>
          <w:lang w:eastAsia="en-US"/>
        </w:rPr>
        <w:tab/>
        <w:t xml:space="preserve">استجابة الحكومة: </w:t>
      </w:r>
      <w:r>
        <w:rPr>
          <w:rtl/>
          <w:lang w:eastAsia="en-US"/>
        </w:rPr>
        <w:t>القبول. هناك الكثير من العلاقات الأسرية التي لم يتسن حمايتها من التمييز على أساس الحالة الزواجية. ومن الواضح من السوابق أن الحالة الأسرية أوسع من الحالة الزواجية. وعندما لا يحظر تمييز الحالة الأسرية، فإن أرباب الأعمال وأصحاب العقارات والأفراد من مقدمي الخدمات العامة يصبحون أحراراً في التمييز ضد الأفراد ويكون ذلك فقط على أساس الحالة الأسرية. كما أن سياسات أصحاب العقارات بعدم التأجير للأسر ذات الأطفال يشكل مثلاً على التمييز على أساس الحالة الأسرية. (التزامنا بحقوق الإنسان، ص 20)</w:t>
      </w:r>
    </w:p>
    <w:p w:rsidR="00000000" w:rsidRDefault="00000000">
      <w:pPr>
        <w:pStyle w:val="SingleTxt"/>
        <w:tabs>
          <w:tab w:val="clear" w:pos="1930"/>
          <w:tab w:val="left" w:pos="1486"/>
          <w:tab w:val="left" w:pos="2053"/>
        </w:tabs>
        <w:ind w:left="1927" w:right="1264" w:hanging="663"/>
        <w:rPr>
          <w:rtl/>
          <w:lang w:eastAsia="en-US"/>
        </w:rPr>
      </w:pPr>
      <w:r>
        <w:rPr>
          <w:b/>
          <w:bCs/>
          <w:rtl/>
          <w:lang w:eastAsia="en-US"/>
        </w:rPr>
        <w:tab/>
      </w:r>
      <w:r>
        <w:rPr>
          <w:b/>
          <w:bCs/>
          <w:rtl/>
          <w:lang w:eastAsia="en-US"/>
        </w:rPr>
        <w:tab/>
        <w:t>•</w:t>
      </w:r>
      <w:r>
        <w:rPr>
          <w:b/>
          <w:bCs/>
          <w:rtl/>
          <w:lang w:eastAsia="en-US"/>
        </w:rPr>
        <w:tab/>
        <w:t xml:space="preserve">التوصية: </w:t>
      </w:r>
      <w:r>
        <w:rPr>
          <w:rtl/>
          <w:lang w:eastAsia="en-US"/>
        </w:rPr>
        <w:t>أن تجعل لجنة ألبرتا لحقوق الإنسان سلوك الإيذاء/التحرش في مكان العمل أولوية عليا ضمن حملتها التثقيفية، وأن تقوم بدور نشط في تعزيز مبادئ الكرامة وحقوق الإنسان في موقع العمل. وينبغي للجنة أن تتواصل مع الوكالات التي تعالج أمر الإيذاء في مكان العمل.</w:t>
      </w:r>
    </w:p>
    <w:p w:rsidR="00000000" w:rsidRDefault="00000000">
      <w:pPr>
        <w:pStyle w:val="SingleTxt"/>
        <w:tabs>
          <w:tab w:val="clear" w:pos="1930"/>
          <w:tab w:val="left" w:pos="1486"/>
          <w:tab w:val="left" w:pos="2053"/>
        </w:tabs>
        <w:ind w:left="1927" w:right="1264" w:hanging="663"/>
        <w:rPr>
          <w:rtl/>
          <w:lang w:eastAsia="en-US"/>
        </w:rPr>
      </w:pPr>
      <w:r>
        <w:rPr>
          <w:b/>
          <w:bCs/>
          <w:rtl/>
          <w:lang w:eastAsia="en-US"/>
        </w:rPr>
        <w:tab/>
      </w:r>
      <w:r>
        <w:rPr>
          <w:b/>
          <w:bCs/>
          <w:rtl/>
          <w:lang w:eastAsia="en-US"/>
        </w:rPr>
        <w:tab/>
      </w:r>
      <w:r>
        <w:rPr>
          <w:b/>
          <w:bCs/>
          <w:rtl/>
          <w:lang w:eastAsia="en-US"/>
        </w:rPr>
        <w:tab/>
        <w:t xml:space="preserve">استجابة الحكومة: </w:t>
      </w:r>
      <w:r>
        <w:rPr>
          <w:rtl/>
          <w:lang w:eastAsia="en-US"/>
        </w:rPr>
        <w:t>القبول. وهذا يشكل جزءاً من الاستراتيجية التثقيفية. (التزامنا بحقوق الإنسان، ص 22)</w:t>
      </w:r>
    </w:p>
    <w:p w:rsidR="00000000" w:rsidRDefault="00000000">
      <w:pPr>
        <w:pStyle w:val="SingleTxt"/>
        <w:tabs>
          <w:tab w:val="clear" w:pos="1930"/>
          <w:tab w:val="left" w:pos="1486"/>
          <w:tab w:val="left" w:pos="2053"/>
        </w:tabs>
        <w:ind w:left="1264" w:right="1264"/>
        <w:rPr>
          <w:rtl/>
          <w:lang w:eastAsia="en-US"/>
        </w:rPr>
      </w:pPr>
      <w:r>
        <w:rPr>
          <w:rtl/>
          <w:lang w:eastAsia="en-US"/>
        </w:rPr>
        <w:t>951 -</w:t>
      </w:r>
      <w:r>
        <w:rPr>
          <w:rtl/>
          <w:lang w:eastAsia="en-US"/>
        </w:rPr>
        <w:tab/>
        <w:t>وقد أُعلن في تموز/يوليه 1996 قانون حقوق الإنسان والمواطنة والتعددية الثقافية. ومعظم التغييرات التشريعية نجمت عن استجابة الحكومة للتوصيات المقدمة من فريق استعراض حقوق الإنسان في تقريره لعام 1994. وتم توسيع نطاق الحماية المكفولة لسكان ألبرتا بإضافة مصدر الدخل والحالة الأسرية بوصفهما من المبررات المحمية من خلال توسيع الحماية المسبغة بموجب الحالة الزواجية مع توسيع الاعتقاد الديني لكي يشمل الاعتقادات الروحية لقدامى السكان الأصليين. وتم كذلك توسيع النطاق الزمني المتاح لتقديم الشكاوى من ستة أشهر إلى سنة كاملة. وأصبحت لجنة حقوق الإنسان هي لجنة حقوق الإنسان والمواطَنة.</w:t>
      </w:r>
    </w:p>
    <w:p w:rsidR="00000000" w:rsidRDefault="00000000">
      <w:pPr>
        <w:pStyle w:val="SingleTxt"/>
        <w:tabs>
          <w:tab w:val="clear" w:pos="1930"/>
          <w:tab w:val="left" w:pos="1486"/>
          <w:tab w:val="left" w:pos="2053"/>
        </w:tabs>
        <w:ind w:left="1264" w:right="1264"/>
        <w:rPr>
          <w:rtl/>
          <w:lang w:eastAsia="en-US"/>
        </w:rPr>
      </w:pPr>
      <w:r>
        <w:rPr>
          <w:rtl/>
          <w:lang w:eastAsia="en-US"/>
        </w:rPr>
        <w:t>952 -</w:t>
      </w:r>
      <w:r>
        <w:rPr>
          <w:rtl/>
          <w:lang w:eastAsia="en-US"/>
        </w:rPr>
        <w:tab/>
        <w:t>ومن خلال برنامجها التثقيفي، تركِّز لجنة حقوق الإنسان والمواطنة على مراعاة الإنصاف والعدالة في التوظيف. وتعمل اللجنة في إطار شراكة مع منظمات مختلفة للتصدي للمسائل المتصلة بالمرأة.</w:t>
      </w:r>
    </w:p>
    <w:p w:rsidR="00000000" w:rsidRDefault="00000000">
      <w:pPr>
        <w:pStyle w:val="SingleTxt"/>
        <w:tabs>
          <w:tab w:val="clear" w:pos="1930"/>
          <w:tab w:val="left" w:pos="1486"/>
          <w:tab w:val="left" w:pos="2053"/>
        </w:tabs>
        <w:ind w:left="1264" w:right="1264"/>
        <w:rPr>
          <w:rtl/>
          <w:lang w:eastAsia="en-US"/>
        </w:rPr>
      </w:pPr>
      <w:r>
        <w:rPr>
          <w:rtl/>
          <w:lang w:eastAsia="en-US"/>
        </w:rPr>
        <w:t>953 -</w:t>
      </w:r>
      <w:r>
        <w:rPr>
          <w:rtl/>
          <w:lang w:eastAsia="en-US"/>
        </w:rPr>
        <w:tab/>
        <w:t>وفي آذار/مارس 1996 أيد رؤساء الوزارات على مستوى المقاطعات في كندا (باستثناء كيبيك) التقرير الصادر عن المجلس الوزاري، ثم أصدروه ليشمل 15 مبدأ من أجل توجيه إصلاح السياسات الاجتماعية والتجديد عبر كندا بأسرها شاملا في ذلك ما يلي:</w:t>
      </w:r>
    </w:p>
    <w:p w:rsidR="00000000" w:rsidRDefault="00000000">
      <w:pPr>
        <w:pStyle w:val="SingleTxt"/>
        <w:tabs>
          <w:tab w:val="clear" w:pos="1930"/>
          <w:tab w:val="left" w:pos="1486"/>
          <w:tab w:val="left" w:pos="2053"/>
        </w:tabs>
        <w:ind w:left="1927" w:right="1264" w:hanging="663"/>
        <w:rPr>
          <w:rtl/>
          <w:lang w:eastAsia="en-US"/>
        </w:rPr>
      </w:pPr>
      <w:r>
        <w:rPr>
          <w:rtl/>
          <w:lang w:eastAsia="en-US"/>
        </w:rPr>
        <w:tab/>
      </w:r>
      <w:r>
        <w:rPr>
          <w:rtl/>
          <w:lang w:eastAsia="en-US"/>
        </w:rPr>
        <w:tab/>
        <w:t>•</w:t>
      </w:r>
      <w:r>
        <w:rPr>
          <w:rtl/>
          <w:lang w:eastAsia="en-US"/>
        </w:rPr>
        <w:tab/>
        <w:t>ينبغي للسياسة الاجتماعية أن تعترف بالأثر المتغاير الذي يمكن أن ينجم عن البرامج الاجتماعية بالنسبة للمرأة والرجل وأن تأخذ هذا الأثر بعين الاعتبار</w:t>
      </w:r>
    </w:p>
    <w:p w:rsidR="00000000" w:rsidRDefault="00000000">
      <w:pPr>
        <w:pStyle w:val="SingleTxt"/>
        <w:tabs>
          <w:tab w:val="clear" w:pos="1930"/>
          <w:tab w:val="left" w:pos="2053"/>
        </w:tabs>
        <w:rPr>
          <w:rtl/>
          <w:lang w:eastAsia="en-US"/>
        </w:rPr>
      </w:pPr>
      <w:r>
        <w:rPr>
          <w:rtl/>
          <w:lang w:eastAsia="en-US"/>
        </w:rPr>
        <w:t>954 -</w:t>
      </w:r>
      <w:r>
        <w:rPr>
          <w:rtl/>
          <w:lang w:eastAsia="en-US"/>
        </w:rPr>
        <w:tab/>
        <w:t>وفي إطار دعم تقرير المجلس الوزاري، وضع الوزراء المسؤولون عن مركز المرأة وثيقة تجديد السياسة الاجتماعية: رؤية للإنصاف بين الجنسين. وعمل مجلس المقاطعات/الأقاليم المعني بتجديد السياسة الاجتماعية الذي تترأسه ألبرتا، على المشاركة في الوثيقة مع المجالس القطاعية للوزراء المسؤولين عن السياسة الاجتماعية بهدف استخدامها كأساس لتقييم الآثار الناجمة عن أعمالهم بالنسبة للإنصاف بين الجنسين.</w:t>
      </w:r>
    </w:p>
    <w:p w:rsidR="00000000" w:rsidRDefault="00000000">
      <w:pPr>
        <w:pStyle w:val="SingleTxt"/>
        <w:tabs>
          <w:tab w:val="clear" w:pos="1930"/>
          <w:tab w:val="left" w:pos="2053"/>
        </w:tabs>
        <w:rPr>
          <w:b/>
          <w:bCs/>
          <w:szCs w:val="32"/>
          <w:rtl/>
          <w:lang w:eastAsia="en-US"/>
        </w:rPr>
      </w:pPr>
      <w:r>
        <w:rPr>
          <w:b/>
          <w:bCs/>
          <w:szCs w:val="32"/>
          <w:rtl/>
          <w:lang w:eastAsia="en-US"/>
        </w:rPr>
        <w:t>المادة 3: التدابير الكفيلة بالنهوض بالمرأة</w:t>
      </w:r>
    </w:p>
    <w:p w:rsidR="00000000" w:rsidRDefault="00000000">
      <w:pPr>
        <w:pStyle w:val="SingleTxt"/>
        <w:tabs>
          <w:tab w:val="clear" w:pos="1930"/>
          <w:tab w:val="left" w:pos="2053"/>
        </w:tabs>
        <w:rPr>
          <w:rtl/>
          <w:lang w:eastAsia="en-US"/>
        </w:rPr>
      </w:pPr>
      <w:r>
        <w:rPr>
          <w:rtl/>
          <w:lang w:eastAsia="en-US"/>
        </w:rPr>
        <w:t>955 -</w:t>
      </w:r>
      <w:r>
        <w:rPr>
          <w:rtl/>
          <w:lang w:eastAsia="en-US"/>
        </w:rPr>
        <w:tab/>
        <w:t xml:space="preserve">يتمثل الغرض الذي يتوخاه المجلس الاستشاري المعني بقضايا المرأة في ألبرتا، في إسداء المشورة إلى الوزير المسؤول عن قضايا المرأة فيما يتعلق بالمسائل المتصلة بالمشاركة الكاملة للمرأة في حياة المقاطعة مع تقديم المعلومات اللازمة إلى الجمهور. وكان المجلس عبارة عن هيئة استشارية للمواطنين ويتألف من رئيس وعدد يصل إلى 14 عضواً. وقد اتسم القانون الذي أنشأ المجلس المذكور ببند إنهائي وارد في صُلب التشريع. وقد أنجز المجلس الاستشاري ولايته وتم حله في السنة المالية 1995 </w:t>
      </w:r>
      <w:r>
        <w:rPr>
          <w:lang w:eastAsia="en-US"/>
        </w:rPr>
        <w:t>–</w:t>
      </w:r>
      <w:r>
        <w:rPr>
          <w:rtl/>
          <w:lang w:eastAsia="en-US"/>
        </w:rPr>
        <w:t xml:space="preserve"> 1996.</w:t>
      </w:r>
    </w:p>
    <w:p w:rsidR="00000000" w:rsidRDefault="00000000">
      <w:pPr>
        <w:pStyle w:val="SingleTxt"/>
        <w:tabs>
          <w:tab w:val="clear" w:pos="1930"/>
          <w:tab w:val="left" w:pos="2053"/>
        </w:tabs>
        <w:rPr>
          <w:rtl/>
          <w:lang w:eastAsia="en-US"/>
        </w:rPr>
      </w:pPr>
      <w:r>
        <w:rPr>
          <w:rtl/>
          <w:lang w:eastAsia="en-US"/>
        </w:rPr>
        <w:t>956 -</w:t>
      </w:r>
      <w:r>
        <w:rPr>
          <w:rtl/>
          <w:lang w:eastAsia="en-US"/>
        </w:rPr>
        <w:tab/>
        <w:t xml:space="preserve">وخلال الفترة 1995 </w:t>
      </w:r>
      <w:r>
        <w:rPr>
          <w:lang w:eastAsia="en-US"/>
        </w:rPr>
        <w:t>–</w:t>
      </w:r>
      <w:r>
        <w:rPr>
          <w:rtl/>
          <w:lang w:eastAsia="en-US"/>
        </w:rPr>
        <w:t xml:space="preserve"> 1996 دأب المجلس الاستشاري المذكور على إسداء المشورة إلى الوزير بشأن القضايا الناشئة ذات الأهمية للمرأة. وقام بنشر رسالتين إخباريتين وعقد لقاءات مع الجماعات المحلية كما واصل تقديم خدمة معلومات وإحالة للجمهور ثم تولّى نشر وتوزيع أربعة تقارير:</w:t>
      </w:r>
    </w:p>
    <w:p w:rsidR="00000000" w:rsidRDefault="00000000">
      <w:pPr>
        <w:pStyle w:val="SingleTxt"/>
        <w:tabs>
          <w:tab w:val="clear" w:pos="1930"/>
          <w:tab w:val="left" w:pos="1486"/>
          <w:tab w:val="left" w:pos="2053"/>
        </w:tabs>
        <w:ind w:left="1927" w:right="1264" w:hanging="663"/>
        <w:rPr>
          <w:rtl/>
          <w:lang w:eastAsia="en-US"/>
        </w:rPr>
      </w:pPr>
      <w:r>
        <w:rPr>
          <w:rtl/>
          <w:lang w:eastAsia="en-US"/>
        </w:rPr>
        <w:tab/>
      </w:r>
      <w:r>
        <w:rPr>
          <w:rtl/>
          <w:lang w:eastAsia="en-US"/>
        </w:rPr>
        <w:tab/>
        <w:t>•</w:t>
      </w:r>
      <w:r>
        <w:rPr>
          <w:rtl/>
          <w:lang w:eastAsia="en-US"/>
        </w:rPr>
        <w:tab/>
        <w:t>"البحث الملهوف عن الضمان” وينظر إلى عمليات تقييم المخاطرة وتخطيط السلامة للنساء والأطفال الذين يعيشون تجربة العنف</w:t>
      </w:r>
    </w:p>
    <w:p w:rsidR="00000000" w:rsidRDefault="00000000">
      <w:pPr>
        <w:pStyle w:val="SingleTxt"/>
        <w:tabs>
          <w:tab w:val="clear" w:pos="1930"/>
          <w:tab w:val="left" w:pos="1486"/>
          <w:tab w:val="left" w:pos="2053"/>
        </w:tabs>
        <w:ind w:left="1927" w:right="1264" w:hanging="663"/>
        <w:rPr>
          <w:rtl/>
          <w:lang w:eastAsia="en-US"/>
        </w:rPr>
      </w:pPr>
      <w:r>
        <w:rPr>
          <w:rtl/>
          <w:lang w:eastAsia="en-US"/>
        </w:rPr>
        <w:tab/>
      </w:r>
      <w:r>
        <w:rPr>
          <w:rtl/>
          <w:lang w:eastAsia="en-US"/>
        </w:rPr>
        <w:tab/>
        <w:t>•</w:t>
      </w:r>
      <w:r>
        <w:rPr>
          <w:rtl/>
          <w:lang w:eastAsia="en-US"/>
        </w:rPr>
        <w:tab/>
        <w:t>“الأثر المتغاير وميزة ألبرتا” وعمل على تشجيع الحوار الدائر بين الحكومة ودوائر الأعمال والنساء بحيث تستفيد المرأة والرجل من الاقتصاد في ألبرتا بصورة متساوية</w:t>
      </w:r>
    </w:p>
    <w:p w:rsidR="00000000" w:rsidRDefault="00000000">
      <w:pPr>
        <w:pStyle w:val="SingleTxt"/>
        <w:tabs>
          <w:tab w:val="clear" w:pos="1930"/>
          <w:tab w:val="left" w:pos="1486"/>
          <w:tab w:val="left" w:pos="2053"/>
        </w:tabs>
        <w:ind w:left="1927" w:right="1264" w:hanging="663"/>
        <w:rPr>
          <w:rtl/>
          <w:lang w:eastAsia="en-US"/>
        </w:rPr>
      </w:pPr>
      <w:r>
        <w:rPr>
          <w:rtl/>
          <w:lang w:eastAsia="en-US"/>
        </w:rPr>
        <w:tab/>
      </w:r>
      <w:r>
        <w:rPr>
          <w:rtl/>
          <w:lang w:eastAsia="en-US"/>
        </w:rPr>
        <w:tab/>
        <w:t>•</w:t>
      </w:r>
      <w:r>
        <w:rPr>
          <w:rtl/>
          <w:lang w:eastAsia="en-US"/>
        </w:rPr>
        <w:tab/>
        <w:t>“عَقْد من التحدي والتغيير: استعراض أنشطة المجلس الاستشاري في ألبرتا بشأن قضايا المرأة” وقد لخص أنشطة المجلس على مدار العقد الماضي</w:t>
      </w:r>
    </w:p>
    <w:p w:rsidR="00000000" w:rsidRDefault="00000000">
      <w:pPr>
        <w:pStyle w:val="SingleTxt"/>
        <w:tabs>
          <w:tab w:val="clear" w:pos="1930"/>
          <w:tab w:val="left" w:pos="1486"/>
          <w:tab w:val="left" w:pos="2053"/>
        </w:tabs>
        <w:ind w:left="1927" w:right="1264" w:hanging="663"/>
        <w:rPr>
          <w:rtl/>
          <w:lang w:eastAsia="en-US"/>
        </w:rPr>
      </w:pPr>
      <w:r>
        <w:rPr>
          <w:rtl/>
          <w:lang w:eastAsia="en-US"/>
        </w:rPr>
        <w:tab/>
      </w:r>
      <w:r>
        <w:rPr>
          <w:rtl/>
          <w:lang w:eastAsia="en-US"/>
        </w:rPr>
        <w:tab/>
        <w:t>•</w:t>
      </w:r>
      <w:r>
        <w:rPr>
          <w:rtl/>
          <w:lang w:eastAsia="en-US"/>
        </w:rPr>
        <w:tab/>
        <w:t xml:space="preserve">“صانعو العيش وكاسبو العيش </w:t>
      </w:r>
      <w:r>
        <w:rPr>
          <w:lang w:eastAsia="en-US"/>
        </w:rPr>
        <w:t>…</w:t>
      </w:r>
      <w:r>
        <w:rPr>
          <w:rtl/>
          <w:lang w:eastAsia="en-US"/>
        </w:rPr>
        <w:t xml:space="preserve"> أصوات نساء ألبرتا” وقد لخص نتائج مشاورة عامة شملت 300 </w:t>
      </w:r>
      <w:r>
        <w:rPr>
          <w:lang w:eastAsia="en-US"/>
        </w:rPr>
        <w:t>–</w:t>
      </w:r>
      <w:r>
        <w:rPr>
          <w:rtl/>
          <w:lang w:eastAsia="en-US"/>
        </w:rPr>
        <w:t xml:space="preserve"> 400 من نساء الريف والحضر من طائفة واسعة ومتنوعة من البيئات والمستويات الاقتصادية والتعليمية. وشمل التقرير ست توصيات بشأن الهياكل والأساليب التي تتيح على أفضل وجه مساعدة المرأة على التأثير على السياسات الحكومية والعامة بعد انتهاء الولاية التي كانت موكلة بمقتضى التشريع إلى المجلس.</w:t>
      </w:r>
    </w:p>
    <w:p w:rsidR="00000000" w:rsidRDefault="00000000">
      <w:pPr>
        <w:pStyle w:val="SingleTxt"/>
        <w:tabs>
          <w:tab w:val="clear" w:pos="1930"/>
          <w:tab w:val="left" w:pos="1486"/>
          <w:tab w:val="left" w:pos="2053"/>
        </w:tabs>
        <w:ind w:left="1264" w:right="1264"/>
        <w:rPr>
          <w:rtl/>
          <w:lang w:eastAsia="en-US"/>
        </w:rPr>
      </w:pPr>
      <w:r>
        <w:rPr>
          <w:rtl/>
          <w:lang w:eastAsia="en-US"/>
        </w:rPr>
        <w:t>957 -</w:t>
      </w:r>
      <w:r>
        <w:rPr>
          <w:rtl/>
          <w:lang w:eastAsia="en-US"/>
        </w:rPr>
        <w:tab/>
        <w:t xml:space="preserve">وفي الفترة 1995 </w:t>
      </w:r>
      <w:r>
        <w:rPr>
          <w:lang w:eastAsia="en-US"/>
        </w:rPr>
        <w:t>–</w:t>
      </w:r>
      <w:r>
        <w:rPr>
          <w:rtl/>
          <w:lang w:eastAsia="en-US"/>
        </w:rPr>
        <w:t xml:space="preserve"> 1996، وضع قسم سياسات وبرامج المرأة التابع للمجلس المذكور دليلا مشروحا بعنوان "التنظيم النسائي في ألبرتا”. وتم وضع هذا الدليل جزئيا من أجل الوفاء بمهمة التواصل الشبكي التي كان المجلس يضطلع بها في السابق. ثم جرى تنقيحه وإعادة طبعه في ربيع عام 1997.</w:t>
      </w:r>
    </w:p>
    <w:p w:rsidR="00000000" w:rsidRDefault="00000000">
      <w:pPr>
        <w:pStyle w:val="SingleTxt"/>
        <w:tabs>
          <w:tab w:val="clear" w:pos="1930"/>
          <w:tab w:val="left" w:pos="1486"/>
          <w:tab w:val="left" w:pos="2053"/>
        </w:tabs>
        <w:ind w:left="1264" w:right="1264"/>
        <w:rPr>
          <w:rtl/>
          <w:lang w:eastAsia="en-US"/>
        </w:rPr>
      </w:pPr>
      <w:r>
        <w:rPr>
          <w:rtl/>
          <w:lang w:eastAsia="en-US"/>
        </w:rPr>
        <w:t>958 -</w:t>
      </w:r>
      <w:r>
        <w:rPr>
          <w:rtl/>
          <w:lang w:eastAsia="en-US"/>
        </w:rPr>
        <w:tab/>
        <w:t>وخلال فترة الإبلاغ، أصبح القسم الذي عالج مسألة السياسات والبرامج المتعلقة بالمرأة جزءاً من فرع حقوق الأنسان والمواطنة. وبالإضافة إلى تقديم الموظفين والخدمات للجنة حقوق الإنسان والمواطنة، يواصل موظفو ذلك الفرع العمل كمستشارين لدى الحكومة بما يضمن مراعاة منظورات المرأة لدى وضع السياسات والبرامج والتشريعات الحكومية.</w:t>
      </w:r>
    </w:p>
    <w:p w:rsidR="00000000" w:rsidRDefault="00000000">
      <w:pPr>
        <w:pStyle w:val="SingleTxt"/>
        <w:tabs>
          <w:tab w:val="clear" w:pos="1930"/>
          <w:tab w:val="left" w:pos="1486"/>
          <w:tab w:val="left" w:pos="2053"/>
        </w:tabs>
        <w:ind w:left="1264" w:right="1264"/>
        <w:rPr>
          <w:rtl/>
          <w:lang w:eastAsia="en-US"/>
        </w:rPr>
      </w:pPr>
      <w:r>
        <w:rPr>
          <w:rtl/>
          <w:lang w:eastAsia="en-US"/>
        </w:rPr>
        <w:t>959 -</w:t>
      </w:r>
      <w:r>
        <w:rPr>
          <w:rtl/>
          <w:lang w:eastAsia="en-US"/>
        </w:rPr>
        <w:tab/>
        <w:t>كما يقدم فرع حقوق الإنسان والمواطنة العديد من المواد والموارد الأخرى للجمهور في المسائل التي تتصل بمساواة المرأة. وهذا يشمل صحائف المعلومات المتعلقة بالتشريعات والممارسات في مجال حقوق الإنسان، بما في ذلك موضوعات نوع الجنس وإجازات الأمومة والوالدية والمساواة في العمالة والتحرش الجنسي ضمن قضايا أخرى. ويقوم الفرع كذلك بتوزيع دليل “المنظمات النسائية في ألبرتا” إضافة إلى الورقات والوثائق المرجعية التي ينشرها الوزراء المعنيون بوضع المرأة على مستويات الاتحاد أو المقاطعات أو الأقاليم.</w:t>
      </w:r>
    </w:p>
    <w:p w:rsidR="00000000" w:rsidRDefault="00000000">
      <w:pPr>
        <w:pStyle w:val="SingleTxt"/>
        <w:tabs>
          <w:tab w:val="clear" w:pos="1930"/>
          <w:tab w:val="left" w:pos="1486"/>
          <w:tab w:val="left" w:pos="2053"/>
        </w:tabs>
        <w:ind w:left="1264" w:right="1264"/>
        <w:rPr>
          <w:rtl/>
          <w:lang w:eastAsia="en-US"/>
        </w:rPr>
      </w:pPr>
      <w:r>
        <w:rPr>
          <w:rtl/>
          <w:lang w:eastAsia="en-US"/>
        </w:rPr>
        <w:t>960 -</w:t>
      </w:r>
      <w:r>
        <w:rPr>
          <w:rtl/>
          <w:lang w:eastAsia="en-US"/>
        </w:rPr>
        <w:tab/>
        <w:t>وفي إطار مشاركته في المشاريع التي يتولاها الوزراء المعنيون بوضع المرأة على مستوى الاتحاد أو المقاطعات أو الأقاليم، ساعد فرع سياسة وبرامج المرأة/حقوق الإنسان والمواطنة على إعداد وتوزيع الوثائق المرجعية التالية في ألبرتا:</w:t>
      </w:r>
    </w:p>
    <w:p w:rsidR="00000000" w:rsidRDefault="00000000">
      <w:pPr>
        <w:pStyle w:val="SingleTxt"/>
        <w:tabs>
          <w:tab w:val="clear" w:pos="1930"/>
          <w:tab w:val="left" w:pos="1486"/>
          <w:tab w:val="left" w:pos="2053"/>
        </w:tabs>
        <w:ind w:left="1927" w:right="1264" w:hanging="663"/>
        <w:rPr>
          <w:rtl/>
          <w:lang w:eastAsia="en-US"/>
        </w:rPr>
      </w:pPr>
      <w:r>
        <w:rPr>
          <w:rtl/>
          <w:lang w:eastAsia="en-US"/>
        </w:rPr>
        <w:tab/>
      </w:r>
      <w:r>
        <w:rPr>
          <w:rtl/>
          <w:lang w:eastAsia="en-US"/>
        </w:rPr>
        <w:tab/>
        <w:t>•</w:t>
      </w:r>
      <w:r>
        <w:rPr>
          <w:rtl/>
          <w:lang w:eastAsia="en-US"/>
        </w:rPr>
        <w:tab/>
        <w:t xml:space="preserve">“ما وراء العنف </w:t>
      </w:r>
      <w:r>
        <w:rPr>
          <w:lang w:eastAsia="en-US"/>
        </w:rPr>
        <w:t>–</w:t>
      </w:r>
      <w:r>
        <w:rPr>
          <w:rtl/>
          <w:lang w:eastAsia="en-US"/>
        </w:rPr>
        <w:t xml:space="preserve"> التماس آفاق أعلى” (1996) وهذا الدليل المرجعي يقدِّم قائمة ببليوغرافية مشروحة للمبادرات على مستوى المقاطعات والأقاليم المتخذة لتمكين المرأة والطفل والشباب.</w:t>
      </w:r>
    </w:p>
    <w:p w:rsidR="00000000" w:rsidRDefault="00000000">
      <w:pPr>
        <w:pStyle w:val="SingleTxt"/>
        <w:tabs>
          <w:tab w:val="clear" w:pos="1930"/>
          <w:tab w:val="left" w:pos="1486"/>
          <w:tab w:val="left" w:pos="2053"/>
        </w:tabs>
        <w:ind w:left="1927" w:right="1264" w:hanging="663"/>
        <w:rPr>
          <w:rtl/>
          <w:lang w:eastAsia="en-US"/>
        </w:rPr>
      </w:pPr>
      <w:r>
        <w:rPr>
          <w:rtl/>
          <w:lang w:eastAsia="en-US"/>
        </w:rPr>
        <w:tab/>
      </w:r>
      <w:r>
        <w:rPr>
          <w:rtl/>
          <w:lang w:eastAsia="en-US"/>
        </w:rPr>
        <w:tab/>
        <w:t>•</w:t>
      </w:r>
      <w:r>
        <w:rPr>
          <w:rtl/>
          <w:lang w:eastAsia="en-US"/>
        </w:rPr>
        <w:tab/>
        <w:t>“مؤشرات المساواة الاقتصادية بين الجنسين” (1997) وتقصد إلى المساهمة في النقاش الدائر حول السياسة العامة بشأن المؤشرات الاجتماعية وفهم حقيقة المرأة وتعزيز المساواة الجنسانية.</w:t>
      </w:r>
    </w:p>
    <w:p w:rsidR="00000000" w:rsidRDefault="00000000">
      <w:pPr>
        <w:pStyle w:val="SingleTxt"/>
        <w:tabs>
          <w:tab w:val="clear" w:pos="1930"/>
          <w:tab w:val="left" w:pos="1486"/>
          <w:tab w:val="left" w:pos="2053"/>
        </w:tabs>
        <w:rPr>
          <w:rtl/>
          <w:lang w:eastAsia="en-US"/>
        </w:rPr>
      </w:pPr>
      <w:r>
        <w:rPr>
          <w:rtl/>
          <w:lang w:eastAsia="en-US"/>
        </w:rPr>
        <w:t>961 -</w:t>
      </w:r>
      <w:r>
        <w:rPr>
          <w:rtl/>
          <w:lang w:eastAsia="en-US"/>
        </w:rPr>
        <w:tab/>
        <w:t>وتقدم وزارة الشؤون الحكومية وشؤون السكان الأصليين (تسمى الآن بوزارة العلاقات الدولية والعلاقات الحكومية المشتركة) التمويل إلى مراكز الصداقة في ألبرتا. كما يقدِّم عدد من هذه المراكز برامج للمرأة، وعلى وجه التحديد برامج الوالدية وبرامج الأم الناشئة والجماعات/حلقات العمل النسائية. كما قُدِّمت منحة بمبلغ 500 7 دولار إلى معهد النهوض بالمرأة بين السكان الأصليين وهو منظمة غير حكومية لعقد مؤتمر معني بالمرأة في عام 1997 تحت شعار “استجماع أسباب القوة”.</w:t>
      </w:r>
    </w:p>
    <w:p w:rsidR="00000000" w:rsidRDefault="00000000">
      <w:pPr>
        <w:pStyle w:val="SingleTxt"/>
        <w:tabs>
          <w:tab w:val="clear" w:pos="1930"/>
          <w:tab w:val="left" w:pos="1486"/>
          <w:tab w:val="left" w:pos="2053"/>
        </w:tabs>
        <w:rPr>
          <w:b/>
          <w:bCs/>
          <w:szCs w:val="32"/>
          <w:rtl/>
          <w:lang w:eastAsia="en-US"/>
        </w:rPr>
      </w:pPr>
      <w:r>
        <w:rPr>
          <w:b/>
          <w:bCs/>
          <w:szCs w:val="32"/>
          <w:rtl/>
          <w:lang w:eastAsia="en-US"/>
        </w:rPr>
        <w:t>المادة 5: القضاء على الصور النمطية الجامدة</w:t>
      </w:r>
    </w:p>
    <w:p w:rsidR="00000000" w:rsidRDefault="00000000">
      <w:pPr>
        <w:pStyle w:val="SingleTxt"/>
        <w:tabs>
          <w:tab w:val="clear" w:pos="1930"/>
          <w:tab w:val="left" w:pos="1486"/>
          <w:tab w:val="left" w:pos="2053"/>
        </w:tabs>
        <w:rPr>
          <w:rtl/>
          <w:lang w:eastAsia="en-US"/>
        </w:rPr>
      </w:pPr>
      <w:r>
        <w:rPr>
          <w:rtl/>
          <w:lang w:eastAsia="en-US"/>
        </w:rPr>
        <w:t>962 -</w:t>
      </w:r>
      <w:r>
        <w:rPr>
          <w:rtl/>
          <w:lang w:eastAsia="en-US"/>
        </w:rPr>
        <w:tab/>
        <w:t>يهدف برنامج منطلقات نموذج القدوة لحكومة ألبرتا، الذي يقوم على تنسيقه فرع سياسات وبرامج المرأة وحقوق الإنسان والمواطنة، إلى تعزيز الفكرة التي تفيد بأن اختيار المهنة ليس قرارا مرتبطا بنوع الجنس، وأن كل مهنة هي خيار متاح أمام المرأة بقدر ما أنه متاح أمام الرجل سواء بسواء. وبرنامج المنطلقات يقدم نبذات عن نماذج القدوة لنساء في ميدان الحياة الفعلية في ألبرتا ممن يعملن في مجلات غير تقليدية. وتتاح النبذات وغيرها من المواد المرجعية لطالبات الصفوف الدنيا والعليا بالثانويات في كل أنحاء المقاطعة. وخلال الفترة الزمنية المُبلغ عنها، تم وضع ونشر مجموعة رابعة من نبذات أدوار القدوة بين صفوف المدرسين في كل أنحاء ألبرتا. أما المهن التي تم عرضها باختصار في هذه المجموعة فشملت مهن صاحب المزرعة ومنظم المشاريع ولاعب الغولف المحترف والكهربائي والميكانيكي بين مهن أخرى.</w:t>
      </w:r>
    </w:p>
    <w:p w:rsidR="00000000" w:rsidRDefault="00000000">
      <w:pPr>
        <w:pStyle w:val="SingleTxt"/>
        <w:tabs>
          <w:tab w:val="clear" w:pos="1930"/>
          <w:tab w:val="left" w:pos="1486"/>
          <w:tab w:val="left" w:pos="2053"/>
        </w:tabs>
        <w:rPr>
          <w:rtl/>
          <w:lang w:eastAsia="en-US"/>
        </w:rPr>
      </w:pPr>
      <w:r>
        <w:rPr>
          <w:rtl/>
          <w:lang w:eastAsia="en-US"/>
        </w:rPr>
        <w:t>963 -</w:t>
      </w:r>
      <w:r>
        <w:rPr>
          <w:rtl/>
          <w:lang w:eastAsia="en-US"/>
        </w:rPr>
        <w:tab/>
        <w:t>وقد شارك قسم سياسات وبرامج المرأة مع جهات أخرى في إنتاج وتوزيع ملف مرجعي للمربين والآباء ومديري المدارس تحت عنوان “فلترتفع أصوات الشباب: ملف للمناقشة”. وناقش الملف قضايا الممارسات الجنسانية والمنصفة في إطار تربية البنات والبنين.</w:t>
      </w:r>
    </w:p>
    <w:p w:rsidR="00000000" w:rsidRDefault="00000000">
      <w:pPr>
        <w:pStyle w:val="SingleTxt"/>
        <w:tabs>
          <w:tab w:val="clear" w:pos="1930"/>
          <w:tab w:val="left" w:pos="1486"/>
          <w:tab w:val="left" w:pos="2053"/>
        </w:tabs>
        <w:rPr>
          <w:b/>
          <w:bCs/>
          <w:szCs w:val="32"/>
          <w:rtl/>
          <w:lang w:eastAsia="en-US"/>
        </w:rPr>
      </w:pPr>
      <w:r>
        <w:rPr>
          <w:b/>
          <w:bCs/>
          <w:szCs w:val="32"/>
          <w:rtl/>
          <w:lang w:eastAsia="en-US"/>
        </w:rPr>
        <w:t>المادة 7: المرأة في مجال السياسة والحياة العامة</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8"/>
        <w:gridCol w:w="1418"/>
        <w:gridCol w:w="992"/>
        <w:gridCol w:w="1417"/>
        <w:gridCol w:w="993"/>
      </w:tblGrid>
      <w:tr w:rsidR="00000000">
        <w:tblPrEx>
          <w:tblCellMar>
            <w:top w:w="0" w:type="dxa"/>
            <w:bottom w:w="0" w:type="dxa"/>
          </w:tblCellMar>
        </w:tblPrEx>
        <w:trPr>
          <w:cantSplit/>
        </w:trPr>
        <w:tc>
          <w:tcPr>
            <w:tcW w:w="5138" w:type="dxa"/>
          </w:tcPr>
          <w:p w:rsidR="00000000" w:rsidRDefault="00000000">
            <w:pPr>
              <w:tabs>
                <w:tab w:val="left" w:pos="2053"/>
              </w:tabs>
              <w:jc w:val="center"/>
              <w:rPr>
                <w:i/>
                <w:iCs/>
                <w:rtl/>
                <w:lang w:eastAsia="en-US"/>
              </w:rPr>
            </w:pPr>
            <w:r>
              <w:rPr>
                <w:i/>
                <w:iCs/>
                <w:rtl/>
                <w:lang w:eastAsia="en-US"/>
              </w:rPr>
              <w:t>معدلات المشاركة في المجالس البرلمانية</w:t>
            </w:r>
          </w:p>
        </w:tc>
        <w:tc>
          <w:tcPr>
            <w:tcW w:w="2410" w:type="dxa"/>
            <w:gridSpan w:val="2"/>
          </w:tcPr>
          <w:p w:rsidR="00000000" w:rsidRDefault="00000000">
            <w:pPr>
              <w:tabs>
                <w:tab w:val="left" w:pos="2053"/>
              </w:tabs>
              <w:jc w:val="center"/>
              <w:rPr>
                <w:i/>
                <w:iCs/>
                <w:rtl/>
                <w:lang w:eastAsia="en-US"/>
              </w:rPr>
            </w:pPr>
            <w:r>
              <w:rPr>
                <w:i/>
                <w:iCs/>
                <w:rtl/>
                <w:lang w:eastAsia="en-US"/>
              </w:rPr>
              <w:t>1993</w:t>
            </w:r>
          </w:p>
        </w:tc>
        <w:tc>
          <w:tcPr>
            <w:tcW w:w="2410" w:type="dxa"/>
            <w:gridSpan w:val="2"/>
          </w:tcPr>
          <w:p w:rsidR="00000000" w:rsidRDefault="00000000">
            <w:pPr>
              <w:tabs>
                <w:tab w:val="left" w:pos="2053"/>
              </w:tabs>
              <w:jc w:val="center"/>
              <w:rPr>
                <w:i/>
                <w:iCs/>
                <w:rtl/>
                <w:lang w:eastAsia="en-US"/>
              </w:rPr>
            </w:pPr>
            <w:r>
              <w:rPr>
                <w:i/>
                <w:iCs/>
                <w:rtl/>
                <w:lang w:eastAsia="en-US"/>
              </w:rPr>
              <w:t>1997</w:t>
            </w:r>
          </w:p>
        </w:tc>
      </w:tr>
      <w:tr w:rsidR="00000000">
        <w:tblPrEx>
          <w:tblCellMar>
            <w:top w:w="0" w:type="dxa"/>
            <w:bottom w:w="0" w:type="dxa"/>
          </w:tblCellMar>
        </w:tblPrEx>
        <w:tc>
          <w:tcPr>
            <w:tcW w:w="5138" w:type="dxa"/>
          </w:tcPr>
          <w:p w:rsidR="00000000" w:rsidRDefault="00000000">
            <w:pPr>
              <w:tabs>
                <w:tab w:val="left" w:pos="2053"/>
              </w:tabs>
              <w:rPr>
                <w:rtl/>
                <w:lang w:eastAsia="en-US"/>
              </w:rPr>
            </w:pPr>
            <w:r>
              <w:rPr>
                <w:rtl/>
                <w:lang w:eastAsia="en-US"/>
              </w:rPr>
              <w:t>الوزيرات في المجلس التشريعي في ألبرتا</w:t>
            </w:r>
          </w:p>
        </w:tc>
        <w:tc>
          <w:tcPr>
            <w:tcW w:w="1418" w:type="dxa"/>
          </w:tcPr>
          <w:p w:rsidR="00000000" w:rsidRDefault="00000000">
            <w:pPr>
              <w:tabs>
                <w:tab w:val="left" w:pos="2053"/>
              </w:tabs>
              <w:rPr>
                <w:rtl/>
                <w:lang w:eastAsia="en-US"/>
              </w:rPr>
            </w:pPr>
            <w:r>
              <w:rPr>
                <w:rtl/>
                <w:lang w:eastAsia="en-US"/>
              </w:rPr>
              <w:t>3 من 17</w:t>
            </w:r>
          </w:p>
        </w:tc>
        <w:tc>
          <w:tcPr>
            <w:tcW w:w="992" w:type="dxa"/>
          </w:tcPr>
          <w:p w:rsidR="00000000" w:rsidRDefault="00000000">
            <w:pPr>
              <w:tabs>
                <w:tab w:val="left" w:pos="2053"/>
              </w:tabs>
              <w:rPr>
                <w:rFonts w:cs="Akhbar MT"/>
                <w:rtl/>
                <w:lang w:eastAsia="en-US"/>
              </w:rPr>
            </w:pPr>
            <w:r>
              <w:rPr>
                <w:rtl/>
                <w:lang w:eastAsia="en-US"/>
              </w:rPr>
              <w:t>17.6</w:t>
            </w:r>
            <w:r>
              <w:rPr>
                <w:rFonts w:cs="Akhbar MT"/>
                <w:rtl/>
                <w:lang w:eastAsia="en-US"/>
              </w:rPr>
              <w:t>%</w:t>
            </w:r>
          </w:p>
        </w:tc>
        <w:tc>
          <w:tcPr>
            <w:tcW w:w="1417" w:type="dxa"/>
          </w:tcPr>
          <w:p w:rsidR="00000000" w:rsidRDefault="00000000">
            <w:pPr>
              <w:tabs>
                <w:tab w:val="left" w:pos="2053"/>
              </w:tabs>
              <w:rPr>
                <w:rtl/>
                <w:lang w:eastAsia="en-US"/>
              </w:rPr>
            </w:pPr>
            <w:r>
              <w:rPr>
                <w:rtl/>
                <w:lang w:eastAsia="en-US"/>
              </w:rPr>
              <w:t>4 من 19</w:t>
            </w:r>
          </w:p>
        </w:tc>
        <w:tc>
          <w:tcPr>
            <w:tcW w:w="993" w:type="dxa"/>
          </w:tcPr>
          <w:p w:rsidR="00000000" w:rsidRDefault="00000000">
            <w:pPr>
              <w:tabs>
                <w:tab w:val="left" w:pos="2053"/>
              </w:tabs>
              <w:rPr>
                <w:rtl/>
                <w:lang w:eastAsia="en-US"/>
              </w:rPr>
            </w:pPr>
            <w:r>
              <w:rPr>
                <w:rtl/>
                <w:lang w:eastAsia="en-US"/>
              </w:rPr>
              <w:t>21.1</w:t>
            </w:r>
            <w:r>
              <w:rPr>
                <w:rFonts w:cs="Akhbar MT"/>
                <w:rtl/>
                <w:lang w:eastAsia="en-US"/>
              </w:rPr>
              <w:t>%</w:t>
            </w:r>
          </w:p>
        </w:tc>
      </w:tr>
      <w:tr w:rsidR="00000000">
        <w:tblPrEx>
          <w:tblCellMar>
            <w:top w:w="0" w:type="dxa"/>
            <w:bottom w:w="0" w:type="dxa"/>
          </w:tblCellMar>
        </w:tblPrEx>
        <w:tc>
          <w:tcPr>
            <w:tcW w:w="5138" w:type="dxa"/>
          </w:tcPr>
          <w:p w:rsidR="00000000" w:rsidRDefault="00000000">
            <w:pPr>
              <w:tabs>
                <w:tab w:val="left" w:pos="2053"/>
              </w:tabs>
              <w:rPr>
                <w:rtl/>
                <w:lang w:eastAsia="en-US"/>
              </w:rPr>
            </w:pPr>
            <w:r>
              <w:rPr>
                <w:rtl/>
                <w:lang w:eastAsia="en-US"/>
              </w:rPr>
              <w:t>أعضاء المجلس التشريعي في ألبرتا (باستثناء الوزراء)</w:t>
            </w:r>
          </w:p>
        </w:tc>
        <w:tc>
          <w:tcPr>
            <w:tcW w:w="1418" w:type="dxa"/>
          </w:tcPr>
          <w:p w:rsidR="00000000" w:rsidRDefault="00000000">
            <w:pPr>
              <w:tabs>
                <w:tab w:val="left" w:pos="2053"/>
              </w:tabs>
              <w:rPr>
                <w:rtl/>
                <w:lang w:eastAsia="en-US"/>
              </w:rPr>
            </w:pPr>
            <w:r>
              <w:rPr>
                <w:rtl/>
                <w:lang w:eastAsia="en-US"/>
              </w:rPr>
              <w:t>13 من 66</w:t>
            </w:r>
          </w:p>
        </w:tc>
        <w:tc>
          <w:tcPr>
            <w:tcW w:w="992" w:type="dxa"/>
          </w:tcPr>
          <w:p w:rsidR="00000000" w:rsidRDefault="00000000">
            <w:pPr>
              <w:tabs>
                <w:tab w:val="left" w:pos="2053"/>
              </w:tabs>
              <w:rPr>
                <w:rtl/>
                <w:lang w:eastAsia="en-US"/>
              </w:rPr>
            </w:pPr>
            <w:r>
              <w:rPr>
                <w:rtl/>
                <w:lang w:eastAsia="en-US"/>
              </w:rPr>
              <w:t>19.7</w:t>
            </w:r>
            <w:r>
              <w:rPr>
                <w:rFonts w:cs="Akhbar MT"/>
                <w:rtl/>
                <w:lang w:eastAsia="en-US"/>
              </w:rPr>
              <w:t>%</w:t>
            </w:r>
          </w:p>
        </w:tc>
        <w:tc>
          <w:tcPr>
            <w:tcW w:w="1417" w:type="dxa"/>
          </w:tcPr>
          <w:p w:rsidR="00000000" w:rsidRDefault="00000000">
            <w:pPr>
              <w:tabs>
                <w:tab w:val="left" w:pos="2053"/>
              </w:tabs>
              <w:rPr>
                <w:rtl/>
                <w:lang w:eastAsia="en-US"/>
              </w:rPr>
            </w:pPr>
            <w:r>
              <w:rPr>
                <w:rtl/>
                <w:lang w:eastAsia="en-US"/>
              </w:rPr>
              <w:t>17 من 64</w:t>
            </w:r>
          </w:p>
        </w:tc>
        <w:tc>
          <w:tcPr>
            <w:tcW w:w="993" w:type="dxa"/>
          </w:tcPr>
          <w:p w:rsidR="00000000" w:rsidRDefault="00000000">
            <w:pPr>
              <w:tabs>
                <w:tab w:val="left" w:pos="2053"/>
              </w:tabs>
              <w:rPr>
                <w:rtl/>
                <w:lang w:eastAsia="en-US"/>
              </w:rPr>
            </w:pPr>
            <w:r>
              <w:rPr>
                <w:rtl/>
                <w:lang w:eastAsia="en-US"/>
              </w:rPr>
              <w:t>26.6</w:t>
            </w:r>
            <w:r>
              <w:rPr>
                <w:rFonts w:cs="Akhbar MT"/>
                <w:rtl/>
                <w:lang w:eastAsia="en-US"/>
              </w:rPr>
              <w:t>%</w:t>
            </w:r>
          </w:p>
        </w:tc>
      </w:tr>
      <w:tr w:rsidR="00000000">
        <w:tblPrEx>
          <w:tblCellMar>
            <w:top w:w="0" w:type="dxa"/>
            <w:bottom w:w="0" w:type="dxa"/>
          </w:tblCellMar>
        </w:tblPrEx>
        <w:tc>
          <w:tcPr>
            <w:tcW w:w="5138" w:type="dxa"/>
          </w:tcPr>
          <w:p w:rsidR="00000000" w:rsidRDefault="00000000">
            <w:pPr>
              <w:tabs>
                <w:tab w:val="left" w:pos="2053"/>
              </w:tabs>
              <w:rPr>
                <w:rtl/>
                <w:lang w:eastAsia="en-US"/>
              </w:rPr>
            </w:pPr>
            <w:r>
              <w:rPr>
                <w:rtl/>
                <w:lang w:eastAsia="en-US"/>
              </w:rPr>
              <w:t>المجموع (الوزراء وأعضاء المجلس التشريعي في ألبرتا)</w:t>
            </w:r>
          </w:p>
        </w:tc>
        <w:tc>
          <w:tcPr>
            <w:tcW w:w="1418" w:type="dxa"/>
          </w:tcPr>
          <w:p w:rsidR="00000000" w:rsidRDefault="00000000">
            <w:pPr>
              <w:tabs>
                <w:tab w:val="left" w:pos="2053"/>
              </w:tabs>
              <w:rPr>
                <w:rtl/>
                <w:lang w:eastAsia="en-US"/>
              </w:rPr>
            </w:pPr>
            <w:r>
              <w:rPr>
                <w:rtl/>
                <w:lang w:eastAsia="en-US"/>
              </w:rPr>
              <w:t>16 من 83</w:t>
            </w:r>
          </w:p>
        </w:tc>
        <w:tc>
          <w:tcPr>
            <w:tcW w:w="992" w:type="dxa"/>
          </w:tcPr>
          <w:p w:rsidR="00000000" w:rsidRDefault="00000000">
            <w:pPr>
              <w:tabs>
                <w:tab w:val="left" w:pos="2053"/>
              </w:tabs>
              <w:rPr>
                <w:rtl/>
                <w:lang w:eastAsia="en-US"/>
              </w:rPr>
            </w:pPr>
            <w:r>
              <w:rPr>
                <w:rtl/>
                <w:lang w:eastAsia="en-US"/>
              </w:rPr>
              <w:t>19.3</w:t>
            </w:r>
            <w:r>
              <w:rPr>
                <w:rFonts w:cs="Akhbar MT"/>
                <w:rtl/>
                <w:lang w:eastAsia="en-US"/>
              </w:rPr>
              <w:t>%</w:t>
            </w:r>
          </w:p>
        </w:tc>
        <w:tc>
          <w:tcPr>
            <w:tcW w:w="1417" w:type="dxa"/>
          </w:tcPr>
          <w:p w:rsidR="00000000" w:rsidRDefault="00000000">
            <w:pPr>
              <w:tabs>
                <w:tab w:val="left" w:pos="2053"/>
              </w:tabs>
              <w:rPr>
                <w:rtl/>
                <w:lang w:eastAsia="en-US"/>
              </w:rPr>
            </w:pPr>
            <w:r>
              <w:rPr>
                <w:rtl/>
                <w:lang w:eastAsia="en-US"/>
              </w:rPr>
              <w:t>21 من 83</w:t>
            </w:r>
          </w:p>
        </w:tc>
        <w:tc>
          <w:tcPr>
            <w:tcW w:w="993" w:type="dxa"/>
          </w:tcPr>
          <w:p w:rsidR="00000000" w:rsidRDefault="00000000">
            <w:pPr>
              <w:tabs>
                <w:tab w:val="left" w:pos="2053"/>
              </w:tabs>
              <w:rPr>
                <w:rtl/>
                <w:lang w:eastAsia="en-US"/>
              </w:rPr>
            </w:pPr>
            <w:r>
              <w:rPr>
                <w:rtl/>
                <w:lang w:eastAsia="en-US"/>
              </w:rPr>
              <w:t>25.3</w:t>
            </w:r>
            <w:r>
              <w:rPr>
                <w:rFonts w:cs="Akhbar MT"/>
                <w:rtl/>
                <w:lang w:eastAsia="en-US"/>
              </w:rPr>
              <w:t>%</w:t>
            </w:r>
          </w:p>
        </w:tc>
      </w:tr>
      <w:tr w:rsidR="00000000">
        <w:tblPrEx>
          <w:tblCellMar>
            <w:top w:w="0" w:type="dxa"/>
            <w:bottom w:w="0" w:type="dxa"/>
          </w:tblCellMar>
        </w:tblPrEx>
        <w:trPr>
          <w:cantSplit/>
        </w:trPr>
        <w:tc>
          <w:tcPr>
            <w:tcW w:w="5138" w:type="dxa"/>
          </w:tcPr>
          <w:p w:rsidR="00000000" w:rsidRDefault="00000000">
            <w:pPr>
              <w:pStyle w:val="H23"/>
              <w:keepLines w:val="0"/>
              <w:tabs>
                <w:tab w:val="left" w:pos="2053"/>
              </w:tabs>
              <w:suppressAutoHyphens w:val="0"/>
              <w:rPr>
                <w:spacing w:val="0"/>
                <w:rtl/>
                <w:lang w:eastAsia="en-US"/>
              </w:rPr>
            </w:pPr>
            <w:r>
              <w:rPr>
                <w:spacing w:val="0"/>
                <w:rtl/>
                <w:lang w:eastAsia="en-US"/>
              </w:rPr>
              <w:t>المشاركة في الحكومة</w:t>
            </w:r>
          </w:p>
        </w:tc>
        <w:tc>
          <w:tcPr>
            <w:tcW w:w="2410" w:type="dxa"/>
            <w:gridSpan w:val="2"/>
          </w:tcPr>
          <w:p w:rsidR="00000000" w:rsidRDefault="00000000">
            <w:pPr>
              <w:pStyle w:val="H23"/>
              <w:keepNext w:val="0"/>
              <w:keepLines w:val="0"/>
              <w:tabs>
                <w:tab w:val="left" w:pos="2053"/>
              </w:tabs>
              <w:suppressAutoHyphens w:val="0"/>
              <w:jc w:val="center"/>
              <w:outlineLvl w:val="9"/>
              <w:rPr>
                <w:spacing w:val="0"/>
                <w:rtl/>
                <w:lang w:eastAsia="en-US"/>
              </w:rPr>
            </w:pPr>
            <w:r>
              <w:rPr>
                <w:spacing w:val="0"/>
                <w:rtl/>
                <w:lang w:eastAsia="en-US"/>
              </w:rPr>
              <w:t>1993</w:t>
            </w:r>
          </w:p>
        </w:tc>
        <w:tc>
          <w:tcPr>
            <w:tcW w:w="2410" w:type="dxa"/>
            <w:gridSpan w:val="2"/>
          </w:tcPr>
          <w:p w:rsidR="00000000" w:rsidRDefault="00000000">
            <w:pPr>
              <w:pStyle w:val="H23"/>
              <w:keepNext w:val="0"/>
              <w:keepLines w:val="0"/>
              <w:tabs>
                <w:tab w:val="left" w:pos="2053"/>
              </w:tabs>
              <w:suppressAutoHyphens w:val="0"/>
              <w:jc w:val="center"/>
              <w:outlineLvl w:val="9"/>
              <w:rPr>
                <w:spacing w:val="0"/>
                <w:rtl/>
                <w:lang w:eastAsia="en-US"/>
              </w:rPr>
            </w:pPr>
            <w:r>
              <w:rPr>
                <w:spacing w:val="0"/>
                <w:rtl/>
                <w:lang w:eastAsia="en-US"/>
              </w:rPr>
              <w:t>1997</w:t>
            </w:r>
          </w:p>
        </w:tc>
      </w:tr>
      <w:tr w:rsidR="00000000">
        <w:tblPrEx>
          <w:tblCellMar>
            <w:top w:w="0" w:type="dxa"/>
            <w:bottom w:w="0" w:type="dxa"/>
          </w:tblCellMar>
        </w:tblPrEx>
        <w:tc>
          <w:tcPr>
            <w:tcW w:w="5138" w:type="dxa"/>
          </w:tcPr>
          <w:p w:rsidR="00000000" w:rsidRDefault="00000000">
            <w:pPr>
              <w:tabs>
                <w:tab w:val="left" w:pos="2053"/>
              </w:tabs>
              <w:rPr>
                <w:rtl/>
                <w:lang w:eastAsia="en-US"/>
              </w:rPr>
            </w:pPr>
            <w:r>
              <w:rPr>
                <w:rtl/>
                <w:lang w:eastAsia="en-US"/>
              </w:rPr>
              <w:t>النساء من نواب الوزير (وكبار الموظفين) ومساعدو نواب الوزراء</w:t>
            </w:r>
          </w:p>
        </w:tc>
        <w:tc>
          <w:tcPr>
            <w:tcW w:w="1418" w:type="dxa"/>
          </w:tcPr>
          <w:p w:rsidR="00000000" w:rsidRDefault="00000000">
            <w:pPr>
              <w:tabs>
                <w:tab w:val="left" w:pos="2053"/>
              </w:tabs>
              <w:rPr>
                <w:rtl/>
                <w:lang w:eastAsia="en-US"/>
              </w:rPr>
            </w:pPr>
            <w:r>
              <w:rPr>
                <w:rtl/>
                <w:lang w:eastAsia="en-US"/>
              </w:rPr>
              <w:t>8 من 76</w:t>
            </w:r>
          </w:p>
        </w:tc>
        <w:tc>
          <w:tcPr>
            <w:tcW w:w="992" w:type="dxa"/>
          </w:tcPr>
          <w:p w:rsidR="00000000" w:rsidRDefault="00000000">
            <w:pPr>
              <w:tabs>
                <w:tab w:val="left" w:pos="2053"/>
              </w:tabs>
              <w:rPr>
                <w:rtl/>
                <w:lang w:eastAsia="en-US"/>
              </w:rPr>
            </w:pPr>
            <w:r>
              <w:rPr>
                <w:rtl/>
                <w:lang w:eastAsia="en-US"/>
              </w:rPr>
              <w:t>10.5</w:t>
            </w:r>
            <w:r>
              <w:rPr>
                <w:rFonts w:cs="Akhbar MT"/>
                <w:rtl/>
                <w:lang w:eastAsia="en-US"/>
              </w:rPr>
              <w:t>%</w:t>
            </w:r>
          </w:p>
        </w:tc>
        <w:tc>
          <w:tcPr>
            <w:tcW w:w="1417" w:type="dxa"/>
          </w:tcPr>
          <w:p w:rsidR="00000000" w:rsidRDefault="00000000">
            <w:pPr>
              <w:tabs>
                <w:tab w:val="left" w:pos="2053"/>
              </w:tabs>
              <w:rPr>
                <w:rtl/>
                <w:lang w:eastAsia="en-US"/>
              </w:rPr>
            </w:pPr>
            <w:r>
              <w:rPr>
                <w:rtl/>
                <w:lang w:eastAsia="en-US"/>
              </w:rPr>
              <w:t>14 من 101</w:t>
            </w:r>
          </w:p>
        </w:tc>
        <w:tc>
          <w:tcPr>
            <w:tcW w:w="993" w:type="dxa"/>
          </w:tcPr>
          <w:p w:rsidR="00000000" w:rsidRDefault="00000000">
            <w:pPr>
              <w:tabs>
                <w:tab w:val="left" w:pos="2053"/>
              </w:tabs>
              <w:rPr>
                <w:rtl/>
                <w:lang w:eastAsia="en-US"/>
              </w:rPr>
            </w:pPr>
            <w:r>
              <w:rPr>
                <w:rtl/>
                <w:lang w:eastAsia="en-US"/>
              </w:rPr>
              <w:t>13.9</w:t>
            </w:r>
            <w:r>
              <w:rPr>
                <w:rFonts w:cs="Akhbar MT"/>
                <w:rtl/>
                <w:lang w:eastAsia="en-US"/>
              </w:rPr>
              <w:t>%</w:t>
            </w:r>
          </w:p>
        </w:tc>
      </w:tr>
      <w:tr w:rsidR="00000000">
        <w:tblPrEx>
          <w:tblCellMar>
            <w:top w:w="0" w:type="dxa"/>
            <w:bottom w:w="0" w:type="dxa"/>
          </w:tblCellMar>
        </w:tblPrEx>
        <w:tc>
          <w:tcPr>
            <w:tcW w:w="5138" w:type="dxa"/>
          </w:tcPr>
          <w:p w:rsidR="00000000" w:rsidRDefault="00000000">
            <w:pPr>
              <w:tabs>
                <w:tab w:val="left" w:pos="2053"/>
              </w:tabs>
              <w:rPr>
                <w:rtl/>
                <w:lang w:eastAsia="en-US"/>
              </w:rPr>
            </w:pPr>
            <w:r>
              <w:rPr>
                <w:rtl/>
                <w:lang w:eastAsia="en-US"/>
              </w:rPr>
              <w:t>المرأة في سلك القضاء</w:t>
            </w:r>
          </w:p>
        </w:tc>
        <w:tc>
          <w:tcPr>
            <w:tcW w:w="1418" w:type="dxa"/>
          </w:tcPr>
          <w:p w:rsidR="00000000" w:rsidRDefault="00000000">
            <w:pPr>
              <w:tabs>
                <w:tab w:val="left" w:pos="2053"/>
              </w:tabs>
              <w:rPr>
                <w:rtl/>
                <w:lang w:eastAsia="en-US"/>
              </w:rPr>
            </w:pPr>
            <w:r>
              <w:rPr>
                <w:rtl/>
                <w:lang w:eastAsia="en-US"/>
              </w:rPr>
              <w:t>29 من 178</w:t>
            </w:r>
          </w:p>
        </w:tc>
        <w:tc>
          <w:tcPr>
            <w:tcW w:w="992" w:type="dxa"/>
          </w:tcPr>
          <w:p w:rsidR="00000000" w:rsidRDefault="00000000">
            <w:pPr>
              <w:tabs>
                <w:tab w:val="left" w:pos="2053"/>
              </w:tabs>
              <w:rPr>
                <w:rtl/>
                <w:lang w:eastAsia="en-US"/>
              </w:rPr>
            </w:pPr>
            <w:r>
              <w:rPr>
                <w:rtl/>
                <w:lang w:eastAsia="en-US"/>
              </w:rPr>
              <w:t>16.3</w:t>
            </w:r>
            <w:r>
              <w:rPr>
                <w:rFonts w:cs="Akhbar MT"/>
                <w:rtl/>
                <w:lang w:eastAsia="en-US"/>
              </w:rPr>
              <w:t>%</w:t>
            </w:r>
          </w:p>
        </w:tc>
        <w:tc>
          <w:tcPr>
            <w:tcW w:w="1417" w:type="dxa"/>
          </w:tcPr>
          <w:p w:rsidR="00000000" w:rsidRDefault="00000000">
            <w:pPr>
              <w:tabs>
                <w:tab w:val="left" w:pos="2053"/>
              </w:tabs>
              <w:rPr>
                <w:rtl/>
                <w:lang w:eastAsia="en-US"/>
              </w:rPr>
            </w:pPr>
            <w:r>
              <w:rPr>
                <w:rtl/>
                <w:lang w:eastAsia="en-US"/>
              </w:rPr>
              <w:t>35 من 180</w:t>
            </w:r>
          </w:p>
        </w:tc>
        <w:tc>
          <w:tcPr>
            <w:tcW w:w="993" w:type="dxa"/>
          </w:tcPr>
          <w:p w:rsidR="00000000" w:rsidRDefault="00000000">
            <w:pPr>
              <w:tabs>
                <w:tab w:val="left" w:pos="2053"/>
              </w:tabs>
              <w:rPr>
                <w:rtl/>
                <w:lang w:eastAsia="en-US"/>
              </w:rPr>
            </w:pPr>
            <w:r>
              <w:rPr>
                <w:rtl/>
                <w:lang w:eastAsia="en-US"/>
              </w:rPr>
              <w:t>19.5</w:t>
            </w:r>
            <w:r>
              <w:rPr>
                <w:rFonts w:cs="Akhbar MT"/>
                <w:rtl/>
                <w:lang w:eastAsia="en-US"/>
              </w:rPr>
              <w:t>%</w:t>
            </w:r>
          </w:p>
        </w:tc>
      </w:tr>
    </w:tbl>
    <w:p w:rsidR="00000000" w:rsidRDefault="00000000">
      <w:pPr>
        <w:pStyle w:val="SingleTxt"/>
        <w:tabs>
          <w:tab w:val="clear" w:pos="1930"/>
          <w:tab w:val="left" w:pos="2053"/>
        </w:tabs>
        <w:rPr>
          <w:rtl/>
          <w:lang w:eastAsia="en-US"/>
        </w:rPr>
      </w:pPr>
    </w:p>
    <w:p w:rsidR="00000000" w:rsidRDefault="00000000">
      <w:pPr>
        <w:pStyle w:val="SingleTxt"/>
        <w:tabs>
          <w:tab w:val="clear" w:pos="1930"/>
          <w:tab w:val="left" w:pos="2053"/>
        </w:tabs>
        <w:rPr>
          <w:rtl/>
          <w:lang w:eastAsia="en-US"/>
        </w:rPr>
      </w:pPr>
      <w:r>
        <w:rPr>
          <w:rtl/>
          <w:lang w:eastAsia="en-US"/>
        </w:rPr>
        <w:t>964 -</w:t>
      </w:r>
      <w:r>
        <w:rPr>
          <w:rtl/>
          <w:lang w:eastAsia="en-US"/>
        </w:rPr>
        <w:tab/>
        <w:t>وبالإضافة إلى المشاركة في الحكومة، من جانب نساء في المستويات الأعلى من الإدارة، يقدم الجدول التالي الإحصاءات المتاحة لعام 1997 فقط. وفي تقارير أخرى ستقدم بيانات مقارنة يكون فيها عام 1997 هو سنة الأساس.</w:t>
      </w:r>
    </w:p>
    <w:p w:rsidR="00000000" w:rsidRDefault="00000000">
      <w:pPr>
        <w:pStyle w:val="SingleTxt"/>
        <w:tabs>
          <w:tab w:val="clear" w:pos="1930"/>
          <w:tab w:val="left" w:pos="2053"/>
        </w:tabs>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3"/>
        <w:gridCol w:w="2251"/>
        <w:gridCol w:w="2251"/>
      </w:tblGrid>
      <w:tr w:rsidR="00000000">
        <w:tblPrEx>
          <w:tblCellMar>
            <w:top w:w="0" w:type="dxa"/>
            <w:bottom w:w="0" w:type="dxa"/>
          </w:tblCellMar>
        </w:tblPrEx>
        <w:trPr>
          <w:cantSplit/>
        </w:trPr>
        <w:tc>
          <w:tcPr>
            <w:tcW w:w="5563" w:type="dxa"/>
          </w:tcPr>
          <w:p w:rsidR="00000000" w:rsidRDefault="00000000">
            <w:pPr>
              <w:pStyle w:val="H23"/>
              <w:keepNext w:val="0"/>
              <w:keepLines w:val="0"/>
              <w:tabs>
                <w:tab w:val="left" w:pos="2053"/>
              </w:tabs>
              <w:suppressAutoHyphens w:val="0"/>
              <w:jc w:val="center"/>
              <w:outlineLvl w:val="9"/>
              <w:rPr>
                <w:b w:val="0"/>
                <w:bCs w:val="0"/>
                <w:i/>
                <w:iCs/>
                <w:spacing w:val="0"/>
                <w:rtl/>
                <w:lang w:eastAsia="en-US"/>
              </w:rPr>
            </w:pPr>
            <w:r>
              <w:rPr>
                <w:b w:val="0"/>
                <w:bCs w:val="0"/>
                <w:i/>
                <w:iCs/>
                <w:spacing w:val="0"/>
                <w:rtl/>
                <w:lang w:eastAsia="en-US"/>
              </w:rPr>
              <w:t>معدلات المشاركة في الحكومة عند المستويات العليا من الإدارة</w:t>
            </w:r>
          </w:p>
        </w:tc>
        <w:tc>
          <w:tcPr>
            <w:tcW w:w="4502" w:type="dxa"/>
            <w:gridSpan w:val="2"/>
          </w:tcPr>
          <w:p w:rsidR="00000000" w:rsidRDefault="00000000">
            <w:pPr>
              <w:tabs>
                <w:tab w:val="left" w:pos="2053"/>
              </w:tabs>
              <w:jc w:val="center"/>
              <w:rPr>
                <w:i/>
                <w:iCs/>
                <w:rtl/>
                <w:lang w:eastAsia="en-US"/>
              </w:rPr>
            </w:pPr>
            <w:r>
              <w:rPr>
                <w:i/>
                <w:iCs/>
                <w:rtl/>
                <w:lang w:eastAsia="en-US"/>
              </w:rPr>
              <w:t>في كانون الأول/ديسمبر 1997</w:t>
            </w:r>
          </w:p>
        </w:tc>
      </w:tr>
      <w:tr w:rsidR="00000000">
        <w:tblPrEx>
          <w:tblCellMar>
            <w:top w:w="0" w:type="dxa"/>
            <w:bottom w:w="0" w:type="dxa"/>
          </w:tblCellMar>
        </w:tblPrEx>
        <w:tc>
          <w:tcPr>
            <w:tcW w:w="5563" w:type="dxa"/>
          </w:tcPr>
          <w:p w:rsidR="00000000" w:rsidRDefault="00000000">
            <w:pPr>
              <w:pStyle w:val="H56"/>
              <w:keepNext w:val="0"/>
              <w:keepLines w:val="0"/>
              <w:tabs>
                <w:tab w:val="left" w:pos="2053"/>
              </w:tabs>
              <w:suppressAutoHyphens w:val="0"/>
              <w:spacing w:line="400" w:lineRule="exact"/>
              <w:outlineLvl w:val="9"/>
              <w:rPr>
                <w:rtl/>
                <w:lang w:eastAsia="en-US"/>
              </w:rPr>
            </w:pPr>
            <w:r>
              <w:rPr>
                <w:rtl/>
                <w:lang w:eastAsia="en-US"/>
              </w:rPr>
              <w:t>المرأة في موقع نائب الوزير وكبار الموظفين</w:t>
            </w:r>
          </w:p>
        </w:tc>
        <w:tc>
          <w:tcPr>
            <w:tcW w:w="2251" w:type="dxa"/>
          </w:tcPr>
          <w:p w:rsidR="00000000" w:rsidRDefault="00000000">
            <w:pPr>
              <w:tabs>
                <w:tab w:val="left" w:pos="2053"/>
              </w:tabs>
              <w:rPr>
                <w:rtl/>
                <w:lang w:eastAsia="en-US"/>
              </w:rPr>
            </w:pPr>
            <w:r>
              <w:rPr>
                <w:rtl/>
                <w:lang w:eastAsia="en-US"/>
              </w:rPr>
              <w:t>5 من 39</w:t>
            </w:r>
          </w:p>
        </w:tc>
        <w:tc>
          <w:tcPr>
            <w:tcW w:w="2251" w:type="dxa"/>
          </w:tcPr>
          <w:p w:rsidR="00000000" w:rsidRDefault="00000000">
            <w:pPr>
              <w:tabs>
                <w:tab w:val="left" w:pos="2053"/>
              </w:tabs>
              <w:rPr>
                <w:rtl/>
                <w:lang w:eastAsia="en-US"/>
              </w:rPr>
            </w:pPr>
            <w:r>
              <w:rPr>
                <w:rtl/>
                <w:lang w:eastAsia="en-US"/>
              </w:rPr>
              <w:t>12.8</w:t>
            </w:r>
            <w:r>
              <w:rPr>
                <w:rFonts w:cs="Akhbar MT"/>
                <w:rtl/>
                <w:lang w:eastAsia="en-US"/>
              </w:rPr>
              <w:t>%</w:t>
            </w:r>
          </w:p>
        </w:tc>
      </w:tr>
      <w:tr w:rsidR="00000000">
        <w:tblPrEx>
          <w:tblCellMar>
            <w:top w:w="0" w:type="dxa"/>
            <w:bottom w:w="0" w:type="dxa"/>
          </w:tblCellMar>
        </w:tblPrEx>
        <w:tc>
          <w:tcPr>
            <w:tcW w:w="5563" w:type="dxa"/>
          </w:tcPr>
          <w:p w:rsidR="00000000" w:rsidRDefault="00000000">
            <w:pPr>
              <w:tabs>
                <w:tab w:val="left" w:pos="2053"/>
              </w:tabs>
              <w:rPr>
                <w:rtl/>
                <w:lang w:eastAsia="en-US"/>
              </w:rPr>
            </w:pPr>
            <w:r>
              <w:rPr>
                <w:rtl/>
                <w:lang w:eastAsia="en-US"/>
              </w:rPr>
              <w:t>النساء من مساعدي نواب الوزير</w:t>
            </w:r>
          </w:p>
        </w:tc>
        <w:tc>
          <w:tcPr>
            <w:tcW w:w="2251" w:type="dxa"/>
          </w:tcPr>
          <w:p w:rsidR="00000000" w:rsidRDefault="00000000">
            <w:pPr>
              <w:tabs>
                <w:tab w:val="left" w:pos="2053"/>
              </w:tabs>
              <w:rPr>
                <w:rtl/>
                <w:lang w:eastAsia="en-US"/>
              </w:rPr>
            </w:pPr>
            <w:r>
              <w:rPr>
                <w:rtl/>
                <w:lang w:eastAsia="en-US"/>
              </w:rPr>
              <w:t>9 من 62</w:t>
            </w:r>
          </w:p>
        </w:tc>
        <w:tc>
          <w:tcPr>
            <w:tcW w:w="2251" w:type="dxa"/>
          </w:tcPr>
          <w:p w:rsidR="00000000" w:rsidRDefault="00000000">
            <w:pPr>
              <w:tabs>
                <w:tab w:val="left" w:pos="2053"/>
              </w:tabs>
              <w:rPr>
                <w:rtl/>
                <w:lang w:eastAsia="en-US"/>
              </w:rPr>
            </w:pPr>
            <w:r>
              <w:rPr>
                <w:rtl/>
                <w:lang w:eastAsia="en-US"/>
              </w:rPr>
              <w:t>14.5</w:t>
            </w:r>
            <w:r>
              <w:rPr>
                <w:rFonts w:cs="Akhbar MT"/>
                <w:rtl/>
                <w:lang w:eastAsia="en-US"/>
              </w:rPr>
              <w:t>%</w:t>
            </w:r>
          </w:p>
        </w:tc>
      </w:tr>
      <w:tr w:rsidR="00000000">
        <w:tblPrEx>
          <w:tblCellMar>
            <w:top w:w="0" w:type="dxa"/>
            <w:bottom w:w="0" w:type="dxa"/>
          </w:tblCellMar>
        </w:tblPrEx>
        <w:tc>
          <w:tcPr>
            <w:tcW w:w="5563" w:type="dxa"/>
          </w:tcPr>
          <w:p w:rsidR="00000000" w:rsidRDefault="00000000">
            <w:pPr>
              <w:tabs>
                <w:tab w:val="left" w:pos="2053"/>
              </w:tabs>
              <w:rPr>
                <w:rtl/>
                <w:lang w:eastAsia="en-US"/>
              </w:rPr>
            </w:pPr>
            <w:r>
              <w:rPr>
                <w:rtl/>
                <w:lang w:eastAsia="en-US"/>
              </w:rPr>
              <w:t>المرأة في مناصب المدير التنفيذي</w:t>
            </w:r>
          </w:p>
        </w:tc>
        <w:tc>
          <w:tcPr>
            <w:tcW w:w="2251" w:type="dxa"/>
          </w:tcPr>
          <w:p w:rsidR="00000000" w:rsidRDefault="00000000">
            <w:pPr>
              <w:tabs>
                <w:tab w:val="left" w:pos="2053"/>
              </w:tabs>
              <w:rPr>
                <w:rtl/>
                <w:lang w:eastAsia="en-US"/>
              </w:rPr>
            </w:pPr>
            <w:r>
              <w:rPr>
                <w:rtl/>
                <w:lang w:eastAsia="en-US"/>
              </w:rPr>
              <w:t>27 من 199</w:t>
            </w:r>
          </w:p>
        </w:tc>
        <w:tc>
          <w:tcPr>
            <w:tcW w:w="2251" w:type="dxa"/>
          </w:tcPr>
          <w:p w:rsidR="00000000" w:rsidRDefault="00000000">
            <w:pPr>
              <w:tabs>
                <w:tab w:val="left" w:pos="2053"/>
              </w:tabs>
              <w:rPr>
                <w:rtl/>
                <w:lang w:eastAsia="en-US"/>
              </w:rPr>
            </w:pPr>
            <w:r>
              <w:rPr>
                <w:rtl/>
                <w:lang w:eastAsia="en-US"/>
              </w:rPr>
              <w:t>13.6</w:t>
            </w:r>
            <w:r>
              <w:rPr>
                <w:rFonts w:cs="Akhbar MT"/>
                <w:rtl/>
                <w:lang w:eastAsia="en-US"/>
              </w:rPr>
              <w:t>%</w:t>
            </w:r>
          </w:p>
        </w:tc>
      </w:tr>
      <w:tr w:rsidR="00000000">
        <w:tblPrEx>
          <w:tblCellMar>
            <w:top w:w="0" w:type="dxa"/>
            <w:bottom w:w="0" w:type="dxa"/>
          </w:tblCellMar>
        </w:tblPrEx>
        <w:tc>
          <w:tcPr>
            <w:tcW w:w="5563" w:type="dxa"/>
          </w:tcPr>
          <w:p w:rsidR="00000000" w:rsidRDefault="00000000">
            <w:pPr>
              <w:tabs>
                <w:tab w:val="left" w:pos="2053"/>
              </w:tabs>
              <w:rPr>
                <w:rtl/>
                <w:lang w:eastAsia="en-US"/>
              </w:rPr>
            </w:pPr>
            <w:r>
              <w:rPr>
                <w:rtl/>
                <w:lang w:eastAsia="en-US"/>
              </w:rPr>
              <w:t>المرأة بين كبار المديرين</w:t>
            </w:r>
          </w:p>
        </w:tc>
        <w:tc>
          <w:tcPr>
            <w:tcW w:w="2251" w:type="dxa"/>
          </w:tcPr>
          <w:p w:rsidR="00000000" w:rsidRDefault="00000000">
            <w:pPr>
              <w:tabs>
                <w:tab w:val="left" w:pos="2053"/>
              </w:tabs>
              <w:rPr>
                <w:rtl/>
                <w:lang w:eastAsia="en-US"/>
              </w:rPr>
            </w:pPr>
            <w:r>
              <w:rPr>
                <w:rtl/>
                <w:lang w:eastAsia="en-US"/>
              </w:rPr>
              <w:t>250 من 014 1</w:t>
            </w:r>
          </w:p>
        </w:tc>
        <w:tc>
          <w:tcPr>
            <w:tcW w:w="2251" w:type="dxa"/>
          </w:tcPr>
          <w:p w:rsidR="00000000" w:rsidRDefault="00000000">
            <w:pPr>
              <w:tabs>
                <w:tab w:val="left" w:pos="2053"/>
              </w:tabs>
              <w:rPr>
                <w:rtl/>
                <w:lang w:eastAsia="en-US"/>
              </w:rPr>
            </w:pPr>
            <w:r>
              <w:rPr>
                <w:rtl/>
                <w:lang w:eastAsia="en-US"/>
              </w:rPr>
              <w:t>24.7</w:t>
            </w:r>
            <w:r>
              <w:rPr>
                <w:rFonts w:cs="Akhbar MT"/>
                <w:rtl/>
                <w:lang w:eastAsia="en-US"/>
              </w:rPr>
              <w:t>%</w:t>
            </w:r>
          </w:p>
        </w:tc>
      </w:tr>
      <w:tr w:rsidR="00000000">
        <w:tblPrEx>
          <w:tblCellMar>
            <w:top w:w="0" w:type="dxa"/>
            <w:bottom w:w="0" w:type="dxa"/>
          </w:tblCellMar>
        </w:tblPrEx>
        <w:tc>
          <w:tcPr>
            <w:tcW w:w="5563" w:type="dxa"/>
          </w:tcPr>
          <w:p w:rsidR="00000000" w:rsidRDefault="00000000">
            <w:pPr>
              <w:tabs>
                <w:tab w:val="left" w:pos="2053"/>
              </w:tabs>
              <w:rPr>
                <w:rtl/>
                <w:lang w:eastAsia="en-US"/>
              </w:rPr>
            </w:pPr>
            <w:r>
              <w:rPr>
                <w:rtl/>
                <w:lang w:eastAsia="en-US"/>
              </w:rPr>
              <w:t>المديرات</w:t>
            </w:r>
          </w:p>
        </w:tc>
        <w:tc>
          <w:tcPr>
            <w:tcW w:w="2251" w:type="dxa"/>
          </w:tcPr>
          <w:p w:rsidR="00000000" w:rsidRDefault="00000000">
            <w:pPr>
              <w:tabs>
                <w:tab w:val="left" w:pos="2053"/>
              </w:tabs>
              <w:rPr>
                <w:rtl/>
                <w:lang w:eastAsia="en-US"/>
              </w:rPr>
            </w:pPr>
            <w:r>
              <w:rPr>
                <w:rtl/>
                <w:lang w:eastAsia="en-US"/>
              </w:rPr>
              <w:t>410 من 279 1</w:t>
            </w:r>
          </w:p>
        </w:tc>
        <w:tc>
          <w:tcPr>
            <w:tcW w:w="2251" w:type="dxa"/>
          </w:tcPr>
          <w:p w:rsidR="00000000" w:rsidRDefault="00000000">
            <w:pPr>
              <w:tabs>
                <w:tab w:val="left" w:pos="2053"/>
              </w:tabs>
              <w:rPr>
                <w:rtl/>
                <w:lang w:eastAsia="en-US"/>
              </w:rPr>
            </w:pPr>
            <w:r>
              <w:rPr>
                <w:rtl/>
                <w:lang w:eastAsia="en-US"/>
              </w:rPr>
              <w:t>32.1</w:t>
            </w:r>
            <w:r>
              <w:rPr>
                <w:rFonts w:cs="Akhbar MT"/>
                <w:rtl/>
                <w:lang w:eastAsia="en-US"/>
              </w:rPr>
              <w:t>%</w:t>
            </w:r>
          </w:p>
        </w:tc>
      </w:tr>
      <w:tr w:rsidR="00000000">
        <w:tblPrEx>
          <w:tblCellMar>
            <w:top w:w="0" w:type="dxa"/>
            <w:bottom w:w="0" w:type="dxa"/>
          </w:tblCellMar>
        </w:tblPrEx>
        <w:tc>
          <w:tcPr>
            <w:tcW w:w="5563" w:type="dxa"/>
          </w:tcPr>
          <w:p w:rsidR="00000000" w:rsidRDefault="00000000">
            <w:pPr>
              <w:tabs>
                <w:tab w:val="left" w:pos="2053"/>
              </w:tabs>
              <w:rPr>
                <w:rtl/>
                <w:lang w:eastAsia="en-US"/>
              </w:rPr>
            </w:pPr>
            <w:r>
              <w:rPr>
                <w:rtl/>
                <w:lang w:eastAsia="en-US"/>
              </w:rPr>
              <w:t>المجموع</w:t>
            </w:r>
          </w:p>
        </w:tc>
        <w:tc>
          <w:tcPr>
            <w:tcW w:w="2251" w:type="dxa"/>
          </w:tcPr>
          <w:p w:rsidR="00000000" w:rsidRDefault="00000000">
            <w:pPr>
              <w:tabs>
                <w:tab w:val="left" w:pos="2053"/>
              </w:tabs>
              <w:rPr>
                <w:rtl/>
                <w:lang w:eastAsia="en-US"/>
              </w:rPr>
            </w:pPr>
            <w:r>
              <w:rPr>
                <w:rtl/>
                <w:lang w:eastAsia="en-US"/>
              </w:rPr>
              <w:t>701 من 593 2</w:t>
            </w:r>
          </w:p>
        </w:tc>
        <w:tc>
          <w:tcPr>
            <w:tcW w:w="2251" w:type="dxa"/>
          </w:tcPr>
          <w:p w:rsidR="00000000" w:rsidRDefault="00000000">
            <w:pPr>
              <w:tabs>
                <w:tab w:val="left" w:pos="2053"/>
              </w:tabs>
              <w:rPr>
                <w:rtl/>
                <w:lang w:eastAsia="en-US"/>
              </w:rPr>
            </w:pPr>
            <w:r>
              <w:rPr>
                <w:rtl/>
                <w:lang w:eastAsia="en-US"/>
              </w:rPr>
              <w:t>27.0</w:t>
            </w:r>
            <w:r>
              <w:rPr>
                <w:rFonts w:cs="Akhbar MT"/>
                <w:rtl/>
                <w:lang w:eastAsia="en-US"/>
              </w:rPr>
              <w:t>%</w:t>
            </w:r>
          </w:p>
        </w:tc>
      </w:tr>
    </w:tbl>
    <w:p w:rsidR="00000000" w:rsidRDefault="00000000">
      <w:pPr>
        <w:pStyle w:val="SingleTxt"/>
        <w:tabs>
          <w:tab w:val="clear" w:pos="1930"/>
          <w:tab w:val="left" w:pos="2053"/>
        </w:tabs>
        <w:rPr>
          <w:rtl/>
          <w:lang w:eastAsia="en-US"/>
        </w:rPr>
      </w:pPr>
    </w:p>
    <w:p w:rsidR="00000000" w:rsidRDefault="00000000">
      <w:pPr>
        <w:pStyle w:val="SingleTxt"/>
        <w:tabs>
          <w:tab w:val="clear" w:pos="1930"/>
          <w:tab w:val="left" w:pos="2053"/>
        </w:tabs>
        <w:rPr>
          <w:b/>
          <w:bCs/>
          <w:szCs w:val="32"/>
          <w:rtl/>
          <w:lang w:eastAsia="en-US"/>
        </w:rPr>
      </w:pPr>
      <w:r>
        <w:rPr>
          <w:rtl/>
          <w:lang w:eastAsia="en-US"/>
        </w:rPr>
        <w:br w:type="page"/>
      </w:r>
      <w:r>
        <w:rPr>
          <w:b/>
          <w:bCs/>
          <w:szCs w:val="32"/>
          <w:rtl/>
          <w:lang w:eastAsia="en-US"/>
        </w:rPr>
        <w:t>المادة 10: التعليم</w:t>
      </w:r>
    </w:p>
    <w:p w:rsidR="00000000" w:rsidRDefault="00000000">
      <w:pPr>
        <w:pStyle w:val="SingleTxt"/>
        <w:tabs>
          <w:tab w:val="clear" w:pos="1930"/>
          <w:tab w:val="left" w:pos="2053"/>
        </w:tabs>
        <w:rPr>
          <w:rtl/>
          <w:lang w:eastAsia="en-US"/>
        </w:rPr>
      </w:pPr>
      <w:r>
        <w:rPr>
          <w:rtl/>
          <w:lang w:eastAsia="en-US"/>
        </w:rPr>
        <w:t>965 -</w:t>
      </w:r>
      <w:r>
        <w:rPr>
          <w:rtl/>
          <w:lang w:eastAsia="en-US"/>
        </w:rPr>
        <w:tab/>
        <w:t>وفي كل سنة تقدِّم حكومة ألبرتا منحاً دراسية لعدد يصل إلى 20 شخصا لصالح طلبة التعليم ما بعد الثانوي (ومعظمهم نساء) ممن تسهم دراستهم في النهوض بالمرأة ويكون عملهم في الميادين التي يقل فيها عدد النساء.</w:t>
      </w:r>
    </w:p>
    <w:p w:rsidR="00000000" w:rsidRDefault="00000000">
      <w:pPr>
        <w:pStyle w:val="SingleTxt"/>
        <w:tabs>
          <w:tab w:val="clear" w:pos="1930"/>
          <w:tab w:val="left" w:pos="2053"/>
        </w:tabs>
        <w:rPr>
          <w:rtl/>
          <w:lang w:eastAsia="en-US"/>
        </w:rPr>
      </w:pPr>
      <w:r>
        <w:rPr>
          <w:rtl/>
          <w:lang w:eastAsia="en-US"/>
        </w:rPr>
        <w:t>966 -</w:t>
      </w:r>
      <w:r>
        <w:rPr>
          <w:rtl/>
          <w:lang w:eastAsia="en-US"/>
        </w:rPr>
        <w:tab/>
        <w:t>وفي تموز/يوليه 1966 غيرَّت حكومة ألبرتا صندوق التعددية الثقافية ليصبح صندوق تعليم حقوق الإنسان والمواطنة والتعددية الثقافية. وفي إطار ولايته المعززة يقدم الصندوق الدعم للمبادرات التثقيفية في جميع جوانب حقوق الإنسان والمواطنة والتعددية الثقافية. وتم اعتماد كثير من المشاريع في إطار الصندوق التي تقصد تحديداً إلى منفعة المرأة. ومن الأمثلة التي شهدتها فترة الإبلاغ ما يشمل تمويل المؤتمرات المعنية بقضايا المرأة والمشاريع المتعلقة بالتنميط الجنسي ومشروع بشأن الاستراتيجيات الملائمة للأزواج المهاجرين.</w:t>
      </w:r>
    </w:p>
    <w:p w:rsidR="00000000" w:rsidRDefault="00000000">
      <w:pPr>
        <w:pStyle w:val="SingleTxt"/>
        <w:tabs>
          <w:tab w:val="clear" w:pos="1930"/>
          <w:tab w:val="left" w:pos="2053"/>
        </w:tabs>
        <w:rPr>
          <w:b/>
          <w:bCs/>
          <w:szCs w:val="32"/>
          <w:rtl/>
          <w:lang w:eastAsia="en-US"/>
        </w:rPr>
      </w:pPr>
      <w:r>
        <w:rPr>
          <w:b/>
          <w:bCs/>
          <w:szCs w:val="32"/>
          <w:rtl/>
          <w:lang w:eastAsia="en-US"/>
        </w:rPr>
        <w:t>المادة 10 (أ): الوصول إلى الدراسات</w:t>
      </w:r>
    </w:p>
    <w:p w:rsidR="00000000" w:rsidRDefault="00000000">
      <w:pPr>
        <w:pStyle w:val="SingleTxt"/>
        <w:tabs>
          <w:tab w:val="clear" w:pos="1930"/>
          <w:tab w:val="left" w:pos="2053"/>
        </w:tabs>
        <w:rPr>
          <w:rtl/>
          <w:lang w:eastAsia="en-US"/>
        </w:rPr>
      </w:pPr>
      <w:r>
        <w:rPr>
          <w:rtl/>
          <w:lang w:eastAsia="en-US"/>
        </w:rPr>
        <w:t>967 -</w:t>
      </w:r>
      <w:r>
        <w:rPr>
          <w:rtl/>
          <w:lang w:eastAsia="en-US"/>
        </w:rPr>
        <w:tab/>
        <w:t>تولي حكومة ألبرتا موافقتها على برامج وخدمات التنمية الوظيفية التي تتاح بصورة متساوية لجميع البالغين من أجل تنفيذها في المؤسسات الخاصة والعامة ومن خلال مقدمي التدريب الخاص. وتقوم وزارة التعليم بجمع ونشر المعلومات بشأن الانخراط في هذه البرامج والتخرُّج فيها حسب نوع الجنس.</w:t>
      </w:r>
    </w:p>
    <w:p w:rsidR="00000000" w:rsidRDefault="00000000">
      <w:pPr>
        <w:pStyle w:val="SingleTxt"/>
        <w:tabs>
          <w:tab w:val="clear" w:pos="1930"/>
          <w:tab w:val="left" w:pos="2053"/>
        </w:tabs>
        <w:rPr>
          <w:b/>
          <w:bCs/>
          <w:szCs w:val="32"/>
          <w:rtl/>
          <w:lang w:eastAsia="en-US"/>
        </w:rPr>
      </w:pPr>
      <w:r>
        <w:rPr>
          <w:b/>
          <w:bCs/>
          <w:szCs w:val="32"/>
          <w:rtl/>
          <w:lang w:eastAsia="en-US"/>
        </w:rPr>
        <w:t>المادة 10 (د): الزمالات والمنح الدراسية</w:t>
      </w:r>
    </w:p>
    <w:p w:rsidR="00000000" w:rsidRDefault="00000000">
      <w:pPr>
        <w:pStyle w:val="SingleTxt"/>
        <w:tabs>
          <w:tab w:val="clear" w:pos="1930"/>
          <w:tab w:val="left" w:pos="2053"/>
        </w:tabs>
        <w:rPr>
          <w:rtl/>
          <w:lang w:eastAsia="en-US"/>
        </w:rPr>
      </w:pPr>
      <w:r>
        <w:rPr>
          <w:rtl/>
          <w:lang w:eastAsia="en-US"/>
        </w:rPr>
        <w:t>968 -</w:t>
      </w:r>
      <w:r>
        <w:rPr>
          <w:rtl/>
          <w:lang w:eastAsia="en-US"/>
        </w:rPr>
        <w:tab/>
        <w:t>بالإضافة إلى البرامج المنتظمة للقروض والمنح والزمالات والإعانات للطلاب، تقدم ألبرتا برنامج مساعدة لمنحة الإعالة التي تم إنشاؤها لكي تكفل للطلاب من ذوي الاحتياجات الخاصة فرصة الحصول على درجات علمية. ويُنظر في استحقاق الطلاب لهذه المنح إذا لم تتوافر لهم الإمكانيات المحتملة الاعتيادية لإنهاء تعليمهم دون الحصول على المساعدة المذكورة أعلاه التي تُقدَّم بموجب برامج أخرى (من ذلك مثلا من يقومون بدور الوالد الوحيد ومعظمهم نساء).</w:t>
      </w:r>
    </w:p>
    <w:p w:rsidR="00000000" w:rsidRDefault="00000000">
      <w:pPr>
        <w:pStyle w:val="SingleTxt"/>
        <w:tabs>
          <w:tab w:val="clear" w:pos="1930"/>
          <w:tab w:val="left" w:pos="2053"/>
        </w:tabs>
        <w:rPr>
          <w:rtl/>
          <w:lang w:eastAsia="en-US"/>
        </w:rPr>
      </w:pPr>
      <w:r>
        <w:rPr>
          <w:rtl/>
          <w:lang w:eastAsia="en-US"/>
        </w:rPr>
        <w:t>969 -</w:t>
      </w:r>
      <w:r>
        <w:rPr>
          <w:rtl/>
          <w:lang w:eastAsia="en-US"/>
        </w:rPr>
        <w:tab/>
        <w:t>وينص برنامج منحة تنمية المهارات على إمكانية تجاوز الحدود الأكاديمية المعتادة على أساس النظر إلى الاحتياجات المالية لطالب ما. فالأفراد من ذوي العائلات الأكبر، بمن في ذلك من يضطلعون بدور الوالد الوحيد، هم المستفيدون أساسا في هذا الصدد.</w:t>
      </w:r>
    </w:p>
    <w:p w:rsidR="00000000" w:rsidRDefault="00000000">
      <w:pPr>
        <w:pStyle w:val="SingleTxt"/>
        <w:tabs>
          <w:tab w:val="clear" w:pos="1930"/>
          <w:tab w:val="left" w:pos="2053"/>
        </w:tabs>
        <w:rPr>
          <w:rtl/>
          <w:lang w:eastAsia="en-US"/>
        </w:rPr>
      </w:pPr>
    </w:p>
    <w:p w:rsidR="00000000" w:rsidRDefault="00000000">
      <w:pPr>
        <w:pStyle w:val="SingleTxt"/>
        <w:tabs>
          <w:tab w:val="clear" w:pos="1930"/>
          <w:tab w:val="left" w:pos="2053"/>
        </w:tabs>
        <w:rPr>
          <w:rtl/>
          <w:lang w:eastAsia="en-US"/>
        </w:rPr>
      </w:pPr>
    </w:p>
    <w:p w:rsidR="00000000" w:rsidRDefault="00000000">
      <w:pPr>
        <w:pStyle w:val="SingleTxt"/>
        <w:tabs>
          <w:tab w:val="clear" w:pos="1930"/>
          <w:tab w:val="left" w:pos="2053"/>
        </w:tabs>
        <w:rPr>
          <w:b/>
          <w:bCs/>
          <w:szCs w:val="32"/>
          <w:rtl/>
          <w:lang w:eastAsia="en-US"/>
        </w:rPr>
      </w:pPr>
      <w:r>
        <w:rPr>
          <w:b/>
          <w:bCs/>
          <w:szCs w:val="32"/>
          <w:rtl/>
          <w:lang w:eastAsia="en-US"/>
        </w:rPr>
        <w:t>المادة 10 (هـ): إتاحة نفس الفرص في برامج تعليم الكبار ومحو الأمية الوظيفية</w:t>
      </w:r>
    </w:p>
    <w:p w:rsidR="00000000" w:rsidRDefault="00000000">
      <w:pPr>
        <w:pStyle w:val="SingleTxt"/>
        <w:tabs>
          <w:tab w:val="clear" w:pos="1930"/>
          <w:tab w:val="left" w:pos="2053"/>
        </w:tabs>
        <w:rPr>
          <w:rtl/>
          <w:lang w:eastAsia="en-US"/>
        </w:rPr>
      </w:pPr>
      <w:r>
        <w:rPr>
          <w:rtl/>
          <w:lang w:eastAsia="en-US"/>
        </w:rPr>
        <w:t>970 -</w:t>
      </w:r>
      <w:r>
        <w:rPr>
          <w:rtl/>
          <w:lang w:eastAsia="en-US"/>
        </w:rPr>
        <w:tab/>
        <w:t>يكفل برنامج تنمية المهارات لجميع سكان ألبرتا سُبلاً متكافئة للحصول على طائفة متنوعة من فرص التعلم، ومن ذلك مثلا التعليم الأساسي للكبار ودورات تعليم اللغة الإنكليزية كلغة ثانية والتدريب القصير الأجل على المهارات.</w:t>
      </w:r>
    </w:p>
    <w:p w:rsidR="00000000" w:rsidRDefault="00000000">
      <w:pPr>
        <w:pStyle w:val="SingleTxt"/>
        <w:tabs>
          <w:tab w:val="clear" w:pos="1930"/>
          <w:tab w:val="left" w:pos="2053"/>
        </w:tabs>
        <w:rPr>
          <w:b/>
          <w:bCs/>
          <w:szCs w:val="32"/>
          <w:rtl/>
          <w:lang w:eastAsia="en-US"/>
        </w:rPr>
      </w:pPr>
      <w:r>
        <w:rPr>
          <w:b/>
          <w:bCs/>
          <w:szCs w:val="32"/>
          <w:rtl/>
          <w:lang w:eastAsia="en-US"/>
        </w:rPr>
        <w:t>المادة 11: العمالة</w:t>
      </w:r>
    </w:p>
    <w:p w:rsidR="00000000" w:rsidRDefault="00000000">
      <w:pPr>
        <w:pStyle w:val="SingleTxt"/>
        <w:tabs>
          <w:tab w:val="clear" w:pos="1930"/>
          <w:tab w:val="left" w:pos="2053"/>
        </w:tabs>
        <w:rPr>
          <w:rtl/>
          <w:lang w:eastAsia="en-US"/>
        </w:rPr>
      </w:pPr>
      <w:r>
        <w:rPr>
          <w:rtl/>
          <w:lang w:eastAsia="en-US"/>
        </w:rPr>
        <w:t>971 -</w:t>
      </w:r>
      <w:r>
        <w:rPr>
          <w:rtl/>
          <w:lang w:eastAsia="en-US"/>
        </w:rPr>
        <w:tab/>
        <w:t>تواصل حكومة ألبرتا اتباع سياسة واضحة لمناهضة التحرش الجنسي بين صنوف مستخدميها. ولن تتهاون الحكومة مع التحرش الجنسي في موقع العمل. ولديها برنامج مُنفذ للتدريب في مجال التحرش الجنسي وهو متاح عند الطلب ويتألف من نموذج تدريبي لنصف يوم يعالج مسائل وقضايا الموظفين في هذا المجال.</w:t>
      </w:r>
    </w:p>
    <w:p w:rsidR="00000000" w:rsidRDefault="00000000">
      <w:pPr>
        <w:pStyle w:val="SingleTxt"/>
        <w:tabs>
          <w:tab w:val="clear" w:pos="1930"/>
          <w:tab w:val="left" w:pos="2053"/>
        </w:tabs>
        <w:rPr>
          <w:rtl/>
          <w:lang w:eastAsia="en-US"/>
        </w:rPr>
      </w:pPr>
      <w:r>
        <w:rPr>
          <w:rtl/>
          <w:lang w:eastAsia="en-US"/>
        </w:rPr>
        <w:t>972 -</w:t>
      </w:r>
      <w:r>
        <w:rPr>
          <w:rtl/>
          <w:lang w:eastAsia="en-US"/>
        </w:rPr>
        <w:tab/>
        <w:t>وتتولى لجنة حقوق الإنسان والمواطنة في ألبرتا التحقيق في شكاوى التحرش الجنسي، وتنشر مواد تتعلق بالتحرش الجنسي، وتتيح المتكلمين في قضايا التحرش الجنسي وتساعد المنظمات على إقرار سياسة تتعلق بهذا التحرش.</w:t>
      </w:r>
    </w:p>
    <w:p w:rsidR="00000000" w:rsidRDefault="00000000">
      <w:pPr>
        <w:pStyle w:val="SingleTxt"/>
        <w:tabs>
          <w:tab w:val="clear" w:pos="1930"/>
          <w:tab w:val="left" w:pos="2053"/>
        </w:tabs>
        <w:rPr>
          <w:rtl/>
          <w:lang w:eastAsia="en-US"/>
        </w:rPr>
      </w:pPr>
      <w:r>
        <w:rPr>
          <w:rtl/>
          <w:lang w:eastAsia="en-US"/>
        </w:rPr>
        <w:t>973 -</w:t>
      </w:r>
      <w:r>
        <w:rPr>
          <w:rtl/>
          <w:lang w:eastAsia="en-US"/>
        </w:rPr>
        <w:tab/>
        <w:t xml:space="preserve">وخلال السنة المالية 1994 </w:t>
      </w:r>
      <w:r>
        <w:rPr>
          <w:lang w:eastAsia="en-US"/>
        </w:rPr>
        <w:t>–</w:t>
      </w:r>
      <w:r>
        <w:rPr>
          <w:rtl/>
          <w:lang w:eastAsia="en-US"/>
        </w:rPr>
        <w:t xml:space="preserve"> 1995، قدم قسم سياسة وبرامج المرأة التابع للمجلس الاستشاري المعني بقضية المرأة في ألبرتا، المشورة والمساعدة إلى مبادرة المرأة في مجال المشاريع في ألبرتا التي تم تطويرها بالتعاون مع الحكومة الاتحادية . وتقصد إلى مساعدة صاحبات المشاريع على تخطي الحواجز التي تحول دون بدء أنشطتهن في مجال الأعمال التجارية.</w:t>
      </w:r>
    </w:p>
    <w:p w:rsidR="00000000" w:rsidRDefault="00000000">
      <w:pPr>
        <w:pStyle w:val="SingleTxt"/>
        <w:tabs>
          <w:tab w:val="clear" w:pos="1930"/>
          <w:tab w:val="left" w:pos="2053"/>
        </w:tabs>
        <w:rPr>
          <w:b/>
          <w:bCs/>
          <w:szCs w:val="32"/>
          <w:rtl/>
          <w:lang w:eastAsia="en-US"/>
        </w:rPr>
      </w:pPr>
      <w:r>
        <w:rPr>
          <w:b/>
          <w:bCs/>
          <w:szCs w:val="32"/>
          <w:rtl/>
          <w:lang w:eastAsia="en-US"/>
        </w:rPr>
        <w:t xml:space="preserve">المادة 11 </w:t>
      </w:r>
      <w:r>
        <w:rPr>
          <w:b/>
          <w:bCs/>
          <w:szCs w:val="32"/>
          <w:lang w:eastAsia="en-US"/>
        </w:rPr>
        <w:t>–</w:t>
      </w:r>
      <w:r>
        <w:rPr>
          <w:b/>
          <w:bCs/>
          <w:szCs w:val="32"/>
          <w:rtl/>
          <w:lang w:eastAsia="en-US"/>
        </w:rPr>
        <w:t xml:space="preserve"> 1: اتخاذ التدابير الملائمة للقضاء على التمييز في العمالة</w:t>
      </w:r>
    </w:p>
    <w:p w:rsidR="00000000" w:rsidRDefault="00000000">
      <w:pPr>
        <w:pStyle w:val="SingleTxt"/>
        <w:tabs>
          <w:tab w:val="clear" w:pos="1930"/>
          <w:tab w:val="left" w:pos="2053"/>
        </w:tabs>
        <w:rPr>
          <w:rtl/>
          <w:lang w:eastAsia="en-US"/>
        </w:rPr>
      </w:pPr>
      <w:r>
        <w:rPr>
          <w:rtl/>
          <w:lang w:eastAsia="en-US"/>
        </w:rPr>
        <w:t>974 -</w:t>
      </w:r>
      <w:r>
        <w:rPr>
          <w:rtl/>
          <w:lang w:eastAsia="en-US"/>
        </w:rPr>
        <w:tab/>
        <w:t>يساعد برنامج معونة رعاية الطفل الأسر المنخفضة الدخل في ألبرتا على تحمّل تكاليف رعاية الطفل بالنسبة إلى أطفالها في مرحلة ما قبل المدرسة ممن يداومون في مراكز الرعاية النهارية المرخص بها أو دور الرعاية النهارية الأسرية المعتمدة. ويدير البرنامج الخدمات الأسرية والاجتماعية في ألبرتا، كما تتاح معونات رعاية الطفل للآباء الذين يحتاجون إلى رعاية الطفل لأنهم ملتحقون بالعمل أو منتظمون بالمدرسة أو إذا ما كان الوالد أو الطفل من ذوي الاحتياجات الخاصة. وما يقرب من 84 في المائة من الأسر التي تتلقى معونات رعاية الطفل هي أسر الوالد الوحيد. وخلال فترة الإبلاغ، تم تخفيض بدل التشغيل بصورة تدريجية بين الفترة نيسان/أبريل 1994 ونيسان/أبريل 1997.</w:t>
      </w:r>
    </w:p>
    <w:p w:rsidR="00000000" w:rsidRDefault="00000000">
      <w:pPr>
        <w:pStyle w:val="SingleTxt"/>
        <w:tabs>
          <w:tab w:val="clear" w:pos="1930"/>
          <w:tab w:val="left" w:pos="2053"/>
        </w:tabs>
        <w:rPr>
          <w:rtl/>
          <w:lang w:eastAsia="en-US"/>
        </w:rPr>
      </w:pPr>
    </w:p>
    <w:p w:rsidR="00000000" w:rsidRDefault="00000000">
      <w:pPr>
        <w:pStyle w:val="SingleTxt"/>
        <w:tabs>
          <w:tab w:val="clear" w:pos="1930"/>
          <w:tab w:val="left" w:pos="2053"/>
        </w:tabs>
        <w:rPr>
          <w:rtl/>
          <w:lang w:eastAsia="en-US"/>
        </w:rPr>
      </w:pPr>
    </w:p>
    <w:p w:rsidR="00000000" w:rsidRDefault="00000000">
      <w:pPr>
        <w:pStyle w:val="SingleTxt"/>
        <w:tabs>
          <w:tab w:val="clear" w:pos="1930"/>
          <w:tab w:val="left" w:pos="2053"/>
        </w:tabs>
        <w:rPr>
          <w:b/>
          <w:bCs/>
          <w:szCs w:val="32"/>
          <w:rtl/>
          <w:lang w:eastAsia="en-US"/>
        </w:rPr>
      </w:pPr>
      <w:r>
        <w:rPr>
          <w:b/>
          <w:bCs/>
          <w:szCs w:val="32"/>
          <w:rtl/>
          <w:lang w:eastAsia="en-US"/>
        </w:rPr>
        <w:t xml:space="preserve">المادة 11 </w:t>
      </w:r>
      <w:r>
        <w:rPr>
          <w:b/>
          <w:bCs/>
          <w:szCs w:val="32"/>
          <w:lang w:eastAsia="en-US"/>
        </w:rPr>
        <w:t>–</w:t>
      </w:r>
      <w:r>
        <w:rPr>
          <w:b/>
          <w:bCs/>
          <w:szCs w:val="32"/>
          <w:rtl/>
          <w:lang w:eastAsia="en-US"/>
        </w:rPr>
        <w:t xml:space="preserve"> 1 (ج): حرية اختيار المهنة وحق التدريب</w:t>
      </w:r>
    </w:p>
    <w:p w:rsidR="00000000" w:rsidRDefault="00000000">
      <w:pPr>
        <w:pStyle w:val="SingleTxt"/>
        <w:tabs>
          <w:tab w:val="clear" w:pos="1930"/>
          <w:tab w:val="left" w:pos="2053"/>
        </w:tabs>
        <w:rPr>
          <w:rtl/>
          <w:lang w:eastAsia="en-US"/>
        </w:rPr>
      </w:pPr>
      <w:r>
        <w:rPr>
          <w:rtl/>
          <w:lang w:eastAsia="en-US"/>
        </w:rPr>
        <w:t>975 -</w:t>
      </w:r>
      <w:r>
        <w:rPr>
          <w:rtl/>
          <w:lang w:eastAsia="en-US"/>
        </w:rPr>
        <w:tab/>
        <w:t>في أيلول/سبتمبر 1996، نشرت هيئة التعليم المتقدم والتنمية الوظيفية الطبعة الأولى من منشور “المرأة اليوم”. وهذا المنشور يزود المرأة التي لم تكن تعمل خارج البيت بأسس للتخطيط فيما قبل الالتحاق بالوظيفة لمساعدتها على اكتساب المهارات التنظيمية وإمكانية تنظيم الوقت والتخطيط المهني. أما المحصلة المقصودة فتتمثل في مساعدة هذه الفئة على تحقيق المزيد من الاستقلالية.</w:t>
      </w:r>
    </w:p>
    <w:p w:rsidR="00000000" w:rsidRDefault="00000000">
      <w:pPr>
        <w:pStyle w:val="SingleTxt"/>
        <w:tabs>
          <w:tab w:val="clear" w:pos="1930"/>
          <w:tab w:val="left" w:pos="2053"/>
        </w:tabs>
        <w:rPr>
          <w:rtl/>
          <w:lang w:eastAsia="en-US"/>
        </w:rPr>
      </w:pPr>
      <w:r>
        <w:rPr>
          <w:rtl/>
          <w:lang w:eastAsia="en-US"/>
        </w:rPr>
        <w:t>976 -</w:t>
      </w:r>
      <w:r>
        <w:rPr>
          <w:rtl/>
          <w:lang w:eastAsia="en-US"/>
        </w:rPr>
        <w:tab/>
        <w:t>وفي آذار/مارس 1998 تم نشر الطبعة الثانية من منشور “المرأة اليوم” ويقدم المعلومات في مجال رعاية الطفل وبدائل العمل والتعلم المستمر للنساء اللائي يلتحقن أو يعاودن الالتحاق بقوة العمل.</w:t>
      </w:r>
    </w:p>
    <w:p w:rsidR="00000000" w:rsidRDefault="00000000">
      <w:pPr>
        <w:pStyle w:val="SingleTxt"/>
        <w:tabs>
          <w:tab w:val="clear" w:pos="1930"/>
          <w:tab w:val="left" w:pos="2053"/>
        </w:tabs>
        <w:rPr>
          <w:rtl/>
          <w:lang w:eastAsia="en-US"/>
        </w:rPr>
      </w:pPr>
      <w:r>
        <w:rPr>
          <w:rtl/>
          <w:lang w:eastAsia="en-US"/>
        </w:rPr>
        <w:t>977 -</w:t>
      </w:r>
      <w:r>
        <w:rPr>
          <w:rtl/>
          <w:lang w:eastAsia="en-US"/>
        </w:rPr>
        <w:tab/>
        <w:t>ويتاح لكل سكان ألبرتا سُبل الوصول المتكافئ إلى مجموعة واسعة من برامج التنمية الوظيفية والخدمات المقدمة في هذا المجال. وجميعهم متاح لهم سُبل الحصول على المعلومات المتعلقة بالتنمية الوظيفية وإعادة التدريب عن طريق مراكز التنمية الوظيفية. والتمويل متاح (على شكل قروض ومِنَح وزمالات وإعانات) للطلاب الذين يشاركون في دورات التلمذة الصناعية والتدريب المهني المتقدم والتدريب المتكرر على أساس من التفرغ الكامل أو الجزئي.</w:t>
      </w:r>
    </w:p>
    <w:p w:rsidR="00000000" w:rsidRDefault="00000000">
      <w:pPr>
        <w:pStyle w:val="SingleTxt"/>
        <w:tabs>
          <w:tab w:val="clear" w:pos="1930"/>
          <w:tab w:val="left" w:pos="2053"/>
        </w:tabs>
        <w:rPr>
          <w:b/>
          <w:bCs/>
          <w:szCs w:val="32"/>
          <w:rtl/>
          <w:lang w:eastAsia="en-US"/>
        </w:rPr>
      </w:pPr>
      <w:r>
        <w:rPr>
          <w:b/>
          <w:bCs/>
          <w:szCs w:val="32"/>
          <w:rtl/>
          <w:lang w:eastAsia="en-US"/>
        </w:rPr>
        <w:t xml:space="preserve">المادة 11 </w:t>
      </w:r>
      <w:r>
        <w:rPr>
          <w:b/>
          <w:bCs/>
          <w:szCs w:val="32"/>
          <w:lang w:eastAsia="en-US"/>
        </w:rPr>
        <w:t>–</w:t>
      </w:r>
      <w:r>
        <w:rPr>
          <w:b/>
          <w:bCs/>
          <w:szCs w:val="32"/>
          <w:rtl/>
          <w:lang w:eastAsia="en-US"/>
        </w:rPr>
        <w:t xml:space="preserve"> 2: الحماية ضد التمييز على أسس الزواج أو الأمومة</w:t>
      </w:r>
    </w:p>
    <w:p w:rsidR="00000000" w:rsidRDefault="00000000">
      <w:pPr>
        <w:pStyle w:val="SingleTxt"/>
        <w:tabs>
          <w:tab w:val="clear" w:pos="1930"/>
          <w:tab w:val="left" w:pos="2053"/>
        </w:tabs>
        <w:rPr>
          <w:rtl/>
          <w:lang w:eastAsia="en-US"/>
        </w:rPr>
      </w:pPr>
      <w:r>
        <w:rPr>
          <w:rtl/>
          <w:lang w:eastAsia="en-US"/>
        </w:rPr>
        <w:t>978 -</w:t>
      </w:r>
      <w:r>
        <w:rPr>
          <w:rtl/>
          <w:lang w:eastAsia="en-US"/>
        </w:rPr>
        <w:tab/>
        <w:t>يحظر قانون حقوق الإنسان والمواطنة والتعددية الثقافية التمييز على أساس نوع الجنس أو الحالة الأسرية أو الحالة الزواجية.</w:t>
      </w:r>
    </w:p>
    <w:p w:rsidR="00000000" w:rsidRDefault="00000000">
      <w:pPr>
        <w:pStyle w:val="SingleTxt"/>
        <w:tabs>
          <w:tab w:val="clear" w:pos="1930"/>
          <w:tab w:val="left" w:pos="2053"/>
        </w:tabs>
        <w:rPr>
          <w:b/>
          <w:bCs/>
          <w:szCs w:val="32"/>
          <w:rtl/>
          <w:lang w:eastAsia="en-US"/>
        </w:rPr>
      </w:pPr>
      <w:r>
        <w:rPr>
          <w:b/>
          <w:bCs/>
          <w:szCs w:val="32"/>
          <w:rtl/>
          <w:lang w:eastAsia="en-US"/>
        </w:rPr>
        <w:t xml:space="preserve">المادة 11 </w:t>
      </w:r>
      <w:r>
        <w:rPr>
          <w:b/>
          <w:bCs/>
          <w:szCs w:val="32"/>
          <w:lang w:eastAsia="en-US"/>
        </w:rPr>
        <w:t>–</w:t>
      </w:r>
      <w:r>
        <w:rPr>
          <w:b/>
          <w:bCs/>
          <w:szCs w:val="32"/>
          <w:rtl/>
          <w:lang w:eastAsia="en-US"/>
        </w:rPr>
        <w:t xml:space="preserve"> 2 (ب): إجازة الأمومة</w:t>
      </w:r>
    </w:p>
    <w:p w:rsidR="00000000" w:rsidRDefault="00000000">
      <w:pPr>
        <w:pStyle w:val="SingleTxt"/>
        <w:tabs>
          <w:tab w:val="clear" w:pos="1930"/>
          <w:tab w:val="left" w:pos="2053"/>
        </w:tabs>
        <w:rPr>
          <w:rtl/>
          <w:lang w:eastAsia="en-US"/>
        </w:rPr>
      </w:pPr>
      <w:r>
        <w:rPr>
          <w:rtl/>
          <w:lang w:eastAsia="en-US"/>
        </w:rPr>
        <w:t>979 -</w:t>
      </w:r>
      <w:r>
        <w:rPr>
          <w:rtl/>
          <w:lang w:eastAsia="en-US"/>
        </w:rPr>
        <w:tab/>
        <w:t>بمقتضى قانون معايير التوظيف في ألبرتا، فمن حق المرأة الموظفة لمدة 12 شهرا متتابعة لدى نفس صاحب العمل، الحصول على إجازة أمومة غير مدفوعة لمدة 18 أسبوعا. وقد تبدأ الإجازة في أي وقت خلال الأسابيع الإثني عشر قبل الموعد المقدر للولادة. والموظفات العائدات من إجازة أمومة ينبغي إعادة تنسيبهن في نفس الوظيفة أو في وظيفة مقارنة وبأجور ومزايا أخرى مساوية على الأقل لتلك التي كن يتلقينها عندما بدأت الإجازة.</w:t>
      </w:r>
    </w:p>
    <w:p w:rsidR="00000000" w:rsidRDefault="00000000">
      <w:pPr>
        <w:pStyle w:val="SingleTxt"/>
        <w:tabs>
          <w:tab w:val="clear" w:pos="1930"/>
          <w:tab w:val="left" w:pos="2053"/>
        </w:tabs>
        <w:rPr>
          <w:rtl/>
          <w:lang w:eastAsia="en-US"/>
        </w:rPr>
      </w:pPr>
      <w:r>
        <w:rPr>
          <w:rtl/>
          <w:lang w:eastAsia="en-US"/>
        </w:rPr>
        <w:t>980 -</w:t>
      </w:r>
      <w:r>
        <w:rPr>
          <w:rtl/>
          <w:lang w:eastAsia="en-US"/>
        </w:rPr>
        <w:tab/>
        <w:t>وما زال من حق المستخدَمات الحوامل أن يعامَلن بوصفهن موظفين مرضى بالنسبة للجزء “المتصل بالصحة” من فترة غياب خلال الحمل بما في ذلك فترة ما بعد الوضع. ونتيجة لذلك فمن حقهن الحصول على استحقاقات المرض خلال الجزء المتصل بالصحة من تلك الإجازة.</w:t>
      </w:r>
    </w:p>
    <w:p w:rsidR="00000000" w:rsidRDefault="00000000">
      <w:pPr>
        <w:pStyle w:val="SingleTxt"/>
        <w:tabs>
          <w:tab w:val="clear" w:pos="1930"/>
          <w:tab w:val="left" w:pos="2053"/>
        </w:tabs>
        <w:rPr>
          <w:b/>
          <w:bCs/>
          <w:szCs w:val="32"/>
          <w:rtl/>
          <w:lang w:eastAsia="en-US"/>
        </w:rPr>
      </w:pPr>
      <w:r>
        <w:rPr>
          <w:b/>
          <w:bCs/>
          <w:szCs w:val="32"/>
          <w:rtl/>
          <w:lang w:eastAsia="en-US"/>
        </w:rPr>
        <w:t xml:space="preserve">المادتان 11 </w:t>
      </w:r>
      <w:r>
        <w:rPr>
          <w:b/>
          <w:bCs/>
          <w:szCs w:val="32"/>
          <w:lang w:eastAsia="en-US"/>
        </w:rPr>
        <w:t>–</w:t>
      </w:r>
      <w:r>
        <w:rPr>
          <w:b/>
          <w:bCs/>
          <w:szCs w:val="32"/>
          <w:rtl/>
          <w:lang w:eastAsia="en-US"/>
        </w:rPr>
        <w:t xml:space="preserve"> 1 (و) و 11 </w:t>
      </w:r>
      <w:r>
        <w:rPr>
          <w:b/>
          <w:bCs/>
          <w:szCs w:val="32"/>
          <w:lang w:eastAsia="en-US"/>
        </w:rPr>
        <w:t>–</w:t>
      </w:r>
      <w:r>
        <w:rPr>
          <w:b/>
          <w:bCs/>
          <w:szCs w:val="32"/>
          <w:rtl/>
          <w:lang w:eastAsia="en-US"/>
        </w:rPr>
        <w:t xml:space="preserve"> 2 (د): الصحة والسلامة المهنية والحق في السلامة في ظل ظروف العمل والحماية الخاصة للنساء خلال فترة الحمل</w:t>
      </w:r>
    </w:p>
    <w:p w:rsidR="00000000" w:rsidRDefault="00000000">
      <w:pPr>
        <w:pStyle w:val="SingleTxt"/>
        <w:tabs>
          <w:tab w:val="clear" w:pos="1930"/>
          <w:tab w:val="left" w:pos="2053"/>
        </w:tabs>
        <w:rPr>
          <w:rtl/>
          <w:lang w:eastAsia="en-US"/>
        </w:rPr>
      </w:pPr>
      <w:r>
        <w:rPr>
          <w:rtl/>
          <w:lang w:eastAsia="en-US"/>
        </w:rPr>
        <w:t>981 -</w:t>
      </w:r>
      <w:r>
        <w:rPr>
          <w:rtl/>
          <w:lang w:eastAsia="en-US"/>
        </w:rPr>
        <w:tab/>
        <w:t>أدى تعديل على لائحة الحماية من الإشعاع في ألبرتا في عام 1997 إلى تخفيف نطاق التعـــرُّض للإشعــــاع المتأيِّن بالنسبـــة للعاملين في مجال الأشعة خلال فترة الحمل إلى حدود 2 مم من وحدة الإشعاع فور الإعلان عن وجود الحمل.</w:t>
      </w:r>
    </w:p>
    <w:p w:rsidR="00000000" w:rsidRDefault="00000000">
      <w:pPr>
        <w:pStyle w:val="SingleTxt"/>
        <w:tabs>
          <w:tab w:val="clear" w:pos="1930"/>
          <w:tab w:val="left" w:pos="2053"/>
        </w:tabs>
        <w:rPr>
          <w:b/>
          <w:bCs/>
          <w:szCs w:val="32"/>
          <w:rtl/>
          <w:lang w:eastAsia="en-US"/>
        </w:rPr>
      </w:pPr>
      <w:r>
        <w:rPr>
          <w:b/>
          <w:bCs/>
          <w:szCs w:val="32"/>
          <w:rtl/>
          <w:lang w:eastAsia="en-US"/>
        </w:rPr>
        <w:t>المادة 12: الصحة</w:t>
      </w:r>
    </w:p>
    <w:p w:rsidR="00000000" w:rsidRDefault="00000000">
      <w:pPr>
        <w:pStyle w:val="SingleTxt"/>
        <w:tabs>
          <w:tab w:val="clear" w:pos="1930"/>
          <w:tab w:val="left" w:pos="2053"/>
        </w:tabs>
        <w:rPr>
          <w:rtl/>
          <w:lang w:eastAsia="en-US"/>
        </w:rPr>
      </w:pPr>
      <w:r>
        <w:rPr>
          <w:rtl/>
          <w:lang w:eastAsia="en-US"/>
        </w:rPr>
        <w:t>982 -</w:t>
      </w:r>
      <w:r>
        <w:rPr>
          <w:rtl/>
          <w:lang w:eastAsia="en-US"/>
        </w:rPr>
        <w:tab/>
        <w:t>تعمل دائرة الصحة والرفاه في ألبرتا على وضع برنامج لتطوير عمليات الفحص الجماعي لسرطان الثدي على مستوى المقاطعة. وهذا البرنامج المقتَرح سوف يشمل نشاطا فعَّالا ليضم نساء بين سن الخمسين والتاسعة والستين، حيث اتضح أن برامج الفحص الجماعي المنظمة يمكن أن ينجم عنها أثر إيجابي بالنسبة للكشف المبكر عن سرطان الثدي عندما تكون المرأة أكثر استجابة إلى العلاج. وبالإضافة إلى ذلك فالنساء في هذه المجموعة العمرية تتم إحالتهن تلقائيا ولن يحتجن إلى إحالة من طبيبهن لكي يُكشف عليهن كل سنتين.</w:t>
      </w:r>
    </w:p>
    <w:p w:rsidR="00000000" w:rsidRDefault="00000000">
      <w:pPr>
        <w:pStyle w:val="SingleTxt"/>
        <w:tabs>
          <w:tab w:val="clear" w:pos="1930"/>
          <w:tab w:val="left" w:pos="2053"/>
        </w:tabs>
        <w:rPr>
          <w:rtl/>
          <w:lang w:eastAsia="en-US"/>
        </w:rPr>
      </w:pPr>
      <w:r>
        <w:rPr>
          <w:rtl/>
          <w:lang w:eastAsia="en-US"/>
        </w:rPr>
        <w:t>983 -</w:t>
      </w:r>
      <w:r>
        <w:rPr>
          <w:rtl/>
          <w:lang w:eastAsia="en-US"/>
        </w:rPr>
        <w:tab/>
        <w:t>وتنظر دائرة الصحة والرفاه في ألبرتا في اقتراح مطروح من جانب شبكة الكشف عن سرطان الحوض في ألبرتا بالنسبة إلى برنامج للكشف الجماعي عن سرطان الحوض يتم تنظيمه على مستوى المقاطعة. وقد أوضحت كشوفات العيِّنة أنها وسيلة فعَّالة في الكشف عن الخلايا ما قبل السرطانية بالحوض، ومن ثم فمن خلال الاكتشاف المبكر لها يمكن ممارسة العلاج لمنع استشراء سرطان الحوض.</w:t>
      </w:r>
    </w:p>
    <w:p w:rsidR="00000000" w:rsidRDefault="00000000">
      <w:pPr>
        <w:pStyle w:val="SingleTxt"/>
        <w:tabs>
          <w:tab w:val="clear" w:pos="1930"/>
          <w:tab w:val="left" w:pos="2053"/>
        </w:tabs>
        <w:rPr>
          <w:rtl/>
          <w:lang w:eastAsia="en-US"/>
        </w:rPr>
      </w:pPr>
      <w:r>
        <w:rPr>
          <w:rtl/>
          <w:lang w:eastAsia="en-US"/>
        </w:rPr>
        <w:t>984 -</w:t>
      </w:r>
      <w:r>
        <w:rPr>
          <w:rtl/>
          <w:lang w:eastAsia="en-US"/>
        </w:rPr>
        <w:tab/>
        <w:t>وما برحت الأمراض المنقولة عن طريق الاتصال الجنسي تمثل مشكلة صحية لها أهميتها في ألبرتا وتؤدي برامج التثقيف دورا جوهريا في منع الإصابة بها. وقد تحولت هيئة الصحة والرعاية في ألبرتا من تقديم الخدمات المباشرة إلى حيث باتت تضطلع بدور وضع المعايير أو المحدِّدات على مستوى المقاطعة. وأدى ذلك إلى أن أصبح فرع استراتيجيات صحة السكان يوفر دعما متواصلا إلى مقدمي خدمات التثقيف لمنع الأمراض المنقولة عن طريق الاتصال الجنسي في السلطات الصحية الإقليمية. وعلى سبيل المثال يقوم هذا الفرع بطبع المراجع المتعلقة بهذه الأمراض وإتاحتها للاستخدام في برامج منع الأمراض المنقولة عن طريق الاتصال الجنسي في كل أنحاء المقاطعة. وتشمل الخدمات الأخرى اجتماعا ليومين معنياً بهذه الأمراض، ورسالة إخبارية نصف سنوية تساعد المربين على مواصلة وزيادة معارفهم في هذا الشأن، وخلق الفرص من أجل التعاون والتشارك في مجال التوعية بالأمراض المنقولة عن طريق الاتصال الجنسي.</w:t>
      </w:r>
    </w:p>
    <w:p w:rsidR="00000000" w:rsidRDefault="00000000">
      <w:pPr>
        <w:pStyle w:val="SingleTxt"/>
        <w:tabs>
          <w:tab w:val="clear" w:pos="1930"/>
          <w:tab w:val="left" w:pos="2053"/>
        </w:tabs>
        <w:rPr>
          <w:rtl/>
          <w:lang w:eastAsia="en-US"/>
        </w:rPr>
      </w:pPr>
      <w:r>
        <w:rPr>
          <w:rtl/>
          <w:lang w:eastAsia="en-US"/>
        </w:rPr>
        <w:t>985 -</w:t>
      </w:r>
      <w:r>
        <w:rPr>
          <w:rtl/>
          <w:lang w:eastAsia="en-US"/>
        </w:rPr>
        <w:tab/>
        <w:t>هذا وكانت معدلات التدخين بين الشابات في كندا قد ظلت في حال من التزايد المطرد. وتدل البيانات المستقاة من استقصاء صحة السكان الوطني لعام 1996 على أن نسَب المدخنات بين النساء الكنديات في سن الإنجاب هي: 29 في المائة في المجموعة 15 إلى 19 سنة و 35 في المائة في المجموعة 20 إلى 24 سنة و 33.7 في المائة في المجموعة 25 إلى 34 سنة. وهناك حاليا نسبة 58 في المائة من النساء يدخن وقد استجبن إلى استقصاء الصحة في كندا بشأن التدخين في شباط/فبراير 1995 وما زلن يدخن خلال آخر فترات حملهن، فيما أفادت نسبة 74 في المائة إما بأنهن يدخن أو كن معرَّضات لتدخين شركائهن.</w:t>
      </w:r>
    </w:p>
    <w:p w:rsidR="00000000" w:rsidRDefault="00000000">
      <w:pPr>
        <w:pStyle w:val="SingleTxt"/>
        <w:tabs>
          <w:tab w:val="clear" w:pos="1930"/>
          <w:tab w:val="left" w:pos="2053"/>
        </w:tabs>
        <w:rPr>
          <w:rtl/>
          <w:lang w:eastAsia="en-US"/>
        </w:rPr>
      </w:pPr>
      <w:r>
        <w:rPr>
          <w:rtl/>
          <w:lang w:eastAsia="en-US"/>
        </w:rPr>
        <w:t>986 -</w:t>
      </w:r>
      <w:r>
        <w:rPr>
          <w:rtl/>
          <w:lang w:eastAsia="en-US"/>
        </w:rPr>
        <w:tab/>
        <w:t>وقد اعتَمدت خطة ألبرتا لخفض تعاطي الدخان، كما موَّلت في عام 1998 بمبلغ 000 750 دولار، استجابة مبتكرة موضوعة على أساس النتائج للتأكيد على أهمية أن يتحرر البشر والاقتصاد والبيئة على صعيد المقاطعة من الآثار الضارة الناجمة عن تعاطي التبغ. وزاد التمويل السنوي إلى مليون دولار في عام 1999. وكما هو موضح في الخطة فإن الاستراتيجية الشاملة المذكورة المتعددة الوجوه، والهادفة إلى عنصر التخفيض تجمع بين السياسة المتبعة إزاء التبغ وبين التسويق الاجتماعي والامتناع عن التعاطي واتخاذ الإجراءات المحلية وبرامج الشباب ومواقع العمل والدعوة في وسائل الإعلام. وتركِّز الخطة على أربعة اتجاهات استراتيجية رئيسية: شباب متحرر من التبغ وهواء نظيف في الداخل من أجل التنفس والصحة والسلامة في موقع العمل ثم مؤازرة المدخنين الذين يريدون الامتناع عن التدخين. وقد تم تشكيل تحالف ألبرتا لتقليل تعاطي التبغ من أجل تنفيذ الخطة.</w:t>
      </w:r>
    </w:p>
    <w:p w:rsidR="00000000" w:rsidRDefault="00000000">
      <w:pPr>
        <w:pStyle w:val="SingleTxt"/>
        <w:tabs>
          <w:tab w:val="clear" w:pos="1930"/>
          <w:tab w:val="left" w:pos="2053"/>
        </w:tabs>
        <w:rPr>
          <w:rtl/>
          <w:lang w:eastAsia="en-US"/>
        </w:rPr>
      </w:pPr>
      <w:r>
        <w:rPr>
          <w:rtl/>
          <w:lang w:eastAsia="en-US"/>
        </w:rPr>
        <w:t>987 -</w:t>
      </w:r>
      <w:r>
        <w:rPr>
          <w:rtl/>
          <w:lang w:eastAsia="en-US"/>
        </w:rPr>
        <w:tab/>
        <w:t>وفي مجال الصحة قبل وبعد الولادة، تواصل سلطات الصحة الإقليمية إتاحة الفرصة من أجل التوعية وإسداء المشورة قبل الوضع لجميع الأمهات وأُسرهن إذا ما اخترن الانتفاع من هذه الخدمات. وقد حضرت نسبة 65 من النساء شكلاً من أشكال فصول ما قبل الولادة وتراوح ذلك من نسبة منخفضة هي 45 في المائة بين النساء دون الثامنة عشرة إلى نسبة مرتفعة هي 75 في المائة بين النساء في المجموعة العمرية 30 إلى 34 سنة.</w:t>
      </w:r>
    </w:p>
    <w:p w:rsidR="00000000" w:rsidRDefault="00000000">
      <w:pPr>
        <w:pStyle w:val="SingleTxt"/>
        <w:tabs>
          <w:tab w:val="clear" w:pos="1930"/>
          <w:tab w:val="left" w:pos="2053"/>
        </w:tabs>
        <w:rPr>
          <w:rtl/>
          <w:lang w:eastAsia="en-US"/>
        </w:rPr>
      </w:pPr>
      <w:r>
        <w:rPr>
          <w:rtl/>
          <w:lang w:eastAsia="en-US"/>
        </w:rPr>
        <w:t>988 -</w:t>
      </w:r>
      <w:r>
        <w:rPr>
          <w:rtl/>
          <w:lang w:eastAsia="en-US"/>
        </w:rPr>
        <w:tab/>
        <w:t>وتقدِّم سلطات الصحة الإقليمية برامج مصممة بصورة خاصة للمرأة، ومنها مثلا فصول ما قبل الولادة تستخدم لغات خلاف الإنكليزية أو تجمع بين عناصر ثقافات مختلفة.</w:t>
      </w:r>
    </w:p>
    <w:p w:rsidR="00000000" w:rsidRDefault="00000000">
      <w:pPr>
        <w:pStyle w:val="SingleTxt"/>
        <w:tabs>
          <w:tab w:val="clear" w:pos="1930"/>
          <w:tab w:val="left" w:pos="2053"/>
        </w:tabs>
        <w:rPr>
          <w:rtl/>
          <w:lang w:eastAsia="en-US"/>
        </w:rPr>
      </w:pPr>
      <w:r>
        <w:rPr>
          <w:rtl/>
          <w:lang w:eastAsia="en-US"/>
        </w:rPr>
        <w:t>989 -</w:t>
      </w:r>
      <w:r>
        <w:rPr>
          <w:rtl/>
          <w:lang w:eastAsia="en-US"/>
        </w:rPr>
        <w:tab/>
        <w:t>ويقصد بزيارات ما قبل الولادة التي يقوم بها الأطباء، رصد تقدم الحمل وكفالة القيام بالتدخلات اللازمة في الوقت المناسب. وبين صفوف النساء ممن تجاوزن سن الخامسة والعشرين. تلقت نسبة 97 في المائة 4 زيارات أو أكثر قبل الولادة خلال سياق الحمل. على أن عدد الزيارات كان الأدنى بين النساء دون سن العشرين.</w:t>
      </w:r>
    </w:p>
    <w:p w:rsidR="00000000" w:rsidRDefault="00000000">
      <w:pPr>
        <w:pStyle w:val="SingleTxt"/>
        <w:tabs>
          <w:tab w:val="clear" w:pos="1930"/>
          <w:tab w:val="left" w:pos="2053"/>
        </w:tabs>
        <w:rPr>
          <w:rtl/>
          <w:lang w:eastAsia="en-US"/>
        </w:rPr>
      </w:pPr>
      <w:r>
        <w:rPr>
          <w:rtl/>
          <w:lang w:eastAsia="en-US"/>
        </w:rPr>
        <w:t>990 -</w:t>
      </w:r>
      <w:r>
        <w:rPr>
          <w:rtl/>
          <w:lang w:eastAsia="en-US"/>
        </w:rPr>
        <w:tab/>
        <w:t>وأصبحت القبالة مهنة منظمة في ألبرتا في عام 1994. وفي عام 1998 تم تسجيل أولى القابلات في المقاطعة ثم بدأن في تقديم خدماتهن للجمهور بوصفهن من الممارسات المأذونات المزودات بمعايير معتمدة للممارسة.</w:t>
      </w:r>
    </w:p>
    <w:p w:rsidR="00000000" w:rsidRDefault="00000000">
      <w:pPr>
        <w:pStyle w:val="SingleTxt"/>
        <w:tabs>
          <w:tab w:val="clear" w:pos="1930"/>
          <w:tab w:val="left" w:pos="2053"/>
        </w:tabs>
        <w:rPr>
          <w:rtl/>
          <w:lang w:eastAsia="en-US"/>
        </w:rPr>
      </w:pPr>
      <w:r>
        <w:rPr>
          <w:rtl/>
          <w:lang w:eastAsia="en-US"/>
        </w:rPr>
        <w:t>991 -</w:t>
      </w:r>
      <w:r>
        <w:rPr>
          <w:rtl/>
          <w:lang w:eastAsia="en-US"/>
        </w:rPr>
        <w:tab/>
        <w:t>وكان ثمة مبادرة بعنوان “أنتم مدهشون” تتم على مدار ثلاث سنوات في كل أنحاء المقاطعة، وتستهدف الوالدين بين سن 18 إلى 30 سنة. وقد صممت هذه المبادرة لزيادة الوعي والفهم لدى هؤلاء الآباء والأمهات بشأن العوامل الكثيرة التي تؤثر على صحتهم. وقد هيأت التشجيع لهم وزودتهم بأفكار لتعزيز صحة أسرهم. وكانت مبادرة “أنتم مدهشون” عبارة عن جهد مشترك بين القطاعات وشملت شركاء من المؤسسات.</w:t>
      </w:r>
    </w:p>
    <w:p w:rsidR="00000000" w:rsidRDefault="00000000">
      <w:pPr>
        <w:pStyle w:val="SingleTxt"/>
        <w:tabs>
          <w:tab w:val="clear" w:pos="1930"/>
          <w:tab w:val="left" w:pos="2053"/>
        </w:tabs>
        <w:rPr>
          <w:b/>
          <w:bCs/>
          <w:szCs w:val="32"/>
          <w:rtl/>
          <w:lang w:eastAsia="en-US"/>
        </w:rPr>
      </w:pPr>
      <w:r>
        <w:rPr>
          <w:b/>
          <w:bCs/>
          <w:szCs w:val="32"/>
          <w:rtl/>
          <w:lang w:eastAsia="en-US"/>
        </w:rPr>
        <w:t>المادة 13 (أ): الحق في المزايا الأسرية</w:t>
      </w:r>
    </w:p>
    <w:p w:rsidR="00000000" w:rsidRDefault="00000000">
      <w:pPr>
        <w:pStyle w:val="SingleTxt"/>
        <w:tabs>
          <w:tab w:val="clear" w:pos="1930"/>
          <w:tab w:val="left" w:pos="2053"/>
        </w:tabs>
        <w:rPr>
          <w:rtl/>
          <w:lang w:eastAsia="en-US"/>
        </w:rPr>
      </w:pPr>
      <w:r>
        <w:rPr>
          <w:rtl/>
          <w:lang w:eastAsia="en-US"/>
        </w:rPr>
        <w:t>992 -</w:t>
      </w:r>
      <w:r>
        <w:rPr>
          <w:rtl/>
          <w:lang w:eastAsia="en-US"/>
        </w:rPr>
        <w:tab/>
        <w:t>في شباط/فبراير 1998 استهلت ألبرتا برنامج استحقاقات صحة الطفل الذي يكفل تغطية طبية معززة للأطفال في الأُسر العاملة من ذات الدخل المنخفض. وهذا الاستحقاق يغطي الأدوية الموصوفة للأطفال والخدمات المقدمة لعلاج العيون والأسنان والإمدادات اللازمة لعلاج مرض السكري وخدمة الإسعاف في حالات الطوارئ. ويدعم استحقاق صحة الطفل الآباء من ذوي الدخل المنخفض الذين يظلون منخرطين في قوة العمل. وبهذا فإن عدداً أقل من الأُسر، بما في ذلك أُسر الوالد الوحيد، سوف تحتاج إلى استحقاقات الضمان الاجتماعي.</w:t>
      </w:r>
    </w:p>
    <w:p w:rsidR="00000000" w:rsidRDefault="00000000">
      <w:pPr>
        <w:pStyle w:val="SingleTxt"/>
        <w:tabs>
          <w:tab w:val="clear" w:pos="1930"/>
          <w:tab w:val="left" w:pos="2053"/>
        </w:tabs>
        <w:rPr>
          <w:b/>
          <w:bCs/>
          <w:szCs w:val="32"/>
          <w:rtl/>
          <w:lang w:eastAsia="en-US"/>
        </w:rPr>
      </w:pPr>
      <w:r>
        <w:rPr>
          <w:b/>
          <w:bCs/>
          <w:szCs w:val="32"/>
          <w:rtl/>
          <w:lang w:eastAsia="en-US"/>
        </w:rPr>
        <w:t>المادة 15: الحقوق القانونية</w:t>
      </w:r>
    </w:p>
    <w:p w:rsidR="00000000" w:rsidRDefault="00000000">
      <w:pPr>
        <w:pStyle w:val="SingleTxt"/>
        <w:tabs>
          <w:tab w:val="clear" w:pos="1930"/>
          <w:tab w:val="left" w:pos="2053"/>
        </w:tabs>
        <w:rPr>
          <w:rtl/>
          <w:lang w:eastAsia="en-US"/>
        </w:rPr>
      </w:pPr>
      <w:r>
        <w:rPr>
          <w:rtl/>
          <w:lang w:eastAsia="en-US"/>
        </w:rPr>
        <w:t>993 -</w:t>
      </w:r>
      <w:r>
        <w:rPr>
          <w:rtl/>
          <w:lang w:eastAsia="en-US"/>
        </w:rPr>
        <w:tab/>
        <w:t>البرامج التي تستهدف الجناة من البالغين والشابات عادة ما تقدِّم إلى مرافق الإصلاحيات. وينجم عن ذلك نشر بيئة يسودها الجو الطبيعي على مدار فترة الحبس ويتيح لشريحة صغيرة نسبياً من الجناة من النساء فُرص الوصول المتكافئة إلى طائفة واسعة من البرامج والخدمات التي ما كان يمكن أن تتاح اقتصاديا في مؤسسة أصغر مقصورة على النساء.</w:t>
      </w:r>
    </w:p>
    <w:p w:rsidR="00000000" w:rsidRDefault="00000000">
      <w:pPr>
        <w:pStyle w:val="SingleTxt"/>
        <w:tabs>
          <w:tab w:val="clear" w:pos="1930"/>
          <w:tab w:val="left" w:pos="2053"/>
        </w:tabs>
        <w:rPr>
          <w:rtl/>
          <w:lang w:eastAsia="en-US"/>
        </w:rPr>
      </w:pPr>
      <w:r>
        <w:rPr>
          <w:rtl/>
          <w:lang w:eastAsia="en-US"/>
        </w:rPr>
        <w:t>994 -</w:t>
      </w:r>
      <w:r>
        <w:rPr>
          <w:rtl/>
          <w:lang w:eastAsia="en-US"/>
        </w:rPr>
        <w:tab/>
        <w:t>وتصمم برامج الإصلاحيات المشتركة للتشجيع على احترام النفس وتحمل المسؤولية ونشوء العلاقات الإيجابية بين الأشخاص في صفوف المذنبين في إطار ظروف طبيعية قدر الإمكان ضمن الحدود التي يفرضها الاحتجاز.</w:t>
      </w:r>
    </w:p>
    <w:p w:rsidR="00000000" w:rsidRDefault="00000000">
      <w:pPr>
        <w:pStyle w:val="SingleTxt"/>
        <w:tabs>
          <w:tab w:val="clear" w:pos="1930"/>
          <w:tab w:val="left" w:pos="2053"/>
        </w:tabs>
        <w:rPr>
          <w:rtl/>
          <w:lang w:eastAsia="en-US"/>
        </w:rPr>
      </w:pPr>
      <w:r>
        <w:rPr>
          <w:rtl/>
          <w:lang w:eastAsia="en-US"/>
        </w:rPr>
        <w:t>995 -</w:t>
      </w:r>
      <w:r>
        <w:rPr>
          <w:rtl/>
          <w:lang w:eastAsia="en-US"/>
        </w:rPr>
        <w:tab/>
        <w:t>ويطلب إلى مراكز الإصلاحيات في ألبرتا، التي تؤوي المذنبين من الإناث والذكور، أن تراعي الاحتياجات المعيَّنة الخاصة بالإناث. أما البرامج المصممة تحديدا للمذنبات، أو البرامج التي لن تشعر فيها الإناث بالراحة عندما يشتركن فيها في ظل وجود مذنبين من الذكور، فينظر إليها على أنها عناصر تكميلية وليست بديلة عن برامج الإصلاحيات المشتركة. وتُقدَّم البرامج تحديدا للنساء شاملة الجوانب الروحية لقدامى السكان والمهارات الحياتية وكظم مشاعر الغيظ والعنف الأسري وتعاطي المخدرات والتوعية والرعاية الصحية ومعالجة الاكتئاب. ولا تملك جميع المراكز الموارد التي تتيح لها تقديم جميع هذه البرامج. ومع ذلك يُبذل كل جهد ممكن من أجل التصدي للاحتياجات المحددة لكل من المذنبين الأفراد.</w:t>
      </w:r>
    </w:p>
    <w:p w:rsidR="00000000" w:rsidRDefault="00000000">
      <w:pPr>
        <w:pStyle w:val="SingleTxt"/>
        <w:tabs>
          <w:tab w:val="clear" w:pos="1930"/>
          <w:tab w:val="left" w:pos="2053"/>
        </w:tabs>
        <w:rPr>
          <w:rtl/>
          <w:lang w:eastAsia="en-US"/>
        </w:rPr>
      </w:pPr>
      <w:r>
        <w:rPr>
          <w:rtl/>
          <w:lang w:eastAsia="en-US"/>
        </w:rPr>
        <w:t>996 -</w:t>
      </w:r>
      <w:r>
        <w:rPr>
          <w:rtl/>
          <w:lang w:eastAsia="en-US"/>
        </w:rPr>
        <w:tab/>
        <w:t>وتتمثل أهداف البرامج المقدمة للمذنبات المقيمات في مراكز إصلاحيات ألبرتا في ضمان أن تكون هذه البرامج: معالجة من منظور شامل ومعبرة عن الحقائق الاجتماعية للنساء وداعمة لتنمية احترام النفس والاستقلالية وعنصر الخيار الشخصي وموجهة نحو الخروج إلى المجتمع ومجهزة ومزودة بطريقة تراعي الحساسيات الثقافية إضافة إلى تركيزها على قضايا تحسين ظروف الأسرة وتنمية مهارات العيش المستقل وحل القضايا الاجتماعية/النفسانية.</w:t>
      </w:r>
    </w:p>
    <w:p w:rsidR="00000000" w:rsidRDefault="00000000">
      <w:pPr>
        <w:pStyle w:val="SingleTxt"/>
        <w:tabs>
          <w:tab w:val="clear" w:pos="1930"/>
          <w:tab w:val="left" w:pos="2053"/>
        </w:tabs>
        <w:rPr>
          <w:rtl/>
          <w:lang w:eastAsia="en-US"/>
        </w:rPr>
      </w:pPr>
      <w:r>
        <w:rPr>
          <w:rtl/>
          <w:lang w:eastAsia="en-US"/>
        </w:rPr>
        <w:t>997 -</w:t>
      </w:r>
      <w:r>
        <w:rPr>
          <w:rtl/>
          <w:lang w:eastAsia="en-US"/>
        </w:rPr>
        <w:tab/>
        <w:t>ثم واصل صندوق مساعدة برامج المجني عليهم (المؤسس عام 1991) العمل خلال طول فترة الإبلاغ. ويودع في الصندوق مبالغ الغرامات الإضافية التي تفرضها المحاكم على الذين تثبت إدانتهم بموجب القانون الجنائي وقانون مكافحة المخدرات وقانون الأغذية والعقاقير. وللأفراد أو المنظمات والجماعات الذين يقومون أو يقترحون القيام بتزويد ضحايا الجرائم بالخدمات أن يتقدموا بطلبات للتمويل. وبرغم أن الأموال ليست موجهة تحديدا إلى المرأة إلا أن الأمر انطوى على رصد مبالغ لصالح دور المأوى للنساء ومراكز ضحايا الاعتداء الجنسي بين بنود أخرى. ويبلغ إجمالي الأموال نحو 000 500 دولار سنويا.</w:t>
      </w:r>
    </w:p>
    <w:p w:rsidR="00000000" w:rsidRDefault="00000000">
      <w:pPr>
        <w:pStyle w:val="SingleTxt"/>
        <w:tabs>
          <w:tab w:val="clear" w:pos="1930"/>
          <w:tab w:val="left" w:pos="2053"/>
        </w:tabs>
        <w:rPr>
          <w:b/>
          <w:bCs/>
          <w:szCs w:val="32"/>
          <w:rtl/>
          <w:lang w:eastAsia="en-US"/>
        </w:rPr>
      </w:pPr>
      <w:r>
        <w:rPr>
          <w:b/>
          <w:bCs/>
          <w:szCs w:val="32"/>
          <w:rtl/>
          <w:lang w:eastAsia="en-US"/>
        </w:rPr>
        <w:t>المادة 16: المرأة والأسرة</w:t>
      </w:r>
    </w:p>
    <w:p w:rsidR="00000000" w:rsidRDefault="00000000">
      <w:pPr>
        <w:pStyle w:val="SingleTxt"/>
        <w:tabs>
          <w:tab w:val="clear" w:pos="1930"/>
          <w:tab w:val="left" w:pos="2053"/>
        </w:tabs>
        <w:rPr>
          <w:rtl/>
          <w:lang w:eastAsia="en-US"/>
        </w:rPr>
      </w:pPr>
      <w:r>
        <w:rPr>
          <w:rtl/>
          <w:lang w:eastAsia="en-US"/>
        </w:rPr>
        <w:t>998 -</w:t>
      </w:r>
      <w:r>
        <w:rPr>
          <w:rtl/>
          <w:lang w:eastAsia="en-US"/>
        </w:rPr>
        <w:tab/>
        <w:t xml:space="preserve">أنجز مكتب منع العنف الأسري برنامجه لمِنَح التمويل لمشروعه المجتمعي في الفترة 1994 </w:t>
      </w:r>
      <w:r>
        <w:rPr>
          <w:lang w:eastAsia="en-US"/>
        </w:rPr>
        <w:t>–</w:t>
      </w:r>
      <w:r>
        <w:rPr>
          <w:rtl/>
          <w:lang w:eastAsia="en-US"/>
        </w:rPr>
        <w:t xml:space="preserve"> 1995. وهذا المكتب الذي سبق إنشاؤه عام 1998 لدعم المبادرات المجتمعية المحددة زمنياً التي تركز على منع العنف الأسري، قدم في السنة المالية 1994 </w:t>
      </w:r>
      <w:r>
        <w:rPr>
          <w:lang w:eastAsia="en-US"/>
        </w:rPr>
        <w:t>–</w:t>
      </w:r>
      <w:r>
        <w:rPr>
          <w:rtl/>
          <w:lang w:eastAsia="en-US"/>
        </w:rPr>
        <w:t xml:space="preserve"> 1995 مبلغ 411 113 دولاراً إلى 27 مشروعا على مستوى المقاطعة بأسرها. وبصورة إجمالية فقد ساهم مكتب منع العنف الأسري بمبلغ 781 845 دولاراً موجهة إلى أكثر من 200 مشروع كان من شأنها دعم المبادرات المبتكرة لمنع العنف الأسري على صعيد المجتمعات المحلية.</w:t>
      </w:r>
    </w:p>
    <w:p w:rsidR="00000000" w:rsidRDefault="00000000">
      <w:pPr>
        <w:pStyle w:val="SingleTxt"/>
        <w:tabs>
          <w:tab w:val="clear" w:pos="1930"/>
          <w:tab w:val="left" w:pos="2053"/>
        </w:tabs>
        <w:rPr>
          <w:rtl/>
          <w:lang w:eastAsia="en-US"/>
        </w:rPr>
      </w:pPr>
      <w:r>
        <w:rPr>
          <w:rtl/>
          <w:lang w:eastAsia="en-US"/>
        </w:rPr>
        <w:t>999 -</w:t>
      </w:r>
      <w:r>
        <w:rPr>
          <w:rtl/>
          <w:lang w:eastAsia="en-US"/>
        </w:rPr>
        <w:tab/>
        <w:t xml:space="preserve">وما برح مكتب منع العنف الأسري يوزع نشرته الإخبارية ربع السنوية </w:t>
      </w:r>
      <w:r>
        <w:rPr>
          <w:lang w:eastAsia="en-US"/>
        </w:rPr>
        <w:t>FOCUS</w:t>
      </w:r>
      <w:r>
        <w:rPr>
          <w:rtl/>
          <w:lang w:eastAsia="en-US"/>
        </w:rPr>
        <w:t>، التي تُلقي الضوء على مواضيع من قبيل قضية النساء المهاجرات المعرضات للإيذاء والعنف داخل الأسرة في المجتمعات الريفية وقضايا السكان الأصليين.</w:t>
      </w:r>
    </w:p>
    <w:p w:rsidR="00000000" w:rsidRDefault="00000000">
      <w:pPr>
        <w:pStyle w:val="SingleTxt"/>
        <w:tabs>
          <w:tab w:val="clear" w:pos="1930"/>
          <w:tab w:val="clear" w:pos="2592"/>
          <w:tab w:val="left" w:pos="2053"/>
          <w:tab w:val="left" w:pos="2195"/>
        </w:tabs>
        <w:rPr>
          <w:rtl/>
          <w:lang w:eastAsia="en-US"/>
        </w:rPr>
      </w:pPr>
      <w:r>
        <w:rPr>
          <w:rtl/>
          <w:lang w:eastAsia="en-US"/>
        </w:rPr>
        <w:t>1000 -</w:t>
      </w:r>
      <w:r>
        <w:rPr>
          <w:rtl/>
          <w:lang w:eastAsia="en-US"/>
        </w:rPr>
        <w:tab/>
        <w:t>وعلى مدار فترة الإبلاغ، قدمت حكومة ألبرتا تمويلا بأكثر من 9 ملايين دولار إلى 17 من دور إيواء النساء في حالات الطواري وإلى 8 من مراكز منع العنف في الأسرة الريفية وإلى وحدتين من دور المرحلة الثانية. وهذه المرافق تكفل للنساء والأطفال المعرضين للأذى المأوى في حالة الأزمات في الأجل القصير إلى ما يصل لسبعة أيام. وبالإضافة إلى ذلك تتيح دور المأوى ومراكز منع العنف بالأسرة الريفية، طائفة متنوعة من الخدمات التي يتم تمويلها من جانب الدوائر المحلية وتقوم على أساس تلبية احتياجات المجتمع المحلي.</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1001 -</w:t>
      </w:r>
      <w:r>
        <w:rPr>
          <w:rtl/>
          <w:lang w:eastAsia="en-US"/>
        </w:rPr>
        <w:tab/>
        <w:t>ويتم تنسيق مبادرات العنف الأسري التي تتخذها حكومة ألبرتا بواسطة اللجنة الوزارية المعنية بالعنف الأسري التي تتألف من ممثلين عن سبع وزارات.</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1002 -</w:t>
      </w:r>
      <w:r>
        <w:rPr>
          <w:rtl/>
          <w:lang w:eastAsia="en-US"/>
        </w:rPr>
        <w:tab/>
        <w:t>وقد ظل مكتب منع العنف الأسري يتعاون بنشاط مع الفروع الأربعة من وزارة العدل في ألبرتا منذ بدء العمل على المستوى الوزاري في عام 1990 في تنفيذ “مبادرات العنف”. وما زالت وزارة العدل تعمل على إشراك مكتب منع العنف الأسري من خلال برامج المشورة وتنظيم حملات التثقيف للشرطة ووكلاء النيابة وموظفي الإصلاحيات وتقدَّم على أساس سنوي.</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1003-</w:t>
      </w:r>
      <w:r>
        <w:rPr>
          <w:rtl/>
          <w:lang w:eastAsia="en-US"/>
        </w:rPr>
        <w:tab/>
        <w:t>وقد تنازلت حكومة ألبرتا عن رسوم بدء الإجراءات بالنسبة إلى أوامر التفريق الزجرية “البقاء بعيدا” في كانون الثاني/يناير 1996 حيث كفل هذا التغيير ألا يشكل الحصول على أمر زجري عقبة للذين يواجهون الخطر ويحتاجون إلى صدور أمر من هذا القبيل ولكن لا يمتلكون الموارد المالية الكافية لدفع رسم تقديم الطلب.</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1004-</w:t>
      </w:r>
      <w:r>
        <w:rPr>
          <w:rtl/>
          <w:lang w:eastAsia="en-US"/>
        </w:rPr>
        <w:tab/>
        <w:t>وفي آذار/مارس 1998 طرحت حكومة ألبرتا مشروع قانون لحماية أفراد الأسرة من العنف المنزلي. ويكفل القانون لأفراد الأسرة الحماية من العنف المنزلي أو التهديد الواقع بصورة معقولة من جراء هذا العنف. وينص القانون على توافر أوامر الحماية في حالة الطوارئ على أساس 24 ساعة من خلال قضاة الصلح فضلاً عن أوامر الحماية الصادرة عن منصة القضاة في محكمة كوين من أجل تأمين سكان ألبرتا من العنف الأسري. ويمكن لهذه الأوامر أن تقضي بقطع الاتصال بين الأطراف كما يمكن أن تمنح حقا حصريا في شغل مسكن الأسرة. ولا تدفع رسوم طلبا لأوامر الحماية. وفضلا عن ذلك تتاح تصاريح الدخول للسلطات من أجل تفقد فرد في الأسرة يمكن أن يكون قد تعرض للعنف الأسري في حالة رفض الوصول إلى الفرد المذكور.</w:t>
      </w:r>
    </w:p>
    <w:p w:rsidR="00000000" w:rsidRDefault="00000000">
      <w:pPr>
        <w:pStyle w:val="SingleTxt"/>
        <w:tabs>
          <w:tab w:val="clear" w:pos="1930"/>
          <w:tab w:val="clear" w:pos="2592"/>
          <w:tab w:val="left" w:pos="2053"/>
          <w:tab w:val="left" w:pos="2195"/>
        </w:tabs>
        <w:ind w:left="1264" w:right="1264"/>
        <w:rPr>
          <w:b/>
          <w:bCs/>
          <w:szCs w:val="32"/>
          <w:rtl/>
          <w:lang w:eastAsia="en-US"/>
        </w:rPr>
      </w:pPr>
      <w:r>
        <w:rPr>
          <w:rtl/>
          <w:lang w:eastAsia="en-US"/>
        </w:rPr>
        <w:br w:type="page"/>
      </w:r>
      <w:r>
        <w:rPr>
          <w:b/>
          <w:bCs/>
          <w:szCs w:val="32"/>
          <w:rtl/>
          <w:lang w:eastAsia="en-US"/>
        </w:rPr>
        <w:t>كولومبيا البريطانية</w:t>
      </w:r>
    </w:p>
    <w:p w:rsidR="00000000" w:rsidRDefault="00000000">
      <w:pPr>
        <w:pStyle w:val="SingleTxt"/>
        <w:tabs>
          <w:tab w:val="clear" w:pos="1930"/>
          <w:tab w:val="clear" w:pos="2592"/>
          <w:tab w:val="left" w:pos="2053"/>
          <w:tab w:val="left" w:pos="2195"/>
        </w:tabs>
        <w:ind w:left="2058" w:right="1264" w:hanging="794"/>
        <w:rPr>
          <w:rtl/>
          <w:lang w:eastAsia="en-US"/>
        </w:rPr>
      </w:pPr>
      <w:r>
        <w:rPr>
          <w:b/>
          <w:bCs/>
          <w:rtl/>
          <w:lang w:eastAsia="en-US"/>
        </w:rPr>
        <w:t>نظرة عامة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1005 -</w:t>
      </w:r>
      <w:r>
        <w:rPr>
          <w:rtl/>
          <w:lang w:eastAsia="en-US"/>
        </w:rPr>
        <w:tab/>
        <w:t>يضم هذا التقرير معلومات عن المبادرات الحكومية فيما يتعلق بالقضاء على التمييز ضد المرأة خلال الفترة 1 نيسان/أبريل 1994 إلى 31 آذار/مارس 1998. وبهذه الصفة تشكِّل هذه الوثيقة مساهمة كولومبيا البريطانية في تقرير كندا الرابع عن اتفاقية القضاء على جميع أشكال التمييز ضد المرأة.</w:t>
      </w:r>
    </w:p>
    <w:p w:rsidR="00000000" w:rsidRDefault="00000000">
      <w:pPr>
        <w:pStyle w:val="SingleTxt"/>
        <w:tabs>
          <w:tab w:val="clear" w:pos="1930"/>
          <w:tab w:val="clear" w:pos="2592"/>
          <w:tab w:val="left" w:pos="2053"/>
          <w:tab w:val="left" w:pos="2195"/>
        </w:tabs>
        <w:ind w:left="1264" w:right="1264"/>
        <w:rPr>
          <w:szCs w:val="32"/>
          <w:rtl/>
          <w:lang w:eastAsia="en-US"/>
        </w:rPr>
      </w:pPr>
      <w:r>
        <w:rPr>
          <w:b/>
          <w:bCs/>
          <w:szCs w:val="32"/>
          <w:rtl/>
          <w:lang w:eastAsia="en-US"/>
        </w:rPr>
        <w:t>المادة 2: تدابير منع التمييز</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1006 -</w:t>
      </w:r>
      <w:r>
        <w:rPr>
          <w:rtl/>
          <w:lang w:eastAsia="en-US"/>
        </w:rPr>
        <w:tab/>
      </w:r>
      <w:r>
        <w:rPr>
          <w:w w:val="105"/>
          <w:rtl/>
          <w:lang w:eastAsia="en-US"/>
        </w:rPr>
        <w:t>بصفة جوهرية يوجد نظامان تشريعيان متداخلان يتصديان لمسألة التمييز ضد المرأة في كولومبيا البريطانية. فأولا هناك الميثاق الكندي للحقوق والحريات (الميثاق). وبوصفه أحد الدعائم الأساسية للدستور الكندي، فإن الميثاق ينطبق على جميع المقاطعات والأقاليم. وثانيا فقد أصدرت كولومبيا البريطانية، شأنها في ذلك شأن جميع المقاطعات الأخرى في كندا، تشريعاتها الخاصة في مجال حقوق الإنسان رامية إلى تعزيز المساواة بين المواطنين. وهذه التشريعات تتمثل في قانون حقوق الإنسان في كولومبيا البريطانية</w:t>
      </w:r>
      <w:r>
        <w:rPr>
          <w:rtl/>
          <w:lang w:eastAsia="en-US"/>
        </w:rPr>
        <w:t xml:space="preserve"> (</w:t>
      </w:r>
      <w:r>
        <w:rPr>
          <w:lang w:eastAsia="en-US"/>
        </w:rPr>
        <w:t>R.S.B.C. 1996, c. 210</w:t>
      </w:r>
      <w:r>
        <w:rPr>
          <w:rtl/>
          <w:lang w:eastAsia="en-US"/>
        </w:rPr>
        <w:t>).</w:t>
      </w:r>
    </w:p>
    <w:p w:rsidR="00000000" w:rsidRDefault="00000000">
      <w:pPr>
        <w:pStyle w:val="SingleTxt"/>
        <w:tabs>
          <w:tab w:val="clear" w:pos="1930"/>
          <w:tab w:val="clear" w:pos="2592"/>
          <w:tab w:val="left" w:pos="2053"/>
          <w:tab w:val="left" w:pos="2195"/>
        </w:tabs>
        <w:ind w:left="1264" w:right="1264"/>
        <w:rPr>
          <w:rtl/>
          <w:lang w:eastAsia="en-US"/>
        </w:rPr>
      </w:pPr>
      <w:r>
        <w:rPr>
          <w:b/>
          <w:bCs/>
          <w:rtl/>
          <w:lang w:eastAsia="en-US"/>
        </w:rPr>
        <w:t>قانون حقوق الإنسان</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1007 -</w:t>
      </w:r>
      <w:r>
        <w:rPr>
          <w:rtl/>
          <w:lang w:eastAsia="en-US"/>
        </w:rPr>
        <w:tab/>
        <w:t>على غرار الميثاق فإن قانون حقوق الإنسان في كولومبيا البريطانية (القانون) يحظر بدوره التمييز ضد المرأة. ويتمثل جوهر القانون في الحماية من التمييز في أربعة مجالات واسعة: العمالة والنشر وبيع واستئجار الممتلكات والخدمات والمرافق والسكن المتاح عرفيا للجمهور. وفي كل من هذه المجالات الواسعة الأربعة، فإن التمييز على أساس “الجنس” محظور بصورة صارمة.</w:t>
      </w:r>
    </w:p>
    <w:p w:rsidR="00000000" w:rsidRDefault="00000000">
      <w:pPr>
        <w:pStyle w:val="SingleTxt"/>
        <w:tabs>
          <w:tab w:val="clear" w:pos="1930"/>
          <w:tab w:val="clear" w:pos="2592"/>
          <w:tab w:val="left" w:pos="2053"/>
          <w:tab w:val="left" w:pos="2195"/>
        </w:tabs>
        <w:ind w:left="1264" w:right="1264"/>
        <w:rPr>
          <w:b/>
          <w:bCs/>
          <w:rtl/>
          <w:lang w:eastAsia="en-US"/>
        </w:rPr>
      </w:pPr>
      <w:r>
        <w:rPr>
          <w:b/>
          <w:bCs/>
          <w:rtl/>
          <w:lang w:eastAsia="en-US"/>
        </w:rPr>
        <w:t>أوجه التقدم في مجال حقوق الإنسان في كولومبيا البريطانية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1008 -</w:t>
      </w:r>
      <w:r>
        <w:rPr>
          <w:rtl/>
          <w:lang w:eastAsia="en-US"/>
        </w:rPr>
        <w:tab/>
        <w:t>شهدت الفترة 1994 - 1998 سلسلة من التطورات المهمة في نظام حقوق الإنسان بالمقاطعة. ففي شباط/فبراير 1994 كلفت حكومة المقاطعة أستاذاً في القانون وخبيرا في حقوق الإنسان هو بل بلاك بإجراء استعراض كامل لنظام حقوق الإنسان في كولومبيا البريطانية. وبعد عقد اجتماعات مستفيضة في كل أنحاء المقاطعة، قدم البروفيسور بلاك النتائج التي توصل إليها في أيلول/سبتمبر 1994. وفي تقريره أوصى البروفيسور بلاك بإعادة تنظيم هيكلية وإجرائية لمجلس كولومبيا البريطانية لحقوق الإنسان. وباختصار دَعَا إلى تقسيم المجلس إلى هيئتين مستقلتين هما لجنة ومحكمة بحيث يكون ثمة فصل بين المهام القضائية من ناحية وبين المهام التثقيفية والإعلامية من ناحية أخرى.</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1009 -</w:t>
      </w:r>
      <w:r>
        <w:rPr>
          <w:rtl/>
          <w:lang w:eastAsia="en-US"/>
        </w:rPr>
        <w:tab/>
        <w:t>واعتبارا من 1 كانون الثاني/يناير 1997 اعتمدت حكومة المقاطعة معظم التعديلات الهيكلية والإجرائية التي أوصى بها البروفيسور بلاك وحل محل مجلس كولومبيا البريطانية لحقوق الإنسان لجنة كولومبيا البريطانية لحقوق الإنسان ومحكمة كولومبيا البريطانية لحقوق الإنسان. وفضلا عن ذلك تم إنشاء مجلس استشاري طوعي على مستوى المجتمع المحلي لحقوق الإنسان ليكون أداة لنقل آراء المجتمع إلى لجنة حقوق الإنسان وإلى الوزير المسؤول عن حقوق الإنسان.</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1010 -</w:t>
      </w:r>
      <w:r>
        <w:rPr>
          <w:rtl/>
          <w:lang w:eastAsia="en-US"/>
        </w:rPr>
        <w:tab/>
        <w:t xml:space="preserve">وتضطلع لجنة كولومبيا البريطانية لحقوق الإنسان بدور تثقيفي واسع على مستوى الجمهور. وفيما تتعدد أنشطتها إلى حد كبير للغاية لدرجة يتعذر معها حصرها، فإن ثمة أمثلة مهمة عن مشاركتها في مجال النهوض بمساواة المرأة وتشمل التكليف بإعداد تقرير تحت عنوان “العوامل التي تؤثر على الوضع الاقتصادي للنساء المسنات في كندا: الآثار المترتبة على التقاعد الإجباري” فضلا عن المشاركة في أنشطة للاحتفال باليوم الدولي للمرأة في 8 آذار/مارس وأسبوع منع العنف الموجه ضد المرأة في 16 </w:t>
      </w:r>
      <w:r>
        <w:rPr>
          <w:lang w:eastAsia="en-US"/>
        </w:rPr>
        <w:t>–</w:t>
      </w:r>
      <w:r>
        <w:rPr>
          <w:rtl/>
          <w:lang w:eastAsia="en-US"/>
        </w:rPr>
        <w:t xml:space="preserve"> 22 نيسان/أبريل.</w:t>
      </w:r>
    </w:p>
    <w:p w:rsidR="00000000" w:rsidRDefault="00000000">
      <w:pPr>
        <w:pStyle w:val="SingleTxt"/>
        <w:tabs>
          <w:tab w:val="clear" w:pos="1930"/>
          <w:tab w:val="clear" w:pos="2592"/>
          <w:tab w:val="left" w:pos="2053"/>
          <w:tab w:val="left" w:pos="2195"/>
        </w:tabs>
        <w:ind w:left="1264" w:right="1264"/>
        <w:rPr>
          <w:rtl/>
          <w:lang w:eastAsia="en-US"/>
        </w:rPr>
      </w:pPr>
      <w:r>
        <w:rPr>
          <w:b/>
          <w:bCs/>
          <w:rtl/>
          <w:lang w:eastAsia="en-US"/>
        </w:rPr>
        <w:t>وزارة مساواة المرأة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1011 -</w:t>
      </w:r>
      <w:r>
        <w:rPr>
          <w:rtl/>
          <w:lang w:eastAsia="en-US"/>
        </w:rPr>
        <w:tab/>
        <w:t>في تشرين الثاني/نوفمبر 1991 أنشأت حكومة كولومبيا البريطانية وزارة مساواة المرأة لتكون أول وزارة، بل هي الوزارة الوحيدة المستقلة في كندا، المخصصة للنهوض بالمساواة للمرأة. وتتولى الوزارة المذكورة مهام التشاور والبحث والدعوة والتثقيف بشأن مساواة المرأة ولا سيما في مجالات المساواة الاقتصادية وإنهاء العنف الموجه للمرأة وصحة المرأة والعدالة الاجتماعية. وتعترف الوزارة بتنوع النساء في كولومبيا البريطانية عندما تكفل أن تكون سياساتها وبرامجها وخدماتها متاحة ومستجيبة لاحتياجات جميع النساء.</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1012 -</w:t>
      </w:r>
      <w:r>
        <w:rPr>
          <w:rtl/>
          <w:lang w:eastAsia="en-US"/>
        </w:rPr>
        <w:tab/>
        <w:t>وفي إطار دورها المركزي كهيئة تعمل في مجال الدعوة من أجل الإصلاح الاجتماعي، تقدِّم وزارة وضع المرأة الخبرة في مجال التحليل الجنساني الشامل إلى سائر صانعي القرارات بالحكومة بحيث يتسنى لهم أن يقرروا ما إذا كانت القوانين والسياسات والتوصيات البرنامجية الجديدة تدعم المساواة لصالح المرأة. وخلال فترة الإبلاغ نشرت الوزارة دليلا منقحا بعنوان “العدسة الجنسانية” يتعلق بتحليل شامل للسياسات الجنسانية، كما قدمت التدريب بشأن إدماجه في جميع مراحل وضع السياسات/البرامج وتنفيذها وعمليات تقييمها. ونشرت الوزارة أيضا طبعات جديدة من منشور “أهمية المرأة: نبذة إحصائية عن المرأة في كولومبيا البريطانية” ويضم معلومات تتعلق بتوظيف المرأة وأجورها وتعليمها وصحتها وخبراتها في مجالات العنف وسُبل وصولها إلى مستوى صنع القرارات. وفي إطار استجابات ذات صلة، ساهمت الوزارة في وضع وتوزيع منشور المؤشرات الاقتصادية للمساواة الجنسانية من أجل المساعدة على تخطيط الاستراتيجيات الرامية إلى تعزيز المساواة الاقتصادية للمرأة. كما أصبحت الوزارة المذكورة أعلاه هي الوكالة القائدة لتنفيذ استراتيجية حكومية كبرى تقصد للتصدي لمسألة العنف الموجه ضد المرأة. وتتبع الاستراتيجية نهجا ثلاثي الجوانب: وقف العنف ضد المرأة ودعم المرأة التي تعرضت للعنف ومساعدة المجتمعات المحلية على منع هذا النوع من العنف. وتموِّل الوزارة خدمات التدخل ذات الأساس المجتمعي ومنها مثلا دور الانتقال بما في ذلك تلك المزدودة بالخدمات الخاصة لنساء السكان الأصليين والنساء اللائي يعانين مشاكل في مجال الصحة العقلية أو الإدمان كما تموِّل الوزارة الدور الآمنة ومساكن المرحلة الثانية وبرامج المشورة والمراكز المعنية بالاعتداءات الجنسية والتعدي على المرأة وبرامج التدريب لمقدمي الخدمات المباشرة إضافة إلى برامج تقديم المشورة للرجال المؤذين.</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1013 -</w:t>
      </w:r>
      <w:r>
        <w:rPr>
          <w:rtl/>
          <w:lang w:eastAsia="en-US"/>
        </w:rPr>
        <w:tab/>
        <w:t xml:space="preserve">وفي السنة المالية 1997 </w:t>
      </w:r>
      <w:r>
        <w:rPr>
          <w:lang w:eastAsia="en-US"/>
        </w:rPr>
        <w:t>–</w:t>
      </w:r>
      <w:r>
        <w:rPr>
          <w:rtl/>
          <w:lang w:eastAsia="en-US"/>
        </w:rPr>
        <w:t xml:space="preserve"> 1998 كان عدد العاملين بالوزارة 81 موظفا بميزانية إجمالية تبلغ 38 مليون دولار منها 30.8 مليون دولار مخصصة لمبادرات وقف العنف وهذه المبادرات ظلت تزداد بشكل ملموس من عام 1991 إلى عام 1997.</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1014 -</w:t>
      </w:r>
      <w:r>
        <w:rPr>
          <w:rtl/>
          <w:lang w:eastAsia="en-US"/>
        </w:rPr>
        <w:tab/>
        <w:t xml:space="preserve">وفي إطار أعمالها لتغيير السلوكيات والمواقف والظروف التي تكمن خلف العنف الموجه ضد المرأة، فقد اضطلعت الوزارة بعدد من المبادرات، ومنها مثلا ما تم في عام 1998 عندما استضافت الوزارة ندوتين عن منع العنف حيث عمل ممثلون من قطاعات كثيرة عبر كولومبيا البريطانية على تحديد الاستراتيجيات التي تتصدى للأسباب الجذرية للعنف. كما أطلقت الوزارة، في شراكة مع رابطة الإذاعيين في كولومبيا البريطانية وغيرها من المنظمات المجتمعية، برنامجا مدته 10 سنوات للتوعية العامة بعنوان “الحياة المتحررة من العنف” وهو يطرح قضايا العنف الموجه ضد المرأة ويناقش الأفراد والجماعات من أجل أن يشاركوا في منع هذا السلوك العنيف. كما قُدِّم التمويل من أجل نشر وثائق من قبيل “مستقبل أكثر أمنا للمرأة في كولومبيا البريطانية” والحفاظ على السلامة </w:t>
      </w:r>
      <w:r>
        <w:rPr>
          <w:lang w:eastAsia="en-US"/>
        </w:rPr>
        <w:t>–</w:t>
      </w:r>
      <w:r>
        <w:rPr>
          <w:rtl/>
          <w:lang w:eastAsia="en-US"/>
        </w:rPr>
        <w:t xml:space="preserve"> المرأة في العمل و “لا تعني الرفض” ثم “هل تتعرضين للملاحقة؟”. وهذه المنشورات تعالج قضايا عريضة من قبيل منع العنف الموجه ضد المرأة وكفالة السلامة في مواقع العمل والتصدي للاغتصاب لدى لقاء مواعدة الجنسين وللتحرش الجنائي.</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1015 -</w:t>
      </w:r>
      <w:r>
        <w:rPr>
          <w:rtl/>
          <w:lang w:eastAsia="en-US"/>
        </w:rPr>
        <w:tab/>
        <w:t>ونفذت حكومة المقاطعة تدابير أخرى رامية إلى زيادة السلامة للمرأة بما في ذلك تنفيذ السياسة المتعلقة بالعنف الموجه ضد المرأة في العلاقات التي تضع مسؤولية مسبقة على عاتق الشرطة من أجل توقيف (ومسؤولية على عاتق دوائر التاج من أجل مقاضاة) من يُدَّعى بارتكابهم حوادث الإيذاء. ومن الأمثلة الأخرى على البرامج المركَّزة على المرأة في مجال مكافحة العنف ما يشمل تهيئة هواتف محمولة برقم 911 للنساء ممن يُرى أنهن يواجهن خطرا جسيماً في علاقة عنف في تسعة من المجتمعات المحلية بالمقاطعة. كما دعمت وزارة مساواة المرأة إنشاء سجل مركزي بأوامر الحماية في دائرة المدعي العام لتعزيز سلامة المرأة من خلال تيسير سُبل الحماية المكفولة بموجب الأوامر الزجرية وتعهدات إشاعة السلام وإتاحة وصول الشرطة إلى أوامر الإنفاذ المدنية والجنائية على مدار 24 ساعة في اليوم و 7 أيام في الأسبوع. وأخيرا كانت وزارة مساواة المرأة ناشطة في السعي نحو صدور عفوين بشأن حمل الأسلحة على مستوى المقاطعة كلها من أجل استرعاء النظر إلى سوء استعمال الأسلحة النارية وإلى حالات القتل بين الأزواج واستخدام الأسلحة في حالات التهديد وحالات القسر والاعتداءات البدنية والجنسية الموجهة ضد المرأة. وفي هاتين المبادرتين وحدهما، تم بصورة طوعية تسليم ما يقرب من 000 5 قطعة من الأسلحة النارية وأكثر من 198 من خزانات الذخيرة.</w:t>
      </w:r>
    </w:p>
    <w:p w:rsidR="00000000" w:rsidRDefault="00000000">
      <w:pPr>
        <w:pStyle w:val="SingleTxt"/>
        <w:tabs>
          <w:tab w:val="clear" w:pos="1930"/>
          <w:tab w:val="clear" w:pos="2592"/>
          <w:tab w:val="left" w:pos="2053"/>
          <w:tab w:val="left" w:pos="2195"/>
        </w:tabs>
        <w:ind w:left="1264" w:right="1264"/>
        <w:rPr>
          <w:b/>
          <w:bCs/>
          <w:szCs w:val="32"/>
          <w:rtl/>
          <w:lang w:eastAsia="en-US"/>
        </w:rPr>
      </w:pPr>
      <w:r>
        <w:rPr>
          <w:b/>
          <w:bCs/>
          <w:szCs w:val="32"/>
          <w:rtl/>
          <w:lang w:eastAsia="en-US"/>
        </w:rPr>
        <w:t>المادتان 3 و 7: التدابير الرامية إلى كفالة النهوض بالمرأة والمرأة في مجال السياسة والحياة العامة</w:t>
      </w:r>
    </w:p>
    <w:p w:rsidR="00000000" w:rsidRDefault="00000000">
      <w:pPr>
        <w:pStyle w:val="SingleTxt"/>
        <w:tabs>
          <w:tab w:val="clear" w:pos="1930"/>
          <w:tab w:val="clear" w:pos="2592"/>
          <w:tab w:val="left" w:pos="2053"/>
          <w:tab w:val="left" w:pos="2195"/>
        </w:tabs>
        <w:ind w:left="1264" w:right="1264"/>
        <w:rPr>
          <w:rtl/>
          <w:lang w:eastAsia="en-US"/>
        </w:rPr>
      </w:pPr>
      <w:r>
        <w:rPr>
          <w:b/>
          <w:bCs/>
          <w:rtl/>
          <w:lang w:eastAsia="en-US"/>
        </w:rPr>
        <w:t>الحقوق السياسة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1016 -</w:t>
      </w:r>
      <w:r>
        <w:rPr>
          <w:rtl/>
          <w:lang w:eastAsia="en-US"/>
        </w:rPr>
        <w:tab/>
        <w:t>حق التصويت في الانتخابات الاتحادية مكفول دستوريا في البند 3 من الميثاق الكندي للحقوق والحريات.</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1017 -</w:t>
      </w:r>
      <w:r>
        <w:rPr>
          <w:rtl/>
          <w:lang w:eastAsia="en-US"/>
        </w:rPr>
        <w:tab/>
        <w:t>كما تكفل كولومبيا البريطانية حق جميع المواطنين ممن تزيد أعمارهم على 18 سنة في التصويت في الانتخابات على مستوى المقاطعة والبلديات عملا بقانون الانتخابات (</w:t>
      </w:r>
      <w:r>
        <w:rPr>
          <w:lang w:eastAsia="en-US"/>
        </w:rPr>
        <w:t>R.S.B.C. 1996, c. 106</w:t>
      </w:r>
      <w:r>
        <w:rPr>
          <w:rtl/>
          <w:lang w:eastAsia="en-US"/>
        </w:rPr>
        <w:t xml:space="preserve">) </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1018 -</w:t>
      </w:r>
      <w:r>
        <w:rPr>
          <w:rtl/>
          <w:lang w:eastAsia="en-US"/>
        </w:rPr>
        <w:tab/>
        <w:t>ويمكن الاطلاع على مزيد من المعلومات بشأن حماية الحقوق السياسية في مساهمة كولومبيا البريطانية ضمن تقرير كندا الرابع بشأن العهد الدولي للحقوق المدنية والسياسية.</w:t>
      </w:r>
    </w:p>
    <w:p w:rsidR="00000000" w:rsidRDefault="00000000">
      <w:pPr>
        <w:pStyle w:val="SingleTxt"/>
        <w:tabs>
          <w:tab w:val="clear" w:pos="1930"/>
          <w:tab w:val="clear" w:pos="2592"/>
          <w:tab w:val="left" w:pos="2053"/>
          <w:tab w:val="left" w:pos="2195"/>
        </w:tabs>
        <w:ind w:left="1264" w:right="1264"/>
        <w:rPr>
          <w:rtl/>
          <w:lang w:eastAsia="en-US"/>
        </w:rPr>
      </w:pPr>
      <w:r>
        <w:rPr>
          <w:b/>
          <w:bCs/>
          <w:rtl/>
          <w:lang w:eastAsia="en-US"/>
        </w:rPr>
        <w:t>مشاركة المرأة في مناصب القيادة ضمن الحكومة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1019 -</w:t>
      </w:r>
      <w:r>
        <w:rPr>
          <w:rtl/>
          <w:lang w:eastAsia="en-US"/>
        </w:rPr>
        <w:tab/>
        <w:t>خلال فترة الإبلاغ، عملت وزارة مساواة المرأة على توسيع الفرص المتاحة للنساء للمشاركة في صنع القرارات من خلال الدعوة إلى الإنصاف الجنساني في المجالس واللجان وهيئات التخطيط الحكومية. وفي آذار/مارس 1998 كانت المرأة تشكل 45 في المائة من هذه التعيينات بالمقارنة مع ما يقرب من 25 في المائة عام 1991.</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1020 -</w:t>
      </w:r>
      <w:r>
        <w:rPr>
          <w:rtl/>
          <w:lang w:eastAsia="en-US"/>
        </w:rPr>
        <w:tab/>
        <w:t>وبالإضافة إلى الدعوة من جانب وزارة مساواة المرأة تم تصميم برنامج الإنصاف التوظيفي لحكومة كولومبيا البريطانية بما يكفل توسيع تمثيل المرأة في مناصب المستويات القيادية ضمن سلك الخدمة العامة. وقد مُهدت مسالك واسعة من أجل التشجيع على تعزيز وجود المرأة في القطاع العام.</w:t>
      </w:r>
    </w:p>
    <w:p w:rsidR="00000000" w:rsidRDefault="00000000">
      <w:pPr>
        <w:pStyle w:val="SingleTxt"/>
        <w:tabs>
          <w:tab w:val="clear" w:pos="1930"/>
          <w:tab w:val="clear" w:pos="2592"/>
          <w:tab w:val="left" w:pos="2053"/>
          <w:tab w:val="left" w:pos="2195"/>
        </w:tabs>
        <w:ind w:left="1264" w:right="1264"/>
        <w:rPr>
          <w:rtl/>
          <w:lang w:eastAsia="en-US"/>
        </w:rPr>
      </w:pPr>
      <w:r>
        <w:rPr>
          <w:b/>
          <w:bCs/>
          <w:rtl/>
          <w:lang w:eastAsia="en-US"/>
        </w:rPr>
        <w:t>رعاية الطفل الممولة حكوميا</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1021 -</w:t>
      </w:r>
      <w:r>
        <w:rPr>
          <w:rtl/>
          <w:lang w:eastAsia="en-US"/>
        </w:rPr>
        <w:tab/>
        <w:t>تموِّل حكومة كولومبيا البريطانية طائفة متنوعة من خدمات وأنظمة رعاية الطفولة. وفيما تتولى المرأة بالذات المسؤولية الأولية عن رعاية الطفل فإن هذه الترتيبات يمكن أن تهيئ للمرأة سُبل الوصول الأوسع إلى حيث التدريب والوظائف. وتستخدم ميزانية سنوية بمبلغ 188 مليون دولار لدعم عدد من البرامج المتصلة برعاية الطفل بما في ذلك برنامج دعم رعاية الطفولة الذي يُقدم الدعم المالي للأسر ذات الدخل المنخفض كي تدفع مقابل رعاية أطفالها. كما تدعم الميزانية برنامج المساهمة في التعويضات الذي يساعد برامج رعاية الطفل الجماعية على اجتذاب واستبقاء الموظفين من خلال تكميل أجور مقدمي رعاية الأطفال. كما تدعم الأموال برنامج منحة حوافز صغار الأطفال/الرُضَّع بما يساعد الأسر المعتمدة من مقدمي رعاية الطفولة على تحمل التكاليف الإضافية المرتبطة برعاية صغار الأطفال والرُضَّع. وتمول الحكومة برنامج منح الإصلاحات والإحلال والنقل في حالات الطوارئ من أجل مساعدة مرافق رعاية الطفل على الحفاظ على معايير السلامة والصيانة لأماكن رعاية الطفولة. وأخيرا فمن خلال هذا الاعتماد لمبلغ 188 مليون دولار، تمول الحكومة الرابطات المحلية غير الربحية من خلال برامج الموارد والإحالة لرعاية الأطفال بما يتيح لهذه المنظمات تهيئة سُبل التدريب والدعم والموارد وخدمات الإحالة لمقدمي رعاية الطفولة وللوالدين في أكثر من 170 من المجتمعات المحلية بالمقاطعة.</w:t>
      </w:r>
    </w:p>
    <w:p w:rsidR="00000000" w:rsidRDefault="00000000">
      <w:pPr>
        <w:pStyle w:val="SingleTxt"/>
        <w:tabs>
          <w:tab w:val="clear" w:pos="1930"/>
          <w:tab w:val="clear" w:pos="2592"/>
          <w:tab w:val="left" w:pos="2053"/>
          <w:tab w:val="left" w:pos="2195"/>
        </w:tabs>
        <w:ind w:left="1264" w:right="1264"/>
        <w:rPr>
          <w:b/>
          <w:bCs/>
          <w:szCs w:val="32"/>
          <w:rtl/>
          <w:lang w:eastAsia="en-US"/>
        </w:rPr>
      </w:pPr>
      <w:r>
        <w:rPr>
          <w:b/>
          <w:bCs/>
          <w:szCs w:val="32"/>
          <w:rtl/>
          <w:lang w:eastAsia="en-US"/>
        </w:rPr>
        <w:t>المادة 4: التدابير المؤقتة الخاصة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1022 -</w:t>
      </w:r>
      <w:r>
        <w:rPr>
          <w:rtl/>
          <w:lang w:eastAsia="en-US"/>
        </w:rPr>
        <w:tab/>
        <w:t>يسمح البند 42 من قانون حقوق الإنسان بتنفيذ برامج الإنصاف التوظيفي التي تسعى إلى تحسين مشاركة الفئات المحرومة في قوة العمل بما فيها المرأة.</w:t>
      </w:r>
    </w:p>
    <w:p w:rsidR="00000000" w:rsidRDefault="00000000">
      <w:pPr>
        <w:pStyle w:val="SingleTxt"/>
        <w:tabs>
          <w:tab w:val="clear" w:pos="1930"/>
          <w:tab w:val="clear" w:pos="2592"/>
          <w:tab w:val="left" w:pos="2053"/>
          <w:tab w:val="left" w:pos="2195"/>
        </w:tabs>
        <w:ind w:left="1264" w:right="1264"/>
        <w:rPr>
          <w:b/>
          <w:bCs/>
          <w:szCs w:val="32"/>
          <w:rtl/>
          <w:lang w:eastAsia="en-US"/>
        </w:rPr>
      </w:pPr>
      <w:r>
        <w:rPr>
          <w:b/>
          <w:bCs/>
          <w:szCs w:val="32"/>
          <w:rtl/>
          <w:lang w:eastAsia="en-US"/>
        </w:rPr>
        <w:t>المادة 5: القضاء على الصور النمطية الجامدة</w:t>
      </w:r>
    </w:p>
    <w:p w:rsidR="00000000" w:rsidRDefault="00000000">
      <w:pPr>
        <w:pStyle w:val="SingleTxt"/>
        <w:tabs>
          <w:tab w:val="clear" w:pos="1930"/>
          <w:tab w:val="clear" w:pos="2592"/>
          <w:tab w:val="left" w:pos="2053"/>
          <w:tab w:val="left" w:pos="2195"/>
        </w:tabs>
        <w:ind w:left="1264" w:right="1264"/>
        <w:rPr>
          <w:rtl/>
          <w:lang w:eastAsia="en-US"/>
        </w:rPr>
      </w:pPr>
      <w:r>
        <w:rPr>
          <w:b/>
          <w:bCs/>
          <w:rtl/>
          <w:lang w:eastAsia="en-US"/>
        </w:rPr>
        <w:t>تعديل الأنماط الاجتماعية والثقافية من أجل القضاء على التحيُّزات</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1023 -</w:t>
      </w:r>
      <w:r>
        <w:rPr>
          <w:rtl/>
          <w:lang w:eastAsia="en-US"/>
        </w:rPr>
        <w:tab/>
        <w:t>من التدابير المنفذة من أجل القضاء على تنميط الدور الجنسي والتحيُّز إزاءه، إنتاج شريط فيديو وأدلة للمناقشة تحت عنوان “رفع الأصوات الشابة” ويتدارس هذا العمل أثر عملية التطبيع الاجتماعي الجنساني على صورة الذات والطموحات لدى الشابات. وقد تم إعداد هذا الملف الإعلامي لاستخدام الآباء والمدرسين ومديري المدارس. كما قُدم التمويل الحكومي لصالح المشاريع المجتمعية التي تعزز الصور الإيجابية عن الجسد بالنسبة للنساء الشابات. إضافة إلى البرامج الرامية إلى زيادة اللياقة البدنية وفرص الترويح للفتيات. وأخيراً قُدم التمويل إلى جمعيات غير ربحية من خلال حملة “شركاء في الوعي العلمي” التابعة لوكالة المعلومات والعلم والتكنولوجيا بالمقاطعة من أجل القيام بالمشاريع التي تهدف إلى زيادة اهتمام المرأة والفتاة بالفرص الوظيفية المتصلة بمجال العلم والتكنولوجيا.</w:t>
      </w:r>
    </w:p>
    <w:p w:rsidR="00000000" w:rsidRDefault="00000000">
      <w:pPr>
        <w:pStyle w:val="SingleTxt"/>
        <w:tabs>
          <w:tab w:val="clear" w:pos="1930"/>
          <w:tab w:val="clear" w:pos="2592"/>
          <w:tab w:val="left" w:pos="2053"/>
          <w:tab w:val="left" w:pos="2195"/>
        </w:tabs>
        <w:ind w:left="1264" w:right="1264"/>
        <w:rPr>
          <w:rtl/>
          <w:lang w:eastAsia="en-US"/>
        </w:rPr>
      </w:pPr>
      <w:r>
        <w:rPr>
          <w:b/>
          <w:bCs/>
          <w:rtl/>
          <w:lang w:eastAsia="en-US"/>
        </w:rPr>
        <w:t>التثقيف الأسري</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1024 -</w:t>
      </w:r>
      <w:r>
        <w:rPr>
          <w:rtl/>
          <w:lang w:eastAsia="en-US"/>
        </w:rPr>
        <w:tab/>
        <w:t>يجري التركيز على أهمية الأمومة كوظيفة اجتماعية وكاعتراف بالمسؤولية المشتركة للرجل والمرأة في تنشئة ونماء أطفالهما في إطار القوانين التي من قبيل قانون حقوق الإنسان وقانون معايير التوظيف. ويحمي قانون حقوق الإنسان حق المرأة في إرضاع طفلها بالطرق الطبيعية سواء في العمل أو في الأماكن العامة. وفي متن القانون يقضي كل من البند 8 (الذي يعالج التمييز في الخدمات والمرافق العامة) والبند 13 (الذي يعالج التمييز في العمالة) بحظر التمييز على أساس نوع الجنس. وهذا السبب المحظور من شأنه أن يتسع ليشمل النساء اللائي يرغبن في إرضاع أطفالهن بالطريقة الطبيعية.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1025 -</w:t>
      </w:r>
      <w:r>
        <w:rPr>
          <w:rtl/>
          <w:lang w:eastAsia="en-US"/>
        </w:rPr>
        <w:tab/>
        <w:t>وفيما يتعلق بأوجه الحماية في مجال العمالة، فإن الباب 6 من قانون معايير التوظيف يكفل ضمانات ملموسة للمرأة العاملة بما يتيحه لها من إجازات مقننة تشريعيا للحمل وللمسؤولية الوالدية والأسرية.</w:t>
      </w:r>
    </w:p>
    <w:p w:rsidR="00000000" w:rsidRDefault="00000000">
      <w:pPr>
        <w:pStyle w:val="SingleTxt"/>
        <w:tabs>
          <w:tab w:val="clear" w:pos="1930"/>
          <w:tab w:val="clear" w:pos="2592"/>
          <w:tab w:val="left" w:pos="2053"/>
          <w:tab w:val="left" w:pos="2195"/>
        </w:tabs>
        <w:ind w:left="1264" w:right="1264"/>
        <w:rPr>
          <w:b/>
          <w:bCs/>
          <w:szCs w:val="32"/>
          <w:rtl/>
          <w:lang w:eastAsia="en-US"/>
        </w:rPr>
      </w:pPr>
      <w:r>
        <w:rPr>
          <w:b/>
          <w:bCs/>
          <w:szCs w:val="32"/>
          <w:rtl/>
          <w:lang w:eastAsia="en-US"/>
        </w:rPr>
        <w:t>المادة 6: الاتجار بالنساء والبغاء</w:t>
      </w:r>
    </w:p>
    <w:p w:rsidR="00000000" w:rsidRDefault="00000000">
      <w:pPr>
        <w:pStyle w:val="SingleTxt"/>
        <w:tabs>
          <w:tab w:val="clear" w:pos="1930"/>
          <w:tab w:val="clear" w:pos="2592"/>
          <w:tab w:val="left" w:pos="2053"/>
          <w:tab w:val="left" w:pos="2195"/>
        </w:tabs>
        <w:ind w:left="1264" w:right="1264"/>
        <w:rPr>
          <w:rtl/>
          <w:lang w:eastAsia="en-US"/>
        </w:rPr>
      </w:pPr>
      <w:r>
        <w:rPr>
          <w:b/>
          <w:bCs/>
          <w:rtl/>
          <w:lang w:eastAsia="en-US"/>
        </w:rPr>
        <w:t>اللجنة الوزارية التابعة لمساعد نائب الوزير المعنية بالبغاء والاستغلال الجنسي للشباب</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1026 -</w:t>
      </w:r>
      <w:r>
        <w:rPr>
          <w:rtl/>
          <w:lang w:eastAsia="en-US"/>
        </w:rPr>
        <w:tab/>
        <w:t>في عام 1994 أنشئت لجنة وزارية تابعة لمساعد نائب الوزير معنية بالبغاء والاستغلال الجنسي للشباب. وتتألف اللجنة من ممثلين عن تسع وزارات حكومية بالمقاطعة يجتمعون على أساس منتظم ليضمنوا اتباع نهج إقليمي متكامل إزاء مسألة الاستغلال الجنسي والبغاء. وقد تطورت اللجنة، وما برحت تعمل، على تحسين استجابة حكومية على صعيد المقاطعة تجمع بين جهود الإنفاذ وأوجه الدعم الاجتماعي. كما تقدم اللجنة التمويل لدعم برنامج سنوي صغير للمنح (000 5 دولار لكل مشروع) لصالح أفرقة العمل المجتمعية وغير ذلك من المنظمات التي تقصد إلى التصدي إلى الاستغلال الجنسي للشباب وللمسائل الأخرى المرتبطة بالبغاء على الصعيد المحلي.</w:t>
      </w:r>
    </w:p>
    <w:p w:rsidR="00000000" w:rsidRDefault="00000000">
      <w:pPr>
        <w:pStyle w:val="SingleTxt"/>
        <w:tabs>
          <w:tab w:val="clear" w:pos="1930"/>
          <w:tab w:val="clear" w:pos="2592"/>
          <w:tab w:val="left" w:pos="2053"/>
          <w:tab w:val="left" w:pos="2195"/>
        </w:tabs>
        <w:ind w:left="1264" w:right="1264"/>
        <w:rPr>
          <w:rtl/>
          <w:lang w:eastAsia="en-US"/>
        </w:rPr>
      </w:pPr>
      <w:r>
        <w:rPr>
          <w:b/>
          <w:bCs/>
          <w:rtl/>
          <w:lang w:eastAsia="en-US"/>
        </w:rPr>
        <w:t>خطة العمل على مستوى المقاطعة بشأن البغاء</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1027 -</w:t>
      </w:r>
      <w:r>
        <w:rPr>
          <w:rtl/>
          <w:lang w:eastAsia="en-US"/>
        </w:rPr>
        <w:tab/>
        <w:t>في جهد يرمي إلى دعم أعمال اللجنة الوزارية المذكورة أعلاه، وضعت مقاطعة كولومبيا البريطانية خطة عمل بشأن البغاء في عام 1995. وتتمثل أهداف الخطة في الاستجابة لاحتياجات الشباب المستغلين جنسيا ومنع استخدام واستغلال الشباب والنساء جنسيا من خلال البغاء والتصدي لمسألة العنف الموجه ضد المرأة في تجارة الجنس.</w:t>
      </w:r>
    </w:p>
    <w:p w:rsidR="00000000" w:rsidRDefault="00000000">
      <w:pPr>
        <w:pStyle w:val="SingleTxt"/>
        <w:tabs>
          <w:tab w:val="clear" w:pos="1930"/>
          <w:tab w:val="clear" w:pos="2592"/>
          <w:tab w:val="left" w:pos="2053"/>
          <w:tab w:val="left" w:pos="2195"/>
        </w:tabs>
        <w:ind w:left="1264" w:right="1264"/>
        <w:rPr>
          <w:rtl/>
          <w:lang w:eastAsia="en-US"/>
        </w:rPr>
      </w:pPr>
      <w:r>
        <w:rPr>
          <w:b/>
          <w:bCs/>
          <w:rtl/>
          <w:lang w:eastAsia="en-US"/>
        </w:rPr>
        <w:t>وحدة البغاء في المقاطعة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1028 -</w:t>
      </w:r>
      <w:r>
        <w:rPr>
          <w:rtl/>
          <w:lang w:eastAsia="en-US"/>
        </w:rPr>
        <w:tab/>
        <w:t>من توصيات الخطة إنشاء وحدة تُعنى بالبغاء على مستوى المقاطعة وقد تم تنفيذ التوصية في عام 1996. وهذه الوحدة تتألف من فريق من ثلاثة ضباط شرطة ومنسق محلي ومستشار قانوني تابع للتاج وأخصائي اجتماعي، وهم يعملون مع المجتمعات المحلية عبر كولومبيا البريطانية من أجل وضع استراتيجيات متكاملة للمنع والتثقيف والإنفاذ والتدخل للتصدي للمشاكل المحلية. وعملت الوحدة على تدريب أفراد الشرطة والقضاة والتاج في مجال ديناميات البغاء والاستغلال الجنسي للشباب، فضلاً عن الدعوة إلى استراتيجيات للإنفاذ تركِّز على القوادين والبالغين الذين يشترون الجنس بدلا من العاملين في تجارة الجنس أنفسهم. وبالإضافة إلى ذلك تساعد الوحدة وكالات الشرطة في عمليات الإنفاذ في جميع أنحاء المقاطعة وتُقدم المشورة والمساعدة وحلقات العمل التثقيفية إلى مقدمي الخدمات الآخرين وإلى الشباب مسؤولي الرعاية.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1029 -</w:t>
      </w:r>
      <w:r>
        <w:rPr>
          <w:rtl/>
          <w:lang w:eastAsia="en-US"/>
        </w:rPr>
        <w:tab/>
        <w:t>وفي إطار زمني قصير نسبيا، ساعدت الوحدة المعنية بالبغاء في المقاطعة على إنشاء 17 من أفرقة العمل المجتمعية في أنحاء المقاطعة وهي تقدم الدعم لتلك الأفرقة. وتتألف أفرقة العمل من ممثلي الحكومات على مستوى المقاطعة والبلديات ومقدمي الخدمات والشباب ومقدمي الرعاية وغير ذلك من الأفراد المهتمين بالقضية ممن يعملون معا على المستوى المجتمعي للتصدي للقضايا المتصلة بالبغاء.</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1030 -</w:t>
      </w:r>
      <w:r>
        <w:rPr>
          <w:rtl/>
          <w:lang w:eastAsia="en-US"/>
        </w:rPr>
        <w:tab/>
        <w:t>كما أن الوحدة المذكورة معنية بالمسألة الأوسع المتعلقة بالاتجار الدولي بالنساء. وخلال فترة الإبلاغ بدأت الوحدة استكشاف الطرق الكفيلة بمعالجة مشكلة النساء والأطفال ضحية الاتجار الذين ينتهي بهم المطاف في كولومبيا البريطانية. أما أعمال الوحدة فيما يتعلق بالاتجار العالمي بالمرأة فتنال دعما قويا من جانب دائرة المدعي العام في كولومبيا البريطانية. وقد دارت بالفعل المناقشات بين دائرة المدعي العام في كولومبيا البريطانية وبين الوزير الاتحادي المسؤول عن الهجرة في محاولة لتطوير استجابة متناسقة على المستوى الوطني إزاء هذه القضية.</w:t>
      </w:r>
    </w:p>
    <w:p w:rsidR="00000000" w:rsidRDefault="00000000">
      <w:pPr>
        <w:pStyle w:val="SingleTxt"/>
        <w:tabs>
          <w:tab w:val="clear" w:pos="1930"/>
          <w:tab w:val="clear" w:pos="2592"/>
          <w:tab w:val="left" w:pos="2053"/>
          <w:tab w:val="left" w:pos="2195"/>
        </w:tabs>
        <w:ind w:left="1264" w:right="1264"/>
        <w:rPr>
          <w:rtl/>
          <w:lang w:eastAsia="en-US"/>
        </w:rPr>
      </w:pPr>
      <w:r>
        <w:rPr>
          <w:b/>
          <w:bCs/>
          <w:rtl/>
          <w:lang w:eastAsia="en-US"/>
        </w:rPr>
        <w:t>المنع والتوعية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1031 -</w:t>
      </w:r>
      <w:r>
        <w:rPr>
          <w:rtl/>
          <w:lang w:eastAsia="en-US"/>
        </w:rPr>
        <w:tab/>
        <w:t>انطلاقا من أن كثيرا من البالغات من البغايا ينخرطن في تجارة الجنس منذ الطفولة أو الشباب، فقد نفذت كولومبيا البريطانية طائفة متنوعة من مبادرات المنع والتوعية. وبعض المبادرات ذات الصلة تشمل: حملة ملصقات على مستوى المقاطعة تهدف إلى زيادة الوعي بشأن الاستغلال الجنسي للأطفال والشباب. ثم وضع وتوزيع حزمة موارد مرجعية بعنوان “توافر الوعي واتخاذ الحيطة” للأفراد والجماعات لمساعدة المجتمعات المحلية والآباء والمدارس على التصدي لمشكلة الاستغلال الجنسي للشباب مع إنشاء فريق مسرحي للشباب مما يسهل عقد حلقات العمل التي تركز على مسألة الاستغلال الجنسي للشباب.</w:t>
      </w:r>
    </w:p>
    <w:p w:rsidR="00000000" w:rsidRDefault="00000000">
      <w:pPr>
        <w:pStyle w:val="SingleTxt"/>
        <w:tabs>
          <w:tab w:val="clear" w:pos="1930"/>
          <w:tab w:val="clear" w:pos="2592"/>
          <w:tab w:val="left" w:pos="2053"/>
          <w:tab w:val="left" w:pos="2195"/>
        </w:tabs>
        <w:ind w:left="1264" w:right="1264"/>
        <w:rPr>
          <w:rtl/>
          <w:lang w:eastAsia="en-US"/>
        </w:rPr>
      </w:pPr>
      <w:r>
        <w:rPr>
          <w:b/>
          <w:bCs/>
          <w:rtl/>
          <w:lang w:eastAsia="en-US"/>
        </w:rPr>
        <w:t>التمويل</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1032 -</w:t>
      </w:r>
      <w:r>
        <w:rPr>
          <w:rtl/>
          <w:lang w:eastAsia="en-US"/>
        </w:rPr>
        <w:tab/>
        <w:t>في كل سنة، تنفق دائرة المدعي العام في كولومبيا البريطانية ما يقرب من مليون دولار للتصدي لقضايا البغاء والاستغلال الجنسي للشباب. وهذا الالتزام المالي يوفر التمويل إلى طائفة متنوعة من الخدمات والبرامج المختلفة بما في ذلك وحدة البغاء على مستوى المقاطعة واثنين من موظفي الاتصال في الشوارع وبرامج المنع/التوعية.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1033 -</w:t>
      </w:r>
      <w:r>
        <w:rPr>
          <w:rtl/>
          <w:lang w:eastAsia="en-US"/>
        </w:rPr>
        <w:tab/>
        <w:t>وتقدم وزارة مساواة المرأة التمويل عن طريق برنامجها بعنوان “مستقبل أكثر أمنا للمرأة في كولومبيا البريطانية” إلى التحالف العالمي ضد الاتجار بالنساء وهو منظمة تتدارس مسألة الاتجار بالنساء في كندا بهدف وضع الاستراتيجيات الرامية إلى التصدي لهذا الاتجار ومنعه. كما تمول الوزارة جمعية التمكين والتعليم والمعافاة للبغايا وهي منظمة مؤلفة من بغايا مراهقات حاليات وسابقات وتتولى مراجعة السياسات والخدمات الحكومية التي تؤثر على المراهقات من البغايا بغرض تهيئة استجابة من جانبهن للحكومة.</w:t>
      </w:r>
    </w:p>
    <w:p w:rsidR="00000000" w:rsidRDefault="00000000">
      <w:pPr>
        <w:pStyle w:val="SingleTxt"/>
        <w:tabs>
          <w:tab w:val="clear" w:pos="1930"/>
          <w:tab w:val="clear" w:pos="2592"/>
          <w:tab w:val="left" w:pos="2053"/>
          <w:tab w:val="left" w:pos="2195"/>
        </w:tabs>
        <w:ind w:left="1264" w:right="1264"/>
        <w:rPr>
          <w:b/>
          <w:bCs/>
          <w:szCs w:val="32"/>
          <w:rtl/>
          <w:lang w:eastAsia="en-US"/>
        </w:rPr>
      </w:pPr>
      <w:r>
        <w:rPr>
          <w:b/>
          <w:bCs/>
          <w:szCs w:val="32"/>
          <w:rtl/>
          <w:lang w:eastAsia="en-US"/>
        </w:rPr>
        <w:t>المادة 10: التعليم</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1034 -</w:t>
      </w:r>
      <w:r>
        <w:rPr>
          <w:rtl/>
          <w:lang w:eastAsia="en-US"/>
        </w:rPr>
        <w:tab/>
        <w:t>نفذت حكومة كولومبيا البريطانية عددا من البرامج والخدمات لتوفير فرص حصول الفتيات والنساء بصورة متكافئة على التدريب والتعليم. وعلى سبيل المثال تبنت وزارة التعليم برنامجاً للانصاف الجنساني يقصد إلى تحسين الفرص المتاحة وإمكانات الوصول والدعم لجميع الفتيات والنساء في النظام التعليمي بالمقاطعة من خلال تعزيز مبادئ الإنصاف بين الجنسين. وبصورة محددة، فإن برنامج الإنصاف الجنساني يستهدف إعداد المعلمين ووضع المناهج وموارد التعلم والسياسة التي يتبعها الإقليم والممارسة في حجرة الدراسة.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1035 -</w:t>
      </w:r>
      <w:r>
        <w:rPr>
          <w:rtl/>
          <w:lang w:eastAsia="en-US"/>
        </w:rPr>
        <w:tab/>
        <w:t>وأكبر عناصر برنامج الإنصاف الجنساني هو تقديم المنح لدعم المشاريع في جميع أجزاء النظام التعليمي. وقد قام الأفراد والمنظمات والأحياء السكنية بوضع المخططات للمناهج الملائمة وموارد التعلم والمؤتمرات والبحوث وسياسة الأحياء السكنية.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1036 -</w:t>
      </w:r>
      <w:r>
        <w:rPr>
          <w:rtl/>
          <w:lang w:eastAsia="en-US"/>
        </w:rPr>
        <w:tab/>
        <w:t>وثمة مبادرة مهمة أخرى رامية إلى تعزيز الإنصاف الجنساني في التعليم وتمثلت في القرار الصادر بتجميد مصاريف التعلم للمعاهد والجامعات بالمقاطعة. وقد ظلت هذه المصروفات مجمدة منذ عام 1995. وبهذا أتاحت الفرصة لمزيد من النساء لكي يلتحقن بالتعليم ما بعد الثانوي.</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1037 -</w:t>
      </w:r>
      <w:r>
        <w:rPr>
          <w:rtl/>
          <w:lang w:eastAsia="en-US"/>
        </w:rPr>
        <w:tab/>
        <w:t>كما أن هناك مبادرة ثالثة هي إنشاء لجنة الصناعة والتدريب والتلمذة الصناعية بالمقاطعة. واللجنة مكلفة بزيادة تمثيل المرأة في برامج التلمذة الصناعية، كما تنفذ مبادرات للإنصاف مع دوائر التجارة والأعمال ودوائر التوظيف والتعليم بهدف المواءمة بين نسبة مواقع التدريب في العمل التي تشغلها النساء والسكان الأصليون والأقليات الواضحة وغير ذلك من الفئات المحرومة وبين نصيب هذه الفئات في سكان المقاطعة.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1038 -</w:t>
      </w:r>
      <w:r>
        <w:rPr>
          <w:rtl/>
          <w:lang w:eastAsia="en-US"/>
        </w:rPr>
        <w:tab/>
        <w:t>وبالإضافة إلى ذلك أنشأت الحكومة عددا من المنح وبرامج التمويل لكي تشجع على انخراط المرأة في البرامج التي يهيمن عليها الرجل تقليديا.</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1039 -</w:t>
      </w:r>
      <w:r>
        <w:rPr>
          <w:rtl/>
          <w:lang w:eastAsia="en-US"/>
        </w:rPr>
        <w:tab/>
        <w:t>وتشمل المبادرات الأخرى المتخذة لتحسين فرص التعليم والتدريب للمرأة، إنشاء عنصر للإنصاف التوظيفي ضمن مشاريع الهياكل الأساسية الكبيرة مثل مشروع الطريق الرئيسي لجزيرة فانكوفر بما يكفل للمرأة وغيرها من الفئات أن يتاح لها القدر الكافي من فرص التوظيف والتدريب. وقد شملت مبادرات الإنصاف في مشروع الطريق الرئيسي عملية فعالة للتوظيف من بين المجتمعات المحلية المقيمة على طول الطريق المذكورة فضلاً عن التدريب في مجالات الإنصاف والتنوع والتحرش. ومن حق طالبات العمل من النساء أن يتلقين التدريب الذي يتيح لهن العمل في مشروع الطريق الرئيسية في مجالات من قبيل العمل الشاق والتعامل مع المعدات الثقيلة وقيادة الشاحنات.</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1040 -</w:t>
      </w:r>
      <w:r>
        <w:rPr>
          <w:rtl/>
          <w:lang w:eastAsia="en-US"/>
        </w:rPr>
        <w:tab/>
        <w:t>وفي إطار الحكومة ذاتها. توضع برامج التعويض لدعم النهوض بالمرأة والتحاقها بالمناصب العليا. وعلى سبيل المثال فإن برنامج فرص التسعينات الذي تبنته وزارة النقل والطرق أتاح لموظفي المالية أو الإدارة (معظمهم نساء في وظائف كتابية) تجربة العمل في ميدان تقني قبل الانخراط في مجالات التدريب والمنافسة.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1041 -</w:t>
      </w:r>
      <w:r>
        <w:rPr>
          <w:rtl/>
          <w:lang w:eastAsia="en-US"/>
        </w:rPr>
        <w:tab/>
        <w:t>وأخيرا تمول حكومة كولومبيا البريطانية مبادرة استحقاقات لكولومبيا البريطانية بغية مساعدة النساء من ذوات الدخل المنخفض، إما على البقاء في موقع وظيفي أو العودة إلى هذا الموقع. وثمة برنامجان مرتبطان بهذا الأمر هما عمل الشباب ورفاه العمل يتيحان طائفة متنوعة من خدمات التماس العمل وتنمية المهارات.</w:t>
      </w:r>
    </w:p>
    <w:p w:rsidR="00000000" w:rsidRDefault="00000000">
      <w:pPr>
        <w:pStyle w:val="SingleTxt"/>
        <w:tabs>
          <w:tab w:val="clear" w:pos="1930"/>
          <w:tab w:val="clear" w:pos="2592"/>
          <w:tab w:val="left" w:pos="2053"/>
          <w:tab w:val="left" w:pos="2195"/>
        </w:tabs>
        <w:ind w:left="1264" w:right="1264"/>
        <w:rPr>
          <w:b/>
          <w:bCs/>
          <w:szCs w:val="32"/>
          <w:rtl/>
          <w:lang w:eastAsia="en-US"/>
        </w:rPr>
      </w:pPr>
      <w:r>
        <w:rPr>
          <w:b/>
          <w:bCs/>
          <w:szCs w:val="32"/>
          <w:rtl/>
          <w:lang w:eastAsia="en-US"/>
        </w:rPr>
        <w:t>المادة 11: العمالة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1042 -</w:t>
      </w:r>
      <w:r>
        <w:rPr>
          <w:rtl/>
          <w:lang w:eastAsia="en-US"/>
        </w:rPr>
        <w:tab/>
        <w:t>حكومة المقاطعة ملتزمة بتجسير هوة الأجور الفاصلة بين الرجل والمرأة في كولومبيا البريطانية وجعل مكان العمل أكثر استجابة لاحتياجات وظروف المرأة. وعلى سبيل المثال فمنذ عام 1992 رفعت الحكومة الحد الأدنى للأجور بمقدار 2.15 في المائة دولار في الساعة فجعلته 7.15 في المائة دولار في الساعة اعتبارا من 1 نيسان/أبريل 1998. وهذا يمثل دفعة كبيرة لكسبة الحد الأدنى للأجور في كولومبيا البريطانية وعددهم 000 90 نسمة، منهم حوالي 60 في المائة من النساء. كذلك فمنذ عام 1992 كان ثمة 123.4 مليون دولار من زيادات الأجور للعاملين ذوي الأجر المنخفض في قطاع الخدمات الصحية والاجتماعية ومرة أخرى معظمهم من النساء. وفضلاً عن ذلك ساعد مبلغ 86 مليون دولار أتيح على شكل تعديلات للإنصاف الأجري للنساء في القطاع العام، على الأخذ بمعيار يكفل أن تتلقى المرأة أجرا متساويا عن العمل ذي القيمة المتساوية.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1043 -</w:t>
      </w:r>
      <w:r>
        <w:rPr>
          <w:rtl/>
          <w:lang w:eastAsia="en-US"/>
        </w:rPr>
        <w:tab/>
        <w:t>وقد شهدت فترة الإبلاغ الخامسة عددا من التغييرات في تشريعات التوظيف والعمل. وكان من شأن التغييرات التي طرأت على قانون معايير التوظيف أن وسعت نطاق الشمول ليمتد إلى العاملين المقيمين في المنازل لمنع ظروف العمل المجحفة. وهناك لائحة جديدة بموجب القانون تقتضي من أرباب العمل تسجيل العاملين بالمنازل لدى فرع معايير الاستخدام وتوضح حقوق العامل والتزامات رب العمل.</w:t>
      </w:r>
    </w:p>
    <w:p w:rsidR="00000000" w:rsidRDefault="00000000">
      <w:pPr>
        <w:pStyle w:val="SingleTxt"/>
        <w:tabs>
          <w:tab w:val="clear" w:pos="1930"/>
          <w:tab w:val="clear" w:pos="2592"/>
          <w:tab w:val="left" w:pos="2053"/>
          <w:tab w:val="left" w:pos="2195"/>
        </w:tabs>
        <w:ind w:left="1264" w:right="1264"/>
        <w:rPr>
          <w:b/>
          <w:bCs/>
          <w:szCs w:val="32"/>
          <w:rtl/>
          <w:lang w:eastAsia="en-US"/>
        </w:rPr>
      </w:pPr>
      <w:r>
        <w:rPr>
          <w:b/>
          <w:bCs/>
          <w:szCs w:val="32"/>
          <w:rtl/>
          <w:lang w:eastAsia="en-US"/>
        </w:rPr>
        <w:t>المادة 12: الصحة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1044 -</w:t>
      </w:r>
      <w:r>
        <w:rPr>
          <w:rtl/>
          <w:lang w:eastAsia="en-US"/>
        </w:rPr>
        <w:tab/>
        <w:t>تم في عام 1994 إنشاء مستشفى كولومبيا البريطانية والمركز الصحي للمرأة لتقديم طائفة واسعة من الخدمات الصحية النسائية. وعلى سبيل المثال تقدم الخدمات إلى مجالات: هشاشة العظام والعقم وإجهاض الحمل المتكرر والصحة الجنسية ومنع الحمل وخدمات الإجهاض والمشورة والقبالة وتشخيص ما قبل الولادة والرعاية الشاملة للحمل وصحة الثدي وفيروس نقص المناعة البشرية/الإيدز ومراكز الإدمان النسائية للمقيمات وغير المقيمات وبرامج الكشف العام عن الحوض للنساء من السكان الأصليين والثقافة المجتمعية بشأن قضايا صحة المرأة ومعالجة الاعتداءات الجنسية في حالات الطوارئ.</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1045 -</w:t>
      </w:r>
      <w:r>
        <w:rPr>
          <w:rtl/>
          <w:lang w:eastAsia="en-US"/>
        </w:rPr>
        <w:tab/>
        <w:t>كما تم خلال فترة الإبلاغ إنشاء مكتب صحة المرأة ضمن وزارة الصحة. وتتمثل ولاية المكتب في مساعدة وزارة الصحة على تعزيز نظام رعاية صحية مستجيب للاحتياجات التي تنفرد بها المرأة مع دعم الفهم لقضايا رعاية صحة المرأة في أوساط الحكومة ومقدمي الرعاية الصحية.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1046 -</w:t>
      </w:r>
      <w:r>
        <w:rPr>
          <w:rtl/>
          <w:lang w:eastAsia="en-US"/>
        </w:rPr>
        <w:tab/>
        <w:t>ولتعزيز هدف الحكومة المتمثل في جعل نظام الرعاية الصحية أكثر استجابة لاحتياجات المرأة، تم إنشاء المجلس الاستشاري لصحة المرأة الذي يسدي المشورة إلى وزير الصحة بشأن قضايا الصحة الرئيسية للمرأة بما يساعد على صياغة الطرائق والنظم الكفيلة بتحسين صحة وعافية المرأة وأسرتها ومجتمعها المحلي.</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1047 -</w:t>
      </w:r>
      <w:r>
        <w:rPr>
          <w:rtl/>
          <w:lang w:eastAsia="en-US"/>
        </w:rPr>
        <w:tab/>
        <w:t>وبالإضافة إلى مبادرات وزارة الصحة، تعمل وزارة مساواة المرأة أيضا على الدعوة لإضفاء تحسينات على نظام الرعاية الصحية للنساء. وعلى سبيل المثال دعت وزارة مساواة المرأة إلى التمثيل القوي للمرأة في منظمات السلطة الصحية الإقليمية. وفي كولومبيا البريطانية، تشكل النساء 54 في المائة من مجموع أعضاء مجالس الصحة الإقليمية الحكومية المعينين ومجالس الصحة المحلية وهم 583 عضوا. كما تشكل النساء 23 في المائة من كبار الموظفين التنفيذيين، وهم أكبر موظفي الرعاية الصحية في السلطات الصحية. وعملت الوزارة كذلك مع مركز التفوق لصحة المرأة في كولومبيا البريطانية المنشأ حديثا، من أجل تعريف المحددات الاجتماعية للصحة وتحديد ملامح الرعاية الصحية التي تجعل المرأة محورا لها.</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1048 -</w:t>
      </w:r>
      <w:r>
        <w:rPr>
          <w:rtl/>
          <w:lang w:eastAsia="en-US"/>
        </w:rPr>
        <w:tab/>
        <w:t>وفي فترة الإبلاغ هذه، سعت الحكومة إلى دعم خيارات المرأة فيما يتعلق بالإنجاب. وفيما يتصل بتقديم خدمات الإجهاض، أقرت الحكومة أحكاما إضافية لكفالة سلامة مقدميه وسلامة النساء الساعيات للحصول على هذه الخدمات. وفي عام 1995 بدأت الحكومة العمل بقانون الوصول إلى خدمات الإجهاض الذي أنشأ أربع “مناطق حماية” حول المرافق التي تقدم خدمات الإجهاض على أساس أن ذلك تدبير تحوّطي لمعالجة شواغل السلامة.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1049 -</w:t>
      </w:r>
      <w:r>
        <w:rPr>
          <w:rtl/>
          <w:lang w:eastAsia="en-US"/>
        </w:rPr>
        <w:tab/>
        <w:t>ويتاح الآن أيضا مزيد من الخيارات المطروحة للمرأة فيما يتعلق بولادة الأطفال. ومن شأن التغيُّرات التي طرأت على سياسة الحكومة أن تجعل الولادات بمساعدة القابلة خياراً قانويا للمرأة الصحيحة بدنياً في حالات الحمل الطبيعي القليل الخطورة. ولمساعدة المرأة على ممارسة هذا الخيار، تقوم كلية القابلات في كولومبيا البريطانية بتسجيل القابلات المتاحات لتقديم هذه الخدمة.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1050 -</w:t>
      </w:r>
      <w:r>
        <w:rPr>
          <w:rtl/>
          <w:lang w:eastAsia="en-US"/>
        </w:rPr>
        <w:tab/>
        <w:t>وتشمل البرامج والخدمات الأخرى برنامج الفحص التصويري الشامل للثدي في كولومبيا البريطانية الذي تديره وكالة السرطان بالمقاطعة وتموِّله وزارة الصحة. ويقوم البرنامج على تشغيل مراكز الفحص وعددها 24 إضافة إلى 4 خدمات متنقلة في كل أنحاء المقاطعة. وقد كانت كولومبيا البريطانية هي أول كيان ذي ولاية تشريعية في أمريكا الشمالية تُدخل برنامجا للفحص التصويري الشامل للثدي ممولا من الحكومة.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1051 -</w:t>
      </w:r>
      <w:r>
        <w:rPr>
          <w:rtl/>
          <w:lang w:eastAsia="en-US"/>
        </w:rPr>
        <w:tab/>
        <w:t>كذلك أنشأت الحكومة مركز أورورا لبحوث ومعالجة مشاكل إدمان المرأة في المستشفى والمركز الصحي النسائي في كولومبيا البريطانية. ويضم المركز 25 سريرا للإقامة وأماكن لعلاج لمدة 10 أيام. وهو أيضا مقر لإقامة اثنين من الاستشاريين بالمقاطعة المعنيين بالمنع والتدخل المبكر في حالة الإصابة بمتلازمة الجنين الكحولية. إضافة إلى استشاري بحوث إقليمي معني بالمرأة والإدمان.</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1052 -</w:t>
      </w:r>
      <w:r>
        <w:rPr>
          <w:rtl/>
          <w:lang w:eastAsia="en-US"/>
        </w:rPr>
        <w:tab/>
        <w:t>وفي الوقت نفسه قدمت الحكومة تمويلا إضافيا لكفالة تمديد برامج الإدمان لتشمل المرأة إلى جميع مناطق المقاطعة. أما الخدمات الأخرى في مجال الإدمان التي تدعمها الحكومة فتشمل إدارة سلوك الانقطاع عن التعاطي ومداواة المرضى الخارجيين والمقيمين والمدعومين.</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1053 -</w:t>
      </w:r>
      <w:r>
        <w:rPr>
          <w:rtl/>
          <w:lang w:eastAsia="en-US"/>
        </w:rPr>
        <w:tab/>
        <w:t>وخلال فترة الإبلاغ بدأت الحكومة عددا من البرامج الموجهة إلى نساء السكان الأصليين والنساء ذوات الدخل المنخفض. وقصدت الخدمات إلى تحسين صحة المرأة من السكان الأصليين وتشمل: خدمات الثقافة الصحية المصممة تحديدا لنساء الأقوام الأولى و 96 من البرامج الصحية في مجال الإدمان/الصحة العقلية وعدد من برامج الاتصال في حالات الحمل وبرامج متلازمة الجنين الكحولية/الآثار الناجمة عنها. أما البرامج الموجهة إلى النساء المنخفضات الدخل فتشمل منح استحقاقات الرعاية الصيدلانية الصحية. وفي هذا البرنامج تقوم وزارة الصحة برد 100 في المائة في من تكاليف العقاقير الموصوفة فيما يزيد على استقطاع بمبلغ 600 دولار.</w:t>
      </w:r>
    </w:p>
    <w:p w:rsidR="00000000" w:rsidRDefault="00000000">
      <w:pPr>
        <w:pStyle w:val="SingleTxt"/>
        <w:tabs>
          <w:tab w:val="clear" w:pos="1930"/>
          <w:tab w:val="clear" w:pos="2592"/>
          <w:tab w:val="left" w:pos="2053"/>
          <w:tab w:val="left" w:pos="2195"/>
        </w:tabs>
        <w:ind w:left="1264" w:right="1264"/>
        <w:rPr>
          <w:b/>
          <w:bCs/>
          <w:szCs w:val="32"/>
          <w:rtl/>
          <w:lang w:eastAsia="en-US"/>
        </w:rPr>
      </w:pPr>
      <w:r>
        <w:rPr>
          <w:b/>
          <w:bCs/>
          <w:szCs w:val="32"/>
          <w:rtl/>
          <w:lang w:eastAsia="en-US"/>
        </w:rPr>
        <w:t>المادة 13: الحياة الاقتصادية والاجتماعية</w:t>
      </w:r>
    </w:p>
    <w:p w:rsidR="00000000" w:rsidRDefault="00000000">
      <w:pPr>
        <w:pStyle w:val="SingleTxt"/>
        <w:tabs>
          <w:tab w:val="clear" w:pos="1930"/>
          <w:tab w:val="clear" w:pos="2592"/>
          <w:tab w:val="left" w:pos="2053"/>
          <w:tab w:val="left" w:pos="2195"/>
        </w:tabs>
        <w:ind w:left="1264" w:right="1264"/>
        <w:rPr>
          <w:rtl/>
          <w:lang w:eastAsia="en-US"/>
        </w:rPr>
      </w:pPr>
      <w:r>
        <w:rPr>
          <w:b/>
          <w:bCs/>
          <w:rtl/>
          <w:lang w:eastAsia="en-US"/>
        </w:rPr>
        <w:t>الحقوق الاقتصادية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1055 -</w:t>
      </w:r>
      <w:r>
        <w:rPr>
          <w:rtl/>
          <w:lang w:eastAsia="en-US"/>
        </w:rPr>
        <w:tab/>
        <w:t>للنساء والرجال في كولومبيا البريطانية حقوق متساوية في الحصول من المصارف على قروض أو رهون عقارية أو أي أشكال أخرى من الائتمان المالي. وتستطيع المرأة أن تتابع هذه الخدمات المالية وحدها دون موافقة من الزوج أو الأب.</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1056 -</w:t>
      </w:r>
      <w:r>
        <w:rPr>
          <w:rtl/>
          <w:lang w:eastAsia="en-US"/>
        </w:rPr>
        <w:tab/>
        <w:t>وتسعى حكومة كولومبيا البريطانية إلى قطع أشواط أخرى تتجاوز هذه المساواة الشكلية بين الرجال والنساء وصولاً إلى مساواة فعلية بين الجنسين. واعترافا بالتحديات الخاصة التي تواجهها المرأة من أجل تحقيقها المساواة الاقصادية والاجتماعية، استهلت المقاطعة عددا من التغييرات التشريعية خلال فترة الإبلاغ. وعلى سبيل المثال فقد أدت التغييرات في قانون معايير استحقاق المعاشات التقاعدية إلى تعزيز أحكام الأمن الاقتصادي للمرأة من خلال تشريع المعاشات التقاعدية للعاملين لبعض الوقت وتقاسم عبء نظم المعاشات بين أرباب عمل مختلفين وتقصير فترات الاستحقاق وشروط الحد الأدنى للاستحقاقات بالنسبة للطرف الباقي على قيد الحياة. وبالإضافة إلى ذلك فأن التشريعات التي تنظم صندوق تعويضات العاملين عملت (بأثر رجعي) على توسيع نطاق استحقاقات الباقي على قيد الحياة لكي تشمل جميع الأزواج الباقين على قيد الحياة بصرف النظر عن حالتهم الزواجية الراهنة ولجعل المزيد من هؤلاء الباقين على قيد الحياة مؤهلين لتقاضي الاستحقاقات، ومن ثم زيادة أمنهم المالي. كذلك تم توسيع تغطية العاملين لكي تشمل مستخدمي المصارف والمكاتب والمنازل فضلا عن عمال الزراعة.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1057 -</w:t>
      </w:r>
      <w:r>
        <w:rPr>
          <w:rtl/>
          <w:lang w:eastAsia="en-US"/>
        </w:rPr>
        <w:tab/>
        <w:t>وأُحرزت أوجه تقدم أخرى في جانب السياسات أيضا. وعلى سبيل المثال ساعدت وزارة مساواة المرأة على وضع برامج تثقيف عامة ومنها مثلاً “فن التعامل مع المال للشابات” و“بدء مشروعك الخاص: دليل مرجعي للمرأة” ويقصد إلى تمكين المرأة الشابة من مزيد من السيطرة على مستقبلها المالي وتزويدها بالمعلومات الأساسية والقوائم الحصرية وسُبل الاتصال بالنسبة لمن يردن بدء مشاريعهن الخاصة.</w:t>
      </w:r>
    </w:p>
    <w:p w:rsidR="00000000" w:rsidRDefault="00000000">
      <w:pPr>
        <w:pStyle w:val="SingleTxt"/>
        <w:tabs>
          <w:tab w:val="clear" w:pos="1930"/>
          <w:tab w:val="clear" w:pos="2592"/>
          <w:tab w:val="left" w:pos="2053"/>
          <w:tab w:val="left" w:pos="2195"/>
        </w:tabs>
        <w:ind w:left="1264" w:right="1264"/>
        <w:rPr>
          <w:rtl/>
          <w:lang w:eastAsia="en-US"/>
        </w:rPr>
      </w:pPr>
      <w:r>
        <w:rPr>
          <w:b/>
          <w:bCs/>
          <w:rtl/>
          <w:lang w:eastAsia="en-US"/>
        </w:rPr>
        <w:t>الحقوق الاجتماعية والثقافية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1058 -</w:t>
      </w:r>
      <w:r>
        <w:rPr>
          <w:rtl/>
          <w:lang w:eastAsia="en-US"/>
        </w:rPr>
        <w:tab/>
        <w:t>فيما يتعلق بالحقوق الاجتماعية والثقافية، تشارك النساء في المقاطعة في الحقوق المتساوية مع نظرائهن من الرجال في ممارسة الأنشطة الترويحية والألعاب الرياضية والأنشطة الثقافية. وكما سبق ذكره في إطار المادة 5، تنشط حكومة كولومبيا البريطانية في تمويل البرامج الرامية إلى دعم مشاركة المرأة والفتاة في الألعاب الرياضية وغير ذلك من الأنشطة الترويحية.</w:t>
      </w:r>
    </w:p>
    <w:p w:rsidR="00000000" w:rsidRDefault="00000000">
      <w:pPr>
        <w:pStyle w:val="SingleTxt"/>
        <w:tabs>
          <w:tab w:val="clear" w:pos="1930"/>
          <w:tab w:val="clear" w:pos="2592"/>
          <w:tab w:val="left" w:pos="2053"/>
          <w:tab w:val="left" w:pos="2195"/>
        </w:tabs>
        <w:ind w:left="1264" w:right="1264"/>
        <w:rPr>
          <w:b/>
          <w:bCs/>
          <w:szCs w:val="32"/>
          <w:rtl/>
          <w:lang w:eastAsia="en-US"/>
        </w:rPr>
      </w:pPr>
      <w:r>
        <w:rPr>
          <w:b/>
          <w:bCs/>
          <w:szCs w:val="32"/>
          <w:rtl/>
          <w:lang w:eastAsia="en-US"/>
        </w:rPr>
        <w:t>المادة 14: المرأة الريفية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1059 -</w:t>
      </w:r>
      <w:r>
        <w:rPr>
          <w:rtl/>
          <w:lang w:eastAsia="en-US"/>
        </w:rPr>
        <w:tab/>
        <w:t>أدت وزارة مساواة المرأة دورا قياديا لكي تكفل سماع صوت المرأة وسُبل حصولها على الخدمات التي تحتاجها على مستوى مجتمعاتها المحلية. وفي المقام الأول تجسد الوزارة وجودا إقليميا في كل أنحاء المقاطعة. وهناك اثنا عشر منسقا إقليميا في سبع مناطق يعملون مع الوكالات المحلية لدعم فعالية تنفيذ برامج الوزارة على الصعيد الإقليمي في كل مناطق كولومبيا البريطانية. ثانيا تدعم الوزارة مبادرات من قبيل التدريب لمقدمي الخدمات المباشرة لزيادة المهارات اللازمة لدعم النساء اللائي خبرن تجربة العنف. وفي كل حال يقدم التدريب إلى المهنيين في أكثر من 300 خدمة مباشرة تعمل في أكثر من 90 وكالة بالمجتمعات الريفية والحضرية في طول المقاطعة وعرضها. ثالثا يتلقى 38 مركزا نسائيا قائماً في المناطق الريفية والحضرية تمويلا تنفيذياً لتزويد النساء بخدمات الدعم مثل خدمات المعلومات والإحالة ومثل جماعات المؤازرة والدعوة وبرامج الالتحاق بالعمل وتدريب ما قبل الاستخدام وخدمات رعاية الطفل وتقديم المشورة في حالات الأزمات وسجلات الإسكان ومبادلات الملابس وبرامج الوجبات المدعومة. وأخيرا تدعم الوزارة سبعة برامج تنسيق محلية معنية بالعنف الموجه ضد المرأة وتكفل المدخلات وسبل القيادة للجان التنسيق المحلية المعنية بالعنف الموجه ضد المرأة في العلاقات مع غيرها. ويمثل أعضاء اللجنة نظام العدالة ودوائر الصحة والتعليم والخدمات النسائية وسائر المنظمات ذات الصلة.</w:t>
      </w:r>
    </w:p>
    <w:p w:rsidR="00000000" w:rsidRDefault="00000000">
      <w:pPr>
        <w:pStyle w:val="SingleTxt"/>
        <w:tabs>
          <w:tab w:val="clear" w:pos="1930"/>
          <w:tab w:val="clear" w:pos="2592"/>
          <w:tab w:val="left" w:pos="2053"/>
          <w:tab w:val="left" w:pos="2195"/>
        </w:tabs>
        <w:ind w:left="1264" w:right="1264"/>
        <w:rPr>
          <w:b/>
          <w:bCs/>
          <w:szCs w:val="32"/>
          <w:rtl/>
          <w:lang w:eastAsia="en-US"/>
        </w:rPr>
      </w:pPr>
      <w:r>
        <w:rPr>
          <w:b/>
          <w:bCs/>
          <w:szCs w:val="32"/>
          <w:rtl/>
          <w:lang w:eastAsia="en-US"/>
        </w:rPr>
        <w:t>المادة 15: الحقوق القانونية</w:t>
      </w:r>
    </w:p>
    <w:p w:rsidR="00000000" w:rsidRDefault="00000000">
      <w:pPr>
        <w:pStyle w:val="SingleTxt"/>
        <w:tabs>
          <w:tab w:val="clear" w:pos="1930"/>
          <w:tab w:val="clear" w:pos="2592"/>
          <w:tab w:val="left" w:pos="2053"/>
          <w:tab w:val="left" w:pos="2195"/>
        </w:tabs>
        <w:ind w:left="1264" w:right="1264"/>
        <w:rPr>
          <w:rtl/>
          <w:lang w:eastAsia="en-US"/>
        </w:rPr>
      </w:pPr>
      <w:r>
        <w:rPr>
          <w:b/>
          <w:bCs/>
          <w:rtl/>
          <w:lang w:eastAsia="en-US"/>
        </w:rPr>
        <w:t>مساواة المرأة أمام القانون</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1060 -</w:t>
      </w:r>
      <w:r>
        <w:rPr>
          <w:rtl/>
          <w:lang w:eastAsia="en-US"/>
        </w:rPr>
        <w:tab/>
        <w:t>تكفل كل من كندا ومقاطعة كولومبيا البريطانية تمتع المرأة بالمساواة أمام القانون. وينطبق الميثاق الكندي للحقوق والواجبات على أي عنصر أو عمل حكومي بما في ذلك أي قانون أو لائحة في أي من الكيانات التشريعية في كندا. ويضمن البند 15، وهو الخاص بالمساواة للمرأة “الحق في الحماية والاستفادة المتساوية من القانون”. ويزداد دعم الأهمية التي توليها كندا للمساواة بين الرجل والمرأة بموجب البند 28 من الميثاق الذي ينص على أنه “بصرف النظر عن أي شيء في هذا الميثاق فإن الحقوق والحريات المشار إليها فيه مكفولة بصورة متساوية للأشخاص من ذكور وإناث”.</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1061 -</w:t>
      </w:r>
      <w:r>
        <w:rPr>
          <w:rtl/>
          <w:lang w:eastAsia="en-US"/>
        </w:rPr>
        <w:tab/>
        <w:t>وللمرأة في كولومبيا البريطانية أن تعمل محامية أو مدعية للتاج أو قاضية. وكثيرا ما تستدعى النساء للإدلاء بالشهادة وهن بطبيعة الحال يعملن كمحلِّفات. ومن ناحية اختيار المحلفين، فإن مسؤول الأمن في أي مجتمع محلي (الشريف) هو الذي يتولى تجميع قائمة من المحلفين المحتملين ويتم جمع القائمة من خلال الاختيار العشوائي للأفراد من واقع قوائم الانتخابات وكذلك من سجلات كشوفات الأقوام الأولى.</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1062 -</w:t>
      </w:r>
      <w:r>
        <w:rPr>
          <w:rtl/>
          <w:lang w:eastAsia="en-US"/>
        </w:rPr>
        <w:tab/>
        <w:t>واستجابة لتقرير الجمعية القانونية لكولومبيا البريطانية لعام 1992 بعنوان “المساواة الجنسانية في نظام العدالة”، أنشأت دائرة المدعي العام منصب المستشار الخاص للإنصاف الجنساني ليكون مسؤولا أمام نائب الوزير. وقد ضم تقرير الجمعية القانونية نحو 100 توصية في ثمانية مجالات: المرأة في حرفة القانون ومعاملة المرأة في المحاكم وقانون الأسرة والقانون المدني واستجابة نظام العدالة إزاء العنف الموجه ضد المرأة والمرأة كمرتكب للجريمة والعمالة وحقوق الإنسان والهجرة والتعليم. وقد تمثل دور المستشار الخاص للإنصاف الجنساني في أن يكفل وفاء الحكومة بالتزامها إزاء تنفيذ هذه التوصيات. وتسجل وثيقة “نحو عدالة للمرأة” التي تفيد سنوياً عن وضعيتها بذل جهود للتنفيذ في هذه المجالات. وبحلول عام 1997 كان المستشار المذكور أعلاه قد أنجز مهمته، وكانت مبادئ الإنصاف الجنساني قد تم إدماجها كاملة في جميع جوانب نظام العدالة في كولومبيا البريطانية.</w:t>
      </w:r>
    </w:p>
    <w:p w:rsidR="00000000" w:rsidRDefault="00000000">
      <w:pPr>
        <w:pStyle w:val="SingleTxt"/>
        <w:tabs>
          <w:tab w:val="clear" w:pos="1930"/>
          <w:tab w:val="clear" w:pos="2592"/>
          <w:tab w:val="left" w:pos="2053"/>
          <w:tab w:val="left" w:pos="2195"/>
        </w:tabs>
        <w:ind w:left="1264" w:right="1264"/>
        <w:rPr>
          <w:rtl/>
          <w:lang w:eastAsia="en-US"/>
        </w:rPr>
      </w:pPr>
      <w:r>
        <w:rPr>
          <w:b/>
          <w:bCs/>
          <w:rtl/>
          <w:lang w:eastAsia="en-US"/>
        </w:rPr>
        <w:t>مساواة المرأة في المسائل المدنية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1063 -</w:t>
      </w:r>
      <w:r>
        <w:rPr>
          <w:rtl/>
          <w:lang w:eastAsia="en-US"/>
        </w:rPr>
        <w:tab/>
        <w:t>للمرأة نفس الحقوق القانونية أسوة بالرجل في الدخول في تعاقدات واكتساب أو حيازة الممتلكات وليس ثمة تمييز على أساس نوع الجنس من ناحية الأهلية القانونية لأي فرد.</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1064 -</w:t>
      </w:r>
      <w:r>
        <w:rPr>
          <w:rtl/>
          <w:lang w:eastAsia="en-US"/>
        </w:rPr>
        <w:tab/>
        <w:t>ويرجى الإحالة إلى تقرير كولومبيا البريطانية ضمن تقرير كندا الثالث عن العهد الدولي للحقوق الاقتصادية والاجتماعية والثقافية للاطلاع على مزيد من المعلومات بشأن حماية الحقوق المدنية التي لم ترد في هذا التقرير.</w:t>
      </w:r>
    </w:p>
    <w:p w:rsidR="00000000" w:rsidRDefault="00000000">
      <w:pPr>
        <w:pStyle w:val="SingleTxt"/>
        <w:tabs>
          <w:tab w:val="clear" w:pos="1930"/>
          <w:tab w:val="clear" w:pos="2592"/>
          <w:tab w:val="left" w:pos="2053"/>
          <w:tab w:val="left" w:pos="2195"/>
        </w:tabs>
        <w:ind w:left="1264" w:right="1264"/>
        <w:rPr>
          <w:rtl/>
          <w:lang w:eastAsia="en-US"/>
        </w:rPr>
      </w:pPr>
      <w:r>
        <w:rPr>
          <w:b/>
          <w:bCs/>
          <w:rtl/>
          <w:lang w:eastAsia="en-US"/>
        </w:rPr>
        <w:t>العقود الخاصة التي تقيد الأهلية القانونية للمرأة</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1065 -</w:t>
      </w:r>
      <w:r>
        <w:rPr>
          <w:rtl/>
          <w:lang w:eastAsia="en-US"/>
        </w:rPr>
        <w:tab/>
        <w:t>لم يكشف البحث العلمي عن أي قرينة تشير إلى أن الأفراد يدخلون في عقود أو غيرها من الصكوك الخاصة التي تسعى إلى تقييد الأهلية القانونية للمرأة في كولومبيا البريطانية. ولا يبدو أنها قضية مطروحة على صعيد هذا الكيان.</w:t>
      </w:r>
    </w:p>
    <w:p w:rsidR="00000000" w:rsidRDefault="00000000">
      <w:pPr>
        <w:pStyle w:val="SingleTxt"/>
        <w:tabs>
          <w:tab w:val="clear" w:pos="1930"/>
          <w:tab w:val="clear" w:pos="2592"/>
          <w:tab w:val="left" w:pos="2053"/>
          <w:tab w:val="left" w:pos="2195"/>
        </w:tabs>
        <w:ind w:left="1264" w:right="1264"/>
        <w:rPr>
          <w:b/>
          <w:bCs/>
          <w:rtl/>
          <w:lang w:eastAsia="en-US"/>
        </w:rPr>
      </w:pPr>
      <w:r>
        <w:rPr>
          <w:b/>
          <w:bCs/>
          <w:rtl/>
          <w:lang w:eastAsia="en-US"/>
        </w:rPr>
        <w:t>حقوق التنقّل</w:t>
      </w:r>
    </w:p>
    <w:p w:rsidR="00000000" w:rsidRDefault="00000000">
      <w:pPr>
        <w:pStyle w:val="SingleTxt"/>
        <w:tabs>
          <w:tab w:val="clear" w:pos="1930"/>
          <w:tab w:val="clear" w:pos="2592"/>
          <w:tab w:val="left" w:pos="2053"/>
          <w:tab w:val="left" w:pos="2195"/>
        </w:tabs>
        <w:ind w:left="1264" w:right="1264"/>
        <w:rPr>
          <w:rtl/>
          <w:lang w:eastAsia="en-US"/>
        </w:rPr>
      </w:pPr>
      <w:r>
        <w:rPr>
          <w:rtl/>
          <w:lang w:eastAsia="en-US"/>
        </w:rPr>
        <w:t>1066 -</w:t>
      </w:r>
      <w:r>
        <w:rPr>
          <w:rtl/>
          <w:lang w:eastAsia="en-US"/>
        </w:rPr>
        <w:tab/>
        <w:t>حقوق التنقّل مكفُولة دستورياً في البند 6 من الميثاق الكندي للحقوق والحريات، وعلى وجه التحديد فأن البند 6 ينص على أنه:</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ab/>
      </w:r>
      <w:r>
        <w:rPr>
          <w:rtl/>
          <w:lang w:eastAsia="en-US"/>
        </w:rPr>
        <w:tab/>
        <w:t xml:space="preserve">“6 </w:t>
      </w:r>
      <w:r>
        <w:rPr>
          <w:lang w:eastAsia="en-US"/>
        </w:rPr>
        <w:t>–</w:t>
      </w:r>
      <w:r>
        <w:rPr>
          <w:rtl/>
          <w:lang w:eastAsia="en-US"/>
        </w:rPr>
        <w:t xml:space="preserve"> (1)</w:t>
      </w:r>
      <w:r>
        <w:rPr>
          <w:rtl/>
          <w:lang w:eastAsia="en-US"/>
        </w:rPr>
        <w:tab/>
        <w:t>لكل مواطن في كندا الحق في الدخول والبقاء والمغادرة في كندا</w:t>
      </w:r>
    </w:p>
    <w:p w:rsidR="00000000" w:rsidRDefault="00000000">
      <w:pPr>
        <w:pStyle w:val="SingleTxt"/>
        <w:tabs>
          <w:tab w:val="clear" w:pos="1930"/>
          <w:tab w:val="clear" w:pos="2592"/>
          <w:tab w:val="left" w:pos="2053"/>
          <w:tab w:val="left" w:pos="2195"/>
          <w:tab w:val="left" w:pos="2620"/>
        </w:tabs>
        <w:spacing w:after="0"/>
        <w:ind w:left="1264" w:right="1264"/>
        <w:rPr>
          <w:rtl/>
          <w:lang w:eastAsia="en-US"/>
        </w:rPr>
      </w:pPr>
      <w:r>
        <w:rPr>
          <w:rtl/>
          <w:lang w:eastAsia="en-US"/>
        </w:rPr>
        <w:tab/>
      </w:r>
      <w:r>
        <w:rPr>
          <w:rtl/>
          <w:lang w:eastAsia="en-US"/>
        </w:rPr>
        <w:tab/>
      </w:r>
      <w:r>
        <w:rPr>
          <w:rtl/>
          <w:lang w:eastAsia="en-US"/>
        </w:rPr>
        <w:tab/>
        <w:t xml:space="preserve">    “(2)</w:t>
      </w:r>
      <w:r>
        <w:rPr>
          <w:rtl/>
          <w:lang w:eastAsia="en-US"/>
        </w:rPr>
        <w:tab/>
        <w:t xml:space="preserve">لكل مواطن في كندا ولكل شخص يتمتع يوضع مقيم دائم في كندا </w:t>
      </w:r>
      <w:r>
        <w:rPr>
          <w:rtl/>
          <w:lang w:eastAsia="en-US"/>
        </w:rPr>
        <w:tab/>
      </w:r>
      <w:r>
        <w:rPr>
          <w:rtl/>
          <w:lang w:eastAsia="en-US"/>
        </w:rPr>
        <w:tab/>
      </w:r>
      <w:r>
        <w:rPr>
          <w:rtl/>
          <w:lang w:eastAsia="en-US"/>
        </w:rPr>
        <w:tab/>
      </w:r>
      <w:r>
        <w:rPr>
          <w:rtl/>
          <w:lang w:eastAsia="en-US"/>
        </w:rPr>
        <w:tab/>
      </w:r>
      <w:r>
        <w:rPr>
          <w:rtl/>
          <w:lang w:eastAsia="en-US"/>
        </w:rPr>
        <w:tab/>
        <w:t>الحق في:</w:t>
      </w:r>
    </w:p>
    <w:p w:rsidR="00000000" w:rsidRDefault="00000000">
      <w:pPr>
        <w:pStyle w:val="SingleTxt"/>
        <w:tabs>
          <w:tab w:val="clear" w:pos="1930"/>
          <w:tab w:val="clear" w:pos="2592"/>
          <w:tab w:val="left" w:pos="2053"/>
          <w:tab w:val="left" w:pos="2195"/>
          <w:tab w:val="left" w:pos="2620"/>
        </w:tabs>
        <w:spacing w:after="0"/>
        <w:ind w:left="1264" w:right="1264"/>
        <w:rPr>
          <w:rtl/>
          <w:lang w:eastAsia="en-US"/>
        </w:rPr>
      </w:pPr>
      <w:r>
        <w:rPr>
          <w:rtl/>
          <w:lang w:eastAsia="en-US"/>
        </w:rPr>
        <w:tab/>
      </w:r>
      <w:r>
        <w:rPr>
          <w:rtl/>
          <w:lang w:eastAsia="en-US"/>
        </w:rPr>
        <w:tab/>
      </w:r>
      <w:r>
        <w:rPr>
          <w:rtl/>
          <w:lang w:eastAsia="en-US"/>
        </w:rPr>
        <w:tab/>
      </w:r>
      <w:r>
        <w:rPr>
          <w:rtl/>
          <w:lang w:eastAsia="en-US"/>
        </w:rPr>
        <w:tab/>
      </w:r>
      <w:r>
        <w:rPr>
          <w:rtl/>
          <w:lang w:eastAsia="en-US"/>
        </w:rPr>
        <w:tab/>
        <w:t>“(أ)</w:t>
      </w:r>
      <w:r>
        <w:rPr>
          <w:rtl/>
          <w:lang w:eastAsia="en-US"/>
        </w:rPr>
        <w:tab/>
        <w:t>التنقل والسكن في إي مقاطعة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ab/>
      </w:r>
      <w:r>
        <w:rPr>
          <w:rtl/>
          <w:lang w:eastAsia="en-US"/>
        </w:rPr>
        <w:tab/>
      </w:r>
      <w:r>
        <w:rPr>
          <w:rtl/>
          <w:lang w:eastAsia="en-US"/>
        </w:rPr>
        <w:tab/>
      </w:r>
      <w:r>
        <w:rPr>
          <w:rtl/>
          <w:lang w:eastAsia="en-US"/>
        </w:rPr>
        <w:tab/>
      </w:r>
      <w:r>
        <w:rPr>
          <w:rtl/>
          <w:lang w:eastAsia="en-US"/>
        </w:rPr>
        <w:tab/>
        <w:t>“(ب)</w:t>
      </w:r>
      <w:r>
        <w:rPr>
          <w:rtl/>
          <w:lang w:eastAsia="en-US"/>
        </w:rPr>
        <w:tab/>
        <w:t>التماس كسب الرزق في أي مقاطعة”</w:t>
      </w:r>
    </w:p>
    <w:p w:rsidR="00000000" w:rsidRDefault="00000000">
      <w:pPr>
        <w:pStyle w:val="SingleTxt"/>
        <w:tabs>
          <w:tab w:val="clear" w:pos="1930"/>
          <w:tab w:val="clear" w:pos="2592"/>
          <w:tab w:val="left" w:pos="2053"/>
          <w:tab w:val="left" w:pos="2195"/>
          <w:tab w:val="left" w:pos="2620"/>
        </w:tabs>
        <w:ind w:left="1264" w:right="1264"/>
        <w:rPr>
          <w:b/>
          <w:bCs/>
          <w:rtl/>
          <w:lang w:eastAsia="en-US"/>
        </w:rPr>
      </w:pPr>
      <w:r>
        <w:rPr>
          <w:b/>
          <w:bCs/>
          <w:rtl/>
          <w:lang w:eastAsia="en-US"/>
        </w:rPr>
        <w:t>المادة 16: المرأة والأسرة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1067 -</w:t>
      </w:r>
      <w:r>
        <w:rPr>
          <w:rtl/>
          <w:lang w:eastAsia="en-US"/>
        </w:rPr>
        <w:tab/>
        <w:t>ينص قانون العلاقات الأسرية على أنه عند انهيار الزواج يصبح من حق زوج معال المطالبة بدعم زواجي من الزوج الآخر. وهذا ينطبق كذلك على الفردين غير المتزوجين اللذين يتعاشران لمدة سنتين على الأقل قبل الانفصال إذا ما تمت المطالبة في غضون سنة واحدة من تاريخ توقفهما عن العيش معاً. ولدى تحديد ما إذا كانت المحكمة ستُصدر أمراً في هذا الشأن ينبغي لها أن تنظر في التالي: دور كل زوج في أُسرتهما ووجود اتفاق صريح أو ضمني بين الزوجين بأن واحداً منهما يتحمل مسؤولية دعم وإعالة الآخر، وكذلك الالتزامات بالحضانة ثم الإمكانية والقدرة (والجهود المبذولة بشكل معقول) من جانب أي من الزوجين أو كليهما لإعالة نفسيهما فضلاً عن الظروف الاقتصادية.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1068 -</w:t>
      </w:r>
      <w:r>
        <w:rPr>
          <w:rtl/>
          <w:lang w:eastAsia="en-US"/>
        </w:rPr>
        <w:tab/>
        <w:t>كما ينص قانون علاقات الأسرة على أنه لدى انهيار الزواج يصبح من حق الزوجين الاقتسام المتساوي للأصول التي تملكها الأسرة إلا إذا اتفقا (أو أمرت المحكمة) بخلاف ذلك. وهذه الأحكام تنطبق أيضا على الفردين غير المتزوجين اللذين يبرمان اتفاقا من هذا القَبيل.</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1069 -</w:t>
      </w:r>
      <w:r>
        <w:rPr>
          <w:rtl/>
          <w:lang w:eastAsia="en-US"/>
        </w:rPr>
        <w:tab/>
        <w:t>ويذكر القانون أيضاً أن أم وأب الطفل هما وليا أمر الطفل بصورة مشتركة ماداما يعيشان معاً بصرف النظر عما إذا كانا متزوجين من بعضهما البعض ما لم تقض بخلاف ذلك أوامر محكمة مختصة. فإذا ما انفصل الوالدان، يظلان وليا أمر مصلحة الطفل بصورة مشتركة، والوالد الذي عادة ما تسند له رعاية ورقابة الطفل يصبح هو ولي الأمر الوحيد لشخص الطفل إلا إذا قضت محكمة مختصة قضائياً بخلاف ذلك. وبموجب قانون علاقات الأسرة، فكل والد مسؤول عن الدعم المالي لأطفاله أو أطفالها. وينبغي للمحكمة أن تولي الاعتبار الأكبر لأفضل مصالح الأطفال عندما تصدر أو تغيِّر أو تلغي أمراً بالحضانة أو الوصول إلى الأطفال أو ولاية أمورهم.</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1070 -</w:t>
      </w:r>
      <w:r>
        <w:rPr>
          <w:rtl/>
          <w:lang w:eastAsia="en-US"/>
        </w:rPr>
        <w:tab/>
        <w:t>وفي ظل قانون التبني يمكن تقديم الطفل للتبني لدى شخص بالغ أو اثنين من الأشخاص البالغين بشكل مشترك والاعتبار الجوهري في التبني هو أفضل مصالح تعود على الطفل.</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1071 -</w:t>
      </w:r>
      <w:r>
        <w:rPr>
          <w:rtl/>
          <w:lang w:eastAsia="en-US"/>
        </w:rPr>
        <w:tab/>
        <w:t>وينص قانون الزواج في كولومبيا البريطانية على ألا يصدر ترخيص بالزواج لقاصر في المقاطعة (شخص دون التاسعة عشرة من العمر) ولا يكتسب الزواج الطابع الرسمي إلا إذا كان القاصر لديه الإذن المكتوب من والديه أو والديها. فإذا ما كان القاصر دون السادسة عشرة من العمر، يُطلب أمر من محكمة بإصدار ترخيص ليكتسب الزواج الطابع الرسمي. وأي زواج يكتسب الطابع الرسمي في كولومبيا البريطانية لا بد من تسجيله على النحو المنصوص عليه بموجب قانون الإحصاءات الحيوية.</w:t>
      </w:r>
    </w:p>
    <w:p w:rsidR="00000000" w:rsidRDefault="00000000">
      <w:pPr>
        <w:pStyle w:val="SingleTxt"/>
        <w:tabs>
          <w:tab w:val="clear" w:pos="1930"/>
          <w:tab w:val="clear" w:pos="2592"/>
          <w:tab w:val="left" w:pos="2053"/>
          <w:tab w:val="left" w:pos="2195"/>
          <w:tab w:val="left" w:pos="2620"/>
        </w:tabs>
        <w:ind w:left="1264" w:right="1264"/>
        <w:rPr>
          <w:b/>
          <w:bCs/>
          <w:szCs w:val="34"/>
          <w:rtl/>
          <w:lang w:eastAsia="en-US"/>
        </w:rPr>
      </w:pPr>
      <w:r>
        <w:rPr>
          <w:rtl/>
          <w:lang w:eastAsia="en-US"/>
        </w:rPr>
        <w:br w:type="page"/>
      </w:r>
      <w:r>
        <w:rPr>
          <w:b/>
          <w:bCs/>
          <w:szCs w:val="34"/>
          <w:rtl/>
          <w:lang w:eastAsia="en-US"/>
        </w:rPr>
        <w:t>الجزء الرابع</w:t>
      </w:r>
    </w:p>
    <w:p w:rsidR="00000000" w:rsidRDefault="00000000">
      <w:pPr>
        <w:pStyle w:val="SingleTxt"/>
        <w:tabs>
          <w:tab w:val="clear" w:pos="1930"/>
          <w:tab w:val="clear" w:pos="2592"/>
          <w:tab w:val="left" w:pos="2053"/>
          <w:tab w:val="left" w:pos="2195"/>
          <w:tab w:val="left" w:pos="2620"/>
        </w:tabs>
        <w:ind w:left="1264" w:right="1264"/>
        <w:rPr>
          <w:b/>
          <w:bCs/>
          <w:szCs w:val="32"/>
          <w:rtl/>
          <w:lang w:eastAsia="en-US"/>
        </w:rPr>
      </w:pPr>
      <w:r>
        <w:rPr>
          <w:b/>
          <w:bCs/>
          <w:szCs w:val="32"/>
          <w:rtl/>
          <w:lang w:eastAsia="en-US"/>
        </w:rPr>
        <w:t>التدابير التي اتخذتها حكومات الأقاليم</w:t>
      </w:r>
    </w:p>
    <w:p w:rsidR="00000000" w:rsidRDefault="00000000">
      <w:pPr>
        <w:pStyle w:val="SingleTxt"/>
        <w:tabs>
          <w:tab w:val="clear" w:pos="1930"/>
          <w:tab w:val="clear" w:pos="2592"/>
          <w:tab w:val="left" w:pos="2053"/>
          <w:tab w:val="left" w:pos="2195"/>
          <w:tab w:val="left" w:pos="2620"/>
        </w:tabs>
        <w:ind w:left="1264" w:right="1264"/>
        <w:rPr>
          <w:b/>
          <w:bCs/>
          <w:szCs w:val="32"/>
          <w:rtl/>
          <w:lang w:eastAsia="en-US"/>
        </w:rPr>
      </w:pPr>
      <w:r>
        <w:rPr>
          <w:b/>
          <w:bCs/>
          <w:szCs w:val="32"/>
          <w:rtl/>
          <w:lang w:eastAsia="en-US"/>
        </w:rPr>
        <w:t>الأقاليم الشمالية الغربية</w:t>
      </w:r>
    </w:p>
    <w:p w:rsidR="00000000" w:rsidRDefault="00000000">
      <w:pPr>
        <w:pStyle w:val="SingleTxt"/>
        <w:tabs>
          <w:tab w:val="clear" w:pos="1930"/>
          <w:tab w:val="clear" w:pos="2592"/>
          <w:tab w:val="left" w:pos="2053"/>
          <w:tab w:val="left" w:pos="2195"/>
          <w:tab w:val="left" w:pos="2620"/>
        </w:tabs>
        <w:ind w:left="1264" w:right="1264"/>
        <w:rPr>
          <w:b/>
          <w:bCs/>
          <w:szCs w:val="32"/>
          <w:rtl/>
          <w:lang w:eastAsia="en-US"/>
        </w:rPr>
      </w:pPr>
      <w:r>
        <w:rPr>
          <w:b/>
          <w:bCs/>
          <w:szCs w:val="32"/>
          <w:rtl/>
          <w:lang w:eastAsia="en-US"/>
        </w:rPr>
        <w:t>المادة 2: تدابير منع التمييز</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1072 -</w:t>
      </w:r>
      <w:r>
        <w:rPr>
          <w:rtl/>
          <w:lang w:eastAsia="en-US"/>
        </w:rPr>
        <w:tab/>
        <w:t>خلال فترة هذا التقرير كان ثمة أفرقة عاملة عديدة عاكفة على النظر في القضايا التي تحيط بدعم الطفل وحقوق المرأة والطفل في تشريعات الأقاليم. وقد أدى عمل هذه الأفرقة إلى تغييرات ملموسة في التشريعات التي تمت صياغتها وتبويبها خلال فترة الإبلاغ ومن ثم وضعها في حيِّز النفاذ في أواخر عام 1998. وهذه التشريعات ضمت قانون الأسرة وقانون الأطفال وقانون خدمات الأسرة والطفل وقانون التبني. ومن الآثار الناجمة عن تلك التشريعات القضاء على التمييز بين المرأة التي تنطبق عليها علاقات القانون العرفي، والمرأة المتزوجة في مجالات الدعم، واقتسام الممتلكات والتبني.</w:t>
      </w:r>
    </w:p>
    <w:p w:rsidR="00000000" w:rsidRDefault="00000000">
      <w:pPr>
        <w:pStyle w:val="SingleTxt"/>
        <w:tabs>
          <w:tab w:val="clear" w:pos="1930"/>
          <w:tab w:val="clear" w:pos="2592"/>
          <w:tab w:val="left" w:pos="2053"/>
          <w:tab w:val="left" w:pos="2195"/>
          <w:tab w:val="left" w:pos="2620"/>
        </w:tabs>
        <w:ind w:left="1264" w:right="1264"/>
        <w:rPr>
          <w:b/>
          <w:bCs/>
          <w:szCs w:val="32"/>
          <w:rtl/>
          <w:lang w:eastAsia="en-US"/>
        </w:rPr>
      </w:pPr>
      <w:r>
        <w:rPr>
          <w:b/>
          <w:bCs/>
          <w:szCs w:val="32"/>
          <w:rtl/>
          <w:lang w:eastAsia="en-US"/>
        </w:rPr>
        <w:t>المادة 3: التدابير الكفيلة بالنهوض بالمرأة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1073 -</w:t>
      </w:r>
      <w:r>
        <w:rPr>
          <w:rtl/>
          <w:lang w:eastAsia="en-US"/>
        </w:rPr>
        <w:tab/>
        <w:t>خلال فترة الإبلاغ، واصلت وزارة الصحة والخدمات الاجتماعية تقديم الدعم المالي إلى دور مأوى النساء وبرامج منع العنف الأسري. كما قُدِّم دعم إضافي من خلال تيسير عقد المؤتمرات عن بُعد وعقد الاجتماعات الإقليمية وإتاحة فرص التدريب.</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1074 -</w:t>
      </w:r>
      <w:r>
        <w:rPr>
          <w:rtl/>
          <w:lang w:eastAsia="en-US"/>
        </w:rPr>
        <w:tab/>
        <w:t>وفي الفترة 1995/96 قُدم التمويل إلى مجلس وضع المرأة في الأقاليم الشمالية الغربية لكي يُعد أدلة حلقة العمل “من الظلام إلى النور: استعادة مجتمع حادب”. وهذه الأدلة المصاغة بلغة مبسطة لمقدمي الرعاية استُخدِمت في حلقات العمل المحلية فضلا عن مواضيع من قبيل الإيذاء الزواجي والإيذاء الجنسي للأطفال والاعتداء الجنسي والعلاقات الصحية والمهارات الوالدية وجماعات الدعم للرجال المتسبّبين في الإيذاء.</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1075 -</w:t>
      </w:r>
      <w:r>
        <w:rPr>
          <w:rtl/>
          <w:lang w:eastAsia="en-US"/>
        </w:rPr>
        <w:tab/>
        <w:t xml:space="preserve">وقدمت وزارة العدل ووزارة الصحة والخدمات الاجتماعية التمويل لمجلس وضع المرأة في الأقاليم الشمالية الغربية من أجل إنتاج ستة إعلانات خدمة عامة رامية إلى منع الإيذاء. وقد حملت هذه الإعلانات عنوان “ليس من مبرر للإيذاء” وشملت المواضيع الاعتداءات الزواجية وتعاطي المشروبات الكحولية والمخدرات وإيذاء الطفل والتحرش الجنسي والاعتداء الجنسي وإيذاء المسنين. وقد تُرجمت الإعلانات إلى لغات السكان الأصليين وتم عرضها في تليفزيون </w:t>
      </w:r>
      <w:r>
        <w:rPr>
          <w:lang w:eastAsia="en-US"/>
        </w:rPr>
        <w:t>CBC</w:t>
      </w:r>
      <w:r>
        <w:rPr>
          <w:rtl/>
          <w:lang w:eastAsia="en-US"/>
        </w:rPr>
        <w:t xml:space="preserve"> وتليفزيون شمالي كندا كما سُجلت على شريط مسموع لتوزيعها على محطات الإذاعة المحلية.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1076 -</w:t>
      </w:r>
      <w:r>
        <w:rPr>
          <w:rtl/>
          <w:lang w:eastAsia="en-US"/>
        </w:rPr>
        <w:tab/>
        <w:t>وفي الفترة 1995/96 قدمت وزارة صحة كندا التمويل إلى جمعية كبار السن في الأقاليم الشماية الغربية من أجل سلسلة من الإعلانات المتلفزة للمسنين فضلاً عن حلقات العمل التي تناولت مسألة إيذاء المسنين. وقد تم إنتاج الإعلانات المذكورة بالإنكليزية وباثنتين من لغات السكان الأصليين ووجِّهت إلى كبار السن في المجتمعات النائية عبر الأقاليم الشمالية الغربية. وهذه الحلقات التي ركزت على حقوق النساء المسنات وتحديد أشكال الأذى. قُدمت في مجتمعات محلية مختلفة على صعيد الأقاليم الشمالية الغربية.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1077 -</w:t>
      </w:r>
      <w:r>
        <w:rPr>
          <w:rtl/>
          <w:lang w:eastAsia="en-US"/>
        </w:rPr>
        <w:tab/>
        <w:t>وفي عام 1997 قدمت وزارة الصحـــة والخدمات الاجتماعية ما يقرب من 000 17 دولار لإنتاج سلسلة من الملصقات التي قامت على اساس موضوع “عالم بغير أذى”. وهذه الحملة التي شُنت ضد الإيذاء تم إعدادها وترجمتها إلى جميع اللغات الرسمية بالأقاليم الشمالية الغربية. كما أن هذه الملصقات جرى توزيعها على نطاق واسع في كل أنحاء الشمال.</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1078 -</w:t>
      </w:r>
      <w:r>
        <w:rPr>
          <w:rtl/>
          <w:lang w:eastAsia="en-US"/>
        </w:rPr>
        <w:tab/>
        <w:t>كما تعاون مجلس وضع المرأة في الأقاليم الشمالية الغربية مع لجنة حقوق الإنسان للمرأة الشمالية على إنتاج وتوزيع صحائف وقائع عن المرأة وحقوق الإنسان في الأقاليم الشمالية الغربية (1997) وفيديو عن حقوق الإنسان للجميع (1998) من أجل زيادة الوعي العام بحقوق الإنسان وبالحاجة إلى أوجه انتصاف أفضل في مجال حقوق الإنسان بالأقاليم الشمالية الغربية.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1079 -</w:t>
      </w:r>
      <w:r>
        <w:rPr>
          <w:rtl/>
          <w:lang w:eastAsia="en-US"/>
        </w:rPr>
        <w:tab/>
        <w:t>ويتولى مجلس وضع المرأة سنويا إنتاج وتوزيع ملفات معلومات عامة تتعلق بمواضيع من قبيل “فلنسترجع الليل” و“اليوم الوطني للذكرى والعمل بشأن العنف الموجه ضد المرأة” ويوم المرأة الدولي. ويضطلع المجلس بأنشطة رامية إلى ترقية صورة المرأة الشمالية والاحتفال بمنجزاتها بما في ذلك جوائز المرأة الحكيمة حيث تُكرَّم النساء اللائي أصبحن في دور القدوة مع تعزيز رفاه المرأة والأسر في مجتمعاتها. وفي عام 1998 أنتج المجلس تقويماً لسنتين حمل عنوان “تكريم نسائنا في الأقاليم الشمالية الغربية” وشمل سيراً شخصية وصورا وشهادات مدلى بها عن الكثير من نساء الأقاليم الشماية الغربية.</w:t>
      </w:r>
    </w:p>
    <w:p w:rsidR="00000000" w:rsidRDefault="00000000">
      <w:pPr>
        <w:pStyle w:val="SingleTxt"/>
        <w:tabs>
          <w:tab w:val="clear" w:pos="1930"/>
          <w:tab w:val="clear" w:pos="2592"/>
          <w:tab w:val="left" w:pos="2053"/>
          <w:tab w:val="left" w:pos="2195"/>
          <w:tab w:val="left" w:pos="2620"/>
        </w:tabs>
        <w:ind w:left="1264" w:right="1264"/>
        <w:rPr>
          <w:b/>
          <w:bCs/>
          <w:szCs w:val="32"/>
          <w:rtl/>
          <w:lang w:eastAsia="en-US"/>
        </w:rPr>
      </w:pPr>
      <w:r>
        <w:rPr>
          <w:b/>
          <w:bCs/>
          <w:szCs w:val="32"/>
          <w:rtl/>
          <w:lang w:eastAsia="en-US"/>
        </w:rPr>
        <w:t>المادة 4: التدابير المؤقتة الخاصة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1080 -</w:t>
      </w:r>
      <w:r>
        <w:rPr>
          <w:rtl/>
          <w:lang w:eastAsia="en-US"/>
        </w:rPr>
        <w:tab/>
        <w:t>خلال فترة الإبلاغ، ظل عدد النساء في الأدوار غير التقليدية في سلك الوظائف العامة ثابتا عند نحو 13 في المائة.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1081 -</w:t>
      </w:r>
      <w:r>
        <w:rPr>
          <w:rtl/>
          <w:lang w:eastAsia="en-US"/>
        </w:rPr>
        <w:tab/>
        <w:t>وفي عام 1994 تم إنجاز برنامج نموذجي كفل المرأة سبل التعلم وكان عنوانه “المرأة في طور التحوُّل” وخلال السنة ذاتها بدأ استعراض لسياسة الحكومة في مجال إجراءات العمل الإيجابي.</w:t>
      </w:r>
    </w:p>
    <w:p w:rsidR="00000000" w:rsidRDefault="00000000">
      <w:pPr>
        <w:pStyle w:val="SingleTxt"/>
        <w:tabs>
          <w:tab w:val="clear" w:pos="1930"/>
          <w:tab w:val="clear" w:pos="2592"/>
          <w:tab w:val="left" w:pos="2053"/>
          <w:tab w:val="left" w:pos="2195"/>
          <w:tab w:val="left" w:pos="2620"/>
        </w:tabs>
        <w:ind w:left="1264" w:right="1264"/>
        <w:rPr>
          <w:b/>
          <w:bCs/>
          <w:szCs w:val="32"/>
          <w:rtl/>
          <w:lang w:eastAsia="en-US"/>
        </w:rPr>
      </w:pPr>
      <w:r>
        <w:rPr>
          <w:b/>
          <w:bCs/>
          <w:szCs w:val="32"/>
          <w:rtl/>
          <w:lang w:eastAsia="en-US"/>
        </w:rPr>
        <w:t>المادة 5: القضاء على الصور النمطية الجامدة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1082 -</w:t>
      </w:r>
      <w:r>
        <w:rPr>
          <w:rtl/>
          <w:lang w:eastAsia="en-US"/>
        </w:rPr>
        <w:tab/>
        <w:t>في الفترة 1994/95 اضطلعت وزارة العدل بعدد من المشاريع لتثقيف الجمهور بشأن المسؤولية المشتركة للآباء عن دعم أبنائهم. وضمت هذه المشاريع وإعداد ملصقات وكراسات فضلاً عن كتاب للنوادر لاستخدامه في المدارس الثانوية. وقد أنتجت هذه المواد بلغات ثلاث كما أنتجت الوزارة شريط فيديو مدته 28 دقيقة بالإنكليزية ولغة الإينوك تيتوت وقد عالج قضايا مختلفة في مجال دعم الطفل.</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1083 -</w:t>
      </w:r>
      <w:r>
        <w:rPr>
          <w:rtl/>
          <w:lang w:eastAsia="en-US"/>
        </w:rPr>
        <w:tab/>
        <w:t>وخلال فترة الإبلاغ، واصلت وزارة العدل جباية وتجهيز مدفوعات دعم الطفل من خلال برنامج إنفاذ نفقة الإعالة. وفي عام 1997 أنشئ منصب إضافي لمسؤول عن إنفاذ نفقة الإعالة للمساعدة على إنجاز عدد متزايد من ملفات دعم الطفل التي بدأ فتحها.</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1084 -</w:t>
      </w:r>
      <w:r>
        <w:rPr>
          <w:rtl/>
          <w:lang w:eastAsia="en-US"/>
        </w:rPr>
        <w:tab/>
        <w:t>وفي عام 1997 أنشئ منصب لمسؤول معلومات عن قانون الأسرة/القانون المدني ضمن وزارة العدل. وتَمثَل دور هذه الوظيفة في تحديد الحاجة إلى المواد التي تشرح قوانين دعم الطفل وسير الإجراءات بالمحاكم فضلاً عن تقديم معلومات للأشخاص الذين يلتمسون المساعدة في ظل نظام العدالة المدني مع تركيب خط هاتفي مجاني يتيح للأشخاص سُبل الوصول إلى المعلومات بشأن دعم الطفل.</w:t>
      </w:r>
    </w:p>
    <w:p w:rsidR="00000000" w:rsidRDefault="00000000">
      <w:pPr>
        <w:pStyle w:val="SingleTxt"/>
        <w:tabs>
          <w:tab w:val="clear" w:pos="1930"/>
          <w:tab w:val="clear" w:pos="2592"/>
          <w:tab w:val="left" w:pos="2053"/>
          <w:tab w:val="left" w:pos="2195"/>
          <w:tab w:val="left" w:pos="2620"/>
        </w:tabs>
        <w:ind w:left="1264" w:right="1264"/>
        <w:rPr>
          <w:b/>
          <w:bCs/>
          <w:szCs w:val="32"/>
          <w:rtl/>
          <w:lang w:eastAsia="en-US"/>
        </w:rPr>
      </w:pPr>
      <w:r>
        <w:rPr>
          <w:b/>
          <w:bCs/>
          <w:szCs w:val="32"/>
          <w:rtl/>
          <w:lang w:eastAsia="en-US"/>
        </w:rPr>
        <w:t>المادة 7: المرأة في السياسة والحياة العامة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1085 -</w:t>
      </w:r>
      <w:r>
        <w:rPr>
          <w:rtl/>
          <w:lang w:eastAsia="en-US"/>
        </w:rPr>
        <w:tab/>
        <w:t>خلال فترة الإبلاغ، ظل عدد النساء في مستوى الإدارة بسلك الخدمة العامة في الأقاليم الشمالية الغربية ثابتا عند نحو 27 في المائة حتى برغم ما تم من تخفيض بنسبة 16 في المائة حجم موظفي الخدمة العامة.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1086 -</w:t>
      </w:r>
      <w:r>
        <w:rPr>
          <w:rtl/>
          <w:lang w:eastAsia="en-US"/>
        </w:rPr>
        <w:tab/>
        <w:t>وقد تعاون مجلس وضع المرأة ورابطة نساء السكان القدماء بالأقاليم الشمالية الغربية على مدى سنوات عدة لكفالة إشراك المرأة في وضع دستور جديد للأقاليم الشمالية الغربية. وفي عام 1994 شملت هذه العملية عقد مؤتمر دستوري نسائي. وفي عام 1995 صدر تقرير بعنوان “منظور عالمي وغربي للأقاليم الشمالية الغربية” بشأن ضمان التمثيل القائم على أساس المساواة بين الجنسين. وفي عام 1997 شارك المجلس ورابطة نساء الإنويت الوطنية في إنتاج وتوزيع مواد للتثقيف العام بشأن اقتراح مساواة الجنسين في الجمعية التشريعية في نونافوت.</w:t>
      </w:r>
    </w:p>
    <w:p w:rsidR="00000000" w:rsidRDefault="00000000">
      <w:pPr>
        <w:pStyle w:val="SingleTxt"/>
        <w:tabs>
          <w:tab w:val="clear" w:pos="1930"/>
          <w:tab w:val="clear" w:pos="2592"/>
          <w:tab w:val="left" w:pos="2053"/>
          <w:tab w:val="left" w:pos="2195"/>
          <w:tab w:val="left" w:pos="2620"/>
        </w:tabs>
        <w:ind w:left="1264" w:right="1264"/>
        <w:rPr>
          <w:b/>
          <w:bCs/>
          <w:szCs w:val="32"/>
          <w:rtl/>
          <w:lang w:eastAsia="en-US"/>
        </w:rPr>
      </w:pPr>
      <w:r>
        <w:rPr>
          <w:b/>
          <w:bCs/>
          <w:szCs w:val="32"/>
          <w:rtl/>
          <w:lang w:eastAsia="en-US"/>
        </w:rPr>
        <w:t>المادة 10: التعليم</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1087 -</w:t>
      </w:r>
      <w:r>
        <w:rPr>
          <w:rtl/>
          <w:lang w:eastAsia="en-US"/>
        </w:rPr>
        <w:tab/>
        <w:t xml:space="preserve">في عام 1994 أصدر مجلس وضع المرأة والمؤتمر الكندي للتعلم </w:t>
      </w:r>
      <w:r>
        <w:rPr>
          <w:lang w:eastAsia="en-US"/>
        </w:rPr>
        <w:t>–</w:t>
      </w:r>
      <w:r>
        <w:rPr>
          <w:rtl/>
          <w:lang w:eastAsia="en-US"/>
        </w:rPr>
        <w:t xml:space="preserve"> الأقاليم الشمالية الغربية تقريرا بعنوان “المراهقات في الأقاليم الشمالية الغربية: الإعداد الأكاديمي والتخطيط المهني” وهو يتدارس المواقف والمشاركة من جانب الطالبات في مجال الرياضيات والعلوم والمهن ذات الصلة.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1088 -</w:t>
      </w:r>
      <w:r>
        <w:rPr>
          <w:rtl/>
          <w:lang w:eastAsia="en-US"/>
        </w:rPr>
        <w:tab/>
        <w:t>وفي الفترة 1996/98، بدأت منظمة “المرأة في مجال الحرف والتكنولوجيا شمالي خط 60” وغيرها من المنظمات مشروعا عن تكنولوجيا التشييد للمرأة بوصفه برنامجا معتمدا بالكامل بالمدارس الثانوية لإلحاق الطالبات في مهن في تكنولوجيا التشييد. ومنذ ذلك الحين أصبح هذا البرنامج مقرراً يُقدم بصورة منتظمة.</w:t>
      </w:r>
    </w:p>
    <w:p w:rsidR="00000000" w:rsidRDefault="00000000">
      <w:pPr>
        <w:pStyle w:val="SingleTxt"/>
        <w:tabs>
          <w:tab w:val="clear" w:pos="1930"/>
          <w:tab w:val="clear" w:pos="2592"/>
          <w:tab w:val="left" w:pos="2053"/>
          <w:tab w:val="left" w:pos="2195"/>
          <w:tab w:val="left" w:pos="2620"/>
        </w:tabs>
        <w:ind w:left="1264" w:right="1264"/>
        <w:rPr>
          <w:b/>
          <w:bCs/>
          <w:szCs w:val="32"/>
          <w:rtl/>
          <w:lang w:eastAsia="en-US"/>
        </w:rPr>
      </w:pPr>
      <w:r>
        <w:rPr>
          <w:b/>
          <w:bCs/>
          <w:szCs w:val="32"/>
          <w:rtl/>
          <w:lang w:eastAsia="en-US"/>
        </w:rPr>
        <w:t>المادة 12: الصحة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1089 -</w:t>
      </w:r>
      <w:r>
        <w:rPr>
          <w:rtl/>
          <w:lang w:eastAsia="en-US"/>
        </w:rPr>
        <w:tab/>
        <w:t xml:space="preserve">في الفترة 1994/95 تم إنجاز مشروع مدته ثلاث سنوات بشأن القضايا المتصلة بصحة المرأة على أساس التعاون بين وزارة الصحة والخدمات الاجتماعية ومجلس وضع المرأة. وهذه القضايا شملت استخدام عقار </w:t>
      </w:r>
      <w:r>
        <w:rPr>
          <w:lang w:eastAsia="en-US"/>
        </w:rPr>
        <w:t>Depo provera</w:t>
      </w:r>
      <w:r>
        <w:rPr>
          <w:rtl/>
          <w:lang w:eastAsia="en-US"/>
        </w:rPr>
        <w:t xml:space="preserve"> (وهو عقار لتنظيم النسل) ووضع ورقة مناقشة بعنوان “مشاكل الصحة العقلية واحتياجات المرأة الكندية من السكان الأصليين”. وكذلك تقرير استعراض خدمات الإجهاض. وفي المرحلة الثانية من المشروع اتسعت الشراكة لتشمل منظمة يلونايف للشابات المسيحيات ورابطة نساء الشعوب القديمة في الأقاليم الشمالية الغربية والجمعية الكندية للسرطان/وحدة الأقاليم الشمالية الغربية. كما أُنتجت تشكيلة واسعة من مواد الثقافة الصحية العامة خلال مرحلتي المشروع. أما مواد المرحلة الأولى فشملت كراسات وأشرطة فيديو ومجاميع واقيات ذكرية مجانية وإعلانات خدمة عامة. وناقشت المواد قضايا احترام الذات للمرأة المراهقة وكذلك طبعة شمالية من منشور “نعم تستطيعين” بشأن الوقاية من سرطان الثدي والحوض وملصق يروج لاستخدام المعارف التقليدية في إطار رعاية ما قبل الولادة.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1090 -</w:t>
      </w:r>
      <w:r>
        <w:rPr>
          <w:rtl/>
          <w:lang w:eastAsia="en-US"/>
        </w:rPr>
        <w:tab/>
        <w:t>وفي عام 1997 صدر تقرير عن تقييم الاحتياجات بعنوان “سرطان الثدي في الأقاليم الشمالية الغربية: صوت الناجيات” وقد أعد التقرير مجلس وضع المرأة. كما تم إنتاج دليل عن صحة الثدي لمراكز صحة المجتمع فضلاً عن كتيبات صدرت في 11 لغة.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1091 -</w:t>
      </w:r>
      <w:r>
        <w:rPr>
          <w:rtl/>
          <w:lang w:eastAsia="en-US"/>
        </w:rPr>
        <w:tab/>
        <w:t>وفي عام 1994، وبعد مشاورات بين المناطق ومع الجماعات النسائية، قدمت وزارة الصحة والخدمات الاجتماعية التمويل لإنتاج طائفة متنوعة من مواد الترويج بما في ذلك كراسات وشريط فيديو وإعلانات الخدمة العامة في إطار مشروع صحة المرأة بالأقاليم الشمالية الغربية. وفيما كانت هذه المواد الترويجية موجهة إلى جميع النساء إلا أنه أولي اهتمام خاص للوصول إلى النساء في مجموعة العمر 15 إلى 25 سنة فيما يتعلق بالأمراض المنقولة عن طريق الاتصال الجنسي. وقد تم إنتاج هذه المواد بثلاث لغات.</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1092 -</w:t>
      </w:r>
      <w:r>
        <w:rPr>
          <w:rtl/>
          <w:lang w:eastAsia="en-US"/>
        </w:rPr>
        <w:tab/>
        <w:t>وفي شباط/فبراير 1997 أصبح الفحص الدوري الشامل قبل الولادة لاكتشاف الإصابة بفيروس نقص المناعة البشرية/الإيدز، سياسة تشكل جزءاً من استراتيجية وقائية شاملة. وبدعم من أطباء الأقاليم الشمالية الغربية، عززت حكومة الأقاليم المذكورة استراتيجية “اختيارية” إزاء الفحص الشامل لاكتشاف الإصابة بفيروس نقص المناعة البشرية/الإيدز. وهذا يعني أن النساء يتم فحصهن تلقائيا إلا إذا أشرن بأنهن لا يردن ذلك. وهذا النهج تم اعتماده لمنع حالات العدوى قبل الولادة ولتحسين تشخيص الإصابات الحاصلة بالفعل.</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1093 -</w:t>
      </w:r>
      <w:r>
        <w:rPr>
          <w:rtl/>
          <w:lang w:eastAsia="en-US"/>
        </w:rPr>
        <w:tab/>
        <w:t>وفي شباط/فبراير 1998 عُقدت حلقتا عمل عن فيروس نقص المناعة البشرية/الإيدز في مركز إصلاحيات النساء في فورت سميث وفي مركز إصلاحية بافين في ايكالويت. وهاتان الحلقتان المعقودتان بالإنكليزية ولغة الإينوكتيتوت عززتا رسائل تخفيف الضرر ودعمتا الأخذ بنهج التشاور مع الأقران.</w:t>
      </w:r>
    </w:p>
    <w:p w:rsidR="00000000" w:rsidRDefault="00000000">
      <w:pPr>
        <w:pStyle w:val="SingleTxt"/>
        <w:tabs>
          <w:tab w:val="clear" w:pos="1930"/>
          <w:tab w:val="clear" w:pos="2592"/>
          <w:tab w:val="left" w:pos="2053"/>
          <w:tab w:val="left" w:pos="2195"/>
          <w:tab w:val="left" w:pos="2620"/>
        </w:tabs>
        <w:ind w:left="1264" w:right="1264"/>
        <w:rPr>
          <w:b/>
          <w:bCs/>
          <w:szCs w:val="32"/>
          <w:rtl/>
          <w:lang w:eastAsia="en-US"/>
        </w:rPr>
      </w:pPr>
      <w:r>
        <w:rPr>
          <w:rtl/>
          <w:lang w:eastAsia="en-US"/>
        </w:rPr>
        <w:br w:type="page"/>
      </w:r>
      <w:r>
        <w:rPr>
          <w:b/>
          <w:bCs/>
          <w:szCs w:val="32"/>
          <w:rtl/>
          <w:lang w:eastAsia="en-US"/>
        </w:rPr>
        <w:t>يوكون</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b/>
          <w:bCs/>
          <w:rtl/>
          <w:lang w:eastAsia="en-US"/>
        </w:rPr>
        <w:t>مقدمة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1094 -</w:t>
      </w:r>
      <w:r>
        <w:rPr>
          <w:rtl/>
          <w:lang w:eastAsia="en-US"/>
        </w:rPr>
        <w:tab/>
        <w:t>هذا التقرير يشكل مساهمة إقليم يوكون التي تغطي الفترة من 1 نيسان/أبريل 1994 إلى 31 آذار/مارس 1998.</w:t>
      </w:r>
    </w:p>
    <w:p w:rsidR="00000000" w:rsidRDefault="00000000">
      <w:pPr>
        <w:pStyle w:val="SingleTxt"/>
        <w:tabs>
          <w:tab w:val="clear" w:pos="1930"/>
          <w:tab w:val="clear" w:pos="2592"/>
          <w:tab w:val="left" w:pos="2053"/>
          <w:tab w:val="left" w:pos="2195"/>
          <w:tab w:val="left" w:pos="2620"/>
        </w:tabs>
        <w:ind w:left="1264" w:right="1264"/>
        <w:rPr>
          <w:b/>
          <w:bCs/>
          <w:szCs w:val="32"/>
          <w:rtl/>
          <w:lang w:eastAsia="en-US"/>
        </w:rPr>
      </w:pPr>
      <w:r>
        <w:rPr>
          <w:b/>
          <w:bCs/>
          <w:szCs w:val="32"/>
          <w:rtl/>
          <w:lang w:eastAsia="en-US"/>
        </w:rPr>
        <w:t>المادة 3: التدابير الرامية إلى كفالة النهوض بالمرأة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1095 -</w:t>
      </w:r>
      <w:r>
        <w:rPr>
          <w:rtl/>
          <w:lang w:eastAsia="en-US"/>
        </w:rPr>
        <w:tab/>
        <w:t>ينص قانون حقوق الإنسان على أهداف شتى منها النهوض في يوكون بسياسة عامة تقضي بأن كل فرد حر ومتساوٍ في كرامته وحقوقه، فضلاً عن تعزيز الاعتراف بالكرامة الأصيلة والجدارة وكذلك الحقوق المتساوية غير القابلة للتصرف لجميع أعضاء الأسرة الإنسانية.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1096 -</w:t>
      </w:r>
      <w:r>
        <w:rPr>
          <w:rtl/>
          <w:lang w:eastAsia="en-US"/>
        </w:rPr>
        <w:tab/>
        <w:t>وفي خريف عام 1998 أدت التعديلات التي أُدخلت على قانون الإعالة وأوامر إنفاذ الحضانة وقانون العائلة والتملك والدعم إلى تغيير تعريف الزوج ليشمل في وقت واحد الأزواج في ظل القانون العرفي والأزواج من نفس الجنس. مما كفل انطباق أحكام هذين القانونين بصورة متساوية على جميع الأسر.</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1097 -</w:t>
      </w:r>
      <w:r>
        <w:rPr>
          <w:rtl/>
          <w:lang w:eastAsia="en-US"/>
        </w:rPr>
        <w:tab/>
        <w:t>وقامت مديرية المرأة في يوكون بوضع قاعدة بيانات إحصائية للمرأة في الإقليم. كما أن ثمة منشوراً تم إصداره في 12 نيسان/أبريل 1999 بعنوان “أدخلونا في الحساب: نبذة إحصائية عن المرأة في يوكون” وقد صدر عن مديرية المرأة لينطلق معه أسبوع التوعية بالمساواة الجنسانية. وجمعت الوثيقة المذكورة بيانات من طائفة متنوعة من المصادر وهي تقدم معلومات مفصلة حسب نوع الجنس بشأن حياة المرأة والرجل في يوكون. وتشكل أداة لمساعدة صانعي القرارات بالحكومة ومحللي السياسات على استخدام اسلوب التحليل القائم على أساس نوع الجنس.</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1098 -</w:t>
      </w:r>
      <w:r>
        <w:rPr>
          <w:rtl/>
          <w:lang w:eastAsia="en-US"/>
        </w:rPr>
        <w:tab/>
        <w:t>ومنذ عام 1994 حتى الآن، ما برحت مديرية المرأة تتولى أمر البحوث ووضع السياسات والتوعية العامة بشأن قضايا من قبيل العنف الأسري، والأمن الاقتصادي وإصلاح نظام المعاشات التقاعدية، والفقر، والموازنة بين العمل والأسرة، والإنصاف الجنساني، والاعتداء الجنسي وإيذاء المرأة وقضايا محددة بالنسبة للمرأة من السكان الأصليين ثم قضايا الشابات والمسنات.</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1099 -</w:t>
      </w:r>
      <w:r>
        <w:rPr>
          <w:rtl/>
          <w:lang w:eastAsia="en-US"/>
        </w:rPr>
        <w:tab/>
        <w:t>وفي عام 1997 طرحت حكومة يوكون قانون منع الجريمة وصندوق خدمات الضحايا الذي ينشئ صندوقاً استئمانياً وإطار عمل لإدارته. ويتولى الصندوق تمويل مشاريع وبرامج على أساس مجتمعي موجهة إلى منع الجريمة وإلى تقديم خدمات للمجني عليهم. ويعد القانون واحداً من العناصر التشريعية العديدة التي تشجع المجتمع المحلي على أن يصبح مشاركا في إيجاد حلول لقضايا خطيرة ومنها مثلا العنف الموجة ضد المرأة.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1100 -</w:t>
      </w:r>
      <w:r>
        <w:rPr>
          <w:rtl/>
          <w:lang w:eastAsia="en-US"/>
        </w:rPr>
        <w:tab/>
        <w:t>وفي عام 1997 بدأ العمل بقانون منع العنف الأسري. وهذا القانون يركز على الضحية من خلال طرح ثلاثة أوامر حمائية من المحكمة تكفل طرقا شتى يمكن بواسطتها أن تلتمس الضحية المساعدة: أمر بالتدخل في حالة الطوارئ، وأمر بمساعدة الضحية ثم تصريح بالدخول.</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1101 -</w:t>
      </w:r>
      <w:r>
        <w:rPr>
          <w:rtl/>
          <w:lang w:eastAsia="en-US"/>
        </w:rPr>
        <w:tab/>
        <w:t>وفي إطار دوره كرئيس مشارك لواحد من الأفرقة العاملة لكبار الموظفين المعنيين بوضع المرأة على صعيد الاتحاد والمقاطعات والأقاليم، شارك مدير مديرية المرأة في يوكون في تيسير اجتماع قوة العمل لمدينة كيبيك على مدى ثلاثة أيام لبناء إطار استراتيجي (بالفرنسية والإنكليزية) بشأن منع العنف ضد المرأة. وقد أصدره وزراء الاتحاد و المقاطعات أو الأقاليم المعنيّون بوضع المرأة في اجتماعهم السنوي في تشارلوت تاون، جزيرة الأمير إدوارد في تموز/يوليه 1999.</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1102 -</w:t>
      </w:r>
      <w:r>
        <w:rPr>
          <w:rtl/>
          <w:lang w:eastAsia="en-US"/>
        </w:rPr>
        <w:tab/>
        <w:t>“المسارات والخيارات والتغييرات”، هو منشور مرجعي للمرأة التي تعيش في ظل علاقات تنطوي على الإيذاء. وقد صدر في يوكون في أيار/مايو 1999 خلال شهر منع الاعتداءات الجنسية وهذا الإصدار المرجعي تم تكييفه على أساس ما صدر عن مجلس نوفاسكوتشيا المعني بوضع المرأة.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1103 -</w:t>
      </w:r>
      <w:r>
        <w:rPr>
          <w:rtl/>
          <w:lang w:eastAsia="en-US"/>
        </w:rPr>
        <w:tab/>
        <w:t xml:space="preserve">ومنذ عام 1996 نظمت مديرية المرأة وخدمات مركز منجزات الشباب والخدمات الصحية والاجتماعية برنامج فتيات غريت. وهذا البرنامج الذي يستغرق ثلاثة أسابيع يقوم على أساس إذكاء روح المغامرة والقيادة في الهواء الطلق وهو مصمم للشابات في مجموعة العمر 13 </w:t>
      </w:r>
      <w:r>
        <w:rPr>
          <w:lang w:eastAsia="en-US"/>
        </w:rPr>
        <w:t>–</w:t>
      </w:r>
      <w:r>
        <w:rPr>
          <w:rtl/>
          <w:lang w:eastAsia="en-US"/>
        </w:rPr>
        <w:t xml:space="preserve"> 18 سنة اللائي يعملن من أجل إضفاء تغييرات إيجابية على حياتهن. وتشمل الأنشطة في هذا الصدد تسلق المرتفعات الصخرية ورحلة بالقوارب تستغرق أحد عشر يوما وتشمل الجلسات الجماعية تشكيل الأفرقة وإجراء مناقشات حول صورة الذات وحول الثقة والتعاون وكظم الغيظ ورسم الأهداف وحل المشاكل والإنصاف الجنساني والعلاقات الصحية. وفي عام 1995 بدأ تنظيم برنامج في هذا المضمار بوصفه برنامج نساء غريت لمن يواجهن مصاعب أو عنفاً أو غير ذلك من دواعي التوتر في حياتهن.</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1104 -</w:t>
      </w:r>
      <w:r>
        <w:rPr>
          <w:rtl/>
          <w:lang w:eastAsia="en-US"/>
        </w:rPr>
        <w:tab/>
        <w:t>وصدر قانون بتعديل قانون حقوق الإنسان في خريف 1998 فأدى إلى حظر التمييز على أساس مصدر الدخل لدى البحث عن سكن أو التقدم طلبا للعمل أو استخدام مرفق عام أو تقييم خدمة عامة.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1105 -</w:t>
      </w:r>
      <w:r>
        <w:rPr>
          <w:rtl/>
          <w:lang w:eastAsia="en-US"/>
        </w:rPr>
        <w:tab/>
        <w:t>وتحتفل لجنة حقوق الإنسان في يوكون بيوم العاشر من كانون الأول/ديسمبر (يوم حقوق الإنسان) ويوم 21 آذار/مارس (القضاء على التمييز العنصري) بتنظيم مسيرات على ضوء الشموع وحلقات احتفالية وتبني مهرجانات للأفلام وفعاليات اليوم المفتوح. كما تتبنى اللجنة فعاليات المجتمع المحلي من خلال برنامجها للمِنَح المجتمعية حيث يستطيع أي شخص أو مجموعة في يوكون التقدم طلبا للتمويل للمساعدة على تحمل تكاليف مشروع يتم في الإقليم من أجل حقوق الإنسان. وتطلب اللجنة أن يُعلن مفوض يوكون يوم 10 كانون الأول/ديسمبر يوما لحقوق الإنسان في يوكون على أن يعلن عن ذلك في الصحف.</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1106 -</w:t>
      </w:r>
      <w:r>
        <w:rPr>
          <w:rtl/>
          <w:lang w:eastAsia="en-US"/>
        </w:rPr>
        <w:tab/>
        <w:t>وعملت حكومة يوكون مع اللجان الوزارية على وضع استراتيجية الحكومة في مجال مكافحة الفقر وعلى وضع استراتيجية للشباب واستراتيجية للأكبر سناً في عام 1998.</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1107 -</w:t>
      </w:r>
      <w:r>
        <w:rPr>
          <w:rtl/>
          <w:lang w:eastAsia="en-US"/>
        </w:rPr>
        <w:tab/>
        <w:t>وفي عام 1997، صدر دليل بعنوان “بعبارة أخرى: دليل للغة جامعة” لمساعدة الموظفين الحكوميين على التواصل بطريقة من شأنها تعزيز المشاركة الكاملة لجميع الأفراد. كما قُصد به مساعدة العاملين في مجال الاتصالات والسياسات على إدراج لغة غير استبعادية في جميع عمليات وضع البرامج والسياسات.</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1108 -</w:t>
      </w:r>
      <w:r>
        <w:rPr>
          <w:rtl/>
          <w:lang w:eastAsia="en-US"/>
        </w:rPr>
        <w:tab/>
        <w:t>ومنذ عام 1996، وبالتعاون مع جمعية الصليب الأحمر الإقليمية وشرطة الخيالة الكندية الملكية، شاركت مديرية المرأة في ترأُس لجنة يوكون الاستشارية الإقليمية المعنية ببرنامج خدمات منع الإيذاء. وهو برنامج تابع للصليب الأحمر ويتم تنسيقه وتنفيذه في يوكون. وفي السنتين الأولى والثانية تلقى أكثر من 000 1 من الدارسين معلومات تثقيفية عن الإيذاء وتم تدريب أكثر من 20 متطوعا.</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1109 -</w:t>
      </w:r>
      <w:r>
        <w:rPr>
          <w:rtl/>
          <w:lang w:eastAsia="en-US"/>
        </w:rPr>
        <w:tab/>
        <w:t xml:space="preserve">وفي عام 1995 صدر تقرير “كابيلا نورث </w:t>
      </w:r>
      <w:r>
        <w:rPr>
          <w:lang w:eastAsia="en-US"/>
        </w:rPr>
        <w:t>–</w:t>
      </w:r>
      <w:r>
        <w:rPr>
          <w:rtl/>
          <w:lang w:eastAsia="en-US"/>
        </w:rPr>
        <w:t xml:space="preserve"> استقصاء عن الفتيات المراهقات في يوكون”. وشمل هذا التقرير مناقشات لجماعات محورية مع أكثر من 200 شابة. وقد ثبت أن هذه الوثيقة ذات قيمة لا تقدر سواء بين صفوف الحكومة أو خارجها في اتخاذ المبادرات الرامية إلى تحسين نوعية حياة المرأة الشابة في الإقليم.</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1110 -</w:t>
      </w:r>
      <w:r>
        <w:rPr>
          <w:rtl/>
          <w:lang w:eastAsia="en-US"/>
        </w:rPr>
        <w:tab/>
        <w:t>واستجابة للشواغل التي جرى الإعراب عنها في “تقرير لجنة الحديث حول الجرائم”، وهو عبارة عن مشاورة تمت على صعيد الإقليم بأكمله، بدأت حكومة يوكون في عام 1995 استراتيجية لمنع الجريمة تحت عنوان إيجاد مجتمعات أكثر أمناً. كما صدرت ورقات بحثية عن مواضيع من قبيل العنف الأسري والجرائم المرتبطة بالتملك وجرائم الشباب وإدارة شؤون الجناة وذلك من خلال لجنة وزارية تألفت من وزارات العدل والصحة والخدمات الاجتماعية والتعليم والخدمات المحلية والنقل وكذلك مديرية المرأة وشرطة الخيالة الكندية الملكية.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111 -</w:t>
      </w:r>
      <w:r>
        <w:rPr>
          <w:rtl/>
          <w:lang w:eastAsia="en-US"/>
        </w:rPr>
        <w:tab/>
        <w:t>كما شاركت مديرية المرأة في فريق عامل معني بوضع المرأة والعنف الموجه ضد المرأة على صعيد الاتحاد والمقاطعات والأقاليم في عام 1995. وشملت مشاريع هذا الفريق الجمع بين مسؤولي الاتصالات والمعلومات من كل أنحاء البلاد في إطار حلقة دراسية، ومن ثم إصدار وثيقة بعنوان “ما وراء العنف: الطموح إلى آفاق أعلى”. كما أعدت المديرية الطبعة الثالثة من دليل يوكون للخدمات والموارد.</w:t>
      </w:r>
    </w:p>
    <w:p w:rsidR="00000000" w:rsidRDefault="00000000">
      <w:pPr>
        <w:pStyle w:val="SingleTxt"/>
        <w:tabs>
          <w:tab w:val="clear" w:pos="1930"/>
          <w:tab w:val="clear" w:pos="2592"/>
          <w:tab w:val="left" w:pos="2053"/>
          <w:tab w:val="left" w:pos="2195"/>
          <w:tab w:val="left" w:pos="2620"/>
        </w:tabs>
        <w:ind w:left="1264" w:right="1264"/>
        <w:rPr>
          <w:b/>
          <w:bCs/>
          <w:szCs w:val="32"/>
          <w:rtl/>
          <w:lang w:eastAsia="en-US"/>
        </w:rPr>
      </w:pPr>
      <w:r>
        <w:rPr>
          <w:b/>
          <w:bCs/>
          <w:szCs w:val="32"/>
          <w:rtl/>
          <w:lang w:eastAsia="en-US"/>
        </w:rPr>
        <w:t>المادة 5: القضاء على الصور النمطية الجامدة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1112 -</w:t>
      </w:r>
      <w:r>
        <w:rPr>
          <w:rtl/>
          <w:lang w:eastAsia="en-US"/>
        </w:rPr>
        <w:tab/>
        <w:t xml:space="preserve">في عام 1998 بدأت وزارة الصحة والخدمات الاجتماعية في حكومة يوكون اتخاذ مبادرة الأسر المتعافية. وتعزز هذه المبادرة علاقة ورابطة الوالد </w:t>
      </w:r>
      <w:r>
        <w:rPr>
          <w:lang w:eastAsia="en-US"/>
        </w:rPr>
        <w:t>–</w:t>
      </w:r>
      <w:r>
        <w:rPr>
          <w:rtl/>
          <w:lang w:eastAsia="en-US"/>
        </w:rPr>
        <w:t xml:space="preserve"> الطفل باعتبار أن نوعية هذه الوشيجة أثبتت أن لها دورا كبيرا في انعكاس النتائج الإيجابية على الأطفال. ويعزز البرنامج ممارسات الوالدية وتربية الأطفال الإيجابية ويساعد الأسر على خلق بيئة آمنة وحافزة للطفولة المبكرة من شأنها أن تساعد على إعداد الطفل للمدرسة. وتهيئ مبادرة الأسر المتعافية خدمة طويلة الأجل (من ثلاث إلى أربع سنوات) لمساعدة الأسر على التعامل مع القضايا المستجدة خلال نمو الطفل أو عندما تتغير ظروف الأسرة.</w:t>
      </w:r>
    </w:p>
    <w:p w:rsidR="00000000" w:rsidRDefault="00000000">
      <w:pPr>
        <w:pStyle w:val="SingleTxt"/>
        <w:tabs>
          <w:tab w:val="clear" w:pos="1930"/>
          <w:tab w:val="clear" w:pos="2592"/>
          <w:tab w:val="left" w:pos="2053"/>
          <w:tab w:val="left" w:pos="2195"/>
          <w:tab w:val="left" w:pos="2620"/>
        </w:tabs>
        <w:ind w:left="1264" w:right="1264"/>
        <w:rPr>
          <w:b/>
          <w:bCs/>
          <w:szCs w:val="32"/>
          <w:rtl/>
          <w:lang w:eastAsia="en-US"/>
        </w:rPr>
      </w:pPr>
      <w:r>
        <w:rPr>
          <w:b/>
          <w:bCs/>
          <w:szCs w:val="32"/>
          <w:rtl/>
          <w:lang w:eastAsia="en-US"/>
        </w:rPr>
        <w:t>المادة 6: الاتجار في النساء والبغاء</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113 -</w:t>
      </w:r>
      <w:r>
        <w:rPr>
          <w:rtl/>
          <w:lang w:eastAsia="en-US"/>
        </w:rPr>
        <w:tab/>
        <w:t>في كانون الأول/ديسمبر 1997 أصدرت وزارة الصحة والخدمات الاجتماعية قانونا لتنفيذ اتفاقية لاهاي بشأن حماية الطفل والتعاون فيما يتعلق بالتبني بين البلدان. وتأتي اتفاقية لاهاي متسقة مع المادة 21 من اتفاقية حقوق الطفل التي أصدرتها الأمم المتحدة في عام 1989. ويكفل التشريع الحماية من الاتجار غير المشروع بالأطفال من خلال التبني الخاص لأغراض الحصول على الأعضاء البشرية وبغاء الأطفال واستغلال الأطفال في المصنّفات الإباحية.</w:t>
      </w:r>
    </w:p>
    <w:p w:rsidR="00000000" w:rsidRDefault="00000000">
      <w:pPr>
        <w:pStyle w:val="SingleTxt"/>
        <w:tabs>
          <w:tab w:val="clear" w:pos="1930"/>
          <w:tab w:val="clear" w:pos="2592"/>
          <w:tab w:val="left" w:pos="2053"/>
          <w:tab w:val="left" w:pos="2195"/>
          <w:tab w:val="left" w:pos="2620"/>
        </w:tabs>
        <w:ind w:left="1264" w:right="1264"/>
        <w:rPr>
          <w:b/>
          <w:bCs/>
          <w:szCs w:val="32"/>
          <w:rtl/>
          <w:lang w:eastAsia="en-US"/>
        </w:rPr>
      </w:pPr>
      <w:r>
        <w:rPr>
          <w:b/>
          <w:bCs/>
          <w:szCs w:val="32"/>
          <w:rtl/>
          <w:lang w:eastAsia="en-US"/>
        </w:rPr>
        <w:t>المادة 10: التعليم</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1114 -</w:t>
      </w:r>
      <w:r>
        <w:rPr>
          <w:rtl/>
          <w:lang w:eastAsia="en-US"/>
        </w:rPr>
        <w:tab/>
        <w:t>عن طريق فرع الأسرة والطفل، تعمل وزارة التعليم على كفالة الصحة والعافية للأسر. وقد تلقت البرامج المنفذة في إطار الفرع المذكور مزيداً من الموارد لكي تحدد المشاكل التي تفضي إلى انهيار الأسرة وإلى إيذاء/إهمال الأطفال. وكذلك خدمات المنع والدعم التي تحول دون الإضرار بالطفل، وإعداد وتقديم المعلومات المتعلقة بأداء الأسرة لدورها بصورة صحية فضلاً عن مؤشرات الإيذاء/الإهمال التي تُطرح على الجماعات المحلية والمهنية.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1115 -</w:t>
      </w:r>
      <w:r>
        <w:rPr>
          <w:rtl/>
          <w:lang w:eastAsia="en-US"/>
        </w:rPr>
        <w:tab/>
        <w:t>وتتاح معلومات ومشورات بشأن تنظيم الأسرة، للنساء في جميع أنحاء يوكون من جانب ممرضات الصحة المجتمعية ومركز وايت هورس الصحي والأطباء المحليين.</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1116 -</w:t>
      </w:r>
      <w:r>
        <w:rPr>
          <w:rtl/>
          <w:lang w:eastAsia="en-US"/>
        </w:rPr>
        <w:tab/>
        <w:t>في أيار/مايو 1996، وُضعت سياسة الإنصاف الجنساني في المدارس الحكومية على يد لجنة مشتركة بين الوكالات ومن ثم جرى طرحها على المجلس التشريعي في يوكون. وتستجيب السياسة لكثير من الشواغل المعرب عنها في تقرير كابيلا نورث الذي أصدرته مديرية المرأة عام 1995، من خلال طرح المبادئ التوجيهية التي تعزز الإنصاف الجنساني في جميع جوانب النظام المدرسي. وتشمل المجالات التي تمت معالجتها المنهج الدراسي وممارسات التدريس وعلاقات الطالب والمعلم فضلاً عن علاقات المدرسة والمجتمع.</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1117 -</w:t>
      </w:r>
      <w:r>
        <w:rPr>
          <w:rtl/>
          <w:lang w:eastAsia="en-US"/>
        </w:rPr>
        <w:tab/>
        <w:t>وفي إطار متابعة إصدار السياسة، تم تشكيل لجنة توجيهية لكي تكفل تنفيذ السياسة بطريقة فعَّالة وفي الوقت المناسب. وتألفت لجنة التنفيذ من أعضاء من مديرية المرأة ووزارة التعليم ومركز فيكتوريا فوكنر النسائي ورابطة مدرسي يوكون ومعهد يوكون للدراسات النسوية وجماعة النساء الناطقات بالفرنسية في يوكون وممثلين عن مجالس وهيئات المدارس في يوكون. وقد وضعت اللجنة التوجيهية مشروع إطار لخطة التنفيذ شمل عملية تشاور تضم مختلف أصحاب المصلحة، وقصدت إلى وضع خطة عمل شاملة لتنفيذ ورصد سياسة الإنصاف الجنساني لجميع مدارس يوكون. وكانت الخطوة التالية هي المشاريع النموذجية التي تقصد إلى المساعدة على التنفيذ مما اقتضى الاتصال بأربع مدارس (مدرسة هدن فالي ومدرسة سان إلياس المحلية وواطسون ليك الثانوية ومدرسة بورتر كريك الثانوية) مع المساعدة على إنشاء أفرقة معنية بالانصاف بين الجنسين.</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1118 -</w:t>
      </w:r>
      <w:r>
        <w:rPr>
          <w:rtl/>
          <w:lang w:eastAsia="en-US"/>
        </w:rPr>
        <w:tab/>
        <w:t>وخلال عام 1998 أُعد مشروع طبعة من “دليل القارئ إلى الإنصاف الجنساني لسياسة المدارس الحكومية” بواسطة مديرية المرأة وبموافقة اللجنة المذكورة أعلاه. وفي نيسان/أبريل 1999 صدرت الطبعة النهائية من منشور “من الجزء إلى الكل”.</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1119 -</w:t>
      </w:r>
      <w:r>
        <w:rPr>
          <w:rtl/>
          <w:lang w:eastAsia="en-US"/>
        </w:rPr>
        <w:tab/>
        <w:t>وفي عام 1997 تبنت المديرية مسرح يوكون التعليمي لكي يقوم بجولات في المجتمعات الريفية وينظم حلقات عمل معنية بحل الصراعات لتلاميذ المدارس الابتدائية في كل أنحاء يوكون.</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1120 -</w:t>
      </w:r>
      <w:r>
        <w:rPr>
          <w:rtl/>
          <w:lang w:eastAsia="en-US"/>
        </w:rPr>
        <w:tab/>
        <w:t>وفي عام 1995 شاركت المديرية في تبني مسرح تمثيلي لتقديم مسرحية تعالج قضية العنف الأسري. وفي عام 1996 شاركت في تبني المسرح ليقدم تمثيلية تعالج قضية الإنصاف بين الجنسين وكلا التمثيليتين قام بكتابتهما وتمثيلهما الشباب.</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1121 -</w:t>
      </w:r>
      <w:r>
        <w:rPr>
          <w:rtl/>
          <w:lang w:eastAsia="en-US"/>
        </w:rPr>
        <w:tab/>
        <w:t>وفي عام 1995، تم إعداد استعراض للمنهج الدراسي بشأن التحيُّز الجنساني في يوكون ومن ثم توزيعه على المدارس والمعلمين والمديرين.</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1122 -</w:t>
      </w:r>
      <w:r>
        <w:rPr>
          <w:rtl/>
          <w:lang w:eastAsia="en-US"/>
        </w:rPr>
        <w:tab/>
        <w:t>وقام مشروع الإنصاف في يوكون، وهو لجنة قائمة على أساس مجتمعي، بتنظيم خلوة تدريبية في المنتجع للكبار من عناصر التيسير فجمعت بين 40 شابا في تشرين الثاني/نوفمبر 1995 اجتمعوا في خلوة لمدة أربعة أيام. وعملت الشابات مع أخصائيات تيسر فيما عمل الشباب مع أخصائي تيسير وفي اليوم الرابع التقى الجميع معاً لتدارس قضايا الإنصاف بين الجنسين. ومن واقع هذا المشروع قام الشباب بوضع خطط عمل ثم واصلوا جهودهم بشأنها في المدارس التي ينتمون إليها.</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1123 -</w:t>
      </w:r>
      <w:r>
        <w:rPr>
          <w:rtl/>
          <w:lang w:eastAsia="en-US"/>
        </w:rPr>
        <w:tab/>
        <w:t>وقد أصبح لدى كثير من مدارس يوكون الخطط الرامية إلى تطوير مدارس يوكون التي استهدفت قضايا الإنصاف الجنساني والاجتماعي. وسيتم مساعدة عدد أكبر من المدارس على وضع مثل هذه الخطط على أساس احتياجاتها.</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1124 -</w:t>
      </w:r>
      <w:r>
        <w:rPr>
          <w:rtl/>
          <w:lang w:eastAsia="en-US"/>
        </w:rPr>
        <w:tab/>
        <w:t>وفي عام 1997، عملت المديرية مع وزارة العدل ومع هيئة شركاء في الأطفال وغير ذلك من الهيئات من أجل إعداد حلقة عمل للآباء المطلقين والمنفصلين. ومن واقع هذه المناقشات (وجزئياً على أساس برنامج مماثل من مانيتوبا) أنشئ برنامج بعنوان “من أجل الأطفال”.</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1125 -</w:t>
      </w:r>
      <w:r>
        <w:rPr>
          <w:rtl/>
          <w:lang w:eastAsia="en-US"/>
        </w:rPr>
        <w:tab/>
        <w:t>وصدر في أيار/مايو 1996 تقرير قوة العمل المعنية بتعزيز المدارس الآمنة واحتوى التقرير على 11 توصية حظيت بالقبول وتبنتها وزارة التعليم.</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1126 -</w:t>
      </w:r>
      <w:r>
        <w:rPr>
          <w:rtl/>
          <w:lang w:eastAsia="en-US"/>
        </w:rPr>
        <w:tab/>
        <w:t>ويعمل لدى وزارة التعليم منسِّق للمدارس الآمنة يتمثل دوره في تقديم المعلومات وإسداء المشورة إلى الطلاب والعاملين في مجال التمييز نحو المرأة فضلاً عن المشاكل الأوسع نطاقا المتعلقة بالمدارس الآمنة.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1127 -</w:t>
      </w:r>
      <w:r>
        <w:rPr>
          <w:rtl/>
          <w:lang w:eastAsia="en-US"/>
        </w:rPr>
        <w:tab/>
        <w:t xml:space="preserve">وعاد فريق المراهقة الآمنة </w:t>
      </w:r>
      <w:r>
        <w:rPr>
          <w:lang w:eastAsia="en-US"/>
        </w:rPr>
        <w:t>“SAFE TEEN”</w:t>
      </w:r>
      <w:r>
        <w:rPr>
          <w:rtl/>
          <w:lang w:eastAsia="en-US"/>
        </w:rPr>
        <w:t xml:space="preserve"> إلى وايت هورس في عام 1996 لينظم حلقات عمل في أربع من المدارس الثانوية في وايت هورس ومنها حلقة دفاع عن النفس للمرأة وحلقة للرجال عن عنف الرجل وحلقة للمدرسين والآباء كما عاد الفريق إلى دوسون سيتي لينظم عددا من حلقات العمل والمحاضرات العامة.</w:t>
      </w:r>
    </w:p>
    <w:p w:rsidR="00000000" w:rsidRDefault="00000000">
      <w:pPr>
        <w:pStyle w:val="SingleTxt"/>
        <w:tabs>
          <w:tab w:val="clear" w:pos="1930"/>
          <w:tab w:val="clear" w:pos="2592"/>
          <w:tab w:val="left" w:pos="2053"/>
          <w:tab w:val="left" w:pos="2195"/>
          <w:tab w:val="left" w:pos="2620"/>
        </w:tabs>
        <w:ind w:left="1264" w:right="1264"/>
        <w:rPr>
          <w:b/>
          <w:bCs/>
          <w:szCs w:val="32"/>
          <w:rtl/>
          <w:lang w:eastAsia="en-US"/>
        </w:rPr>
      </w:pPr>
      <w:r>
        <w:rPr>
          <w:b/>
          <w:bCs/>
          <w:szCs w:val="32"/>
          <w:rtl/>
          <w:lang w:eastAsia="en-US"/>
        </w:rPr>
        <w:t>المادة 11: العمالة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1128 -</w:t>
      </w:r>
      <w:r>
        <w:rPr>
          <w:rtl/>
          <w:lang w:eastAsia="en-US"/>
        </w:rPr>
        <w:tab/>
        <w:t>أنشأت وزارة الصحة والخدمات الاجتماعية مؤخرا صندوق التنمية المهنية ليقدم المساعدة المالية للعاملين الصحيين والاجتماعيين وللمتطوعين من أجل تنمية مهاراتهم في مجالات الخدمات الصحية والاجتماعية. كما أنشأت الوزارة منحة تمريض لتشجيع الأفراد على تلقي التدريب في ميدان التمريض.</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1129 -</w:t>
      </w:r>
      <w:r>
        <w:rPr>
          <w:rtl/>
          <w:lang w:eastAsia="en-US"/>
        </w:rPr>
        <w:tab/>
        <w:t>وفي تشرين الأول/أكتوبر 1994 نفذت حكومة يوكون سياسة الإنصاف التوظيفي وما زالت تتابع ممارسات التوظيف بما في ذلك: زيادة التدريب في مجالات المهن غير التقليدية واتباع أسلوب أولوية التفضيل للمسابقات في المجالات التي تشهد انخفاضا في التمثيل وإزالة الحواجز المنهجية لدى إعداد حزم التوظيف واتباع أسلوب التعيينات المؤقتة ومواصلة تثقيف موظفي الحكومة فيما يتعلق بالإنصاف في مجال العمالة.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1130 -</w:t>
      </w:r>
      <w:r>
        <w:rPr>
          <w:rtl/>
          <w:lang w:eastAsia="en-US"/>
        </w:rPr>
        <w:tab/>
        <w:t xml:space="preserve">وفي الفترة 1997 </w:t>
      </w:r>
      <w:r>
        <w:rPr>
          <w:lang w:eastAsia="en-US"/>
        </w:rPr>
        <w:t>–</w:t>
      </w:r>
      <w:r>
        <w:rPr>
          <w:rtl/>
          <w:lang w:eastAsia="en-US"/>
        </w:rPr>
        <w:t xml:space="preserve"> 1998 أضافت وزارة الصحة والخدمات الاجتماعية مبلغ 000 880 دولار تمويلاً لبرنامج دعم رعاية الطفل بزيادة 8 في المائة لما مجموعه 3.5 مليون دولار. وهذا الدعم يساعد الأسر ذات الدخل المنخفض على الوصول إلى مراكز رعاية الطفولة. وفي عام 1999 أضافت الوزارة أيضا مبلغ 000 350 دولار إلى منحة التشغيل المباشرة لمرافق رعاية الطفل المرخصة بما مجموعه 1.57 في المائة مليون دولار للمساعدة على تحمّل التكاليف الجارية للتشغيل وكذلك المساعدة على تخفيض المصاريف التي يدفعها المستفيدون منها.</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1131 -</w:t>
      </w:r>
      <w:r>
        <w:rPr>
          <w:rtl/>
          <w:lang w:eastAsia="en-US"/>
        </w:rPr>
        <w:tab/>
        <w:t>وفي عام 1998 تم بصورة مشتركة توقيع رسالة تفاهم من جانب حكومة يوكون وتحالف الخدمة العامة في كندا من أجل تهيئة عملية تحكيم سريعة في شكاوى التحرش في موقع العمل. وبناء عليه اختير بصورة مشتركة محقق من جانب الاتحاد وممثلي الإدارة ليقوم بالوساطة أو يجري تحقيقات في الشكاوى، ويُعد تقارير لتقصي الحقائق، ويُقدم تدريبا أثناء الخدمة للموظفين والإدارة وممثلي الاتحاد بشأن منع وحل مشاكل التحرش في موقع العمل. والمجالات الثلاثة للتحرش التي يحظرها الاتفاق الجماعي للتحالف المذكور أعلاه وتحظرها سياسة التحرش في موقع العمل التي يعتمدها أرباب العمل هي التحرش الجنسي والتحرش الشخصي وتعسف السلطة.</w:t>
      </w:r>
    </w:p>
    <w:p w:rsidR="00000000" w:rsidRDefault="00000000">
      <w:pPr>
        <w:pStyle w:val="SingleTxt"/>
        <w:tabs>
          <w:tab w:val="clear" w:pos="1930"/>
          <w:tab w:val="clear" w:pos="2592"/>
          <w:tab w:val="left" w:pos="2053"/>
          <w:tab w:val="left" w:pos="2195"/>
          <w:tab w:val="left" w:pos="2620"/>
        </w:tabs>
        <w:ind w:left="1264" w:right="1264"/>
        <w:rPr>
          <w:b/>
          <w:bCs/>
          <w:szCs w:val="32"/>
          <w:rtl/>
          <w:lang w:eastAsia="en-US"/>
        </w:rPr>
      </w:pPr>
      <w:r>
        <w:rPr>
          <w:b/>
          <w:bCs/>
          <w:szCs w:val="32"/>
          <w:rtl/>
          <w:lang w:eastAsia="en-US"/>
        </w:rPr>
        <w:t>المادة 12: الصحة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1132 -</w:t>
      </w:r>
      <w:r>
        <w:rPr>
          <w:rtl/>
          <w:lang w:eastAsia="en-US"/>
        </w:rPr>
        <w:tab/>
        <w:t>تنشط حكومة يوكون للمشاركة في المفاوضات التي يتولاها الاتحاد الاجتماعي وتعمل مع سائر مستويات الحكم من أجل تقديم خدمات الرعاية الصحية والخدمات التعليمية والاجتماعية. وتترأس يوكون حاليا اللجنة الاستشارية المعنية بالخدمات الصحية.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1133 -</w:t>
      </w:r>
      <w:r>
        <w:rPr>
          <w:rtl/>
          <w:lang w:eastAsia="en-US"/>
        </w:rPr>
        <w:tab/>
        <w:t>ويتولى حاليا مستشفى وايت هورس العام، بمساعدة من وزارة الصحة والخدمات الاجتماعية، شراء جهاز جديد متطور للكشف عن الثدي من شأنه أن يساعد في الكشف المبكر عن سرطان الثدي.</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1134 -</w:t>
      </w:r>
      <w:r>
        <w:rPr>
          <w:rtl/>
          <w:lang w:eastAsia="en-US"/>
        </w:rPr>
        <w:tab/>
        <w:t>كما تم العمل في عام 1998 ببرنامج العقاقير وطب العيون للأطفال لمساعدة الأسر ذات الدخل المنخفض على تحمل تكاليف الأدوية الموصوفة وفحوصات العيون والنظارات الطبية للأطفال في سن الثامنة عشرة وما دونها.</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1135 -</w:t>
      </w:r>
      <w:r>
        <w:rPr>
          <w:rtl/>
          <w:lang w:eastAsia="en-US"/>
        </w:rPr>
        <w:tab/>
        <w:t xml:space="preserve">وتم تعزيز برنامج علاج أسنان الأطفال ليقدم خدمات إضافية إلى جميع الأطفال بمدارس يوكون. </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1136 -</w:t>
      </w:r>
      <w:r>
        <w:rPr>
          <w:rtl/>
          <w:lang w:eastAsia="en-US"/>
        </w:rPr>
        <w:tab/>
        <w:t>وتحرص مبادرة الأسر المتعافية على التواصل مع الآباء الشباب والآباء المعرَّضين للخطر من خلال تعزيز ممارسات الوالدية الإيجابية وتنشئة الأطفال.</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1137 -</w:t>
      </w:r>
      <w:r>
        <w:rPr>
          <w:rtl/>
          <w:lang w:eastAsia="en-US"/>
        </w:rPr>
        <w:tab/>
        <w:t>وتم إنشاء فريق معني بتخطيط القبالة لمناقشة موضوع القبالة، والعمل مع وزارة الصحة والخدمات الاجتماعية على إقرار التشريعات المتصلة بممارسة القبالة.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1138 -</w:t>
      </w:r>
      <w:r>
        <w:rPr>
          <w:rtl/>
          <w:lang w:eastAsia="en-US"/>
        </w:rPr>
        <w:tab/>
        <w:t>ويعمل منسِّق للصحة الإنجابية ضمن وزارة الصحة والخدمات الاجتماعية على تقديم المعلومات بشأن تنظيم الأسرة والوقاية من الأمراض المنقولة عن طريق الاتصال الجنسي والصحة قبل الولادة/وبعد الولادة والتشخيص المبكر للأمراض (مثلاً الفحص الذاتي للثدي) وانقطاع الطمث.</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1139 -</w:t>
      </w:r>
      <w:r>
        <w:rPr>
          <w:rtl/>
          <w:lang w:eastAsia="en-US"/>
        </w:rPr>
        <w:tab/>
        <w:t>وأصبح بمقدور الأمهات اللائي اقترب موعد وضعهن وينتمين إلى المجتمعات النائية ممن يتعين عليهن السفر إلى وايت هورس لانتظار وضع وليدهن، تلقى المساعدة والسكن من خلال دور الضيافة (دور الروتاري). كما يتاح برنامج للإيواء في مستشفى وايت هورس العام للزبائن ومقدمي المعونة لهن ممن يشاركون مباشرة في الخدمات المتاحة بالمستشفى.</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1140 -</w:t>
      </w:r>
      <w:r>
        <w:rPr>
          <w:rtl/>
          <w:lang w:eastAsia="en-US"/>
        </w:rPr>
        <w:tab/>
        <w:t>وفي خريف عام 1998 أدخلت حكومة يوكون تعديلات على قانون سقوط الدعوى بالتقادم. وهذه التعديلات اعترفت بمعاناة الناجين بعد إيذاء جنسي وبحاجتهم الماسة للتعافي من خلال إزالة القيود الزمنية في مسائل الإيذاء الجنسي، ومن ثم أصبح بمقدور الناجين اتخاذ إجراءات في هذا الشأن في أي وقت. وتنطبق التعديلات كذلك على الأحداث القُصَّر ممن عانوا مغبة عدوان جنسي أو انحراف جنسي في طور الطفولة. وفضلاً عن ذلك تنص التعديلات على مرحلة تحوُّل يمكن اتباعها لاحياء مطالبات “انقضت زمنيا” شريطة ألا يكون الحق في هذه المطالبات محظورا بأي صورة من الصور في المقام الأول.</w:t>
      </w:r>
    </w:p>
    <w:p w:rsidR="00000000" w:rsidRDefault="00000000">
      <w:pPr>
        <w:pStyle w:val="SingleTxt"/>
        <w:tabs>
          <w:tab w:val="clear" w:pos="1930"/>
          <w:tab w:val="clear" w:pos="2592"/>
          <w:tab w:val="left" w:pos="2053"/>
          <w:tab w:val="left" w:pos="2195"/>
          <w:tab w:val="left" w:pos="2620"/>
        </w:tabs>
        <w:ind w:left="1264" w:right="1264"/>
        <w:rPr>
          <w:szCs w:val="32"/>
          <w:rtl/>
          <w:lang w:eastAsia="en-US"/>
        </w:rPr>
      </w:pPr>
      <w:r>
        <w:rPr>
          <w:b/>
          <w:bCs/>
          <w:szCs w:val="32"/>
          <w:rtl/>
          <w:lang w:eastAsia="en-US"/>
        </w:rPr>
        <w:t>المادة 13: الحياة الاقتصادية والاجتماعية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1141 -</w:t>
      </w:r>
      <w:r>
        <w:rPr>
          <w:rtl/>
          <w:lang w:eastAsia="en-US"/>
        </w:rPr>
        <w:tab/>
        <w:t>بدأت حكومة يوكون العمل باثنتين من أكبر مبادرات مكافحة الفقر، وتتيحان المزيد من الدخل ليوضع تحت تصرف الأسر والأفراد ممن تزداد حاجتهم أكثر من سواهم في يوكون. واستحقاق الطفولة في يوكون هو مبلغ نقدي مدفوع شهريا وبصورة مباشرة لأسر يوكون ذات الدخل المنخفض التي لديها أطفال دون الثامنة عشرة من العمر. ولا تُفرض أي ضريبة على مبالغ هذه الاستحقاقات ولا تدخل في الحساب بوصفها دخلا لأغراض تحديد المساعدة الاجتماعية. كما أن الائتمان الضريبي للأسرة ذات الدخل المنخفض في يوكون يُعد ائتمانا لضريبة الدخل شخصيا وغير قابل للاسترداد ومن شأنه أن يُقلل ضريبة الدخل في يوكون التي يسددها مواطنو يوكون من ذوي الدخل المنخفض. وهذا التدبير يستهدف دافعي الضرائب الذين تقل دخولهم عن 000 25 دولار.</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1142 -</w:t>
      </w:r>
      <w:r>
        <w:rPr>
          <w:rtl/>
          <w:lang w:eastAsia="en-US"/>
        </w:rPr>
        <w:tab/>
        <w:t>كما أنشأت حكومة يوكون صندوق الترفيه عن الأولاد لتمكين الأطفال والشباب الذين تواجه أسرهم مصاعب مالية من المشاركة الفعالة في برامج الترفيه المنظَّمة. ويتاح التمويل للمساعدة على تغطية مصاريف التسجيل والمعدات واللوازم للأشكال المنظمة من الألعاب الرياضية والفنون والأنشطة الثقافية والترويحية والاجتماعية.</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1143 -</w:t>
      </w:r>
      <w:r>
        <w:rPr>
          <w:rtl/>
          <w:lang w:eastAsia="en-US"/>
        </w:rPr>
        <w:tab/>
        <w:t>وفي عام 1996 عملت المديرية بالتعاون مع هيئة الألعاب الرياضية والترفيه من أجل التصدي لمسألة التحرش في مجال الألعاب الرياضية. وقد أُدخلت تغييرات على تقرير “يوكون 2000” الصادر بشأن المجتمع والنقل بما يكفل معالجة قضايا نوع الجنس والتحرش.</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1144 -</w:t>
      </w:r>
      <w:r>
        <w:rPr>
          <w:rtl/>
          <w:lang w:eastAsia="en-US"/>
        </w:rPr>
        <w:tab/>
        <w:t>وينص قانون إنفاذ نفقة الإعالة والحضانة على صدور أمر من محكمة في داخل يوكون أو خارجها بدفع أموال بوصفها نفقة إعالة أو دعم. كما ينص قانون الإنفاذ المتبادل لأوامر نفقة الإعالة على إعمال قانون إنفاذ متبادل في مقاطعة أو ولاية أخرى أو بلد آخر. وتدير يوكون حاليا أمر الإنفاذ المتبادل مع جميع المقاطعات والأقاليم الكندية ومع 30 من الولايات بالولايات المتحدة ومع بلدان أخرى.</w:t>
      </w:r>
    </w:p>
    <w:p w:rsidR="00000000" w:rsidRDefault="00000000">
      <w:pPr>
        <w:pStyle w:val="SingleTxt"/>
        <w:tabs>
          <w:tab w:val="clear" w:pos="1930"/>
          <w:tab w:val="clear" w:pos="2592"/>
          <w:tab w:val="left" w:pos="2053"/>
          <w:tab w:val="left" w:pos="2195"/>
          <w:tab w:val="left" w:pos="2620"/>
        </w:tabs>
        <w:ind w:left="1264" w:right="1264"/>
        <w:rPr>
          <w:rtl/>
          <w:lang w:eastAsia="en-US"/>
        </w:rPr>
      </w:pPr>
      <w:r>
        <w:rPr>
          <w:rtl/>
          <w:lang w:eastAsia="en-US"/>
        </w:rPr>
        <w:t>1145 -</w:t>
      </w:r>
      <w:r>
        <w:rPr>
          <w:rtl/>
          <w:lang w:eastAsia="en-US"/>
        </w:rPr>
        <w:tab/>
        <w:t>وتم تعديل هذا القانون وإقراره عام 1998. وكان من المتوقع إعلانه في خريف عام 1999. وشملت التعديلات تدابير إنفاذ جديدة تتيح للحكومة:</w:t>
      </w:r>
    </w:p>
    <w:p w:rsidR="00000000" w:rsidRDefault="00000000">
      <w:pPr>
        <w:pStyle w:val="SingleTxt"/>
        <w:tabs>
          <w:tab w:val="clear" w:pos="1930"/>
          <w:tab w:val="clear" w:pos="2592"/>
          <w:tab w:val="left" w:pos="1486"/>
          <w:tab w:val="left" w:pos="2053"/>
          <w:tab w:val="left" w:pos="2195"/>
          <w:tab w:val="left" w:pos="2620"/>
        </w:tabs>
        <w:ind w:left="1927" w:right="1264" w:hanging="663"/>
        <w:rPr>
          <w:rtl/>
          <w:lang w:eastAsia="en-US"/>
        </w:rPr>
      </w:pPr>
      <w:r>
        <w:rPr>
          <w:rtl/>
          <w:lang w:eastAsia="en-US"/>
        </w:rPr>
        <w:tab/>
      </w:r>
      <w:r>
        <w:rPr>
          <w:rtl/>
          <w:lang w:eastAsia="en-US"/>
        </w:rPr>
        <w:tab/>
        <w:t>•</w:t>
      </w:r>
      <w:r>
        <w:rPr>
          <w:rtl/>
          <w:lang w:eastAsia="en-US"/>
        </w:rPr>
        <w:tab/>
        <w:t>تطبيق أوامر التحفظ أو أوامر المصادرة والبيع على مؤسسة يكون فيها المدعى عليه/المدين هو المساهم الوحيد أو يكون له مصلحة إشرافية أو تكون بيد أسرته/أو أسرتها المباشرة مقاليد السيطرة على المؤسسة.</w:t>
      </w:r>
    </w:p>
    <w:p w:rsidR="00000000" w:rsidRDefault="00000000">
      <w:pPr>
        <w:pStyle w:val="SingleTxt"/>
        <w:tabs>
          <w:tab w:val="clear" w:pos="1930"/>
          <w:tab w:val="clear" w:pos="2592"/>
          <w:tab w:val="left" w:pos="1486"/>
          <w:tab w:val="left" w:pos="2053"/>
          <w:tab w:val="left" w:pos="2195"/>
          <w:tab w:val="left" w:pos="2620"/>
        </w:tabs>
        <w:ind w:left="1927" w:right="1264" w:hanging="663"/>
        <w:rPr>
          <w:rtl/>
          <w:lang w:eastAsia="en-US"/>
        </w:rPr>
      </w:pPr>
      <w:r>
        <w:rPr>
          <w:rtl/>
          <w:lang w:eastAsia="en-US"/>
        </w:rPr>
        <w:tab/>
      </w:r>
      <w:r>
        <w:rPr>
          <w:rtl/>
          <w:lang w:eastAsia="en-US"/>
        </w:rPr>
        <w:tab/>
        <w:t>•</w:t>
      </w:r>
      <w:r>
        <w:rPr>
          <w:rtl/>
          <w:lang w:eastAsia="en-US"/>
        </w:rPr>
        <w:tab/>
        <w:t>إلغاء فترة التجميد لثلاثين يوما على الأموال المحجوز عليها باستثناء ما إذا ما كان لطرف ثالث مصلحة في الأموال.</w:t>
      </w:r>
    </w:p>
    <w:p w:rsidR="00000000" w:rsidRDefault="00000000">
      <w:pPr>
        <w:pStyle w:val="SingleTxt"/>
        <w:tabs>
          <w:tab w:val="clear" w:pos="1930"/>
          <w:tab w:val="clear" w:pos="2592"/>
          <w:tab w:val="left" w:pos="1486"/>
          <w:tab w:val="left" w:pos="2053"/>
          <w:tab w:val="left" w:pos="2195"/>
          <w:tab w:val="left" w:pos="2620"/>
        </w:tabs>
        <w:ind w:left="1927" w:right="1264" w:hanging="663"/>
        <w:rPr>
          <w:rtl/>
          <w:lang w:eastAsia="en-US"/>
        </w:rPr>
      </w:pPr>
      <w:r>
        <w:rPr>
          <w:rtl/>
          <w:lang w:eastAsia="en-US"/>
        </w:rPr>
        <w:tab/>
      </w:r>
      <w:r>
        <w:rPr>
          <w:rtl/>
          <w:lang w:eastAsia="en-US"/>
        </w:rPr>
        <w:tab/>
        <w:t>•</w:t>
      </w:r>
      <w:r>
        <w:rPr>
          <w:rtl/>
          <w:lang w:eastAsia="en-US"/>
        </w:rPr>
        <w:tab/>
        <w:t>النص على صدور أوامر ضد المدعى عليه من أجل إنفاذها بحق الإسم التجاري أو الاقتصادي للمدعى عليه/المدين أو ضد حصة المدعى عليه/المدين في شراكة ما.</w:t>
      </w:r>
    </w:p>
    <w:p w:rsidR="00000000" w:rsidRDefault="00000000">
      <w:pPr>
        <w:pStyle w:val="SingleTxt"/>
        <w:tabs>
          <w:tab w:val="clear" w:pos="1930"/>
          <w:tab w:val="clear" w:pos="2592"/>
          <w:tab w:val="left" w:pos="1486"/>
          <w:tab w:val="left" w:pos="2053"/>
          <w:tab w:val="left" w:pos="2195"/>
          <w:tab w:val="left" w:pos="2620"/>
        </w:tabs>
        <w:ind w:left="1927" w:right="1264" w:hanging="663"/>
        <w:rPr>
          <w:rtl/>
          <w:lang w:eastAsia="en-US"/>
        </w:rPr>
      </w:pPr>
      <w:r>
        <w:rPr>
          <w:rtl/>
          <w:lang w:eastAsia="en-US"/>
        </w:rPr>
        <w:tab/>
      </w:r>
      <w:r>
        <w:rPr>
          <w:rtl/>
          <w:lang w:eastAsia="en-US"/>
        </w:rPr>
        <w:tab/>
        <w:t>•</w:t>
      </w:r>
      <w:r>
        <w:rPr>
          <w:rtl/>
          <w:lang w:eastAsia="en-US"/>
        </w:rPr>
        <w:tab/>
        <w:t>إلغاء فترة التقادم البالغة 10 سنوات والمفروضة على جباية المتأخرات</w:t>
      </w:r>
    </w:p>
    <w:p w:rsidR="00000000" w:rsidRDefault="00000000">
      <w:pPr>
        <w:pStyle w:val="SingleTxt"/>
        <w:tabs>
          <w:tab w:val="clear" w:pos="1930"/>
          <w:tab w:val="clear" w:pos="2592"/>
          <w:tab w:val="left" w:pos="1486"/>
          <w:tab w:val="left" w:pos="2053"/>
          <w:tab w:val="left" w:pos="2195"/>
          <w:tab w:val="left" w:pos="2620"/>
        </w:tabs>
        <w:ind w:left="1927" w:right="1264" w:hanging="663"/>
        <w:rPr>
          <w:rtl/>
          <w:lang w:eastAsia="en-US"/>
        </w:rPr>
      </w:pPr>
      <w:r>
        <w:rPr>
          <w:rtl/>
          <w:lang w:eastAsia="en-US"/>
        </w:rPr>
        <w:tab/>
      </w:r>
      <w:r>
        <w:rPr>
          <w:rtl/>
          <w:lang w:eastAsia="en-US"/>
        </w:rPr>
        <w:tab/>
        <w:t>•</w:t>
      </w:r>
      <w:r>
        <w:rPr>
          <w:rtl/>
          <w:lang w:eastAsia="en-US"/>
        </w:rPr>
        <w:tab/>
        <w:t>تمديد أجل أوامر التحفظ من سنة واحدة إلى حين يتم سحبها من جانب مدير إنفاذ نفقة الإعالة</w:t>
      </w:r>
    </w:p>
    <w:p w:rsidR="00000000" w:rsidRDefault="00000000">
      <w:pPr>
        <w:pStyle w:val="SingleTxt"/>
        <w:tabs>
          <w:tab w:val="clear" w:pos="1930"/>
          <w:tab w:val="clear" w:pos="2592"/>
          <w:tab w:val="left" w:pos="1486"/>
          <w:tab w:val="left" w:pos="2053"/>
          <w:tab w:val="left" w:pos="2195"/>
          <w:tab w:val="left" w:pos="2620"/>
        </w:tabs>
        <w:ind w:left="1264" w:right="1264"/>
        <w:rPr>
          <w:b/>
          <w:bCs/>
          <w:szCs w:val="32"/>
          <w:rtl/>
          <w:lang w:eastAsia="en-US"/>
        </w:rPr>
      </w:pPr>
      <w:r>
        <w:rPr>
          <w:b/>
          <w:bCs/>
          <w:szCs w:val="32"/>
          <w:rtl/>
          <w:lang w:eastAsia="en-US"/>
        </w:rPr>
        <w:t>المادة 14: المرأة الريفية</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1146 -</w:t>
      </w:r>
      <w:r>
        <w:rPr>
          <w:rtl/>
          <w:lang w:eastAsia="en-US"/>
        </w:rPr>
        <w:tab/>
        <w:t xml:space="preserve">في الفترة 1996 </w:t>
      </w:r>
      <w:r>
        <w:rPr>
          <w:lang w:eastAsia="en-US"/>
        </w:rPr>
        <w:t>–</w:t>
      </w:r>
      <w:r>
        <w:rPr>
          <w:rtl/>
          <w:lang w:eastAsia="en-US"/>
        </w:rPr>
        <w:t xml:space="preserve"> 97 أُقرت سياسة تمويل دور الإيواء للعنف الأسري لكي تكفل تمويلاً مستقراً لدور الإيواء في المجتمعات النائية. وهذه الدور تتيح بيوتا آمنة وخدمات إحالة ومتابعة للنساء المعرَّضات للأذى.</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1147 -</w:t>
      </w:r>
      <w:r>
        <w:rPr>
          <w:rtl/>
          <w:lang w:eastAsia="en-US"/>
        </w:rPr>
        <w:tab/>
        <w:t>وقد زادت وزارة الصحة والخدمات الاجتماعية التمويل، كما وسعت خدمات الصحة العقلية في المجتمعات الريفية من أجل تلبية الاحتياجات الإكلينيكية والتدريبية بالمجتمعات الريفية.</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1148 -</w:t>
      </w:r>
      <w:r>
        <w:rPr>
          <w:rtl/>
          <w:lang w:eastAsia="en-US"/>
        </w:rPr>
        <w:tab/>
        <w:t>وقدم المزيد من التمويل إلى دائرة معالجة إيذاء الأطفال من أجل أن تقدِّم خدمات إكلينيكية للأطفال المعرضين للإيذاء وأفراد أسرهم بالمجتمعات الريفية.</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1149 -</w:t>
      </w:r>
      <w:r>
        <w:rPr>
          <w:rtl/>
          <w:lang w:eastAsia="en-US"/>
        </w:rPr>
        <w:tab/>
        <w:t xml:space="preserve">وفي الفترة 1996 </w:t>
      </w:r>
      <w:r>
        <w:rPr>
          <w:lang w:eastAsia="en-US"/>
        </w:rPr>
        <w:t>–</w:t>
      </w:r>
      <w:r>
        <w:rPr>
          <w:rtl/>
          <w:lang w:eastAsia="en-US"/>
        </w:rPr>
        <w:t xml:space="preserve"> 97 قامت وزارة الصحة والخدمات الاجتماعية بزيادة خدمات الرعاية للأطفال لدعم مواقع رعاية الأطفال الريفية المعتمدة.</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1150 -</w:t>
      </w:r>
      <w:r>
        <w:rPr>
          <w:rtl/>
          <w:lang w:eastAsia="en-US"/>
        </w:rPr>
        <w:tab/>
        <w:t>ومنــذ عام 1997، ظلت وزارة الصحة والخدمات الاجتماعية تساهم بمبلغ 000 30 دولار سنويا في برنامج التغذية المدرسي بعنوان “الغذاء من أجل التعلُّم” وتشارك مدارس أرياف يوكون بفعالية في هذا البرنامج الذي يقدم وجبات غداء ووجبات سريعة مغذية للتلاميذ المحتاجين إليها.</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1151 -</w:t>
      </w:r>
      <w:r>
        <w:rPr>
          <w:rtl/>
          <w:lang w:eastAsia="en-US"/>
        </w:rPr>
        <w:tab/>
        <w:t xml:space="preserve">وفي الفترة 1998 </w:t>
      </w:r>
      <w:r>
        <w:rPr>
          <w:lang w:eastAsia="en-US"/>
        </w:rPr>
        <w:t>–</w:t>
      </w:r>
      <w:r>
        <w:rPr>
          <w:rtl/>
          <w:lang w:eastAsia="en-US"/>
        </w:rPr>
        <w:t xml:space="preserve"> 99 بدأت وزارة الصحة والخدمات الاجتماعية مشروعا للعلاج عن بُعد في ثلاثة من المجتمعات الريفية. وعن طريق هذا البرنامج، يستطيع العاملون في مجال الرعاية الصحية بتلك المجتمعات أن يلتقطوا صورا ساكنة أو منقولة بالفيديو. ومن ثم يبثونها إلكترونيا إلى مستشفى وايت هورس العام من أجل التشخيص الإكلينيكي بواسطة العاملين الطبيين. وهذا المشروع يتيح إمكانية تحسين نوعية حياة الأهالي في أرياف يوكون بما يكفله من توسيع خيارات التشخيص والعلاج المتاحة أقرب ما يكون من ديارهم.</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1152 -</w:t>
      </w:r>
      <w:r>
        <w:rPr>
          <w:rtl/>
          <w:lang w:eastAsia="en-US"/>
        </w:rPr>
        <w:tab/>
        <w:t>وفي عام 1997 أنشأت وزارة الصحة والخدمات الاجتماعية لجنة الشراكة الصحية للعمل مع المجتمعات المحلية ومع مديري الصحة في الأقوام الأولى على وضع برامج الوقاية الصحية والاجتماعية لصالح الأرياف في يوكون.</w:t>
      </w:r>
    </w:p>
    <w:p w:rsidR="00000000" w:rsidRDefault="00000000">
      <w:pPr>
        <w:pStyle w:val="SingleTxt"/>
        <w:tabs>
          <w:tab w:val="clear" w:pos="1930"/>
          <w:tab w:val="clear" w:pos="2592"/>
          <w:tab w:val="left" w:pos="1486"/>
          <w:tab w:val="left" w:pos="2053"/>
          <w:tab w:val="left" w:pos="2195"/>
          <w:tab w:val="left" w:pos="2620"/>
        </w:tabs>
        <w:ind w:left="1264" w:right="1264"/>
        <w:rPr>
          <w:b/>
          <w:bCs/>
          <w:szCs w:val="32"/>
          <w:rtl/>
          <w:lang w:eastAsia="en-US"/>
        </w:rPr>
      </w:pPr>
      <w:r>
        <w:rPr>
          <w:b/>
          <w:bCs/>
          <w:szCs w:val="32"/>
          <w:rtl/>
          <w:lang w:eastAsia="en-US"/>
        </w:rPr>
        <w:t>تتاح قائمة المرفقات وغيرها من الملاحق، لأغراض الإحالة فقط، لدى شعبة النهوض بالمرأة</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br w:type="page"/>
      </w:r>
      <w:r>
        <w:rPr>
          <w:b/>
          <w:bCs/>
          <w:rtl/>
          <w:lang w:eastAsia="en-US"/>
        </w:rPr>
        <w:t>قائمة الملحقات</w:t>
      </w:r>
    </w:p>
    <w:p w:rsidR="00000000" w:rsidRDefault="00000000">
      <w:pPr>
        <w:pStyle w:val="SingleTxt"/>
        <w:tabs>
          <w:tab w:val="clear" w:pos="1930"/>
          <w:tab w:val="clear" w:pos="2592"/>
          <w:tab w:val="left" w:pos="1486"/>
          <w:tab w:val="left" w:pos="2053"/>
          <w:tab w:val="left" w:pos="2195"/>
          <w:tab w:val="left" w:pos="2620"/>
        </w:tabs>
        <w:ind w:left="1264" w:right="1264"/>
        <w:rPr>
          <w:b/>
          <w:bCs/>
          <w:rtl/>
          <w:lang w:eastAsia="en-US"/>
        </w:rPr>
      </w:pPr>
      <w:r>
        <w:rPr>
          <w:b/>
          <w:bCs/>
          <w:rtl/>
          <w:lang w:eastAsia="en-US"/>
        </w:rPr>
        <w:t>الملازم</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ab/>
      </w:r>
      <w:r>
        <w:rPr>
          <w:rtl/>
          <w:lang w:eastAsia="en-US"/>
        </w:rPr>
        <w:tab/>
        <w:t>•</w:t>
      </w:r>
      <w:r>
        <w:rPr>
          <w:rtl/>
          <w:lang w:eastAsia="en-US"/>
        </w:rPr>
        <w:tab/>
        <w:t>جائزة حقوق الإنسان</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ab/>
      </w:r>
      <w:r>
        <w:rPr>
          <w:rtl/>
          <w:lang w:eastAsia="en-US"/>
        </w:rPr>
        <w:tab/>
        <w:t>•</w:t>
      </w:r>
      <w:r>
        <w:rPr>
          <w:rtl/>
          <w:lang w:eastAsia="en-US"/>
        </w:rPr>
        <w:tab/>
        <w:t>ما معنى إيذاء المرأة؟</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ab/>
      </w:r>
      <w:r>
        <w:rPr>
          <w:rtl/>
          <w:lang w:eastAsia="en-US"/>
        </w:rPr>
        <w:tab/>
        <w:t>•</w:t>
      </w:r>
      <w:r>
        <w:rPr>
          <w:rtl/>
          <w:lang w:eastAsia="en-US"/>
        </w:rPr>
        <w:tab/>
        <w:t>لقاءات المواعدة بين الجنسين: العنف</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ab/>
      </w:r>
      <w:r>
        <w:rPr>
          <w:rtl/>
          <w:lang w:eastAsia="en-US"/>
        </w:rPr>
        <w:tab/>
        <w:t>•</w:t>
      </w:r>
      <w:r>
        <w:rPr>
          <w:rtl/>
          <w:lang w:eastAsia="en-US"/>
        </w:rPr>
        <w:tab/>
        <w:t>التحرش في موقع العمل</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ab/>
      </w:r>
      <w:r>
        <w:rPr>
          <w:rtl/>
          <w:lang w:eastAsia="en-US"/>
        </w:rPr>
        <w:tab/>
        <w:t>•</w:t>
      </w:r>
      <w:r>
        <w:rPr>
          <w:rtl/>
          <w:lang w:eastAsia="en-US"/>
        </w:rPr>
        <w:tab/>
        <w:t>الزواج</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ab/>
      </w:r>
      <w:r>
        <w:rPr>
          <w:rtl/>
          <w:lang w:eastAsia="en-US"/>
        </w:rPr>
        <w:tab/>
        <w:t>•</w:t>
      </w:r>
      <w:r>
        <w:rPr>
          <w:rtl/>
          <w:lang w:eastAsia="en-US"/>
        </w:rPr>
        <w:tab/>
        <w:t>الحضانة والوصول للطفل في برونزويك</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ab/>
      </w:r>
      <w:r>
        <w:rPr>
          <w:rtl/>
          <w:lang w:eastAsia="en-US"/>
        </w:rPr>
        <w:tab/>
        <w:t>•</w:t>
      </w:r>
      <w:r>
        <w:rPr>
          <w:rtl/>
          <w:lang w:eastAsia="en-US"/>
        </w:rPr>
        <w:tab/>
        <w:t>دعم الطفولة والدعم الزواجي</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ab/>
      </w:r>
      <w:r>
        <w:rPr>
          <w:rtl/>
          <w:lang w:eastAsia="en-US"/>
        </w:rPr>
        <w:tab/>
        <w:t>•</w:t>
      </w:r>
      <w:r>
        <w:rPr>
          <w:rtl/>
          <w:lang w:eastAsia="en-US"/>
        </w:rPr>
        <w:tab/>
        <w:t>العنف الزواجي</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ab/>
      </w:r>
      <w:r>
        <w:rPr>
          <w:rtl/>
          <w:lang w:eastAsia="en-US"/>
        </w:rPr>
        <w:tab/>
        <w:t>•</w:t>
      </w:r>
      <w:r>
        <w:rPr>
          <w:rtl/>
          <w:lang w:eastAsia="en-US"/>
        </w:rPr>
        <w:tab/>
        <w:t>إعاقات الكبار واحتمالات الخطر</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تقرير موظف الانتخابات الأقدم عن الانتخابات العامة الثالثة والثلاثين (11 أيلول/سبتمبر 1995)</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تقرير موظف الانتخابات البلدية الأقدم عن الانتخابات البلدية وانتخابات مجالس المدارس الثلاثية السنوات (11 أيار/مايو 1992)</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تقرير موظف الانتخابات البلدية الأقدم عن الانتخابات البلدية وانتخابات مجالس المدارس الثلاثية السنوات (8 أيار/مايو 1989)</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تقرير موظف الانتخابات البلدية الأقدم عن الانتخابات البلدية وانتخابات مجالس المدارس الثلاثية السنوات (12 أيار/مايو 1986)</w:t>
      </w:r>
    </w:p>
    <w:p w:rsidR="00000000" w:rsidRDefault="00000000">
      <w:pPr>
        <w:pStyle w:val="SingleTxt"/>
        <w:tabs>
          <w:tab w:val="clear" w:pos="1930"/>
          <w:tab w:val="clear" w:pos="2592"/>
          <w:tab w:val="left" w:pos="1486"/>
          <w:tab w:val="left" w:pos="2053"/>
          <w:tab w:val="left" w:pos="2195"/>
          <w:tab w:val="left" w:pos="2620"/>
        </w:tabs>
        <w:ind w:left="1264" w:right="1264"/>
        <w:rPr>
          <w:b/>
          <w:bCs/>
          <w:szCs w:val="32"/>
          <w:rtl/>
          <w:lang w:eastAsia="en-US"/>
        </w:rPr>
      </w:pPr>
      <w:r>
        <w:rPr>
          <w:rtl/>
          <w:lang w:eastAsia="en-US"/>
        </w:rPr>
        <w:br w:type="page"/>
      </w:r>
      <w:r>
        <w:rPr>
          <w:b/>
          <w:bCs/>
          <w:szCs w:val="32"/>
          <w:rtl/>
          <w:lang w:eastAsia="en-US"/>
        </w:rPr>
        <w:t>التذييل 1: الوثائق المقدمة إلى اللجنة</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 xml:space="preserve">وزارة الصحة والخدمات الاجتماعية، حالات العدوان الجنسي: </w:t>
      </w:r>
      <w:r>
        <w:rPr>
          <w:lang w:eastAsia="en-US"/>
        </w:rPr>
        <w:t>STOP</w:t>
      </w:r>
      <w:r>
        <w:rPr>
          <w:rtl/>
          <w:lang w:eastAsia="en-US"/>
        </w:rPr>
        <w:t>، تقرير الفريق العامل المعني بالاعتداءات ذات الطابع الجنسي، كيبيك، 1995، ص 187.</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 xml:space="preserve">وزارة الصحة والخدمات الاجتماعية، خطة العمل 1997 </w:t>
      </w:r>
      <w:r>
        <w:rPr>
          <w:lang w:eastAsia="en-US"/>
        </w:rPr>
        <w:t>–</w:t>
      </w:r>
      <w:r>
        <w:rPr>
          <w:rtl/>
          <w:lang w:eastAsia="en-US"/>
        </w:rPr>
        <w:t xml:space="preserve"> 2000 الصحة والمعافاة والظروف المعيشية للمرأة، كيبيك، 1997، ص 117</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 xml:space="preserve">وزارة الصحة والخدمات الاجتماعية، وزارة العدل، وزارة الأمن العام، وزارة التعليم، أمانة الأسرة وأمانة وضع المرأة، منع وملاحقة ومناهضة العنف الزواجي </w:t>
      </w:r>
      <w:r>
        <w:rPr>
          <w:lang w:eastAsia="en-US"/>
        </w:rPr>
        <w:t>–</w:t>
      </w:r>
      <w:r>
        <w:rPr>
          <w:rtl/>
          <w:lang w:eastAsia="en-US"/>
        </w:rPr>
        <w:t xml:space="preserve"> مهام الوزارات وشبكاتها، كيبيك، 1995، ص 26</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 xml:space="preserve">وزارة الصحة والخدمات الاجتماعية، أمانة وضع المرأة، وزارة التعليم ووزارة العدل، منع وملاحقة ومناهضة العنف الزواجي </w:t>
      </w:r>
      <w:r>
        <w:rPr>
          <w:lang w:eastAsia="en-US"/>
        </w:rPr>
        <w:t>–</w:t>
      </w:r>
      <w:r>
        <w:rPr>
          <w:rtl/>
          <w:lang w:eastAsia="en-US"/>
        </w:rPr>
        <w:t xml:space="preserve"> سياسة التدخل في مجال العنف الزواجي، كيبيك، 1995، ص 77</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أمانة وضع  المرأة، وضع المرأة والقوانين، ملخص بالمبادئ القانونية في كيبيك إزاء الأحوال المعيشية للمرأة، كيبيك، كانون الأول/ديسمبر 1998، ص 190</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أمانة وضع المرأة، موقع المرأة في تنمية المناطق، التوجيه الخامس، كيبيك، أيار/مايو 1997، ص 67</w:t>
      </w:r>
    </w:p>
    <w:p w:rsidR="00000000" w:rsidRDefault="00000000">
      <w:pPr>
        <w:pStyle w:val="SingleTxt"/>
        <w:tabs>
          <w:tab w:val="clear" w:pos="1930"/>
          <w:tab w:val="clear" w:pos="2592"/>
          <w:tab w:val="left" w:pos="1486"/>
          <w:tab w:val="left" w:pos="2053"/>
          <w:tab w:val="left" w:pos="2195"/>
          <w:tab w:val="left" w:pos="2620"/>
        </w:tabs>
        <w:ind w:left="1264" w:right="1264"/>
        <w:rPr>
          <w:rtl/>
          <w:lang w:eastAsia="en-US"/>
        </w:rPr>
      </w:pPr>
      <w:r>
        <w:rPr>
          <w:rtl/>
          <w:lang w:eastAsia="en-US"/>
        </w:rPr>
        <w:t xml:space="preserve">أمانة وضع المرأة، برنامج العمل، 1997 </w:t>
      </w:r>
      <w:r>
        <w:rPr>
          <w:lang w:eastAsia="en-US"/>
        </w:rPr>
        <w:t>–</w:t>
      </w:r>
      <w:r>
        <w:rPr>
          <w:rtl/>
          <w:lang w:eastAsia="en-US"/>
        </w:rPr>
        <w:t xml:space="preserve"> 2000 لجميع سكان كيبيك، أيار/مايو 1997، ص 138</w:t>
      </w:r>
    </w:p>
    <w:p w:rsidR="00000000" w:rsidRDefault="00000000">
      <w:pPr>
        <w:pStyle w:val="SingleTxt"/>
        <w:tabs>
          <w:tab w:val="clear" w:pos="1930"/>
          <w:tab w:val="clear" w:pos="2592"/>
          <w:tab w:val="left" w:pos="1486"/>
          <w:tab w:val="left" w:pos="2053"/>
          <w:tab w:val="left" w:pos="2195"/>
          <w:tab w:val="left" w:pos="2620"/>
        </w:tabs>
        <w:ind w:left="1264" w:right="1264"/>
        <w:rPr>
          <w:b/>
          <w:bCs/>
          <w:szCs w:val="32"/>
          <w:rtl/>
          <w:lang w:eastAsia="en-US"/>
        </w:rPr>
      </w:pPr>
      <w:r>
        <w:rPr>
          <w:rtl/>
          <w:lang w:eastAsia="en-US"/>
        </w:rPr>
        <w:br w:type="page"/>
      </w:r>
      <w:r>
        <w:rPr>
          <w:b/>
          <w:bCs/>
          <w:szCs w:val="32"/>
          <w:rtl/>
          <w:lang w:eastAsia="en-US"/>
        </w:rPr>
        <w:t>قائمة الملحقات</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6"/>
        <w:gridCol w:w="9180"/>
      </w:tblGrid>
      <w:tr w:rsidR="00000000">
        <w:tblPrEx>
          <w:tblCellMar>
            <w:top w:w="0" w:type="dxa"/>
            <w:bottom w:w="0" w:type="dxa"/>
          </w:tblCellMar>
        </w:tblPrEx>
        <w:trPr>
          <w:cantSplit/>
        </w:trPr>
        <w:tc>
          <w:tcPr>
            <w:tcW w:w="10066" w:type="dxa"/>
            <w:gridSpan w:val="2"/>
          </w:tcPr>
          <w:p w:rsidR="00000000" w:rsidRDefault="00000000">
            <w:pPr>
              <w:spacing w:line="360" w:lineRule="exact"/>
              <w:rPr>
                <w:b/>
                <w:bCs/>
                <w:rtl/>
                <w:lang w:eastAsia="en-US"/>
              </w:rPr>
            </w:pPr>
            <w:r>
              <w:rPr>
                <w:b/>
                <w:bCs/>
                <w:rtl/>
                <w:lang w:eastAsia="en-US"/>
              </w:rPr>
              <w:t xml:space="preserve">التذييل باء جيم </w:t>
            </w:r>
            <w:r>
              <w:rPr>
                <w:b/>
                <w:bCs/>
                <w:lang w:eastAsia="en-US"/>
              </w:rPr>
              <w:t>–</w:t>
            </w:r>
            <w:r>
              <w:rPr>
                <w:b/>
                <w:bCs/>
                <w:rtl/>
                <w:lang w:eastAsia="en-US"/>
              </w:rPr>
              <w:t xml:space="preserve"> 1 (المادة 2)</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مخطط مبادرات وقف العنف</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قانون حقوق الإنسان</w:t>
            </w:r>
          </w:p>
        </w:tc>
      </w:tr>
      <w:tr w:rsidR="00000000">
        <w:tblPrEx>
          <w:tblCellMar>
            <w:top w:w="0" w:type="dxa"/>
            <w:bottom w:w="0" w:type="dxa"/>
          </w:tblCellMar>
        </w:tblPrEx>
        <w:trPr>
          <w:cantSplit/>
        </w:trPr>
        <w:tc>
          <w:tcPr>
            <w:tcW w:w="10066" w:type="dxa"/>
            <w:gridSpan w:val="2"/>
          </w:tcPr>
          <w:p w:rsidR="00000000" w:rsidRDefault="00000000">
            <w:pPr>
              <w:spacing w:line="360" w:lineRule="exact"/>
              <w:rPr>
                <w:rtl/>
                <w:lang w:eastAsia="en-US"/>
              </w:rPr>
            </w:pPr>
            <w:r>
              <w:rPr>
                <w:rtl/>
                <w:lang w:eastAsia="en-US"/>
              </w:rPr>
              <w:t xml:space="preserve">التذييل باء جيم </w:t>
            </w:r>
            <w:r>
              <w:rPr>
                <w:lang w:eastAsia="en-US"/>
              </w:rPr>
              <w:t>–</w:t>
            </w:r>
            <w:r>
              <w:rPr>
                <w:rtl/>
                <w:lang w:eastAsia="en-US"/>
              </w:rPr>
              <w:t xml:space="preserve"> 2 (المادة 3)</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قانون الانتخابات، كولومبيا البريطانية، 1996، الفصل 106</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المرأة في سلك الخدمة العامة</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رعاية الطفل الممولة حكوميا في كولومبيا البريطانية</w:t>
            </w:r>
          </w:p>
        </w:tc>
      </w:tr>
      <w:tr w:rsidR="00000000">
        <w:tblPrEx>
          <w:tblCellMar>
            <w:top w:w="0" w:type="dxa"/>
            <w:bottom w:w="0" w:type="dxa"/>
          </w:tblCellMar>
        </w:tblPrEx>
        <w:trPr>
          <w:cantSplit/>
        </w:trPr>
        <w:tc>
          <w:tcPr>
            <w:tcW w:w="10066" w:type="dxa"/>
            <w:gridSpan w:val="2"/>
          </w:tcPr>
          <w:p w:rsidR="00000000" w:rsidRDefault="00000000">
            <w:pPr>
              <w:spacing w:line="360" w:lineRule="exact"/>
              <w:rPr>
                <w:rtl/>
                <w:lang w:eastAsia="en-US"/>
              </w:rPr>
            </w:pPr>
            <w:r>
              <w:rPr>
                <w:rtl/>
                <w:lang w:eastAsia="en-US"/>
              </w:rPr>
              <w:t xml:space="preserve">التذييل باء جيم </w:t>
            </w:r>
            <w:r>
              <w:rPr>
                <w:lang w:eastAsia="en-US"/>
              </w:rPr>
              <w:t>–</w:t>
            </w:r>
            <w:r>
              <w:rPr>
                <w:rtl/>
                <w:lang w:eastAsia="en-US"/>
              </w:rPr>
              <w:t xml:space="preserve"> 3 (المادة 5)</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قانون معايير التوظيف، كولومبيا البريطانية، 1996، الفصل 113</w:t>
            </w:r>
          </w:p>
        </w:tc>
      </w:tr>
      <w:tr w:rsidR="00000000">
        <w:tblPrEx>
          <w:tblCellMar>
            <w:top w:w="0" w:type="dxa"/>
            <w:bottom w:w="0" w:type="dxa"/>
          </w:tblCellMar>
        </w:tblPrEx>
        <w:trPr>
          <w:cantSplit/>
        </w:trPr>
        <w:tc>
          <w:tcPr>
            <w:tcW w:w="10066" w:type="dxa"/>
            <w:gridSpan w:val="2"/>
          </w:tcPr>
          <w:p w:rsidR="00000000" w:rsidRDefault="00000000">
            <w:pPr>
              <w:spacing w:line="360" w:lineRule="exact"/>
              <w:rPr>
                <w:rtl/>
                <w:lang w:eastAsia="en-US"/>
              </w:rPr>
            </w:pPr>
            <w:r>
              <w:rPr>
                <w:rtl/>
                <w:lang w:eastAsia="en-US"/>
              </w:rPr>
              <w:t xml:space="preserve">التذييل باء جيم </w:t>
            </w:r>
            <w:r>
              <w:rPr>
                <w:lang w:eastAsia="en-US"/>
              </w:rPr>
              <w:t>–</w:t>
            </w:r>
            <w:r>
              <w:rPr>
                <w:rtl/>
                <w:lang w:eastAsia="en-US"/>
              </w:rPr>
              <w:t xml:space="preserve"> 4 (المادة 6)</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مواد تكميلية بشأن المادة 6: الاتجار في بغاء النساء</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التسلح بالوعي وتوخي الحذر</w:t>
            </w:r>
          </w:p>
        </w:tc>
      </w:tr>
      <w:tr w:rsidR="00000000">
        <w:tblPrEx>
          <w:tblCellMar>
            <w:top w:w="0" w:type="dxa"/>
            <w:bottom w:w="0" w:type="dxa"/>
          </w:tblCellMar>
        </w:tblPrEx>
        <w:trPr>
          <w:cantSplit/>
        </w:trPr>
        <w:tc>
          <w:tcPr>
            <w:tcW w:w="10066" w:type="dxa"/>
            <w:gridSpan w:val="2"/>
          </w:tcPr>
          <w:p w:rsidR="00000000" w:rsidRDefault="00000000">
            <w:pPr>
              <w:spacing w:line="360" w:lineRule="exact"/>
              <w:rPr>
                <w:rtl/>
                <w:lang w:eastAsia="en-US"/>
              </w:rPr>
            </w:pPr>
            <w:r>
              <w:rPr>
                <w:rtl/>
                <w:lang w:eastAsia="en-US"/>
              </w:rPr>
              <w:t xml:space="preserve">التذييل باء جيم </w:t>
            </w:r>
            <w:r>
              <w:rPr>
                <w:lang w:eastAsia="en-US"/>
              </w:rPr>
              <w:t>–</w:t>
            </w:r>
            <w:r>
              <w:rPr>
                <w:rtl/>
                <w:lang w:eastAsia="en-US"/>
              </w:rPr>
              <w:t xml:space="preserve"> 5 (المادة 10)</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المنح المقدمة للطالبات (التمويل الحكومي للمرأة)</w:t>
            </w:r>
          </w:p>
        </w:tc>
      </w:tr>
      <w:tr w:rsidR="00000000">
        <w:tblPrEx>
          <w:tblCellMar>
            <w:top w:w="0" w:type="dxa"/>
            <w:bottom w:w="0" w:type="dxa"/>
          </w:tblCellMar>
        </w:tblPrEx>
        <w:trPr>
          <w:cantSplit/>
        </w:trPr>
        <w:tc>
          <w:tcPr>
            <w:tcW w:w="10066" w:type="dxa"/>
            <w:gridSpan w:val="2"/>
          </w:tcPr>
          <w:p w:rsidR="00000000" w:rsidRDefault="00000000">
            <w:pPr>
              <w:spacing w:line="360" w:lineRule="exact"/>
              <w:rPr>
                <w:rtl/>
                <w:lang w:eastAsia="en-US"/>
              </w:rPr>
            </w:pPr>
            <w:r>
              <w:rPr>
                <w:rtl/>
                <w:lang w:eastAsia="en-US"/>
              </w:rPr>
              <w:t xml:space="preserve">التذييل باء جيم </w:t>
            </w:r>
            <w:r>
              <w:rPr>
                <w:lang w:eastAsia="en-US"/>
              </w:rPr>
              <w:t>–</w:t>
            </w:r>
            <w:r>
              <w:rPr>
                <w:rtl/>
                <w:lang w:eastAsia="en-US"/>
              </w:rPr>
              <w:t xml:space="preserve"> 6 (المادة 12)</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قانون الوصول إلى خدمات الإجهاض</w:t>
            </w:r>
          </w:p>
        </w:tc>
      </w:tr>
      <w:tr w:rsidR="00000000">
        <w:tblPrEx>
          <w:tblCellMar>
            <w:top w:w="0" w:type="dxa"/>
            <w:bottom w:w="0" w:type="dxa"/>
          </w:tblCellMar>
        </w:tblPrEx>
        <w:trPr>
          <w:cantSplit/>
        </w:trPr>
        <w:tc>
          <w:tcPr>
            <w:tcW w:w="10066" w:type="dxa"/>
            <w:gridSpan w:val="2"/>
          </w:tcPr>
          <w:p w:rsidR="00000000" w:rsidRDefault="00000000">
            <w:pPr>
              <w:spacing w:line="360" w:lineRule="exact"/>
              <w:rPr>
                <w:rtl/>
                <w:lang w:eastAsia="en-US"/>
              </w:rPr>
            </w:pPr>
            <w:r>
              <w:rPr>
                <w:rtl/>
                <w:lang w:eastAsia="en-US"/>
              </w:rPr>
              <w:t xml:space="preserve">التذييل باء جيم </w:t>
            </w:r>
            <w:r>
              <w:rPr>
                <w:lang w:eastAsia="en-US"/>
              </w:rPr>
              <w:t>–</w:t>
            </w:r>
            <w:r>
              <w:rPr>
                <w:rtl/>
                <w:lang w:eastAsia="en-US"/>
              </w:rPr>
              <w:t xml:space="preserve"> 7 (المادة 13)</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قانون معايير استحقاقات المعاش التقاعدي</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بدء مشروعك الخاص: دليل مرجعي للمرأة</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مرجع لتعلم حسن تصريف الأموال</w:t>
            </w:r>
          </w:p>
        </w:tc>
      </w:tr>
      <w:tr w:rsidR="00000000">
        <w:tblPrEx>
          <w:tblCellMar>
            <w:top w:w="0" w:type="dxa"/>
            <w:bottom w:w="0" w:type="dxa"/>
          </w:tblCellMar>
        </w:tblPrEx>
        <w:trPr>
          <w:cantSplit/>
        </w:trPr>
        <w:tc>
          <w:tcPr>
            <w:tcW w:w="10066" w:type="dxa"/>
            <w:gridSpan w:val="2"/>
          </w:tcPr>
          <w:p w:rsidR="00000000" w:rsidRDefault="00000000">
            <w:pPr>
              <w:spacing w:line="360" w:lineRule="exact"/>
              <w:rPr>
                <w:rtl/>
                <w:lang w:eastAsia="en-US"/>
              </w:rPr>
            </w:pPr>
            <w:r>
              <w:rPr>
                <w:rtl/>
                <w:lang w:eastAsia="en-US"/>
              </w:rPr>
              <w:t xml:space="preserve">التذييل باء جيم </w:t>
            </w:r>
            <w:r>
              <w:rPr>
                <w:lang w:eastAsia="en-US"/>
              </w:rPr>
              <w:t>–</w:t>
            </w:r>
            <w:r>
              <w:rPr>
                <w:rtl/>
                <w:lang w:eastAsia="en-US"/>
              </w:rPr>
              <w:t xml:space="preserve"> 8 (المادة 15)</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 xml:space="preserve">نحو تحقيق العدالة للمرأة </w:t>
            </w:r>
            <w:r>
              <w:rPr>
                <w:lang w:eastAsia="en-US"/>
              </w:rPr>
              <w:t>–</w:t>
            </w:r>
            <w:r>
              <w:rPr>
                <w:rtl/>
                <w:lang w:eastAsia="en-US"/>
              </w:rPr>
              <w:t xml:space="preserve"> تقرير الحالة السنوي الأول (أيلول سبتمبر 1993 </w:t>
            </w:r>
            <w:r>
              <w:rPr>
                <w:lang w:eastAsia="en-US"/>
              </w:rPr>
              <w:t>–</w:t>
            </w:r>
            <w:r>
              <w:rPr>
                <w:rtl/>
                <w:lang w:eastAsia="en-US"/>
              </w:rPr>
              <w:t xml:space="preserve"> كانون الأول/ديسمبر 1994</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 xml:space="preserve">نحو تحقيق العدالة للمرأة </w:t>
            </w:r>
            <w:r>
              <w:rPr>
                <w:lang w:eastAsia="en-US"/>
              </w:rPr>
              <w:t>–</w:t>
            </w:r>
            <w:r>
              <w:rPr>
                <w:rtl/>
                <w:lang w:eastAsia="en-US"/>
              </w:rPr>
              <w:t xml:space="preserve"> تقرير الحالة السنوي (كانون الثاني/يناير 1995 </w:t>
            </w:r>
            <w:r>
              <w:rPr>
                <w:lang w:eastAsia="en-US"/>
              </w:rPr>
              <w:t>–</w:t>
            </w:r>
            <w:r>
              <w:rPr>
                <w:rtl/>
                <w:lang w:eastAsia="en-US"/>
              </w:rPr>
              <w:t xml:space="preserve"> كانون الأول/ديسمبر 1995</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 xml:space="preserve">المساواة بين الجنسين في نظام العدالة </w:t>
            </w:r>
            <w:r>
              <w:rPr>
                <w:lang w:eastAsia="en-US"/>
              </w:rPr>
              <w:t>–</w:t>
            </w:r>
            <w:r>
              <w:rPr>
                <w:rtl/>
                <w:lang w:eastAsia="en-US"/>
              </w:rPr>
              <w:t xml:space="preserve"> تقرير إلى المدعي العام (1996)</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 xml:space="preserve">التنوع والمساواة في نظام العدالة </w:t>
            </w:r>
            <w:r>
              <w:rPr>
                <w:lang w:eastAsia="en-US"/>
              </w:rPr>
              <w:t>–</w:t>
            </w:r>
            <w:r>
              <w:rPr>
                <w:rtl/>
                <w:lang w:eastAsia="en-US"/>
              </w:rPr>
              <w:t xml:space="preserve"> تقرير إلى المدعي العام (1997)</w:t>
            </w:r>
          </w:p>
        </w:tc>
      </w:tr>
      <w:tr w:rsidR="00000000">
        <w:tblPrEx>
          <w:tblCellMar>
            <w:top w:w="0" w:type="dxa"/>
            <w:bottom w:w="0" w:type="dxa"/>
          </w:tblCellMar>
        </w:tblPrEx>
        <w:trPr>
          <w:cantSplit/>
        </w:trPr>
        <w:tc>
          <w:tcPr>
            <w:tcW w:w="10066" w:type="dxa"/>
            <w:gridSpan w:val="2"/>
          </w:tcPr>
          <w:p w:rsidR="00000000" w:rsidRDefault="00000000">
            <w:pPr>
              <w:spacing w:line="360" w:lineRule="exact"/>
              <w:rPr>
                <w:rtl/>
                <w:lang w:eastAsia="en-US"/>
              </w:rPr>
            </w:pPr>
            <w:r>
              <w:rPr>
                <w:rtl/>
                <w:lang w:eastAsia="en-US"/>
              </w:rPr>
              <w:t xml:space="preserve">التذييل باء جيم </w:t>
            </w:r>
            <w:r>
              <w:rPr>
                <w:lang w:eastAsia="en-US"/>
              </w:rPr>
              <w:t>–</w:t>
            </w:r>
            <w:r>
              <w:rPr>
                <w:rtl/>
                <w:lang w:eastAsia="en-US"/>
              </w:rPr>
              <w:t xml:space="preserve"> 9 (المادة 16)</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قانون العلاقات الأسرية</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قانون التبني</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قانون الزواج</w:t>
            </w:r>
          </w:p>
        </w:tc>
      </w:tr>
      <w:tr w:rsidR="00000000">
        <w:tblPrEx>
          <w:tblCellMar>
            <w:top w:w="0" w:type="dxa"/>
            <w:bottom w:w="0" w:type="dxa"/>
          </w:tblCellMar>
        </w:tblPrEx>
        <w:tc>
          <w:tcPr>
            <w:tcW w:w="886" w:type="dxa"/>
          </w:tcPr>
          <w:p w:rsidR="00000000" w:rsidRDefault="00000000">
            <w:pPr>
              <w:spacing w:line="360" w:lineRule="exact"/>
              <w:rPr>
                <w:rtl/>
                <w:lang w:eastAsia="en-US"/>
              </w:rPr>
            </w:pPr>
            <w:r>
              <w:rPr>
                <w:rtl/>
                <w:lang w:eastAsia="en-US"/>
              </w:rPr>
              <w:t>•</w:t>
            </w:r>
          </w:p>
        </w:tc>
        <w:tc>
          <w:tcPr>
            <w:tcW w:w="9180" w:type="dxa"/>
          </w:tcPr>
          <w:p w:rsidR="00000000" w:rsidRDefault="00000000">
            <w:pPr>
              <w:spacing w:line="360" w:lineRule="exact"/>
              <w:rPr>
                <w:rtl/>
                <w:lang w:eastAsia="en-US"/>
              </w:rPr>
            </w:pPr>
            <w:r>
              <w:rPr>
                <w:rtl/>
                <w:lang w:eastAsia="en-US"/>
              </w:rPr>
              <w:t>قانون الإحصاءات الحيوية</w:t>
            </w:r>
          </w:p>
        </w:tc>
      </w:tr>
    </w:tbl>
    <w:p w:rsidR="00000000" w:rsidRDefault="00000000">
      <w:pPr>
        <w:pStyle w:val="SingleTxt"/>
        <w:tabs>
          <w:tab w:val="clear" w:pos="1930"/>
          <w:tab w:val="clear" w:pos="2592"/>
          <w:tab w:val="left" w:pos="1486"/>
          <w:tab w:val="left" w:pos="2053"/>
          <w:tab w:val="left" w:pos="2195"/>
          <w:tab w:val="left" w:pos="2620"/>
        </w:tabs>
        <w:spacing w:after="0" w:line="240" w:lineRule="auto"/>
        <w:ind w:left="1264" w:right="1264"/>
        <w:rPr>
          <w:lang w:eastAsia="en-US"/>
        </w:rPr>
      </w:pPr>
      <w:r>
        <w:rPr>
          <w:w w:val="100"/>
          <w:rtl/>
        </w:rPr>
        <w:pict>
          <v:line id="_x0000_s2050" style="position:absolute;left:0;text-align:left;z-index:1;mso-position-horizontal:absolute;mso-position-horizontal-relative:text;mso-position-vertical:absolute;mso-position-vertical-relative:text" from="206.65pt,24pt" to="278.65pt,24pt" o:allowincell="f" strokeweight=".25pt"/>
        </w:pict>
      </w:r>
    </w:p>
    <w:p w:rsidR="00000000" w:rsidRDefault="00000000">
      <w:pPr>
        <w:pStyle w:val="SingleTxt"/>
        <w:tabs>
          <w:tab w:val="left" w:pos="1628"/>
          <w:tab w:val="left" w:pos="2904"/>
        </w:tabs>
        <w:spacing w:line="380" w:lineRule="exact"/>
        <w:ind w:left="1264" w:right="1264"/>
        <w:rPr>
          <w:rtl/>
          <w:lang w:eastAsia="en-US"/>
        </w:rPr>
      </w:pP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NO&gt;&gt;N0236476A&lt;&lt;ODS JOB NO&gt;&gt;</w:t>
      </w:r>
    </w:p>
    <w:p w:rsidR="00000000" w:rsidRDefault="00000000">
      <w:pPr>
        <w:pStyle w:val="CommentText"/>
        <w:rPr>
          <w:rtl/>
        </w:rPr>
      </w:pPr>
      <w:r>
        <w:rPr>
          <w:rtl/>
        </w:rPr>
        <w:t>&lt;&lt;</w:t>
      </w:r>
      <w:r>
        <w:t>ODS DOC SYMBOL1&gt;&gt;CEDAW/C/CAN/5&lt;&lt;ODS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276</w:t>
          </w:r>
          <w:r>
            <w:fldChar w:fldCharType="end"/>
          </w:r>
        </w:p>
      </w:tc>
      <w:tc>
        <w:tcPr>
          <w:tcW w:w="5033" w:type="dxa"/>
        </w:tcPr>
        <w:p w:rsidR="00000000" w:rsidRDefault="00000000">
          <w:pPr>
            <w:pStyle w:val="Footer"/>
            <w:rPr>
              <w:b w:val="0"/>
            </w:rPr>
          </w:pPr>
          <w:r>
            <w:rPr>
              <w:b w:val="0"/>
            </w:rPr>
            <w:t>02-36476</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02-36476</w:t>
          </w:r>
        </w:p>
      </w:tc>
      <w:tc>
        <w:tcPr>
          <w:tcW w:w="5033" w:type="dxa"/>
        </w:tcPr>
        <w:p w:rsidR="00000000" w:rsidRDefault="00000000">
          <w:pPr>
            <w:pStyle w:val="Footer"/>
          </w:pPr>
          <w:r>
            <w:fldChar w:fldCharType="begin"/>
          </w:r>
          <w:r>
            <w:instrText xml:space="preserve"> PAGE  \* MERGEFORMAT </w:instrText>
          </w:r>
          <w:r>
            <w:fldChar w:fldCharType="separate"/>
          </w:r>
          <w:r>
            <w:t>275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02-36476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*0236476*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DualTxt"/>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right="0" w:firstLine="0"/>
        <w:rPr>
          <w:rtl/>
        </w:rPr>
      </w:pPr>
      <w:r>
        <w:rPr>
          <w:rtl/>
        </w:rPr>
        <w:tab/>
      </w:r>
      <w:r>
        <w:rPr>
          <w:rtl/>
        </w:rPr>
        <w:tab/>
      </w:r>
      <w:r>
        <w:rPr>
          <w:rStyle w:val="FootnoteReference"/>
          <w:rtl/>
        </w:rPr>
        <w:t>*</w:t>
      </w:r>
      <w:r>
        <w:rPr>
          <w:rtl/>
        </w:rPr>
        <w:tab/>
        <w:t>يمكن الاطلاع على قائمة بالمرفقات وغيرها من الملحقات في الملف المودع لدى شعبة النهوض بالمرأة.</w:t>
      </w:r>
    </w:p>
  </w:footnote>
  <w:footnote w:id="2">
    <w:p w:rsidR="00000000" w:rsidRDefault="00000000">
      <w:pPr>
        <w:pStyle w:val="FootnoteText"/>
        <w:rPr>
          <w:rtl/>
        </w:rPr>
      </w:pPr>
      <w:r>
        <w:rPr>
          <w:rtl/>
        </w:rPr>
        <w:tab/>
      </w:r>
      <w:r>
        <w:rPr>
          <w:rtl/>
        </w:rPr>
        <w:tab/>
      </w:r>
      <w:r>
        <w:rPr>
          <w:rtl/>
        </w:rPr>
        <w:tab/>
      </w:r>
      <w:r>
        <w:rPr>
          <w:rStyle w:val="FootnoteReference"/>
          <w:rtl/>
        </w:rPr>
        <w:t>**</w:t>
      </w:r>
      <w:r>
        <w:rPr>
          <w:rtl/>
        </w:rPr>
        <w:tab/>
        <w:t>حسب الترتيب الجغرافي من الشرق إلى الغرب.</w:t>
      </w:r>
    </w:p>
  </w:footnote>
  <w:footnote w:id="3">
    <w:p w:rsidR="00000000" w:rsidRDefault="00000000">
      <w:pPr>
        <w:pStyle w:val="FootnoteText"/>
        <w:spacing w:after="120"/>
        <w:ind w:left="1264" w:right="1264" w:firstLine="0"/>
        <w:rPr>
          <w:rtl/>
        </w:rPr>
      </w:pPr>
      <w:r>
        <w:rPr>
          <w:rtl/>
        </w:rPr>
        <w:tab/>
      </w:r>
      <w:r>
        <w:rPr>
          <w:rStyle w:val="FootnoteReference"/>
          <w:rtl/>
        </w:rPr>
        <w:t>(1)</w:t>
      </w:r>
      <w:r>
        <w:rPr>
          <w:rtl/>
        </w:rPr>
        <w:t xml:space="preserve"> </w:t>
      </w:r>
      <w:r>
        <w:rPr>
          <w:rtl/>
        </w:rPr>
        <w:tab/>
        <w:t>هذه المحدِّدات تمثل مستويات الدخل التي تنفِق الأسر دونها أكثر من 20 في المائة من النقط فوق المتوسط على المأكل والمسكن. وطبقا لهذا المقياس، يتم تعريف الفقر مبدئيا على أسس نسبية (أي بالنسبة إلى تخصيص الدخل) وليس على أسس مطلقة (أي بالنسبة لبعض معايير إشباع الحاجات). وطبقا لهذا النهج، سيظل الفقر قائما في كندا ما لم يصبح توزيع الدخل متكافئا على وجه التحديد. بيد أن هذا لا يعني أن المحتاجين لن يتسنى لهم الحصول على الدخل الكافي بما يكفل لهم سُبُل المعيشة والصحة والرفاه.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next-textbox:#_x0000_s1026;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CEDAW/C/CAN/5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next-textbox:#_x0000_s1025;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CEDAW/C/CAN/5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/C/CAN/5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9 April 2002</w:t>
          </w:r>
        </w:p>
        <w:p w:rsidR="00000000" w:rsidRDefault="00000000">
          <w:pPr>
            <w:bidi w:val="0"/>
            <w:spacing w:line="240" w:lineRule="exact"/>
            <w:jc w:val="left"/>
          </w:pPr>
          <w:r>
            <w:t>Arabic</w:t>
          </w:r>
        </w:p>
        <w:p w:rsidR="00000000" w:rsidRDefault="00000000">
          <w:pPr>
            <w:bidi w:val="0"/>
            <w:spacing w:line="240" w:lineRule="exact"/>
            <w:jc w:val="left"/>
          </w:pPr>
          <w:r>
            <w:t>Original: English and French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663"/>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6/02 12:227 م"/>
    <w:docVar w:name="DocCategory" w:val="Misc"/>
    <w:docVar w:name="DocType" w:val="Final"/>
    <w:docVar w:name="JobNo" w:val="0236476A"/>
    <w:docVar w:name="OandT" w:val=" "/>
    <w:docVar w:name="Symbol1" w:val="CEDAW/C/CAN/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jc w:val="center"/>
      <w:outlineLvl w:val="0"/>
    </w:pPr>
    <w:rPr>
      <w:i/>
      <w:iCs/>
      <w:szCs w:val="26"/>
      <w:lang w:eastAsia="en-US"/>
    </w:rPr>
  </w:style>
  <w:style w:type="paragraph" w:styleId="Heading2">
    <w:name w:val="heading 2"/>
    <w:basedOn w:val="Normal"/>
    <w:next w:val="Normal"/>
    <w:qFormat/>
    <w:pPr>
      <w:keepNext/>
      <w:jc w:val="center"/>
      <w:outlineLvl w:val="1"/>
    </w:pPr>
    <w:rPr>
      <w:i/>
      <w:iCs/>
      <w:lang w:eastAsia="en-US"/>
    </w:rPr>
  </w:style>
  <w:style w:type="paragraph" w:styleId="Heading3">
    <w:name w:val="heading 3"/>
    <w:basedOn w:val="Normal"/>
    <w:next w:val="Normal"/>
    <w:qFormat/>
    <w:pPr>
      <w:keepNext/>
      <w:spacing w:line="340" w:lineRule="exact"/>
      <w:outlineLvl w:val="2"/>
    </w:pPr>
    <w:rPr>
      <w:i/>
      <w:iCs/>
      <w:szCs w:val="24"/>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statcan.ca"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www.ohrc.on.ca)"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swc-cfc.gc.c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276</Pages>
  <Words>82387</Words>
  <Characters>411937</Characters>
  <Application>Microsoft Office Word</Application>
  <DocSecurity>4</DocSecurity>
  <Lines>6981</Lines>
  <Paragraphs>1548</Paragraphs>
  <ScaleCrop>false</ScaleCrop>
  <HeadingPairs>
    <vt:vector size="2" baseType="variant">
      <vt:variant>
        <vt:lpstr>Title</vt:lpstr>
      </vt:variant>
      <vt:variant>
        <vt:i4>1</vt:i4>
      </vt:variant>
    </vt:vector>
  </HeadingPairs>
  <TitlesOfParts>
    <vt:vector size="1" baseType="lpstr">
      <vt:lpstr>  </vt:lpstr>
    </vt:vector>
  </TitlesOfParts>
  <Company>overseas</Company>
  <LinksUpToDate>false</LinksUpToDate>
  <CharactersWithSpaces>576711</CharactersWithSpaces>
  <SharedDoc>false</SharedDoc>
  <HLinks>
    <vt:vector size="24" baseType="variant">
      <vt:variant>
        <vt:i4>3932283</vt:i4>
      </vt:variant>
      <vt:variant>
        <vt:i4>6</vt:i4>
      </vt:variant>
      <vt:variant>
        <vt:i4>0</vt:i4>
      </vt:variant>
      <vt:variant>
        <vt:i4>5</vt:i4>
      </vt:variant>
      <vt:variant>
        <vt:lpwstr>http://www.ohrc.on.ca)/</vt:lpwstr>
      </vt:variant>
      <vt:variant>
        <vt:lpwstr/>
      </vt:variant>
      <vt:variant>
        <vt:i4>1245250</vt:i4>
      </vt:variant>
      <vt:variant>
        <vt:i4>3</vt:i4>
      </vt:variant>
      <vt:variant>
        <vt:i4>0</vt:i4>
      </vt:variant>
      <vt:variant>
        <vt:i4>5</vt:i4>
      </vt:variant>
      <vt:variant>
        <vt:lpwstr>http://www.swc-cfc.gc.ca/</vt:lpwstr>
      </vt:variant>
      <vt:variant>
        <vt:lpwstr/>
      </vt:variant>
      <vt:variant>
        <vt:i4>7864446</vt:i4>
      </vt:variant>
      <vt:variant>
        <vt:i4>0</vt:i4>
      </vt:variant>
      <vt:variant>
        <vt:i4>0</vt:i4>
      </vt:variant>
      <vt:variant>
        <vt:i4>5</vt:i4>
      </vt:variant>
      <vt:variant>
        <vt:lpwstr>http://www.statcan.ca/</vt:lpwstr>
      </vt:variant>
      <vt:variant>
        <vt:lpwstr/>
      </vt:variant>
      <vt:variant>
        <vt:i4>4522087</vt:i4>
      </vt:variant>
      <vt:variant>
        <vt:i4>1032356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Wagdy Rizk</cp:lastModifiedBy>
  <cp:revision>4</cp:revision>
  <cp:lastPrinted>2002-08-26T13:02:00Z</cp:lastPrinted>
  <dcterms:created xsi:type="dcterms:W3CDTF">2002-08-26T12:57:00Z</dcterms:created>
  <dcterms:modified xsi:type="dcterms:W3CDTF">2002-08-26T13:05:00Z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0236476</vt:lpwstr>
  </property>
  <property fmtid="{D5CDD505-2E9C-101B-9397-08002B2CF9AE}" pid="3" name="Symbol1">
    <vt:lpwstr>CEDAW/C/CAN/5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