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Комитет по ликвидации дискриминации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четвертая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16 января — 3 февраля 2006 года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проблем и вопросов, касающихся рассмотрения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Мали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Предсессионная рабочая группа рассмотрела сведенные воедино второй, третий, четвертый и пятый периодические доклады Мали (CEDAW/C/MLI/2</w:t>
      </w:r>
      <w:r>
        <w:noBreakHyphen/>
        <w:t>5)</w:t>
      </w:r>
      <w:r>
        <w:rPr>
          <w:vertAlign w:val="superscript"/>
        </w:rPr>
        <w:t>1</w:t>
      </w:r>
      <w:r>
        <w:t>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вопросы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Просьба сообщить, проводились ли при подготовке настоящего доклада консультации с государственными ведомствами, неправительственными орг</w:t>
      </w:r>
      <w:r>
        <w:t>а</w:t>
      </w:r>
      <w:r>
        <w:t>низациями, гражданским обществом и другими соответствующими институт</w:t>
      </w:r>
      <w:r>
        <w:t>а</w:t>
      </w:r>
      <w:r>
        <w:t>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организационные рамки и состояние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3.</w:t>
      </w:r>
      <w:r>
        <w:tab/>
        <w:t>В докладе отмечается, что, согласно Конституции Мали, любой договор, участником которого является Мали, имеет преимущественную силу по сра</w:t>
      </w:r>
      <w:r>
        <w:t>в</w:t>
      </w:r>
      <w:r>
        <w:t>нению с национальным законодательством с момента публикации такого дог</w:t>
      </w:r>
      <w:r>
        <w:t>о</w:t>
      </w:r>
      <w:r>
        <w:t>вора и что Мали тем самым поддерживает определение дискриминации в о</w:t>
      </w:r>
      <w:r>
        <w:t>т</w:t>
      </w:r>
      <w:r>
        <w:t>ношении женщин, содержащееся в статье 1 Конвенции (стр. 13). Просьба пр</w:t>
      </w:r>
      <w:r>
        <w:t>и</w:t>
      </w:r>
      <w:r>
        <w:t>вести примеры того, когда те или иные законы, стратегии, программы или а</w:t>
      </w:r>
      <w:r>
        <w:t>д</w:t>
      </w:r>
      <w:r>
        <w:t>министративная практика были оспорены в суде как дискриминационные по признаку пола в связи с использованием положений Конвенции, и если такие случаи имели место, то соо</w:t>
      </w:r>
      <w:r>
        <w:t>б</w:t>
      </w:r>
      <w:r>
        <w:t>щить о результатах.</w:t>
      </w:r>
    </w:p>
    <w:p w:rsidR="00000000" w:rsidRDefault="00000000">
      <w:pPr>
        <w:pStyle w:val="SingleTxt"/>
      </w:pPr>
      <w:r>
        <w:t>4.</w:t>
      </w:r>
      <w:r>
        <w:tab/>
        <w:t>Наряду с предлагаемой реформой семейного права (см. пункты 27 и 28 ниже) просьба сообщить о том, планируется ли всеобъемлющий процесс р</w:t>
      </w:r>
      <w:r>
        <w:t>е</w:t>
      </w:r>
      <w:r>
        <w:t>формы в области права в целях выявления и последующего изменения или о</w:t>
      </w:r>
      <w:r>
        <w:t>т</w:t>
      </w:r>
      <w:r>
        <w:t>мены законов и борьбы с практикой, которая противоречит различным полож</w:t>
      </w:r>
      <w:r>
        <w:t>е</w:t>
      </w:r>
      <w:r>
        <w:t>ниям Конвенции.</w:t>
      </w:r>
    </w:p>
    <w:p w:rsidR="00000000" w:rsidRDefault="00000000">
      <w:pPr>
        <w:pStyle w:val="SingleTxt"/>
      </w:pPr>
      <w:r>
        <w:t>5.</w:t>
      </w:r>
      <w:r>
        <w:tab/>
        <w:t>В докладе отмечается, что беспокойство по поводу положения женщин привело к разработке и осуществлению национальной стратегии борьбы с н</w:t>
      </w:r>
      <w:r>
        <w:t>и</w:t>
      </w:r>
      <w:r>
        <w:t>щетой на период 1998–2002 годов (стр. 11). В нем также упоминается о ряде десятилетних программ (стр. 20). Просьба представить информацию о пр</w:t>
      </w:r>
      <w:r>
        <w:t>о</w:t>
      </w:r>
      <w:r>
        <w:t>грессе реализации этих программ и эффективности их осуществления с точки зрения до</w:t>
      </w:r>
      <w:r>
        <w:t>с</w:t>
      </w:r>
      <w:r>
        <w:t>тижения целей Конвенции.</w:t>
      </w:r>
    </w:p>
    <w:p w:rsidR="00000000" w:rsidRDefault="00000000">
      <w:pPr>
        <w:pStyle w:val="SingleTxt"/>
      </w:pPr>
      <w:r>
        <w:t>6.</w:t>
      </w:r>
      <w:r>
        <w:tab/>
        <w:t>Просьба представить информацию об осуществлении Плана действий по улучшению положения женщин (2002–2006 годы), в том числе об имеющихся на данный момент достижениях, препятствиях и прогрессе (стр. 19).</w:t>
      </w:r>
    </w:p>
    <w:p w:rsidR="00000000" w:rsidRDefault="00000000">
      <w:pPr>
        <w:pStyle w:val="SingleTxt"/>
      </w:pPr>
      <w:r>
        <w:t>7.</w:t>
      </w:r>
      <w:r>
        <w:tab/>
        <w:t>В докладе признается необходимость усиления информационно-пропагандистской и просветительской работы среди политических руковод</w:t>
      </w:r>
      <w:r>
        <w:t>и</w:t>
      </w:r>
      <w:r>
        <w:t>телей и других слоев общества для того, чтобы и впредь делать акцент на п</w:t>
      </w:r>
      <w:r>
        <w:t>о</w:t>
      </w:r>
      <w:r>
        <w:t>ложение женщин и систематически учитывать гендерные вопросы при разр</w:t>
      </w:r>
      <w:r>
        <w:t>а</w:t>
      </w:r>
      <w:r>
        <w:t>ботке, осуществлении и оценке программ (стр. 15). Просьба рассказать об ус</w:t>
      </w:r>
      <w:r>
        <w:t>и</w:t>
      </w:r>
      <w:r>
        <w:t>лиях правительства по информационно-пропагандистской работе среди зак</w:t>
      </w:r>
      <w:r>
        <w:t>о</w:t>
      </w:r>
      <w:r>
        <w:t>нодателей, судей, адвокатов, работников правоохранительных органов, адм</w:t>
      </w:r>
      <w:r>
        <w:t>и</w:t>
      </w:r>
      <w:r>
        <w:t>нистраторов и самих женщин в городских и сельских районах в связи с сохр</w:t>
      </w:r>
      <w:r>
        <w:t>а</w:t>
      </w:r>
      <w:r>
        <w:t>няющейся дискриминацией в отношении женщин и дискриминационными ст</w:t>
      </w:r>
      <w:r>
        <w:t>е</w:t>
      </w:r>
      <w:r>
        <w:t>реотипами в целом и об обязательствах Мали по Конвенции в частности.</w:t>
      </w:r>
    </w:p>
    <w:p w:rsidR="00000000" w:rsidRDefault="00000000">
      <w:pPr>
        <w:pStyle w:val="SingleTxt"/>
      </w:pPr>
      <w:r>
        <w:t>8.</w:t>
      </w:r>
      <w:r>
        <w:tab/>
        <w:t>В докладе говорится о том, что женщины имеют ограниченный доступ к системе правосудия в связи с судебными издержками, отсутствием информ</w:t>
      </w:r>
      <w:r>
        <w:t>а</w:t>
      </w:r>
      <w:r>
        <w:t>ции и помощи. Созданы ли на сегодняшний день какие-либо юридические ко</w:t>
      </w:r>
      <w:r>
        <w:t>н</w:t>
      </w:r>
      <w:r>
        <w:t>сультации и фонды оказания помощи, о которых говорится на стр. 62 до</w:t>
      </w:r>
      <w:r>
        <w:t>к</w:t>
      </w:r>
      <w:r>
        <w:t>лада?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Дискриминационные стереотипы и практика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9.</w:t>
      </w:r>
      <w:r>
        <w:tab/>
        <w:t>В докладе признается, что патриархальный характер малийского общес</w:t>
      </w:r>
      <w:r>
        <w:t>т</w:t>
      </w:r>
      <w:r>
        <w:t>ва, в котором функции и обязанности мужчин и женщин четко определены в зависимости от принадлежности к той или иной этнической или религиозной группе. В этом контексте говорится о сохранении таких традиционных ди</w:t>
      </w:r>
      <w:r>
        <w:t>с</w:t>
      </w:r>
      <w:r>
        <w:t>криминационных видов практики, как система приданого, полигамия, пред</w:t>
      </w:r>
      <w:r>
        <w:t>у</w:t>
      </w:r>
      <w:r>
        <w:t>смотренная обычным правом практика наследования, ранние и принудител</w:t>
      </w:r>
      <w:r>
        <w:t>ь</w:t>
      </w:r>
      <w:r>
        <w:t>ные браки, запреты в питании, обычаи и привилегии в интересах мужчин, н</w:t>
      </w:r>
      <w:r>
        <w:t>а</w:t>
      </w:r>
      <w:r>
        <w:t>пример, право определения места жительства семьи (стр. 23 и 24). В докладе также упоминается о таких вредных традиционных видах практики, как ун</w:t>
      </w:r>
      <w:r>
        <w:t>и</w:t>
      </w:r>
      <w:r>
        <w:t>жающее достоинство и жестокое обращение с вдовами и выдача девочек замуж за знахарей по религиозным соображениям (стр. 14). Многие виды этой пра</w:t>
      </w:r>
      <w:r>
        <w:t>к</w:t>
      </w:r>
      <w:r>
        <w:t>тики противоречат положениям Конвенции в целом и ее статьям 2(f) и 5(a) в частности. Просьба представить информацию о том, какие меры принимает правительство для исправления этой ситуации и, в частности, существует ли комплексная стратегия, предусматривающая сотрудничество с неправительс</w:t>
      </w:r>
      <w:r>
        <w:t>т</w:t>
      </w:r>
      <w:r>
        <w:t>венными организациями, для изменения стереотипного подхода, связанного с дискриминацией в отношении же</w:t>
      </w:r>
      <w:r>
        <w:t>н</w:t>
      </w:r>
      <w:r>
        <w:t>щин.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Просьба подробно рассказать о формах и масштабах насилия в отнош</w:t>
      </w:r>
      <w:r>
        <w:t>е</w:t>
      </w:r>
      <w:r>
        <w:t>нии женщин, включая насилие в семье, представив все имеющиеся статистич</w:t>
      </w:r>
      <w:r>
        <w:t>е</w:t>
      </w:r>
      <w:r>
        <w:t>ские данные и существующие тенденции. Просьба также представить инфо</w:t>
      </w:r>
      <w:r>
        <w:t>р</w:t>
      </w:r>
      <w:r>
        <w:t>мацию о всех случаях насилия в отношении женщин, которые привели к уг</w:t>
      </w:r>
      <w:r>
        <w:t>о</w:t>
      </w:r>
      <w:r>
        <w:t>ловному преследованию в соответствии с общим уголовным законодательс</w:t>
      </w:r>
      <w:r>
        <w:t>т</w:t>
      </w:r>
      <w:r>
        <w:t>вом и о результатах таких судебных действий.</w:t>
      </w:r>
    </w:p>
    <w:p w:rsidR="00000000" w:rsidRDefault="00000000">
      <w:pPr>
        <w:pStyle w:val="SingleTxt"/>
      </w:pPr>
      <w:r>
        <w:t>11.</w:t>
      </w:r>
      <w:r>
        <w:tab/>
        <w:t>Просьба сообщить о том, намерено ли приступить или приступило прав</w:t>
      </w:r>
      <w:r>
        <w:t>и</w:t>
      </w:r>
      <w:r>
        <w:t>тельство к разработке всеобъемлющей и многодисциплинарной стратегии борьбы со всеми формами насилия в отношении женщин, и если да, то просьба рассказать об этом.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>Просьба представить информацию о применении уголовного законод</w:t>
      </w:r>
      <w:r>
        <w:t>а</w:t>
      </w:r>
      <w:r>
        <w:t>тельства в целях предупреждения эксплуатации проституции и наказания за нее, а также о мерах, принятых в целях реабилитации и оказания поддержки в социальной реинтеграции женщинам, с тем чтобы помочь им отказаться от проституции.</w:t>
      </w:r>
    </w:p>
    <w:p w:rsidR="00000000" w:rsidRDefault="00000000">
      <w:pPr>
        <w:pStyle w:val="SingleTxt"/>
      </w:pPr>
      <w:r>
        <w:t>13.</w:t>
      </w:r>
      <w:r>
        <w:tab/>
        <w:t>Просьба представить информацию о масштабах торговли женщинами и девочками, в том числе о национальном законодательстве и его осуществл</w:t>
      </w:r>
      <w:r>
        <w:t>е</w:t>
      </w:r>
      <w:r>
        <w:t>нии, а также других национальных механизмах предупреждения торговли женщинами и детьми и наказания за нее.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 и представленность на международном уровне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В докладе говорится о недопредставленности женщин в директивных о</w:t>
      </w:r>
      <w:r>
        <w:t>р</w:t>
      </w:r>
      <w:r>
        <w:t>ганах, несмотря на их способность к мобилизации своих усилий (стр. 12). К</w:t>
      </w:r>
      <w:r>
        <w:t>а</w:t>
      </w:r>
      <w:r>
        <w:t>кие усилия были предприняты для достижения равного представительства женщин и мужчин в политической и общественной жизни и включают ли они временные специальные меры, предусмотренные пунктом 1 статьи 4 Конве</w:t>
      </w:r>
      <w:r>
        <w:t>н</w:t>
      </w:r>
      <w:r>
        <w:t>ции и общей рекомендацией 25 Комитета, такие, как установление квот и ув</w:t>
      </w:r>
      <w:r>
        <w:t>е</w:t>
      </w:r>
      <w:r>
        <w:t>личение представленности женщин в директивных органах?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Просьба рассказать о том, что делается правительством для изменения или отмены законов, в соответствии с которыми женщина не может передать свое гражданство своим детям ни при каких обстоятельствах, с тем чтобы пр</w:t>
      </w:r>
      <w:r>
        <w:t>и</w:t>
      </w:r>
      <w:r>
        <w:t>вести законодательство в соответствие с положениями Конвенции.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16.</w:t>
      </w:r>
      <w:r>
        <w:tab/>
        <w:t>На стр. 33 доклада говорится, что данные об увеличении доли детей, о</w:t>
      </w:r>
      <w:r>
        <w:t>х</w:t>
      </w:r>
      <w:r>
        <w:t>ваченных начальным образованием, скрывают большой разрыв между мальч</w:t>
      </w:r>
      <w:r>
        <w:t>и</w:t>
      </w:r>
      <w:r>
        <w:t>ками и девочками, городскими и сельскими районами и по регионам. На др</w:t>
      </w:r>
      <w:r>
        <w:t>у</w:t>
      </w:r>
      <w:r>
        <w:t>гих уровнях количество мальчиков, охваченных системой школьного образов</w:t>
      </w:r>
      <w:r>
        <w:t>а</w:t>
      </w:r>
      <w:r>
        <w:t>ния, является преобладающим. Чем выше уровень образования, тем больше этот разрыв (стр. 34), а на уровне высшего образования доля девочек практич</w:t>
      </w:r>
      <w:r>
        <w:t>е</w:t>
      </w:r>
      <w:r>
        <w:t>ски сходит на нет (стр. 35). Женщины и девочки недостаточно представлены на всех уровнях системы образования, в том числе в качестве учителей. Наскол</w:t>
      </w:r>
      <w:r>
        <w:t>ь</w:t>
      </w:r>
      <w:r>
        <w:t>ко эффективна национальная политика в области образования девочек и какие стратегические меры оказались успешными? Какие конкретные шаги были предприняты для решения остающихся проблем?</w:t>
      </w:r>
    </w:p>
    <w:p w:rsidR="00000000" w:rsidRDefault="00000000">
      <w:pPr>
        <w:pStyle w:val="SingleTxt"/>
      </w:pPr>
      <w:r>
        <w:t>17.</w:t>
      </w:r>
      <w:r>
        <w:tab/>
        <w:t>Просьба разъяснить последствия отмены положений, запрещающих м</w:t>
      </w:r>
      <w:r>
        <w:t>о</w:t>
      </w:r>
      <w:r>
        <w:t>лодым беременным девушкам посещать школу. Сколько девушек и молодых женщин в среднем выигрывают от такой отмены ежегодно?</w:t>
      </w:r>
    </w:p>
    <w:p w:rsidR="00000000" w:rsidRDefault="00000000">
      <w:pPr>
        <w:pStyle w:val="SingleTxt"/>
      </w:pPr>
      <w:r>
        <w:t>18.</w:t>
      </w:r>
      <w:r>
        <w:tab/>
        <w:t>Просьба представить информацию об итогах проведенных исследований, посвященных гендерным стереотипам в учебниках (стр. 36), и о принятых м</w:t>
      </w:r>
      <w:r>
        <w:t>е</w:t>
      </w:r>
      <w:r>
        <w:t>рах по пересмотру школьных программ и учебников.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нищета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19.</w:t>
      </w:r>
      <w:r>
        <w:tab/>
        <w:t>На стр. 39 доклада говорится, что предусмотренное законодательством равенство возможностей по</w:t>
      </w:r>
      <w:r>
        <w:noBreakHyphen/>
        <w:t>прежнему внедряется медленными темпами. Просьба представить информацию о предпринятых шагах или планируемых мерах по увеличению занятости женщин, расширению их возможностей в о</w:t>
      </w:r>
      <w:r>
        <w:t>б</w:t>
      </w:r>
      <w:r>
        <w:t>ласти профессиональной подготовки на гражданской службе и устранению разрыва в заработной плате по признаку пола.</w:t>
      </w:r>
    </w:p>
    <w:p w:rsidR="00000000" w:rsidRDefault="00000000">
      <w:pPr>
        <w:pStyle w:val="SingleTxt"/>
      </w:pPr>
      <w:r>
        <w:t>20.</w:t>
      </w:r>
      <w:r>
        <w:tab/>
        <w:t>В докладе основной акцент делается на положение женщин в системе гражданской службы. Просьба представить информацию о фактическом пол</w:t>
      </w:r>
      <w:r>
        <w:t>о</w:t>
      </w:r>
      <w:r>
        <w:t>жении женщин в частном секторе. В частности, просьба представить более д</w:t>
      </w:r>
      <w:r>
        <w:t>е</w:t>
      </w:r>
      <w:r>
        <w:t>тальные сведения, в том числе о наличии программ укрепления положения женщин на официальном рынке труда (стр. 53).</w:t>
      </w:r>
    </w:p>
    <w:p w:rsidR="00000000" w:rsidRDefault="00000000">
      <w:pPr>
        <w:pStyle w:val="SingleTxt"/>
      </w:pPr>
      <w:r>
        <w:t>21.</w:t>
      </w:r>
      <w:r>
        <w:tab/>
        <w:t>В разделе, посвященном статье 13 доклада, говорится о положении же</w:t>
      </w:r>
      <w:r>
        <w:t>н</w:t>
      </w:r>
      <w:r>
        <w:t>щин в неформальном секторе и женщин-предпринимателей. Просьба расск</w:t>
      </w:r>
      <w:r>
        <w:t>а</w:t>
      </w:r>
      <w:r>
        <w:t>зать о прогрессе в реализации мер, изложенных на стр. 53 под заголовком “Outlook” («Перспективы»).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22.</w:t>
      </w:r>
      <w:r>
        <w:tab/>
        <w:t>Несмотря на наличие Десятилетней программы в области развития мед</w:t>
      </w:r>
      <w:r>
        <w:t>и</w:t>
      </w:r>
      <w:r>
        <w:t>ко-санитарного просвещения, состояние здоровья женщин и девочек в докладе оценивается как неблагоприятное и характеризующееся высокими показател</w:t>
      </w:r>
      <w:r>
        <w:t>я</w:t>
      </w:r>
      <w:r>
        <w:t>ми материнской и детской заболеваемости и смертности, широкими масштаб</w:t>
      </w:r>
      <w:r>
        <w:t>а</w:t>
      </w:r>
      <w:r>
        <w:t>ми распространения инфекционных, паразитарных болезней и болезней, св</w:t>
      </w:r>
      <w:r>
        <w:t>я</w:t>
      </w:r>
      <w:r>
        <w:t>занных с питанием, низким уровнем охвата медицинским обслуживанием, н</w:t>
      </w:r>
      <w:r>
        <w:t>е</w:t>
      </w:r>
      <w:r>
        <w:t>достаточным использованием услуг, острой нехваткой лекарств и медицинск</w:t>
      </w:r>
      <w:r>
        <w:t>о</w:t>
      </w:r>
      <w:r>
        <w:t>го оборудования, недостатком квалифицированных и заинтересованных сп</w:t>
      </w:r>
      <w:r>
        <w:t>е</w:t>
      </w:r>
      <w:r>
        <w:t>циалистов и слишком небольшим числом женщин, которые получают до- и п</w:t>
      </w:r>
      <w:r>
        <w:t>о</w:t>
      </w:r>
      <w:r>
        <w:t>слеродовой уход (стр. 44 и 45). Просьба подробно рассказать об инициативах по укреплению здоровья женщин и девочек и представить информацию об э</w:t>
      </w:r>
      <w:r>
        <w:t>ф</w:t>
      </w:r>
      <w:r>
        <w:t>фективности предпринятых дейс</w:t>
      </w:r>
      <w:r>
        <w:t>т</w:t>
      </w:r>
      <w:r>
        <w:t>вий.</w:t>
      </w:r>
    </w:p>
    <w:p w:rsidR="00000000" w:rsidRDefault="00000000">
      <w:pPr>
        <w:pStyle w:val="SingleTxt"/>
      </w:pPr>
      <w:r>
        <w:t>23.</w:t>
      </w:r>
      <w:r>
        <w:tab/>
        <w:t>В докладе говорится о широких масштабах распространения 16 вредных видов традиционной практики, которые перечислены на стр. 45–46. Согласно докладу, практика обрезания, которой правительство уделяет особое внимание, затрагивает 94 процента малийских девочек и женщин. Правительство пре</w:t>
      </w:r>
      <w:r>
        <w:t>д</w:t>
      </w:r>
      <w:r>
        <w:t>приняло немало важных шагов по борьбе с этой практикой. Просьба дать оце</w:t>
      </w:r>
      <w:r>
        <w:t>н</w:t>
      </w:r>
      <w:r>
        <w:t>ку эффективности этих мер и представить информацию о том, планирует ли правительство принятие законодательства, предусматривающего наказание за осуществление такой практики.</w:t>
      </w:r>
    </w:p>
    <w:p w:rsidR="00000000" w:rsidRDefault="00000000">
      <w:pPr>
        <w:pStyle w:val="SingleTxt"/>
      </w:pPr>
      <w:r>
        <w:t>24.</w:t>
      </w:r>
      <w:r>
        <w:tab/>
        <w:t>В докладе говорится, что женщины более уязвимы в отношении ВИЧ/СПИДа в силу ряда социально-культурных и социально-экономических факторов, таких, как левират, неграмотность и крайняя нищета (стр. 45). Просьба дать оценку эффективности и трудностей, связанных с многочисле</w:t>
      </w:r>
      <w:r>
        <w:t>н</w:t>
      </w:r>
      <w:r>
        <w:t>ными шагами правительства по преодолению факторов, делающих женщин б</w:t>
      </w:r>
      <w:r>
        <w:t>о</w:t>
      </w:r>
      <w:r>
        <w:t>лее уязвимыми в отношении ВИЧ/СПИДа.</w:t>
      </w:r>
    </w:p>
    <w:p w:rsidR="00000000" w:rsidRDefault="00000000">
      <w:pPr>
        <w:pStyle w:val="SingleTxt"/>
      </w:pPr>
      <w:r>
        <w:t>25.</w:t>
      </w:r>
      <w:r>
        <w:tab/>
        <w:t>Действующие законы в отношении абортов носят ограничительный х</w:t>
      </w:r>
      <w:r>
        <w:t>а</w:t>
      </w:r>
      <w:r>
        <w:t>рактер. В докладе нет информации о том, как часто женщины прибегают к н</w:t>
      </w:r>
      <w:r>
        <w:t>е</w:t>
      </w:r>
      <w:r>
        <w:t>законным абортам и сколько женщин от этого умирает. В докладе также отм</w:t>
      </w:r>
      <w:r>
        <w:t>е</w:t>
      </w:r>
      <w:r>
        <w:t>чается, что показатели использования противозачаточных средств чрезвычайно низки (8 процентов). Что планируется сделать для расширения и улучшения доступности системы комплексного полового воспитания и услуг по планир</w:t>
      </w:r>
      <w:r>
        <w:t>о</w:t>
      </w:r>
      <w:r>
        <w:t>ванию семьи, в том числе по уменьшению числа случаев подростковой бер</w:t>
      </w:r>
      <w:r>
        <w:t>е</w:t>
      </w:r>
      <w:r>
        <w:t>менности (которая ведет к школьному отсеву) и случаев, когда женщины в</w:t>
      </w:r>
      <w:r>
        <w:t>ы</w:t>
      </w:r>
      <w:r>
        <w:t>нуждены прибегать к незаконному аборту (что создает угрозу для их жи</w:t>
      </w:r>
      <w:r>
        <w:t>з</w:t>
      </w:r>
      <w:r>
        <w:t>ни)?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В докладе говорится о том, что 75 процентов женщин, живущих в сел</w:t>
      </w:r>
      <w:r>
        <w:t>ь</w:t>
      </w:r>
      <w:r>
        <w:t>ских районах, заняты в сельском хозяйстве. Просьба рассказать о достижениях и проблемах в осуществлении разработанного правительством Генерального плана сельского развития (стр. 59), в частности сформулированных в нем стр</w:t>
      </w:r>
      <w:r>
        <w:t>а</w:t>
      </w:r>
      <w:r>
        <w:t>тегий оказания поддержки сельским женщинам, а также провести оценку пр</w:t>
      </w:r>
      <w:r>
        <w:t>о</w:t>
      </w:r>
      <w:r>
        <w:t>ектов и программ, направленных на обеспечение соответствия статье 14 Ко</w:t>
      </w:r>
      <w:r>
        <w:t>н</w:t>
      </w:r>
      <w:r>
        <w:t>венции (стр. 60), и осветить негативное воздействие обычаев, особенно в о</w:t>
      </w:r>
      <w:r>
        <w:t>т</w:t>
      </w:r>
      <w:r>
        <w:t>ношении доступа к земле, а также традиций на улучшение положения сельских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27.</w:t>
      </w:r>
      <w:r>
        <w:tab/>
        <w:t>На стр. 11 и 23 доклада говорится, что 42 процента женщин живут в пол</w:t>
      </w:r>
      <w:r>
        <w:t>и</w:t>
      </w:r>
      <w:r>
        <w:t>гамных браках (45 процентов сельских женщин). В нем далее сообщается о том, что, вступая в брак, женщины дают согласие на полигамию. Что толкает их к этому и какие усилия предпринимаются для изменения существующих взглядов в отношении полигамии и устранения этой практики в соответствии с о</w:t>
      </w:r>
      <w:r>
        <w:t>б</w:t>
      </w:r>
      <w:r>
        <w:t>щей рекомендацией 23 Комитета о браке и семейных отношениях?</w:t>
      </w:r>
    </w:p>
    <w:p w:rsidR="00000000" w:rsidRDefault="00000000">
      <w:pPr>
        <w:pStyle w:val="SingleTxt"/>
      </w:pPr>
      <w:r>
        <w:t>28.</w:t>
      </w:r>
      <w:r>
        <w:tab/>
        <w:t>Нынешний Кодекс законов о браке и опеке содержит множество дискр</w:t>
      </w:r>
      <w:r>
        <w:t>и</w:t>
      </w:r>
      <w:r>
        <w:t>минационных положений в отношении возраста вступления в брак, развода, наследования и различий в правах между супругами в браке, включая право выбора места жительства. Каковы причины длительной затяжки с принятием нового Кодекса законов о семье, рассмотрение которого ведется с 1998 года?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29.</w:t>
      </w:r>
      <w:r>
        <w:tab/>
        <w:t>Просьба рассказать о мерах, принимаемых в целях популяризации Ф</w:t>
      </w:r>
      <w:r>
        <w:t>а</w:t>
      </w:r>
      <w:r>
        <w:t>культативного протокола и поощрения его применения.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EndnoteText"/>
        <w:tabs>
          <w:tab w:val="clear" w:pos="418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240"/>
        <w:ind w:left="1267" w:right="1260" w:hanging="1267"/>
        <w:rPr>
          <w:i/>
          <w:sz w:val="20"/>
        </w:rPr>
      </w:pPr>
      <w:r>
        <w:rPr>
          <w:i/>
          <w:sz w:val="20"/>
        </w:rPr>
        <w:tab/>
        <w:t>Примечания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rPr>
          <w:vertAlign w:val="superscript"/>
        </w:rPr>
        <w:tab/>
        <w:t>1</w:t>
      </w:r>
      <w:r>
        <w:tab/>
        <w:t>При ссылках на страницы дается нумерация текста доклада на английском языке.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NO&gt;&gt;N0545587R&lt;&lt;ODS JOB NO&gt;&gt;</w:t>
      </w:r>
    </w:p>
    <w:p w:rsidR="00000000" w:rsidRDefault="00000000">
      <w:pPr>
        <w:pStyle w:val="CommentText"/>
      </w:pPr>
      <w:r>
        <w:t>&lt;&lt;ODS DOC SYMBOL1&gt;&gt;CEDAW/C/MLI/Q/2-5&lt;&lt;ODS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05-45587 (R)    260905    260905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*0545587*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Notice" w:id="1"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CEDAW/C/MLI/Q/2-5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CEDAW/C/MLI/Q/2-5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/C/MLI/Q/2-5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</w:p>
        <w:p w:rsidR="00000000" w:rsidRDefault="00000000">
          <w:r>
            <w:t>5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6/09/2005 16:42:28"/>
    <w:docVar w:name="DocCategory" w:val="PlainDoc"/>
    <w:docVar w:name="DocType" w:val="Final"/>
    <w:docVar w:name="JobNo" w:val="0545587R"/>
    <w:docVar w:name="OandT" w:val=" "/>
    <w:docVar w:name="Symbol1" w:val="CEDAW/C/MLI/Q/2-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6</Pages>
  <Words>1847</Words>
  <Characters>10531</Characters>
  <Application>Microsoft Office Word</Application>
  <DocSecurity>4</DocSecurity>
  <Lines>87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Natalia.Lobza</cp:lastModifiedBy>
  <cp:revision>11</cp:revision>
  <cp:lastPrinted>2005-09-26T18:33:00Z</cp:lastPrinted>
  <dcterms:created xsi:type="dcterms:W3CDTF">2005-09-26T17:29:00Z</dcterms:created>
  <dcterms:modified xsi:type="dcterms:W3CDTF">2005-10-13T07:40:00Z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0545587</vt:lpwstr>
  </property>
  <property fmtid="{D5CDD505-2E9C-101B-9397-08002B2CF9AE}" pid="3" name="Symbol1">
    <vt:lpwstr>CEDAW/C/MLI/Q/2-5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Mamedalieva</vt:lpwstr>
  </property>
</Properties>
</file>