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154C5" w:rsidP="006154C5">
            <w:pPr>
              <w:jc w:val="right"/>
            </w:pPr>
            <w:r w:rsidRPr="006154C5">
              <w:rPr>
                <w:sz w:val="40"/>
              </w:rPr>
              <w:t>CERD</w:t>
            </w:r>
            <w:r>
              <w:t>/C/SR.</w:t>
            </w:r>
            <w:r w:rsidR="00E0157E">
              <w:t>2143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6154C5" w:rsidRDefault="00AE68B5" w:rsidP="00593658">
            <w:pPr>
              <w:spacing w:before="240"/>
            </w:pPr>
            <w:r>
              <w:t xml:space="preserve">Distr. </w:t>
            </w:r>
            <w:r w:rsidR="009D4069">
              <w:t>g</w:t>
            </w:r>
            <w:r>
              <w:t>énérale</w:t>
            </w:r>
          </w:p>
          <w:p w:rsidR="006154C5" w:rsidRDefault="0090119E" w:rsidP="006154C5">
            <w:pPr>
              <w:spacing w:line="240" w:lineRule="exact"/>
            </w:pPr>
            <w:r>
              <w:t>1</w:t>
            </w:r>
            <w:r w:rsidRPr="0090119E">
              <w:rPr>
                <w:vertAlign w:val="superscript"/>
              </w:rPr>
              <w:t>er</w:t>
            </w:r>
            <w:r>
              <w:t xml:space="preserve"> mars 2012</w:t>
            </w:r>
          </w:p>
          <w:p w:rsidR="006154C5" w:rsidRDefault="006154C5" w:rsidP="006154C5">
            <w:pPr>
              <w:spacing w:line="240" w:lineRule="exact"/>
            </w:pPr>
          </w:p>
          <w:p w:rsidR="002E0D40" w:rsidRPr="00DB58B5" w:rsidRDefault="006154C5" w:rsidP="006154C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6154C5">
        <w:rPr>
          <w:b/>
        </w:rPr>
        <w:t>2143</w:t>
      </w:r>
      <w:r w:rsidRPr="005E01B1">
        <w:rPr>
          <w:b/>
          <w:vertAlign w:val="superscript"/>
        </w:rPr>
        <w:t>e</w:t>
      </w:r>
      <w:r w:rsidRPr="005E01B1">
        <w:rPr>
          <w:b/>
        </w:rPr>
        <w:t xml:space="preserve"> séance</w:t>
      </w:r>
    </w:p>
    <w:p w:rsidR="005E01B1" w:rsidRDefault="005E01B1" w:rsidP="009967BD">
      <w:r>
        <w:t xml:space="preserve">Tenue au Palais Wilson, à Genève, le </w:t>
      </w:r>
      <w:r w:rsidR="006154C5">
        <w:t>jeudi 23 février</w:t>
      </w:r>
      <w:r>
        <w:t xml:space="preserve"> 20</w:t>
      </w:r>
      <w:r w:rsidR="00D77945">
        <w:t>1</w:t>
      </w:r>
      <w:r w:rsidR="00CE4082">
        <w:t>2</w:t>
      </w:r>
      <w:r>
        <w:t xml:space="preserve">, à </w:t>
      </w:r>
      <w:r w:rsidR="006154C5">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6154C5">
        <w:t>M. Avtonomov</w:t>
      </w:r>
    </w:p>
    <w:p w:rsidR="005E01B1" w:rsidRPr="00C17CFF" w:rsidRDefault="005E01B1" w:rsidP="005E01B1">
      <w:pPr>
        <w:spacing w:before="360" w:after="240"/>
        <w:rPr>
          <w:sz w:val="28"/>
          <w:szCs w:val="28"/>
        </w:rPr>
      </w:pPr>
      <w:r w:rsidRPr="00C17CFF">
        <w:rPr>
          <w:sz w:val="28"/>
          <w:szCs w:val="28"/>
        </w:rPr>
        <w:t>Sommaire</w:t>
      </w:r>
    </w:p>
    <w:p w:rsidR="006154C5" w:rsidRPr="00AC51E7" w:rsidRDefault="006154C5" w:rsidP="006154C5">
      <w:pPr>
        <w:pStyle w:val="SingleTxtG"/>
        <w:jc w:val="left"/>
        <w:rPr>
          <w:i/>
        </w:rPr>
      </w:pPr>
      <w:r w:rsidRPr="00AC51E7">
        <w:t>Examen des rapports</w:t>
      </w:r>
      <w:r>
        <w:t>, observations et renseignements présentés</w:t>
      </w:r>
      <w:r w:rsidRPr="00AC51E7">
        <w:t xml:space="preserve"> par les </w:t>
      </w:r>
      <w:r>
        <w:t>É</w:t>
      </w:r>
      <w:r w:rsidRPr="00AC51E7">
        <w:t xml:space="preserve">tats parties </w:t>
      </w:r>
      <w:r>
        <w:t xml:space="preserve">conformément à l’article 9 de la Convention </w:t>
      </w:r>
      <w:r w:rsidRPr="000B0232">
        <w:t>(</w:t>
      </w:r>
      <w:r w:rsidRPr="00AC51E7">
        <w:rPr>
          <w:i/>
        </w:rPr>
        <w:t>suite</w:t>
      </w:r>
      <w:r w:rsidRPr="000B0232">
        <w:t>)</w:t>
      </w:r>
    </w:p>
    <w:p w:rsidR="006154C5" w:rsidRDefault="006154C5" w:rsidP="006154C5">
      <w:pPr>
        <w:pStyle w:val="SingleTxtG"/>
        <w:ind w:left="1701"/>
        <w:jc w:val="left"/>
        <w:rPr>
          <w:i/>
        </w:rPr>
      </w:pPr>
      <w:r>
        <w:rPr>
          <w:i/>
        </w:rPr>
        <w:t>Sixième et septième rapports périodiques du Turkménistan</w:t>
      </w:r>
    </w:p>
    <w:p w:rsidR="006154C5" w:rsidRPr="008B197A" w:rsidRDefault="006154C5" w:rsidP="006154C5">
      <w:pPr>
        <w:pStyle w:val="SingleTxtG"/>
        <w:rPr>
          <w:lang w:val="fr-FR"/>
        </w:rPr>
      </w:pPr>
      <w:r>
        <w:br w:type="page"/>
      </w:r>
      <w:r w:rsidRPr="006154C5">
        <w:rPr>
          <w:i/>
          <w:lang w:val="fr-FR"/>
        </w:rPr>
        <w:t>La séance est ouverte à 15 heures</w:t>
      </w:r>
      <w:r w:rsidRPr="008B197A">
        <w:rPr>
          <w:lang w:val="fr-FR"/>
        </w:rPr>
        <w:t>.</w:t>
      </w:r>
    </w:p>
    <w:p w:rsidR="006154C5" w:rsidRPr="006154C5" w:rsidRDefault="006154C5" w:rsidP="006154C5">
      <w:pPr>
        <w:pStyle w:val="H23G"/>
      </w:pPr>
      <w:r>
        <w:tab/>
      </w:r>
      <w:r>
        <w:tab/>
      </w:r>
      <w:r w:rsidRPr="006154C5">
        <w:t>Examen des rapports, observations et renseignements présentés par les États parties conformément à l’article 9 de la Convention</w:t>
      </w:r>
    </w:p>
    <w:p w:rsidR="006154C5" w:rsidRPr="006154C5" w:rsidRDefault="006154C5" w:rsidP="006154C5">
      <w:pPr>
        <w:pStyle w:val="H4G"/>
        <w:rPr>
          <w:i w:val="0"/>
          <w:lang w:val="fr-FR"/>
        </w:rPr>
      </w:pPr>
      <w:r>
        <w:tab/>
      </w:r>
      <w:r>
        <w:tab/>
      </w:r>
      <w:r w:rsidRPr="006154C5">
        <w:t>Sixième et septième rapports périodiques du Turkménistan</w:t>
      </w:r>
      <w:r w:rsidRPr="008B197A">
        <w:rPr>
          <w:i w:val="0"/>
          <w:lang w:val="fr-FR"/>
        </w:rPr>
        <w:t xml:space="preserve"> </w:t>
      </w:r>
      <w:r w:rsidRPr="006154C5">
        <w:rPr>
          <w:i w:val="0"/>
          <w:lang w:val="fr-FR"/>
        </w:rPr>
        <w:t>(CERD/C/TKM/6-7; CERD/C/ TKM/Q/6-7)</w:t>
      </w:r>
    </w:p>
    <w:p w:rsidR="006154C5" w:rsidRPr="006154C5" w:rsidRDefault="001D72AC" w:rsidP="006154C5">
      <w:pPr>
        <w:pStyle w:val="SingleTxtG"/>
        <w:rPr>
          <w:i/>
        </w:rPr>
      </w:pPr>
      <w:r w:rsidRPr="001D72AC">
        <w:t>1.</w:t>
      </w:r>
      <w:r w:rsidRPr="001D72AC">
        <w:tab/>
      </w:r>
      <w:r w:rsidR="006154C5" w:rsidRPr="006154C5">
        <w:rPr>
          <w:i/>
        </w:rPr>
        <w:t>Sur l’invitation du Président, la délégation turkmène prend place à la table du Comité.</w:t>
      </w:r>
    </w:p>
    <w:p w:rsidR="001D72AC" w:rsidRDefault="001D72AC" w:rsidP="001D72AC">
      <w:pPr>
        <w:pStyle w:val="SingleTxtG"/>
      </w:pPr>
      <w:r w:rsidRPr="001D72AC">
        <w:rPr>
          <w:lang w:val="fr-FR"/>
        </w:rPr>
        <w:t>2.</w:t>
      </w:r>
      <w:r w:rsidRPr="001D72AC">
        <w:rPr>
          <w:lang w:val="fr-FR"/>
        </w:rPr>
        <w:tab/>
      </w:r>
      <w:r w:rsidR="006154C5" w:rsidRPr="008B197A">
        <w:rPr>
          <w:b/>
          <w:lang w:val="fr-FR"/>
        </w:rPr>
        <w:t>M. Erniyazov</w:t>
      </w:r>
      <w:r w:rsidR="006154C5" w:rsidRPr="008B197A">
        <w:rPr>
          <w:lang w:val="fr-FR"/>
        </w:rPr>
        <w:t xml:space="preserve"> </w:t>
      </w:r>
      <w:r w:rsidR="006154C5" w:rsidRPr="006154C5">
        <w:t xml:space="preserve">(Turkménistan) dit que </w:t>
      </w:r>
      <w:r>
        <w:t xml:space="preserve">son pays </w:t>
      </w:r>
      <w:r w:rsidR="006154C5" w:rsidRPr="006154C5">
        <w:t xml:space="preserve">condamne la discrimination raciale et mène une politique visant à promouvoir la compréhension mutuelle entre les peuples et à interdire toute exclusion ou différence de traitement fondée sur la race et l’appartenance ou l’origine nationale ou ethnique. Depuis 1991, le Turkménistan </w:t>
      </w:r>
      <w:r>
        <w:t xml:space="preserve">a entrepris d’édifier un </w:t>
      </w:r>
      <w:r w:rsidR="006154C5" w:rsidRPr="006154C5">
        <w:t xml:space="preserve">État de droit démocratique et réalise, sous la direction de son </w:t>
      </w:r>
      <w:r w:rsidR="00B24A63">
        <w:t>p</w:t>
      </w:r>
      <w:r w:rsidR="006154C5" w:rsidRPr="006154C5">
        <w:t xml:space="preserve">résident, M. Gourbangouly </w:t>
      </w:r>
      <w:bookmarkStart w:id="0" w:name="hit1"/>
      <w:bookmarkEnd w:id="0"/>
      <w:r w:rsidR="006154C5" w:rsidRPr="006154C5">
        <w:t>Berdymoukhamedov, d’importantes réformes dans tous les domaines économique</w:t>
      </w:r>
      <w:r>
        <w:t>s</w:t>
      </w:r>
      <w:r w:rsidR="006154C5" w:rsidRPr="006154C5">
        <w:t xml:space="preserve"> et socia</w:t>
      </w:r>
      <w:r>
        <w:t>ux</w:t>
      </w:r>
      <w:r w:rsidR="006154C5" w:rsidRPr="006154C5">
        <w:t xml:space="preserve">. La politique intérieure turkmène est fondée sur les principes de la démocratie, de la primauté du droit, de l’humanisme et de l’équité. Dans cet esprit, le Gouvernement </w:t>
      </w:r>
      <w:r>
        <w:t xml:space="preserve">s’est engagé </w:t>
      </w:r>
      <w:r w:rsidR="006154C5" w:rsidRPr="006154C5">
        <w:t xml:space="preserve">avec succès </w:t>
      </w:r>
      <w:r>
        <w:t>dans</w:t>
      </w:r>
      <w:r w:rsidR="006154C5" w:rsidRPr="006154C5">
        <w:t xml:space="preserve"> une réforme de son système judiciaire. Afin d</w:t>
      </w:r>
      <w:r>
        <w:t>’asseoir</w:t>
      </w:r>
      <w:r w:rsidR="006154C5" w:rsidRPr="006154C5">
        <w:t xml:space="preserve"> les fondements de l’état de droit, le Président turkmène a créé la Commission d’État chargée d’améliorer la législation </w:t>
      </w:r>
      <w:r>
        <w:t xml:space="preserve">nationale </w:t>
      </w:r>
      <w:r w:rsidR="006154C5" w:rsidRPr="006154C5">
        <w:t xml:space="preserve">et mis en place la Commission constitutionnelle chargée d’élaborer des propositions </w:t>
      </w:r>
      <w:r>
        <w:t xml:space="preserve">pour améliorer </w:t>
      </w:r>
      <w:r w:rsidR="006154C5" w:rsidRPr="006154C5">
        <w:t xml:space="preserve">la Constitution </w:t>
      </w:r>
      <w:r>
        <w:t>turkmène</w:t>
      </w:r>
      <w:r w:rsidR="006154C5" w:rsidRPr="006154C5">
        <w:t xml:space="preserve">. </w:t>
      </w:r>
      <w:r>
        <w:t xml:space="preserve">À l’issue </w:t>
      </w:r>
      <w:r w:rsidR="006154C5" w:rsidRPr="006154C5">
        <w:t xml:space="preserve">des travaux de la Commission constitutionnelle, le pays a adopté en septembre 2008 une nouvelle Constitution turkmène conforme aux principes internationaux universellement reconnus dans le domaine des droits de l’homme, et l’éventail des droits et libertés des citoyens turkmènes a été élargi. </w:t>
      </w:r>
      <w:r>
        <w:t xml:space="preserve">Conformément </w:t>
      </w:r>
      <w:r w:rsidR="006154C5" w:rsidRPr="006154C5">
        <w:t>aux recommandations du Comité, l’article 19 de la Constitution, qui a trait à l’égalité des citoyens</w:t>
      </w:r>
      <w:r>
        <w:t>, a été complété pour y affirmer l’égalité entre les races et les sexes. La Constitution</w:t>
      </w:r>
      <w:r w:rsidR="006154C5" w:rsidRPr="006154C5">
        <w:t xml:space="preserve"> garantit l’égalité des droits et libertés de l’homme et du citoyen ainsi que leur égalité devant la loi sans distinction fondée sur la nationalité ethnique, la race, le sexe, l’origine, la situation de fortune et la fonction, le lieu de résidence, la langue, la religion, les opinions politiques, </w:t>
      </w:r>
      <w:r>
        <w:t xml:space="preserve">et </w:t>
      </w:r>
      <w:r w:rsidR="006154C5" w:rsidRPr="006154C5">
        <w:t>l’appartenance ou non</w:t>
      </w:r>
      <w:r>
        <w:t xml:space="preserve"> à un parti</w:t>
      </w:r>
      <w:r w:rsidR="006154C5" w:rsidRPr="006154C5">
        <w:t xml:space="preserve">. Le Turkménistan honore </w:t>
      </w:r>
      <w:r>
        <w:t xml:space="preserve">scrupuleusement </w:t>
      </w:r>
      <w:r w:rsidR="006154C5" w:rsidRPr="006154C5">
        <w:t xml:space="preserve">ses obligations au titre des instruments internationaux </w:t>
      </w:r>
      <w:r>
        <w:t xml:space="preserve">relatifs aux </w:t>
      </w:r>
      <w:r w:rsidR="006154C5" w:rsidRPr="006154C5">
        <w:t>droits de l’homme qu’il a ratifiés</w:t>
      </w:r>
      <w:r w:rsidR="00B24A63">
        <w:t>,</w:t>
      </w:r>
      <w:r w:rsidR="006154C5" w:rsidRPr="006154C5">
        <w:t xml:space="preserve"> et poursuit à cette fin la réforme de son système national de défense des droits de l’homme. Il n’existe donc </w:t>
      </w:r>
      <w:r>
        <w:t>aucune</w:t>
      </w:r>
      <w:r w:rsidR="006154C5" w:rsidRPr="006154C5">
        <w:t xml:space="preserve"> discrimination à l’égard des minorités ethniques au Turkménistan. </w:t>
      </w:r>
    </w:p>
    <w:p w:rsidR="005212CA" w:rsidRDefault="001D72AC" w:rsidP="001D72AC">
      <w:pPr>
        <w:pStyle w:val="SingleTxtG"/>
      </w:pPr>
      <w:r>
        <w:t>3.</w:t>
      </w:r>
      <w:r>
        <w:tab/>
      </w:r>
      <w:r w:rsidR="006154C5" w:rsidRPr="006154C5">
        <w:t xml:space="preserve">En 2011 et au début de 2012, le Gouvernement a adopté d’importants textes de loi, tels que le Code de la famille, le Code pénitentiaire, la loi relative </w:t>
      </w:r>
      <w:r>
        <w:t xml:space="preserve">au statut </w:t>
      </w:r>
      <w:r w:rsidR="006154C5" w:rsidRPr="006154C5">
        <w:t xml:space="preserve">des étrangers et la loi sur les partis politiques. </w:t>
      </w:r>
      <w:r>
        <w:t>Le droit au mariage est garanti</w:t>
      </w:r>
      <w:r w:rsidR="006154C5" w:rsidRPr="006154C5">
        <w:t xml:space="preserve"> par le Code de la famille sans aucune distinction fondée sur la nationalité ethnique, la race ou la religion, et l’homme et la femme jouissent de l’égalité de droit</w:t>
      </w:r>
      <w:r>
        <w:t>s</w:t>
      </w:r>
      <w:r w:rsidR="006154C5" w:rsidRPr="006154C5">
        <w:t xml:space="preserve"> dans le mariage. Le Turkménistan reconnaît </w:t>
      </w:r>
      <w:r>
        <w:t xml:space="preserve">uniquement </w:t>
      </w:r>
      <w:r w:rsidR="006154C5" w:rsidRPr="006154C5">
        <w:t xml:space="preserve">les mariages enregistrés par les administrations de l’État </w:t>
      </w:r>
      <w:r>
        <w:t xml:space="preserve">mais pas </w:t>
      </w:r>
      <w:r w:rsidR="006154C5" w:rsidRPr="006154C5">
        <w:t>les mariages re</w:t>
      </w:r>
      <w:r>
        <w:t>ligieux</w:t>
      </w:r>
      <w:r w:rsidR="006154C5" w:rsidRPr="006154C5">
        <w:t xml:space="preserve">. Tous les enfants vivant sur le territoire jouissent de droits égaux sans aucune distinction fondée sur la nationalité ethnique, la race, le lieu de résidence, la langue ou la religion. Les étrangers et les apatrides jouissent des mêmes droits et libertés et sont soumis aux mêmes obligations que les citoyens turkmènes, conformément à la législation nationale et aux </w:t>
      </w:r>
      <w:r>
        <w:t xml:space="preserve">instruments </w:t>
      </w:r>
      <w:r w:rsidR="006154C5" w:rsidRPr="006154C5">
        <w:t xml:space="preserve">internationaux auxquels le Turkménistan est partie. Le nouveau Code pénal n’autorise à l’égard des personnes condamnées </w:t>
      </w:r>
      <w:r>
        <w:t xml:space="preserve">aucune discrimination </w:t>
      </w:r>
      <w:r w:rsidR="006154C5" w:rsidRPr="006154C5">
        <w:t xml:space="preserve">fondée sur la race, la langue, la religion ou la conviction politique. Les étrangers </w:t>
      </w:r>
      <w:r w:rsidR="005212CA">
        <w:t xml:space="preserve">condamnés </w:t>
      </w:r>
      <w:r w:rsidR="006154C5" w:rsidRPr="006154C5">
        <w:t xml:space="preserve">ont le droit de consulter les services consulaires de leur pays ou, en l’absence de ceux-ci, de bénéficier de la protection diplomatique de l’État chargé de défendre leurs intérêts. Le Code pénal garantit la liberté de religion et de confession des condamnés, qui peuvent pratiquer </w:t>
      </w:r>
      <w:r w:rsidR="005212CA">
        <w:t>ou non toute religion</w:t>
      </w:r>
      <w:r w:rsidR="006154C5" w:rsidRPr="006154C5">
        <w:t xml:space="preserve">. Les détenus ont le droit de se rendre dans un établissement de culte proche de leur lieu de détention. </w:t>
      </w:r>
    </w:p>
    <w:p w:rsidR="005212CA" w:rsidRDefault="005212CA" w:rsidP="001D72AC">
      <w:pPr>
        <w:pStyle w:val="SingleTxtG"/>
      </w:pPr>
      <w:r>
        <w:t>4.</w:t>
      </w:r>
      <w:r>
        <w:tab/>
      </w:r>
      <w:r w:rsidR="006154C5" w:rsidRPr="006154C5">
        <w:t xml:space="preserve">Les droits, libertés et devoirs </w:t>
      </w:r>
      <w:r>
        <w:t xml:space="preserve">reconnus aux citoyens turkmènes </w:t>
      </w:r>
      <w:r w:rsidR="006154C5" w:rsidRPr="006154C5">
        <w:t>par la Constitution s’appliquent de façon identique aux étrangers et aux apatride</w:t>
      </w:r>
      <w:r>
        <w:t>s se trouvant sur le territoire</w:t>
      </w:r>
      <w:r w:rsidR="006154C5" w:rsidRPr="006154C5">
        <w:t>, à l’exception de</w:t>
      </w:r>
      <w:r>
        <w:t>s</w:t>
      </w:r>
      <w:r w:rsidR="006154C5" w:rsidRPr="006154C5">
        <w:t xml:space="preserve"> droits spéciaux </w:t>
      </w:r>
      <w:r>
        <w:t xml:space="preserve">conférés par </w:t>
      </w:r>
      <w:r w:rsidR="006154C5" w:rsidRPr="006154C5">
        <w:t xml:space="preserve">la citoyenneté turkmène. La loi de 2011 relative </w:t>
      </w:r>
      <w:r>
        <w:t xml:space="preserve">au statut </w:t>
      </w:r>
      <w:r w:rsidR="006154C5" w:rsidRPr="006154C5">
        <w:t xml:space="preserve">des étrangers prévoit </w:t>
      </w:r>
      <w:r>
        <w:t xml:space="preserve">l’égalité des </w:t>
      </w:r>
      <w:r w:rsidR="006154C5" w:rsidRPr="006154C5">
        <w:t xml:space="preserve">étrangers devant la loi, indépendamment de leur origine, de leur situation patrimoniale et de leurs fonctions, de leur race, de leur appartenance nationale, de leur lieu de résidence, de leur langue et de leur religion. La loi sur les migrations établit les modalités applicables aux citoyens, aux étrangers et aux apatrides en ce qui concerne l’entrée sur le territoire et la sortie du territoire. </w:t>
      </w:r>
      <w:r>
        <w:t>En vertu de l</w:t>
      </w:r>
      <w:r w:rsidR="006154C5" w:rsidRPr="006154C5">
        <w:t>’article 4 de cette loi</w:t>
      </w:r>
      <w:r>
        <w:t>,</w:t>
      </w:r>
      <w:r w:rsidR="006154C5" w:rsidRPr="006154C5">
        <w:t xml:space="preserve"> </w:t>
      </w:r>
      <w:r>
        <w:t xml:space="preserve">sont interdites </w:t>
      </w:r>
      <w:r w:rsidR="006154C5" w:rsidRPr="006154C5">
        <w:t>toute discrimination</w:t>
      </w:r>
      <w:r>
        <w:t xml:space="preserve"> et</w:t>
      </w:r>
      <w:r w:rsidR="006154C5" w:rsidRPr="006154C5">
        <w:t xml:space="preserve"> toute atteinte aux droits et libertés de la personne pour des motifs liés à l’origine, au sexe, à la race, à la nationalité ethnique, à la langue, à la religion, aux opinions politiques et aux convictions religieuses, ou pour d’autres motifs. Le Gouvernement turkmène a levé les restrictions qui </w:t>
      </w:r>
      <w:r>
        <w:t xml:space="preserve">s’appliquaient à </w:t>
      </w:r>
      <w:r w:rsidR="006154C5" w:rsidRPr="006154C5">
        <w:t>la liberté de mouvement sur le territoire du Turkménistan pour tous les citoyens. En 2007, le Président turkmène a</w:t>
      </w:r>
      <w:r>
        <w:t xml:space="preserve"> supprimé l’obligation d’obtenir une autorisation</w:t>
      </w:r>
      <w:r w:rsidR="006154C5" w:rsidRPr="006154C5">
        <w:t xml:space="preserve"> de voyage pour les citoyens </w:t>
      </w:r>
      <w:r>
        <w:t>turkmènes</w:t>
      </w:r>
      <w:r w:rsidR="006154C5" w:rsidRPr="006154C5">
        <w:t xml:space="preserve">, y compris dans les zones frontalières. </w:t>
      </w:r>
    </w:p>
    <w:p w:rsidR="00FF1DBD" w:rsidRPr="006154C5" w:rsidRDefault="005212CA" w:rsidP="001D72AC">
      <w:pPr>
        <w:pStyle w:val="SingleTxtG"/>
      </w:pPr>
      <w:r>
        <w:t>5.</w:t>
      </w:r>
      <w:r>
        <w:tab/>
      </w:r>
      <w:r w:rsidR="006154C5" w:rsidRPr="006154C5">
        <w:t>Conformément à la loi sur la liberté de confession et les organisations religieuses, la liberté de religion est garanti</w:t>
      </w:r>
      <w:r>
        <w:t>e</w:t>
      </w:r>
      <w:r w:rsidR="006154C5" w:rsidRPr="006154C5">
        <w:t xml:space="preserve"> aux citoyens. Toute restriction directe ou indirecte des droits des citoyens</w:t>
      </w:r>
      <w:r>
        <w:t xml:space="preserve"> ou</w:t>
      </w:r>
      <w:r w:rsidR="006154C5" w:rsidRPr="006154C5">
        <w:t>,</w:t>
      </w:r>
      <w:r>
        <w:t xml:space="preserve"> </w:t>
      </w:r>
      <w:r w:rsidRPr="00B24A63">
        <w:rPr>
          <w:i/>
        </w:rPr>
        <w:t>a contrario</w:t>
      </w:r>
      <w:r>
        <w:t>, l’attribution</w:t>
      </w:r>
      <w:r w:rsidR="006154C5" w:rsidRPr="006154C5">
        <w:t xml:space="preserve"> de privilèges fondés sur leurs convictions religieuses ou athées, ainsi que l’incitation à l’hostilité ou à la haine pour les mêmes motifs, sont passibles de sanctions conformément à la </w:t>
      </w:r>
      <w:r>
        <w:t>loi</w:t>
      </w:r>
      <w:r w:rsidR="006154C5" w:rsidRPr="006154C5">
        <w:t>. L’enregistrement des organisations religieuses est effectué par le Ministère de la justice. Actuellement, 128 organisations sont enregistrées</w:t>
      </w:r>
      <w:r>
        <w:t>,</w:t>
      </w:r>
      <w:r w:rsidR="006154C5" w:rsidRPr="006154C5">
        <w:t xml:space="preserve"> parmi lesquelles 104 organisations musulmanes, 13 organisations orthodoxes et 11 organisations d’autres confessions. Le Conseil des affaires religieuses</w:t>
      </w:r>
      <w:r w:rsidR="00B24A63">
        <w:t>,</w:t>
      </w:r>
      <w:r w:rsidR="006154C5" w:rsidRPr="006154C5">
        <w:t xml:space="preserve"> </w:t>
      </w:r>
      <w:r>
        <w:t xml:space="preserve">qui relève </w:t>
      </w:r>
      <w:r w:rsidR="006154C5" w:rsidRPr="006154C5">
        <w:t xml:space="preserve">du </w:t>
      </w:r>
      <w:r>
        <w:t xml:space="preserve">Président du </w:t>
      </w:r>
      <w:r w:rsidR="006154C5" w:rsidRPr="006154C5">
        <w:t>Turkménistan</w:t>
      </w:r>
      <w:r>
        <w:t>,</w:t>
      </w:r>
      <w:r w:rsidR="006154C5" w:rsidRPr="006154C5">
        <w:t xml:space="preserve"> est </w:t>
      </w:r>
      <w:r>
        <w:t xml:space="preserve">un </w:t>
      </w:r>
      <w:r w:rsidR="006154C5" w:rsidRPr="006154C5">
        <w:t xml:space="preserve">organe consultatif d’experts </w:t>
      </w:r>
      <w:r>
        <w:t xml:space="preserve">qui </w:t>
      </w:r>
      <w:r w:rsidR="006154C5" w:rsidRPr="006154C5">
        <w:t>informe les organisations religieuses enregistrées ou non enregistrées, les croyants et les représentants des organes de l’État en ce qui concerne les questions d’organisation et d’ordre juridique, social</w:t>
      </w:r>
      <w:r>
        <w:t xml:space="preserve"> et économique</w:t>
      </w:r>
      <w:r w:rsidR="006154C5" w:rsidRPr="006154C5">
        <w:t>. L</w:t>
      </w:r>
      <w:r>
        <w:t xml:space="preserve">’État </w:t>
      </w:r>
      <w:r w:rsidR="006154C5" w:rsidRPr="006154C5">
        <w:t>a</w:t>
      </w:r>
      <w:r>
        <w:t xml:space="preserve"> adhéré à la </w:t>
      </w:r>
      <w:r w:rsidR="006154C5" w:rsidRPr="006154C5">
        <w:t xml:space="preserve">Convention relative au statut des apatrides </w:t>
      </w:r>
      <w:r>
        <w:t>en </w:t>
      </w:r>
      <w:r w:rsidR="006154C5" w:rsidRPr="006154C5">
        <w:t xml:space="preserve">2011. La même année, </w:t>
      </w:r>
      <w:r>
        <w:t xml:space="preserve">le Président a signé </w:t>
      </w:r>
      <w:r w:rsidR="006154C5" w:rsidRPr="006154C5">
        <w:t>des décrets de naturalisation octroyant la citoyenneté turkmène à 3</w:t>
      </w:r>
      <w:r>
        <w:t> </w:t>
      </w:r>
      <w:r w:rsidR="006154C5" w:rsidRPr="006154C5">
        <w:t>290</w:t>
      </w:r>
      <w:r>
        <w:t> personnes</w:t>
      </w:r>
      <w:r w:rsidR="006154C5" w:rsidRPr="006154C5">
        <w:t xml:space="preserve">. Un centre d’information sur les droits de l’homme a été créé </w:t>
      </w:r>
      <w:r w:rsidRPr="006154C5">
        <w:t xml:space="preserve">en mai 2011 à </w:t>
      </w:r>
      <w:r w:rsidR="00702759" w:rsidRPr="006154C5">
        <w:t>Achgabat</w:t>
      </w:r>
      <w:r>
        <w:t xml:space="preserve"> </w:t>
      </w:r>
      <w:r w:rsidR="006154C5" w:rsidRPr="006154C5">
        <w:t xml:space="preserve">dans le cadre d’un projet conjoint du Gouvernement </w:t>
      </w:r>
      <w:r>
        <w:t>turkmène</w:t>
      </w:r>
      <w:r w:rsidR="006154C5" w:rsidRPr="006154C5">
        <w:t xml:space="preserve">, de l’Union européenne, du Programme des Nations Unies pour le développement (PNUD) et du Haut-Commissariat aux droits de l’homme </w:t>
      </w:r>
      <w:r>
        <w:t>visant à renforcer les capacités de</w:t>
      </w:r>
      <w:r w:rsidR="006154C5" w:rsidRPr="006154C5">
        <w:t xml:space="preserve"> promotion et </w:t>
      </w:r>
      <w:r w:rsidR="00702759">
        <w:t xml:space="preserve">de </w:t>
      </w:r>
      <w:r w:rsidR="006154C5" w:rsidRPr="006154C5">
        <w:t>protection des droits de l’homme</w:t>
      </w:r>
      <w:r w:rsidR="00702759">
        <w:t xml:space="preserve"> du Turkménistan</w:t>
      </w:r>
      <w:r w:rsidR="006154C5" w:rsidRPr="006154C5">
        <w:t xml:space="preserve">. Durant la période considérée, le Turkménistan a adhéré à la Convention pour la sauvegarde du patrimoine culturel immatériel de </w:t>
      </w:r>
      <w:r w:rsidR="00702759">
        <w:t>l’</w:t>
      </w:r>
      <w:r w:rsidR="006154C5" w:rsidRPr="006154C5">
        <w:t>UNESCO</w:t>
      </w:r>
      <w:r w:rsidR="00702759">
        <w:t>.</w:t>
      </w:r>
      <w:r w:rsidR="006154C5" w:rsidRPr="006154C5">
        <w:t xml:space="preserve"> La loi sur l’éducation garantit aux citoyens turkmènes la possibilité de recevoir une éducation sans distinction fondée sur le sexe, la race, la nationalité ethnique, la langue, l’origine, le lieu de résidence, la religion, les convictions, la situation sociale, la situation de fortune et la fonction. Les langues turkmène, russe et anglaise sont enseignées dans les établissements préscolaires </w:t>
      </w:r>
      <w:r w:rsidR="00702759">
        <w:t xml:space="preserve">et </w:t>
      </w:r>
      <w:r w:rsidR="006154C5" w:rsidRPr="006154C5">
        <w:t>scolaires.</w:t>
      </w:r>
    </w:p>
    <w:p w:rsidR="00D91024" w:rsidRDefault="00D91024" w:rsidP="006154C5">
      <w:pPr>
        <w:pStyle w:val="SingleTxtG"/>
      </w:pPr>
      <w:r>
        <w:t>6.</w:t>
      </w:r>
      <w:r>
        <w:tab/>
      </w:r>
      <w:r w:rsidR="006154C5" w:rsidRPr="00C611D5">
        <w:t>M. Erniyazov</w:t>
      </w:r>
      <w:r w:rsidR="006154C5">
        <w:t xml:space="preserve"> dit que des manuels électroniques en plusieurs langues (turkmène, russe et anglais) seront bientôt mis à </w:t>
      </w:r>
      <w:r>
        <w:t xml:space="preserve">la </w:t>
      </w:r>
      <w:r w:rsidR="006154C5">
        <w:t xml:space="preserve">disposition des élèves et que plusieurs écoles privées et publiques, dont une à Achgabat, proposent un enseignement </w:t>
      </w:r>
      <w:r>
        <w:t xml:space="preserve">des </w:t>
      </w:r>
      <w:r w:rsidR="006154C5">
        <w:t xml:space="preserve">langues étrangères à l’aide de supports informatiques. Dans le cadre du </w:t>
      </w:r>
      <w:r w:rsidR="006154C5" w:rsidRPr="005A2D60">
        <w:t>plan national de développement socioéconomique 2011-2030</w:t>
      </w:r>
      <w:r w:rsidR="006154C5">
        <w:t>, le pays met en œuvre un vaste plan de développement des infrastructures et des services (construction de routes, d’écoles, de jardin</w:t>
      </w:r>
      <w:r w:rsidR="00B24A63">
        <w:t>s</w:t>
      </w:r>
      <w:r w:rsidR="006154C5">
        <w:t xml:space="preserve"> d’enfants, de centres culturels, etc.). En 2011, pas moins de 380 projets de ce type ont été menés à bien et près de 75</w:t>
      </w:r>
      <w:r w:rsidR="00B24A63">
        <w:t> </w:t>
      </w:r>
      <w:r w:rsidR="006154C5">
        <w:t>% des ressources budgétaires de l’État seront affectées aux dépenses sociales</w:t>
      </w:r>
      <w:r>
        <w:t xml:space="preserve"> en 2012</w:t>
      </w:r>
      <w:r w:rsidR="006154C5">
        <w:t>. L’État se dote d’infrastructures et d’équipements modernes dans tous les domaines, qu’il s’agisse du transport, de la santé, de l’éducation ou des télécommunications. Suite à la modification du Code de protection sociale, le montant des allocations familiales et des indemnités accordées aux personnes handicapées a été augmenté. Le Turkménistan, dont le système de santé est reconnu pour son efficacité, collabore activement avec les organisations internationales</w:t>
      </w:r>
      <w:r>
        <w:t>,</w:t>
      </w:r>
      <w:r w:rsidR="006154C5">
        <w:t xml:space="preserve"> dont l’</w:t>
      </w:r>
      <w:r w:rsidR="006154C5" w:rsidRPr="006154C5">
        <w:t>Organisation mondiale de la santé (OMS)</w:t>
      </w:r>
      <w:r w:rsidR="006154C5">
        <w:t xml:space="preserve"> et le Fonds des Nations Unies pour la population (FNUAP)</w:t>
      </w:r>
      <w:r>
        <w:t>,</w:t>
      </w:r>
      <w:r w:rsidR="006154C5">
        <w:t xml:space="preserve"> dans le domaine de la santé, notamment en matière de santé materno</w:t>
      </w:r>
      <w:r>
        <w:t>-</w:t>
      </w:r>
      <w:r w:rsidR="006154C5">
        <w:t xml:space="preserve">infantile et génésique. </w:t>
      </w:r>
    </w:p>
    <w:p w:rsidR="006154C5" w:rsidRDefault="00D91024" w:rsidP="006154C5">
      <w:pPr>
        <w:pStyle w:val="SingleTxtG"/>
      </w:pPr>
      <w:r>
        <w:t>7.</w:t>
      </w:r>
      <w:r>
        <w:tab/>
      </w:r>
      <w:r w:rsidR="006154C5">
        <w:t>L</w:t>
      </w:r>
      <w:r>
        <w:t>’État</w:t>
      </w:r>
      <w:r w:rsidR="006154C5">
        <w:t xml:space="preserve"> participe à de nombreux échanges culturels avec </w:t>
      </w:r>
      <w:r>
        <w:t>d</w:t>
      </w:r>
      <w:r w:rsidR="006154C5">
        <w:t xml:space="preserve">es pays alentours, notamment la Bulgarie et la </w:t>
      </w:r>
      <w:r>
        <w:t xml:space="preserve">Fédération de </w:t>
      </w:r>
      <w:r w:rsidR="006154C5">
        <w:t>Russie, et promeut son rayonnement culturel, scientifique et littéraire. Conformément à l’article 5 de la loi sur la culture, l</w:t>
      </w:r>
      <w:r>
        <w:t>’État</w:t>
      </w:r>
      <w:r w:rsidR="006154C5">
        <w:t xml:space="preserve"> garantit à chacun le droit de participer à des activités culturelles, </w:t>
      </w:r>
      <w:r w:rsidR="006154C5" w:rsidRPr="002E06AA">
        <w:t>sans distinction fondée sur la nationalité ethnique, la race, le sexe, l</w:t>
      </w:r>
      <w:r w:rsidR="006154C5">
        <w:t>’</w:t>
      </w:r>
      <w:r w:rsidR="006154C5" w:rsidRPr="002E06AA">
        <w:t xml:space="preserve">origine, </w:t>
      </w:r>
      <w:r w:rsidR="006154C5">
        <w:t>le patrimoine</w:t>
      </w:r>
      <w:r w:rsidR="006154C5" w:rsidRPr="002E06AA">
        <w:t>, le lieu de résidence, la langue, la religion, les opinions politiques</w:t>
      </w:r>
      <w:r>
        <w:t xml:space="preserve"> et</w:t>
      </w:r>
      <w:r w:rsidR="006154C5" w:rsidRPr="002E06AA">
        <w:t xml:space="preserve"> l</w:t>
      </w:r>
      <w:r w:rsidR="006154C5">
        <w:t>’</w:t>
      </w:r>
      <w:r w:rsidR="006154C5" w:rsidRPr="002E06AA">
        <w:t xml:space="preserve">appartenance ou </w:t>
      </w:r>
      <w:r w:rsidR="00B24A63">
        <w:t xml:space="preserve">non </w:t>
      </w:r>
      <w:r w:rsidR="006154C5" w:rsidRPr="002E06AA">
        <w:t>à un parti</w:t>
      </w:r>
      <w:r w:rsidR="006154C5">
        <w:t xml:space="preserve">. Le Turkménistan est ouvert </w:t>
      </w:r>
      <w:r>
        <w:t xml:space="preserve">aux </w:t>
      </w:r>
      <w:r w:rsidR="006154C5">
        <w:t>autres cultures: il reconnaît les fêtes de tous les groupes ethniques</w:t>
      </w:r>
      <w:r w:rsidR="0090119E">
        <w:t xml:space="preserve"> </w:t>
      </w:r>
      <w:r w:rsidR="006154C5">
        <w:t>et organise des manifestations annuelles propices aux échanges culturels et à l’enrichissement mutuel entre les cultures, avec la participation active des médias. Il compte en outre plusieurs chaînes de télévision et de radio en langue étrangère. Il existe de nombreuses publications bilingues en russe et turkmène, ainsi qu’une offre culturelle et télévisuelle diversifiée en russe. Plusieurs revues et journaux sont également publiés en anglais et en turkmène. Le texte de la Convention, traduit en turkmène et en russe, a été largement diffusé. À ce jour, l’</w:t>
      </w:r>
      <w:r w:rsidR="006154C5" w:rsidRPr="0089574A">
        <w:t>Institut national turkmène pour la démocratie et les droits de l</w:t>
      </w:r>
      <w:r w:rsidR="006154C5">
        <w:t>’</w:t>
      </w:r>
      <w:r w:rsidR="006154C5" w:rsidRPr="0089574A">
        <w:t xml:space="preserve">homme </w:t>
      </w:r>
      <w:r w:rsidR="006154C5">
        <w:t xml:space="preserve">a publié 19 recueils d’instruments juridiques nationaux et internationaux, en coopération avec </w:t>
      </w:r>
      <w:r>
        <w:t>d</w:t>
      </w:r>
      <w:r w:rsidR="006154C5">
        <w:t xml:space="preserve">es institutions spécialisées des Nations Unies. Divers </w:t>
      </w:r>
      <w:r>
        <w:t xml:space="preserve">programmes </w:t>
      </w:r>
      <w:r w:rsidR="006154C5">
        <w:t xml:space="preserve">de formation des membres de l’appareil judiciaire au droit international sont </w:t>
      </w:r>
      <w:r>
        <w:t>organisés afin de r</w:t>
      </w:r>
      <w:r w:rsidR="006154C5" w:rsidRPr="002E06AA">
        <w:t xml:space="preserve">enforcer </w:t>
      </w:r>
      <w:r>
        <w:t>les capacités de promotion et de protection</w:t>
      </w:r>
      <w:r w:rsidR="006154C5" w:rsidRPr="002E06AA">
        <w:t xml:space="preserve"> des droits de l</w:t>
      </w:r>
      <w:r w:rsidR="006154C5">
        <w:t>’</w:t>
      </w:r>
      <w:r w:rsidR="006154C5" w:rsidRPr="002E06AA">
        <w:t>homme</w:t>
      </w:r>
      <w:r>
        <w:t xml:space="preserve"> du Turkménistan</w:t>
      </w:r>
      <w:r w:rsidR="006154C5">
        <w:t xml:space="preserve">. On travaille en outre à la mise en place d’un centre de formation des juristes, à la création d’un groupe d’experts et à l’élaboration d’un manuel et d’un glossaire sur le droit international, le but étant de créer des conditions favorables à la jouissance des droits sociaux et culturels </w:t>
      </w:r>
      <w:r>
        <w:t>par</w:t>
      </w:r>
      <w:r w:rsidR="006154C5">
        <w:t xml:space="preserve"> tous les Turkmènes, y compris </w:t>
      </w:r>
      <w:r>
        <w:t>l</w:t>
      </w:r>
      <w:r w:rsidR="006154C5">
        <w:t>es minorités ethniques, et d’éliminer toute forme de discrimination raciale et d’intolérance.</w:t>
      </w:r>
    </w:p>
    <w:p w:rsidR="006154C5" w:rsidRPr="006154C5" w:rsidRDefault="00D91024" w:rsidP="006154C5">
      <w:pPr>
        <w:pStyle w:val="SingleTxtG"/>
      </w:pPr>
      <w:r>
        <w:t>8.</w:t>
      </w:r>
      <w:r>
        <w:tab/>
      </w:r>
      <w:r w:rsidR="006154C5" w:rsidRPr="00D91024">
        <w:rPr>
          <w:b/>
        </w:rPr>
        <w:t>M. Diaconu</w:t>
      </w:r>
      <w:r w:rsidR="006154C5" w:rsidRPr="006154C5">
        <w:t xml:space="preserve"> </w:t>
      </w:r>
      <w:r w:rsidR="006154C5">
        <w:t xml:space="preserve">(Rapporteur pour le Turkménistan) </w:t>
      </w:r>
      <w:r>
        <w:t xml:space="preserve">voudrait des données </w:t>
      </w:r>
      <w:r w:rsidR="006154C5">
        <w:t>précises sur la répartition des minorités dans le pays. Rappelant que le Comité avait, dans ses dernières observations finales (</w:t>
      </w:r>
      <w:r w:rsidR="006154C5" w:rsidRPr="006154C5">
        <w:t>CERD/C/TKM/CO/5)</w:t>
      </w:r>
      <w:r>
        <w:t>,</w:t>
      </w:r>
      <w:r w:rsidR="006154C5" w:rsidRPr="006154C5">
        <w:t xml:space="preserve"> demandé à l’État partie d’éviter toute sorte d’assimilation forcée des membres de la minorité baloutche, </w:t>
      </w:r>
      <w:r>
        <w:t xml:space="preserve">il voudrait </w:t>
      </w:r>
      <w:r w:rsidR="006154C5" w:rsidRPr="006154C5">
        <w:t xml:space="preserve">des informations sur cette population et aimerait savoir s’ils sont reconnus comme une minorité et s’il existe un mécanisme leur permettant d’être consultés sur les sujets </w:t>
      </w:r>
      <w:r>
        <w:t xml:space="preserve">qui </w:t>
      </w:r>
      <w:r w:rsidR="006154C5" w:rsidRPr="006154C5">
        <w:t>les concern</w:t>
      </w:r>
      <w:r>
        <w:t>e</w:t>
      </w:r>
      <w:r w:rsidR="006154C5" w:rsidRPr="006154C5">
        <w:t xml:space="preserve">nt. Il se félicite que les instruments internationaux auxquels le Turkménistan est partie priment le droit interne et que la Constitution consacre l’égalité de tous les citoyens. Notant avec satisfaction que les étrangers ont le droit d’utiliser leur langue maternelle et que la discrimination est interdite, il regrette toutefois que la législation turkmène ne comporte pas de définition de la discrimination conforme à la Convention et engage l’État partie à </w:t>
      </w:r>
      <w:r>
        <w:t xml:space="preserve">combler </w:t>
      </w:r>
      <w:r w:rsidR="006154C5" w:rsidRPr="006154C5">
        <w:t>cette lacune en élaborant une définition qui soit applicable à tous les domaines, notamment à la vie sociale, l’emploi, la sécurité sociale, le droit pénal, l’éducation, la famille et le mariage.</w:t>
      </w:r>
    </w:p>
    <w:p w:rsidR="006154C5" w:rsidRPr="006154C5" w:rsidRDefault="00D91024" w:rsidP="006154C5">
      <w:pPr>
        <w:pStyle w:val="SingleTxtG"/>
      </w:pPr>
      <w:r>
        <w:t>9.</w:t>
      </w:r>
      <w:r>
        <w:tab/>
      </w:r>
      <w:r w:rsidR="006154C5" w:rsidRPr="006154C5">
        <w:t xml:space="preserve">M. Diaconu rappelle que le Comité avait fait part de sa préoccupation face aux cas de discours </w:t>
      </w:r>
      <w:r>
        <w:t>de haine</w:t>
      </w:r>
      <w:r w:rsidR="006154C5" w:rsidRPr="006154C5">
        <w:t xml:space="preserve"> visant les minorités nationale ou ethnique</w:t>
      </w:r>
      <w:r>
        <w:t xml:space="preserve"> et demande des</w:t>
      </w:r>
      <w:r w:rsidR="006154C5" w:rsidRPr="006154C5">
        <w:t xml:space="preserve"> info</w:t>
      </w:r>
      <w:r>
        <w:t>rmations actualisées à ce sujet</w:t>
      </w:r>
      <w:r w:rsidR="006154C5" w:rsidRPr="006154C5">
        <w:t>.</w:t>
      </w:r>
      <w:r>
        <w:t xml:space="preserve"> </w:t>
      </w:r>
      <w:r w:rsidR="006154C5" w:rsidRPr="006154C5">
        <w:t>Il note avec satisfaction que</w:t>
      </w:r>
      <w:r>
        <w:t xml:space="preserve">, conformément à l’article 4 b) </w:t>
      </w:r>
      <w:r w:rsidR="006154C5" w:rsidRPr="006154C5">
        <w:t>de la Convention, la loi interdit les organisations et les associations qui encouragent le racisme, que la motivation raciale d’une infraction est une circonstance aggravante, et que le Code pénal interdit les violations des droits de l’homme motivées par la race ou la nationalité, mais croit comprendre</w:t>
      </w:r>
      <w:r w:rsidR="00DA6121">
        <w:t xml:space="preserve"> que l’application de l’article </w:t>
      </w:r>
      <w:r w:rsidR="006154C5" w:rsidRPr="006154C5">
        <w:t>4</w:t>
      </w:r>
      <w:r w:rsidR="00DA6121">
        <w:t> </w:t>
      </w:r>
      <w:r w:rsidR="006154C5" w:rsidRPr="006154C5">
        <w:t xml:space="preserve">a) laisse à désirer. Il </w:t>
      </w:r>
      <w:r w:rsidR="00DA6121">
        <w:t xml:space="preserve">demande des informations sur les dispositions </w:t>
      </w:r>
      <w:r w:rsidR="006154C5" w:rsidRPr="006154C5">
        <w:t xml:space="preserve">du Code pénal et du Code des infractions administratives </w:t>
      </w:r>
      <w:r w:rsidR="00DA6121">
        <w:t xml:space="preserve">pour </w:t>
      </w:r>
      <w:r w:rsidR="006154C5" w:rsidRPr="006154C5">
        <w:t>évaluer l</w:t>
      </w:r>
      <w:r w:rsidR="00DA6121">
        <w:t>eur</w:t>
      </w:r>
      <w:r w:rsidR="006154C5" w:rsidRPr="006154C5">
        <w:t xml:space="preserve"> conformité avec l’article</w:t>
      </w:r>
      <w:r w:rsidR="00DA6121">
        <w:t> </w:t>
      </w:r>
      <w:r w:rsidR="006154C5" w:rsidRPr="006154C5">
        <w:t xml:space="preserve">4 a). Rappelant que l’État partie a indiqué ne pas imposer le «critère de la troisième génération» aux membres des minorités en matière d’emploi dans la fonction publique, M. Diaconu demande à l’État partie s’il dispose de données statistiques sur la représentation des membres des minorités ethniques au </w:t>
      </w:r>
      <w:r w:rsidR="00B24A63">
        <w:t>P</w:t>
      </w:r>
      <w:r w:rsidR="006154C5" w:rsidRPr="006154C5">
        <w:t xml:space="preserve">arlement, dans l’appareil judiciaire et dans l’administration en général. </w:t>
      </w:r>
    </w:p>
    <w:p w:rsidR="006154C5" w:rsidRPr="006154C5" w:rsidRDefault="00DA6121" w:rsidP="006154C5">
      <w:pPr>
        <w:pStyle w:val="SingleTxtG"/>
      </w:pPr>
      <w:r>
        <w:t>10.</w:t>
      </w:r>
      <w:r>
        <w:tab/>
      </w:r>
      <w:r w:rsidR="006154C5" w:rsidRPr="006154C5">
        <w:t xml:space="preserve">Notant avec satisfaction que l’État partie a accordé la citoyenneté à 13 000 réfugiés et le statut de résident permanent à 3 000 autres, il invite la délégation à commenter les informations selon lesquelles les personnes ayant obtenu la nationalité russe et turkmène à l’époque où l’accord bilatéral conclu avec la </w:t>
      </w:r>
      <w:r>
        <w:t xml:space="preserve">Fédération de </w:t>
      </w:r>
      <w:r w:rsidR="006154C5" w:rsidRPr="006154C5">
        <w:t xml:space="preserve">Russie sur la double nationalité </w:t>
      </w:r>
      <w:r w:rsidR="00B24A63">
        <w:t xml:space="preserve">(CERD/C/TKM/CO/5) </w:t>
      </w:r>
      <w:r w:rsidR="006154C5" w:rsidRPr="006154C5">
        <w:t xml:space="preserve">était en vigueur seraient forcées de renoncer à la nationalité turkmène. </w:t>
      </w:r>
      <w:r>
        <w:t>Il demande quelles</w:t>
      </w:r>
      <w:r w:rsidR="006154C5" w:rsidRPr="006154C5">
        <w:t xml:space="preserve"> sont les conditions d’</w:t>
      </w:r>
      <w:r>
        <w:t>acquisition</w:t>
      </w:r>
      <w:r w:rsidR="006154C5" w:rsidRPr="006154C5">
        <w:t xml:space="preserve"> de la nationalité turkmène pour les apatrides et les ressortissants de pays tiers, quel traitement est réservé aux personnes d’origine turkmène en provenance d’autres pays de l’ex-Union soviétique qui </w:t>
      </w:r>
      <w:r>
        <w:t>souhaitent rentrer au pays</w:t>
      </w:r>
      <w:r w:rsidR="006154C5" w:rsidRPr="006154C5">
        <w:t xml:space="preserve"> et quelles </w:t>
      </w:r>
      <w:r>
        <w:t xml:space="preserve">sont les </w:t>
      </w:r>
      <w:r w:rsidR="006154C5" w:rsidRPr="006154C5">
        <w:t xml:space="preserve">mesures </w:t>
      </w:r>
      <w:r>
        <w:t>prévues</w:t>
      </w:r>
      <w:r w:rsidR="006154C5" w:rsidRPr="006154C5">
        <w:t xml:space="preserve"> pour résoudre le problème de l’apatridie. Il regrette que le rapport ne comporte pas de données ventilées sur la jouissance des droits économiques, sociaux et culturels </w:t>
      </w:r>
      <w:r>
        <w:t xml:space="preserve">par les </w:t>
      </w:r>
      <w:r w:rsidR="006154C5" w:rsidRPr="006154C5">
        <w:t xml:space="preserve">groupes minoritaires et invite l’État partie à fournir des données statistiques relatives à l’égalité des chances et de traitement dans l’emploi, notamment pour les groupes minoritaires. Il demande comment le droit consacré </w:t>
      </w:r>
      <w:r>
        <w:t xml:space="preserve">par </w:t>
      </w:r>
      <w:r w:rsidR="006154C5" w:rsidRPr="006154C5">
        <w:t xml:space="preserve">la Constitution de recevoir un enseignement dans sa langue maternelle est appliqué et combien d’écoles proposent un enseignement dans les langues des groupes minoritaires. </w:t>
      </w:r>
      <w:r>
        <w:t xml:space="preserve">Le Rapporteur </w:t>
      </w:r>
      <w:r w:rsidR="006154C5" w:rsidRPr="006154C5">
        <w:t>invite en outre la délégation à en dire plus sur la situation des femmes et des filles des groupes minoritaires en matière d’emploi et d’éducation.</w:t>
      </w:r>
    </w:p>
    <w:p w:rsidR="006154C5" w:rsidRDefault="00DA6121" w:rsidP="006154C5">
      <w:pPr>
        <w:pStyle w:val="SingleTxtG"/>
      </w:pPr>
      <w:r>
        <w:t>11.</w:t>
      </w:r>
      <w:r>
        <w:tab/>
        <w:t xml:space="preserve">M. Diaconu </w:t>
      </w:r>
      <w:r w:rsidR="006154C5" w:rsidRPr="006154C5">
        <w:t xml:space="preserve">aimerait avoir des informations sur la participation des groupes minoritaires </w:t>
      </w:r>
      <w:r>
        <w:t xml:space="preserve">aux </w:t>
      </w:r>
      <w:r w:rsidR="006154C5" w:rsidRPr="006154C5">
        <w:t>activités culturelles, sur les efforts faits par l’État partie pour les aider à préserver leur identité culturelle et sur la publication de livres dans les langues minoritaires. Il aimerait des éclaircissements sur le paragraphe 214</w:t>
      </w:r>
      <w:r>
        <w:t xml:space="preserve"> du rapport</w:t>
      </w:r>
      <w:r w:rsidR="006154C5" w:rsidRPr="006154C5">
        <w:t xml:space="preserve">, dans lequel il est indiqué que les plaintes </w:t>
      </w:r>
      <w:r>
        <w:t xml:space="preserve">de </w:t>
      </w:r>
      <w:r w:rsidR="006154C5" w:rsidRPr="006154C5">
        <w:t xml:space="preserve">violation des droits de l’homme sont </w:t>
      </w:r>
      <w:r>
        <w:t xml:space="preserve">notamment </w:t>
      </w:r>
      <w:r w:rsidR="006154C5" w:rsidRPr="006154C5">
        <w:t xml:space="preserve">examinées par le </w:t>
      </w:r>
      <w:r>
        <w:t>b</w:t>
      </w:r>
      <w:r w:rsidR="006154C5" w:rsidRPr="006154C5">
        <w:t xml:space="preserve">arreau et par un organe de presse: quel rôle jouent ces organes dans l’examen des plaintes? Peuvent-ils se substituer aux tribunaux? </w:t>
      </w:r>
      <w:r>
        <w:t>Le Rapporteur constate</w:t>
      </w:r>
      <w:r w:rsidR="006154C5" w:rsidRPr="006154C5">
        <w:t xml:space="preserve"> qu’aucune plainte pour violation des droits de l’homme n’a été déposée en cinq ans, ce qui laisse à penser que la population n’est pas </w:t>
      </w:r>
      <w:r>
        <w:t xml:space="preserve">informée </w:t>
      </w:r>
      <w:r w:rsidR="006154C5" w:rsidRPr="006154C5">
        <w:t xml:space="preserve">de ses droits ou n’a pas confiance </w:t>
      </w:r>
      <w:r>
        <w:t xml:space="preserve">en </w:t>
      </w:r>
      <w:r w:rsidR="006154C5" w:rsidRPr="006154C5">
        <w:t xml:space="preserve">la justice, </w:t>
      </w:r>
      <w:r>
        <w:t>et</w:t>
      </w:r>
      <w:r w:rsidR="006154C5" w:rsidRPr="006154C5">
        <w:t xml:space="preserve"> aimerait avoir l’avis de la délégation à ce sujet. Il demande comment l’État partie applique la Convention relative au statut des réfugiés, combien de réfugiés sont accueillis chaque année et quel traitement leur est réservé. </w:t>
      </w:r>
      <w:r>
        <w:t>Il engage l’État partie à</w:t>
      </w:r>
      <w:r w:rsidR="006154C5" w:rsidRPr="006154C5">
        <w:t xml:space="preserve"> créer une institution nationale des droits de l’homme conforme aux </w:t>
      </w:r>
      <w:r w:rsidR="00B24A63">
        <w:t>P</w:t>
      </w:r>
      <w:r w:rsidR="006154C5" w:rsidRPr="006154C5">
        <w:t xml:space="preserve">rincipes de Paris, </w:t>
      </w:r>
      <w:r>
        <w:t xml:space="preserve">à </w:t>
      </w:r>
      <w:r w:rsidR="006154C5" w:rsidRPr="006154C5">
        <w:t xml:space="preserve">associer davantage les </w:t>
      </w:r>
      <w:r>
        <w:t xml:space="preserve">ONG </w:t>
      </w:r>
      <w:r w:rsidR="006154C5" w:rsidRPr="006154C5">
        <w:t xml:space="preserve">à la protection des droits de l’homme et </w:t>
      </w:r>
      <w:r>
        <w:t xml:space="preserve">à </w:t>
      </w:r>
      <w:r w:rsidR="006154C5" w:rsidRPr="006154C5">
        <w:t xml:space="preserve">adhérer à la Convention sur la réduction des cas d’apatridie. </w:t>
      </w:r>
      <w:r>
        <w:t>Il l’engage aussi à faire</w:t>
      </w:r>
      <w:r w:rsidR="006154C5" w:rsidRPr="006154C5">
        <w:t xml:space="preserve"> la déclaration prévue à l’article 14 de la Convention </w:t>
      </w:r>
      <w:r>
        <w:t xml:space="preserve">afin de </w:t>
      </w:r>
      <w:r w:rsidR="006154C5" w:rsidRPr="006154C5">
        <w:t>reconnaître la compétence du Comité pour recevoir et examiner des communications.</w:t>
      </w:r>
    </w:p>
    <w:p w:rsidR="00E274B0" w:rsidRPr="00B1046B" w:rsidRDefault="00E274B0" w:rsidP="00E274B0">
      <w:pPr>
        <w:pStyle w:val="SingleTxtG"/>
      </w:pPr>
      <w:r w:rsidRPr="00B1046B">
        <w:t>12.</w:t>
      </w:r>
      <w:r w:rsidRPr="00B1046B">
        <w:tab/>
      </w:r>
      <w:r w:rsidRPr="00B1046B">
        <w:rPr>
          <w:b/>
        </w:rPr>
        <w:t>M. Saidou</w:t>
      </w:r>
      <w:r w:rsidRPr="00B1046B">
        <w:t xml:space="preserve"> affirme que le Turkménistan doit créer une institution nationale des droits de l</w:t>
      </w:r>
      <w:r>
        <w:t>’homme conforme aux P</w:t>
      </w:r>
      <w:r w:rsidRPr="00B1046B">
        <w:t>rincipes de Paris, car l</w:t>
      </w:r>
      <w:r>
        <w:t>’</w:t>
      </w:r>
      <w:r w:rsidRPr="00B1046B">
        <w:t>Institut national pour la démocratie et les droits de l</w:t>
      </w:r>
      <w:r>
        <w:t>’</w:t>
      </w:r>
      <w:r w:rsidRPr="00B1046B">
        <w:t>ho</w:t>
      </w:r>
      <w:r>
        <w:t>mme existant est rattaché à la p</w:t>
      </w:r>
      <w:r w:rsidRPr="00B1046B">
        <w:t>résidence de la République et son indépendance n</w:t>
      </w:r>
      <w:r>
        <w:t>’</w:t>
      </w:r>
      <w:r w:rsidRPr="00B1046B">
        <w:t>est pas garantie.</w:t>
      </w:r>
      <w:r>
        <w:t xml:space="preserve"> </w:t>
      </w:r>
      <w:r w:rsidRPr="00B1046B">
        <w:t xml:space="preserve">Il demande si les droits sociaux dont bénéficient les </w:t>
      </w:r>
      <w:r>
        <w:t>T</w:t>
      </w:r>
      <w:r w:rsidRPr="00B1046B">
        <w:t>urkmènes s</w:t>
      </w:r>
      <w:r>
        <w:t>’</w:t>
      </w:r>
      <w:r w:rsidRPr="00B1046B">
        <w:t>étendent également aux minorités, ce qui ne serait pas le cas d</w:t>
      </w:r>
      <w:r>
        <w:t>’</w:t>
      </w:r>
      <w:r w:rsidRPr="00B1046B">
        <w:t>après un rapport de l</w:t>
      </w:r>
      <w:r>
        <w:t>’</w:t>
      </w:r>
      <w:r w:rsidRPr="00B1046B">
        <w:t xml:space="preserve">ONU de 2006. Il rappelle que la Constitution </w:t>
      </w:r>
      <w:r>
        <w:t>t</w:t>
      </w:r>
      <w:r w:rsidRPr="00B1046B">
        <w:t>urkm</w:t>
      </w:r>
      <w:r>
        <w:t>è</w:t>
      </w:r>
      <w:r w:rsidRPr="00B1046B">
        <w:t>n</w:t>
      </w:r>
      <w:r>
        <w:t>e affirme que «</w:t>
      </w:r>
      <w:r w:rsidRPr="00B1046B">
        <w:t>l</w:t>
      </w:r>
      <w:r>
        <w:t>’</w:t>
      </w:r>
      <w:r w:rsidRPr="00B1046B">
        <w:t>homme est le bien suprême de la société et de l</w:t>
      </w:r>
      <w:r>
        <w:t>’</w:t>
      </w:r>
      <w:r w:rsidRPr="00B1046B">
        <w:t>État. Il a des droits naturels et inaliénables</w:t>
      </w:r>
      <w:r>
        <w:t>»</w:t>
      </w:r>
      <w:r w:rsidRPr="00B1046B">
        <w:t xml:space="preserve"> et demande ce qui justifie les discriminations avérées dont sont victimes certaines minorités. Par ailleurs, plusieurs rapports mettent en é</w:t>
      </w:r>
      <w:r>
        <w:t>vidence d</w:t>
      </w:r>
      <w:r w:rsidRPr="00B1046B">
        <w:t>es atteintes à la liberté de la presse. Dans certains pays, on observe une dépénalis</w:t>
      </w:r>
      <w:r>
        <w:t>ation des délits de presse, et l</w:t>
      </w:r>
      <w:r w:rsidRPr="00B1046B">
        <w:t>es peines d</w:t>
      </w:r>
      <w:r>
        <w:t>’</w:t>
      </w:r>
      <w:r w:rsidRPr="00B1046B">
        <w:t xml:space="preserve">emprisonnement </w:t>
      </w:r>
      <w:r>
        <w:t>s</w:t>
      </w:r>
      <w:r w:rsidRPr="00B1046B">
        <w:t xml:space="preserve">ont commuées en amende; existe-t-il </w:t>
      </w:r>
      <w:r>
        <w:t xml:space="preserve">une même tendance </w:t>
      </w:r>
      <w:r w:rsidRPr="00B1046B">
        <w:t xml:space="preserve">au Turkménistan? </w:t>
      </w:r>
    </w:p>
    <w:p w:rsidR="00E274B0" w:rsidRPr="00B1046B" w:rsidRDefault="00E274B0" w:rsidP="00E274B0">
      <w:pPr>
        <w:pStyle w:val="SingleTxtG"/>
      </w:pPr>
      <w:r>
        <w:t>13.</w:t>
      </w:r>
      <w:r>
        <w:tab/>
      </w:r>
      <w:r w:rsidRPr="00B1046B">
        <w:t>M. Saidou aimerait savoir si des mesures législatives ont été adoptées dans l</w:t>
      </w:r>
      <w:r>
        <w:t>’</w:t>
      </w:r>
      <w:r w:rsidRPr="00B1046B">
        <w:t xml:space="preserve">État partie pour lutter contre la discrimination dans le sport. Il demande également si le Turkménistan envisage de ratifier la Convention </w:t>
      </w:r>
      <w:r w:rsidRPr="00C14D2A">
        <w:t>n</w:t>
      </w:r>
      <w:r w:rsidRPr="00C14D2A">
        <w:rPr>
          <w:vertAlign w:val="superscript"/>
        </w:rPr>
        <w:t>o</w:t>
      </w:r>
      <w:r>
        <w:t> </w:t>
      </w:r>
      <w:r w:rsidRPr="00B1046B">
        <w:t>111 de l</w:t>
      </w:r>
      <w:r>
        <w:t>’</w:t>
      </w:r>
      <w:r w:rsidRPr="00B1046B">
        <w:t>OIT concernant la discrimination (emploi et profession) et s</w:t>
      </w:r>
      <w:r>
        <w:t>’</w:t>
      </w:r>
      <w:r w:rsidRPr="00B1046B">
        <w:t xml:space="preserve">il prévoit de faire </w:t>
      </w:r>
      <w:r>
        <w:t>la</w:t>
      </w:r>
      <w:r w:rsidRPr="00B1046B">
        <w:t xml:space="preserve"> déclaration </w:t>
      </w:r>
      <w:r>
        <w:t xml:space="preserve">prévue </w:t>
      </w:r>
      <w:r w:rsidRPr="00B1046B">
        <w:t>à l</w:t>
      </w:r>
      <w:r>
        <w:t>’</w:t>
      </w:r>
      <w:r w:rsidRPr="00B1046B">
        <w:t>article</w:t>
      </w:r>
      <w:r>
        <w:t> </w:t>
      </w:r>
      <w:r w:rsidRPr="00B1046B">
        <w:t>14 de la Convention afin</w:t>
      </w:r>
      <w:r>
        <w:t xml:space="preserve"> que le Comité puisse recevoir d</w:t>
      </w:r>
      <w:r w:rsidRPr="00B1046B">
        <w:t>es communications individuelles.</w:t>
      </w:r>
      <w:r>
        <w:t xml:space="preserve"> </w:t>
      </w:r>
      <w:r w:rsidRPr="00B1046B">
        <w:t>Enfin, s</w:t>
      </w:r>
      <w:r>
        <w:t>’</w:t>
      </w:r>
      <w:r w:rsidRPr="00B1046B">
        <w:t>agissant de l</w:t>
      </w:r>
      <w:r>
        <w:t>’</w:t>
      </w:r>
      <w:r w:rsidRPr="00B1046B">
        <w:t>indépendance de la justice, il ressort du rapport que le Ministre de la justice et le Président d</w:t>
      </w:r>
      <w:r>
        <w:t>e la Cour s</w:t>
      </w:r>
      <w:r w:rsidRPr="00B1046B">
        <w:t>uprême ne sont nommés et démis que par le Président de la République; M. Saidou demande s</w:t>
      </w:r>
      <w:r>
        <w:t>’</w:t>
      </w:r>
      <w:r w:rsidRPr="00B1046B">
        <w:t>il existe au Turkménistan un organe équivalent au Conseil supérieur de la magistrature, qui établit les conditions de nomination des</w:t>
      </w:r>
      <w:r>
        <w:t xml:space="preserve"> hauts magistrats, afin que la j</w:t>
      </w:r>
      <w:r w:rsidRPr="00B1046B">
        <w:t>ustice soit véritablement indépendante.</w:t>
      </w:r>
    </w:p>
    <w:p w:rsidR="00E274B0" w:rsidRPr="00B1046B" w:rsidRDefault="00E274B0" w:rsidP="00E274B0">
      <w:pPr>
        <w:pStyle w:val="SingleTxtG"/>
      </w:pPr>
      <w:r>
        <w:t>14.</w:t>
      </w:r>
      <w:r>
        <w:tab/>
      </w:r>
      <w:r w:rsidRPr="00B1046B">
        <w:rPr>
          <w:b/>
        </w:rPr>
        <w:t>M. de Gouttes</w:t>
      </w:r>
      <w:r w:rsidRPr="00B1046B">
        <w:t xml:space="preserve"> </w:t>
      </w:r>
      <w:r>
        <w:t>not</w:t>
      </w:r>
      <w:r w:rsidRPr="00B1046B">
        <w:t xml:space="preserve">e que le Turkménistan cite dans son rapport </w:t>
      </w:r>
      <w:r>
        <w:t xml:space="preserve">des </w:t>
      </w:r>
      <w:r w:rsidRPr="00B1046B">
        <w:t xml:space="preserve">articles du Code pénal </w:t>
      </w:r>
      <w:r>
        <w:t>et</w:t>
      </w:r>
      <w:r w:rsidRPr="00B1046B">
        <w:t xml:space="preserve"> des dispositions législatives </w:t>
      </w:r>
      <w:r>
        <w:t>réprimant</w:t>
      </w:r>
      <w:r w:rsidRPr="00B1046B">
        <w:t xml:space="preserve"> la discrimination raciale, mais </w:t>
      </w:r>
      <w:r>
        <w:t>qu’</w:t>
      </w:r>
      <w:r w:rsidRPr="00B1046B">
        <w:t>il est difficile de sa</w:t>
      </w:r>
      <w:r>
        <w:t>voi</w:t>
      </w:r>
      <w:r w:rsidRPr="00B1046B">
        <w:t xml:space="preserve">r </w:t>
      </w:r>
      <w:r>
        <w:t>si</w:t>
      </w:r>
      <w:r w:rsidRPr="00B1046B">
        <w:t xml:space="preserve"> ces dispositions répondent aux exigences de l</w:t>
      </w:r>
      <w:r>
        <w:t>’</w:t>
      </w:r>
      <w:r w:rsidRPr="00B1046B">
        <w:t xml:space="preserve">article 4 de la Convention, car </w:t>
      </w:r>
      <w:r>
        <w:t>on ne dispose d’</w:t>
      </w:r>
      <w:r w:rsidRPr="00B1046B">
        <w:t>aucune information sur l</w:t>
      </w:r>
      <w:r>
        <w:t>’</w:t>
      </w:r>
      <w:r w:rsidRPr="00B1046B">
        <w:t xml:space="preserve">application pratique de ces textes. </w:t>
      </w:r>
      <w:r>
        <w:t>Le rapport fait état d’</w:t>
      </w:r>
      <w:r w:rsidRPr="00B1046B">
        <w:t xml:space="preserve">une procédure </w:t>
      </w:r>
      <w:r>
        <w:t>de</w:t>
      </w:r>
      <w:r w:rsidRPr="00B1046B">
        <w:t xml:space="preserve"> plainte, mais aucune plainte n</w:t>
      </w:r>
      <w:r>
        <w:t>’</w:t>
      </w:r>
      <w:r w:rsidRPr="00B1046B">
        <w:t>a été enregistrée jusqu</w:t>
      </w:r>
      <w:r>
        <w:t>’</w:t>
      </w:r>
      <w:r w:rsidRPr="00B1046B">
        <w:t>à présent. Dans ce cas de figure, le Comité, comme il l</w:t>
      </w:r>
      <w:r>
        <w:t>’a énoncé dans sa R</w:t>
      </w:r>
      <w:r w:rsidRPr="00B1046B">
        <w:t xml:space="preserve">ecommandation générale </w:t>
      </w:r>
      <w:r w:rsidRPr="00C14D2A">
        <w:t>n</w:t>
      </w:r>
      <w:r w:rsidRPr="00C14D2A">
        <w:rPr>
          <w:vertAlign w:val="superscript"/>
        </w:rPr>
        <w:t>o</w:t>
      </w:r>
      <w:r>
        <w:t> 21</w:t>
      </w:r>
      <w:r w:rsidRPr="00B1046B">
        <w:t xml:space="preserve"> de 2005 sur la discrimination raciale dans l</w:t>
      </w:r>
      <w:r>
        <w:t>’</w:t>
      </w:r>
      <w:r w:rsidRPr="00B1046B">
        <w:t>administration et le fonctionnement du système de justice pénale, estime que l</w:t>
      </w:r>
      <w:r>
        <w:t>’abse</w:t>
      </w:r>
      <w:r w:rsidRPr="00B1046B">
        <w:t>nce de plaintes n</w:t>
      </w:r>
      <w:r>
        <w:t>’</w:t>
      </w:r>
      <w:r w:rsidRPr="00B1046B">
        <w:t>est pas nécessairement positif et peut être révélat</w:t>
      </w:r>
      <w:r>
        <w:t>rice</w:t>
      </w:r>
      <w:r w:rsidRPr="00B1046B">
        <w:t xml:space="preserve"> d</w:t>
      </w:r>
      <w:r>
        <w:t>’</w:t>
      </w:r>
      <w:r w:rsidRPr="00B1046B">
        <w:t xml:space="preserve">un manque de confiance vis-à-vis </w:t>
      </w:r>
      <w:r>
        <w:t xml:space="preserve">des </w:t>
      </w:r>
      <w:r w:rsidRPr="00B1046B">
        <w:t>autorités de police ou de justice ou d</w:t>
      </w:r>
      <w:r>
        <w:t>’</w:t>
      </w:r>
      <w:r w:rsidRPr="00B1046B">
        <w:t xml:space="preserve">une sensibilisation insuffisante de ces autorités face aux victimes de racisme. </w:t>
      </w:r>
      <w:r>
        <w:t>À</w:t>
      </w:r>
      <w:r w:rsidRPr="00B1046B">
        <w:t xml:space="preserve"> cet égard, M. de Gouttes invite la délégation à présenter dans son prochain rapport des éléments statistiques sur les poursuites en matière de discrimination raciale. Il s</w:t>
      </w:r>
      <w:r>
        <w:t>ouh</w:t>
      </w:r>
      <w:r w:rsidRPr="00B1046B">
        <w:t>ait</w:t>
      </w:r>
      <w:r>
        <w:t>e</w:t>
      </w:r>
      <w:r w:rsidRPr="00B1046B">
        <w:t xml:space="preserve"> que la délégation donne des informations sur le suivi des recommandations</w:t>
      </w:r>
      <w:r>
        <w:t>,</w:t>
      </w:r>
      <w:r w:rsidRPr="00B1046B">
        <w:t xml:space="preserve"> </w:t>
      </w:r>
      <w:r>
        <w:t xml:space="preserve">issues </w:t>
      </w:r>
      <w:r w:rsidRPr="00B1046B">
        <w:t>de l</w:t>
      </w:r>
      <w:r>
        <w:t>’E</w:t>
      </w:r>
      <w:r w:rsidRPr="00B1046B">
        <w:t xml:space="preserve">xamen périodique universel du Turkménistan, notamment en ce qui concerne les efforts </w:t>
      </w:r>
      <w:r>
        <w:t>déployés</w:t>
      </w:r>
      <w:r w:rsidRPr="00B1046B">
        <w:t xml:space="preserve"> pour éliminer les discriminations contre les minorités</w:t>
      </w:r>
      <w:r>
        <w:t>,</w:t>
      </w:r>
      <w:r w:rsidRPr="00B1046B">
        <w:t xml:space="preserve"> la création d</w:t>
      </w:r>
      <w:r>
        <w:t>’</w:t>
      </w:r>
      <w:r w:rsidRPr="00B1046B">
        <w:t>une institution nationale des droits de l</w:t>
      </w:r>
      <w:r>
        <w:t>’</w:t>
      </w:r>
      <w:r w:rsidRPr="00B1046B">
        <w:t>homme conf</w:t>
      </w:r>
      <w:r>
        <w:t>orme aux Principes de Paris et le</w:t>
      </w:r>
      <w:r w:rsidRPr="00B1046B">
        <w:t xml:space="preserve"> renforcement de l</w:t>
      </w:r>
      <w:r>
        <w:t>’</w:t>
      </w:r>
      <w:r w:rsidRPr="00B1046B">
        <w:t>indépendance du pouvoir judiciaire</w:t>
      </w:r>
      <w:r>
        <w:t>.</w:t>
      </w:r>
    </w:p>
    <w:p w:rsidR="00E274B0" w:rsidRPr="00B1046B" w:rsidRDefault="00E274B0" w:rsidP="00E274B0">
      <w:pPr>
        <w:pStyle w:val="SingleTxtG"/>
      </w:pPr>
      <w:r>
        <w:t>15.</w:t>
      </w:r>
      <w:r>
        <w:tab/>
      </w:r>
      <w:r>
        <w:rPr>
          <w:b/>
        </w:rPr>
        <w:t>M. Murillo Martí</w:t>
      </w:r>
      <w:r w:rsidRPr="00B1046B">
        <w:rPr>
          <w:b/>
        </w:rPr>
        <w:t>nez</w:t>
      </w:r>
      <w:r w:rsidRPr="00B1046B">
        <w:t xml:space="preserve"> déplore le manque de données ventilées sur les différents groupes ethniques vivant au Turkménistan. Les seules statistiques communiquées ont trait au pourcentage de représentants de groupes ethniques dans l</w:t>
      </w:r>
      <w:r>
        <w:t>’</w:t>
      </w:r>
      <w:r w:rsidRPr="00B1046B">
        <w:t xml:space="preserve">administration </w:t>
      </w:r>
      <w:r>
        <w:t>publique</w:t>
      </w:r>
      <w:r w:rsidRPr="00B1046B">
        <w:t xml:space="preserve">. Cependant, certaines </w:t>
      </w:r>
      <w:r>
        <w:t xml:space="preserve">ONG </w:t>
      </w:r>
      <w:r w:rsidRPr="00B1046B">
        <w:t>mettent l</w:t>
      </w:r>
      <w:r>
        <w:t>’</w:t>
      </w:r>
      <w:r w:rsidRPr="00B1046B">
        <w:t>accent sur l</w:t>
      </w:r>
      <w:r>
        <w:t>e</w:t>
      </w:r>
      <w:r w:rsidRPr="00B1046B">
        <w:t xml:space="preserve"> faible </w:t>
      </w:r>
      <w:r>
        <w:t xml:space="preserve">taux d’activité </w:t>
      </w:r>
      <w:r w:rsidRPr="00B1046B">
        <w:t>de cette population</w:t>
      </w:r>
      <w:r>
        <w:t>,</w:t>
      </w:r>
      <w:r w:rsidRPr="00B1046B">
        <w:t xml:space="preserve"> phénomène </w:t>
      </w:r>
      <w:r>
        <w:t xml:space="preserve">qui </w:t>
      </w:r>
      <w:r w:rsidRPr="00B1046B">
        <w:t>pourrait être lié à l</w:t>
      </w:r>
      <w:r>
        <w:t>’obligation</w:t>
      </w:r>
      <w:r w:rsidRPr="00B1046B">
        <w:t xml:space="preserve"> de recruter des personnes pouvant prouver leur origine turkmène sur trois générations. </w:t>
      </w:r>
      <w:r>
        <w:t>L’expert</w:t>
      </w:r>
      <w:r w:rsidRPr="00B1046B">
        <w:t xml:space="preserve"> demande à la délégation si cette pratique est toujours en vigueur et, le cas échéant, de préciser de quelle manière elle s</w:t>
      </w:r>
      <w:r>
        <w:t>’</w:t>
      </w:r>
      <w:r w:rsidRPr="00B1046B">
        <w:t xml:space="preserve">exerce. </w:t>
      </w:r>
      <w:r>
        <w:t xml:space="preserve">Il voudrait savoir </w:t>
      </w:r>
      <w:r w:rsidRPr="00B1046B">
        <w:t>si les minorités sont représentées dans le sport de compétition et si cela leur permet d</w:t>
      </w:r>
      <w:r>
        <w:t>’</w:t>
      </w:r>
      <w:r w:rsidRPr="00B1046B">
        <w:t>avoir accès à l</w:t>
      </w:r>
      <w:r>
        <w:t>’</w:t>
      </w:r>
      <w:r w:rsidRPr="00B1046B">
        <w:t>enseignement supérieur, car, d</w:t>
      </w:r>
      <w:r>
        <w:t>’</w:t>
      </w:r>
      <w:r w:rsidRPr="00B1046B">
        <w:t xml:space="preserve">après </w:t>
      </w:r>
      <w:r>
        <w:t>d</w:t>
      </w:r>
      <w:r w:rsidRPr="00B1046B">
        <w:t xml:space="preserve">es sources non gouvernementales, les jeunes doivent avoir </w:t>
      </w:r>
      <w:r>
        <w:t>l’appui de</w:t>
      </w:r>
      <w:r w:rsidRPr="00B1046B">
        <w:t xml:space="preserve"> personnes haut placées pour accéder à l</w:t>
      </w:r>
      <w:r>
        <w:t>’</w:t>
      </w:r>
      <w:r w:rsidRPr="00B1046B">
        <w:t>enseignement supérieur. Il aimerait obtenir des précisions sur l</w:t>
      </w:r>
      <w:r>
        <w:t>es</w:t>
      </w:r>
      <w:r w:rsidRPr="00B1046B">
        <w:t xml:space="preserve"> </w:t>
      </w:r>
      <w:r>
        <w:t xml:space="preserve">personnes </w:t>
      </w:r>
      <w:r w:rsidRPr="00B1046B">
        <w:t>d</w:t>
      </w:r>
      <w:r>
        <w:t>’</w:t>
      </w:r>
      <w:r w:rsidRPr="00B1046B">
        <w:t>ascendance africaine et demande si les activités organisées par le Turkménistan à l</w:t>
      </w:r>
      <w:r>
        <w:t xml:space="preserve">eur </w:t>
      </w:r>
      <w:r w:rsidRPr="00B1046B">
        <w:t>intention en 2011 peuvent s</w:t>
      </w:r>
      <w:r>
        <w:t>’</w:t>
      </w:r>
      <w:r w:rsidRPr="00B1046B">
        <w:t>inscrire dans le cadre de l</w:t>
      </w:r>
      <w:r>
        <w:t>’</w:t>
      </w:r>
      <w:r w:rsidRPr="00B1046B">
        <w:t>Année internationale des personnes d</w:t>
      </w:r>
      <w:r>
        <w:t xml:space="preserve">’ascendance africaine. Enfin, il </w:t>
      </w:r>
      <w:r w:rsidRPr="00B1046B">
        <w:t xml:space="preserve">voudrait </w:t>
      </w:r>
      <w:r>
        <w:t>savoir si la R</w:t>
      </w:r>
      <w:r w:rsidRPr="00B1046B">
        <w:t xml:space="preserve">ecommandation générale </w:t>
      </w:r>
      <w:r w:rsidRPr="00C14D2A">
        <w:t>n</w:t>
      </w:r>
      <w:r w:rsidRPr="00C14D2A">
        <w:rPr>
          <w:vertAlign w:val="superscript"/>
        </w:rPr>
        <w:t>o</w:t>
      </w:r>
      <w:r>
        <w:t xml:space="preserve"> 34 </w:t>
      </w:r>
      <w:r w:rsidRPr="00B1046B">
        <w:t>du Comité sur la discrimination raciale à l</w:t>
      </w:r>
      <w:r>
        <w:t>’</w:t>
      </w:r>
      <w:r w:rsidRPr="00B1046B">
        <w:t>égard des personnes d</w:t>
      </w:r>
      <w:r>
        <w:t>’</w:t>
      </w:r>
      <w:r w:rsidRPr="00B1046B">
        <w:t>ascendance africaine a été prise en compte et si le Turkménistan a des projets pour la Décennie internationale des personnes d</w:t>
      </w:r>
      <w:r>
        <w:t>’</w:t>
      </w:r>
      <w:r w:rsidRPr="00B1046B">
        <w:t xml:space="preserve">ascendance africaine. </w:t>
      </w:r>
    </w:p>
    <w:p w:rsidR="00E274B0" w:rsidRPr="00B1046B" w:rsidRDefault="00E274B0" w:rsidP="00E274B0">
      <w:pPr>
        <w:pStyle w:val="SingleTxtG"/>
      </w:pPr>
      <w:r>
        <w:t>16.</w:t>
      </w:r>
      <w:r>
        <w:tab/>
      </w:r>
      <w:r>
        <w:rPr>
          <w:b/>
        </w:rPr>
        <w:t>M. Vá</w:t>
      </w:r>
      <w:r w:rsidRPr="00B1046B">
        <w:rPr>
          <w:b/>
        </w:rPr>
        <w:t>zquez</w:t>
      </w:r>
      <w:r w:rsidRPr="00B1046B">
        <w:t xml:space="preserve"> est préoccupé par le fait que certaines dispositions l</w:t>
      </w:r>
      <w:r>
        <w:t xml:space="preserve">égislatives donnant effet aux </w:t>
      </w:r>
      <w:r w:rsidRPr="00B1046B">
        <w:t>obligations de l</w:t>
      </w:r>
      <w:r>
        <w:t>’</w:t>
      </w:r>
      <w:r w:rsidRPr="00B1046B">
        <w:t xml:space="preserve">article 4 de la Convention vont beaucoup plus loin que </w:t>
      </w:r>
      <w:r>
        <w:t xml:space="preserve">les prescriptions de </w:t>
      </w:r>
      <w:r w:rsidRPr="00B1046B">
        <w:t>cet article en citant par exemple l</w:t>
      </w:r>
      <w:r>
        <w:t>’</w:t>
      </w:r>
      <w:r w:rsidRPr="00B1046B">
        <w:t>humiliation de la dignité nationale</w:t>
      </w:r>
      <w:r>
        <w:t>, l’ostracisme ou le rabaissement des valeurs nationales.</w:t>
      </w:r>
      <w:r w:rsidRPr="00B1046B">
        <w:t xml:space="preserve"> L</w:t>
      </w:r>
      <w:r>
        <w:t>’</w:t>
      </w:r>
      <w:r w:rsidRPr="00B1046B">
        <w:t>obligation d</w:t>
      </w:r>
      <w:r>
        <w:t>’</w:t>
      </w:r>
      <w:r w:rsidRPr="00B1046B">
        <w:t>interdire l</w:t>
      </w:r>
      <w:r>
        <w:t>’</w:t>
      </w:r>
      <w:r w:rsidRPr="00B1046B">
        <w:t>incitation à la haine raciale pourrait, dans l</w:t>
      </w:r>
      <w:r>
        <w:t>’</w:t>
      </w:r>
      <w:r w:rsidRPr="00B1046B">
        <w:t>acception que lui donne le Turkménistan, entrer en conflit avec la liberté d</w:t>
      </w:r>
      <w:r>
        <w:t>’</w:t>
      </w:r>
      <w:r w:rsidRPr="00B1046B">
        <w:t>expression.</w:t>
      </w:r>
      <w:r>
        <w:t xml:space="preserve"> </w:t>
      </w:r>
      <w:r w:rsidRPr="00B1046B">
        <w:t>Par ailleurs, les textes législatifs prévus par le Turkménistan pour mettre en œuvre l</w:t>
      </w:r>
      <w:r>
        <w:t>’</w:t>
      </w:r>
      <w:r w:rsidRPr="00B1046B">
        <w:t xml:space="preserve">article 4 sont trop vagues </w:t>
      </w:r>
      <w:r>
        <w:t>et</w:t>
      </w:r>
      <w:r w:rsidRPr="00B1046B">
        <w:t xml:space="preserve"> pourraient produire l</w:t>
      </w:r>
      <w:r>
        <w:t>’</w:t>
      </w:r>
      <w:r w:rsidRPr="00B1046B">
        <w:t>effet inverse, à savoir la persécution des minorités au lieu de leur protection. De la même façon, les restrictions temporaires au droit des citoyens de sortir du territoire</w:t>
      </w:r>
      <w:r>
        <w:t>,</w:t>
      </w:r>
      <w:r w:rsidRPr="00B1046B">
        <w:t xml:space="preserve"> notamment </w:t>
      </w:r>
      <w:r>
        <w:t>s’ils disposent d’</w:t>
      </w:r>
      <w:r w:rsidRPr="00B1046B">
        <w:t>informations constituant un secret d</w:t>
      </w:r>
      <w:r>
        <w:t>’</w:t>
      </w:r>
      <w:r w:rsidRPr="00B1046B">
        <w:t xml:space="preserve">État ou </w:t>
      </w:r>
      <w:r>
        <w:t xml:space="preserve">si leur </w:t>
      </w:r>
      <w:r w:rsidRPr="00B1046B">
        <w:t>sortie du territoire porte atteinte à la sécurité nationale, ne sont pas suffisamment précises et peuvent donner lieu à des abus.</w:t>
      </w:r>
      <w:r>
        <w:t xml:space="preserve"> L</w:t>
      </w:r>
      <w:r w:rsidRPr="00B1046B">
        <w:t xml:space="preserve">e Comité est </w:t>
      </w:r>
      <w:r>
        <w:t>aussi</w:t>
      </w:r>
      <w:r w:rsidRPr="00B1046B">
        <w:t xml:space="preserve"> préoccupé par l</w:t>
      </w:r>
      <w:r>
        <w:t>’</w:t>
      </w:r>
      <w:r w:rsidRPr="00B1046B">
        <w:t>application concrète des droits consacrés par la Convention</w:t>
      </w:r>
      <w:r>
        <w:t>. À</w:t>
      </w:r>
      <w:r w:rsidRPr="00B1046B">
        <w:t xml:space="preserve"> cet égard, il </w:t>
      </w:r>
      <w:r>
        <w:t>existe</w:t>
      </w:r>
      <w:r w:rsidRPr="00B1046B">
        <w:t xml:space="preserve"> un écart considérable entre </w:t>
      </w:r>
      <w:r>
        <w:t xml:space="preserve">les informations fournies dans </w:t>
      </w:r>
      <w:r w:rsidRPr="00B1046B">
        <w:t xml:space="preserve">le rapport et </w:t>
      </w:r>
      <w:r>
        <w:t>cel</w:t>
      </w:r>
      <w:r w:rsidRPr="00B1046B">
        <w:t>les reçues d</w:t>
      </w:r>
      <w:r>
        <w:t>’</w:t>
      </w:r>
      <w:r w:rsidRPr="00B1046B">
        <w:t>autres sources</w:t>
      </w:r>
      <w:r>
        <w:t>,</w:t>
      </w:r>
      <w:r w:rsidRPr="00B1046B">
        <w:t xml:space="preserve"> d</w:t>
      </w:r>
      <w:r>
        <w:t>’</w:t>
      </w:r>
      <w:r w:rsidRPr="00B1046B">
        <w:t>après lesquelles</w:t>
      </w:r>
      <w:r>
        <w:t xml:space="preserve"> notamment</w:t>
      </w:r>
      <w:r w:rsidRPr="00B1046B">
        <w:t>, malgré l</w:t>
      </w:r>
      <w:r>
        <w:t>’</w:t>
      </w:r>
      <w:r w:rsidRPr="00B1046B">
        <w:t>affirmation du Turkménistan sur la liberté de religion, seules quelques religions sont reconnues (islam sunnite, religion orthodoxe russe et catholi</w:t>
      </w:r>
      <w:r>
        <w:t>cisme</w:t>
      </w:r>
      <w:r w:rsidRPr="00B1046B">
        <w:t>). Par ailleurs, la discrimination dans l</w:t>
      </w:r>
      <w:r>
        <w:t>’</w:t>
      </w:r>
      <w:r w:rsidRPr="00B1046B">
        <w:t>emploi serait répandu</w:t>
      </w:r>
      <w:r>
        <w:t>e</w:t>
      </w:r>
      <w:r w:rsidRPr="00B1046B">
        <w:t xml:space="preserve"> et des employés non turkmènes seraient fréquemment licenciés en raison de leur origine. </w:t>
      </w:r>
      <w:r>
        <w:t>La délégation est invitée à revenir sur ces points.</w:t>
      </w:r>
      <w:r w:rsidRPr="00B1046B">
        <w:t xml:space="preserve"> </w:t>
      </w:r>
    </w:p>
    <w:p w:rsidR="00E274B0" w:rsidRDefault="00E274B0" w:rsidP="00E274B0">
      <w:pPr>
        <w:pStyle w:val="SingleTxtG"/>
      </w:pPr>
      <w:r>
        <w:t>17.</w:t>
      </w:r>
      <w:r>
        <w:tab/>
      </w:r>
      <w:r w:rsidRPr="00B1046B">
        <w:rPr>
          <w:b/>
        </w:rPr>
        <w:t>M. Thornberry</w:t>
      </w:r>
      <w:r w:rsidRPr="00B1046B">
        <w:t xml:space="preserve"> déplore le </w:t>
      </w:r>
      <w:r>
        <w:t>manque d’</w:t>
      </w:r>
      <w:r w:rsidRPr="00B1046B">
        <w:t>informations sur l</w:t>
      </w:r>
      <w:r>
        <w:t>’</w:t>
      </w:r>
      <w:r w:rsidRPr="00B1046B">
        <w:t>article 3 de la Convention et rappelle que cet article ne concerne pas seulement l</w:t>
      </w:r>
      <w:r>
        <w:t>’</w:t>
      </w:r>
      <w:r w:rsidRPr="00B1046B">
        <w:t>apartheid mais la ségrégation, y compris la ségrégation résultant d</w:t>
      </w:r>
      <w:r>
        <w:t>’</w:t>
      </w:r>
      <w:r w:rsidRPr="00B1046B">
        <w:t>actes commis par des particuliers. Il aimerait des précisions sur les stratégies complémentaires au droit pénal prévues pour lutter contre les discours</w:t>
      </w:r>
      <w:r>
        <w:t xml:space="preserve"> de</w:t>
      </w:r>
      <w:r w:rsidRPr="00B1046B">
        <w:t xml:space="preserve"> haine à l</w:t>
      </w:r>
      <w:r>
        <w:t>’</w:t>
      </w:r>
      <w:r w:rsidRPr="00B1046B">
        <w:t>encontre de certains groupes.</w:t>
      </w:r>
      <w:r>
        <w:t xml:space="preserve"> </w:t>
      </w:r>
      <w:r w:rsidRPr="00B1046B">
        <w:t>Il aimerait que la délégation</w:t>
      </w:r>
      <w:r>
        <w:t xml:space="preserve"> commente </w:t>
      </w:r>
      <w:r w:rsidRPr="00B1046B">
        <w:t xml:space="preserve">les informations </w:t>
      </w:r>
      <w:r>
        <w:t xml:space="preserve">qui </w:t>
      </w:r>
      <w:r w:rsidRPr="00B1046B">
        <w:t>font état d</w:t>
      </w:r>
      <w:r>
        <w:t>’</w:t>
      </w:r>
      <w:r w:rsidRPr="00B1046B">
        <w:t>un contrôle très strict d</w:t>
      </w:r>
      <w:r>
        <w:t>’</w:t>
      </w:r>
      <w:r w:rsidRPr="00B1046B">
        <w:t>Internet au Turkménistan</w:t>
      </w:r>
      <w:r>
        <w:t xml:space="preserve"> et </w:t>
      </w:r>
      <w:r w:rsidRPr="00B1046B">
        <w:t>précise qui est visé par ce contrôle, sous quelle forme il s</w:t>
      </w:r>
      <w:r>
        <w:t>’</w:t>
      </w:r>
      <w:r w:rsidRPr="00B1046B">
        <w:t xml:space="preserve">exerce et ce qui le justifie. </w:t>
      </w:r>
      <w:r>
        <w:t>Enfin, i</w:t>
      </w:r>
      <w:r w:rsidRPr="00B1046B">
        <w:t>l demande à la délégation de prévoir la présence d</w:t>
      </w:r>
      <w:r>
        <w:t>’</w:t>
      </w:r>
      <w:r w:rsidRPr="00B1046B">
        <w:t>ONG lors de la prochaine présentation de rapport</w:t>
      </w:r>
      <w:r>
        <w:t>s périodiques</w:t>
      </w:r>
      <w:r w:rsidRPr="00B1046B">
        <w:t>.</w:t>
      </w:r>
      <w:r>
        <w:t xml:space="preserve"> </w:t>
      </w:r>
    </w:p>
    <w:p w:rsidR="00E274B0" w:rsidRPr="004F19D2" w:rsidRDefault="00E274B0" w:rsidP="00E274B0">
      <w:pPr>
        <w:pStyle w:val="SingleTxtG"/>
      </w:pPr>
      <w:r>
        <w:t>18.</w:t>
      </w:r>
      <w:r>
        <w:tab/>
      </w:r>
      <w:r w:rsidRPr="004F19D2">
        <w:rPr>
          <w:b/>
        </w:rPr>
        <w:t>Le</w:t>
      </w:r>
      <w:r w:rsidRPr="004F19D2">
        <w:t xml:space="preserve"> </w:t>
      </w:r>
      <w:r w:rsidRPr="004F19D2">
        <w:rPr>
          <w:b/>
        </w:rPr>
        <w:t>Président</w:t>
      </w:r>
      <w:r w:rsidRPr="004F19D2">
        <w:t>, en sa qualité d</w:t>
      </w:r>
      <w:r>
        <w:t>’</w:t>
      </w:r>
      <w:r w:rsidRPr="004F19D2">
        <w:t>expert, prend note du fait que la liberté de religion est un droit constitutionnel garanti aux citoyens, entendu au sens du droit de chacun de professer une religion ou de n</w:t>
      </w:r>
      <w:r>
        <w:t>’</w:t>
      </w:r>
      <w:r w:rsidRPr="004F19D2">
        <w:t>en professer aucune mais demande à la délégation d</w:t>
      </w:r>
      <w:r>
        <w:t>’</w:t>
      </w:r>
      <w:r w:rsidRPr="004F19D2">
        <w:t>indiquer si les autorités turkmènes enregistrent toutes les organisations religieuses, y compris l</w:t>
      </w:r>
      <w:r>
        <w:t>’</w:t>
      </w:r>
      <w:r w:rsidRPr="004F19D2">
        <w:t>Église arménienne apostolique, qui en font la demande</w:t>
      </w:r>
      <w:r>
        <w:t xml:space="preserve">. Il </w:t>
      </w:r>
      <w:r w:rsidRPr="004F19D2">
        <w:t>souhaiterait par ailleurs savoir si des Roms vivent au Turkménistan et</w:t>
      </w:r>
      <w:r>
        <w:t>,</w:t>
      </w:r>
      <w:r w:rsidRPr="004F19D2">
        <w:t xml:space="preserve"> dans l</w:t>
      </w:r>
      <w:r>
        <w:t>’</w:t>
      </w:r>
      <w:r w:rsidRPr="004F19D2">
        <w:t>affirmative</w:t>
      </w:r>
      <w:r>
        <w:t>,</w:t>
      </w:r>
      <w:r w:rsidRPr="004F19D2">
        <w:t xml:space="preserve"> recevoir des renseignements </w:t>
      </w:r>
      <w:r>
        <w:t>sur</w:t>
      </w:r>
      <w:r w:rsidRPr="004F19D2">
        <w:t xml:space="preserve"> leur nombre</w:t>
      </w:r>
      <w:r>
        <w:t xml:space="preserve"> et</w:t>
      </w:r>
      <w:r w:rsidRPr="004F19D2">
        <w:t xml:space="preserve"> les zones où ils sont établis s</w:t>
      </w:r>
      <w:r>
        <w:t>’</w:t>
      </w:r>
      <w:r w:rsidRPr="004F19D2">
        <w:t xml:space="preserve">ils sont sédentarisés. </w:t>
      </w:r>
      <w:r>
        <w:t>L</w:t>
      </w:r>
      <w:r w:rsidRPr="004F19D2">
        <w:t>e Comité s</w:t>
      </w:r>
      <w:r>
        <w:t>’</w:t>
      </w:r>
      <w:r w:rsidRPr="004F19D2">
        <w:t>intéresse particulièrement à cette minorité qui fait, partout dans le monde, l</w:t>
      </w:r>
      <w:r>
        <w:t>’</w:t>
      </w:r>
      <w:r w:rsidRPr="004F19D2">
        <w:t>objet d</w:t>
      </w:r>
      <w:r>
        <w:t>’un</w:t>
      </w:r>
      <w:r w:rsidRPr="004F19D2">
        <w:t>e discrimina</w:t>
      </w:r>
      <w:r>
        <w:t>tion</w:t>
      </w:r>
      <w:r w:rsidRPr="004F19D2">
        <w:t xml:space="preserve"> généralisée et qu</w:t>
      </w:r>
      <w:r>
        <w:t>’</w:t>
      </w:r>
      <w:r w:rsidRPr="004F19D2">
        <w:t xml:space="preserve">il a adopté en 2000 la Recommandation générale </w:t>
      </w:r>
      <w:r w:rsidRPr="00C14D2A">
        <w:t>n</w:t>
      </w:r>
      <w:r w:rsidRPr="00C14D2A">
        <w:rPr>
          <w:vertAlign w:val="superscript"/>
        </w:rPr>
        <w:t>o</w:t>
      </w:r>
      <w:r>
        <w:t> </w:t>
      </w:r>
      <w:r w:rsidRPr="004F19D2">
        <w:t>27 concernant la discrimination à l</w:t>
      </w:r>
      <w:r>
        <w:t>’</w:t>
      </w:r>
      <w:r w:rsidRPr="004F19D2">
        <w:t>égard des Roms</w:t>
      </w:r>
      <w:r>
        <w:t>.</w:t>
      </w:r>
      <w:r w:rsidRPr="004F19D2">
        <w:t xml:space="preserve"> Il invite </w:t>
      </w:r>
      <w:r>
        <w:t xml:space="preserve">par ailleurs </w:t>
      </w:r>
      <w:r w:rsidRPr="004F19D2">
        <w:t xml:space="preserve">la délégation </w:t>
      </w:r>
      <w:r>
        <w:t>à</w:t>
      </w:r>
      <w:r w:rsidRPr="004F19D2">
        <w:t xml:space="preserve"> préciser le statut et le rôle de l</w:t>
      </w:r>
      <w:r>
        <w:t>’</w:t>
      </w:r>
      <w:r w:rsidRPr="004F19D2">
        <w:t>Institut national turkmène pour la démocratie et les droits de l</w:t>
      </w:r>
      <w:r>
        <w:t>’</w:t>
      </w:r>
      <w:r w:rsidRPr="004F19D2">
        <w:t xml:space="preserve">homme. </w:t>
      </w:r>
    </w:p>
    <w:p w:rsidR="00E274B0" w:rsidRDefault="00E274B0" w:rsidP="00E274B0">
      <w:pPr>
        <w:pStyle w:val="SingleTxtG"/>
      </w:pPr>
      <w:r>
        <w:rPr>
          <w:bCs/>
        </w:rPr>
        <w:t>19.</w:t>
      </w:r>
      <w:r>
        <w:rPr>
          <w:bCs/>
        </w:rPr>
        <w:tab/>
      </w:r>
      <w:r w:rsidRPr="004F19D2">
        <w:rPr>
          <w:b/>
          <w:bCs/>
        </w:rPr>
        <w:t>M. Erniyazov</w:t>
      </w:r>
      <w:r w:rsidRPr="004F19D2">
        <w:t xml:space="preserve"> (Turkménistan) explique que le Ministère de la justice a établi un service qui est chargé de recevoir et d</w:t>
      </w:r>
      <w:r>
        <w:t>’</w:t>
      </w:r>
      <w:r w:rsidRPr="004F19D2">
        <w:t>examiner les plaintes</w:t>
      </w:r>
      <w:r>
        <w:t xml:space="preserve"> </w:t>
      </w:r>
      <w:r w:rsidRPr="004F19D2">
        <w:t>des justiciables</w:t>
      </w:r>
      <w:r>
        <w:t>,</w:t>
      </w:r>
      <w:r w:rsidRPr="004F19D2">
        <w:t xml:space="preserve"> et de répondre à leurs questions sur le droit ou l</w:t>
      </w:r>
      <w:r>
        <w:t>’</w:t>
      </w:r>
      <w:r w:rsidRPr="004F19D2">
        <w:t xml:space="preserve">interprétation des lois. </w:t>
      </w:r>
      <w:r>
        <w:t xml:space="preserve">Il s’agit </w:t>
      </w:r>
      <w:r w:rsidRPr="004F19D2">
        <w:t xml:space="preserve">simplement </w:t>
      </w:r>
      <w:r>
        <w:t>d’</w:t>
      </w:r>
      <w:r w:rsidRPr="004F19D2">
        <w:t>un centre d</w:t>
      </w:r>
      <w:r>
        <w:t>’</w:t>
      </w:r>
      <w:r w:rsidRPr="004F19D2">
        <w:t>accueil où des fonctionnaires du Ministère de la justice, des magistrats de la Cour suprême, des représentants de la Procurature générale et du barreau répondent</w:t>
      </w:r>
      <w:r>
        <w:t>,</w:t>
      </w:r>
      <w:r w:rsidRPr="004F19D2">
        <w:t xml:space="preserve"> chacun selon sa compétence, aux questions des administrés.</w:t>
      </w:r>
      <w:r>
        <w:t xml:space="preserve"> </w:t>
      </w:r>
      <w:r w:rsidRPr="004F19D2">
        <w:t xml:space="preserve">La loi de 2003 sur la liberté de confession et les organisations religieuses consacre la liberté de religion et de culte et un </w:t>
      </w:r>
      <w:r>
        <w:t>décret</w:t>
      </w:r>
      <w:r w:rsidRPr="004F19D2">
        <w:t xml:space="preserve"> présidentiel fixe les modalités </w:t>
      </w:r>
      <w:r>
        <w:t>d’</w:t>
      </w:r>
      <w:r w:rsidRPr="004F19D2">
        <w:t>enregistrement des organisations et groupes religieux. Le Turkménistan compte 104 organisations musulmanes, dont 99 d</w:t>
      </w:r>
      <w:r>
        <w:t>’</w:t>
      </w:r>
      <w:r w:rsidRPr="004F19D2">
        <w:t>obédience sunnite et 5 chiite</w:t>
      </w:r>
      <w:r>
        <w:t>s</w:t>
      </w:r>
      <w:r w:rsidRPr="004F19D2">
        <w:t>, mais aussi de nombreuses autres organisations religieuses, telles que l</w:t>
      </w:r>
      <w:r>
        <w:t>’</w:t>
      </w:r>
      <w:r w:rsidRPr="004F19D2">
        <w:t>Église adventiste du septième jour, l</w:t>
      </w:r>
      <w:r>
        <w:t>’</w:t>
      </w:r>
      <w:r w:rsidRPr="004F19D2">
        <w:t>Église néoapostolique du Turkménistan, l</w:t>
      </w:r>
      <w:r>
        <w:t>’</w:t>
      </w:r>
      <w:r w:rsidRPr="004F19D2">
        <w:t xml:space="preserve">organisation religieuse </w:t>
      </w:r>
      <w:r>
        <w:t>b</w:t>
      </w:r>
      <w:r w:rsidRPr="004F19D2">
        <w:t>aha</w:t>
      </w:r>
      <w:r>
        <w:t>ïe</w:t>
      </w:r>
      <w:r w:rsidRPr="004F19D2">
        <w:t xml:space="preserve"> du Turkménistan, l</w:t>
      </w:r>
      <w:r>
        <w:t>’</w:t>
      </w:r>
      <w:r w:rsidRPr="004F19D2">
        <w:t>Église chrétienne évangélique, l</w:t>
      </w:r>
      <w:r>
        <w:t>’</w:t>
      </w:r>
      <w:r w:rsidRPr="004F19D2">
        <w:t>Église baptiste évangélique</w:t>
      </w:r>
      <w:r>
        <w:t xml:space="preserve"> et</w:t>
      </w:r>
      <w:r w:rsidRPr="004F19D2">
        <w:t xml:space="preserve"> l</w:t>
      </w:r>
      <w:r>
        <w:t>’</w:t>
      </w:r>
      <w:r w:rsidRPr="004F19D2">
        <w:t xml:space="preserve">Église du plein Évangile. Toutes les organisations religieuses </w:t>
      </w:r>
      <w:r>
        <w:t>qui ont</w:t>
      </w:r>
      <w:r w:rsidRPr="004F19D2">
        <w:t xml:space="preserve"> demandé leur enregistrement auprès du Ministère de la justice l</w:t>
      </w:r>
      <w:r>
        <w:t>’</w:t>
      </w:r>
      <w:r w:rsidRPr="004F19D2">
        <w:t>ont obtenu</w:t>
      </w:r>
      <w:r>
        <w:t xml:space="preserve">. </w:t>
      </w:r>
    </w:p>
    <w:p w:rsidR="00E274B0" w:rsidRPr="004F19D2" w:rsidRDefault="00E274B0" w:rsidP="00E274B0">
      <w:pPr>
        <w:pStyle w:val="SingleTxtG"/>
      </w:pPr>
      <w:r>
        <w:t>20.</w:t>
      </w:r>
      <w:r>
        <w:tab/>
      </w:r>
      <w:r w:rsidRPr="004F19D2">
        <w:t>S</w:t>
      </w:r>
      <w:r>
        <w:t>’</w:t>
      </w:r>
      <w:r w:rsidRPr="004F19D2">
        <w:t xml:space="preserve">agissant du mode de nomination du Ministre de la justice et du Président de la Cour suprême, le représentant explique que le Président du Turkménistan </w:t>
      </w:r>
      <w:r>
        <w:t>soumet des candidatures</w:t>
      </w:r>
      <w:r w:rsidRPr="004F19D2">
        <w:t xml:space="preserve"> au Parlement pour approbation</w:t>
      </w:r>
      <w:r>
        <w:t xml:space="preserve">. </w:t>
      </w:r>
      <w:r w:rsidRPr="004F19D2">
        <w:t>Le Turkménistan ne reconnaît pas la double nationalité. Les questions relatives à la citoyenneté turkmène sont régies par la loi du 30</w:t>
      </w:r>
      <w:r>
        <w:t> </w:t>
      </w:r>
      <w:r w:rsidRPr="004F19D2">
        <w:t>septembre 1992 sur la citoyenneté turk</w:t>
      </w:r>
      <w:r>
        <w:t>mène, qui dispose ce qui suit: «</w:t>
      </w:r>
      <w:r w:rsidRPr="004F19D2">
        <w:t>Lorsqu</w:t>
      </w:r>
      <w:r>
        <w:t>’</w:t>
      </w:r>
      <w:r w:rsidRPr="004F19D2">
        <w:t>un citoyen turkmène est citoyen d</w:t>
      </w:r>
      <w:r>
        <w:t>’</w:t>
      </w:r>
      <w:r w:rsidRPr="004F19D2">
        <w:t>un autre État, cette autre citoyenneté ne lui est pas reconnue au Turkménistan</w:t>
      </w:r>
      <w:r>
        <w:t>.»</w:t>
      </w:r>
      <w:r w:rsidRPr="004F19D2">
        <w:t xml:space="preserve">. Le droit de quitter le territoire national ne peut être </w:t>
      </w:r>
      <w:r>
        <w:t xml:space="preserve">refusé qu’aux </w:t>
      </w:r>
      <w:r w:rsidRPr="004F19D2">
        <w:t>personnes faisant l</w:t>
      </w:r>
      <w:r>
        <w:t>’</w:t>
      </w:r>
      <w:r w:rsidRPr="004F19D2">
        <w:t>objet d</w:t>
      </w:r>
      <w:r>
        <w:t>’</w:t>
      </w:r>
      <w:r w:rsidRPr="004F19D2">
        <w:t>une enquête ou d</w:t>
      </w:r>
      <w:r>
        <w:t>’</w:t>
      </w:r>
      <w:r w:rsidRPr="004F19D2">
        <w:t xml:space="preserve">une procédure pénale, </w:t>
      </w:r>
      <w:r>
        <w:t xml:space="preserve">celles </w:t>
      </w:r>
      <w:r w:rsidRPr="004F19D2">
        <w:t xml:space="preserve">qui ont été condamnées par une juridiction ou </w:t>
      </w:r>
      <w:r>
        <w:t xml:space="preserve">celles </w:t>
      </w:r>
      <w:r w:rsidRPr="004F19D2">
        <w:t>qui détiennent des secrets d</w:t>
      </w:r>
      <w:r>
        <w:t>’</w:t>
      </w:r>
      <w:r w:rsidRPr="004F19D2">
        <w:t>État ou des secrets défense. Une commission spéciale</w:t>
      </w:r>
      <w:r>
        <w:t>,</w:t>
      </w:r>
      <w:r w:rsidRPr="004F19D2">
        <w:t xml:space="preserve"> créée par décret présidentiel</w:t>
      </w:r>
      <w:r>
        <w:t>,</w:t>
      </w:r>
      <w:r w:rsidRPr="004F19D2">
        <w:t xml:space="preserve"> e</w:t>
      </w:r>
      <w:r>
        <w:t>s</w:t>
      </w:r>
      <w:r w:rsidRPr="004F19D2">
        <w:t>t chargée d</w:t>
      </w:r>
      <w:r>
        <w:t>’</w:t>
      </w:r>
      <w:r w:rsidRPr="004F19D2">
        <w:t>examiner les cas litigieux, à la demande des intéressés. Cette Commission est composée du Procureur général ou de ses substituts, d</w:t>
      </w:r>
      <w:r>
        <w:t>’</w:t>
      </w:r>
      <w:r w:rsidRPr="004F19D2">
        <w:t>un fonctionnaire des services d</w:t>
      </w:r>
      <w:r>
        <w:t>’</w:t>
      </w:r>
      <w:r w:rsidRPr="004F19D2">
        <w:t>immigration et d</w:t>
      </w:r>
      <w:r>
        <w:t>’</w:t>
      </w:r>
      <w:r w:rsidRPr="004F19D2">
        <w:t>un membre du Parlement qui examinent les appels formés par les citoyens visés par une mesure d</w:t>
      </w:r>
      <w:r>
        <w:t>’</w:t>
      </w:r>
      <w:r w:rsidRPr="004F19D2">
        <w:t>interdi</w:t>
      </w:r>
      <w:r>
        <w:t>ction de sortie du territoire. Ell</w:t>
      </w:r>
      <w:r w:rsidRPr="004F19D2">
        <w:t xml:space="preserve">e </w:t>
      </w:r>
      <w:r>
        <w:t>s</w:t>
      </w:r>
      <w:r w:rsidRPr="004F19D2">
        <w:t xml:space="preserve">e réunit deux fois par semaine et décide si </w:t>
      </w:r>
      <w:r>
        <w:t xml:space="preserve">l’interdiction </w:t>
      </w:r>
      <w:r w:rsidRPr="004F19D2">
        <w:t>est fondée ou non.</w:t>
      </w:r>
    </w:p>
    <w:p w:rsidR="00E274B0" w:rsidRPr="004F19D2" w:rsidRDefault="00E274B0" w:rsidP="00E274B0">
      <w:pPr>
        <w:pStyle w:val="SingleTxtG"/>
      </w:pPr>
      <w:r>
        <w:t>21.</w:t>
      </w:r>
      <w:r>
        <w:tab/>
      </w:r>
      <w:r w:rsidRPr="00EE24EE">
        <w:rPr>
          <w:b/>
        </w:rPr>
        <w:t>M</w:t>
      </w:r>
      <w:r w:rsidRPr="00EE24EE">
        <w:rPr>
          <w:b/>
          <w:vertAlign w:val="superscript"/>
        </w:rPr>
        <w:t>me</w:t>
      </w:r>
      <w:r w:rsidRPr="00EE24EE">
        <w:rPr>
          <w:b/>
        </w:rPr>
        <w:t> </w:t>
      </w:r>
      <w:r w:rsidRPr="004F19D2">
        <w:rPr>
          <w:b/>
        </w:rPr>
        <w:t>Atajanova</w:t>
      </w:r>
      <w:r w:rsidRPr="004F19D2">
        <w:t xml:space="preserve"> (Turkménistan) dit que l</w:t>
      </w:r>
      <w:r>
        <w:t>’</w:t>
      </w:r>
      <w:r w:rsidRPr="004F19D2">
        <w:t>Institut national turkmène pour la démocratie et les droits de l</w:t>
      </w:r>
      <w:r>
        <w:t>’</w:t>
      </w:r>
      <w:r w:rsidRPr="004F19D2">
        <w:t xml:space="preserve">homme </w:t>
      </w:r>
      <w:r>
        <w:t>pr</w:t>
      </w:r>
      <w:r w:rsidRPr="004F19D2">
        <w:t>o</w:t>
      </w:r>
      <w:r>
        <w:t>pos</w:t>
      </w:r>
      <w:r w:rsidRPr="004F19D2">
        <w:t>e des consultations juridiques gratuites aux citoyens</w:t>
      </w:r>
      <w:r>
        <w:t>,</w:t>
      </w:r>
      <w:r w:rsidRPr="004F19D2">
        <w:t xml:space="preserve"> </w:t>
      </w:r>
      <w:r>
        <w:t>examine</w:t>
      </w:r>
      <w:r w:rsidRPr="004F19D2">
        <w:t xml:space="preserve"> les plaintes dont il est saisi </w:t>
      </w:r>
      <w:r>
        <w:t xml:space="preserve">et les transmet </w:t>
      </w:r>
      <w:r w:rsidRPr="004F19D2">
        <w:t>aux organes compétents de l</w:t>
      </w:r>
      <w:r>
        <w:t>’</w:t>
      </w:r>
      <w:r w:rsidRPr="004F19D2">
        <w:t>État. L</w:t>
      </w:r>
      <w:r>
        <w:t>’</w:t>
      </w:r>
      <w:r w:rsidRPr="004F19D2">
        <w:t xml:space="preserve">Institut est également chargé de présenter des propositions </w:t>
      </w:r>
      <w:r>
        <w:t xml:space="preserve">visant à </w:t>
      </w:r>
      <w:r w:rsidRPr="004F19D2">
        <w:t xml:space="preserve">améliorer la </w:t>
      </w:r>
      <w:r>
        <w:t>loi, et fournit</w:t>
      </w:r>
      <w:r w:rsidRPr="004F19D2">
        <w:t xml:space="preserve"> chaque fin d</w:t>
      </w:r>
      <w:r>
        <w:t>’</w:t>
      </w:r>
      <w:r w:rsidRPr="004F19D2">
        <w:t xml:space="preserve">année des informations aux ministères et départements compétents et aux responsables des régions sur les principales questions soulevées dans les requêtes qui lui sont adressées. </w:t>
      </w:r>
    </w:p>
    <w:p w:rsidR="00E274B0" w:rsidRPr="006154C5" w:rsidRDefault="00E274B0" w:rsidP="00E274B0">
      <w:pPr>
        <w:pStyle w:val="SingleTxtG"/>
      </w:pPr>
      <w:r w:rsidRPr="004F19D2">
        <w:rPr>
          <w:i/>
        </w:rPr>
        <w:t>La séance est levée à 18 heures.</w:t>
      </w:r>
    </w:p>
    <w:sectPr w:rsidR="00E274B0" w:rsidRPr="006154C5" w:rsidSect="006154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F4B" w:rsidRDefault="00C97F4B"/>
  </w:endnote>
  <w:endnote w:type="continuationSeparator" w:id="0">
    <w:p w:rsidR="00C97F4B" w:rsidRDefault="00C97F4B"/>
  </w:endnote>
  <w:endnote w:type="continuationNotice" w:id="1">
    <w:p w:rsidR="00C97F4B" w:rsidRPr="008918E4" w:rsidRDefault="00C97F4B"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F4B" w:rsidRPr="006154C5" w:rsidRDefault="00C97F4B" w:rsidP="006154C5">
    <w:pPr>
      <w:pStyle w:val="Footer"/>
      <w:tabs>
        <w:tab w:val="right" w:pos="9638"/>
      </w:tabs>
    </w:pPr>
    <w:r w:rsidRPr="006154C5">
      <w:rPr>
        <w:b/>
        <w:sz w:val="18"/>
      </w:rPr>
      <w:fldChar w:fldCharType="begin"/>
    </w:r>
    <w:r w:rsidRPr="006154C5">
      <w:rPr>
        <w:b/>
        <w:sz w:val="18"/>
      </w:rPr>
      <w:instrText xml:space="preserve"> PAGE  \* MERGEFORMAT </w:instrText>
    </w:r>
    <w:r w:rsidRPr="006154C5">
      <w:rPr>
        <w:b/>
        <w:sz w:val="18"/>
      </w:rPr>
      <w:fldChar w:fldCharType="separate"/>
    </w:r>
    <w:r>
      <w:rPr>
        <w:b/>
        <w:noProof/>
        <w:sz w:val="18"/>
      </w:rPr>
      <w:t>8</w:t>
    </w:r>
    <w:r w:rsidRPr="006154C5">
      <w:rPr>
        <w:b/>
        <w:sz w:val="18"/>
      </w:rPr>
      <w:fldChar w:fldCharType="end"/>
    </w:r>
    <w:r>
      <w:rPr>
        <w:b/>
        <w:sz w:val="18"/>
      </w:rPr>
      <w:tab/>
    </w:r>
    <w:r>
      <w:t>GE.12-40938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F4B" w:rsidRPr="006154C5" w:rsidRDefault="00C97F4B" w:rsidP="006154C5">
    <w:pPr>
      <w:pStyle w:val="Footer"/>
      <w:tabs>
        <w:tab w:val="right" w:pos="9638"/>
      </w:tabs>
      <w:rPr>
        <w:b/>
        <w:sz w:val="18"/>
      </w:rPr>
    </w:pPr>
    <w:r>
      <w:t>GE.12-40938</w:t>
    </w:r>
    <w:r>
      <w:tab/>
    </w:r>
    <w:r w:rsidRPr="006154C5">
      <w:rPr>
        <w:b/>
        <w:sz w:val="18"/>
      </w:rPr>
      <w:fldChar w:fldCharType="begin"/>
    </w:r>
    <w:r w:rsidRPr="006154C5">
      <w:rPr>
        <w:b/>
        <w:sz w:val="18"/>
      </w:rPr>
      <w:instrText xml:space="preserve"> PAGE  \* MERGEFORMAT </w:instrText>
    </w:r>
    <w:r w:rsidRPr="006154C5">
      <w:rPr>
        <w:b/>
        <w:sz w:val="18"/>
      </w:rPr>
      <w:fldChar w:fldCharType="separate"/>
    </w:r>
    <w:r>
      <w:rPr>
        <w:b/>
        <w:noProof/>
        <w:sz w:val="18"/>
      </w:rPr>
      <w:t>7</w:t>
    </w:r>
    <w:r w:rsidRPr="006154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F4B" w:rsidRDefault="00C97F4B" w:rsidP="005E01B1">
    <w:pPr>
      <w:pBdr>
        <w:bottom w:val="single" w:sz="4" w:space="1" w:color="auto"/>
      </w:pBdr>
      <w:spacing w:line="240" w:lineRule="auto"/>
    </w:pPr>
  </w:p>
  <w:p w:rsidR="00C97F4B" w:rsidRDefault="00C97F4B" w:rsidP="0037280E">
    <w:pPr>
      <w:pStyle w:val="FootnoteText"/>
      <w:tabs>
        <w:tab w:val="clear" w:pos="1021"/>
      </w:tabs>
      <w:spacing w:after="120"/>
      <w:ind w:firstLine="0"/>
    </w:pPr>
    <w:r>
      <w:t>Le présent compte rendu est sujet à rectifications.</w:t>
    </w:r>
  </w:p>
  <w:p w:rsidR="00C97F4B" w:rsidRDefault="00C97F4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97F4B" w:rsidRDefault="00C97F4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7F4B" w:rsidRPr="006154C5" w:rsidRDefault="00C97F4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12-40938  (F)    280212    010312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F4B" w:rsidRPr="00D27D5E" w:rsidRDefault="00C97F4B" w:rsidP="00D27D5E">
      <w:pPr>
        <w:tabs>
          <w:tab w:val="right" w:pos="2155"/>
        </w:tabs>
        <w:spacing w:after="80"/>
        <w:ind w:left="680"/>
        <w:rPr>
          <w:u w:val="single"/>
        </w:rPr>
      </w:pPr>
      <w:r>
        <w:rPr>
          <w:u w:val="single"/>
        </w:rPr>
        <w:tab/>
      </w:r>
    </w:p>
  </w:footnote>
  <w:footnote w:type="continuationSeparator" w:id="0">
    <w:p w:rsidR="00C97F4B" w:rsidRDefault="00C97F4B">
      <w:r>
        <w:rPr>
          <w:u w:val="single"/>
        </w:rPr>
        <w:tab/>
      </w:r>
      <w:r>
        <w:rPr>
          <w:u w:val="single"/>
        </w:rPr>
        <w:tab/>
      </w:r>
      <w:r>
        <w:rPr>
          <w:u w:val="single"/>
        </w:rPr>
        <w:tab/>
      </w:r>
      <w:r>
        <w:rPr>
          <w:u w:val="single"/>
        </w:rPr>
        <w:tab/>
      </w:r>
    </w:p>
  </w:footnote>
  <w:footnote w:type="continuationNotice" w:id="1">
    <w:p w:rsidR="00C97F4B" w:rsidRPr="008918E4" w:rsidRDefault="00C97F4B"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F4B" w:rsidRPr="006154C5" w:rsidRDefault="00C97F4B">
    <w:pPr>
      <w:pStyle w:val="Header"/>
    </w:pPr>
    <w:r>
      <w:t>CERD/C/SR.2143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F4B" w:rsidRPr="006154C5" w:rsidRDefault="00C97F4B" w:rsidP="006154C5">
    <w:pPr>
      <w:pStyle w:val="Header"/>
      <w:jc w:val="right"/>
    </w:pPr>
    <w:r>
      <w:t>CERD/C/SR.2143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ADC"/>
    <w:rsid w:val="00016AC5"/>
    <w:rsid w:val="00054609"/>
    <w:rsid w:val="00096678"/>
    <w:rsid w:val="000E4D24"/>
    <w:rsid w:val="000F1C24"/>
    <w:rsid w:val="000F41F2"/>
    <w:rsid w:val="001231AD"/>
    <w:rsid w:val="001261AA"/>
    <w:rsid w:val="00160540"/>
    <w:rsid w:val="00192EEB"/>
    <w:rsid w:val="001A20FB"/>
    <w:rsid w:val="001A616D"/>
    <w:rsid w:val="001C1642"/>
    <w:rsid w:val="001D72AC"/>
    <w:rsid w:val="001D7F8A"/>
    <w:rsid w:val="001E3FEB"/>
    <w:rsid w:val="001E4A02"/>
    <w:rsid w:val="0021030C"/>
    <w:rsid w:val="00213877"/>
    <w:rsid w:val="00225A8C"/>
    <w:rsid w:val="00253C54"/>
    <w:rsid w:val="002659F1"/>
    <w:rsid w:val="00287E79"/>
    <w:rsid w:val="002928F9"/>
    <w:rsid w:val="002A5D07"/>
    <w:rsid w:val="002D3F03"/>
    <w:rsid w:val="002E0D40"/>
    <w:rsid w:val="002E5B0C"/>
    <w:rsid w:val="003016B7"/>
    <w:rsid w:val="00302ADC"/>
    <w:rsid w:val="00331CFF"/>
    <w:rsid w:val="003515AA"/>
    <w:rsid w:val="0037280E"/>
    <w:rsid w:val="00374106"/>
    <w:rsid w:val="003976D5"/>
    <w:rsid w:val="003B5A8F"/>
    <w:rsid w:val="003D6C68"/>
    <w:rsid w:val="004159D0"/>
    <w:rsid w:val="00431257"/>
    <w:rsid w:val="00490F0E"/>
    <w:rsid w:val="004F6C27"/>
    <w:rsid w:val="005212CA"/>
    <w:rsid w:val="005247B1"/>
    <w:rsid w:val="00543587"/>
    <w:rsid w:val="00543D5E"/>
    <w:rsid w:val="00556D66"/>
    <w:rsid w:val="00571F41"/>
    <w:rsid w:val="00593658"/>
    <w:rsid w:val="005E01B1"/>
    <w:rsid w:val="005E5D1F"/>
    <w:rsid w:val="00611D43"/>
    <w:rsid w:val="00612D48"/>
    <w:rsid w:val="006154C5"/>
    <w:rsid w:val="00616B45"/>
    <w:rsid w:val="00630D9B"/>
    <w:rsid w:val="00631953"/>
    <w:rsid w:val="006439EC"/>
    <w:rsid w:val="00663F1D"/>
    <w:rsid w:val="006B4590"/>
    <w:rsid w:val="006C340C"/>
    <w:rsid w:val="006D7B0B"/>
    <w:rsid w:val="00702759"/>
    <w:rsid w:val="0070347C"/>
    <w:rsid w:val="007176C1"/>
    <w:rsid w:val="00761C55"/>
    <w:rsid w:val="007E1E6E"/>
    <w:rsid w:val="007F55CB"/>
    <w:rsid w:val="00824724"/>
    <w:rsid w:val="00836FC3"/>
    <w:rsid w:val="00844750"/>
    <w:rsid w:val="0087396A"/>
    <w:rsid w:val="008918E4"/>
    <w:rsid w:val="008B44C4"/>
    <w:rsid w:val="008D2259"/>
    <w:rsid w:val="008E7FAE"/>
    <w:rsid w:val="0090119E"/>
    <w:rsid w:val="00911BF7"/>
    <w:rsid w:val="00913294"/>
    <w:rsid w:val="00930A8B"/>
    <w:rsid w:val="00977EC8"/>
    <w:rsid w:val="009967BD"/>
    <w:rsid w:val="009C17F5"/>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B24A63"/>
    <w:rsid w:val="00B32E2D"/>
    <w:rsid w:val="00B61990"/>
    <w:rsid w:val="00B76AA7"/>
    <w:rsid w:val="00B9009C"/>
    <w:rsid w:val="00BF0556"/>
    <w:rsid w:val="00C261F8"/>
    <w:rsid w:val="00C33100"/>
    <w:rsid w:val="00C75B95"/>
    <w:rsid w:val="00C80288"/>
    <w:rsid w:val="00C97F4B"/>
    <w:rsid w:val="00CA68D2"/>
    <w:rsid w:val="00CD1A71"/>
    <w:rsid w:val="00CD1FBB"/>
    <w:rsid w:val="00CD661A"/>
    <w:rsid w:val="00CE4082"/>
    <w:rsid w:val="00D016B5"/>
    <w:rsid w:val="00D034F1"/>
    <w:rsid w:val="00D223D6"/>
    <w:rsid w:val="00D27D5E"/>
    <w:rsid w:val="00D77945"/>
    <w:rsid w:val="00D91024"/>
    <w:rsid w:val="00DA2D82"/>
    <w:rsid w:val="00DA6121"/>
    <w:rsid w:val="00DC156C"/>
    <w:rsid w:val="00DC5D25"/>
    <w:rsid w:val="00DE6D90"/>
    <w:rsid w:val="00DF002F"/>
    <w:rsid w:val="00E0157E"/>
    <w:rsid w:val="00E0244D"/>
    <w:rsid w:val="00E11A7F"/>
    <w:rsid w:val="00E16642"/>
    <w:rsid w:val="00E274B0"/>
    <w:rsid w:val="00E36B3F"/>
    <w:rsid w:val="00E42D5E"/>
    <w:rsid w:val="00E81E94"/>
    <w:rsid w:val="00E82607"/>
    <w:rsid w:val="00E94CC2"/>
    <w:rsid w:val="00EA4517"/>
    <w:rsid w:val="00EB379F"/>
    <w:rsid w:val="00ED267C"/>
    <w:rsid w:val="00EE09CE"/>
    <w:rsid w:val="00F15752"/>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4276</Words>
  <Characters>23904</Characters>
  <Application>Microsoft Office Word</Application>
  <DocSecurity>4</DocSecurity>
  <Lines>346</Lines>
  <Paragraphs>45</Paragraphs>
  <ScaleCrop>false</ScaleCrop>
  <HeadingPairs>
    <vt:vector size="2" baseType="variant">
      <vt:variant>
        <vt:lpstr>Titre</vt:lpstr>
      </vt:variant>
      <vt:variant>
        <vt:i4>1</vt:i4>
      </vt:variant>
    </vt:vector>
  </HeadingPairs>
  <TitlesOfParts>
    <vt:vector size="1" baseType="lpstr">
      <vt:lpstr>CERD/C/SR.40938</vt:lpstr>
    </vt:vector>
  </TitlesOfParts>
  <Company>Corinne</Company>
  <LinksUpToDate>false</LinksUpToDate>
  <CharactersWithSpaces>28135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CERD/C/SR.40938</dc:title>
  <dc:subject/>
  <dc:creator>Vigny</dc:creator>
  <cp:keywords/>
  <dc:description/>
  <cp:lastModifiedBy>Pool</cp:lastModifiedBy>
  <cp:revision>2</cp:revision>
  <cp:lastPrinted>2012-02-09T12:48:00Z</cp:lastPrinted>
  <dcterms:created xsi:type="dcterms:W3CDTF">2012-03-01T14:02:00Z</dcterms:created>
  <dcterms:modified xsi:type="dcterms:W3CDTF">2012-03-01T14:02:00Z</dcterms:modified>
</cp:coreProperties>
</file>