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46436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230103    </w:t>
                  </w:r>
                  <w:r>
                    <w:t>0</w:t>
                  </w:r>
                  <w:r>
                    <w:rPr>
                      <w:lang w:val="en-US"/>
                    </w:rPr>
                    <w:t>40203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32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CAT/C/CR/29/5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23 December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  <w:sectPr w:rsidR="00000000">
          <w:headerReference w:type="even" r:id="rId8"/>
          <w:headerReference w:type="default" r:id="rId9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Двадцать девятая сессия</w:t>
      </w:r>
    </w:p>
    <w:p w:rsidR="00000000" w:rsidRDefault="00000000">
      <w:r>
        <w:t>11-22 ноября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Эстония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Эстонии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/16/</w:t>
      </w:r>
      <w:r>
        <w:rPr>
          <w:lang w:val="en-US"/>
        </w:rPr>
        <w:t>Add</w:t>
      </w:r>
      <w:r>
        <w:t>.9) на своих 534, 537 и 545</w:t>
      </w:r>
      <w:r>
        <w:noBreakHyphen/>
        <w:t>м заседаниях, состоявшихся 14, 15 и 21 ноября 2002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.534, 537 и 545), и принял следующие выводы и рекомендации.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первоначальный доклад Эстонии, хотя и выражает сожаление в связи с тем, что доклад, который ожидался 19 ноября 1992 года, был представлен с задержкой более чем в восемь лет.  Он отмечает, однако, что доклад включает в себя данные за период вплоть до 2001 года.  Комитет признает в этой связи трудности, с которыми столкнулось государство-участник на этапе своих политических и экономических переходных преобразований, и надеется, что в будущем оно будет в полном объеме выполнять свои обязательства по статье 19 Конвенции.</w:t>
      </w:r>
    </w:p>
    <w:p w:rsidR="00000000" w:rsidRDefault="00000000"/>
    <w:p w:rsidR="00000000" w:rsidRDefault="00000000">
      <w:r>
        <w:t>3.</w:t>
      </w:r>
      <w:r>
        <w:tab/>
        <w:t>Доклад, который касается главным образом правовых положений и не содержит подробной информации о практическом осуществлении Конвенции, а также о трудностях, которые возникли в этой области, не полностью соответствует руководящим принципам Комитета в отношении представления докладов.  В то же время Комитет принимает к сведению полученные от делегации обстоятельные ответы на свои вопросы.</w:t>
      </w:r>
    </w:p>
    <w:p w:rsidR="00000000" w:rsidRDefault="00000000">
      <w:pPr>
        <w:jc w:val="center"/>
        <w:rPr>
          <w:u w:val="single"/>
        </w:rPr>
      </w:pPr>
      <w:r>
        <w:br w:type="page"/>
        <w:t>В.</w:t>
      </w:r>
      <w:r>
        <w:tab/>
        <w:t>Позитивные аспекты</w:t>
      </w:r>
    </w:p>
    <w:p w:rsidR="00000000" w:rsidRDefault="00000000">
      <w:pPr>
        <w:pStyle w:val="11"/>
      </w:pPr>
    </w:p>
    <w:p w:rsidR="00000000" w:rsidRDefault="00000000">
      <w:r>
        <w:t>4.</w:t>
      </w:r>
      <w:r>
        <w:tab/>
        <w:t>Комитет отмечает следующие позитивные моменты:</w:t>
      </w:r>
    </w:p>
    <w:p w:rsidR="00000000" w:rsidRDefault="00000000"/>
    <w:p w:rsidR="00000000" w:rsidRDefault="00000000">
      <w:r>
        <w:tab/>
        <w:t>а)</w:t>
      </w:r>
      <w:r>
        <w:tab/>
        <w:t>создание должности канцлера юстиции, который выполняет функции омбудсмена;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отмена смертной казни в 1998 году;</w:t>
      </w:r>
    </w:p>
    <w:p w:rsidR="00000000" w:rsidRDefault="00000000"/>
    <w:p w:rsidR="00000000" w:rsidRDefault="00000000">
      <w:r>
        <w:tab/>
        <w:t>с)</w:t>
      </w:r>
      <w:r>
        <w:tab/>
        <w:t>возможность прямого применения в рамках Конституции определения пытки, содержащегося в статье 1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вступление в силу 1 сентября 2002 года нового Уголовного кодекса, который рассматривает пытку как уголовно наказуемое деяние и направлен на создание гибкой пенитенциарной системы на основе индивидуального подхода, что будет повышать вероятность реабилитации бывших заключенных за счет предоставления им возможности работать или учиться;</w:t>
      </w:r>
    </w:p>
    <w:p w:rsidR="00000000" w:rsidRDefault="00000000"/>
    <w:p w:rsidR="00000000" w:rsidRDefault="00000000">
      <w:r>
        <w:tab/>
        <w:t>е)</w:t>
      </w:r>
      <w:r>
        <w:tab/>
        <w:t>улучшение условий содержания в тюрьмах благодаря, в частности, отказу от использования специальных штрафных изоляторов, модернизации мест содержания под стражей и открытию новой тюрьмы в Тарту, которая будет отвечать общепризнанным международным стандартам.  Комитет также приветствует вступление в силу 1 декабря 2000 года Закона о местах заключения, который основывается на "Европейских пенитенциарных правилах", а также наделение канцлера юстиции и сотрудников Управления по охране здоровья полномочиями свободного доступа во все помещения в центрах содержания под стражей в соответствии с Правилами внутреннего распорядка пенитенциарных учреждений 2000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публикация докладов Европейского комитета по предупреждению пыток, а также ответов государства-участника, что позволяет всем заинтересованным сторонам проводить общие прения;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обязательство государства-участника продолжать практику опубликования заключительных замечаний договорных органов Организации Объединенных Наций, а также докладов, представляемых Эстонией таким органам, на вебсайте министерства иностранных дел;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ратификация государством-участником 30 января 2002 года Римского статута Международного уголовного суда;</w:t>
      </w:r>
    </w:p>
    <w:p w:rsidR="00000000" w:rsidRDefault="00000000">
      <w:r>
        <w:tab/>
        <w:t>i)</w:t>
      </w:r>
      <w:r>
        <w:tab/>
        <w:t>заверение государства-участника относительно того, что будет должным образом рассмотрен вопрос о возможной ратификации Факультативного протокола к Конвенции.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  <w:t>Проблемы, вызывающие обеспокоенность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5.</w:t>
      </w:r>
      <w:r>
        <w:tab/>
        <w:t>Обеспокоенность Комитета вызывают следующие моменты:</w:t>
      </w:r>
    </w:p>
    <w:p w:rsidR="00000000" w:rsidRDefault="00000000"/>
    <w:p w:rsidR="00000000" w:rsidRDefault="00000000">
      <w:r>
        <w:tab/>
        <w:t>а)</w:t>
      </w:r>
      <w:r>
        <w:tab/>
        <w:t>статья 1 Конвенции пока еще не применяется непосредственным образом магистратами, и в целом, хотя прямое применение международных договоров в области прав человека и является возможным в теории, на практике широкого распространения оно не получило;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содержащееся в статье 122 Уголовного кодекса определение пытки как "постоянного физического насилия или насилия, которым причиняется сильная боль", как представляется, не в полной мере соответствует статье 1 Конвенции.  Комитет отмечает, что, по мнению делегации, статья 122 предусматривает защиту как физического, так и психического здоровья, однако полагает, что такая формулировка статьи может приводить к ограничительным толкованиям, а также путанице;</w:t>
      </w:r>
    </w:p>
    <w:p w:rsidR="00000000" w:rsidRDefault="00000000"/>
    <w:p w:rsidR="00000000" w:rsidRDefault="00000000">
      <w:r>
        <w:tab/>
        <w:t>с)</w:t>
      </w:r>
      <w:r>
        <w:tab/>
        <w:t>в полицейских участках по</w:t>
      </w:r>
      <w:r>
        <w:noBreakHyphen/>
        <w:t>прежнему имеют место отдельные случаи жестокого обращения с задерживаемыми со стороны должностных лиц.  Хотя число проявлений насилия, включая сексуальное насилие, в отношениях между заключенными в местах содержания под стражей и между пациентами в психиатрических учреждениях сократилось, высокий риск подобных инцидентов все еще сохраняется.  По</w:t>
      </w:r>
      <w:r>
        <w:noBreakHyphen/>
        <w:t>прежнему вызывают обеспокоенность условия, которые существуют в старых полицейских центрах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нечетко оговорен момент, когда подозреваемое или задержанное лицо может получить доступ к услугам врача по своему усмотрению, если таковой вообще имеется.  В любом случае законом предусмотрены ограничения права доступа к адвокату и к лицу по своему усмотрению, которыми могут злоупотреблять сотрудники полиции.  В целом никаких конкретных временны</w:t>
      </w:r>
      <w:r>
        <w:rPr>
          <w:rFonts w:ascii="Tahoma" w:hAnsi="Tahoma" w:cs="Tahoma"/>
        </w:rPr>
        <w:t></w:t>
      </w:r>
      <w:r>
        <w:t>х сроков для осуществления прав лиц, содержащихся под стражей в полиции, не установлено.</w:t>
      </w:r>
    </w:p>
    <w:p w:rsidR="00000000" w:rsidRDefault="00000000"/>
    <w:p w:rsidR="00000000" w:rsidRDefault="00000000">
      <w:r>
        <w:tab/>
        <w:t>е)</w:t>
      </w:r>
      <w:r>
        <w:tab/>
        <w:t>в соответствии с эстонским законодательством незаконные иммигранты и лица, которым было отказано в убежище, могут содержаться в депортационных центрах вплоть до их высылки;  такие лица могут подвергаться задержанию в течение длительных сроков, когда их высылка не может быть осуществлена;</w:t>
      </w: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среди осужденных слишком высока доля граждан России и лиц без гражданства (эти две категории во многом совпадают);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по всей видимости, никакой конкретный орган не занимается сбором данных в местах содержания под стражей, будь то полицейских участках, тюрьмах или психиатрических учреждения.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включить в Уголовный кодекс определение преступления пытки, которое полностью и четко соответствует определению в статье 1 Конвенции, и обеспечить обстоятельную подготовку судей и адвокатов по вопросам содержания Конвенции, а также ее статуса во внутреннем законодательстве;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обеспечить подготовку сотрудников правоохранительных органов, работников судебной системы, медицинского и другого персонала, имеющих отношение к содержанию под стражей, задержанию, допросам и режиму обращения с заключенными или пациентами психиатрических учреждений, по вопросам, касающимся запрещения пыток, и предусмотреть в ходе их переаттестации проверку знания установленных Конвенцией требований и их послужного списка с точки зрения обращения с такими заключенным или пациентами.  Программы подготовки должны предполагать развитие навыков, необходимых для того, чтобы уметь определить последствия применения пыток;</w:t>
      </w:r>
    </w:p>
    <w:p w:rsidR="00000000" w:rsidRDefault="00000000"/>
    <w:p w:rsidR="00000000" w:rsidRDefault="00000000">
      <w:r>
        <w:tab/>
        <w:t>с)</w:t>
      </w:r>
      <w:r>
        <w:tab/>
        <w:t>обеспечить в местах содержания под стражей и психиатрических учреждениях строгий контроль за случаями проявления насилия в отношениях между заключенными и между пациентами, включая сексуальное насилие, в целях их предупреждения;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продолжить модернизацию всех мест содержания под стражей в целях обеспечения их соответствия международным стандартам;</w:t>
      </w:r>
    </w:p>
    <w:p w:rsidR="00000000" w:rsidRDefault="00000000"/>
    <w:p w:rsidR="00000000" w:rsidRDefault="00000000">
      <w:r>
        <w:tab/>
        <w:t>е)</w:t>
      </w:r>
      <w:r>
        <w:tab/>
        <w:t>укреплять предусмотренные в Уголовно-процессуальном кодексе гарантии против жестокого обращения и применения пыток и обеспечить, чтобы как в законодательном порядке, так и на практике лица, подвергающиеся содержанию под стражей в полиции и предварительному заключению, имели право на доступ к врачу по своему усмотрению, право уведомить какое-либо лицо по своему выбору о факте задержания, а также доступ к услугам адвоката.  Установленные законом исключения из этих прав должны быть сформулированы совершенно конкретно.  Лица, лишенные свободы, включая подозреваемых, должны быть незамедлительно уведомлены о своих правах на языке, который они понимают.  Право подозреваемого по уголовным делам быть представленным адвокатом следует распространить на свидетелей и лиц, которым еще не были предъявлены обвинения.  Государство-участник должно установить конкретные сроки с указанием момента времени, когда права каждого из задерживаемых лиц могут быть осуществлены и должны быть соблюдены;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разработать кодекс поведения для сотрудников полиции, следователей и всего другого персонала, имеющего отношение к содержанию под стражей задерживаемых лиц;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установить в отношении незаконных иммигрантов и лиц, которым отказано в предоставлении убежища, подкрепленные правовой санкцией конкретные сроки задержания в ожидании выполнения распоряжения о высылке;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всесторонне изучить и сообщить причины слишком высокой доли граждан России и лиц без гражданства среди осужденных;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рассмотреть возможность ратификации Конвенции о сокращении безгражданства 1961 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j)</w:t>
      </w:r>
      <w:r>
        <w:tab/>
        <w:t>создать механизм для сбора и анализа данных по вопросам, относящимся к Конвенции, в местах содержания под стражей и психиатрических учреждениях;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рассмотреть вопрос о том, чтобы сделать заявления в соответствии со статьями 21 и 22 Конвенции.</w:t>
      </w:r>
    </w:p>
    <w:p w:rsidR="00000000" w:rsidRDefault="00000000"/>
    <w:p w:rsidR="00000000" w:rsidRDefault="00000000">
      <w:r>
        <w:t>7.</w:t>
      </w:r>
      <w:r>
        <w:tab/>
        <w:t>Комитет рекомендует государству-участнику в своем следующем периодическом докладе, который будет рассматриваться как четвертый периодический доклад и должен быть представлен к 19 ноября 2004 года:</w:t>
      </w:r>
    </w:p>
    <w:p w:rsidR="00000000" w:rsidRDefault="00000000"/>
    <w:p w:rsidR="00000000" w:rsidRDefault="00000000">
      <w:r>
        <w:tab/>
        <w:t>а)</w:t>
      </w:r>
      <w:r>
        <w:tab/>
        <w:t>сообщить подробную информацию, касающуюся, в частности:  i)  точного мандата и результатов деятельности канцлера юстиции, а также сотрудников Управления по охране здоровья при посещении центров содержания под стражей;  ii)  результатов деятельности канцлера юстиции в плане разбирательства жалоб на жестокое обращение или применение пыток со стороны государственных должностных лиц;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разъяснить, каким образом на практике обеспечивается неизменная непредвзятость и объективность расследований по жалобам на жестокое обращение, поступающим от лиц, содержащихся под стражей в полиции;</w:t>
      </w:r>
    </w:p>
    <w:p w:rsidR="00000000" w:rsidRDefault="00000000"/>
    <w:p w:rsidR="00000000" w:rsidRDefault="00000000">
      <w:r>
        <w:tab/>
        <w:t>с)</w:t>
      </w:r>
      <w:r>
        <w:tab/>
        <w:t>представить статистические данные, дезагрегированные, в частности, по признаку пола, возраста, национальности и гражданства, относительно жалоб на применение пыток и жестокое обращение со стороны государственных должностных лиц, относительно преследований по факту подачи таких жалоб и относительно вынесенных уголовных наказаний и дисциплинарных взысканий.</w:t>
      </w:r>
    </w:p>
    <w:p w:rsidR="00000000" w:rsidRDefault="00000000"/>
    <w:p w:rsidR="00000000" w:rsidRDefault="00000000">
      <w:r>
        <w:t>8.</w:t>
      </w:r>
      <w:r>
        <w:tab/>
        <w:t>Комитет далее рекомендует государству-участнику  обеспечить широкое распространение в стране докладов, представляемых Эстонией в Комитет, выводов и рекомендаций Комитета, а также кратких отчетов о ходе их рассмотрения на соответствующих языках, включая эстонский и русский,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t>CAT/C/CR/29/5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t>CAT/C/CR/29/5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1564</Words>
  <Characters>8919</Characters>
  <Application>Microsoft Office Word</Application>
  <DocSecurity>4</DocSecurity>
  <Lines>74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0246436.doc</vt:lpstr>
    </vt:vector>
  </TitlesOfParts>
  <Company> </Company>
  <LinksUpToDate>false</LinksUpToDate>
  <CharactersWithSpaces>10953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0246436.doc</dc:title>
  <dc:subject>Муравьев</dc:subject>
  <dc:creator>АМир</dc:creator>
  <cp:keywords/>
  <dc:description/>
  <cp:lastModifiedBy>АМир</cp:lastModifiedBy>
  <cp:revision>3</cp:revision>
  <cp:lastPrinted>2003-02-04T09:41:00Z</cp:lastPrinted>
  <dcterms:created xsi:type="dcterms:W3CDTF">2003-02-04T09:40:00Z</dcterms:created>
  <dcterms:modified xsi:type="dcterms:W3CDTF">2003-02-04T09:41:00Z</dcterms:modified>
</cp:coreProperties>
</file>