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C175A6" w14:paraId="03A94961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12BA0F10" w14:textId="77777777" w:rsidR="006B3E27" w:rsidRPr="00C175A6" w:rsidRDefault="006B3E27" w:rsidP="009B025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before="120"/>
              <w:jc w:val="center"/>
              <w:rPr>
                <w:rFonts w:hint="cs"/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6E0810E" w14:textId="77777777" w:rsidR="006B3E27" w:rsidRPr="00C175A6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175A6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DC397F3" w14:textId="5CC85B30" w:rsidR="006B3E27" w:rsidRPr="00FA007E" w:rsidRDefault="00FA007E" w:rsidP="00FA007E">
            <w:pPr>
              <w:bidi w:val="0"/>
              <w:rPr>
                <w:szCs w:val="20"/>
              </w:rPr>
            </w:pPr>
            <w:r w:rsidRPr="009B0255">
              <w:rPr>
                <w:sz w:val="40"/>
                <w:szCs w:val="20"/>
              </w:rPr>
              <w:t>CCPR</w:t>
            </w:r>
            <w:r w:rsidRPr="009B0255">
              <w:rPr>
                <w:szCs w:val="20"/>
              </w:rPr>
              <w:t>/C/</w:t>
            </w:r>
            <w:r w:rsidRPr="002D0EC0">
              <w:rPr>
                <w:szCs w:val="20"/>
              </w:rPr>
              <w:t>134</w:t>
            </w:r>
            <w:r w:rsidRPr="009B0255">
              <w:rPr>
                <w:szCs w:val="20"/>
              </w:rPr>
              <w:t>/</w:t>
            </w:r>
            <w:r w:rsidRPr="002D0EC0">
              <w:rPr>
                <w:szCs w:val="20"/>
              </w:rPr>
              <w:t>3</w:t>
            </w:r>
          </w:p>
        </w:tc>
      </w:tr>
      <w:tr w:rsidR="006B3E27" w:rsidRPr="00C175A6" w14:paraId="09529483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070CAB5" w14:textId="77777777" w:rsidR="006B3E27" w:rsidRPr="00C175A6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C175A6">
              <w:rPr>
                <w:noProof/>
                <w:sz w:val="56"/>
                <w:szCs w:val="56"/>
              </w:rPr>
              <w:drawing>
                <wp:inline distT="0" distB="0" distL="0" distR="0" wp14:anchorId="75530C31" wp14:editId="0E07B5A8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21D4BA2" w14:textId="77777777" w:rsidR="006B3E27" w:rsidRPr="002D0EC0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2D0EC0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2CFC11E" w14:textId="6E0A30B6" w:rsidR="009B0255" w:rsidRDefault="009B0255" w:rsidP="009B0255">
            <w:pPr>
              <w:bidi w:val="0"/>
              <w:spacing w:before="240"/>
            </w:pPr>
            <w:r>
              <w:t>Dist</w:t>
            </w:r>
            <w:r w:rsidRPr="009B0255">
              <w:rPr>
                <w:color w:val="000000"/>
              </w:rPr>
              <w:t>r.:</w:t>
            </w:r>
            <w:r>
              <w:t xml:space="preserve"> General</w:t>
            </w:r>
          </w:p>
          <w:p w14:paraId="27308998" w14:textId="77777777" w:rsidR="009B0255" w:rsidRDefault="009B0255" w:rsidP="009B0255">
            <w:pPr>
              <w:bidi w:val="0"/>
            </w:pPr>
            <w:r w:rsidRPr="002D0EC0">
              <w:t>20</w:t>
            </w:r>
            <w:r w:rsidRPr="009977A4">
              <w:t xml:space="preserve"> May </w:t>
            </w:r>
            <w:r w:rsidRPr="002D0EC0">
              <w:t>2022</w:t>
            </w:r>
          </w:p>
          <w:p w14:paraId="0C1B6310" w14:textId="77777777" w:rsidR="009B0255" w:rsidRDefault="009B0255" w:rsidP="009B0255">
            <w:pPr>
              <w:bidi w:val="0"/>
            </w:pPr>
            <w:r>
              <w:t>Arabic</w:t>
            </w:r>
          </w:p>
          <w:p w14:paraId="48EB6370" w14:textId="396C41C6" w:rsidR="00FA007E" w:rsidRPr="00FA007E" w:rsidRDefault="009B0255" w:rsidP="009B0255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t>Origina</w:t>
            </w:r>
            <w:r w:rsidRPr="009B0255">
              <w:rPr>
                <w:color w:val="000000"/>
              </w:rPr>
              <w:t xml:space="preserve">l: </w:t>
            </w:r>
            <w:r>
              <w:t>English</w:t>
            </w:r>
          </w:p>
        </w:tc>
      </w:tr>
    </w:tbl>
    <w:p w14:paraId="6DFA3268" w14:textId="77777777" w:rsidR="009B0255" w:rsidRPr="002D0EC0" w:rsidRDefault="009B0255" w:rsidP="009B0255">
      <w:pPr>
        <w:pStyle w:val="SingleTxtGA"/>
        <w:spacing w:after="0"/>
        <w:ind w:left="0"/>
        <w:rPr>
          <w:b/>
          <w:bCs/>
          <w:sz w:val="26"/>
          <w:szCs w:val="26"/>
          <w:rtl/>
          <w:lang w:val="en-US"/>
        </w:rPr>
      </w:pPr>
      <w:r w:rsidRPr="002D0EC0">
        <w:rPr>
          <w:b/>
          <w:bCs/>
          <w:sz w:val="26"/>
          <w:szCs w:val="26"/>
          <w:rtl/>
          <w:lang w:val="en-US"/>
        </w:rPr>
        <w:t>اللجنة المعنية بحقوق الإنسان</w:t>
      </w:r>
    </w:p>
    <w:p w14:paraId="326CAE27" w14:textId="382EB744" w:rsidR="009B0255" w:rsidRPr="002D0EC0" w:rsidRDefault="009B0255" w:rsidP="009B0255">
      <w:pPr>
        <w:pStyle w:val="HChGA"/>
        <w:rPr>
          <w:rtl/>
        </w:rPr>
      </w:pPr>
      <w:r w:rsidRPr="002D0EC0">
        <w:rPr>
          <w:rtl/>
        </w:rPr>
        <w:tab/>
      </w:r>
      <w:r w:rsidRPr="002D0EC0">
        <w:rPr>
          <w:rtl/>
        </w:rPr>
        <w:tab/>
        <w:t>تقرير متابعة الملاحظات الختامية للجنة المعنية بحقوق الإنسان</w:t>
      </w:r>
      <w:r w:rsidRPr="002D0EC0">
        <w:rPr>
          <w:rStyle w:val="FootnoteReference"/>
          <w:sz w:val="22"/>
          <w:szCs w:val="22"/>
          <w:vertAlign w:val="baseline"/>
          <w:rtl/>
        </w:rPr>
        <w:footnoteReference w:customMarkFollows="1" w:id="1"/>
        <w:t>*</w:t>
      </w:r>
    </w:p>
    <w:p w14:paraId="0E61D714" w14:textId="4CF33145" w:rsidR="009B0255" w:rsidRPr="009B0255" w:rsidRDefault="009B0255" w:rsidP="009B0255">
      <w:pPr>
        <w:pStyle w:val="SingleTxtGA"/>
        <w:rPr>
          <w:rtl/>
          <w:lang w:val="en-US"/>
        </w:rPr>
      </w:pPr>
      <w:r w:rsidRPr="002D0EC0">
        <w:rPr>
          <w:rtl/>
          <w:lang w:val="en-US"/>
        </w:rPr>
        <w:t>1</w:t>
      </w:r>
      <w:r w:rsidRPr="009B0255">
        <w:rPr>
          <w:rtl/>
          <w:lang w:val="en-US"/>
        </w:rPr>
        <w:t>-</w:t>
      </w:r>
      <w:r w:rsidRPr="009B0255">
        <w:rPr>
          <w:rtl/>
          <w:lang w:val="en-US"/>
        </w:rPr>
        <w:tab/>
        <w:t xml:space="preserve">يجوز للجنة، وفقاً للفقرة </w:t>
      </w:r>
      <w:r w:rsidRPr="002D0EC0">
        <w:rPr>
          <w:rtl/>
          <w:lang w:val="en-US"/>
        </w:rPr>
        <w:t>4</w:t>
      </w:r>
      <w:r w:rsidRPr="009B0255">
        <w:rPr>
          <w:rtl/>
          <w:lang w:val="en-US"/>
        </w:rPr>
        <w:t xml:space="preserve"> من المادة </w:t>
      </w:r>
      <w:r w:rsidRPr="002D0EC0">
        <w:rPr>
          <w:rtl/>
          <w:lang w:val="en-US"/>
        </w:rPr>
        <w:t>40</w:t>
      </w:r>
      <w:r w:rsidRPr="009B0255">
        <w:rPr>
          <w:rtl/>
          <w:lang w:val="en-US"/>
        </w:rPr>
        <w:t xml:space="preserve"> من العهد، أن تُعِدَّ تقارير متابعة استناداً إلى مختلف </w:t>
      </w:r>
      <w:r w:rsidRPr="009B0255">
        <w:rPr>
          <w:spacing w:val="-4"/>
          <w:rtl/>
          <w:lang w:val="en-US"/>
        </w:rPr>
        <w:t>مواد العهد وأحكامه، لمساعدة الدول الأطراف على الوفاء بالتزاماتها المتعلقة بتقديم التقارير. وقد أُعدَّ هذا التقرير،</w:t>
      </w:r>
      <w:r w:rsidRPr="009B0255">
        <w:rPr>
          <w:rtl/>
          <w:lang w:val="en-US"/>
        </w:rPr>
        <w:t xml:space="preserve"> المؤلَّف من هذه الوثيقة وأربع إضافات</w:t>
      </w:r>
      <w:r w:rsidRPr="002D0EC0">
        <w:rPr>
          <w:rStyle w:val="FootnoteReference"/>
          <w:szCs w:val="22"/>
          <w:rtl/>
          <w:lang w:val="en-US"/>
        </w:rPr>
        <w:t>(</w:t>
      </w:r>
      <w:r w:rsidRPr="002D0EC0">
        <w:rPr>
          <w:rStyle w:val="FootnoteReference"/>
          <w:szCs w:val="22"/>
          <w:lang w:val="en-US"/>
        </w:rPr>
        <w:footnoteReference w:id="2"/>
      </w:r>
      <w:r w:rsidRPr="009B0255">
        <w:rPr>
          <w:color w:val="000000"/>
          <w:vertAlign w:val="superscript"/>
          <w:rtl/>
          <w:lang w:val="en-US"/>
        </w:rPr>
        <w:t>)</w:t>
      </w:r>
      <w:r w:rsidRPr="009B0255">
        <w:rPr>
          <w:color w:val="000000"/>
          <w:rtl/>
          <w:lang w:val="en-US"/>
        </w:rPr>
        <w:t xml:space="preserve">، </w:t>
      </w:r>
      <w:r w:rsidRPr="009B0255">
        <w:rPr>
          <w:rtl/>
          <w:lang w:val="en-US"/>
        </w:rPr>
        <w:t>عملاً بتلك المادة.</w:t>
      </w:r>
    </w:p>
    <w:p w14:paraId="22302A2A" w14:textId="25E20963" w:rsidR="009B0255" w:rsidRPr="009B0255" w:rsidRDefault="009B0255" w:rsidP="009B0255">
      <w:pPr>
        <w:pStyle w:val="SingleTxtGA"/>
        <w:rPr>
          <w:color w:val="000000"/>
          <w:rtl/>
          <w:lang w:val="en-US"/>
        </w:rPr>
      </w:pPr>
      <w:r w:rsidRPr="002D0EC0">
        <w:rPr>
          <w:rtl/>
          <w:lang w:val="en-US"/>
        </w:rPr>
        <w:t>2</w:t>
      </w:r>
      <w:r w:rsidRPr="009B0255">
        <w:rPr>
          <w:rtl/>
          <w:lang w:val="en-US"/>
        </w:rPr>
        <w:t>-</w:t>
      </w:r>
      <w:r w:rsidRPr="009B0255">
        <w:rPr>
          <w:rtl/>
          <w:lang w:val="en-US"/>
        </w:rPr>
        <w:tab/>
        <w:t xml:space="preserve">وتتضمن الإضافات موجزاتِ المعلومات التي تلقاها المقرر الخاص المعني بمتابعة الملاحظات الختامية، والتقييمات والمقررات التي اعتمدتها اللجنة في دورتها </w:t>
      </w:r>
      <w:r w:rsidRPr="002D0EC0">
        <w:rPr>
          <w:rtl/>
          <w:lang w:val="en-US"/>
        </w:rPr>
        <w:t>13</w:t>
      </w:r>
      <w:r w:rsidRPr="002D0EC0">
        <w:rPr>
          <w:color w:val="000000"/>
          <w:rtl/>
          <w:lang w:val="en-US"/>
        </w:rPr>
        <w:t>4</w:t>
      </w:r>
      <w:r w:rsidRPr="009B0255">
        <w:rPr>
          <w:color w:val="000000"/>
          <w:rtl/>
          <w:lang w:val="en-US"/>
        </w:rPr>
        <w:t xml:space="preserve">. </w:t>
      </w:r>
      <w:r w:rsidRPr="009B0255">
        <w:rPr>
          <w:rtl/>
          <w:lang w:val="en-US"/>
        </w:rPr>
        <w:t xml:space="preserve">وتُعرَض حالةُ متابعة الملاحظات الختامية التي اعتمدتها اللجنة منذ دورتها </w:t>
      </w:r>
      <w:r w:rsidRPr="002D0EC0">
        <w:rPr>
          <w:rtl/>
          <w:lang w:val="en-US"/>
        </w:rPr>
        <w:t>105</w:t>
      </w:r>
      <w:r w:rsidRPr="009B0255">
        <w:rPr>
          <w:rtl/>
          <w:lang w:val="en-US"/>
        </w:rPr>
        <w:t xml:space="preserve"> المعقودة في تموز/يوليه </w:t>
      </w:r>
      <w:r w:rsidRPr="002D0EC0">
        <w:rPr>
          <w:rtl/>
          <w:lang w:val="en-US"/>
        </w:rPr>
        <w:t>2012</w:t>
      </w:r>
      <w:r w:rsidRPr="009B0255">
        <w:rPr>
          <w:rtl/>
          <w:lang w:val="en-US"/>
        </w:rPr>
        <w:t xml:space="preserve"> في جدولٍ متاح على الصفحة الشبكية للجنة</w:t>
      </w:r>
      <w:r w:rsidRPr="002D0EC0">
        <w:rPr>
          <w:rStyle w:val="FootnoteReference"/>
          <w:szCs w:val="22"/>
          <w:rtl/>
          <w:lang w:val="en-US"/>
        </w:rPr>
        <w:t>(</w:t>
      </w:r>
      <w:r w:rsidRPr="002D0EC0">
        <w:rPr>
          <w:rStyle w:val="FootnoteReference"/>
          <w:szCs w:val="22"/>
          <w:lang w:val="en-US"/>
        </w:rPr>
        <w:footnoteReference w:id="3"/>
      </w:r>
      <w:r w:rsidRPr="009B0255">
        <w:rPr>
          <w:color w:val="000000"/>
          <w:vertAlign w:val="superscript"/>
          <w:rtl/>
          <w:lang w:val="en-US"/>
        </w:rPr>
        <w:t>)</w:t>
      </w:r>
      <w:r w:rsidRPr="009B0255">
        <w:rPr>
          <w:color w:val="000000"/>
          <w:rtl/>
          <w:lang w:val="en-US"/>
        </w:rPr>
        <w:t xml:space="preserve">. </w:t>
      </w:r>
      <w:r w:rsidRPr="009B0255">
        <w:rPr>
          <w:rtl/>
          <w:lang w:val="en-US"/>
        </w:rPr>
        <w:t>ويرد أدناه موجز لمعايير التقييم</w:t>
      </w:r>
      <w:r w:rsidRPr="002D0EC0">
        <w:rPr>
          <w:rStyle w:val="FootnoteReference"/>
          <w:szCs w:val="22"/>
          <w:rtl/>
          <w:lang w:val="en-US"/>
        </w:rPr>
        <w:t>(</w:t>
      </w:r>
      <w:r w:rsidRPr="002D0EC0">
        <w:rPr>
          <w:rStyle w:val="FootnoteReference"/>
          <w:szCs w:val="22"/>
          <w:lang w:val="en-US"/>
        </w:rPr>
        <w:footnoteReference w:id="4"/>
      </w:r>
      <w:r w:rsidRPr="009B0255">
        <w:rPr>
          <w:color w:val="000000"/>
          <w:vertAlign w:val="superscript"/>
          <w:rtl/>
          <w:lang w:val="en-US"/>
        </w:rPr>
        <w:t>)</w:t>
      </w:r>
      <w:r w:rsidRPr="009B0255">
        <w:rPr>
          <w:color w:val="000000"/>
          <w:rtl/>
          <w:lang w:val="en-US"/>
        </w:rPr>
        <w:t>.</w:t>
      </w:r>
    </w:p>
    <w:p w14:paraId="3251B528" w14:textId="2CCE514B" w:rsidR="009B0255" w:rsidRPr="009B0255" w:rsidRDefault="009B0255" w:rsidP="009B0255">
      <w:pPr>
        <w:pStyle w:val="SingleTxtGA"/>
        <w:ind w:left="1928" w:hanging="681"/>
        <w:rPr>
          <w:rtl/>
          <w:lang w:val="en-US"/>
        </w:rPr>
      </w:pPr>
      <w:r w:rsidRPr="009B0255">
        <w:rPr>
          <w:b/>
          <w:bCs/>
          <w:rtl/>
          <w:lang w:val="en-US"/>
        </w:rPr>
        <w:t>ألف-</w:t>
      </w:r>
      <w:r w:rsidRPr="009B0255">
        <w:rPr>
          <w:b/>
          <w:bCs/>
          <w:rtl/>
          <w:lang w:val="en-US"/>
        </w:rPr>
        <w:tab/>
        <w:t>ردٌ/إجراءٌ مُرضٍ إلى حد بعيد:</w:t>
      </w:r>
      <w:r w:rsidRPr="009B0255">
        <w:rPr>
          <w:rtl/>
          <w:lang w:val="en-US"/>
        </w:rPr>
        <w:t xml:space="preserve"> قدمت الدولة الطرف أدلة على اتخاذ إجراءات هامة لتنفيذ توصية اللجنة.</w:t>
      </w:r>
    </w:p>
    <w:p w14:paraId="039F85D1" w14:textId="77777777" w:rsidR="009B0255" w:rsidRPr="009B0255" w:rsidRDefault="009B0255" w:rsidP="009B0255">
      <w:pPr>
        <w:pStyle w:val="SingleTxtGA"/>
        <w:ind w:left="1928" w:hanging="681"/>
        <w:rPr>
          <w:rtl/>
          <w:lang w:val="en-US"/>
        </w:rPr>
      </w:pPr>
      <w:r w:rsidRPr="009B0255">
        <w:rPr>
          <w:b/>
          <w:bCs/>
          <w:rtl/>
          <w:lang w:val="en-US"/>
        </w:rPr>
        <w:t>باء-</w:t>
      </w:r>
      <w:r w:rsidRPr="009B0255">
        <w:rPr>
          <w:b/>
          <w:bCs/>
          <w:rtl/>
          <w:lang w:val="en-US"/>
        </w:rPr>
        <w:tab/>
        <w:t>ردٌ/إجراءٌ مُرضٍ جزئياً:</w:t>
      </w:r>
      <w:r w:rsidRPr="009B0255">
        <w:rPr>
          <w:rtl/>
          <w:lang w:val="en-US"/>
        </w:rPr>
        <w:t xml:space="preserve"> خطت الدولة الطرف خطوات لتنفيذ التوصية، لكن لا يزال يتعيّن عليها تقديم معلومات إضافية أو اتخاذ مزيد من الإجراءات.</w:t>
      </w:r>
    </w:p>
    <w:p w14:paraId="19DD64F1" w14:textId="77777777" w:rsidR="009B0255" w:rsidRPr="009B0255" w:rsidRDefault="009B0255" w:rsidP="009B0255">
      <w:pPr>
        <w:pStyle w:val="SingleTxtGA"/>
        <w:ind w:left="1928" w:hanging="681"/>
        <w:rPr>
          <w:rtl/>
          <w:lang w:val="en-US"/>
        </w:rPr>
      </w:pPr>
      <w:r w:rsidRPr="009B0255">
        <w:rPr>
          <w:b/>
          <w:bCs/>
          <w:rtl/>
          <w:lang w:val="en-US"/>
        </w:rPr>
        <w:t>جيم-</w:t>
      </w:r>
      <w:r w:rsidRPr="009B0255">
        <w:rPr>
          <w:b/>
          <w:bCs/>
          <w:rtl/>
          <w:lang w:val="en-US"/>
        </w:rPr>
        <w:tab/>
        <w:t>ردٌّ/إجراءٌ غير مُرضٍ:</w:t>
      </w:r>
      <w:r w:rsidRPr="009B0255">
        <w:rPr>
          <w:rtl/>
          <w:lang w:val="en-US"/>
        </w:rPr>
        <w:t xml:space="preserve"> ورد ردٌّ، لكن الإجراءات التي اتخذتها الدولة الطرف أو المعلومات التي قدمتها هي إما غير ملائمة أو لا تفضي إلى تنفيذ التوصية.</w:t>
      </w:r>
    </w:p>
    <w:p w14:paraId="5D762600" w14:textId="77777777" w:rsidR="009B0255" w:rsidRPr="009B0255" w:rsidRDefault="009B0255" w:rsidP="009B0255">
      <w:pPr>
        <w:pStyle w:val="SingleTxtGA"/>
        <w:ind w:left="1928" w:hanging="681"/>
        <w:rPr>
          <w:rtl/>
          <w:lang w:val="en-US"/>
        </w:rPr>
      </w:pPr>
      <w:r w:rsidRPr="009B0255">
        <w:rPr>
          <w:b/>
          <w:bCs/>
          <w:rtl/>
          <w:lang w:val="en-US"/>
        </w:rPr>
        <w:t>دال-</w:t>
      </w:r>
      <w:r w:rsidRPr="009B0255">
        <w:rPr>
          <w:b/>
          <w:bCs/>
          <w:rtl/>
          <w:lang w:val="en-US"/>
        </w:rPr>
        <w:tab/>
        <w:t>عدم التعاون مع اللجنة:</w:t>
      </w:r>
      <w:r w:rsidRPr="009B0255">
        <w:rPr>
          <w:rtl/>
          <w:lang w:val="en-US"/>
        </w:rPr>
        <w:t xml:space="preserve"> لم يرد أي تقرير متابعة بعد توجيه رسالة (رسائل) تذكير.</w:t>
      </w:r>
    </w:p>
    <w:p w14:paraId="40180A61" w14:textId="189CAD89" w:rsidR="009079A4" w:rsidRPr="009B0255" w:rsidRDefault="009B0255" w:rsidP="009B0255">
      <w:pPr>
        <w:pStyle w:val="SingleTxtGA"/>
        <w:ind w:left="1928" w:hanging="681"/>
        <w:rPr>
          <w:b/>
          <w:bCs/>
          <w:rtl/>
          <w:lang w:val="en-US"/>
        </w:rPr>
      </w:pPr>
      <w:r w:rsidRPr="009B0255">
        <w:rPr>
          <w:b/>
          <w:bCs/>
          <w:rtl/>
          <w:lang w:val="en-US"/>
        </w:rPr>
        <w:t>هاء-</w:t>
      </w:r>
      <w:r w:rsidRPr="009B0255">
        <w:rPr>
          <w:b/>
          <w:bCs/>
          <w:rtl/>
          <w:lang w:val="en-US"/>
        </w:rPr>
        <w:tab/>
        <w:t>المعلومات المقدمة أو التدابير المتخذة تتنافى مع التوصية أو تنم عن رفضها.</w:t>
      </w:r>
    </w:p>
    <w:p w14:paraId="3C18FF64" w14:textId="260A713A" w:rsidR="009B0255" w:rsidRPr="009B0255" w:rsidRDefault="009B0255" w:rsidP="009B0255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9B0255" w:rsidRPr="009B0255" w:rsidSect="00FA007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C6ED3D" w14:textId="77777777" w:rsidR="00355C34" w:rsidRPr="002901D9" w:rsidRDefault="00355C34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90BDCF3" w14:textId="77777777" w:rsidR="00355C34" w:rsidRDefault="00355C34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E7808A" w14:textId="278ECBF6" w:rsidR="009079A4" w:rsidRPr="009079A4" w:rsidRDefault="009079A4" w:rsidP="009079A4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GE.22-07665</w:t>
    </w:r>
    <w:r>
      <w:rPr>
        <w:lang w:val="en-US"/>
      </w:rPr>
      <w:tab/>
    </w:r>
    <w:r w:rsidRPr="009079A4">
      <w:rPr>
        <w:b/>
        <w:sz w:val="18"/>
        <w:lang w:val="en-US"/>
      </w:rPr>
      <w:fldChar w:fldCharType="begin"/>
    </w:r>
    <w:r w:rsidRPr="009079A4">
      <w:rPr>
        <w:b/>
        <w:sz w:val="18"/>
        <w:lang w:val="en-US"/>
      </w:rPr>
      <w:instrText xml:space="preserve"> PAGE  \* MERGEFORMAT </w:instrText>
    </w:r>
    <w:r w:rsidRPr="009079A4">
      <w:rPr>
        <w:b/>
        <w:sz w:val="18"/>
        <w:lang w:val="en-US"/>
      </w:rPr>
      <w:fldChar w:fldCharType="separate"/>
    </w:r>
    <w:r w:rsidRPr="009079A4">
      <w:rPr>
        <w:b/>
        <w:noProof/>
        <w:sz w:val="18"/>
        <w:lang w:val="en-US"/>
      </w:rPr>
      <w:t>2</w:t>
    </w:r>
    <w:r w:rsidRPr="009079A4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D0295E" w14:textId="19A4ACCE" w:rsidR="006959B0" w:rsidRPr="009079A4" w:rsidRDefault="009079A4" w:rsidP="009079A4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GE.22-07665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66A93" w14:textId="7050CC0F" w:rsidR="00DE50B1" w:rsidRPr="009079A4" w:rsidRDefault="009079A4" w:rsidP="009079A4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7EB1E3C6" wp14:editId="5FD56AF5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22-07665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69A03201" wp14:editId="3201CE96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D09944" w14:textId="77777777" w:rsidR="00355C34" w:rsidRPr="008A49D2" w:rsidRDefault="00355C34" w:rsidP="008A49D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409CD5F9" w14:textId="77777777" w:rsidR="00355C34" w:rsidRDefault="00355C34" w:rsidP="00656392">
      <w:pPr>
        <w:spacing w:line="240" w:lineRule="auto"/>
      </w:pPr>
      <w:r>
        <w:continuationSeparator/>
      </w:r>
    </w:p>
  </w:footnote>
  <w:footnote w:id="1">
    <w:p w14:paraId="73398CCF" w14:textId="4E9D9EB9" w:rsidR="009B0255" w:rsidRPr="009B0255" w:rsidRDefault="009B0255" w:rsidP="009B0255">
      <w:pPr>
        <w:pStyle w:val="FootnoteText1"/>
        <w:rPr>
          <w:rFonts w:hint="cs"/>
          <w:rtl/>
        </w:rPr>
      </w:pPr>
      <w:r>
        <w:rPr>
          <w:rtl/>
        </w:rPr>
        <w:t>*</w:t>
      </w:r>
      <w:r>
        <w:rPr>
          <w:rtl/>
        </w:rPr>
        <w:tab/>
      </w:r>
      <w:r w:rsidRPr="009B0255">
        <w:rPr>
          <w:rtl/>
        </w:rPr>
        <w:t xml:space="preserve">اعتمدته اللجنة في دورتها </w:t>
      </w:r>
      <w:r w:rsidRPr="002D0EC0">
        <w:rPr>
          <w:rtl/>
        </w:rPr>
        <w:t>134</w:t>
      </w:r>
      <w:r w:rsidRPr="009B0255">
        <w:rPr>
          <w:rtl/>
        </w:rPr>
        <w:t xml:space="preserve"> (</w:t>
      </w:r>
      <w:r w:rsidRPr="002D0EC0">
        <w:rPr>
          <w:rtl/>
        </w:rPr>
        <w:t>28</w:t>
      </w:r>
      <w:r w:rsidRPr="009B0255">
        <w:rPr>
          <w:rtl/>
        </w:rPr>
        <w:t xml:space="preserve"> شباط/فبراير - </w:t>
      </w:r>
      <w:r w:rsidRPr="002D0EC0">
        <w:rPr>
          <w:rtl/>
        </w:rPr>
        <w:t>25</w:t>
      </w:r>
      <w:r w:rsidRPr="009B0255">
        <w:rPr>
          <w:rtl/>
        </w:rPr>
        <w:t xml:space="preserve"> آذار/مارس </w:t>
      </w:r>
      <w:r w:rsidRPr="002D0EC0">
        <w:rPr>
          <w:rtl/>
        </w:rPr>
        <w:t>2022</w:t>
      </w:r>
      <w:r w:rsidR="001A2C84">
        <w:rPr>
          <w:rFonts w:hint="cs"/>
          <w:color w:val="000000"/>
          <w:rtl/>
        </w:rPr>
        <w:t>)</w:t>
      </w:r>
      <w:r w:rsidRPr="009B0255">
        <w:rPr>
          <w:color w:val="000000"/>
          <w:rtl/>
        </w:rPr>
        <w:t>.</w:t>
      </w:r>
    </w:p>
  </w:footnote>
  <w:footnote w:id="2">
    <w:p w14:paraId="28B601CE" w14:textId="77777777" w:rsidR="009B0255" w:rsidRPr="009B0255" w:rsidRDefault="009B0255" w:rsidP="009B0255">
      <w:pPr>
        <w:pStyle w:val="FootnoteText1"/>
        <w:rPr>
          <w:rFonts w:hint="cs"/>
          <w:rtl/>
        </w:rPr>
      </w:pPr>
      <w:r w:rsidRPr="009B0255">
        <w:rPr>
          <w:rtl/>
        </w:rPr>
        <w:t>(</w:t>
      </w:r>
      <w:r w:rsidRPr="002D0EC0">
        <w:rPr>
          <w:rStyle w:val="FootnoteReference"/>
          <w:vertAlign w:val="baseline"/>
        </w:rPr>
        <w:footnoteRef/>
      </w:r>
      <w:r w:rsidRPr="009B0255">
        <w:rPr>
          <w:rtl/>
        </w:rPr>
        <w:t>)</w:t>
      </w:r>
      <w:r>
        <w:tab/>
      </w:r>
      <w:hyperlink r:id="rId1" w:history="1">
        <w:r w:rsidRPr="009B0255">
          <w:rPr>
            <w:rStyle w:val="Hyperlink"/>
            <w:lang w:val="en-AU"/>
          </w:rPr>
          <w:t>CCPR/C/</w:t>
        </w:r>
        <w:r w:rsidRPr="002D0EC0">
          <w:rPr>
            <w:rStyle w:val="Hyperlink"/>
            <w:lang w:val="en-AU"/>
          </w:rPr>
          <w:t>134</w:t>
        </w:r>
        <w:r w:rsidRPr="009B0255">
          <w:rPr>
            <w:rStyle w:val="Hyperlink"/>
            <w:lang w:val="en-AU"/>
          </w:rPr>
          <w:t>/</w:t>
        </w:r>
        <w:r w:rsidRPr="002D0EC0">
          <w:rPr>
            <w:rStyle w:val="Hyperlink"/>
            <w:lang w:val="en-AU"/>
          </w:rPr>
          <w:t>3</w:t>
        </w:r>
        <w:r w:rsidRPr="009B0255">
          <w:rPr>
            <w:rStyle w:val="Hyperlink"/>
            <w:lang w:val="en-AU"/>
          </w:rPr>
          <w:t>/Add.</w:t>
        </w:r>
        <w:r w:rsidRPr="002D0EC0">
          <w:rPr>
            <w:rStyle w:val="Hyperlink"/>
            <w:lang w:val="en-AU"/>
          </w:rPr>
          <w:t>1</w:t>
        </w:r>
      </w:hyperlink>
      <w:r w:rsidRPr="009B0255">
        <w:rPr>
          <w:rtl/>
        </w:rPr>
        <w:t>، و</w:t>
      </w:r>
      <w:hyperlink r:id="rId2" w:history="1">
        <w:r w:rsidRPr="009B0255">
          <w:rPr>
            <w:rStyle w:val="Hyperlink"/>
            <w:lang w:val="en-AU"/>
          </w:rPr>
          <w:t>CCPR/C/</w:t>
        </w:r>
        <w:r w:rsidRPr="002D0EC0">
          <w:rPr>
            <w:rStyle w:val="Hyperlink"/>
            <w:lang w:val="en-AU"/>
          </w:rPr>
          <w:t>134</w:t>
        </w:r>
        <w:r w:rsidRPr="009B0255">
          <w:rPr>
            <w:rStyle w:val="Hyperlink"/>
            <w:lang w:val="en-AU"/>
          </w:rPr>
          <w:t>/</w:t>
        </w:r>
        <w:r w:rsidRPr="002D0EC0">
          <w:rPr>
            <w:rStyle w:val="Hyperlink"/>
            <w:lang w:val="en-AU"/>
          </w:rPr>
          <w:t>3</w:t>
        </w:r>
        <w:r w:rsidRPr="009B0255">
          <w:rPr>
            <w:rStyle w:val="Hyperlink"/>
            <w:lang w:val="en-AU"/>
          </w:rPr>
          <w:t>/Add.</w:t>
        </w:r>
        <w:r w:rsidRPr="002D0EC0">
          <w:rPr>
            <w:rStyle w:val="Hyperlink"/>
            <w:lang w:val="en-AU"/>
          </w:rPr>
          <w:t>2</w:t>
        </w:r>
      </w:hyperlink>
      <w:r w:rsidRPr="009B0255">
        <w:rPr>
          <w:rtl/>
        </w:rPr>
        <w:t>، و</w:t>
      </w:r>
      <w:hyperlink r:id="rId3" w:history="1">
        <w:r w:rsidRPr="009B0255">
          <w:rPr>
            <w:rStyle w:val="Hyperlink"/>
            <w:lang w:val="en-AU"/>
          </w:rPr>
          <w:t>CCPR/C/</w:t>
        </w:r>
        <w:r w:rsidRPr="002D0EC0">
          <w:rPr>
            <w:rStyle w:val="Hyperlink"/>
            <w:lang w:val="en-AU"/>
          </w:rPr>
          <w:t>134</w:t>
        </w:r>
        <w:r w:rsidRPr="009B0255">
          <w:rPr>
            <w:rStyle w:val="Hyperlink"/>
            <w:lang w:val="en-AU"/>
          </w:rPr>
          <w:t>/</w:t>
        </w:r>
        <w:r w:rsidRPr="002D0EC0">
          <w:rPr>
            <w:rStyle w:val="Hyperlink"/>
            <w:lang w:val="en-AU"/>
          </w:rPr>
          <w:t>3</w:t>
        </w:r>
        <w:r w:rsidRPr="009B0255">
          <w:rPr>
            <w:rStyle w:val="Hyperlink"/>
            <w:lang w:val="en-AU"/>
          </w:rPr>
          <w:t>/Add.</w:t>
        </w:r>
        <w:r w:rsidRPr="002D0EC0">
          <w:rPr>
            <w:rStyle w:val="Hyperlink"/>
            <w:lang w:val="en-AU"/>
          </w:rPr>
          <w:t>3</w:t>
        </w:r>
      </w:hyperlink>
      <w:r w:rsidRPr="009B0255">
        <w:rPr>
          <w:rtl/>
        </w:rPr>
        <w:t>، و</w:t>
      </w:r>
      <w:hyperlink r:id="rId4" w:history="1">
        <w:r w:rsidRPr="009B0255">
          <w:rPr>
            <w:rStyle w:val="Hyperlink"/>
            <w:lang w:val="en-AU"/>
          </w:rPr>
          <w:t>CCPR/C/</w:t>
        </w:r>
        <w:r w:rsidRPr="002D0EC0">
          <w:rPr>
            <w:rStyle w:val="Hyperlink"/>
            <w:lang w:val="en-AU"/>
          </w:rPr>
          <w:t>134</w:t>
        </w:r>
        <w:r w:rsidRPr="009B0255">
          <w:rPr>
            <w:rStyle w:val="Hyperlink"/>
            <w:lang w:val="en-AU"/>
          </w:rPr>
          <w:t>/</w:t>
        </w:r>
        <w:r w:rsidRPr="002D0EC0">
          <w:rPr>
            <w:rStyle w:val="Hyperlink"/>
            <w:lang w:val="en-AU"/>
          </w:rPr>
          <w:t>3</w:t>
        </w:r>
        <w:r w:rsidRPr="009B0255">
          <w:rPr>
            <w:rStyle w:val="Hyperlink"/>
            <w:lang w:val="en-AU"/>
          </w:rPr>
          <w:t>/Add.</w:t>
        </w:r>
        <w:r w:rsidRPr="002D0EC0">
          <w:rPr>
            <w:rStyle w:val="Hyperlink"/>
            <w:lang w:val="en-AU"/>
          </w:rPr>
          <w:t>4</w:t>
        </w:r>
      </w:hyperlink>
      <w:r w:rsidRPr="009B0255">
        <w:rPr>
          <w:color w:val="000000"/>
          <w:rtl/>
        </w:rPr>
        <w:t>)</w:t>
      </w:r>
      <w:r w:rsidRPr="009B0255">
        <w:rPr>
          <w:color w:val="000000"/>
          <w:rtl/>
        </w:rPr>
        <w:t xml:space="preserve">. </w:t>
      </w:r>
    </w:p>
  </w:footnote>
  <w:footnote w:id="3">
    <w:p w14:paraId="3567B970" w14:textId="4FA05E5C" w:rsidR="009B0255" w:rsidRPr="009B0255" w:rsidRDefault="009B0255" w:rsidP="009B0255">
      <w:pPr>
        <w:pStyle w:val="FootnoteText1"/>
        <w:rPr>
          <w:rFonts w:hint="cs"/>
          <w:rtl/>
        </w:rPr>
      </w:pPr>
      <w:r w:rsidRPr="009B0255">
        <w:rPr>
          <w:rtl/>
        </w:rPr>
        <w:t>(</w:t>
      </w:r>
      <w:r w:rsidRPr="002D0EC0">
        <w:rPr>
          <w:rStyle w:val="FootnoteReference"/>
          <w:vertAlign w:val="baseline"/>
        </w:rPr>
        <w:footnoteRef/>
      </w:r>
      <w:r w:rsidRPr="009B0255">
        <w:rPr>
          <w:rtl/>
        </w:rPr>
        <w:t>)</w:t>
      </w:r>
      <w:r>
        <w:tab/>
      </w:r>
      <w:hyperlink r:id="rId5" w:history="1">
        <w:r w:rsidRPr="009B0255">
          <w:rPr>
            <w:rStyle w:val="Hyperlink"/>
            <w:lang w:val="en-AU"/>
          </w:rPr>
          <w:t>https://tbinternet.ohchr.org/_layouts/15/treatybodyexternal/Download.aspx?symbolno=</w:t>
        </w:r>
        <w:r w:rsidRPr="009B0255">
          <w:rPr>
            <w:rStyle w:val="Hyperlink"/>
            <w:lang w:val="en-AU"/>
          </w:rPr>
          <w:br/>
          <w:t>INT%2fCCPR%2fUCS%2f134%2f33812&amp;Lang=</w:t>
        </w:r>
        <w:proofErr w:type="spellStart"/>
        <w:r w:rsidRPr="009B0255">
          <w:rPr>
            <w:rStyle w:val="Hyperlink"/>
            <w:lang w:val="en-AU"/>
          </w:rPr>
          <w:t>en</w:t>
        </w:r>
        <w:proofErr w:type="spellEnd"/>
      </w:hyperlink>
      <w:r w:rsidRPr="009B0255">
        <w:rPr>
          <w:color w:val="000000"/>
          <w:rtl/>
        </w:rPr>
        <w:t>.</w:t>
      </w:r>
    </w:p>
  </w:footnote>
  <w:footnote w:id="4">
    <w:p w14:paraId="6B8ED7BB" w14:textId="77777777" w:rsidR="009B0255" w:rsidRPr="009B0255" w:rsidRDefault="009B0255" w:rsidP="009B0255">
      <w:pPr>
        <w:pStyle w:val="FootnoteText1"/>
        <w:rPr>
          <w:rFonts w:hint="cs"/>
          <w:rtl/>
        </w:rPr>
      </w:pPr>
      <w:r w:rsidRPr="009B0255">
        <w:rPr>
          <w:rtl/>
        </w:rPr>
        <w:t>(</w:t>
      </w:r>
      <w:r w:rsidRPr="002D0EC0">
        <w:rPr>
          <w:rStyle w:val="FootnoteReference"/>
          <w:vertAlign w:val="baseline"/>
        </w:rPr>
        <w:footnoteRef/>
      </w:r>
      <w:r w:rsidRPr="009B0255">
        <w:rPr>
          <w:rtl/>
        </w:rPr>
        <w:t>)</w:t>
      </w:r>
      <w:r>
        <w:tab/>
      </w:r>
      <w:r w:rsidRPr="009B0255">
        <w:rPr>
          <w:rtl/>
        </w:rPr>
        <w:t xml:space="preserve">ترد معايير التقييم الكاملة في الفقرة </w:t>
      </w:r>
      <w:r w:rsidRPr="002D0EC0">
        <w:rPr>
          <w:rtl/>
        </w:rPr>
        <w:t>21</w:t>
      </w:r>
      <w:r w:rsidRPr="009B0255">
        <w:rPr>
          <w:rtl/>
        </w:rPr>
        <w:t xml:space="preserve"> من الوثيقة </w:t>
      </w:r>
      <w:hyperlink r:id="rId6" w:history="1">
        <w:r w:rsidRPr="009B0255">
          <w:rPr>
            <w:rStyle w:val="Hyperlink"/>
            <w:lang w:val="en-AU"/>
          </w:rPr>
          <w:t>CCPR/C/</w:t>
        </w:r>
        <w:r w:rsidRPr="002D0EC0">
          <w:rPr>
            <w:rStyle w:val="Hyperlink"/>
            <w:lang w:val="en-AU"/>
          </w:rPr>
          <w:t>161</w:t>
        </w:r>
      </w:hyperlink>
      <w:r w:rsidRPr="009B0255">
        <w:rPr>
          <w:color w:val="000000"/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50447" w14:textId="3FED1028" w:rsidR="009079A4" w:rsidRPr="009079A4" w:rsidRDefault="009079A4" w:rsidP="009079A4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D0EC0">
      <w:t>CCPR/C/134/3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0A3F1" w14:textId="6539BC0F" w:rsidR="009079A4" w:rsidRPr="009079A4" w:rsidRDefault="009079A4" w:rsidP="009079A4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D0EC0">
      <w:t>CCPR/C/134/3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C34"/>
    <w:rsid w:val="000076D5"/>
    <w:rsid w:val="00043663"/>
    <w:rsid w:val="000437B8"/>
    <w:rsid w:val="000505CF"/>
    <w:rsid w:val="000D701C"/>
    <w:rsid w:val="000E2A71"/>
    <w:rsid w:val="00145577"/>
    <w:rsid w:val="00160263"/>
    <w:rsid w:val="00181F96"/>
    <w:rsid w:val="001872B1"/>
    <w:rsid w:val="00194940"/>
    <w:rsid w:val="001A1371"/>
    <w:rsid w:val="001A2C84"/>
    <w:rsid w:val="001B043F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2D0EC0"/>
    <w:rsid w:val="003068BC"/>
    <w:rsid w:val="003260FF"/>
    <w:rsid w:val="00343D95"/>
    <w:rsid w:val="00355C34"/>
    <w:rsid w:val="00363A18"/>
    <w:rsid w:val="00374341"/>
    <w:rsid w:val="003D1062"/>
    <w:rsid w:val="00402051"/>
    <w:rsid w:val="00420D7B"/>
    <w:rsid w:val="00450B21"/>
    <w:rsid w:val="00453B63"/>
    <w:rsid w:val="00455780"/>
    <w:rsid w:val="0046323F"/>
    <w:rsid w:val="004B0A1C"/>
    <w:rsid w:val="004B27E0"/>
    <w:rsid w:val="004D298E"/>
    <w:rsid w:val="005044B3"/>
    <w:rsid w:val="00517BC9"/>
    <w:rsid w:val="0054472E"/>
    <w:rsid w:val="005662A9"/>
    <w:rsid w:val="005827D4"/>
    <w:rsid w:val="0058508B"/>
    <w:rsid w:val="0059622A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73A"/>
    <w:rsid w:val="00617024"/>
    <w:rsid w:val="00621120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717FB3"/>
    <w:rsid w:val="00730446"/>
    <w:rsid w:val="00733704"/>
    <w:rsid w:val="0078071A"/>
    <w:rsid w:val="00787022"/>
    <w:rsid w:val="00787E1E"/>
    <w:rsid w:val="00852A9A"/>
    <w:rsid w:val="008A49D2"/>
    <w:rsid w:val="008F49E1"/>
    <w:rsid w:val="0090370F"/>
    <w:rsid w:val="009079A4"/>
    <w:rsid w:val="009269D2"/>
    <w:rsid w:val="00942135"/>
    <w:rsid w:val="009521B0"/>
    <w:rsid w:val="00957437"/>
    <w:rsid w:val="00982139"/>
    <w:rsid w:val="009867A8"/>
    <w:rsid w:val="00991F44"/>
    <w:rsid w:val="00996849"/>
    <w:rsid w:val="009A0CFB"/>
    <w:rsid w:val="009A7E9F"/>
    <w:rsid w:val="009B0255"/>
    <w:rsid w:val="009C17EC"/>
    <w:rsid w:val="009E5018"/>
    <w:rsid w:val="00A03700"/>
    <w:rsid w:val="00A053F2"/>
    <w:rsid w:val="00A12B37"/>
    <w:rsid w:val="00A54828"/>
    <w:rsid w:val="00A97E1F"/>
    <w:rsid w:val="00AB512E"/>
    <w:rsid w:val="00AB6758"/>
    <w:rsid w:val="00AB727F"/>
    <w:rsid w:val="00B13763"/>
    <w:rsid w:val="00B477A4"/>
    <w:rsid w:val="00B54045"/>
    <w:rsid w:val="00B63ADD"/>
    <w:rsid w:val="00BB09A0"/>
    <w:rsid w:val="00C175A6"/>
    <w:rsid w:val="00C41DCF"/>
    <w:rsid w:val="00C42AF7"/>
    <w:rsid w:val="00C438D7"/>
    <w:rsid w:val="00C62C20"/>
    <w:rsid w:val="00C81B50"/>
    <w:rsid w:val="00C902EF"/>
    <w:rsid w:val="00CB0011"/>
    <w:rsid w:val="00CB6622"/>
    <w:rsid w:val="00CD1801"/>
    <w:rsid w:val="00CF56F9"/>
    <w:rsid w:val="00CF65C6"/>
    <w:rsid w:val="00D00A89"/>
    <w:rsid w:val="00D10EF1"/>
    <w:rsid w:val="00D42810"/>
    <w:rsid w:val="00D60DD5"/>
    <w:rsid w:val="00D914A7"/>
    <w:rsid w:val="00DC4D4B"/>
    <w:rsid w:val="00DD13C3"/>
    <w:rsid w:val="00DD596E"/>
    <w:rsid w:val="00DD621E"/>
    <w:rsid w:val="00DE50B1"/>
    <w:rsid w:val="00DF0138"/>
    <w:rsid w:val="00DF0575"/>
    <w:rsid w:val="00E2228E"/>
    <w:rsid w:val="00E70E04"/>
    <w:rsid w:val="00E77E6C"/>
    <w:rsid w:val="00E83ED5"/>
    <w:rsid w:val="00EC05A7"/>
    <w:rsid w:val="00EC4B6B"/>
    <w:rsid w:val="00EC68A5"/>
    <w:rsid w:val="00ED7442"/>
    <w:rsid w:val="00EF1EE5"/>
    <w:rsid w:val="00EF5C43"/>
    <w:rsid w:val="00F10DAB"/>
    <w:rsid w:val="00F46D42"/>
    <w:rsid w:val="00F763B4"/>
    <w:rsid w:val="00F900C3"/>
    <w:rsid w:val="00FA007E"/>
    <w:rsid w:val="00FC6EDD"/>
    <w:rsid w:val="00FD46E2"/>
    <w:rsid w:val="00FE0ABC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  <w14:docId w14:val="44DC6DE8"/>
  <w15:docId w15:val="{AE6138CF-EC4B-4AFC-BEAF-D5F7CD082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120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621120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621120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621120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621120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621120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621120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621120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621120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621120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621120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621120"/>
    <w:rPr>
      <w:rFonts w:ascii="Times New Roman" w:eastAsia="PMingLiU" w:hAnsi="Times New Roman" w:cs="Simplified Arabic"/>
      <w:sz w:val="18"/>
      <w:lang w:eastAsia="en-US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link w:val="Char2"/>
    <w:qFormat/>
    <w:rsid w:val="00621120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621120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62112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62112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621120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621120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621120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621120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621120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621120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621120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621120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621120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621120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621120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621120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621120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621120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621120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621120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621120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621120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621120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621120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621120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621120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621120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621120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621120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621120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621120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621120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621120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621120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621120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621120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621120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621120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621120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621120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621120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621120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621120"/>
    <w:rPr>
      <w:rFonts w:eastAsia="PMingLiU"/>
      <w:color w:val="00000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621120"/>
    <w:rPr>
      <w:i/>
      <w:iCs/>
    </w:rPr>
  </w:style>
  <w:style w:type="character" w:styleId="IntenseEmphasis">
    <w:name w:val="Intense Emphasis"/>
    <w:uiPriority w:val="21"/>
    <w:rsid w:val="00621120"/>
    <w:rPr>
      <w:b/>
      <w:bCs/>
      <w:i/>
      <w:iCs/>
      <w:color w:val="4F81BD"/>
    </w:rPr>
  </w:style>
  <w:style w:type="character" w:styleId="Strong">
    <w:name w:val="Strong"/>
    <w:uiPriority w:val="22"/>
    <w:rsid w:val="00621120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621120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621120"/>
    <w:rPr>
      <w:rFonts w:ascii="Times New Roman" w:eastAsia="PMingLiU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62112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621120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621120"/>
    <w:rPr>
      <w:smallCaps/>
      <w:color w:val="C0504D"/>
      <w:u w:val="single"/>
    </w:rPr>
  </w:style>
  <w:style w:type="character" w:styleId="IntenseReference">
    <w:name w:val="Intense Reference"/>
    <w:uiPriority w:val="32"/>
    <w:rsid w:val="00621120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621120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621120"/>
    <w:rPr>
      <w:rFonts w:eastAsia="PMingLiU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621120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621120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1120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21120"/>
    <w:rPr>
      <w:rFonts w:ascii="Times New Roman" w:eastAsia="PMingLiU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621120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621120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621120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621120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621120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621120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621120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621120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621120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621120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621120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21120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621120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621120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621120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621120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621120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621120"/>
    <w:rPr>
      <w:rFonts w:ascii="Times New Roman" w:eastAsia="PMingLiU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621120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621120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621120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621120"/>
  </w:style>
  <w:style w:type="paragraph" w:customStyle="1" w:styleId="H1G">
    <w:name w:val="_ H_1_G"/>
    <w:basedOn w:val="Normal"/>
    <w:next w:val="Normal"/>
    <w:qFormat/>
    <w:rsid w:val="00621120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621120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621120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62112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621120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621120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621120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621120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621120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621120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621120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621120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621120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621120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621120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621120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621120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621120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621120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621120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621120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621120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621120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621120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621120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621120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621120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621120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62112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62112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621120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621120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eastAsia="PMingLiU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621120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621120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621120"/>
    <w:pPr>
      <w:spacing w:line="360" w:lineRule="exact"/>
      <w:jc w:val="both"/>
    </w:pPr>
    <w:rPr>
      <w:rFonts w:ascii="Times New Roman" w:eastAsia="PMingLiU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621120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62112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621120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621120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621120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621120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621120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621120"/>
    <w:pPr>
      <w:numPr>
        <w:numId w:val="20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621120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621120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621120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621120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120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120"/>
    <w:rPr>
      <w:rFonts w:ascii="Times New Roman" w:eastAsia="PMingLiU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1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120"/>
    <w:rPr>
      <w:rFonts w:ascii="Times New Roman" w:eastAsia="PMingLiU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621120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621120"/>
    <w:rPr>
      <w:rFonts w:ascii="Times New Roman" w:eastAsia="PMingLiU" w:hAnsi="Times New Roman" w:cs="Simplified Arabic"/>
      <w:lang w:val="en-GB" w:eastAsia="en-US"/>
    </w:rPr>
  </w:style>
  <w:style w:type="paragraph" w:customStyle="1" w:styleId="Preparedby">
    <w:name w:val="Prepared by:"/>
    <w:basedOn w:val="H23GA"/>
    <w:qFormat/>
    <w:rsid w:val="00621120"/>
    <w:rPr>
      <w:sz w:val="32"/>
      <w:szCs w:val="32"/>
    </w:rPr>
  </w:style>
  <w:style w:type="paragraph" w:customStyle="1" w:styleId="ParaNoG">
    <w:name w:val="_ParaNo._G"/>
    <w:basedOn w:val="SingleTxtG"/>
    <w:rsid w:val="00621120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621120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621120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62112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62112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62112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621120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621120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621120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621120"/>
    <w:pPr>
      <w:autoSpaceDE w:val="0"/>
      <w:autoSpaceDN w:val="0"/>
      <w:adjustRightInd w:val="0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621120"/>
  </w:style>
  <w:style w:type="character" w:customStyle="1" w:styleId="preferred">
    <w:name w:val="preferred"/>
    <w:basedOn w:val="DefaultParagraphFont"/>
    <w:rsid w:val="00621120"/>
  </w:style>
  <w:style w:type="character" w:customStyle="1" w:styleId="admitted">
    <w:name w:val="admitted"/>
    <w:basedOn w:val="DefaultParagraphFont"/>
    <w:rsid w:val="00621120"/>
  </w:style>
  <w:style w:type="paragraph" w:styleId="TOC7">
    <w:name w:val="toc 7"/>
    <w:basedOn w:val="Normal"/>
    <w:next w:val="Normal"/>
    <w:autoRedefine/>
    <w:uiPriority w:val="39"/>
    <w:unhideWhenUsed/>
    <w:rsid w:val="00996849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96849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96849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Char2">
    <w:name w:val="Char2"/>
    <w:basedOn w:val="Normal"/>
    <w:link w:val="FootnoteReference"/>
    <w:rsid w:val="00621120"/>
    <w:pPr>
      <w:bidi w:val="0"/>
      <w:spacing w:after="160" w:line="240" w:lineRule="exact"/>
      <w:jc w:val="both"/>
    </w:pPr>
    <w:rPr>
      <w:rFonts w:ascii="Calibri" w:eastAsia="Times New Roman" w:hAnsi="Calibri" w:cs="Arial"/>
      <w:szCs w:val="18"/>
      <w:vertAlign w:val="superscript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CPR/C/134/3/Add.3" TargetMode="External"/><Relationship Id="rId2" Type="http://schemas.openxmlformats.org/officeDocument/2006/relationships/hyperlink" Target="https://undocs.org/ar/CCPR/C/134/3/Add.2" TargetMode="External"/><Relationship Id="rId1" Type="http://schemas.openxmlformats.org/officeDocument/2006/relationships/hyperlink" Target="https://undocs.org/ar/CCPR/C/134/3/Add.1" TargetMode="External"/><Relationship Id="rId6" Type="http://schemas.openxmlformats.org/officeDocument/2006/relationships/hyperlink" Target="https://undocs.org/ar/CCPR/C/161" TargetMode="External"/><Relationship Id="rId5" Type="http://schemas.openxmlformats.org/officeDocument/2006/relationships/hyperlink" Target="https://tbinternet.ohchr.org/_layouts/15/treatybodyexternal/Download.aspx?symbolno=INT%2fCCPR%2fUCS%2f134%2f33812&amp;Lang=en" TargetMode="External"/><Relationship Id="rId4" Type="http://schemas.openxmlformats.org/officeDocument/2006/relationships/hyperlink" Target="https://undocs.org/ar/CCPR/C/134/3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</Pages>
  <Words>172</Words>
  <Characters>1219</Characters>
  <Application>Microsoft Office Word</Application>
  <DocSecurity>0</DocSecurity>
  <Lines>152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CCPR/C/134/3</vt:lpstr>
    </vt:vector>
  </TitlesOfParts>
  <Company>DCM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CCPR/C/134/3</dc:title>
  <dc:subject>GE.2207665(A)</dc:subject>
  <dc:creator>Gamal MAHMOUD - AGHA85</dc:creator>
  <cp:keywords>GE.2234847(A)</cp:keywords>
  <dc:description>Distr.: General_x000d_
20 May 2022_x000d_
Original: English</dc:description>
  <cp:lastModifiedBy>Gamal MAHMOUD</cp:lastModifiedBy>
  <cp:revision>3</cp:revision>
  <cp:lastPrinted>2022-05-31T12:59:00Z</cp:lastPrinted>
  <dcterms:created xsi:type="dcterms:W3CDTF">2022-05-31T12:59:00Z</dcterms:created>
  <dcterms:modified xsi:type="dcterms:W3CDTF">2022-05-31T13:00:00Z</dcterms:modified>
  <cp:category>Finale</cp:category>
</cp:coreProperties>
</file>