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695.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42422</w:t>
                  </w:r>
                  <w:r>
                    <w:rPr>
                      <w:lang w:val="en-US"/>
                    </w:rPr>
                    <w:fldChar w:fldCharType="end"/>
                  </w:r>
                  <w:r>
                    <w:rPr>
                      <w:lang w:val="en-US"/>
                    </w:rPr>
                    <w:t xml:space="preserve">   (R)</w:t>
                  </w:r>
                  <w:r>
                    <w:rPr>
                      <w:lang w:val="en-US"/>
                    </w:rPr>
                    <w:tab/>
                    <w:t>310102   070302</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E/1990/5/Add.47</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25 May 2001</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2001 года</w:t>
      </w:r>
    </w:p>
    <w:p w:rsidR="00000000" w:rsidRDefault="00000000"/>
    <w:p w:rsidR="00000000" w:rsidRDefault="00000000"/>
    <w:p w:rsidR="00000000" w:rsidRDefault="00000000"/>
    <w:p w:rsidR="00000000" w:rsidRDefault="00000000">
      <w:pPr>
        <w:pStyle w:val="16"/>
        <w:rPr>
          <w:b/>
          <w:bCs/>
        </w:rPr>
      </w:pPr>
      <w:r>
        <w:rPr>
          <w:b/>
          <w:bCs/>
        </w:rPr>
        <w:t>ОСУЩЕСТВЛЕНИЕ МЕЖДУНАРОДНОГО ПАКТА ОБ ЭКОНОМИЧЕСКИХ, СОЦИАЛЬНЫХ И КУЛЬТУРНЫХ ПРАВАХ</w:t>
      </w:r>
    </w:p>
    <w:p w:rsidR="00000000" w:rsidRDefault="00000000">
      <w:pPr>
        <w:pStyle w:val="16"/>
        <w:rPr>
          <w:b/>
          <w:bCs/>
        </w:rPr>
      </w:pPr>
    </w:p>
    <w:p w:rsidR="00000000" w:rsidRDefault="00000000">
      <w:pPr>
        <w:pStyle w:val="11"/>
        <w:rPr>
          <w:b/>
          <w:bCs/>
          <w:u w:val="none"/>
          <w:lang w:val="en-US"/>
        </w:rPr>
      </w:pPr>
      <w:r>
        <w:rPr>
          <w:b/>
          <w:bCs/>
          <w:u w:val="none"/>
        </w:rPr>
        <w:t>Первоначальные доклады, представляемые государствами-участниками</w:t>
      </w:r>
    </w:p>
    <w:p w:rsidR="00000000" w:rsidRDefault="00000000">
      <w:pPr>
        <w:pStyle w:val="11"/>
        <w:rPr>
          <w:b/>
          <w:bCs/>
          <w:u w:val="none"/>
        </w:rPr>
      </w:pPr>
      <w:r>
        <w:rPr>
          <w:b/>
          <w:bCs/>
          <w:u w:val="none"/>
        </w:rPr>
        <w:t>в соответствии со статьями 16 и 17 Пакта</w:t>
      </w:r>
    </w:p>
    <w:p w:rsidR="00000000" w:rsidRDefault="00000000">
      <w:pPr>
        <w:pStyle w:val="11"/>
        <w:rPr>
          <w:b/>
          <w:bCs/>
          <w:u w:val="none"/>
        </w:rPr>
      </w:pPr>
    </w:p>
    <w:p w:rsidR="00000000" w:rsidRDefault="00000000">
      <w:pPr>
        <w:pStyle w:val="11"/>
        <w:rPr>
          <w:b/>
          <w:bCs/>
          <w:u w:val="none"/>
        </w:rPr>
      </w:pPr>
      <w:r>
        <w:rPr>
          <w:b/>
          <w:bCs/>
          <w:u w:val="none"/>
        </w:rPr>
        <w:t>Добавление</w:t>
      </w:r>
    </w:p>
    <w:p w:rsidR="00000000" w:rsidRDefault="00000000">
      <w:pPr>
        <w:pStyle w:val="11"/>
      </w:pPr>
    </w:p>
    <w:p w:rsidR="00000000" w:rsidRDefault="00000000">
      <w:pPr>
        <w:jc w:val="center"/>
        <w:rPr>
          <w:b/>
          <w:bCs/>
        </w:rPr>
      </w:pPr>
      <w:r>
        <w:rPr>
          <w:b/>
          <w:bCs/>
        </w:rPr>
        <w:t>Чешская Республика</w:t>
      </w:r>
      <w:r>
        <w:rPr>
          <w:rStyle w:val="FootnoteReference"/>
          <w:b w:val="0"/>
          <w:bCs/>
        </w:rPr>
        <w:footnoteReference w:customMarkFollows="1" w:id="1"/>
        <w:sym w:font="Symbol" w:char="F02A"/>
      </w:r>
    </w:p>
    <w:p w:rsidR="00000000" w:rsidRDefault="00000000">
      <w:pPr>
        <w:jc w:val="center"/>
      </w:pPr>
    </w:p>
    <w:p w:rsidR="00000000" w:rsidRDefault="00000000">
      <w:pPr>
        <w:jc w:val="right"/>
      </w:pPr>
      <w:r>
        <w:t>[30 августа 2000 года]</w:t>
      </w:r>
    </w:p>
    <w:p w:rsidR="00000000" w:rsidRDefault="00000000">
      <w:pPr>
        <w:jc w:val="right"/>
      </w:pPr>
    </w:p>
    <w:p w:rsidR="00000000" w:rsidRDefault="00000000">
      <w:pPr>
        <w:spacing w:line="216" w:lineRule="auto"/>
        <w:jc w:val="center"/>
      </w:pPr>
      <w:r>
        <w:br w:type="page"/>
        <w:t>СОДЕРЖАНИЕ</w:t>
      </w:r>
    </w:p>
    <w:p w:rsidR="00000000" w:rsidRDefault="00000000">
      <w:pPr>
        <w:spacing w:line="216" w:lineRule="auto"/>
        <w:jc w:val="center"/>
      </w:pPr>
    </w:p>
    <w:p w:rsidR="00000000" w:rsidRDefault="00000000">
      <w:pPr>
        <w:tabs>
          <w:tab w:val="clear" w:pos="6237"/>
          <w:tab w:val="left" w:pos="567"/>
          <w:tab w:val="left" w:pos="1134"/>
          <w:tab w:val="left" w:pos="1701"/>
          <w:tab w:val="left" w:pos="2268"/>
          <w:tab w:val="center" w:pos="8039"/>
          <w:tab w:val="center" w:pos="9122"/>
        </w:tabs>
        <w:spacing w:line="216"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16" w:lineRule="auto"/>
      </w:pPr>
    </w:p>
    <w:p w:rsidR="00000000" w:rsidRDefault="00000000">
      <w:pPr>
        <w:tabs>
          <w:tab w:val="clear" w:pos="1134"/>
          <w:tab w:val="clear" w:pos="1701"/>
          <w:tab w:val="clear" w:pos="2268"/>
          <w:tab w:val="clear" w:pos="6237"/>
          <w:tab w:val="decimal" w:pos="567"/>
          <w:tab w:val="right" w:leader="dot" w:pos="7172"/>
          <w:tab w:val="center" w:pos="8039"/>
          <w:tab w:val="center" w:pos="9122"/>
        </w:tabs>
        <w:spacing w:line="216" w:lineRule="auto"/>
      </w:pPr>
      <w:r>
        <w:rPr>
          <w:b/>
          <w:bCs/>
        </w:rPr>
        <w:t>Введение</w:t>
      </w:r>
      <w:r>
        <w:tab/>
      </w:r>
      <w:r>
        <w:tab/>
        <w:t xml:space="preserve">  1 - 6</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r>
        <w:rPr>
          <w:b/>
          <w:bCs/>
        </w:rPr>
        <w:tab/>
      </w:r>
      <w:r>
        <w:rPr>
          <w:b/>
          <w:bCs/>
          <w:lang w:val="en-US"/>
        </w:rPr>
        <w:t>I</w:t>
      </w:r>
      <w:r>
        <w:rPr>
          <w:b/>
          <w:bCs/>
        </w:rPr>
        <w:t>.</w:t>
      </w:r>
      <w:r>
        <w:rPr>
          <w:b/>
          <w:bCs/>
        </w:rPr>
        <w:tab/>
        <w:t>ОБЩАЯ ИНФОРМАЦИЯ</w:t>
      </w:r>
      <w:r>
        <w:tab/>
      </w:r>
      <w:r>
        <w:tab/>
        <w:t xml:space="preserve">  7 - 72</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А.</w:t>
      </w:r>
      <w:r>
        <w:tab/>
        <w:t>Страна и население</w:t>
      </w:r>
      <w:r>
        <w:tab/>
      </w:r>
      <w:r>
        <w:tab/>
        <w:t xml:space="preserve">  7 - 18</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В.</w:t>
      </w:r>
      <w:r>
        <w:tab/>
        <w:t>Экономическое положение</w:t>
      </w:r>
      <w:r>
        <w:tab/>
      </w:r>
      <w:r>
        <w:tab/>
        <w:t>19 - 27</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w:t>
      </w:r>
      <w:r>
        <w:tab/>
        <w:t>Правительство и органы местного самоуправления</w:t>
      </w:r>
      <w:r>
        <w:tab/>
      </w:r>
      <w:r>
        <w:tab/>
        <w:t>28 - 37</w:t>
      </w:r>
      <w:r>
        <w:tab/>
        <w:t>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r>
      <w:r>
        <w:rPr>
          <w:lang w:val="en-US"/>
        </w:rPr>
        <w:t>D</w:t>
      </w:r>
      <w:r>
        <w:t>.</w:t>
      </w:r>
      <w:r>
        <w:tab/>
        <w:t>Политическая система</w:t>
      </w:r>
      <w:r>
        <w:tab/>
      </w:r>
      <w:r>
        <w:tab/>
        <w:t>38 - 40</w:t>
      </w:r>
      <w:r>
        <w:tab/>
        <w:t>13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Е.</w:t>
      </w:r>
      <w:r>
        <w:tab/>
        <w:t>Судебная власть</w:t>
      </w:r>
      <w:r>
        <w:tab/>
      </w:r>
      <w:r>
        <w:tab/>
        <w:t>41 - 46</w:t>
      </w:r>
      <w:r>
        <w:tab/>
        <w:t>13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r>
      <w:r>
        <w:rPr>
          <w:lang w:val="en-US"/>
        </w:rPr>
        <w:t>F</w:t>
      </w:r>
      <w:r>
        <w:t>.</w:t>
      </w:r>
      <w:r>
        <w:tab/>
        <w:t>Защита прав человека</w:t>
      </w:r>
      <w:r>
        <w:tab/>
      </w:r>
      <w:r>
        <w:tab/>
        <w:t>47 - 70</w:t>
      </w:r>
      <w: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r>
      <w:r>
        <w:rPr>
          <w:lang w:val="en-US"/>
        </w:rPr>
        <w:t>G</w:t>
      </w:r>
      <w:r>
        <w:t>.</w:t>
      </w:r>
      <w:r>
        <w:tab/>
        <w:t>Международное сотрудничество</w:t>
      </w:r>
      <w:r>
        <w:tab/>
      </w:r>
      <w:r>
        <w:tab/>
        <w:t>71 - 72</w:t>
      </w:r>
      <w:r>
        <w:tab/>
        <w:t>29</w:t>
      </w:r>
    </w:p>
    <w:p w:rsidR="00000000" w:rsidRDefault="00000000">
      <w:pPr>
        <w:pStyle w:val="a0"/>
        <w:widowControl/>
        <w:tabs>
          <w:tab w:val="decimal" w:pos="567"/>
          <w:tab w:val="left" w:pos="1134"/>
          <w:tab w:val="left" w:pos="1701"/>
          <w:tab w:val="left" w:pos="2268"/>
          <w:tab w:val="right" w:leader="dot" w:pos="7172"/>
          <w:tab w:val="center" w:pos="8039"/>
          <w:tab w:val="center" w:pos="9122"/>
        </w:tabs>
        <w:spacing w:line="216" w:lineRule="auto"/>
        <w:rPr>
          <w:rFonts w:ascii="Times New Roman" w:hAnsi="Times New Roman"/>
          <w:snapToGrid/>
          <w:lang w:eastAsia="en-US"/>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r>
        <w:tab/>
      </w:r>
      <w:r>
        <w:rPr>
          <w:b/>
          <w:bCs/>
          <w:lang w:val="en-US"/>
        </w:rPr>
        <w:t>II</w:t>
      </w:r>
      <w:r>
        <w:rPr>
          <w:b/>
          <w:bCs/>
        </w:rPr>
        <w:t>.</w:t>
      </w:r>
      <w:r>
        <w:rPr>
          <w:b/>
          <w:bCs/>
        </w:rPr>
        <w:tab/>
        <w:t>ОСУЩЕСТВЛЕНИЕ КОНКРЕТНЫХ СТАТЕЙ ПАКТА</w:t>
      </w:r>
      <w:r>
        <w:rPr>
          <w:b/>
          <w:bCs/>
        </w:rPr>
        <w:tab/>
        <w:t xml:space="preserve">  </w:t>
      </w:r>
      <w:r>
        <w:t>73 - 758</w:t>
      </w:r>
      <w:r>
        <w:tab/>
        <w:t>30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1</w:t>
      </w:r>
      <w:r>
        <w:tab/>
      </w:r>
      <w:r>
        <w:tab/>
      </w:r>
      <w:r>
        <w:tab/>
        <w:t>73 - 88</w:t>
      </w:r>
      <w:r>
        <w:tab/>
        <w:t>30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2</w:t>
      </w:r>
      <w:r>
        <w:tab/>
      </w:r>
      <w:r>
        <w:tab/>
      </w:r>
      <w:r>
        <w:tab/>
        <w:t xml:space="preserve">  89 - 124</w:t>
      </w:r>
      <w:r>
        <w:tab/>
        <w:t>34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3</w:t>
      </w:r>
      <w:r>
        <w:tab/>
      </w:r>
      <w:r>
        <w:tab/>
      </w:r>
      <w:r>
        <w:tab/>
        <w:t>125 - 154</w:t>
      </w:r>
      <w:r>
        <w:tab/>
        <w:t>47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4</w:t>
      </w:r>
      <w:r>
        <w:tab/>
      </w:r>
      <w:r>
        <w:tab/>
      </w:r>
      <w:r>
        <w:tab/>
        <w:t>155 - 166</w:t>
      </w:r>
      <w:r>
        <w:tab/>
        <w:t>59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5</w:t>
      </w:r>
      <w:r>
        <w:tab/>
      </w:r>
      <w:r>
        <w:tab/>
      </w:r>
      <w:r>
        <w:tab/>
        <w:t>167 - 186</w:t>
      </w:r>
      <w:r>
        <w:tab/>
        <w:t>64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6</w:t>
      </w:r>
      <w:r>
        <w:tab/>
      </w:r>
      <w:r>
        <w:tab/>
      </w:r>
      <w:r>
        <w:tab/>
        <w:t>187 - 250</w:t>
      </w:r>
      <w:r>
        <w:tab/>
        <w:t>71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7</w:t>
      </w:r>
      <w:r>
        <w:tab/>
      </w:r>
      <w:r>
        <w:tab/>
      </w:r>
      <w:r>
        <w:tab/>
        <w:t>251 - 302</w:t>
      </w:r>
      <w:r>
        <w:tab/>
        <w:t>88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8</w:t>
      </w:r>
      <w:r>
        <w:tab/>
      </w:r>
      <w:r>
        <w:tab/>
      </w:r>
      <w:r>
        <w:tab/>
        <w:t>303 - 316</w:t>
      </w:r>
      <w:r>
        <w:tab/>
        <w:t>119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9</w:t>
      </w:r>
      <w:r>
        <w:tab/>
      </w:r>
      <w:r>
        <w:tab/>
      </w:r>
      <w:r>
        <w:tab/>
        <w:t>317 - 361</w:t>
      </w:r>
      <w:r>
        <w:tab/>
        <w:t>123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10</w:t>
      </w:r>
      <w:r>
        <w:tab/>
      </w:r>
      <w:r>
        <w:tab/>
      </w:r>
      <w:r>
        <w:tab/>
        <w:t>362 - 404</w:t>
      </w:r>
      <w:r>
        <w:tab/>
        <w:t>143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11</w:t>
      </w:r>
      <w:r>
        <w:tab/>
      </w:r>
      <w:r>
        <w:tab/>
      </w:r>
      <w:r>
        <w:tab/>
        <w:t>405 - 469</w:t>
      </w:r>
      <w:r>
        <w:tab/>
        <w:t>159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12</w:t>
      </w:r>
      <w:r>
        <w:tab/>
      </w:r>
      <w:r>
        <w:tab/>
      </w:r>
      <w:r>
        <w:tab/>
        <w:t>470 - 558</w:t>
      </w:r>
      <w:r>
        <w:tab/>
        <w:t>192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13</w:t>
      </w:r>
      <w:r>
        <w:tab/>
      </w:r>
      <w:r>
        <w:tab/>
      </w:r>
      <w:r>
        <w:tab/>
        <w:t>559 - 640</w:t>
      </w:r>
      <w:r>
        <w:tab/>
        <w:t>228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14</w:t>
      </w:r>
      <w:r>
        <w:tab/>
      </w:r>
      <w:r>
        <w:tab/>
      </w:r>
      <w:r>
        <w:tab/>
        <w:t>641</w:t>
      </w:r>
      <w:r>
        <w:tab/>
        <w:t>264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12" w:lineRule="auto"/>
      </w:pPr>
      <w:r>
        <w:tab/>
      </w:r>
      <w:r>
        <w:tab/>
        <w:t>Статья 15</w:t>
      </w:r>
      <w:r>
        <w:tab/>
      </w:r>
      <w:r>
        <w:tab/>
      </w:r>
      <w:r>
        <w:tab/>
        <w:t>642 - 758</w:t>
      </w:r>
      <w:r>
        <w:tab/>
        <w:t>265</w:t>
      </w:r>
    </w:p>
    <w:p w:rsidR="00000000" w:rsidRDefault="00000000">
      <w:pPr>
        <w:pStyle w:val="a0"/>
        <w:widowControl/>
        <w:tabs>
          <w:tab w:val="decimal" w:pos="567"/>
          <w:tab w:val="left" w:pos="1134"/>
          <w:tab w:val="left" w:pos="1701"/>
          <w:tab w:val="left" w:pos="2268"/>
          <w:tab w:val="right" w:leader="dot" w:pos="7172"/>
          <w:tab w:val="center" w:pos="8039"/>
          <w:tab w:val="center" w:pos="9122"/>
        </w:tabs>
        <w:spacing w:line="216" w:lineRule="auto"/>
        <w:rPr>
          <w:rFonts w:ascii="Times New Roman" w:hAnsi="Times New Roman"/>
          <w:snapToGrid/>
          <w:lang w:eastAsia="en-US"/>
        </w:rPr>
      </w:pPr>
    </w:p>
    <w:p w:rsidR="00000000" w:rsidRDefault="00000000">
      <w:pPr>
        <w:pStyle w:val="a0"/>
        <w:widowControl/>
        <w:tabs>
          <w:tab w:val="decimal" w:pos="567"/>
          <w:tab w:val="left" w:pos="1134"/>
          <w:tab w:val="left" w:pos="1701"/>
          <w:tab w:val="left" w:pos="2268"/>
          <w:tab w:val="right" w:leader="dot" w:pos="7172"/>
          <w:tab w:val="center" w:pos="8039"/>
          <w:tab w:val="center" w:pos="9122"/>
        </w:tabs>
        <w:spacing w:line="216" w:lineRule="auto"/>
        <w:rPr>
          <w:rFonts w:ascii="Times New Roman" w:hAnsi="Times New Roman"/>
          <w:snapToGrid/>
          <w:lang w:eastAsia="en-US"/>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r>
        <w:t xml:space="preserve">Приложение </w:t>
      </w:r>
      <w:r>
        <w:rPr>
          <w:b/>
          <w:bCs/>
        </w:rPr>
        <w:t xml:space="preserve">- </w:t>
      </w:r>
      <w:r>
        <w:t>Хартия основных прав и свобод</w:t>
      </w:r>
      <w:r>
        <w:rPr>
          <w:rStyle w:val="FootnoteReference"/>
        </w:rPr>
        <w:footnoteReference w:customMarkFollows="1" w:id="2"/>
        <w:sym w:font="Symbol" w:char="F02A"/>
      </w:r>
    </w:p>
    <w:p w:rsidR="00000000" w:rsidRDefault="00000000">
      <w:pPr>
        <w:pStyle w:val="a0"/>
        <w:widowControl/>
        <w:tabs>
          <w:tab w:val="decimal" w:pos="567"/>
          <w:tab w:val="left" w:pos="1134"/>
          <w:tab w:val="left" w:pos="1701"/>
          <w:tab w:val="left" w:pos="2268"/>
          <w:tab w:val="right" w:leader="dot" w:pos="7172"/>
          <w:tab w:val="center" w:pos="8039"/>
          <w:tab w:val="center" w:pos="9122"/>
        </w:tabs>
        <w:spacing w:line="288" w:lineRule="auto"/>
        <w:rPr>
          <w:rFonts w:ascii="Times New Roman" w:hAnsi="Times New Roman"/>
          <w:snapToGrid/>
          <w:lang w:eastAsia="en-US"/>
        </w:rPr>
      </w:pPr>
    </w:p>
    <w:p w:rsidR="00000000" w:rsidRDefault="00000000">
      <w:pPr>
        <w:pStyle w:val="10"/>
        <w:tabs>
          <w:tab w:val="clear" w:pos="6237"/>
          <w:tab w:val="decimal" w:pos="567"/>
          <w:tab w:val="left" w:pos="1134"/>
          <w:tab w:val="left" w:pos="1701"/>
          <w:tab w:val="left" w:pos="2268"/>
          <w:tab w:val="right" w:leader="dot" w:pos="7172"/>
          <w:tab w:val="center" w:pos="8039"/>
          <w:tab w:val="center" w:pos="9122"/>
        </w:tabs>
        <w:rPr>
          <w:bCs/>
        </w:rPr>
      </w:pPr>
      <w:r>
        <w:rPr>
          <w:bCs/>
        </w:rPr>
        <w:br w:type="page"/>
        <w:t>Введение</w:t>
      </w:r>
    </w:p>
    <w:p w:rsidR="00000000" w:rsidRDefault="00000000">
      <w:pPr>
        <w:pStyle w:val="10"/>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w:t>
      </w:r>
      <w:r>
        <w:tab/>
        <w:t>Международный пакт об экономических, социальных и культурных правах (Пакт) был открыт для подписания в Нью-Йорке 19 декабря 1966 года.  Пакт был подписан в Нью-Йорке от имени Чехословацкой Социалистической Республики 7 октября 1968 года.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w:t>
      </w:r>
      <w:r>
        <w:tab/>
        <w:t>Федеральное собрание Чехословацкой Социалистической Республики одобрило Пакт 11 ноября 1975 года.  Затем Президент ратифицировал Пакт с замечаниями, касающимися пункта 1 статьи 26.  Ратификационные грамоты Чехословацкой Социалистической Республики были сданы на хранение Генеральному секретарю Организации Объединенных Наций 23 декабря 1975 года.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3.</w:t>
      </w:r>
      <w:r>
        <w:tab/>
        <w:t>Чешская Республика возникла 1 января 1993 года в качестве одного из двух государств</w:t>
      </w:r>
      <w:r>
        <w:rPr>
          <w:lang w:val="en-US"/>
        </w:rPr>
        <w:t> </w:t>
      </w:r>
      <w:r>
        <w:t xml:space="preserve">- правопреемников Чешской и Словацкой Федеративной Республики (ЧСФР).  Согласно уведомлению от 22 февраля 1993 года, направленному Генеральному секретарю Организации Объединенных Наций как депозитарию Пакта, Чешская Республика с 1 января 1991 года стала правопреемником обязательств, вытекавших из Пакта для бывшей ЧСФР.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4.</w:t>
      </w:r>
      <w:r>
        <w:tab/>
        <w:t>В соответствии со статьей 27 Международный пакт об экономических, социальных и культурных правах вступил в силу для Чехословацкой Социалистической Республики 23 марта 1976 года.  Полный текст Пакта совместно с текстом Международного пакта о гражданских и политических правах был опубликован в Сборнике законов под № 120/1976 С</w:t>
      </w:r>
      <w:r>
        <w:rPr>
          <w:lang w:val="en-US"/>
        </w:rPr>
        <w:t>oll</w:t>
      </w:r>
      <w:r>
        <w:t>.  Тем самым Пакт стал доступным для каждого гражданина и общеобязательном для всех.  Согласно статье 10 Конституции Чешской Республики Пакт обладает верховенством по отношению ко всем законам.</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5.</w:t>
      </w:r>
      <w:r>
        <w:tab/>
        <w:t>Первоначальный доклад Чешской Республики представляется за период с 1 января 1993 года по 31 декабря 1999 года ("отчетный период").  При подготовке первоначального доклада Чешской Республики, представляемого в соответствии со статьями 16 и 17 Пакта, учитывались:</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t>а)</w:t>
      </w:r>
      <w:r>
        <w:tab/>
        <w:t>пересмотренные общие руководящие принципы Комитета в отношении формы и содержания докладов о выполнении обязательств, вытекающих из Пакта;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r>
      <w:r>
        <w:rPr>
          <w:lang w:val="en-US"/>
        </w:rPr>
        <w:t>b</w:t>
      </w:r>
      <w:r>
        <w:t>)</w:t>
      </w:r>
      <w:r>
        <w:tab/>
        <w:t>соответствующие факты и новые меры, принятые Чешской Республикой за отчетный период во исполнение обязательств, вытекающих из Пакта.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6.</w:t>
      </w:r>
      <w:r>
        <w:tab/>
        <w:t>Доклад подготовлен Департаментом по правам человека Канцелярии правительства Чешской Республики на основе документации, представленной центральными государственными органами, а именно:  министерствами транспорта и связи, культуры, обороны, по вопросам развития регионов, городов и населенных пунктов, труда и социальных дел, юстиции, образования, по делам молодежи и спорта, внутренних дел, иностранных дел, здравоохранения, сельского хозяйства, охраны окружающей среды, Чешским статистическим управлением, Советом радио- и телевещания, Научно-техническим советом при правительстве Чешской Республики, Советом по делам инвалидов при правительстве Чешской Республики и Советом по делам национальных меньшинств при правительстве Чешской Республики.  Дополнительная документация была представлена неправительственными некоммерческими организациями и учебными заведениями.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spacing w:line="216" w:lineRule="auto"/>
      </w:pPr>
    </w:p>
    <w:p w:rsidR="00000000" w:rsidRDefault="00000000">
      <w:pPr>
        <w:spacing w:line="216" w:lineRule="auto"/>
        <w:jc w:val="center"/>
        <w:rPr>
          <w:b/>
          <w:bCs/>
        </w:rPr>
      </w:pPr>
      <w:r>
        <w:rPr>
          <w:b/>
          <w:bCs/>
        </w:rPr>
        <w:t>I.</w:t>
      </w:r>
      <w:r>
        <w:rPr>
          <w:b/>
          <w:bCs/>
        </w:rPr>
        <w:tab/>
        <w:t>ОБЩАЯ ИНФОРМАЦИЯ</w:t>
      </w:r>
    </w:p>
    <w:p w:rsidR="00000000" w:rsidRDefault="00000000">
      <w:pPr>
        <w:spacing w:line="216" w:lineRule="auto"/>
        <w:jc w:val="center"/>
        <w:rPr>
          <w:b/>
          <w:bCs/>
        </w:rPr>
      </w:pPr>
    </w:p>
    <w:p w:rsidR="00000000" w:rsidRDefault="00000000">
      <w:pPr>
        <w:spacing w:line="216" w:lineRule="auto"/>
        <w:jc w:val="center"/>
      </w:pPr>
      <w:r>
        <w:rPr>
          <w:b/>
          <w:bCs/>
        </w:rPr>
        <w:t>А.</w:t>
      </w:r>
      <w:r>
        <w:rPr>
          <w:b/>
          <w:bCs/>
        </w:rPr>
        <w:tab/>
        <w:t>Страна и население</w:t>
      </w:r>
    </w:p>
    <w:p w:rsidR="00000000" w:rsidRDefault="00000000">
      <w:pPr>
        <w:spacing w:line="216" w:lineRule="auto"/>
        <w:jc w:val="center"/>
      </w:pPr>
    </w:p>
    <w:p w:rsidR="00000000" w:rsidRDefault="00000000">
      <w:r>
        <w:t>7.</w:t>
      </w:r>
      <w:r>
        <w:tab/>
        <w:t>Чешская Республика занимает территорию площадью 78 866 км</w:t>
      </w:r>
      <w:r>
        <w:rPr>
          <w:vertAlign w:val="superscript"/>
        </w:rPr>
        <w:t>2</w:t>
      </w:r>
      <w:r>
        <w:t>, и по состоянию на 31 декабря 1998 года численность ее населения составляла 10 299 000 человек.</w:t>
      </w:r>
      <w:r>
        <w:rPr>
          <w:lang w:val="en-US"/>
        </w:rPr>
        <w:t xml:space="preserve"> </w:t>
      </w:r>
      <w:r>
        <w:t xml:space="preserve"> Плотность населения равняется 130 человек на км</w:t>
      </w:r>
      <w:r>
        <w:rPr>
          <w:vertAlign w:val="superscript"/>
        </w:rPr>
        <w:t>2</w:t>
      </w:r>
      <w:r>
        <w:t>.</w:t>
      </w:r>
    </w:p>
    <w:p w:rsidR="00000000" w:rsidRDefault="00000000"/>
    <w:p w:rsidR="00000000" w:rsidRDefault="00000000">
      <w:r>
        <w:t>8.</w:t>
      </w:r>
      <w:r>
        <w:tab/>
        <w:t>Нынешнее население Чешской Республики относится к регрессивному типу, т</w:t>
      </w:r>
      <w:r>
        <w:rPr>
          <w:lang w:val="en-US"/>
        </w:rPr>
        <w:t>.</w:t>
      </w:r>
      <w:r>
        <w:t>е</w:t>
      </w:r>
      <w:r>
        <w:rPr>
          <w:lang w:val="en-US"/>
        </w:rPr>
        <w:t>. </w:t>
      </w:r>
      <w:r>
        <w:t>доля детей ниже, чем доля старших возрастных групп (лиц в возрасте свыше 50 лет);  общее число жителей сокращается, даже если учитывать миграцию, и в среднем население стареет.  В более старших группах населения в значительной степени преобладают женщины.  Экономическое бремя на население продуктивного возраста увеличивается, особенно если учитывать пенсионную систему, которая основана на финансировании пенсий за счет экономически активного населения.</w:t>
      </w:r>
    </w:p>
    <w:p w:rsidR="00000000" w:rsidRDefault="00000000">
      <w:pPr>
        <w:spacing w:line="240" w:lineRule="auto"/>
      </w:pPr>
    </w:p>
    <w:p w:rsidR="00000000" w:rsidRDefault="00000000">
      <w:pPr>
        <w:spacing w:line="240" w:lineRule="auto"/>
        <w:jc w:val="center"/>
      </w:pPr>
      <w:r>
        <w:rPr>
          <w:b/>
          <w:bCs/>
        </w:rPr>
        <w:t>Население в разбивке по возрастным группам</w:t>
      </w:r>
      <w:r>
        <w:t xml:space="preserve"> </w:t>
      </w:r>
    </w:p>
    <w:p w:rsidR="00000000" w:rsidRDefault="00000000">
      <w:pPr>
        <w:pStyle w:val="10"/>
        <w:spacing w:line="240" w:lineRule="auto"/>
        <w:rPr>
          <w:bCs/>
        </w:rPr>
      </w:pPr>
      <w:r>
        <w:rPr>
          <w:bCs/>
        </w:rPr>
        <w:t>(по состоянию на 31 декабря каждого года)</w:t>
      </w:r>
    </w:p>
    <w:p w:rsidR="00000000" w:rsidRDefault="00000000">
      <w:pPr>
        <w:spacing w:line="240" w:lineRule="auto"/>
      </w:pPr>
    </w:p>
    <w:tbl>
      <w:tblPr>
        <w:tblW w:w="9410" w:type="dxa"/>
        <w:tblLayout w:type="fixed"/>
        <w:tblCellMar>
          <w:top w:w="28" w:type="dxa"/>
          <w:left w:w="0" w:type="dxa"/>
          <w:bottom w:w="28" w:type="dxa"/>
          <w:right w:w="0" w:type="dxa"/>
        </w:tblCellMar>
        <w:tblLook w:val="0000" w:firstRow="0" w:lastRow="0" w:firstColumn="0" w:lastColumn="0" w:noHBand="0" w:noVBand="0"/>
      </w:tblPr>
      <w:tblGrid>
        <w:gridCol w:w="4309"/>
        <w:gridCol w:w="850"/>
        <w:gridCol w:w="850"/>
        <w:gridCol w:w="850"/>
        <w:gridCol w:w="850"/>
        <w:gridCol w:w="850"/>
        <w:gridCol w:w="851"/>
      </w:tblGrid>
      <w:tr w:rsidR="00000000">
        <w:tc>
          <w:tcPr>
            <w:tcW w:w="4309"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line="240" w:lineRule="auto"/>
              <w:jc w:val="center"/>
              <w:rPr>
                <w:b w:val="0"/>
              </w:rPr>
            </w:pPr>
            <w:r>
              <w:rPr>
                <w:b w:val="0"/>
              </w:rPr>
              <w:t>Показатель</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1994</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1998</w:t>
            </w:r>
          </w:p>
        </w:tc>
      </w:tr>
      <w:tr w:rsidR="00000000">
        <w:tc>
          <w:tcPr>
            <w:tcW w:w="4309" w:type="dxa"/>
            <w:tcBorders>
              <w:top w:val="single" w:sz="4" w:space="0" w:color="auto"/>
              <w:left w:val="single" w:sz="4" w:space="0" w:color="auto"/>
              <w:right w:val="single" w:sz="4" w:space="0" w:color="auto"/>
            </w:tcBorders>
          </w:tcPr>
          <w:p w:rsidR="00000000" w:rsidRDefault="00000000">
            <w:pPr>
              <w:pStyle w:val="FootnoteText"/>
              <w:tabs>
                <w:tab w:val="clear" w:pos="567"/>
              </w:tabs>
            </w:pPr>
            <w:r>
              <w:t>Возраст:</w:t>
            </w:r>
            <w:r>
              <w:tab/>
              <w:t xml:space="preserve">  0</w:t>
            </w:r>
            <w:r>
              <w:sym w:font="Symbol" w:char="F02D"/>
            </w:r>
            <w:r>
              <w:t>14 лет (%)</w:t>
            </w:r>
          </w:p>
        </w:tc>
        <w:tc>
          <w:tcPr>
            <w:tcW w:w="850" w:type="dxa"/>
            <w:tcBorders>
              <w:top w:val="single" w:sz="4" w:space="0" w:color="auto"/>
              <w:left w:val="single" w:sz="4" w:space="0" w:color="auto"/>
              <w:right w:val="single" w:sz="4" w:space="0" w:color="auto"/>
            </w:tcBorders>
          </w:tcPr>
          <w:p w:rsidR="00000000" w:rsidRDefault="00000000">
            <w:pPr>
              <w:spacing w:line="240" w:lineRule="auto"/>
              <w:jc w:val="center"/>
            </w:pPr>
            <w:r>
              <w:t>19,5</w:t>
            </w:r>
          </w:p>
        </w:tc>
        <w:tc>
          <w:tcPr>
            <w:tcW w:w="850" w:type="dxa"/>
            <w:tcBorders>
              <w:top w:val="single" w:sz="4" w:space="0" w:color="auto"/>
              <w:left w:val="single" w:sz="4" w:space="0" w:color="auto"/>
              <w:right w:val="single" w:sz="4" w:space="0" w:color="auto"/>
            </w:tcBorders>
          </w:tcPr>
          <w:p w:rsidR="00000000" w:rsidRDefault="00000000">
            <w:pPr>
              <w:spacing w:line="240" w:lineRule="auto"/>
              <w:jc w:val="center"/>
            </w:pPr>
            <w:r>
              <w:t>18,8</w:t>
            </w:r>
          </w:p>
        </w:tc>
        <w:tc>
          <w:tcPr>
            <w:tcW w:w="850" w:type="dxa"/>
            <w:tcBorders>
              <w:top w:val="single" w:sz="4" w:space="0" w:color="auto"/>
              <w:left w:val="single" w:sz="4" w:space="0" w:color="auto"/>
              <w:right w:val="single" w:sz="4" w:space="0" w:color="auto"/>
            </w:tcBorders>
          </w:tcPr>
          <w:p w:rsidR="00000000" w:rsidRDefault="00000000">
            <w:pPr>
              <w:spacing w:line="240" w:lineRule="auto"/>
              <w:jc w:val="center"/>
            </w:pPr>
            <w:r>
              <w:t>18,3</w:t>
            </w:r>
          </w:p>
        </w:tc>
        <w:tc>
          <w:tcPr>
            <w:tcW w:w="850"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17,9</w:t>
            </w:r>
          </w:p>
        </w:tc>
        <w:tc>
          <w:tcPr>
            <w:tcW w:w="850"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17,4</w:t>
            </w:r>
          </w:p>
        </w:tc>
        <w:tc>
          <w:tcPr>
            <w:tcW w:w="851"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17,0</w:t>
            </w:r>
          </w:p>
        </w:tc>
      </w:tr>
      <w:tr w:rsidR="00000000">
        <w:tc>
          <w:tcPr>
            <w:tcW w:w="4309" w:type="dxa"/>
            <w:tcBorders>
              <w:left w:val="single" w:sz="4" w:space="0" w:color="auto"/>
              <w:right w:val="single" w:sz="4" w:space="0" w:color="auto"/>
            </w:tcBorders>
          </w:tcPr>
          <w:p w:rsidR="00000000" w:rsidRDefault="00000000">
            <w:pPr>
              <w:tabs>
                <w:tab w:val="clear" w:pos="567"/>
                <w:tab w:val="clear" w:pos="1134"/>
                <w:tab w:val="left" w:pos="1130"/>
              </w:tabs>
              <w:spacing w:line="240" w:lineRule="auto"/>
            </w:pPr>
            <w:r>
              <w:tab/>
              <w:t>15</w:t>
            </w:r>
            <w:r>
              <w:sym w:font="Symbol" w:char="F02D"/>
            </w:r>
            <w:r>
              <w:t>59 лет (%)</w:t>
            </w:r>
          </w:p>
        </w:tc>
        <w:tc>
          <w:tcPr>
            <w:tcW w:w="850" w:type="dxa"/>
            <w:tcBorders>
              <w:left w:val="single" w:sz="4" w:space="0" w:color="auto"/>
              <w:right w:val="single" w:sz="4" w:space="0" w:color="auto"/>
            </w:tcBorders>
          </w:tcPr>
          <w:p w:rsidR="00000000" w:rsidRDefault="00000000">
            <w:pPr>
              <w:spacing w:line="240" w:lineRule="auto"/>
              <w:jc w:val="center"/>
            </w:pPr>
            <w:r>
              <w:t>62,5</w:t>
            </w:r>
          </w:p>
        </w:tc>
        <w:tc>
          <w:tcPr>
            <w:tcW w:w="850" w:type="dxa"/>
            <w:tcBorders>
              <w:left w:val="single" w:sz="4" w:space="0" w:color="auto"/>
              <w:right w:val="single" w:sz="4" w:space="0" w:color="auto"/>
            </w:tcBorders>
          </w:tcPr>
          <w:p w:rsidR="00000000" w:rsidRDefault="00000000">
            <w:pPr>
              <w:spacing w:line="240" w:lineRule="auto"/>
              <w:jc w:val="center"/>
            </w:pPr>
            <w:r>
              <w:t>63,2</w:t>
            </w:r>
          </w:p>
        </w:tc>
        <w:tc>
          <w:tcPr>
            <w:tcW w:w="850" w:type="dxa"/>
            <w:tcBorders>
              <w:left w:val="single" w:sz="4" w:space="0" w:color="auto"/>
              <w:right w:val="single" w:sz="4" w:space="0" w:color="auto"/>
            </w:tcBorders>
          </w:tcPr>
          <w:p w:rsidR="00000000" w:rsidRDefault="00000000">
            <w:pPr>
              <w:spacing w:line="240" w:lineRule="auto"/>
              <w:jc w:val="center"/>
            </w:pPr>
            <w:r>
              <w:t>63,7</w:t>
            </w:r>
          </w:p>
        </w:tc>
        <w:tc>
          <w:tcPr>
            <w:tcW w:w="85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64,1</w:t>
            </w:r>
          </w:p>
        </w:tc>
        <w:tc>
          <w:tcPr>
            <w:tcW w:w="85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64,6</w:t>
            </w:r>
          </w:p>
        </w:tc>
        <w:tc>
          <w:tcPr>
            <w:tcW w:w="85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64,9</w:t>
            </w:r>
          </w:p>
        </w:tc>
      </w:tr>
      <w:tr w:rsidR="00000000">
        <w:tc>
          <w:tcPr>
            <w:tcW w:w="4309" w:type="dxa"/>
            <w:tcBorders>
              <w:left w:val="single" w:sz="4" w:space="0" w:color="auto"/>
              <w:right w:val="single" w:sz="4" w:space="0" w:color="auto"/>
            </w:tcBorders>
          </w:tcPr>
          <w:p w:rsidR="00000000" w:rsidRDefault="00000000">
            <w:pPr>
              <w:tabs>
                <w:tab w:val="clear" w:pos="567"/>
                <w:tab w:val="clear" w:pos="1134"/>
                <w:tab w:val="left" w:pos="1130"/>
              </w:tabs>
              <w:spacing w:line="240" w:lineRule="auto"/>
            </w:pPr>
            <w:r>
              <w:tab/>
              <w:t>60 лет и более (%)</w:t>
            </w:r>
          </w:p>
        </w:tc>
        <w:tc>
          <w:tcPr>
            <w:tcW w:w="850" w:type="dxa"/>
            <w:tcBorders>
              <w:left w:val="single" w:sz="4" w:space="0" w:color="auto"/>
              <w:right w:val="single" w:sz="4" w:space="0" w:color="auto"/>
            </w:tcBorders>
          </w:tcPr>
          <w:p w:rsidR="00000000" w:rsidRDefault="00000000">
            <w:pPr>
              <w:spacing w:line="240" w:lineRule="auto"/>
              <w:jc w:val="center"/>
            </w:pPr>
            <w:r>
              <w:t>18,0</w:t>
            </w:r>
          </w:p>
        </w:tc>
        <w:tc>
          <w:tcPr>
            <w:tcW w:w="850" w:type="dxa"/>
            <w:tcBorders>
              <w:left w:val="single" w:sz="4" w:space="0" w:color="auto"/>
              <w:right w:val="single" w:sz="4" w:space="0" w:color="auto"/>
            </w:tcBorders>
          </w:tcPr>
          <w:p w:rsidR="00000000" w:rsidRDefault="00000000">
            <w:pPr>
              <w:spacing w:line="240" w:lineRule="auto"/>
              <w:jc w:val="center"/>
            </w:pPr>
            <w:r>
              <w:t>18,0</w:t>
            </w:r>
          </w:p>
        </w:tc>
        <w:tc>
          <w:tcPr>
            <w:tcW w:w="850" w:type="dxa"/>
            <w:tcBorders>
              <w:left w:val="single" w:sz="4" w:space="0" w:color="auto"/>
              <w:right w:val="single" w:sz="4" w:space="0" w:color="auto"/>
            </w:tcBorders>
          </w:tcPr>
          <w:p w:rsidR="00000000" w:rsidRDefault="00000000">
            <w:pPr>
              <w:spacing w:line="240" w:lineRule="auto"/>
              <w:jc w:val="center"/>
            </w:pPr>
            <w:r>
              <w:t>18,0</w:t>
            </w:r>
          </w:p>
        </w:tc>
        <w:tc>
          <w:tcPr>
            <w:tcW w:w="85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18,0</w:t>
            </w:r>
          </w:p>
        </w:tc>
        <w:tc>
          <w:tcPr>
            <w:tcW w:w="85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18,0</w:t>
            </w:r>
          </w:p>
        </w:tc>
        <w:tc>
          <w:tcPr>
            <w:tcW w:w="85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18,1</w:t>
            </w:r>
          </w:p>
        </w:tc>
      </w:tr>
      <w:tr w:rsidR="00000000">
        <w:tc>
          <w:tcPr>
            <w:tcW w:w="4309" w:type="dxa"/>
            <w:tcBorders>
              <w:left w:val="single" w:sz="4" w:space="0" w:color="auto"/>
              <w:right w:val="single" w:sz="4" w:space="0" w:color="auto"/>
            </w:tcBorders>
          </w:tcPr>
          <w:p w:rsidR="00000000" w:rsidRDefault="00000000">
            <w:pPr>
              <w:spacing w:line="240" w:lineRule="auto"/>
            </w:pPr>
            <w:r>
              <w:t>Средний возраст</w:t>
            </w:r>
          </w:p>
        </w:tc>
        <w:tc>
          <w:tcPr>
            <w:tcW w:w="850" w:type="dxa"/>
            <w:tcBorders>
              <w:left w:val="single" w:sz="4" w:space="0" w:color="auto"/>
              <w:right w:val="single" w:sz="4" w:space="0" w:color="auto"/>
            </w:tcBorders>
          </w:tcPr>
          <w:p w:rsidR="00000000" w:rsidRDefault="00000000">
            <w:pPr>
              <w:spacing w:line="240" w:lineRule="auto"/>
              <w:jc w:val="center"/>
            </w:pPr>
            <w:r>
              <w:t>36,8</w:t>
            </w:r>
          </w:p>
        </w:tc>
        <w:tc>
          <w:tcPr>
            <w:tcW w:w="850" w:type="dxa"/>
            <w:tcBorders>
              <w:left w:val="single" w:sz="4" w:space="0" w:color="auto"/>
              <w:right w:val="single" w:sz="4" w:space="0" w:color="auto"/>
            </w:tcBorders>
          </w:tcPr>
          <w:p w:rsidR="00000000" w:rsidRDefault="00000000">
            <w:pPr>
              <w:spacing w:line="240" w:lineRule="auto"/>
              <w:jc w:val="center"/>
            </w:pPr>
            <w:r>
              <w:t>37,0</w:t>
            </w:r>
          </w:p>
        </w:tc>
        <w:tc>
          <w:tcPr>
            <w:tcW w:w="850" w:type="dxa"/>
            <w:tcBorders>
              <w:left w:val="single" w:sz="4" w:space="0" w:color="auto"/>
              <w:right w:val="single" w:sz="4" w:space="0" w:color="auto"/>
            </w:tcBorders>
          </w:tcPr>
          <w:p w:rsidR="00000000" w:rsidRDefault="00000000">
            <w:pPr>
              <w:spacing w:line="240" w:lineRule="auto"/>
              <w:jc w:val="center"/>
            </w:pPr>
            <w:r>
              <w:t>37,3</w:t>
            </w:r>
          </w:p>
        </w:tc>
        <w:tc>
          <w:tcPr>
            <w:tcW w:w="85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37,6</w:t>
            </w:r>
          </w:p>
        </w:tc>
        <w:tc>
          <w:tcPr>
            <w:tcW w:w="85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37,9</w:t>
            </w:r>
          </w:p>
        </w:tc>
        <w:tc>
          <w:tcPr>
            <w:tcW w:w="85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38,2</w:t>
            </w:r>
          </w:p>
        </w:tc>
      </w:tr>
      <w:tr w:rsidR="00000000">
        <w:tc>
          <w:tcPr>
            <w:tcW w:w="4309" w:type="dxa"/>
            <w:tcBorders>
              <w:left w:val="single" w:sz="4" w:space="0" w:color="auto"/>
              <w:bottom w:val="single" w:sz="4" w:space="0" w:color="auto"/>
              <w:right w:val="single" w:sz="4" w:space="0" w:color="auto"/>
            </w:tcBorders>
          </w:tcPr>
          <w:p w:rsidR="00000000" w:rsidRDefault="00000000">
            <w:pPr>
              <w:spacing w:line="240" w:lineRule="auto"/>
            </w:pPr>
            <w:r>
              <w:t>Индекс старения</w:t>
            </w:r>
            <w:r>
              <w:rPr>
                <w:b/>
                <w:bCs/>
                <w:vertAlign w:val="superscript"/>
              </w:rPr>
              <w:t>а</w:t>
            </w:r>
          </w:p>
        </w:tc>
        <w:tc>
          <w:tcPr>
            <w:tcW w:w="850" w:type="dxa"/>
            <w:tcBorders>
              <w:left w:val="single" w:sz="4" w:space="0" w:color="auto"/>
              <w:bottom w:val="single" w:sz="4" w:space="0" w:color="auto"/>
              <w:right w:val="single" w:sz="4" w:space="0" w:color="auto"/>
            </w:tcBorders>
          </w:tcPr>
          <w:p w:rsidR="00000000" w:rsidRDefault="00000000">
            <w:pPr>
              <w:spacing w:line="240" w:lineRule="auto"/>
              <w:jc w:val="center"/>
            </w:pPr>
            <w:r>
              <w:t>92,4</w:t>
            </w:r>
          </w:p>
        </w:tc>
        <w:tc>
          <w:tcPr>
            <w:tcW w:w="850" w:type="dxa"/>
            <w:tcBorders>
              <w:left w:val="single" w:sz="4" w:space="0" w:color="auto"/>
              <w:bottom w:val="single" w:sz="4" w:space="0" w:color="auto"/>
              <w:right w:val="single" w:sz="4" w:space="0" w:color="auto"/>
            </w:tcBorders>
          </w:tcPr>
          <w:p w:rsidR="00000000" w:rsidRDefault="00000000">
            <w:pPr>
              <w:spacing w:line="240" w:lineRule="auto"/>
              <w:jc w:val="center"/>
            </w:pPr>
            <w:r>
              <w:t>95,4</w:t>
            </w:r>
          </w:p>
        </w:tc>
        <w:tc>
          <w:tcPr>
            <w:tcW w:w="850" w:type="dxa"/>
            <w:tcBorders>
              <w:left w:val="single" w:sz="4" w:space="0" w:color="auto"/>
              <w:bottom w:val="single" w:sz="4" w:space="0" w:color="auto"/>
              <w:right w:val="single" w:sz="4" w:space="0" w:color="auto"/>
            </w:tcBorders>
          </w:tcPr>
          <w:p w:rsidR="00000000" w:rsidRDefault="00000000">
            <w:pPr>
              <w:spacing w:line="240" w:lineRule="auto"/>
              <w:jc w:val="center"/>
            </w:pPr>
            <w:r>
              <w:t>98,1</w:t>
            </w:r>
          </w:p>
        </w:tc>
        <w:tc>
          <w:tcPr>
            <w:tcW w:w="850"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100,8</w:t>
            </w:r>
          </w:p>
        </w:tc>
        <w:tc>
          <w:tcPr>
            <w:tcW w:w="850" w:type="dxa"/>
            <w:tcBorders>
              <w:left w:val="single" w:sz="4" w:space="0" w:color="auto"/>
              <w:bottom w:val="single" w:sz="4" w:space="0" w:color="auto"/>
              <w:right w:val="single" w:sz="4" w:space="0" w:color="auto"/>
            </w:tcBorders>
          </w:tcPr>
          <w:p w:rsidR="00000000" w:rsidRDefault="00000000">
            <w:pPr>
              <w:pStyle w:val="16"/>
              <w:tabs>
                <w:tab w:val="clear" w:pos="567"/>
                <w:tab w:val="clear" w:pos="1134"/>
                <w:tab w:val="clear" w:pos="1701"/>
                <w:tab w:val="clear" w:pos="2268"/>
                <w:tab w:val="clear" w:pos="6237"/>
                <w:tab w:val="decimal" w:pos="454"/>
              </w:tabs>
              <w:spacing w:line="240" w:lineRule="auto"/>
              <w:jc w:val="left"/>
            </w:pPr>
            <w:r>
              <w:t>103,5</w:t>
            </w:r>
          </w:p>
        </w:tc>
        <w:tc>
          <w:tcPr>
            <w:tcW w:w="851"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4"/>
              </w:tabs>
              <w:spacing w:line="240" w:lineRule="auto"/>
            </w:pPr>
            <w:r>
              <w:t>106,4</w:t>
            </w:r>
          </w:p>
        </w:tc>
      </w:tr>
    </w:tbl>
    <w:p w:rsidR="00000000" w:rsidRDefault="00000000">
      <w:pPr>
        <w:pStyle w:val="FootnoteText"/>
        <w:spacing w:line="216" w:lineRule="auto"/>
      </w:pPr>
    </w:p>
    <w:p w:rsidR="00000000" w:rsidRDefault="00000000">
      <w:pPr>
        <w:spacing w:line="192" w:lineRule="auto"/>
      </w:pPr>
      <w:r>
        <w:tab/>
      </w:r>
      <w:r>
        <w:rPr>
          <w:u w:val="single"/>
        </w:rPr>
        <w:t>Источник</w:t>
      </w:r>
      <w:r>
        <w:t>:   Чешское статистическое управление, 1999 год.</w:t>
      </w:r>
    </w:p>
    <w:p w:rsidR="00000000" w:rsidRDefault="00000000">
      <w:pPr>
        <w:spacing w:line="192" w:lineRule="auto"/>
      </w:pPr>
    </w:p>
    <w:p w:rsidR="00000000" w:rsidRDefault="00000000">
      <w:pPr>
        <w:spacing w:line="192" w:lineRule="auto"/>
      </w:pPr>
      <w:r>
        <w:rPr>
          <w:b/>
          <w:bCs/>
          <w:vertAlign w:val="superscript"/>
        </w:rPr>
        <w:tab/>
        <w:t>а</w:t>
      </w:r>
      <w:r>
        <w:tab/>
        <w:t>Число лиц в возрасте 60 и более лет на 100 детей в возрасте 0</w:t>
      </w:r>
      <w:r>
        <w:sym w:font="Symbol" w:char="F02D"/>
      </w:r>
      <w:r>
        <w:t>14 лет.</w:t>
      </w:r>
    </w:p>
    <w:p w:rsidR="00000000" w:rsidRDefault="00000000"/>
    <w:p w:rsidR="00000000" w:rsidRDefault="00000000">
      <w:r>
        <w:t>9.</w:t>
      </w:r>
      <w:r>
        <w:tab/>
        <w:t>Информация о структуре населения по другим важным характеристикам, включая национальность, образование, вероисповедание и виды экономической активности, получена из последней переписи населения, домов и квартир в 1991 году.</w:t>
      </w:r>
    </w:p>
    <w:p w:rsidR="00000000" w:rsidRDefault="00000000"/>
    <w:p w:rsidR="00000000" w:rsidRDefault="00000000">
      <w:r>
        <w:t>10.</w:t>
      </w:r>
      <w:r>
        <w:tab/>
        <w:t>По национальному составу Чешская Республика является весьма однородной страной:  в 1991 году 95% всех жителей назвали себя чехами (включая моравов и силезцев).  Другими наиболее многочисленными национальностями являются словаки (3%), поляки (0,6%), немцы (0,5%) и рома (0,3%).  В стране также проживают венгры, украинцы, русские, болгары, греки и представители других национальностей.</w:t>
      </w:r>
    </w:p>
    <w:p w:rsidR="00000000" w:rsidRDefault="00000000"/>
    <w:p w:rsidR="00000000" w:rsidRDefault="00000000">
      <w:r>
        <w:t>11.</w:t>
      </w:r>
      <w:r>
        <w:tab/>
        <w:t>В ходе переписи более половины жителей указали, что они не исповедуют никакой религии или же не ответили на этот вопрос.  Общее число лиц, которые ответили на этот вопрос, причислили себя главным образом к христианским церквам, прежде всего к римско-католической церкви (89% всех лиц, ответивших на вопрос о религии).</w:t>
      </w:r>
    </w:p>
    <w:p w:rsidR="00000000" w:rsidRDefault="00000000"/>
    <w:p w:rsidR="00000000" w:rsidRDefault="00000000">
      <w:r>
        <w:t>12.</w:t>
      </w:r>
      <w:r>
        <w:tab/>
        <w:t>Уровень образования населения (наиболее высокий уровень образования для лиц в возрасте свыше 25 лет) в 1991 году выглядел следующим образом:  32% взрослого населения имели начальное образование, 59%  - среднее общее или торговое образование, 9% </w:t>
      </w:r>
      <w:r>
        <w:sym w:font="Symbol" w:char="F02D"/>
      </w:r>
      <w:r>
        <w:t xml:space="preserve"> высшее образование.  Представители молодых поколений имеют более высокий уровень образования.  Среди лиц в возрасте от 25 до 29 лет лишь 11% имели начальное образование, в возрасте от 50 до 59 лет </w:t>
      </w:r>
      <w:r>
        <w:sym w:font="Symbol" w:char="F02D"/>
      </w:r>
      <w:r>
        <w:t xml:space="preserve"> 37%, а в возрасте 60 лет и свыше это число составило более 56%.</w:t>
      </w:r>
    </w:p>
    <w:p w:rsidR="00000000" w:rsidRDefault="00000000"/>
    <w:p w:rsidR="00000000" w:rsidRDefault="00000000">
      <w:r>
        <w:t>13.</w:t>
      </w:r>
      <w:r>
        <w:tab/>
        <w:t>В 1995 году в группе работодателей насчитывалось 11% лиц, имеющих лишь начальное образование, 45% лиц, имеющих торговое образование без общего среднего образования, 32% лиц, окончивших среднюю школу, и почти 11% лиц, получивших высшее образование.</w:t>
      </w:r>
    </w:p>
    <w:p w:rsidR="00000000" w:rsidRDefault="00000000"/>
    <w:p w:rsidR="00000000" w:rsidRDefault="00000000">
      <w:r>
        <w:t>14.</w:t>
      </w:r>
      <w:r>
        <w:tab/>
        <w:t>В Чешской Республике экономически активное население отличается рядом характерных черт:  большинство работает по найму (получает доход от работы по найму), доминирующим сектором является промышленность, число лиц, работающих по найму, в сельском хозяйстве, сокращается, число лиц, занятых в непроизводственном секторе, постоянно возрастает, более 90% женщин репродуктивного возраста работают.</w:t>
      </w:r>
    </w:p>
    <w:p w:rsidR="00000000" w:rsidRDefault="00000000"/>
    <w:p w:rsidR="00000000" w:rsidRDefault="00000000">
      <w:r>
        <w:t>15.</w:t>
      </w:r>
      <w:r>
        <w:tab/>
        <w:t>В 90</w:t>
      </w:r>
      <w:r>
        <w:noBreakHyphen/>
        <w:t>х годах демографическая ситуация ухудшилась, и произошло снижение важных демографических показателей (число браков, фертильность и рождаемость).  Начиная с 1994 года происходило естественное сокращение численности населения.  В то же время продолжительность жизни (при рождении) увеличилась, причем среди мужчин в большей степени, чем среди женщин.  Увеличение продолжительности жизни объяснялось главным образом сокращением детской смертности и смертности среди старших поколений, т.е. в самых молодых и самых престарелых группах.  Вместе с тем смертность сократилась во всех возрастных группах, причем среди лиц в возрасте 40 лет и выше в большей степени, чем среди более молодых лиц.</w:t>
      </w:r>
    </w:p>
    <w:p w:rsidR="00000000" w:rsidRDefault="00000000"/>
    <w:p w:rsidR="00000000" w:rsidRDefault="00000000">
      <w:pPr>
        <w:pStyle w:val="Heading1"/>
        <w:jc w:val="center"/>
        <w:rPr>
          <w:b w:val="0"/>
        </w:rPr>
      </w:pPr>
      <w:r>
        <w:rPr>
          <w:bCs/>
        </w:rPr>
        <w:t>Население и демографическая статистика, 1993</w:t>
      </w:r>
      <w:r>
        <w:rPr>
          <w:bCs/>
        </w:rPr>
        <w:sym w:font="Symbol" w:char="F02D"/>
      </w:r>
      <w:r>
        <w:rPr>
          <w:bCs/>
        </w:rPr>
        <w:t>1998 годы</w:t>
      </w:r>
    </w:p>
    <w:p w:rsidR="00000000" w:rsidRDefault="00000000">
      <w:pPr>
        <w:pStyle w:val="Heading1"/>
        <w:rPr>
          <w:b w:val="0"/>
        </w:rPr>
      </w:pPr>
    </w:p>
    <w:tbl>
      <w:tblPr>
        <w:tblW w:w="9415" w:type="dxa"/>
        <w:tblLayout w:type="fixed"/>
        <w:tblCellMar>
          <w:top w:w="28" w:type="dxa"/>
          <w:left w:w="0" w:type="dxa"/>
          <w:bottom w:w="28" w:type="dxa"/>
          <w:right w:w="0" w:type="dxa"/>
        </w:tblCellMar>
        <w:tblLook w:val="0000" w:firstRow="0" w:lastRow="0" w:firstColumn="0" w:lastColumn="0" w:noHBand="0" w:noVBand="0"/>
      </w:tblPr>
      <w:tblGrid>
        <w:gridCol w:w="4280"/>
        <w:gridCol w:w="855"/>
        <w:gridCol w:w="856"/>
        <w:gridCol w:w="856"/>
        <w:gridCol w:w="856"/>
        <w:gridCol w:w="856"/>
        <w:gridCol w:w="856"/>
      </w:tblGrid>
      <w:tr w:rsidR="00000000">
        <w:tc>
          <w:tcPr>
            <w:tcW w:w="428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line="240" w:lineRule="auto"/>
              <w:jc w:val="center"/>
              <w:rPr>
                <w:b w:val="0"/>
              </w:rPr>
            </w:pPr>
            <w:r>
              <w:rPr>
                <w:b w:val="0"/>
              </w:rPr>
              <w:t>Показатель</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center"/>
            </w:pPr>
            <w:r>
              <w:t>1993</w:t>
            </w:r>
          </w:p>
        </w:tc>
        <w:tc>
          <w:tcPr>
            <w:tcW w:w="856" w:type="dxa"/>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center"/>
            </w:pPr>
            <w:r>
              <w:t>1994</w:t>
            </w:r>
          </w:p>
        </w:tc>
        <w:tc>
          <w:tcPr>
            <w:tcW w:w="856" w:type="dxa"/>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center"/>
            </w:pPr>
            <w:r>
              <w:t>1995</w:t>
            </w:r>
          </w:p>
        </w:tc>
        <w:tc>
          <w:tcPr>
            <w:tcW w:w="856" w:type="dxa"/>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center"/>
            </w:pPr>
            <w:r>
              <w:t>1996</w:t>
            </w:r>
          </w:p>
        </w:tc>
        <w:tc>
          <w:tcPr>
            <w:tcW w:w="856" w:type="dxa"/>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center"/>
            </w:pPr>
            <w:r>
              <w:t>1997</w:t>
            </w:r>
          </w:p>
        </w:tc>
        <w:tc>
          <w:tcPr>
            <w:tcW w:w="856" w:type="dxa"/>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center"/>
            </w:pPr>
            <w:r>
              <w:t>1998</w:t>
            </w:r>
          </w:p>
        </w:tc>
      </w:tr>
      <w:tr w:rsidR="00000000">
        <w:tc>
          <w:tcPr>
            <w:tcW w:w="4280" w:type="dxa"/>
            <w:tcBorders>
              <w:top w:val="single" w:sz="4" w:space="0" w:color="auto"/>
              <w:left w:val="single" w:sz="4" w:space="0" w:color="auto"/>
              <w:right w:val="single" w:sz="4" w:space="0" w:color="auto"/>
            </w:tcBorders>
          </w:tcPr>
          <w:p w:rsidR="00000000" w:rsidRDefault="00000000">
            <w:pPr>
              <w:pStyle w:val="FootnoteText"/>
              <w:keepNext/>
              <w:tabs>
                <w:tab w:val="clear" w:pos="567"/>
              </w:tabs>
            </w:pPr>
            <w:r>
              <w:t>Ожидаемая продолжительность жизни:</w:t>
            </w:r>
          </w:p>
        </w:tc>
        <w:tc>
          <w:tcPr>
            <w:tcW w:w="855" w:type="dxa"/>
            <w:tcBorders>
              <w:top w:val="single" w:sz="4" w:space="0" w:color="auto"/>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p>
        </w:tc>
        <w:tc>
          <w:tcPr>
            <w:tcW w:w="856" w:type="dxa"/>
            <w:tcBorders>
              <w:top w:val="single" w:sz="4" w:space="0" w:color="auto"/>
              <w:left w:val="single" w:sz="4" w:space="0" w:color="auto"/>
              <w:right w:val="single" w:sz="4" w:space="0" w:color="auto"/>
            </w:tcBorders>
          </w:tcPr>
          <w:p w:rsidR="00000000" w:rsidRDefault="00000000">
            <w:pPr>
              <w:pStyle w:val="FootnoteText"/>
              <w:keepNext/>
              <w:tabs>
                <w:tab w:val="clear" w:pos="567"/>
                <w:tab w:val="clear" w:pos="1134"/>
                <w:tab w:val="clear" w:pos="1701"/>
                <w:tab w:val="clear" w:pos="2268"/>
                <w:tab w:val="clear" w:pos="6237"/>
                <w:tab w:val="decimal" w:pos="454"/>
              </w:tabs>
            </w:pPr>
          </w:p>
        </w:tc>
        <w:tc>
          <w:tcPr>
            <w:tcW w:w="856" w:type="dxa"/>
            <w:tcBorders>
              <w:top w:val="single" w:sz="4" w:space="0" w:color="auto"/>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p>
        </w:tc>
        <w:tc>
          <w:tcPr>
            <w:tcW w:w="856" w:type="dxa"/>
            <w:tcBorders>
              <w:top w:val="single" w:sz="4" w:space="0" w:color="auto"/>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p>
        </w:tc>
        <w:tc>
          <w:tcPr>
            <w:tcW w:w="856" w:type="dxa"/>
            <w:tcBorders>
              <w:top w:val="single" w:sz="4" w:space="0" w:color="auto"/>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p>
        </w:tc>
        <w:tc>
          <w:tcPr>
            <w:tcW w:w="856" w:type="dxa"/>
            <w:tcBorders>
              <w:top w:val="single" w:sz="4" w:space="0" w:color="auto"/>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p>
        </w:tc>
      </w:tr>
      <w:tr w:rsidR="00000000">
        <w:tc>
          <w:tcPr>
            <w:tcW w:w="4280" w:type="dxa"/>
            <w:tcBorders>
              <w:left w:val="single" w:sz="4" w:space="0" w:color="auto"/>
              <w:right w:val="single" w:sz="4" w:space="0" w:color="auto"/>
            </w:tcBorders>
          </w:tcPr>
          <w:p w:rsidR="00000000" w:rsidRDefault="00000000">
            <w:pPr>
              <w:keepNext/>
              <w:tabs>
                <w:tab w:val="clear" w:pos="567"/>
                <w:tab w:val="clear" w:pos="1134"/>
                <w:tab w:val="left" w:pos="1130"/>
              </w:tabs>
              <w:spacing w:line="240" w:lineRule="auto"/>
            </w:pPr>
            <w:r>
              <w:tab/>
              <w:t>мужчины</w:t>
            </w:r>
          </w:p>
        </w:tc>
        <w:tc>
          <w:tcPr>
            <w:tcW w:w="855"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69,3</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69,5</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70,0</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70,4</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70,5</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71,1</w:t>
            </w:r>
          </w:p>
        </w:tc>
      </w:tr>
      <w:tr w:rsidR="00000000">
        <w:tc>
          <w:tcPr>
            <w:tcW w:w="4280" w:type="dxa"/>
            <w:tcBorders>
              <w:left w:val="single" w:sz="4" w:space="0" w:color="auto"/>
              <w:right w:val="single" w:sz="4" w:space="0" w:color="auto"/>
            </w:tcBorders>
          </w:tcPr>
          <w:p w:rsidR="00000000" w:rsidRDefault="00000000">
            <w:pPr>
              <w:keepNext/>
              <w:tabs>
                <w:tab w:val="clear" w:pos="567"/>
                <w:tab w:val="clear" w:pos="1134"/>
                <w:tab w:val="left" w:pos="1130"/>
              </w:tabs>
              <w:spacing w:line="240" w:lineRule="auto"/>
            </w:pPr>
            <w:r>
              <w:tab/>
              <w:t>женщины</w:t>
            </w:r>
          </w:p>
        </w:tc>
        <w:tc>
          <w:tcPr>
            <w:tcW w:w="855"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76,4</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76,6</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76,9</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77,3</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77,5</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78,6</w:t>
            </w:r>
          </w:p>
        </w:tc>
      </w:tr>
      <w:tr w:rsidR="00000000">
        <w:tc>
          <w:tcPr>
            <w:tcW w:w="4280" w:type="dxa"/>
            <w:tcBorders>
              <w:left w:val="single" w:sz="4" w:space="0" w:color="auto"/>
              <w:right w:val="single" w:sz="4" w:space="0" w:color="auto"/>
            </w:tcBorders>
          </w:tcPr>
          <w:p w:rsidR="00000000" w:rsidRDefault="00000000">
            <w:pPr>
              <w:keepNext/>
              <w:tabs>
                <w:tab w:val="clear" w:pos="567"/>
                <w:tab w:val="clear" w:pos="1134"/>
                <w:tab w:val="left" w:pos="1130"/>
              </w:tabs>
              <w:spacing w:line="240" w:lineRule="auto"/>
            </w:pPr>
            <w:r>
              <w:t>Живорождения на 1000 жителей</w:t>
            </w:r>
          </w:p>
        </w:tc>
        <w:tc>
          <w:tcPr>
            <w:tcW w:w="855"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11,7</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10,3</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9,3</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8,8</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8,8</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8,8</w:t>
            </w:r>
          </w:p>
        </w:tc>
      </w:tr>
      <w:tr w:rsidR="00000000">
        <w:tc>
          <w:tcPr>
            <w:tcW w:w="4280" w:type="dxa"/>
            <w:tcBorders>
              <w:left w:val="single" w:sz="4" w:space="0" w:color="auto"/>
              <w:right w:val="single" w:sz="4" w:space="0" w:color="auto"/>
            </w:tcBorders>
          </w:tcPr>
          <w:p w:rsidR="00000000" w:rsidRDefault="00000000">
            <w:pPr>
              <w:keepNext/>
              <w:spacing w:line="240" w:lineRule="auto"/>
            </w:pPr>
            <w:r>
              <w:t>Смертность на 1000 жителей</w:t>
            </w:r>
          </w:p>
        </w:tc>
        <w:tc>
          <w:tcPr>
            <w:tcW w:w="855"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11,4</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11,4</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11,4</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10,9</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10,9</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10,6</w:t>
            </w:r>
          </w:p>
        </w:tc>
      </w:tr>
      <w:tr w:rsidR="00000000">
        <w:tc>
          <w:tcPr>
            <w:tcW w:w="4280" w:type="dxa"/>
            <w:tcBorders>
              <w:left w:val="single" w:sz="4" w:space="0" w:color="auto"/>
              <w:right w:val="single" w:sz="4" w:space="0" w:color="auto"/>
            </w:tcBorders>
          </w:tcPr>
          <w:p w:rsidR="00000000" w:rsidRDefault="00000000">
            <w:pPr>
              <w:keepNext/>
              <w:spacing w:line="240" w:lineRule="auto"/>
            </w:pPr>
            <w:r>
              <w:t>Естественный прирост на 1000 жителей</w:t>
            </w:r>
          </w:p>
        </w:tc>
        <w:tc>
          <w:tcPr>
            <w:tcW w:w="855"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0,3</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–1,0</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–2,1</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–2,2</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–2,1</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–1,8</w:t>
            </w:r>
          </w:p>
        </w:tc>
      </w:tr>
      <w:tr w:rsidR="00000000">
        <w:tc>
          <w:tcPr>
            <w:tcW w:w="4280" w:type="dxa"/>
            <w:tcBorders>
              <w:left w:val="single" w:sz="4" w:space="0" w:color="auto"/>
              <w:right w:val="single" w:sz="4" w:space="0" w:color="auto"/>
            </w:tcBorders>
          </w:tcPr>
          <w:p w:rsidR="00000000" w:rsidRDefault="00000000">
            <w:pPr>
              <w:keepNext/>
              <w:spacing w:line="240" w:lineRule="auto"/>
            </w:pPr>
            <w:r>
              <w:t>Браки на 1000 жителей</w:t>
            </w:r>
          </w:p>
        </w:tc>
        <w:tc>
          <w:tcPr>
            <w:tcW w:w="855"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6,4</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5,7</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5,3</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5,2</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5,6</w:t>
            </w:r>
          </w:p>
        </w:tc>
        <w:tc>
          <w:tcPr>
            <w:tcW w:w="856" w:type="dxa"/>
            <w:tcBorders>
              <w:left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5,3</w:t>
            </w:r>
          </w:p>
        </w:tc>
      </w:tr>
      <w:tr w:rsidR="00000000">
        <w:tc>
          <w:tcPr>
            <w:tcW w:w="4280" w:type="dxa"/>
            <w:tcBorders>
              <w:left w:val="single" w:sz="4" w:space="0" w:color="auto"/>
              <w:bottom w:val="single" w:sz="4" w:space="0" w:color="auto"/>
              <w:right w:val="single" w:sz="4" w:space="0" w:color="auto"/>
            </w:tcBorders>
          </w:tcPr>
          <w:p w:rsidR="00000000" w:rsidRDefault="00000000">
            <w:pPr>
              <w:keepNext/>
              <w:spacing w:line="240" w:lineRule="auto"/>
            </w:pPr>
            <w:r>
              <w:t>Разводы на 1000 браков</w:t>
            </w:r>
          </w:p>
        </w:tc>
        <w:tc>
          <w:tcPr>
            <w:tcW w:w="855" w:type="dxa"/>
            <w:tcBorders>
              <w:left w:val="single" w:sz="4" w:space="0" w:color="auto"/>
              <w:bottom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45,8</w:t>
            </w:r>
          </w:p>
        </w:tc>
        <w:tc>
          <w:tcPr>
            <w:tcW w:w="856" w:type="dxa"/>
            <w:tcBorders>
              <w:left w:val="single" w:sz="4" w:space="0" w:color="auto"/>
              <w:bottom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52,9</w:t>
            </w:r>
          </w:p>
        </w:tc>
        <w:tc>
          <w:tcPr>
            <w:tcW w:w="856" w:type="dxa"/>
            <w:tcBorders>
              <w:left w:val="single" w:sz="4" w:space="0" w:color="auto"/>
              <w:bottom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56,7</w:t>
            </w:r>
          </w:p>
        </w:tc>
        <w:tc>
          <w:tcPr>
            <w:tcW w:w="856" w:type="dxa"/>
            <w:tcBorders>
              <w:left w:val="single" w:sz="4" w:space="0" w:color="auto"/>
              <w:bottom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61,4</w:t>
            </w:r>
          </w:p>
        </w:tc>
        <w:tc>
          <w:tcPr>
            <w:tcW w:w="856" w:type="dxa"/>
            <w:tcBorders>
              <w:left w:val="single" w:sz="4" w:space="0" w:color="auto"/>
              <w:bottom w:val="single" w:sz="4" w:space="0" w:color="auto"/>
              <w:right w:val="single" w:sz="4" w:space="0" w:color="auto"/>
            </w:tcBorders>
          </w:tcPr>
          <w:p w:rsidR="00000000" w:rsidRDefault="00000000">
            <w:pPr>
              <w:pStyle w:val="16"/>
              <w:keepNext/>
              <w:tabs>
                <w:tab w:val="clear" w:pos="567"/>
                <w:tab w:val="clear" w:pos="1134"/>
                <w:tab w:val="clear" w:pos="1701"/>
                <w:tab w:val="clear" w:pos="2268"/>
                <w:tab w:val="clear" w:pos="6237"/>
                <w:tab w:val="decimal" w:pos="454"/>
              </w:tabs>
              <w:spacing w:line="240" w:lineRule="auto"/>
              <w:jc w:val="left"/>
            </w:pPr>
            <w:r>
              <w:t>56,2</w:t>
            </w:r>
          </w:p>
        </w:tc>
        <w:tc>
          <w:tcPr>
            <w:tcW w:w="856" w:type="dxa"/>
            <w:tcBorders>
              <w:left w:val="single" w:sz="4" w:space="0" w:color="auto"/>
              <w:bottom w:val="single" w:sz="4" w:space="0" w:color="auto"/>
              <w:right w:val="single" w:sz="4" w:space="0" w:color="auto"/>
            </w:tcBorders>
          </w:tcPr>
          <w:p w:rsidR="00000000" w:rsidRDefault="00000000">
            <w:pPr>
              <w:keepNext/>
              <w:tabs>
                <w:tab w:val="clear" w:pos="567"/>
                <w:tab w:val="clear" w:pos="1134"/>
                <w:tab w:val="clear" w:pos="1701"/>
                <w:tab w:val="clear" w:pos="2268"/>
                <w:tab w:val="clear" w:pos="6237"/>
                <w:tab w:val="decimal" w:pos="454"/>
              </w:tabs>
              <w:spacing w:line="240" w:lineRule="auto"/>
            </w:pPr>
            <w:r>
              <w:t>58,8</w:t>
            </w:r>
          </w:p>
        </w:tc>
      </w:tr>
    </w:tbl>
    <w:p w:rsidR="00000000" w:rsidRDefault="00000000">
      <w:pPr>
        <w:pStyle w:val="FootnoteText"/>
        <w:keepNext/>
        <w:spacing w:line="288" w:lineRule="auto"/>
      </w:pPr>
    </w:p>
    <w:p w:rsidR="00000000" w:rsidRDefault="00000000">
      <w:pPr>
        <w:rPr>
          <w:lang w:val="en-US"/>
        </w:rPr>
      </w:pPr>
      <w:r>
        <w:tab/>
      </w:r>
      <w:r>
        <w:rPr>
          <w:u w:val="single"/>
        </w:rPr>
        <w:t>Источник</w:t>
      </w:r>
      <w:r>
        <w:rPr>
          <w:lang w:val="en-US"/>
        </w:rPr>
        <w:t>:   Statistical Yearbook of the CR, 1999.</w:t>
      </w:r>
    </w:p>
    <w:p w:rsidR="00000000" w:rsidRDefault="00000000">
      <w:pPr>
        <w:pStyle w:val="FootnoteText"/>
        <w:spacing w:line="288" w:lineRule="auto"/>
        <w:rPr>
          <w:lang w:val="en-US"/>
        </w:rPr>
      </w:pPr>
    </w:p>
    <w:p w:rsidR="00000000" w:rsidRDefault="00000000">
      <w:pPr>
        <w:pStyle w:val="FootnoteText"/>
        <w:spacing w:line="288" w:lineRule="auto"/>
      </w:pPr>
      <w:r>
        <w:t>16.</w:t>
      </w:r>
      <w:r>
        <w:tab/>
        <w:t>Негативным моментом является высокий уровень разводов.  В 1997 году практически 42% браков закончились разводом, тогда как в момент создания Чешской Республики эта цифра составляла всего лишь 36%.  В то же время демографическая картина в 90</w:t>
      </w:r>
      <w:r>
        <w:noBreakHyphen/>
        <w:t>х годах также показывает положительные изменения в практике заключения браков:  средний возраст вступления в первый брак и рождения первого ребенка возрастает.  Увеличивается число супружеских пар, живущих совместно в так называемом фактическом браке.</w:t>
      </w:r>
    </w:p>
    <w:p w:rsidR="00000000" w:rsidRDefault="00000000">
      <w:pPr>
        <w:pStyle w:val="FootnoteText"/>
        <w:spacing w:line="288" w:lineRule="auto"/>
      </w:pPr>
    </w:p>
    <w:p w:rsidR="00000000" w:rsidRDefault="00000000">
      <w:r>
        <w:t>17.</w:t>
      </w:r>
      <w:r>
        <w:tab/>
        <w:t>На демографической ситуации во все большей степени сказывается иммиграция, которая приводит к снижению показателей старения населения и увеличению численности.  Растет число иностранцев, имеющих долгосрочный и постоянный вид на жительство в стране.  В 1993 году на 1 000 жителей приходилось 7,5 таких иностранцев, а в 1997 году это число составило 23,4.  В абсолютном выражении число граждан иностранных государств составило 77 700 в 1993 году и 209 800 в 1997 году</w:t>
      </w:r>
      <w:r>
        <w:rPr>
          <w:rStyle w:val="FootnoteReference"/>
        </w:rPr>
        <w:footnoteReference w:id="3"/>
      </w:r>
      <w:r>
        <w:t>.  Главными источниками иммиграции в Чешскую Республику являются Словакия, Вьетнам, Украина, Германия и Российская Федерация.</w:t>
      </w:r>
    </w:p>
    <w:p w:rsidR="00000000" w:rsidRDefault="00000000"/>
    <w:p w:rsidR="00000000" w:rsidRDefault="00000000">
      <w:r>
        <w:t>18.</w:t>
      </w:r>
      <w:r>
        <w:tab/>
        <w:t>Внутренняя миграция характеризуется долгосрочным постепенным сокращением масштабов переезда, особенно на большие расстояния.  Наибольшие потери численности населения наблюдаются в городах среднего размера с населением 54 000</w:t>
      </w:r>
      <w:r>
        <w:noBreakHyphen/>
        <w:t>100 000 человек и в крупных городах.  Напротив, возрастает численность населения в населенных пунктах с 2 000-5 000 жителей, расположенных вблизи промышленных и административных центров.  Этот процесс имеет в основном социальные и экологические причины.  Сокращение численности и ускорение старения населения также по</w:t>
      </w:r>
      <w:r>
        <w:noBreakHyphen/>
        <w:t>прежнему наблюдаются в самых маленьких сельских общинах с населением до 200 и 500 жителей.</w:t>
      </w:r>
    </w:p>
    <w:p w:rsidR="00000000" w:rsidRDefault="00000000"/>
    <w:p w:rsidR="00000000" w:rsidRDefault="00000000">
      <w:pPr>
        <w:jc w:val="center"/>
      </w:pPr>
      <w:r>
        <w:rPr>
          <w:b/>
          <w:bCs/>
        </w:rPr>
        <w:t>В.</w:t>
      </w:r>
      <w:r>
        <w:rPr>
          <w:b/>
          <w:bCs/>
        </w:rPr>
        <w:tab/>
        <w:t>Экономическое положение</w:t>
      </w:r>
    </w:p>
    <w:p w:rsidR="00000000" w:rsidRDefault="00000000">
      <w:pPr>
        <w:pStyle w:val="16"/>
      </w:pPr>
    </w:p>
    <w:p w:rsidR="00000000" w:rsidRDefault="00000000">
      <w:r>
        <w:t>19.</w:t>
      </w:r>
      <w:r>
        <w:tab/>
        <w:t>С момента своего создания в 1993 году Чешская Республика продолжает укреплять свою рыночную экономику и создавать условия для более быстрого и устойчивого экономического роста и повышения уровня жизни населения.  Важнейшей целью экономической политики является вступление в Европейский союз.  Страна сможет противостоять конкурентному давлению и рыночным силам в Европейском союзе, если она ускорит свои структурные реформы</w:t>
      </w:r>
      <w:r>
        <w:rPr>
          <w:rStyle w:val="FootnoteReference"/>
        </w:rPr>
        <w:footnoteReference w:id="4"/>
      </w:r>
      <w:r>
        <w:t>.</w:t>
      </w:r>
    </w:p>
    <w:p w:rsidR="00000000" w:rsidRDefault="00000000"/>
    <w:p w:rsidR="00000000" w:rsidRDefault="00000000">
      <w:r>
        <w:t>20.</w:t>
      </w:r>
      <w:r>
        <w:tab/>
        <w:t xml:space="preserve">Структура экономики Чешской Республики соответствует структуре экономически развитых стран.  В 1997 году в сельском хозяйстве (включая лесное хозяйство, охоту и разведение дичи и рыбное хозяйство) было занято примерно 5% общей численности экономически активного населения;  на его долю приходилось 4% валового внутреннего продукта (ВВП).  В 1997 году валовой внутренний продукт в пересчете на душу населения составлял примерно 63% от среднего показателя в странах - членах Европейского союза, т.е. 160 089 чешских крон на одного жителя (примерно 12 000 евро). </w:t>
      </w:r>
    </w:p>
    <w:p w:rsidR="00000000" w:rsidRDefault="00000000"/>
    <w:p w:rsidR="00000000" w:rsidRDefault="00000000">
      <w:r>
        <w:t>21.</w:t>
      </w:r>
      <w:r>
        <w:tab/>
        <w:t>Преобладающей формой собственности является частная собственность.  Однако государство по</w:t>
      </w:r>
      <w:r>
        <w:noBreakHyphen/>
        <w:t>прежнему обладает значительными авуарами, например в компаниях, занимающихся производством и распределением электроэнергии, горнорудной промышленности, черной металлургии и в некоторых наиболее крупных банках.  Большая доля сельскохозяйственных земель также остается в руках государства, хотя земельный рынок также либерализован.  Большинство товаров продается по рыночным ценам, но по</w:t>
      </w:r>
      <w:r>
        <w:noBreakHyphen/>
        <w:t>прежнему регулируются цены на энергию и услуги в бытовом секторе, включая квартирную плату.  Также регулируются цены на проезд в пассажирских автобусах, на железнодорожном транспорте и на услуги телесвязи.</w:t>
      </w:r>
    </w:p>
    <w:p w:rsidR="00000000" w:rsidRDefault="00000000"/>
    <w:p w:rsidR="00000000" w:rsidRDefault="00000000">
      <w:r>
        <w:t>22.</w:t>
      </w:r>
      <w:r>
        <w:tab/>
        <w:t>В первые годы существования независимой республики после начального спада в обрабатывающей промышленности, связанного с первыми шагами на пути перехода к рыночной экономике, положение в национальной экономике улучшилось, и в 1995 году темпы роста ВВП составили 6,4%, а в 1996 году - 3,8%.  Процесс восстановления экономики был прерван в результате стагнации в обрабатывающей промышленности в 1997 году (темпы роста ВВП в реальном выражении составили всего лишь 0,3%) и существенного экономического спада в 1998 и 1999 годах.  На изменение темпов экономического роста в течение всего периода существенным образом повлияли колебания в объеме притока иностранного капитала, который составил 15,8% ВВП в 1995 году, но всего лишь 2% в 1997 и 4,7% в 1998 году.</w:t>
      </w:r>
    </w:p>
    <w:p w:rsidR="00000000" w:rsidRDefault="00000000"/>
    <w:p w:rsidR="00000000" w:rsidRDefault="00000000">
      <w:r>
        <w:t>23.</w:t>
      </w:r>
      <w:r>
        <w:tab/>
        <w:t>После первых лет перехода к рыночной экономике, характеризовавшихся весьма низким уровнем безработицы, темпы роста безработицы быстро выросли в 1997 и 1998 годах;  в середине 1999 года они составили более 8%.  Рост безработицы является результатом замедления экономического роста и реструктуризации предпринимательского сектора.</w:t>
      </w:r>
    </w:p>
    <w:p w:rsidR="00000000" w:rsidRDefault="00000000"/>
    <w:p w:rsidR="00000000" w:rsidRDefault="00000000">
      <w:r>
        <w:t>24.</w:t>
      </w:r>
      <w:r>
        <w:tab/>
        <w:t xml:space="preserve">Учитывая преобразование экономики, инфляция в Чешской Республике в отчетный период была относительно низкой.  Она составляла 8-11%, а в 1999 году даже сократилась до 2,5%.  Налоговая политика в Чешской Республике была весьма строгой, что до 1997 года проявлялось, в частности, в утверждении сбалансированных государственных бюджетов.  Начиная с 1996 года дефицит бюджета начал расти и составил в 1998 году 1,5% ВВП, несмотря на усилия, предпринятые с целью ограничения государственных расходов.  Уровень государственной задолженности относительно невелик:  всего лишь 13,2% ВВП.  Однако учитывая скрытые дефициты, порожденные внебюджетными операциями и высоким числом государственных гарантий для программ оживления экономики, фактическая государственная задолженность, по оценкам, в два раза выше объявленной цифры. </w:t>
      </w:r>
    </w:p>
    <w:p w:rsidR="00000000" w:rsidRDefault="00000000">
      <w:pPr>
        <w:spacing w:line="240" w:lineRule="auto"/>
        <w:rPr>
          <w:lang w:val="en-US"/>
        </w:rPr>
      </w:pPr>
    </w:p>
    <w:p w:rsidR="00000000" w:rsidRDefault="00000000">
      <w:pPr>
        <w:pStyle w:val="Heading1"/>
        <w:spacing w:line="240" w:lineRule="auto"/>
        <w:jc w:val="center"/>
        <w:rPr>
          <w:bCs/>
        </w:rPr>
      </w:pPr>
      <w:r>
        <w:rPr>
          <w:bCs/>
        </w:rPr>
        <w:t>Рост основных показателей национальной экономики Чешской Республики</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5637"/>
        <w:gridCol w:w="754"/>
        <w:gridCol w:w="755"/>
        <w:gridCol w:w="754"/>
        <w:gridCol w:w="755"/>
        <w:gridCol w:w="755"/>
      </w:tblGrid>
      <w:tr w:rsidR="00000000">
        <w:tblPrEx>
          <w:tblCellMar>
            <w:top w:w="0" w:type="dxa"/>
            <w:bottom w:w="0" w:type="dxa"/>
          </w:tblCellMar>
        </w:tblPrEx>
        <w:trPr>
          <w:tblHeader/>
        </w:trPr>
        <w:tc>
          <w:tcPr>
            <w:tcW w:w="5638" w:type="dxa"/>
            <w:tcBorders>
              <w:top w:val="single" w:sz="4" w:space="0" w:color="auto"/>
              <w:bottom w:val="single" w:sz="4" w:space="0" w:color="auto"/>
            </w:tcBorders>
          </w:tcPr>
          <w:p w:rsidR="00000000" w:rsidRDefault="00000000">
            <w:pPr>
              <w:pStyle w:val="Heading1"/>
              <w:spacing w:line="240" w:lineRule="auto"/>
              <w:jc w:val="center"/>
              <w:rPr>
                <w:b w:val="0"/>
              </w:rPr>
            </w:pPr>
            <w:r>
              <w:rPr>
                <w:b w:val="0"/>
              </w:rPr>
              <w:t>Показатель</w:t>
            </w:r>
          </w:p>
        </w:tc>
        <w:tc>
          <w:tcPr>
            <w:tcW w:w="754" w:type="dxa"/>
            <w:tcBorders>
              <w:top w:val="single" w:sz="4" w:space="0" w:color="auto"/>
              <w:bottom w:val="single" w:sz="4" w:space="0" w:color="auto"/>
            </w:tcBorders>
          </w:tcPr>
          <w:p w:rsidR="00000000" w:rsidRDefault="00000000">
            <w:pPr>
              <w:spacing w:line="240" w:lineRule="auto"/>
              <w:jc w:val="center"/>
            </w:pPr>
            <w:r>
              <w:t>1994</w:t>
            </w:r>
          </w:p>
        </w:tc>
        <w:tc>
          <w:tcPr>
            <w:tcW w:w="755" w:type="dxa"/>
            <w:tcBorders>
              <w:top w:val="single" w:sz="4" w:space="0" w:color="auto"/>
              <w:bottom w:val="single" w:sz="4" w:space="0" w:color="auto"/>
            </w:tcBorders>
          </w:tcPr>
          <w:p w:rsidR="00000000" w:rsidRDefault="00000000">
            <w:pPr>
              <w:spacing w:line="240" w:lineRule="auto"/>
              <w:jc w:val="center"/>
            </w:pPr>
            <w:r>
              <w:t>1995</w:t>
            </w:r>
          </w:p>
        </w:tc>
        <w:tc>
          <w:tcPr>
            <w:tcW w:w="754" w:type="dxa"/>
            <w:tcBorders>
              <w:top w:val="single" w:sz="4" w:space="0" w:color="auto"/>
              <w:bottom w:val="single" w:sz="4" w:space="0" w:color="auto"/>
            </w:tcBorders>
          </w:tcPr>
          <w:p w:rsidR="00000000" w:rsidRDefault="00000000">
            <w:pPr>
              <w:spacing w:line="240" w:lineRule="auto"/>
              <w:jc w:val="center"/>
            </w:pPr>
            <w:r>
              <w:t>1996</w:t>
            </w:r>
          </w:p>
        </w:tc>
        <w:tc>
          <w:tcPr>
            <w:tcW w:w="755" w:type="dxa"/>
            <w:tcBorders>
              <w:top w:val="single" w:sz="4" w:space="0" w:color="auto"/>
              <w:bottom w:val="single" w:sz="4" w:space="0" w:color="auto"/>
            </w:tcBorders>
          </w:tcPr>
          <w:p w:rsidR="00000000" w:rsidRDefault="00000000">
            <w:pPr>
              <w:spacing w:line="240" w:lineRule="auto"/>
              <w:jc w:val="center"/>
            </w:pPr>
            <w:r>
              <w:t>1997</w:t>
            </w:r>
          </w:p>
        </w:tc>
        <w:tc>
          <w:tcPr>
            <w:tcW w:w="755" w:type="dxa"/>
            <w:tcBorders>
              <w:top w:val="single" w:sz="4" w:space="0" w:color="auto"/>
              <w:bottom w:val="single" w:sz="4" w:space="0" w:color="auto"/>
            </w:tcBorders>
          </w:tcPr>
          <w:p w:rsidR="00000000" w:rsidRDefault="00000000">
            <w:pPr>
              <w:spacing w:line="240" w:lineRule="auto"/>
              <w:jc w:val="center"/>
            </w:pPr>
            <w:r>
              <w:t>1998</w:t>
            </w:r>
          </w:p>
        </w:tc>
      </w:tr>
      <w:tr w:rsidR="00000000">
        <w:tblPrEx>
          <w:tblCellMar>
            <w:top w:w="0" w:type="dxa"/>
            <w:bottom w:w="0" w:type="dxa"/>
          </w:tblCellMar>
        </w:tblPrEx>
        <w:tc>
          <w:tcPr>
            <w:tcW w:w="5638" w:type="dxa"/>
            <w:tcBorders>
              <w:top w:val="single" w:sz="4" w:space="0" w:color="auto"/>
            </w:tcBorders>
          </w:tcPr>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r>
              <w:rPr>
                <w:rFonts w:ascii="Times New Roman" w:hAnsi="Times New Roman"/>
                <w:snapToGrid/>
                <w:lang w:eastAsia="en-US"/>
              </w:rPr>
              <w:t>Рост ВВП в реальном выражении (%)</w:t>
            </w:r>
          </w:p>
        </w:tc>
        <w:tc>
          <w:tcPr>
            <w:tcW w:w="754" w:type="dxa"/>
            <w:tcBorders>
              <w:top w:val="single" w:sz="4" w:space="0" w:color="auto"/>
            </w:tcBorders>
          </w:tcPr>
          <w:p w:rsidR="00000000" w:rsidRDefault="00000000">
            <w:pPr>
              <w:spacing w:line="240" w:lineRule="auto"/>
              <w:jc w:val="right"/>
            </w:pPr>
            <w:r>
              <w:t>2,7</w:t>
            </w:r>
          </w:p>
        </w:tc>
        <w:tc>
          <w:tcPr>
            <w:tcW w:w="755" w:type="dxa"/>
            <w:tcBorders>
              <w:top w:val="single" w:sz="4" w:space="0" w:color="auto"/>
            </w:tcBorders>
          </w:tcPr>
          <w:p w:rsidR="00000000" w:rsidRDefault="00000000">
            <w:pPr>
              <w:spacing w:line="240" w:lineRule="auto"/>
              <w:jc w:val="right"/>
            </w:pPr>
            <w:r>
              <w:t>6,4</w:t>
            </w:r>
          </w:p>
        </w:tc>
        <w:tc>
          <w:tcPr>
            <w:tcW w:w="754" w:type="dxa"/>
            <w:tcBorders>
              <w:top w:val="single" w:sz="4" w:space="0" w:color="auto"/>
            </w:tcBorders>
          </w:tcPr>
          <w:p w:rsidR="00000000" w:rsidRDefault="00000000">
            <w:pPr>
              <w:spacing w:line="240" w:lineRule="auto"/>
              <w:jc w:val="right"/>
            </w:pPr>
            <w:r>
              <w:t>3,9</w:t>
            </w:r>
          </w:p>
        </w:tc>
        <w:tc>
          <w:tcPr>
            <w:tcW w:w="755" w:type="dxa"/>
            <w:tcBorders>
              <w:top w:val="single" w:sz="4" w:space="0" w:color="auto"/>
            </w:tcBorders>
          </w:tcPr>
          <w:p w:rsidR="00000000" w:rsidRDefault="00000000">
            <w:pPr>
              <w:spacing w:line="240" w:lineRule="auto"/>
              <w:jc w:val="right"/>
            </w:pPr>
            <w:r>
              <w:t>1,0</w:t>
            </w:r>
          </w:p>
        </w:tc>
        <w:tc>
          <w:tcPr>
            <w:tcW w:w="755" w:type="dxa"/>
            <w:tcBorders>
              <w:top w:val="single" w:sz="4" w:space="0" w:color="auto"/>
            </w:tcBorders>
          </w:tcPr>
          <w:p w:rsidR="00000000" w:rsidRDefault="00000000">
            <w:pPr>
              <w:spacing w:line="240" w:lineRule="auto"/>
              <w:jc w:val="right"/>
            </w:pPr>
            <w:r>
              <w:t>-2,3</w:t>
            </w:r>
          </w:p>
        </w:tc>
      </w:tr>
      <w:tr w:rsidR="00000000">
        <w:tblPrEx>
          <w:tblCellMar>
            <w:top w:w="0" w:type="dxa"/>
            <w:bottom w:w="0" w:type="dxa"/>
          </w:tblCellMar>
        </w:tblPrEx>
        <w:tc>
          <w:tcPr>
            <w:tcW w:w="5638" w:type="dxa"/>
          </w:tcPr>
          <w:p w:rsidR="00000000" w:rsidRDefault="00000000">
            <w:pPr>
              <w:spacing w:line="240" w:lineRule="auto"/>
            </w:pPr>
            <w:r>
              <w:t>Темпы инфляции (%)</w:t>
            </w:r>
          </w:p>
        </w:tc>
        <w:tc>
          <w:tcPr>
            <w:tcW w:w="754" w:type="dxa"/>
          </w:tcPr>
          <w:p w:rsidR="00000000" w:rsidRDefault="00000000">
            <w:pPr>
              <w:spacing w:line="240" w:lineRule="auto"/>
              <w:jc w:val="right"/>
            </w:pPr>
            <w:r>
              <w:t>10,0</w:t>
            </w:r>
          </w:p>
        </w:tc>
        <w:tc>
          <w:tcPr>
            <w:tcW w:w="755" w:type="dxa"/>
          </w:tcPr>
          <w:p w:rsidR="00000000" w:rsidRDefault="00000000">
            <w:pPr>
              <w:spacing w:line="240" w:lineRule="auto"/>
              <w:jc w:val="right"/>
            </w:pPr>
            <w:r>
              <w:t>9,1</w:t>
            </w:r>
          </w:p>
        </w:tc>
        <w:tc>
          <w:tcPr>
            <w:tcW w:w="754" w:type="dxa"/>
          </w:tcPr>
          <w:p w:rsidR="00000000" w:rsidRDefault="00000000">
            <w:pPr>
              <w:spacing w:line="240" w:lineRule="auto"/>
              <w:jc w:val="right"/>
            </w:pPr>
            <w:r>
              <w:t>8,8</w:t>
            </w:r>
          </w:p>
        </w:tc>
        <w:tc>
          <w:tcPr>
            <w:tcW w:w="755" w:type="dxa"/>
          </w:tcPr>
          <w:p w:rsidR="00000000" w:rsidRDefault="00000000">
            <w:pPr>
              <w:spacing w:line="240" w:lineRule="auto"/>
              <w:jc w:val="right"/>
            </w:pPr>
            <w:r>
              <w:t>8,5</w:t>
            </w:r>
          </w:p>
        </w:tc>
        <w:tc>
          <w:tcPr>
            <w:tcW w:w="755" w:type="dxa"/>
          </w:tcPr>
          <w:p w:rsidR="00000000" w:rsidRDefault="00000000">
            <w:pPr>
              <w:spacing w:line="240" w:lineRule="auto"/>
              <w:jc w:val="right"/>
            </w:pPr>
            <w:r>
              <w:t>10,7</w:t>
            </w:r>
          </w:p>
        </w:tc>
      </w:tr>
      <w:tr w:rsidR="00000000">
        <w:tblPrEx>
          <w:tblCellMar>
            <w:top w:w="0" w:type="dxa"/>
            <w:bottom w:w="0" w:type="dxa"/>
          </w:tblCellMar>
        </w:tblPrEx>
        <w:tc>
          <w:tcPr>
            <w:tcW w:w="5638" w:type="dxa"/>
          </w:tcPr>
          <w:p w:rsidR="00000000" w:rsidRDefault="00000000">
            <w:pPr>
              <w:spacing w:line="240" w:lineRule="auto"/>
            </w:pPr>
            <w:r>
              <w:tab/>
              <w:t>Уровень безработицы (%)</w:t>
            </w:r>
          </w:p>
        </w:tc>
        <w:tc>
          <w:tcPr>
            <w:tcW w:w="754" w:type="dxa"/>
          </w:tcPr>
          <w:p w:rsidR="00000000" w:rsidRDefault="00000000">
            <w:pPr>
              <w:spacing w:line="240" w:lineRule="auto"/>
              <w:jc w:val="right"/>
            </w:pPr>
          </w:p>
        </w:tc>
        <w:tc>
          <w:tcPr>
            <w:tcW w:w="755" w:type="dxa"/>
          </w:tcPr>
          <w:p w:rsidR="00000000" w:rsidRDefault="00000000">
            <w:pPr>
              <w:spacing w:line="240" w:lineRule="auto"/>
              <w:jc w:val="right"/>
            </w:pPr>
          </w:p>
        </w:tc>
        <w:tc>
          <w:tcPr>
            <w:tcW w:w="754" w:type="dxa"/>
          </w:tcPr>
          <w:p w:rsidR="00000000" w:rsidRDefault="00000000">
            <w:pPr>
              <w:spacing w:line="240" w:lineRule="auto"/>
              <w:jc w:val="right"/>
            </w:pPr>
          </w:p>
        </w:tc>
        <w:tc>
          <w:tcPr>
            <w:tcW w:w="755" w:type="dxa"/>
          </w:tcPr>
          <w:p w:rsidR="00000000" w:rsidRDefault="00000000">
            <w:pPr>
              <w:spacing w:line="240" w:lineRule="auto"/>
              <w:jc w:val="right"/>
            </w:pPr>
          </w:p>
        </w:tc>
        <w:tc>
          <w:tcPr>
            <w:tcW w:w="755" w:type="dxa"/>
          </w:tcPr>
          <w:p w:rsidR="00000000" w:rsidRDefault="00000000">
            <w:pPr>
              <w:spacing w:line="240" w:lineRule="auto"/>
              <w:jc w:val="right"/>
            </w:pPr>
          </w:p>
        </w:tc>
      </w:tr>
      <w:tr w:rsidR="00000000">
        <w:tblPrEx>
          <w:tblCellMar>
            <w:top w:w="0" w:type="dxa"/>
            <w:bottom w:w="0" w:type="dxa"/>
          </w:tblCellMar>
        </w:tblPrEx>
        <w:tc>
          <w:tcPr>
            <w:tcW w:w="5638" w:type="dxa"/>
          </w:tcPr>
          <w:p w:rsidR="00000000" w:rsidRDefault="00000000">
            <w:pPr>
              <w:spacing w:line="240" w:lineRule="auto"/>
            </w:pPr>
            <w:r>
              <w:tab/>
              <w:t>согласно определениям МОТ</w:t>
            </w:r>
          </w:p>
        </w:tc>
        <w:tc>
          <w:tcPr>
            <w:tcW w:w="754" w:type="dxa"/>
          </w:tcPr>
          <w:p w:rsidR="00000000" w:rsidRDefault="00000000">
            <w:pPr>
              <w:spacing w:line="240" w:lineRule="auto"/>
              <w:jc w:val="right"/>
            </w:pPr>
            <w:r>
              <w:t>3,8</w:t>
            </w:r>
          </w:p>
        </w:tc>
        <w:tc>
          <w:tcPr>
            <w:tcW w:w="755" w:type="dxa"/>
          </w:tcPr>
          <w:p w:rsidR="00000000" w:rsidRDefault="00000000">
            <w:pPr>
              <w:spacing w:line="240" w:lineRule="auto"/>
              <w:jc w:val="right"/>
            </w:pPr>
            <w:r>
              <w:t>4,1</w:t>
            </w:r>
          </w:p>
        </w:tc>
        <w:tc>
          <w:tcPr>
            <w:tcW w:w="754" w:type="dxa"/>
          </w:tcPr>
          <w:p w:rsidR="00000000" w:rsidRDefault="00000000">
            <w:pPr>
              <w:spacing w:line="240" w:lineRule="auto"/>
              <w:jc w:val="right"/>
            </w:pPr>
            <w:r>
              <w:t>3,5</w:t>
            </w:r>
          </w:p>
        </w:tc>
        <w:tc>
          <w:tcPr>
            <w:tcW w:w="755" w:type="dxa"/>
          </w:tcPr>
          <w:p w:rsidR="00000000" w:rsidRDefault="00000000">
            <w:pPr>
              <w:spacing w:line="240" w:lineRule="auto"/>
              <w:jc w:val="right"/>
            </w:pPr>
            <w:r>
              <w:t>4,7</w:t>
            </w:r>
          </w:p>
        </w:tc>
        <w:tc>
          <w:tcPr>
            <w:tcW w:w="755" w:type="dxa"/>
          </w:tcPr>
          <w:p w:rsidR="00000000" w:rsidRDefault="00000000">
            <w:pPr>
              <w:spacing w:line="240" w:lineRule="auto"/>
              <w:jc w:val="right"/>
            </w:pPr>
            <w:r>
              <w:t>7,3</w:t>
            </w:r>
          </w:p>
        </w:tc>
      </w:tr>
      <w:tr w:rsidR="00000000">
        <w:tblPrEx>
          <w:tblCellMar>
            <w:top w:w="0" w:type="dxa"/>
            <w:bottom w:w="0" w:type="dxa"/>
          </w:tblCellMar>
        </w:tblPrEx>
        <w:tc>
          <w:tcPr>
            <w:tcW w:w="5638" w:type="dxa"/>
          </w:tcPr>
          <w:p w:rsidR="00000000" w:rsidRDefault="00000000">
            <w:pPr>
              <w:spacing w:line="240" w:lineRule="auto"/>
            </w:pPr>
            <w:r>
              <w:tab/>
              <w:t xml:space="preserve">зарегистрированный </w:t>
            </w:r>
          </w:p>
        </w:tc>
        <w:tc>
          <w:tcPr>
            <w:tcW w:w="754" w:type="dxa"/>
          </w:tcPr>
          <w:p w:rsidR="00000000" w:rsidRDefault="00000000">
            <w:pPr>
              <w:spacing w:line="240" w:lineRule="auto"/>
              <w:jc w:val="right"/>
            </w:pPr>
            <w:r>
              <w:t>3,2</w:t>
            </w:r>
          </w:p>
        </w:tc>
        <w:tc>
          <w:tcPr>
            <w:tcW w:w="755" w:type="dxa"/>
          </w:tcPr>
          <w:p w:rsidR="00000000" w:rsidRDefault="00000000">
            <w:pPr>
              <w:spacing w:line="240" w:lineRule="auto"/>
              <w:jc w:val="right"/>
            </w:pPr>
            <w:r>
              <w:t>3,0</w:t>
            </w:r>
          </w:p>
        </w:tc>
        <w:tc>
          <w:tcPr>
            <w:tcW w:w="754" w:type="dxa"/>
          </w:tcPr>
          <w:p w:rsidR="00000000" w:rsidRDefault="00000000">
            <w:pPr>
              <w:spacing w:line="240" w:lineRule="auto"/>
              <w:jc w:val="right"/>
            </w:pPr>
            <w:r>
              <w:t>3,5</w:t>
            </w:r>
          </w:p>
        </w:tc>
        <w:tc>
          <w:tcPr>
            <w:tcW w:w="755" w:type="dxa"/>
          </w:tcPr>
          <w:p w:rsidR="00000000" w:rsidRDefault="00000000">
            <w:pPr>
              <w:spacing w:line="240" w:lineRule="auto"/>
              <w:jc w:val="right"/>
            </w:pPr>
            <w:r>
              <w:t>5,2</w:t>
            </w:r>
          </w:p>
        </w:tc>
        <w:tc>
          <w:tcPr>
            <w:tcW w:w="755" w:type="dxa"/>
          </w:tcPr>
          <w:p w:rsidR="00000000" w:rsidRDefault="00000000">
            <w:pPr>
              <w:spacing w:line="240" w:lineRule="auto"/>
              <w:jc w:val="right"/>
            </w:pPr>
            <w:r>
              <w:t>7,4</w:t>
            </w:r>
          </w:p>
        </w:tc>
      </w:tr>
      <w:tr w:rsidR="00000000">
        <w:tblPrEx>
          <w:tblCellMar>
            <w:top w:w="0" w:type="dxa"/>
            <w:bottom w:w="0" w:type="dxa"/>
          </w:tblCellMar>
        </w:tblPrEx>
        <w:tc>
          <w:tcPr>
            <w:tcW w:w="5638" w:type="dxa"/>
          </w:tcPr>
          <w:p w:rsidR="00000000" w:rsidRDefault="00000000">
            <w:pPr>
              <w:spacing w:line="240" w:lineRule="auto"/>
            </w:pPr>
            <w:r>
              <w:t>Баланс государственных бюджетов:  % от ВВП</w:t>
            </w:r>
          </w:p>
        </w:tc>
        <w:tc>
          <w:tcPr>
            <w:tcW w:w="754" w:type="dxa"/>
          </w:tcPr>
          <w:p w:rsidR="00000000" w:rsidRDefault="00000000">
            <w:pPr>
              <w:spacing w:line="240" w:lineRule="auto"/>
              <w:jc w:val="right"/>
            </w:pPr>
            <w:r>
              <w:t>-1,3</w:t>
            </w:r>
          </w:p>
        </w:tc>
        <w:tc>
          <w:tcPr>
            <w:tcW w:w="755" w:type="dxa"/>
          </w:tcPr>
          <w:p w:rsidR="00000000" w:rsidRDefault="00000000">
            <w:pPr>
              <w:spacing w:line="240" w:lineRule="auto"/>
              <w:jc w:val="right"/>
            </w:pPr>
            <w:r>
              <w:t>-1,3</w:t>
            </w:r>
          </w:p>
        </w:tc>
        <w:tc>
          <w:tcPr>
            <w:tcW w:w="754" w:type="dxa"/>
          </w:tcPr>
          <w:p w:rsidR="00000000" w:rsidRDefault="00000000">
            <w:pPr>
              <w:spacing w:line="240" w:lineRule="auto"/>
              <w:jc w:val="right"/>
            </w:pPr>
            <w:r>
              <w:t>-1,8</w:t>
            </w:r>
          </w:p>
        </w:tc>
        <w:tc>
          <w:tcPr>
            <w:tcW w:w="755" w:type="dxa"/>
          </w:tcPr>
          <w:p w:rsidR="00000000" w:rsidRDefault="00000000">
            <w:pPr>
              <w:spacing w:line="240" w:lineRule="auto"/>
              <w:jc w:val="right"/>
            </w:pPr>
            <w:r>
              <w:t>-2,2</w:t>
            </w:r>
          </w:p>
        </w:tc>
        <w:tc>
          <w:tcPr>
            <w:tcW w:w="755" w:type="dxa"/>
          </w:tcPr>
          <w:p w:rsidR="00000000" w:rsidRDefault="00000000">
            <w:pPr>
              <w:spacing w:line="240" w:lineRule="auto"/>
              <w:jc w:val="right"/>
            </w:pPr>
            <w:r>
              <w:t>-1,5</w:t>
            </w:r>
          </w:p>
        </w:tc>
      </w:tr>
      <w:tr w:rsidR="00000000">
        <w:tblPrEx>
          <w:tblCellMar>
            <w:top w:w="0" w:type="dxa"/>
            <w:bottom w:w="0" w:type="dxa"/>
          </w:tblCellMar>
        </w:tblPrEx>
        <w:tc>
          <w:tcPr>
            <w:tcW w:w="5638" w:type="dxa"/>
          </w:tcPr>
          <w:p w:rsidR="00000000" w:rsidRDefault="00000000">
            <w:pPr>
              <w:spacing w:line="240" w:lineRule="auto"/>
            </w:pPr>
            <w:r>
              <w:t>Баланс текущих счетов:  % от ВВП</w:t>
            </w:r>
          </w:p>
        </w:tc>
        <w:tc>
          <w:tcPr>
            <w:tcW w:w="754" w:type="dxa"/>
          </w:tcPr>
          <w:p w:rsidR="00000000" w:rsidRDefault="00000000">
            <w:pPr>
              <w:spacing w:line="240" w:lineRule="auto"/>
              <w:jc w:val="right"/>
            </w:pPr>
            <w:r>
              <w:t>-1,9</w:t>
            </w:r>
          </w:p>
        </w:tc>
        <w:tc>
          <w:tcPr>
            <w:tcW w:w="755" w:type="dxa"/>
          </w:tcPr>
          <w:p w:rsidR="00000000" w:rsidRDefault="00000000">
            <w:pPr>
              <w:spacing w:line="240" w:lineRule="auto"/>
              <w:jc w:val="right"/>
            </w:pPr>
            <w:r>
              <w:t>-2,7</w:t>
            </w:r>
          </w:p>
        </w:tc>
        <w:tc>
          <w:tcPr>
            <w:tcW w:w="754" w:type="dxa"/>
          </w:tcPr>
          <w:p w:rsidR="00000000" w:rsidRDefault="00000000">
            <w:pPr>
              <w:spacing w:line="240" w:lineRule="auto"/>
              <w:jc w:val="right"/>
            </w:pPr>
            <w:r>
              <w:t>-7,6</w:t>
            </w:r>
          </w:p>
        </w:tc>
        <w:tc>
          <w:tcPr>
            <w:tcW w:w="755" w:type="dxa"/>
          </w:tcPr>
          <w:p w:rsidR="00000000" w:rsidRDefault="00000000">
            <w:pPr>
              <w:spacing w:line="240" w:lineRule="auto"/>
              <w:jc w:val="right"/>
            </w:pPr>
            <w:r>
              <w:t>-6,1</w:t>
            </w:r>
          </w:p>
        </w:tc>
        <w:tc>
          <w:tcPr>
            <w:tcW w:w="755" w:type="dxa"/>
          </w:tcPr>
          <w:p w:rsidR="00000000" w:rsidRDefault="00000000">
            <w:pPr>
              <w:spacing w:line="240" w:lineRule="auto"/>
              <w:jc w:val="right"/>
            </w:pPr>
            <w:r>
              <w:t>-1,9</w:t>
            </w:r>
          </w:p>
        </w:tc>
      </w:tr>
      <w:tr w:rsidR="00000000">
        <w:tblPrEx>
          <w:tblCellMar>
            <w:top w:w="0" w:type="dxa"/>
            <w:bottom w:w="0" w:type="dxa"/>
          </w:tblCellMar>
        </w:tblPrEx>
        <w:tc>
          <w:tcPr>
            <w:tcW w:w="5638" w:type="dxa"/>
          </w:tcPr>
          <w:p w:rsidR="00000000" w:rsidRDefault="00000000">
            <w:pPr>
              <w:spacing w:line="240" w:lineRule="auto"/>
            </w:pPr>
            <w:r>
              <w:t>Внешняя задолженность:  отношение задолженности</w:t>
            </w:r>
          </w:p>
          <w:p w:rsidR="00000000" w:rsidRDefault="00000000">
            <w:pPr>
              <w:spacing w:line="240" w:lineRule="auto"/>
            </w:pPr>
            <w:r>
              <w:t xml:space="preserve">    к экспорту (в %)</w:t>
            </w:r>
          </w:p>
        </w:tc>
        <w:tc>
          <w:tcPr>
            <w:tcW w:w="754" w:type="dxa"/>
          </w:tcPr>
          <w:p w:rsidR="00000000" w:rsidRDefault="00000000">
            <w:pPr>
              <w:spacing w:line="240" w:lineRule="auto"/>
              <w:jc w:val="right"/>
            </w:pPr>
            <w:r>
              <w:t>5,1</w:t>
            </w:r>
          </w:p>
        </w:tc>
        <w:tc>
          <w:tcPr>
            <w:tcW w:w="755" w:type="dxa"/>
          </w:tcPr>
          <w:p w:rsidR="00000000" w:rsidRDefault="00000000">
            <w:pPr>
              <w:spacing w:line="240" w:lineRule="auto"/>
              <w:jc w:val="right"/>
            </w:pPr>
            <w:r>
              <w:t>5,8</w:t>
            </w:r>
          </w:p>
        </w:tc>
        <w:tc>
          <w:tcPr>
            <w:tcW w:w="754" w:type="dxa"/>
          </w:tcPr>
          <w:p w:rsidR="00000000" w:rsidRDefault="00000000">
            <w:pPr>
              <w:spacing w:line="240" w:lineRule="auto"/>
              <w:jc w:val="right"/>
            </w:pPr>
            <w:r>
              <w:t>6,9</w:t>
            </w:r>
          </w:p>
        </w:tc>
        <w:tc>
          <w:tcPr>
            <w:tcW w:w="755" w:type="dxa"/>
          </w:tcPr>
          <w:p w:rsidR="00000000" w:rsidRDefault="00000000">
            <w:pPr>
              <w:spacing w:line="240" w:lineRule="auto"/>
              <w:jc w:val="right"/>
            </w:pPr>
            <w:r>
              <w:t>7,1</w:t>
            </w:r>
          </w:p>
        </w:tc>
        <w:tc>
          <w:tcPr>
            <w:tcW w:w="755" w:type="dxa"/>
          </w:tcPr>
          <w:p w:rsidR="00000000" w:rsidRDefault="00000000">
            <w:pPr>
              <w:spacing w:line="240" w:lineRule="auto"/>
              <w:jc w:val="right"/>
            </w:pPr>
            <w:r>
              <w:t>6,5</w:t>
            </w:r>
          </w:p>
        </w:tc>
      </w:tr>
      <w:tr w:rsidR="00000000">
        <w:tblPrEx>
          <w:tblCellMar>
            <w:top w:w="0" w:type="dxa"/>
            <w:bottom w:w="0" w:type="dxa"/>
          </w:tblCellMar>
        </w:tblPrEx>
        <w:tc>
          <w:tcPr>
            <w:tcW w:w="5638" w:type="dxa"/>
          </w:tcPr>
          <w:p w:rsidR="00000000" w:rsidRDefault="00000000">
            <w:pPr>
              <w:spacing w:line="240" w:lineRule="auto"/>
            </w:pPr>
            <w:r>
              <w:t>Прямые иностранные инвестиции:  нетто, % от ВВП</w:t>
            </w:r>
          </w:p>
        </w:tc>
        <w:tc>
          <w:tcPr>
            <w:tcW w:w="754" w:type="dxa"/>
          </w:tcPr>
          <w:p w:rsidR="00000000" w:rsidRDefault="00000000">
            <w:pPr>
              <w:spacing w:line="240" w:lineRule="auto"/>
              <w:jc w:val="right"/>
            </w:pPr>
            <w:r>
              <w:t>-</w:t>
            </w:r>
          </w:p>
        </w:tc>
        <w:tc>
          <w:tcPr>
            <w:tcW w:w="755" w:type="dxa"/>
          </w:tcPr>
          <w:p w:rsidR="00000000" w:rsidRDefault="00000000">
            <w:pPr>
              <w:spacing w:line="240" w:lineRule="auto"/>
              <w:jc w:val="right"/>
            </w:pPr>
            <w:r>
              <w:t>5,0</w:t>
            </w:r>
          </w:p>
        </w:tc>
        <w:tc>
          <w:tcPr>
            <w:tcW w:w="754" w:type="dxa"/>
          </w:tcPr>
          <w:p w:rsidR="00000000" w:rsidRDefault="00000000">
            <w:pPr>
              <w:spacing w:line="240" w:lineRule="auto"/>
              <w:jc w:val="right"/>
            </w:pPr>
            <w:r>
              <w:t>2,5</w:t>
            </w:r>
          </w:p>
        </w:tc>
        <w:tc>
          <w:tcPr>
            <w:tcW w:w="755" w:type="dxa"/>
          </w:tcPr>
          <w:p w:rsidR="00000000" w:rsidRDefault="00000000">
            <w:pPr>
              <w:spacing w:line="240" w:lineRule="auto"/>
              <w:jc w:val="right"/>
            </w:pPr>
            <w:r>
              <w:t>2,5</w:t>
            </w:r>
          </w:p>
        </w:tc>
        <w:tc>
          <w:tcPr>
            <w:tcW w:w="755" w:type="dxa"/>
          </w:tcPr>
          <w:p w:rsidR="00000000" w:rsidRDefault="00000000">
            <w:pPr>
              <w:spacing w:line="240" w:lineRule="auto"/>
              <w:jc w:val="right"/>
            </w:pPr>
            <w:r>
              <w:t>4,5</w:t>
            </w:r>
          </w:p>
        </w:tc>
      </w:tr>
    </w:tbl>
    <w:p w:rsidR="00000000" w:rsidRDefault="00000000">
      <w:pPr>
        <w:pStyle w:val="FootnoteText"/>
      </w:pPr>
    </w:p>
    <w:p w:rsidR="00000000" w:rsidRDefault="00000000">
      <w:pPr>
        <w:spacing w:line="240" w:lineRule="auto"/>
        <w:rPr>
          <w:lang w:val="en-US"/>
        </w:rPr>
      </w:pPr>
      <w:r>
        <w:tab/>
      </w:r>
      <w:r>
        <w:rPr>
          <w:u w:val="single"/>
        </w:rPr>
        <w:t>Источник</w:t>
      </w:r>
      <w:r>
        <w:rPr>
          <w:lang w:val="en-US"/>
        </w:rPr>
        <w:t>:  European Commission Regular Report on the Czech Republic, 1999.</w:t>
      </w:r>
    </w:p>
    <w:p w:rsidR="00000000" w:rsidRDefault="00000000">
      <w:pPr>
        <w:rPr>
          <w:lang w:val="en-US"/>
        </w:rPr>
      </w:pPr>
    </w:p>
    <w:p w:rsidR="00000000" w:rsidRDefault="00000000">
      <w:r>
        <w:t>25.</w:t>
      </w:r>
      <w:r>
        <w:tab/>
        <w:t>Чешская экономика отличается высокой степенью открытости, в связи с чем она весьма чувствительно реагирует на изменения в ценах на иностранные товары и на колебание на финансовых рынках.  В 1998 году степень открытости составляла 125%</w:t>
      </w:r>
      <w:r>
        <w:rPr>
          <w:rStyle w:val="FootnoteReference"/>
        </w:rPr>
        <w:footnoteReference w:id="5"/>
      </w:r>
      <w:r>
        <w:t>.</w:t>
      </w:r>
    </w:p>
    <w:p w:rsidR="00000000" w:rsidRDefault="00000000"/>
    <w:p w:rsidR="00000000" w:rsidRDefault="00000000">
      <w:r>
        <w:t>26.</w:t>
      </w:r>
      <w:r>
        <w:tab/>
        <w:t>В период 1993-1997 годов в соотношении между быстрым экономическим ростом и внешнеторговым платежным балансом появились трудности.  Однако в 1998 году дефицит на текущих счетах в платежном балансе сократился всего лишь до 1,9% ВВП, в частности в связи с заметным снижением экономической активности, низкими ценами на сырье и сокращением импорта в результате спада.</w:t>
      </w:r>
    </w:p>
    <w:p w:rsidR="00000000" w:rsidRDefault="00000000"/>
    <w:p w:rsidR="00000000" w:rsidRDefault="00000000">
      <w:r>
        <w:t>27.</w:t>
      </w:r>
      <w:r>
        <w:tab/>
        <w:t>Снижение продуктивности национальной экономики в последние годы отражает слабость, присущую чешским предпринимательскому и финансовому секторам.  Реструктуризация предпринимательского сектора осуществляется медленными темпами и в ограниченных масштабах.  Она тормозится незрелым характером и несовершенством нарождающихся рыночных институтов, неадекватной базой управления компаниями и размытыми рамками собственности.  Неадекватные меры по применению права ухудшают ситуацию.</w:t>
      </w:r>
    </w:p>
    <w:p w:rsidR="00000000" w:rsidRDefault="00000000"/>
    <w:p w:rsidR="00000000" w:rsidRDefault="00000000">
      <w:pPr>
        <w:pStyle w:val="10"/>
        <w:tabs>
          <w:tab w:val="left" w:pos="567"/>
          <w:tab w:val="left" w:pos="1134"/>
          <w:tab w:val="left" w:pos="1701"/>
          <w:tab w:val="left" w:pos="2268"/>
          <w:tab w:val="left" w:pos="6237"/>
        </w:tabs>
        <w:rPr>
          <w:bCs/>
        </w:rPr>
      </w:pPr>
      <w:r>
        <w:rPr>
          <w:bCs/>
        </w:rPr>
        <w:t>C.</w:t>
      </w:r>
      <w:r>
        <w:rPr>
          <w:bCs/>
        </w:rPr>
        <w:tab/>
        <w:t>Правительство и органы местного самоуправления</w:t>
      </w:r>
    </w:p>
    <w:p w:rsidR="00000000" w:rsidRDefault="00000000">
      <w:pPr>
        <w:jc w:val="center"/>
        <w:rPr>
          <w:b/>
          <w:bCs/>
          <w:u w:val="single"/>
        </w:rPr>
      </w:pPr>
    </w:p>
    <w:p w:rsidR="00000000" w:rsidRDefault="00000000">
      <w:r>
        <w:t>28.</w:t>
      </w:r>
      <w:r>
        <w:tab/>
        <w:t xml:space="preserve">В административном отношении Чешская Республика делится на округа, которые в свою очередь разделяются на муниципалитеты.  В стране имеется 76 округов, три из которых представляют собой также крупные города:  Брно, Пльзень и Острава.  В среднем округ насчитывает 83 муниципалитета.  Столица Прага является независимой территориальной единицей;  ее юрисдикция соответствует области, а юрисдикция ее городских округов </w:t>
      </w:r>
      <w:r>
        <w:noBreakHyphen/>
        <w:t xml:space="preserve"> юрисдикции округов.  Наименьшими административными единицами являются муниципалитеты, которых насчитывается более 6 000.  Примерно 10% из них имеют статус города и в них проживает примерно 75% населения страны.  Напротив, небольшие сельские муниципалитеты численностью до тысячи жителей составляют 78% всех муниципалитетов, но в них проживает только 16% населения страны.</w:t>
      </w:r>
    </w:p>
    <w:p w:rsidR="00000000" w:rsidRDefault="00000000"/>
    <w:p w:rsidR="00000000" w:rsidRDefault="00000000">
      <w:r>
        <w:t>29.</w:t>
      </w:r>
      <w:r>
        <w:tab/>
        <w:t>В отчетный период только муниципалитеты представляли собой самоуправляющиеся единицы.  Более крупные территориальные самоуправляющиеся единицы (области) были созданы согласно Конституционному закону в 1997 году</w:t>
      </w:r>
      <w:r>
        <w:rPr>
          <w:rStyle w:val="FootnoteReference"/>
        </w:rPr>
        <w:footnoteReference w:id="6"/>
      </w:r>
      <w:r>
        <w:t>.  Этот закон определяет границы 14 новых областей в качестве территории округов, входящих в состав каждой области.  Он вступил в силу 1 января 2000 года.  Функции государственной администрации в округах возлагаются на окружные управления, деятельность и компетенция которых регулируется специальным законом</w:t>
      </w:r>
      <w:r>
        <w:rPr>
          <w:rStyle w:val="FootnoteReference"/>
        </w:rPr>
        <w:footnoteReference w:id="7"/>
      </w:r>
      <w:r>
        <w:t>.</w:t>
      </w:r>
    </w:p>
    <w:p w:rsidR="00000000" w:rsidRDefault="00000000"/>
    <w:p w:rsidR="00000000" w:rsidRDefault="00000000">
      <w:r>
        <w:t>30.</w:t>
      </w:r>
      <w:r>
        <w:tab/>
        <w:t>В отчетный период базовой территориальной самоуправляющейся единицей был муниципалитет.  Он управляется органом представителей как публично-правовая корпорация, которая может иметь собственное имущество и хозяйствовать на основе собственного бюджета.  Государство может вмешиваться в деятельность территориальных самоуправляющихся единиц, включая муниципалитеты, только если это необходимо в целях охраны закона и только в порядке, установленном законом.  Члены представительных органов избираются тайным голосованием на основе всеобщего, равного и прямого избирательного права;  срок полномочий органа составляет четыре года</w:t>
      </w:r>
      <w:r>
        <w:rPr>
          <w:rStyle w:val="FootnoteReference"/>
        </w:rPr>
        <w:footnoteReference w:id="8"/>
      </w:r>
      <w:r>
        <w:t>.  В пределах своей компетенции эти органы могут принимать общеобязательные постановления</w:t>
      </w:r>
      <w:r>
        <w:rPr>
          <w:rStyle w:val="FootnoteReference"/>
        </w:rPr>
        <w:footnoteReference w:id="9"/>
      </w:r>
      <w:r>
        <w:t>.</w:t>
      </w:r>
    </w:p>
    <w:p w:rsidR="00000000" w:rsidRDefault="00000000"/>
    <w:p w:rsidR="00000000" w:rsidRDefault="00000000">
      <w:r>
        <w:t>31.</w:t>
      </w:r>
      <w:r>
        <w:tab/>
        <w:t>Законодательная власть в Чешской Республике принадлежит парламенту.  Парламент состоит из двух палат - палаты депутатов и сената.  Каждый гражданин Чешской Республики, достигший 18 лет, имеет право избирать депутатов и сенаторов.</w:t>
      </w:r>
    </w:p>
    <w:p w:rsidR="00000000" w:rsidRDefault="00000000"/>
    <w:p w:rsidR="00000000" w:rsidRDefault="00000000">
      <w:r>
        <w:br w:type="page"/>
        <w:t>32.</w:t>
      </w:r>
      <w:r>
        <w:tab/>
        <w:t>Палата депутатов состоит из 200 депутатов, которые избираются сроком на четыре года.  Выборы в палату депутатов осуществляются тайным голосованием на основе всеобщего, равного и прямого избирательного права в соответствии с принципами пропорционального представительства.  Каждый гражданин Чешской Республики, имеющий право участвовать в выборах, не подвергавшийся ограничению на реализацию своего права участвовать в выборах в день выборов</w:t>
      </w:r>
      <w:r>
        <w:rPr>
          <w:rStyle w:val="FootnoteReference"/>
        </w:rPr>
        <w:footnoteReference w:id="10"/>
      </w:r>
      <w:r>
        <w:t xml:space="preserve"> и достигший возраста в 21 год, может быть избран в палату депутатов, за исключением ограничения по закону в отношении свободы личности по соображениям защиты общественного здоровья</w:t>
      </w:r>
      <w:r>
        <w:rPr>
          <w:rStyle w:val="FootnoteReference"/>
        </w:rPr>
        <w:footnoteReference w:id="11"/>
      </w:r>
      <w:r>
        <w:t>.</w:t>
      </w:r>
    </w:p>
    <w:p w:rsidR="00000000" w:rsidRDefault="00000000"/>
    <w:p w:rsidR="00000000" w:rsidRDefault="00000000">
      <w:r>
        <w:t>33.</w:t>
      </w:r>
      <w:r>
        <w:tab/>
        <w:t>Сенат состоит из 81 сенатора, которые избираются сроком на шесть лет.  Каждые два года переизбирается одна треть сенаторов.  Выборы в Сенат осуществляются тайным голосованием на основе всеобщего, равного и прямого избирательного права в соответствии с принципами мажоритарной системы.  В сенат может быть избран каждый гражданин Чешской Республики, имеющий право участвовать в голосовании, достигший возраста 40 лет и не подвергавшийся ограничению на реализацию своего права участвовать в голосовании в день выборов</w:t>
      </w:r>
      <w:r>
        <w:rPr>
          <w:rStyle w:val="FootnoteReference"/>
        </w:rPr>
        <w:footnoteReference w:id="12"/>
      </w:r>
      <w:r>
        <w:t>.</w:t>
      </w:r>
    </w:p>
    <w:p w:rsidR="00000000" w:rsidRDefault="00000000"/>
    <w:p w:rsidR="00000000" w:rsidRDefault="00000000">
      <w:r>
        <w:t>34.</w:t>
      </w:r>
      <w:r>
        <w:tab/>
        <w:t>Главой государства является президент Республики, избираемый Парламентом на совместном заседании обеих палат</w:t>
      </w:r>
      <w:r>
        <w:rPr>
          <w:rStyle w:val="FootnoteReference"/>
        </w:rPr>
        <w:footnoteReference w:id="13"/>
      </w:r>
      <w:r>
        <w:t>.  Срок полномочий президента Республики составляет пять лет;  никто не может быть избран президентом Республики более двух раз подряд.   Президентом Республики может быть избран гражданин, отвечающий требованиям, предъявляемым для избрания в сенат.  Президент Республики имеет право участвовать в заседаниях обеих палат парламента и в заседаниях правительства.</w:t>
      </w:r>
    </w:p>
    <w:p w:rsidR="00000000" w:rsidRDefault="00000000"/>
    <w:p w:rsidR="00000000" w:rsidRDefault="00000000">
      <w:r>
        <w:t>35.</w:t>
      </w:r>
      <w:r>
        <w:tab/>
        <w:t>Высшим органом исполнительной власти является правительство, которое состоит из председателя, заместителей председателя правительства и министров.  Правительство ответственно перед палатой депутатов.  Председатель правительства назначается президентом, который назначает других министров по предложению председателя правительства.  Министр не вправе заниматься деятельностью, характер которой несовместим с осуществлением им своих функций.  Правительство может просить палату депутатов о выражении доверия.  Палата депутатов может выразить правительству недоверие.  Председатель правительства подает заявление об отставке президенту Республики;  остальные члены правительства подают заявление об отставке президенту Республики через председателя правительства.  Правительство принимает решения коллегиально.  Для принятия постановления правительству необходимо согласие большинства министров.  Правительство вправе издавать постановления во исполнение закона и в его пределах.  Министерства, иные административные учреждения</w:t>
      </w:r>
      <w:r>
        <w:rPr>
          <w:rStyle w:val="FootnoteReference"/>
        </w:rPr>
        <w:footnoteReference w:id="14"/>
      </w:r>
      <w:r>
        <w:t xml:space="preserve"> и органы территориального самоуправления могут на основании и в пределах закона издавать правовые акты, если они уполномочены на это законом.</w:t>
      </w:r>
    </w:p>
    <w:p w:rsidR="00000000" w:rsidRDefault="00000000"/>
    <w:p w:rsidR="00000000" w:rsidRDefault="00000000">
      <w:r>
        <w:t>36.</w:t>
      </w:r>
      <w:r>
        <w:tab/>
        <w:t>Согласно Конституции Чешской Республики ("Конституции") контроль за хозяйственным использованием государственного имущества и исполнением государственного бюджета осуществляется независимым органом - Верховным контрольным управлением.  Президент и вице-президент Верховного контрольного управления назначаются президентом Республики по предложению палаты депутатов.  Статус, полномочия, организационные структуры Верховного контрольного управления и другие подробности устанавливаются законом</w:t>
      </w:r>
      <w:r>
        <w:rPr>
          <w:rStyle w:val="FootnoteReference"/>
        </w:rPr>
        <w:footnoteReference w:id="15"/>
      </w:r>
      <w:r>
        <w:t>.</w:t>
      </w:r>
    </w:p>
    <w:p w:rsidR="00000000" w:rsidRDefault="00000000"/>
    <w:p w:rsidR="00000000" w:rsidRDefault="00000000">
      <w:r>
        <w:t>37.</w:t>
      </w:r>
      <w:r>
        <w:tab/>
        <w:t>Центральным банком государства является Чешский национальный банк.  Главной целью его деятельности является обеспечение стабильности валюты;  вмешательство в его деятельность допускается только на основании закона.  Статус, полномочия Чешского национального банка и другие подробности устанавливаются законом</w:t>
      </w:r>
      <w:r>
        <w:rPr>
          <w:rStyle w:val="FootnoteReference"/>
        </w:rPr>
        <w:footnoteReference w:id="16"/>
      </w:r>
      <w:r>
        <w:t>.  Управление банком осуществляется Советом банка в составе семи членов.  Его члены назначаются и отзываются президентом Республики.  Членство в Совете банка не совместимо с положением депутата законодательного органа, министра или члена руководящих органов других банков или компаний.</w:t>
      </w:r>
    </w:p>
    <w:p w:rsidR="00000000" w:rsidRDefault="00000000"/>
    <w:p w:rsidR="00000000" w:rsidRDefault="00000000">
      <w:pPr>
        <w:pStyle w:val="16"/>
        <w:rPr>
          <w:b/>
          <w:bCs/>
        </w:rPr>
      </w:pPr>
      <w:r>
        <w:rPr>
          <w:b/>
          <w:bCs/>
          <w:lang w:val="en-US"/>
        </w:rPr>
        <w:t>D</w:t>
      </w:r>
      <w:r>
        <w:rPr>
          <w:b/>
          <w:bCs/>
        </w:rPr>
        <w:t>.</w:t>
      </w:r>
      <w:r>
        <w:rPr>
          <w:b/>
          <w:bCs/>
        </w:rPr>
        <w:tab/>
        <w:t>Политическая система</w:t>
      </w:r>
    </w:p>
    <w:p w:rsidR="00000000" w:rsidRDefault="00000000">
      <w:pPr>
        <w:pStyle w:val="16"/>
      </w:pPr>
    </w:p>
    <w:p w:rsidR="00000000" w:rsidRDefault="00000000">
      <w:pPr>
        <w:pStyle w:val="16"/>
        <w:jc w:val="left"/>
      </w:pPr>
      <w:r>
        <w:t>38.</w:t>
      </w:r>
      <w:r>
        <w:tab/>
        <w:t xml:space="preserve">Согласно Конституции политическая система основана на свободном и добровольном создании и свободном соперничестве политических партий и политических движений, уважающих основные демократические принципы и отвергающих насилие как средство отстаивания своих интересов.  В основе политических решений лежит воля большинства, выраженная свободным голосованием.  При принятии решения большинством голосов обеспечивается защита прав меньшинства.  </w:t>
      </w:r>
    </w:p>
    <w:p w:rsidR="00000000" w:rsidRDefault="00000000">
      <w:pPr>
        <w:pStyle w:val="16"/>
        <w:jc w:val="left"/>
      </w:pPr>
    </w:p>
    <w:p w:rsidR="00000000" w:rsidRDefault="00000000">
      <w:pPr>
        <w:pStyle w:val="16"/>
        <w:jc w:val="left"/>
      </w:pPr>
      <w:r>
        <w:t>39.</w:t>
      </w:r>
      <w:r>
        <w:tab/>
        <w:t>После выборов, состоявшихся в 1996 году, в состав палаты депутатов парламента вошли представители шести политических партий.  В настоящее время, после выборов, состоявшихся в начале 1998 год, палата депутатов включает представителей пяти политических партий.  В 1996 году пять политических партий были представлены в сенате, кроме того, были избраны десять независимых сенаторов (12%);  после выборов, состоявшихся в 1998 году, и дополнительных выборов в 1999 году в сенате представлено шесть политических партий и 12 независимых сенаторов (14%).</w:t>
      </w:r>
    </w:p>
    <w:p w:rsidR="00000000" w:rsidRDefault="00000000">
      <w:pPr>
        <w:pStyle w:val="16"/>
        <w:jc w:val="left"/>
      </w:pPr>
    </w:p>
    <w:p w:rsidR="00000000" w:rsidRDefault="00000000">
      <w:pPr>
        <w:pStyle w:val="16"/>
        <w:jc w:val="left"/>
      </w:pPr>
      <w:r>
        <w:t>40.</w:t>
      </w:r>
      <w:r>
        <w:tab/>
        <w:t>Последние общинные выборы состоялись в 1998 году.  На уровне муниципальных органов представлены различные политические партии;  помимо представителей парламентских партий и независимых кандидатов в них представлены также непарламентские политические партии и политические движения, а также лица, избранные от коалиций политических партий и движений, ассоциаций политических партий, независимые кандидаты и представители ассоциаций независимых кандидатов, созданных для этих выборов.  В 1998 году были избраны представители от 53 таких организаций.  Парламентские партии выиграли 20,3% всех мандатов на уровне общин, тогда как непартийные кандидаты получили 77% мандатов.</w:t>
      </w:r>
    </w:p>
    <w:p w:rsidR="00000000" w:rsidRDefault="00000000">
      <w:pPr>
        <w:pStyle w:val="16"/>
        <w:jc w:val="left"/>
      </w:pPr>
    </w:p>
    <w:p w:rsidR="00000000" w:rsidRDefault="00000000">
      <w:pPr>
        <w:pStyle w:val="FootnoteText"/>
        <w:spacing w:line="288" w:lineRule="auto"/>
        <w:jc w:val="center"/>
        <w:rPr>
          <w:b/>
          <w:bCs/>
        </w:rPr>
      </w:pPr>
      <w:r>
        <w:rPr>
          <w:b/>
          <w:bCs/>
        </w:rPr>
        <w:t>E.</w:t>
      </w:r>
      <w:r>
        <w:rPr>
          <w:b/>
          <w:bCs/>
        </w:rPr>
        <w:tab/>
        <w:t>Судебная власть</w:t>
      </w:r>
    </w:p>
    <w:p w:rsidR="00000000" w:rsidRDefault="00000000">
      <w:pPr>
        <w:pStyle w:val="FootnoteText"/>
        <w:spacing w:line="288" w:lineRule="auto"/>
        <w:jc w:val="center"/>
        <w:rPr>
          <w:b/>
          <w:bCs/>
        </w:rPr>
      </w:pPr>
    </w:p>
    <w:p w:rsidR="00000000" w:rsidRDefault="00000000">
      <w:pPr>
        <w:pStyle w:val="FootnoteText"/>
        <w:spacing w:line="288" w:lineRule="auto"/>
      </w:pPr>
      <w:r>
        <w:t>41.</w:t>
      </w:r>
      <w:r>
        <w:tab/>
        <w:t>Согласно статье 4 Конституции основные права и свободы защищаются судебной властью.  Судебная власть осуществляют именем Республики независимые судьи.  Судьи при исполнении своих функций независимы.  Должность судьи несовместима с должностью президента Республики, члена парламента, а также с какой-либо должностью в публичной администрации.  Закон определяет иные виды деятельности, несовместимые с осуществлением функций судьи</w:t>
      </w:r>
      <w:r>
        <w:rPr>
          <w:rStyle w:val="FootnoteReference"/>
        </w:rPr>
        <w:footnoteReference w:id="17"/>
      </w:r>
      <w:r>
        <w:t>.</w:t>
      </w:r>
    </w:p>
    <w:p w:rsidR="00000000" w:rsidRDefault="00000000">
      <w:pPr>
        <w:pStyle w:val="FootnoteText"/>
        <w:spacing w:line="288" w:lineRule="auto"/>
      </w:pPr>
    </w:p>
    <w:p w:rsidR="00000000" w:rsidRDefault="00000000">
      <w:pPr>
        <w:pStyle w:val="FootnoteText"/>
        <w:spacing w:line="288" w:lineRule="auto"/>
      </w:pPr>
      <w:r>
        <w:t>42.</w:t>
      </w:r>
      <w:r>
        <w:tab/>
        <w:t>Суды призваны обеспечивать в порядке, установленном законом, защиту прав.  Только суд решает вопрос о виновности и наказании за уголовные преступления.  Систему судов образуют Верховный суд, Верховный административный суд, высшие, областные и окружные суды, а также торговые суды.  Полномочия и организация судов устанавливаются законом.  Судья назначается президентом Республики без ограничения срока полномочий.  Судья при принятии решения связан законом. Все участники судебного процесса имеют равные права.  Разбирательство дел в суде является устным и открытым;  исключения из этого правила устанавливаются законом.  Решения всегда провозглашаются публично.</w:t>
      </w:r>
    </w:p>
    <w:p w:rsidR="00000000" w:rsidRDefault="00000000">
      <w:pPr>
        <w:pStyle w:val="FootnoteText"/>
        <w:spacing w:line="288" w:lineRule="auto"/>
      </w:pPr>
    </w:p>
    <w:p w:rsidR="00000000" w:rsidRDefault="00000000">
      <w:pPr>
        <w:pStyle w:val="FootnoteText"/>
        <w:spacing w:line="288" w:lineRule="auto"/>
      </w:pPr>
      <w:r>
        <w:t>43.</w:t>
      </w:r>
      <w:r>
        <w:tab/>
        <w:t>Конституционный суд является судебным органом защиты конституционного порядка</w:t>
      </w:r>
      <w:r>
        <w:rPr>
          <w:rStyle w:val="FootnoteReference"/>
        </w:rPr>
        <w:footnoteReference w:id="18"/>
      </w:r>
      <w:r>
        <w:t>.  Конституционный суд Чешской Республики начал свою деятельность 1 июля 1993 года после краткого существования Конституционного суда ЧСФР.  Рассмотрение вопросов о конституционности связано с применением норм, которые являются частью конституционного порядка Республики, особенно в связи с применением Конституции и Хартии основных прав и свобод ("Хартии").  Однако этот факт требует от Суда применять международное право, главным образом особую категорию международных договоров по правам человека и основным свободам в соответствии со статьей 10 Конституции.</w:t>
      </w:r>
    </w:p>
    <w:p w:rsidR="00000000" w:rsidRDefault="00000000">
      <w:pPr>
        <w:pStyle w:val="FootnoteText"/>
        <w:spacing w:line="288" w:lineRule="auto"/>
      </w:pPr>
    </w:p>
    <w:p w:rsidR="00000000" w:rsidRDefault="00000000">
      <w:pPr>
        <w:pStyle w:val="FootnoteText"/>
        <w:spacing w:line="288" w:lineRule="auto"/>
      </w:pPr>
      <w:r>
        <w:t>44.</w:t>
      </w:r>
      <w:r>
        <w:tab/>
        <w:t>Конституционный суд также является последней инстанцией для обжалования решений государственных органов, в частности судов общей юрисдикции.  В случае коллизии между международным и внутренним правом Конституционный суд применяет международные и региональные (европейские) договоры о правах человека, в частности положения Международного пакта о гражданских и политических правах (ссылка на отдельные положения Пакта была указана примерно в 30 решениях Конституционного суда, после того как он начал свою деятельность), Международного пакта об экономических, социальных и культурных правах, Конвенции о правах ребенка и Европейской конвенции о защите прав человека и основных свобод с дополнительными протоколами к ним.  Конституционный суд отменяет правовые положения или те их части, которые вступают в коллизию с конституционным порядком Чешской Республики (главным образом положениями Хартии) или международными соглашениями.  В решениях, принятых до настоящего времени, отмена правовой нормы или ее части исключительно в результате коллизии с международным соглашением применялась лишь в исключительных случаях (решение Конституционного суда № 41 от 9 апреля 1997 года о правовом институте "детских учреждений", в котором Конституционный суд отменил пункт 1 d) статьи 171 Уголовного кодекса</w:t>
      </w:r>
      <w:r>
        <w:rPr>
          <w:rStyle w:val="FootnoteReference"/>
        </w:rPr>
        <w:footnoteReference w:id="19"/>
      </w:r>
      <w:r>
        <w:t xml:space="preserve"> в результате коллизии с пунктом 1 статьи 3 Конвенции о правах ребенка).  Конституционный суд также указал на более широкую концепцию защиты прав человека и основных свобод, гарантируемых международным договором о правах человека, по сравнению с внутренним правом (постановление № 30 от 10 апреля 1998 года о свободе религии и вероисповедания в соответствии с пунктом 1 статьи 16 Хартии по сравнению с пунктом 1 статьи 18 Международного пакта о гражданских и политических правах).  Конституционный суд принял концепцию толкования многих понятий и общий подход к вопросам защиты прав человека и основных свобод, которые аналогичны концепции Европейского суда по правам человека;  тем самым он существенно способствует укреплению ценностей и основ демократического общества, построенного на уважении прав человека и основных свобод.</w:t>
      </w:r>
    </w:p>
    <w:p w:rsidR="00000000" w:rsidRDefault="00000000">
      <w:pPr>
        <w:pStyle w:val="FootnoteText"/>
        <w:spacing w:line="288" w:lineRule="auto"/>
      </w:pPr>
    </w:p>
    <w:p w:rsidR="00000000" w:rsidRDefault="00000000">
      <w:pPr>
        <w:pStyle w:val="FootnoteText"/>
        <w:spacing w:line="288" w:lineRule="auto"/>
      </w:pPr>
      <w:r>
        <w:t>45.</w:t>
      </w:r>
      <w:r>
        <w:tab/>
        <w:t>Конституционный суд состоит из 15 судей, назначаемых президентом Республики на 10-летний срок.  Законом устанавливается, кто и при каких условиях правомочен ходатайствовать о судебном рассмотрении, а также иные правила судебного производства в Конституционном суде.  При вынесении решений судьи Конституционного суда должны руководствоваться только конституционными законами, международными договорами согласно статье 10 Конституции Чешской Республики, а также Законом о Конституционном суде и его судопроизводстве.  Подлежащие исполнению решения Конституционного суда обязательны для всех органов и граждан.</w:t>
      </w:r>
    </w:p>
    <w:p w:rsidR="00000000" w:rsidRDefault="00000000">
      <w:pPr>
        <w:pStyle w:val="FootnoteText"/>
        <w:spacing w:line="288" w:lineRule="auto"/>
      </w:pPr>
    </w:p>
    <w:p w:rsidR="00000000" w:rsidRDefault="00000000">
      <w:r>
        <w:t>46.</w:t>
      </w:r>
      <w:r>
        <w:tab/>
        <w:t>Государственная прокуратура</w:t>
      </w:r>
      <w:r>
        <w:rPr>
          <w:rStyle w:val="FootnoteReference"/>
        </w:rPr>
        <w:footnoteReference w:id="20"/>
      </w:r>
      <w:r>
        <w:t xml:space="preserve"> от имени государства возбуждает уголовные дела, исполняет обязанности, возложенные на нее в этой связи Уголовно-процессуальным кодексом</w:t>
      </w:r>
      <w:r>
        <w:rPr>
          <w:rStyle w:val="FootnoteReference"/>
        </w:rPr>
        <w:footnoteReference w:id="21"/>
      </w:r>
      <w:r>
        <w:t>, а также выполняет другие задачи, предусмотренные законом, например Гражданско-процессуальным кодексом</w:t>
      </w:r>
      <w:r>
        <w:rPr>
          <w:rStyle w:val="FootnoteReference"/>
        </w:rPr>
        <w:footnoteReference w:id="22"/>
      </w:r>
      <w:r>
        <w:t>.  Система государственной прокуратуры состоит из Высшей государственной прокуратуры, высоких, областных и окружных прокуратур.</w:t>
      </w:r>
    </w:p>
    <w:p w:rsidR="00000000" w:rsidRDefault="00000000"/>
    <w:p w:rsidR="00000000" w:rsidRDefault="00000000">
      <w:pPr>
        <w:pStyle w:val="10"/>
        <w:rPr>
          <w:bCs/>
        </w:rPr>
      </w:pPr>
      <w:r>
        <w:rPr>
          <w:bCs/>
        </w:rPr>
        <w:br w:type="page"/>
        <w:t>F.</w:t>
      </w:r>
      <w:r>
        <w:rPr>
          <w:bCs/>
        </w:rPr>
        <w:tab/>
        <w:t>Защита прав человека</w:t>
      </w:r>
    </w:p>
    <w:p w:rsidR="00000000" w:rsidRDefault="00000000">
      <w:pPr>
        <w:pStyle w:val="10"/>
        <w:rPr>
          <w:bCs/>
        </w:rPr>
      </w:pPr>
    </w:p>
    <w:p w:rsidR="00000000" w:rsidRDefault="00000000">
      <w:r>
        <w:t>47.</w:t>
      </w:r>
      <w:r>
        <w:tab/>
        <w:t>Конституция Чешской Республики была принята 16 декабря 1992 года.  Согласно Конституции Чешская Республика является суверенным, единым и демократическим правовым государством, основанным на уважении прав и свобод человека и гражданина.  Каждый гражданин может делать то, что не запрещено законом, и никто не может быть принужден делать то, к чему закон не обязывает.  Основные права и свободы защищаются судебной властью.  Согласно статье 3 Конституции составной частью конституционной системы Чешской Республики является Хартия основных прав и свобод</w:t>
      </w:r>
      <w:r>
        <w:rPr>
          <w:rStyle w:val="FootnoteReference"/>
        </w:rPr>
        <w:footnoteReference w:id="23"/>
      </w:r>
      <w:r>
        <w:t xml:space="preserve"> ("Хартия").  Хартия признает неприкосновенность естественных прав человека, прав гражданина и верховенство закона.</w:t>
      </w:r>
    </w:p>
    <w:p w:rsidR="00000000" w:rsidRDefault="00000000"/>
    <w:p w:rsidR="00000000" w:rsidRDefault="00000000">
      <w:r>
        <w:t>48.</w:t>
      </w:r>
      <w:r>
        <w:tab/>
        <w:t>Хартия включает в правопорядок главную часть прав, изложенных в Международном пакте о гражданских и политических правах и в Международном пакте об экономических, социальных и культурных правах.  Включение положений Хартии в конституционный правопорядок Чешской Республики обеспечивается за счет включения соответствующих положений обоих Пактов в правопорядок.  Кроме того, согласно конституционному закону</w:t>
      </w:r>
      <w:r>
        <w:rPr>
          <w:rStyle w:val="FootnoteReference"/>
        </w:rPr>
        <w:footnoteReference w:id="24"/>
      </w:r>
      <w:r>
        <w:t xml:space="preserve"> Чешская Республика приняла на себя все обязательства ЧСФР в соответствии с международным правом по состоянию на день ее роспуска (за исключением обязательств, относящихся к территории, на которую не распространяется суверенитет Чешской Республики).  Эта мера обеспечивает постоянство соблюдения всех обязательств бывшей федерации и Чешской Республики даже сверх обязательств, вытекающих из Хартии.</w:t>
      </w:r>
    </w:p>
    <w:p w:rsidR="00000000" w:rsidRDefault="00000000"/>
    <w:p w:rsidR="00000000" w:rsidRDefault="00000000">
      <w:r>
        <w:t>49.</w:t>
      </w:r>
      <w:r>
        <w:tab/>
        <w:t xml:space="preserve">Правовые нормы, касающиеся прав человека и основных свобод, содержатся не только в Конституции Чешской Республики и Хартии основных прав и свобод, но и в материальном праве и процессуальных положениях гражданского, уголовного и административного права (Гражданский кодекс и Гражданско-процессуальный кодекс, </w:t>
      </w:r>
    </w:p>
    <w:p w:rsidR="00000000" w:rsidRDefault="00000000">
      <w:r>
        <w:br w:type="page"/>
        <w:t>Уголовный кодекс и Уголовно-процессуальный кодекс, Административно-процессуальный кодекс</w:t>
      </w:r>
      <w:r>
        <w:rPr>
          <w:rStyle w:val="FootnoteReference"/>
        </w:rPr>
        <w:footnoteReference w:id="25"/>
      </w:r>
      <w:r>
        <w:t>), а также в прочих правовых положениях.</w:t>
      </w:r>
    </w:p>
    <w:p w:rsidR="00000000" w:rsidRDefault="00000000"/>
    <w:p w:rsidR="00000000" w:rsidRDefault="00000000">
      <w:r>
        <w:t>50.</w:t>
      </w:r>
      <w:r>
        <w:tab/>
        <w:t>Все конституционные законы, законодательные акты и общеобязательные правовые принципы, действующие в Чешской Республике, включая тексты ратифицированных международных договоров, промульгируются в Сборнике законов и публикуются с комментариями и ссылками на прецеденты</w:t>
      </w:r>
      <w:r>
        <w:rPr>
          <w:rStyle w:val="FootnoteReference"/>
        </w:rPr>
        <w:footnoteReference w:id="26"/>
      </w:r>
      <w:r>
        <w:t>.  В соответствии со статьей 9 Закона о Сборнике законов Чешской Республики</w:t>
      </w:r>
      <w:r>
        <w:rPr>
          <w:rStyle w:val="FootnoteReference"/>
        </w:rPr>
        <w:footnoteReference w:id="27"/>
      </w:r>
      <w:r>
        <w:t xml:space="preserve"> все муниципалитеты должны иметь по крайней мере один экземпляр Сборника законов и обязаны обеспечивать его доступность для каждого гражданина.  В отчетный период доступность к правовым положениям обеспечивалась также постановлением об обязательных и рабочих экземплярах</w:t>
      </w:r>
      <w:r>
        <w:rPr>
          <w:rStyle w:val="FootnoteReference"/>
        </w:rPr>
        <w:footnoteReference w:id="28"/>
      </w:r>
      <w:r>
        <w:t>.  В соответствии с этим постановлением издатель обязан бесплатно направлять Сборник законов в одном-пяти экземплярах всем окружным публичным библиотекам, библиотекам высших учебных заведений и школьным библиотекам и архивам</w:t>
      </w:r>
      <w:r>
        <w:rPr>
          <w:rStyle w:val="FootnoteReference"/>
        </w:rPr>
        <w:footnoteReference w:id="29"/>
      </w:r>
      <w:r>
        <w:t>.  Сборник законов также доступен в электронной форме на Интернете.</w:t>
      </w:r>
    </w:p>
    <w:p w:rsidR="00000000" w:rsidRDefault="00000000">
      <w:r>
        <w:t>51.</w:t>
      </w:r>
      <w:r>
        <w:tab/>
        <w:t>Защита прав, предусматриваемая статьей 2 Международного пакта о гражданских и политических правах и статьями 2 и 4 Международного пакта об экономических, социальных и культурных правах, обеспечивается главным образом посредством подачи конституционной жалобы, которая может направляться в Конституционный суд:</w:t>
      </w:r>
    </w:p>
    <w:p w:rsidR="00000000" w:rsidRDefault="00000000"/>
    <w:p w:rsidR="00000000" w:rsidRDefault="00000000">
      <w:r>
        <w:tab/>
        <w:t>а)</w:t>
      </w:r>
      <w:r>
        <w:tab/>
        <w:t>физическим или юридическим лицом на законное решение или иное действие органов государственной власти, если это лицо считает, что было нарушено его основное право или свобода, гарантируемые конституционным законом или международным соглашением о правах человека и основных свободах, участником которого является Чешская Республика;</w:t>
      </w:r>
    </w:p>
    <w:p w:rsidR="00000000" w:rsidRDefault="00000000"/>
    <w:p w:rsidR="00000000" w:rsidRDefault="00000000">
      <w:r>
        <w:tab/>
        <w:t>b)</w:t>
      </w:r>
      <w:r>
        <w:tab/>
        <w:t>местным административным органом на незаконное вмешательство со стороны государства;</w:t>
      </w:r>
    </w:p>
    <w:p w:rsidR="00000000" w:rsidRDefault="00000000"/>
    <w:p w:rsidR="00000000" w:rsidRDefault="00000000">
      <w:r>
        <w:tab/>
        <w:t>с)</w:t>
      </w:r>
      <w:r>
        <w:tab/>
        <w:t>политической партией на решение о ее роспуске или иного неконституционного или неправомерного решения о ее деятельности.</w:t>
      </w:r>
    </w:p>
    <w:p w:rsidR="00000000" w:rsidRDefault="00000000">
      <w:pPr>
        <w:rPr>
          <w:lang w:val="en-US"/>
        </w:rPr>
      </w:pPr>
    </w:p>
    <w:p w:rsidR="00000000" w:rsidRDefault="00000000">
      <w:r>
        <w:t>52.</w:t>
      </w:r>
      <w:r>
        <w:tab/>
        <w:t>Совместно с конституционной жалобой может вноситься предложение об отмене правового акта или его отдельных положений, если факт, лежащий в основе конституционной жалобы, возникает в результате применения этого акта и если, по мнению истца, это положение противоречит конституционно или международно гарантируемым правам и свободам.</w:t>
      </w:r>
    </w:p>
    <w:p w:rsidR="00000000" w:rsidRDefault="00000000"/>
    <w:p w:rsidR="00000000" w:rsidRDefault="00000000">
      <w:r>
        <w:t>53.</w:t>
      </w:r>
      <w:r>
        <w:tab/>
        <w:t>Судопроизводство в Конституционном суде регулируется законом в соответствии с общепризнанными демократическими принципами судопроизводства, т.е. судопроизводство носит открытый характер;  решение принимается независимо и беспристрастно;  стороны спора равны между собой и имеют право пользоваться своим родным языком.</w:t>
      </w:r>
    </w:p>
    <w:p w:rsidR="00000000" w:rsidRDefault="00000000"/>
    <w:p w:rsidR="00000000" w:rsidRDefault="00000000">
      <w:pPr>
        <w:pStyle w:val="Heading6"/>
        <w:rPr>
          <w:bCs/>
          <w:u w:val="none"/>
        </w:rPr>
      </w:pPr>
      <w:r>
        <w:rPr>
          <w:bCs/>
          <w:u w:val="none"/>
        </w:rPr>
        <w:t>Международные договоры о правах человека</w:t>
      </w:r>
    </w:p>
    <w:p w:rsidR="00000000" w:rsidRDefault="00000000">
      <w:pPr>
        <w:pStyle w:val="Heading6"/>
        <w:rPr>
          <w:bCs/>
        </w:rPr>
      </w:pPr>
    </w:p>
    <w:p w:rsidR="00000000" w:rsidRDefault="00000000">
      <w:r>
        <w:t>54.</w:t>
      </w:r>
      <w:r>
        <w:tab/>
        <w:t>Чешская Республика ратифицировала и обязана соблюдать следующие важные международные и региональные договоры и соглашения о правах человека:</w:t>
      </w:r>
    </w:p>
    <w:p w:rsidR="00000000" w:rsidRDefault="00000000"/>
    <w:p w:rsidR="00000000" w:rsidRDefault="00000000">
      <w:pPr>
        <w:ind w:left="1134" w:hanging="1134"/>
      </w:pPr>
      <w:r>
        <w:tab/>
        <w:t>-</w:t>
      </w:r>
      <w:r>
        <w:tab/>
        <w:t>Международную конвенцию о ликвидации всех форм расовой дискриминации;</w:t>
      </w:r>
    </w:p>
    <w:p w:rsidR="00000000" w:rsidRDefault="00000000">
      <w:pPr>
        <w:ind w:left="1134" w:hanging="567"/>
      </w:pPr>
    </w:p>
    <w:p w:rsidR="00000000" w:rsidRDefault="00000000">
      <w:pPr>
        <w:ind w:left="1134" w:hanging="567"/>
      </w:pPr>
      <w:r>
        <w:t>-</w:t>
      </w:r>
      <w:r>
        <w:tab/>
        <w:t>Международный пакт о гражданских и политических правах и Международный пакт об экономических, социальных и культурных правах;</w:t>
      </w:r>
    </w:p>
    <w:p w:rsidR="00000000" w:rsidRDefault="00000000">
      <w:pPr>
        <w:ind w:left="1134" w:hanging="567"/>
      </w:pPr>
    </w:p>
    <w:p w:rsidR="00000000" w:rsidRDefault="00000000">
      <w:pPr>
        <w:ind w:left="1134" w:hanging="567"/>
      </w:pPr>
      <w:r>
        <w:t>-</w:t>
      </w:r>
      <w:r>
        <w:tab/>
        <w:t>Конвенцию о ликвидации всех форм дискриминации в отношении женщин;</w:t>
      </w:r>
    </w:p>
    <w:p w:rsidR="00000000" w:rsidRDefault="00000000">
      <w:pPr>
        <w:ind w:left="1134" w:hanging="567"/>
      </w:pPr>
    </w:p>
    <w:p w:rsidR="00000000" w:rsidRDefault="00000000">
      <w:pPr>
        <w:ind w:left="1134" w:hanging="567"/>
      </w:pPr>
      <w:r>
        <w:t>-</w:t>
      </w:r>
      <w:r>
        <w:tab/>
        <w:t>Конвенцию о правах ребенка;</w:t>
      </w:r>
    </w:p>
    <w:p w:rsidR="00000000" w:rsidRDefault="00000000">
      <w:pPr>
        <w:ind w:left="1134" w:hanging="567"/>
      </w:pPr>
    </w:p>
    <w:p w:rsidR="00000000" w:rsidRDefault="00000000">
      <w:pPr>
        <w:ind w:left="1134" w:hanging="567"/>
      </w:pPr>
      <w:r>
        <w:t>-</w:t>
      </w:r>
      <w:r>
        <w:tab/>
        <w:t>Конвенцию о защите прав человека и основных свобод и Протокол к этой Конвенции;</w:t>
      </w:r>
    </w:p>
    <w:p w:rsidR="00000000" w:rsidRDefault="00000000">
      <w:pPr>
        <w:ind w:left="1134" w:hanging="567"/>
      </w:pPr>
    </w:p>
    <w:p w:rsidR="00000000" w:rsidRDefault="00000000">
      <w:pPr>
        <w:ind w:left="1134" w:hanging="567"/>
      </w:pPr>
      <w:r>
        <w:t>-</w:t>
      </w:r>
      <w:r>
        <w:tab/>
        <w:t>Конвенцию против пыток и других жестоких, бесчеловечных или унижающих достоинство видов обращения и наказания;</w:t>
      </w:r>
    </w:p>
    <w:p w:rsidR="00000000" w:rsidRDefault="00000000">
      <w:pPr>
        <w:ind w:left="1134" w:hanging="567"/>
      </w:pPr>
    </w:p>
    <w:p w:rsidR="00000000" w:rsidRDefault="00000000">
      <w:pPr>
        <w:ind w:left="1134" w:hanging="567"/>
      </w:pPr>
      <w:r>
        <w:t>-</w:t>
      </w:r>
      <w:r>
        <w:tab/>
        <w:t>Рамочную конвенцию о защите национальных меньшинств;</w:t>
      </w:r>
    </w:p>
    <w:p w:rsidR="00000000" w:rsidRDefault="00000000">
      <w:pPr>
        <w:ind w:left="1134" w:hanging="567"/>
      </w:pPr>
    </w:p>
    <w:p w:rsidR="00000000" w:rsidRDefault="00000000">
      <w:pPr>
        <w:ind w:left="1134" w:hanging="567"/>
      </w:pPr>
      <w:r>
        <w:t>-</w:t>
      </w:r>
      <w:r>
        <w:tab/>
        <w:t>Европейскую социальную хартию и протоколы к ней.</w:t>
      </w:r>
    </w:p>
    <w:p w:rsidR="00000000" w:rsidRDefault="00000000">
      <w:pPr>
        <w:ind w:left="1134" w:hanging="567"/>
      </w:pPr>
    </w:p>
    <w:p w:rsidR="00000000" w:rsidRDefault="00000000">
      <w:r>
        <w:t>55.</w:t>
      </w:r>
      <w:r>
        <w:tab/>
        <w:t xml:space="preserve">Тексты ратифицированных международных договоров и прочих важных </w:t>
      </w:r>
    </w:p>
    <w:p w:rsidR="00000000" w:rsidRDefault="00000000">
      <w:r>
        <w:t>международных документов публикуются в Сборнике договоров на чешском языке</w:t>
      </w:r>
      <w:r>
        <w:rPr>
          <w:rStyle w:val="FootnoteReference"/>
        </w:rPr>
        <w:footnoteReference w:id="30"/>
      </w:r>
      <w:r>
        <w:t xml:space="preserve">.  Тексты первоначальных [и периодических докладов о выполнении обязательств, вытекающих из международных пактов и конвенций, публикуются в печатной форме (обычно соответствующим составителем/министерством) и в Интернете.  Вступительный доклад об осуществлении положений Пакта будет опубликован и распространен аналогичным образом.  </w:t>
      </w:r>
    </w:p>
    <w:p w:rsidR="00000000" w:rsidRDefault="00000000"/>
    <w:p w:rsidR="00000000" w:rsidRDefault="00000000">
      <w:r>
        <w:t>56.</w:t>
      </w:r>
      <w:r>
        <w:tab/>
        <w:t>Важным элементом чешского правопорядка является конституционный принцип, изложенный в статье 10 Конституции Чешской Республики, в соответствии с которым ратифицированные и обнародованные международные договоры о правах человека и основных свободах, обязательства по которым приняла на себя Чешская Республика, являются непосредственно действующими и имеют преимущество перед внутренним законодательством.  Этот факт также четко изложен в решении Конституционного суда Чешской Республики</w:t>
      </w:r>
      <w:r>
        <w:rPr>
          <w:rStyle w:val="FootnoteReference"/>
        </w:rPr>
        <w:footnoteReference w:id="31"/>
      </w:r>
      <w:r>
        <w:t>.</w:t>
      </w:r>
    </w:p>
    <w:p w:rsidR="00000000" w:rsidRDefault="00000000"/>
    <w:p w:rsidR="00000000" w:rsidRDefault="00000000">
      <w:r>
        <w:t>57.</w:t>
      </w:r>
      <w:r>
        <w:tab/>
        <w:t>Защита прав и свобод, провозглашенных в Европейской конвенции по охране прав человека и основных свобод и в протоколах к ней, гарантируется механизмом Европейского суда по правам человека.  Реформа Суда в форме протокола № 11 к Конвенции, усиливает эту защиту.  Конвенция вступила в силу для ЧСФР 18 марта 1992 года, а для Чешской Республики - 1 января 1993 года.  Протокол № 11 к Конвенции, предусматривающий новый контрольный механизм, вступил в силу 1 ноября 1998 года.</w:t>
      </w:r>
    </w:p>
    <w:p w:rsidR="00000000" w:rsidRDefault="00000000"/>
    <w:p w:rsidR="00000000" w:rsidRDefault="00000000">
      <w:r>
        <w:t>58.</w:t>
      </w:r>
      <w:r>
        <w:tab/>
        <w:t>В мае 1999 года парламент Чешской Республики принял Закон о свободном доступе к информации</w:t>
      </w:r>
      <w:r>
        <w:rPr>
          <w:rStyle w:val="FootnoteReference"/>
        </w:rPr>
        <w:footnoteReference w:id="32"/>
      </w:r>
      <w:r>
        <w:t>, который позволяет предоставлять информацию, относящуюся к полномочиям государственных органов и территориальных органов самоуправления.  В нем также излагаются условия, на которых предоставляется информация.  Закон вступает в силу 1 января 2000 года.</w:t>
      </w:r>
    </w:p>
    <w:p w:rsidR="00000000" w:rsidRDefault="00000000"/>
    <w:p w:rsidR="00000000" w:rsidRDefault="00000000">
      <w:pPr>
        <w:pStyle w:val="Heading2"/>
        <w:rPr>
          <w:b/>
          <w:bCs/>
          <w:u w:val="none"/>
        </w:rPr>
      </w:pPr>
      <w:r>
        <w:rPr>
          <w:b/>
          <w:bCs/>
          <w:u w:val="none"/>
        </w:rPr>
        <w:t>Защита прав человека на уровне центральных административных органов</w:t>
      </w:r>
    </w:p>
    <w:p w:rsidR="00000000" w:rsidRDefault="00000000">
      <w:pPr>
        <w:pStyle w:val="Heading2"/>
      </w:pPr>
    </w:p>
    <w:p w:rsidR="00000000" w:rsidRDefault="00000000">
      <w:r>
        <w:t>59.</w:t>
      </w:r>
      <w:r>
        <w:tab/>
        <w:t>До 1998 года отдельные области защиты прав человека контролировались разными министерствами (в частности, министерствами труда и социальных дел, образования, по делам молодежи и спорта, внутренних дел, юстиции, культуры, здравоохранения и министром без портфеля);  контроль и оценка выполнения международных обязательств возлагались на министерство иностранных дел.</w:t>
      </w:r>
    </w:p>
    <w:p w:rsidR="00000000" w:rsidRDefault="00000000"/>
    <w:p w:rsidR="00000000" w:rsidRDefault="00000000">
      <w:r>
        <w:t>60.</w:t>
      </w:r>
      <w:r>
        <w:tab/>
        <w:t>В 1998 году правительство создало пост уполномоченного правительства по правам человека</w:t>
      </w:r>
      <w:r>
        <w:rPr>
          <w:rStyle w:val="FootnoteReference"/>
        </w:rPr>
        <w:footnoteReference w:id="33"/>
      </w:r>
      <w:r>
        <w:t>.  Важнейшей институциональной мерой, принятой в целях улучшения существующего положения, а также в ответ на просьбы международных организаций по институциональному гарантированию защиты прав человека в стране, является создание Совета по правам человека при правительстве Чешской Республики ("Совет")</w:t>
      </w:r>
      <w:r>
        <w:rPr>
          <w:rStyle w:val="FootnoteReference"/>
        </w:rPr>
        <w:footnoteReference w:id="34"/>
      </w:r>
      <w:r>
        <w:t>.  Совет является консультативным и координационным органом чешского правительства по вопросам защиты прав человека и основных свобод лиц, находящихся под юрисдикцией Чешской Республики.  Совет:</w:t>
      </w:r>
    </w:p>
    <w:p w:rsidR="00000000" w:rsidRDefault="00000000"/>
    <w:p w:rsidR="00000000" w:rsidRDefault="00000000">
      <w:r>
        <w:tab/>
        <w:t>а)</w:t>
      </w:r>
      <w:r>
        <w:tab/>
        <w:t>контролирует положение в стране в области прав человека и основных свобод, провозглашенных Хартией основных прав и свобод;</w:t>
      </w:r>
    </w:p>
    <w:p w:rsidR="00000000" w:rsidRDefault="00000000"/>
    <w:p w:rsidR="00000000" w:rsidRDefault="00000000">
      <w:r>
        <w:tab/>
        <w:t>b)</w:t>
      </w:r>
      <w:r>
        <w:tab/>
        <w:t>контролирует выполнение международных обязательств Чешской Республики в области защиты прав человека, в частности осуществление положений международных договоров, указанных в пункте 49 выше;</w:t>
      </w:r>
    </w:p>
    <w:p w:rsidR="00000000" w:rsidRDefault="00000000"/>
    <w:p w:rsidR="00000000" w:rsidRDefault="00000000">
      <w:r>
        <w:tab/>
        <w:t>с)</w:t>
      </w:r>
      <w:r>
        <w:tab/>
        <w:t>обеспечивает выполнение обязательств правительства, вытекающих из международных договоров, и в сотрудничестве с министерством иностранных дел представляет доклады контрольным механизмам этих договоров в соответствующих международных организациях (Организация Объединенных Наций, Совет Европы), если эти задачи не возложены на другие государственные административные органы;</w:t>
      </w:r>
    </w:p>
    <w:p w:rsidR="00000000" w:rsidRDefault="00000000"/>
    <w:p w:rsidR="00000000" w:rsidRDefault="00000000">
      <w:r>
        <w:tab/>
        <w:t>d)</w:t>
      </w:r>
      <w:r>
        <w:tab/>
        <w:t>представляет правительству, через посредство заместителя Председателя правительства и председателя Законодательного совета правительства, информацию, предложения и позиции относительно выполнения обязательств, вытекающих из международных договоров, которые заключены Чешской Республикой или к которым она готовится присоединиться;</w:t>
      </w:r>
    </w:p>
    <w:p w:rsidR="00000000" w:rsidRDefault="00000000"/>
    <w:p w:rsidR="00000000" w:rsidRDefault="00000000">
      <w:r>
        <w:tab/>
        <w:t>е)</w:t>
      </w:r>
      <w:r>
        <w:tab/>
        <w:t>ежегодно в конце марта представляет правительству доклад о положении в области прав человека в Чешской Республике за предыдущий год;</w:t>
      </w:r>
    </w:p>
    <w:p w:rsidR="00000000" w:rsidRDefault="00000000"/>
    <w:p w:rsidR="00000000" w:rsidRDefault="00000000">
      <w:r>
        <w:tab/>
        <w:t>f)</w:t>
      </w:r>
      <w:r>
        <w:tab/>
        <w:t>контролирует соблюдение прав человека в отношении иностранцев.</w:t>
      </w:r>
    </w:p>
    <w:p w:rsidR="00000000" w:rsidRDefault="00000000"/>
    <w:p w:rsidR="00000000" w:rsidRDefault="00000000">
      <w:r>
        <w:t>61.</w:t>
      </w:r>
      <w:r>
        <w:tab/>
        <w:t>До создания Совета в стране не было никаких процедур, в том числе организационных, которые обеспечивали бы позитивное участие населения, главным образом неправительственных организаций.  В Совете созданы условия для сотрудничества с неправительственными некоммерческими организациями.  В Совете на равной основе представлены государственные административные органы на уровне заместителей министров и общественность.  В настоящее время в состав Совета входят 20 членов, помимо Председателя и заместителя Председателя.  Председателем Совета является уполномоченный правительства по правам человека.</w:t>
      </w:r>
    </w:p>
    <w:p w:rsidR="00000000" w:rsidRDefault="00000000"/>
    <w:p w:rsidR="00000000" w:rsidRDefault="00000000">
      <w:r>
        <w:t>62.</w:t>
      </w:r>
      <w:r>
        <w:tab/>
        <w:t>В отчетный период в Чешской Республике не было создано института общественного защитника прав (омбудсмена), который обеспечивал бы защиту от незаконных или иных неправомерных решений или действий со стороны государственных органов.  В декабре 1999 года был принят Закон об общественном защитнике прав, который был опубликован в Сборнике законов 30 декабря 1999 года</w:t>
      </w:r>
      <w:r>
        <w:rPr>
          <w:rStyle w:val="FootnoteReference"/>
        </w:rPr>
        <w:footnoteReference w:id="35"/>
      </w:r>
      <w:r>
        <w:t>.  В соответствии с этим законом общественный защитник прав в Чешской Республике может возбуждать иски против министерств, окружных и финансовых органов и прочих государственных административных органов;  его компетенция распространяется также на полицию, армию, тюремную администрацию и лечебно-профилактические учреждения.  Он неправомочен принуждать тот или иной орган к принятию определенных мер, но закон разрешает ему сообщать о неправомерных мерах вышестоящему органу или правительству или информировать об этом общественность.  Он не может вмешиваться в деятельность парламента, президента Республики, правительства, Верховного контрольного управления, прокуратуры и судов.  Закон не позволяет омбудсмену представлять граждан в судах.  В соответствии со статьей 28 этого закона он вступит в силу через 60 дней после его промульгации в Сборнике законов, т.е. 28 февраля 2000 года.</w:t>
      </w:r>
    </w:p>
    <w:p w:rsidR="00000000" w:rsidRDefault="00000000"/>
    <w:p w:rsidR="00000000" w:rsidRDefault="00000000">
      <w:pPr>
        <w:pStyle w:val="Heading2"/>
        <w:rPr>
          <w:b/>
          <w:bCs/>
          <w:u w:val="none"/>
        </w:rPr>
      </w:pPr>
      <w:r>
        <w:rPr>
          <w:b/>
          <w:bCs/>
          <w:u w:val="none"/>
        </w:rPr>
        <w:t>Неправительственные некоммерческие организации</w:t>
      </w:r>
    </w:p>
    <w:p w:rsidR="00000000" w:rsidRDefault="00000000">
      <w:pPr>
        <w:pStyle w:val="Heading2"/>
      </w:pPr>
    </w:p>
    <w:p w:rsidR="00000000" w:rsidRDefault="00000000">
      <w:r>
        <w:t>63.</w:t>
      </w:r>
      <w:r>
        <w:tab/>
        <w:t>Неправительственные некоммерческие организации играют важную роль в деле защиты прав человека.  Благодаря общественно полезной деятельности, направленной на улучшение условий жизни некоторых групп населения или на укрепление самобытности своих членов, они способствуют укреплению основных прав человека, изложенных в базовых документах:  Конституции, Хартии, Всеобщей декларации прав человека и т.д.</w:t>
      </w:r>
    </w:p>
    <w:p w:rsidR="00000000" w:rsidRDefault="00000000"/>
    <w:p w:rsidR="00000000" w:rsidRDefault="00000000">
      <w:r>
        <w:t>64.</w:t>
      </w:r>
      <w:r>
        <w:tab/>
        <w:t>Неправительственные некоммерческие организации являются организациями, которые основаны на добровольном участии граждан в деле достижения взаимовыгодных или общих благотворных целей.  Они не создаются и не действуют с участием государственных органов, и их деятельность не преследует цели извлечения прибыли.  К ним относятся:</w:t>
      </w:r>
    </w:p>
    <w:p w:rsidR="00000000" w:rsidRDefault="00000000"/>
    <w:p w:rsidR="00000000" w:rsidRDefault="00000000">
      <w:r>
        <w:tab/>
        <w:t>а)</w:t>
      </w:r>
      <w:r>
        <w:tab/>
        <w:t>гражданские ассоциации</w:t>
      </w:r>
      <w:r>
        <w:rPr>
          <w:rStyle w:val="FootnoteReference"/>
        </w:rPr>
        <w:footnoteReference w:id="36"/>
      </w:r>
      <w:r>
        <w:t xml:space="preserve"> (группы, союзы, клубы и т.д.):  ассоциации граждан, прежде всего физических лиц, для достижения определенных целей.  Юридические лица также могут быть членами.  Закон не проводит различий между ассоциациями по признаку преследуемых ими целей.  После вступления в силу Закона об ассоциации граждан (1 мая 1990 года) и до конца 1999 года министерство внутренних дел зарегистрировало свыше 42 000 гражданских ассоциаций, причем примерно 33 000 </w:t>
      </w:r>
      <w:r>
        <w:noBreakHyphen/>
        <w:t xml:space="preserve"> за отчетный период;</w:t>
      </w:r>
    </w:p>
    <w:p w:rsidR="00000000" w:rsidRDefault="00000000"/>
    <w:p w:rsidR="00000000" w:rsidRDefault="00000000">
      <w:r>
        <w:tab/>
      </w:r>
      <w:r>
        <w:rPr>
          <w:lang w:val="en-US"/>
        </w:rPr>
        <w:t>b</w:t>
      </w:r>
      <w:r>
        <w:t>)</w:t>
      </w:r>
      <w:r>
        <w:tab/>
        <w:t>специальные церковные учреждения</w:t>
      </w:r>
      <w:r>
        <w:rPr>
          <w:rStyle w:val="FootnoteReference"/>
        </w:rPr>
        <w:footnoteReference w:id="37"/>
      </w:r>
      <w:r>
        <w:t>, зарегистрированные церкви самостоятельно, независимо от государства, создают и обеспечивают деятельность своих специальных учреждений, через которые они преследуют свои благотворительные, социальные, образовательные и культурные цели.  Эти учреждения обеспечивают общедоступные услуги обычно на высоком профессиональном уровне.  Согласно информации, полученной от министерства культуры, зарегистрированные церкви в настоящее время управляют 168 специальными учреждениями, имеющими свой собственный правовой статус;</w:t>
      </w:r>
    </w:p>
    <w:p w:rsidR="00000000" w:rsidRDefault="00000000"/>
    <w:p w:rsidR="00000000" w:rsidRDefault="00000000">
      <w:r>
        <w:tab/>
        <w:t>с)</w:t>
      </w:r>
      <w:r>
        <w:tab/>
        <w:t>организации по оказанию общественно-полезных услуг</w:t>
      </w:r>
      <w:r>
        <w:rPr>
          <w:rStyle w:val="FootnoteReference"/>
        </w:rPr>
        <w:footnoteReference w:id="38"/>
      </w:r>
      <w:r>
        <w:t xml:space="preserve"> являются правосубъектными образованиями, которые обеспечивают население общественно-полезными услугами на заранее определенных условиях, равных для всех пользователей.  Ни основатели, ни члены, ни служащие этих организаций не могут использовать получаемую прибыль в собственных целях.  Законом предусматривается, что подобного рода организации должны использовать свою прибыль для оказания услуг, заявленных в их документах об их создании.  В 1999 году регистрационная палата зарегистрировала 480 таких организаций;</w:t>
      </w:r>
    </w:p>
    <w:p w:rsidR="00000000" w:rsidRDefault="00000000"/>
    <w:p w:rsidR="00000000" w:rsidRDefault="00000000">
      <w:r>
        <w:tab/>
      </w:r>
      <w:r>
        <w:rPr>
          <w:lang w:val="en-US"/>
        </w:rPr>
        <w:t>d</w:t>
      </w:r>
      <w:r>
        <w:t>)</w:t>
      </w:r>
      <w:r>
        <w:tab/>
        <w:t>фонды и целевые фонды</w:t>
      </w:r>
      <w:r>
        <w:rPr>
          <w:rStyle w:val="FootnoteReference"/>
        </w:rPr>
        <w:footnoteReference w:id="39"/>
      </w:r>
      <w:r>
        <w:t xml:space="preserve"> являются специальными ассоциациями, имеющими авуары и создаваемыми в целях достижения общественно-полезных целей.  Для достижения своих целей фонд может использовать доходы от своих авуаров и прочей собственности.  Общая стоимость авуаров фонда не может быть менее 500 000 чешских крон в течение всего периода существования фонда.  Что же касается целевых фондов, то они могут использовать все свои авуары для достижения единовременной цели.  Авуары и прочая собственность фонда могут состоять из денежных средств, ценных бумаг, недвижимого и движимого имущества, права собственности и прочих авуаров, которые преследуют цель получения постоянного дохода и не подлежат никаким правам отчуждения.  В 1999 году в стране существовало 245 фондов и 607 целевых фондов, зафиксированных в регистре фондов, который ведется регистрационной палатой.</w:t>
      </w:r>
    </w:p>
    <w:p w:rsidR="00000000" w:rsidRDefault="00000000"/>
    <w:p w:rsidR="00000000" w:rsidRDefault="00000000">
      <w:r>
        <w:t>65.</w:t>
      </w:r>
      <w:r>
        <w:tab/>
        <w:t>Из государственного бюджета выделяются субсидии для финансирования деятельности гражданских ассоциаций, организаций по оказанию общественно-полезных услуг и специальных учреждений церквей.  В настоящее время государственные субсидии выделяются 11 министерствами.  Субсидии находятся в их полной компетенции и предоставляются в форме совместного финансирования одногодичных проектов, которые неправительственные и коммерческие организации представляют на основе соглашения, заключенного между министерством и организацией - получателем субсидии.  Получающая субсидию организация должна использовать ее в календарном году, на который она выделяется, и отчитаться за не.  Выделение субсидий регулируется следующими положениями:</w:t>
      </w:r>
    </w:p>
    <w:p w:rsidR="00000000" w:rsidRDefault="00000000"/>
    <w:p w:rsidR="00000000" w:rsidRDefault="00000000">
      <w:r>
        <w:tab/>
        <w:t>а)</w:t>
      </w:r>
      <w:r>
        <w:tab/>
        <w:t>правила государственного бюджета</w:t>
      </w:r>
      <w:r>
        <w:rPr>
          <w:rStyle w:val="FootnoteReference"/>
        </w:rPr>
        <w:footnoteReference w:id="40"/>
      </w:r>
      <w:r>
        <w:t>.  В 1999 году правительство одобрило основные новые бюджетных правила</w:t>
      </w:r>
      <w:r>
        <w:rPr>
          <w:rStyle w:val="FootnoteReference"/>
        </w:rPr>
        <w:footnoteReference w:id="41"/>
      </w:r>
      <w:r>
        <w:t>.  В новые бюджетные правила будет включено понятие политики в области государственных субсидий, которое ранее в них отсутствовало, а также правила выделения субсидий и возмещаемой финансовой помощи из государственного бюджета и процедуры их отмены.  Как ожидается, более подробные условия выделения государственных субсидий некоммерческим организациям будут изложены в специальном законе;</w:t>
      </w:r>
    </w:p>
    <w:p w:rsidR="00000000" w:rsidRDefault="00000000"/>
    <w:p w:rsidR="00000000" w:rsidRDefault="00000000">
      <w:r>
        <w:tab/>
        <w:t>b)</w:t>
      </w:r>
      <w:r>
        <w:tab/>
        <w:t>в отчетный период выделение субсидий из государственного бюджета регулировалось правилами предоставления субсидий из государственного бюджета</w:t>
      </w:r>
      <w:r>
        <w:rPr>
          <w:rStyle w:val="FootnoteReference"/>
        </w:rPr>
        <w:footnoteReference w:id="42"/>
      </w:r>
      <w:r>
        <w:t>.  Новые правительственные правила предоставления субсидий из государственного бюджета Чешской Республики гражданским ассоциациям</w:t>
      </w:r>
      <w:r>
        <w:rPr>
          <w:rStyle w:val="FootnoteReference"/>
        </w:rPr>
        <w:footnoteReference w:id="43"/>
      </w:r>
      <w:r>
        <w:t>, действующие с 1 января 2000 года, более подробно регулируют выделение субсидий и, в частности, решают некоторые проблемы, которые возникли в ходе прошлой практики выделения субсидий (более широкие возможности для выплаты заработной платы, оценка процедуры отбора к концу предыдущего календарного года, регулирование заработной платы, обеспечиваемой из государственных субсидий, более четкие условия предоставления инвестиционных субсидий и унификация условия выделения субсидий для всех министерств);</w:t>
      </w:r>
    </w:p>
    <w:p w:rsidR="00000000" w:rsidRDefault="00000000"/>
    <w:p w:rsidR="00000000" w:rsidRDefault="00000000">
      <w:r>
        <w:tab/>
        <w:t>с)</w:t>
      </w:r>
      <w:r>
        <w:tab/>
        <w:t>однолетние соглашения о предоставлении государственных субсидий, заключавшиеся центральными административными органами - субсидирующими донорами - с получателем субсидии.  Эта практика также будет заменена новыми бюджетными правилами, поскольку она не регулируется законом и порождает целый ряд проблем (этой практикой не предусматриваются штрафы за невыполнение договорных обязательств и т.д.).</w:t>
      </w:r>
    </w:p>
    <w:p w:rsidR="00000000" w:rsidRDefault="00000000"/>
    <w:p w:rsidR="00000000" w:rsidRDefault="00000000">
      <w:r>
        <w:t>66.</w:t>
      </w:r>
      <w:r>
        <w:tab/>
        <w:t>Неправительственные некоммерческие организации могут (в целом) использовать следующие источники доходов:  доход от собственной деятельности этих организаций, членские взносы в большинство гражданских ассоциаций, которые представляют собой корпорации членов, начальные инвестиции при образовании фонда, поддержка из муниципальных бюджетов, отечественные и иностранные фонды, предпринимательский сектор (спонсорские дары), сборы среди населения и дары от физических лиц, часть дохода от лотерей и игр, налоговые льготы.</w:t>
      </w:r>
    </w:p>
    <w:p w:rsidR="00000000" w:rsidRDefault="00000000"/>
    <w:p w:rsidR="00000000" w:rsidRDefault="00000000">
      <w:r>
        <w:t>67.</w:t>
      </w:r>
      <w:r>
        <w:tab/>
        <w:t>В 1999 году Правительственный совет по делам неправительственных некоммерческих организаций, Председателем которого является министр без портфеля, подготовил первый подробный анализ финансирования из государственного бюджета Чешской Республики гражданских ассоциаций, специальных учреждений церквей и общественно-полезных корпораций и фондов.  После обсуждения этого анализа правительство поручило министрам подготовить к концу 1999 года методологическое описание национальных приоритетов в политике государственного субсидирования неправительственных некоммерческих организаций и унифицировать базовые технические и организационные правила предоставления государственных субсидий;  к середине 2000 года стандартизировать регистрацию этих субсидий;  к концу 2000 году осуществить единые критерии включения информации о них в информационную систему Центрального регистра субсидий</w:t>
      </w:r>
      <w:r>
        <w:rPr>
          <w:rStyle w:val="FootnoteReference"/>
        </w:rPr>
        <w:footnoteReference w:id="44"/>
      </w:r>
      <w:r>
        <w:t>.</w:t>
      </w:r>
    </w:p>
    <w:p w:rsidR="00000000" w:rsidRDefault="00000000"/>
    <w:p w:rsidR="00000000" w:rsidRDefault="00000000">
      <w:pPr>
        <w:pStyle w:val="10"/>
        <w:rPr>
          <w:bCs/>
        </w:rPr>
      </w:pPr>
      <w:r>
        <w:rPr>
          <w:bCs/>
        </w:rPr>
        <w:t>Объем государственных субсидий, предоставленных неправительственным некоммерческим организациям</w:t>
      </w:r>
    </w:p>
    <w:p w:rsidR="00000000" w:rsidRDefault="00000000">
      <w:pPr>
        <w:pStyle w:val="10"/>
        <w:rPr>
          <w:bCs/>
        </w:rPr>
      </w:pPr>
    </w:p>
    <w:tbl>
      <w:tblPr>
        <w:tblW w:w="0" w:type="auto"/>
        <w:tblLayout w:type="fixed"/>
        <w:tblCellMar>
          <w:left w:w="28" w:type="dxa"/>
          <w:right w:w="28" w:type="dxa"/>
        </w:tblCellMar>
        <w:tblLook w:val="0000" w:firstRow="0" w:lastRow="0" w:firstColumn="0" w:lastColumn="0" w:noHBand="0" w:noVBand="0"/>
      </w:tblPr>
      <w:tblGrid>
        <w:gridCol w:w="4890"/>
        <w:gridCol w:w="1496"/>
        <w:gridCol w:w="748"/>
        <w:gridCol w:w="1496"/>
        <w:gridCol w:w="781"/>
      </w:tblGrid>
      <w:tr w:rsidR="00000000">
        <w:tblPrEx>
          <w:tblCellMar>
            <w:top w:w="0" w:type="dxa"/>
            <w:bottom w:w="0" w:type="dxa"/>
          </w:tblCellMar>
        </w:tblPrEx>
        <w:trPr>
          <w:cantSplit/>
          <w:tblHeader/>
        </w:trPr>
        <w:tc>
          <w:tcPr>
            <w:tcW w:w="4890" w:type="dxa"/>
            <w:tcBorders>
              <w:top w:val="single" w:sz="4" w:space="0" w:color="auto"/>
              <w:left w:val="single" w:sz="4" w:space="0" w:color="auto"/>
              <w:right w:val="single" w:sz="4" w:space="0" w:color="auto"/>
            </w:tcBorders>
          </w:tcPr>
          <w:p w:rsidR="00000000" w:rsidRDefault="00000000">
            <w:pPr>
              <w:pStyle w:val="FootnoteText"/>
              <w:jc w:val="center"/>
            </w:pPr>
          </w:p>
        </w:tc>
        <w:tc>
          <w:tcPr>
            <w:tcW w:w="4521" w:type="dxa"/>
            <w:gridSpan w:val="4"/>
            <w:tcBorders>
              <w:top w:val="single" w:sz="4" w:space="0" w:color="auto"/>
              <w:left w:val="single" w:sz="4" w:space="0" w:color="auto"/>
              <w:bottom w:val="single" w:sz="4" w:space="0" w:color="auto"/>
              <w:right w:val="single" w:sz="4" w:space="0" w:color="auto"/>
            </w:tcBorders>
          </w:tcPr>
          <w:p w:rsidR="00000000" w:rsidRDefault="00000000">
            <w:pPr>
              <w:pStyle w:val="16"/>
              <w:spacing w:line="240" w:lineRule="auto"/>
            </w:pPr>
            <w:r>
              <w:t>Государственные субсидии</w:t>
            </w:r>
          </w:p>
        </w:tc>
      </w:tr>
      <w:tr w:rsidR="00000000">
        <w:tblPrEx>
          <w:tblCellMar>
            <w:top w:w="0" w:type="dxa"/>
            <w:bottom w:w="0" w:type="dxa"/>
          </w:tblCellMar>
        </w:tblPrEx>
        <w:trPr>
          <w:cantSplit/>
          <w:tblHeader/>
        </w:trPr>
        <w:tc>
          <w:tcPr>
            <w:tcW w:w="4890" w:type="dxa"/>
            <w:tcBorders>
              <w:left w:val="single" w:sz="4" w:space="0" w:color="auto"/>
              <w:right w:val="single" w:sz="4" w:space="0" w:color="auto"/>
            </w:tcBorders>
          </w:tcPr>
          <w:p w:rsidR="00000000" w:rsidRDefault="00000000">
            <w:pPr>
              <w:spacing w:line="240" w:lineRule="auto"/>
              <w:jc w:val="center"/>
            </w:pPr>
            <w:r>
              <w:t>Министерство</w:t>
            </w:r>
          </w:p>
        </w:tc>
        <w:tc>
          <w:tcPr>
            <w:tcW w:w="2244" w:type="dxa"/>
            <w:gridSpan w:val="2"/>
            <w:tcBorders>
              <w:top w:val="single" w:sz="4" w:space="0" w:color="auto"/>
              <w:left w:val="single" w:sz="4" w:space="0" w:color="auto"/>
              <w:bottom w:val="single" w:sz="4" w:space="0" w:color="auto"/>
              <w:right w:val="single" w:sz="4" w:space="0" w:color="auto"/>
            </w:tcBorders>
          </w:tcPr>
          <w:p w:rsidR="00000000" w:rsidRDefault="00000000">
            <w:pPr>
              <w:pStyle w:val="16"/>
              <w:spacing w:line="240" w:lineRule="auto"/>
            </w:pPr>
            <w:r>
              <w:t>1998</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1999</w:t>
            </w:r>
          </w:p>
        </w:tc>
        <w:tc>
          <w:tcPr>
            <w:tcW w:w="78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p>
        </w:tc>
      </w:tr>
      <w:tr w:rsidR="00000000">
        <w:tblPrEx>
          <w:tblCellMar>
            <w:top w:w="0" w:type="dxa"/>
            <w:bottom w:w="0" w:type="dxa"/>
          </w:tblCellMar>
        </w:tblPrEx>
        <w:trPr>
          <w:tblHeader/>
        </w:trPr>
        <w:tc>
          <w:tcPr>
            <w:tcW w:w="4890" w:type="dxa"/>
            <w:tcBorders>
              <w:left w:val="single" w:sz="4" w:space="0" w:color="auto"/>
              <w:bottom w:val="single" w:sz="4" w:space="0" w:color="auto"/>
              <w:right w:val="single" w:sz="4" w:space="0" w:color="auto"/>
            </w:tcBorders>
          </w:tcPr>
          <w:p w:rsidR="00000000" w:rsidRDefault="00000000">
            <w:pPr>
              <w:spacing w:line="240" w:lineRule="auto"/>
              <w:jc w:val="center"/>
            </w:pP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pStyle w:val="16"/>
              <w:spacing w:line="240" w:lineRule="auto"/>
            </w:pPr>
            <w:r>
              <w:t>Тысячи</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Тысячи</w:t>
            </w:r>
          </w:p>
        </w:tc>
        <w:tc>
          <w:tcPr>
            <w:tcW w:w="78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w:t>
            </w:r>
          </w:p>
        </w:tc>
      </w:tr>
      <w:tr w:rsidR="00000000">
        <w:tblPrEx>
          <w:tblCellMar>
            <w:top w:w="0" w:type="dxa"/>
            <w:bottom w:w="0" w:type="dxa"/>
          </w:tblCellMar>
        </w:tblPrEx>
        <w:tc>
          <w:tcPr>
            <w:tcW w:w="4890" w:type="dxa"/>
            <w:tcBorders>
              <w:top w:val="single" w:sz="4" w:space="0" w:color="auto"/>
              <w:left w:val="single" w:sz="4" w:space="0" w:color="auto"/>
              <w:right w:val="single" w:sz="4" w:space="0" w:color="auto"/>
            </w:tcBorders>
          </w:tcPr>
          <w:p w:rsidR="00000000" w:rsidRDefault="00000000">
            <w:pPr>
              <w:pStyle w:val="FootnoteText"/>
            </w:pPr>
            <w:r>
              <w:t>Сельского хозяйства</w:t>
            </w:r>
          </w:p>
        </w:tc>
        <w:tc>
          <w:tcPr>
            <w:tcW w:w="1496" w:type="dxa"/>
            <w:tcBorders>
              <w:top w:val="single" w:sz="4" w:space="0" w:color="auto"/>
              <w:left w:val="single" w:sz="4" w:space="0" w:color="auto"/>
              <w:right w:val="single" w:sz="4" w:space="0" w:color="auto"/>
            </w:tcBorders>
          </w:tcPr>
          <w:p w:rsidR="00000000" w:rsidRDefault="00000000">
            <w:pPr>
              <w:pStyle w:val="FootnoteText"/>
              <w:tabs>
                <w:tab w:val="clear" w:pos="1134"/>
              </w:tabs>
              <w:ind w:right="234"/>
              <w:jc w:val="right"/>
            </w:pPr>
            <w:r>
              <w:t>38 192</w:t>
            </w:r>
          </w:p>
        </w:tc>
        <w:tc>
          <w:tcPr>
            <w:tcW w:w="748"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right="234"/>
              <w:jc w:val="right"/>
            </w:pPr>
            <w:r>
              <w:t>2</w:t>
            </w:r>
          </w:p>
        </w:tc>
        <w:tc>
          <w:tcPr>
            <w:tcW w:w="1496"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right="234"/>
              <w:jc w:val="right"/>
            </w:pPr>
            <w:r>
              <w:t>48 200</w:t>
            </w:r>
          </w:p>
        </w:tc>
        <w:tc>
          <w:tcPr>
            <w:tcW w:w="781"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right="234"/>
              <w:jc w:val="right"/>
            </w:pPr>
            <w:r>
              <w:t>2</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Культуры</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79 608</w:t>
            </w:r>
          </w:p>
        </w:tc>
        <w:tc>
          <w:tcPr>
            <w:tcW w:w="748" w:type="dxa"/>
            <w:tcBorders>
              <w:left w:val="single" w:sz="4" w:space="0" w:color="auto"/>
              <w:right w:val="single" w:sz="4" w:space="0" w:color="auto"/>
            </w:tcBorders>
          </w:tcPr>
          <w:p w:rsidR="00000000" w:rsidRDefault="00000000">
            <w:pPr>
              <w:tabs>
                <w:tab w:val="clear" w:pos="1134"/>
              </w:tabs>
              <w:spacing w:line="240" w:lineRule="auto"/>
              <w:ind w:right="234"/>
              <w:jc w:val="right"/>
            </w:pPr>
            <w:r>
              <w:t>4</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91 491</w:t>
            </w:r>
          </w:p>
        </w:tc>
        <w:tc>
          <w:tcPr>
            <w:tcW w:w="781" w:type="dxa"/>
            <w:tcBorders>
              <w:left w:val="single" w:sz="4" w:space="0" w:color="auto"/>
              <w:right w:val="single" w:sz="4" w:space="0" w:color="auto"/>
            </w:tcBorders>
          </w:tcPr>
          <w:p w:rsidR="00000000" w:rsidRDefault="00000000">
            <w:pPr>
              <w:tabs>
                <w:tab w:val="clear" w:pos="1134"/>
              </w:tabs>
              <w:spacing w:line="240" w:lineRule="auto"/>
              <w:ind w:right="234"/>
              <w:jc w:val="right"/>
            </w:pPr>
            <w:r>
              <w:t>4</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Финансов</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35 700</w:t>
            </w:r>
          </w:p>
        </w:tc>
        <w:tc>
          <w:tcPr>
            <w:tcW w:w="748" w:type="dxa"/>
            <w:tcBorders>
              <w:left w:val="single" w:sz="4" w:space="0" w:color="auto"/>
              <w:right w:val="single" w:sz="4" w:space="0" w:color="auto"/>
            </w:tcBorders>
          </w:tcPr>
          <w:p w:rsidR="00000000" w:rsidRDefault="00000000">
            <w:pPr>
              <w:tabs>
                <w:tab w:val="clear" w:pos="1134"/>
              </w:tabs>
              <w:spacing w:line="240" w:lineRule="auto"/>
              <w:ind w:right="234"/>
              <w:jc w:val="right"/>
            </w:pPr>
            <w:r>
              <w:t>2</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38 450</w:t>
            </w:r>
          </w:p>
        </w:tc>
        <w:tc>
          <w:tcPr>
            <w:tcW w:w="781" w:type="dxa"/>
            <w:tcBorders>
              <w:left w:val="single" w:sz="4" w:space="0" w:color="auto"/>
              <w:right w:val="single" w:sz="4" w:space="0" w:color="auto"/>
            </w:tcBorders>
          </w:tcPr>
          <w:p w:rsidR="00000000" w:rsidRDefault="00000000">
            <w:pPr>
              <w:tabs>
                <w:tab w:val="clear" w:pos="1134"/>
              </w:tabs>
              <w:spacing w:line="240" w:lineRule="auto"/>
              <w:ind w:right="234"/>
              <w:jc w:val="right"/>
            </w:pPr>
            <w:r>
              <w:t>2</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Иностранных дел</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15 800</w:t>
            </w:r>
          </w:p>
        </w:tc>
        <w:tc>
          <w:tcPr>
            <w:tcW w:w="748" w:type="dxa"/>
            <w:tcBorders>
              <w:left w:val="single" w:sz="4" w:space="0" w:color="auto"/>
              <w:right w:val="single" w:sz="4" w:space="0" w:color="auto"/>
            </w:tcBorders>
          </w:tcPr>
          <w:p w:rsidR="00000000" w:rsidRDefault="00000000">
            <w:pPr>
              <w:tabs>
                <w:tab w:val="clear" w:pos="1134"/>
              </w:tabs>
              <w:spacing w:line="240" w:lineRule="auto"/>
              <w:ind w:right="234"/>
              <w:jc w:val="right"/>
            </w:pPr>
            <w:r>
              <w:t>1</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19 500</w:t>
            </w:r>
          </w:p>
        </w:tc>
        <w:tc>
          <w:tcPr>
            <w:tcW w:w="781" w:type="dxa"/>
            <w:tcBorders>
              <w:left w:val="single" w:sz="4" w:space="0" w:color="auto"/>
              <w:right w:val="single" w:sz="4" w:space="0" w:color="auto"/>
            </w:tcBorders>
          </w:tcPr>
          <w:p w:rsidR="00000000" w:rsidRDefault="00000000">
            <w:pPr>
              <w:tabs>
                <w:tab w:val="clear" w:pos="1134"/>
              </w:tabs>
              <w:spacing w:line="240" w:lineRule="auto"/>
              <w:ind w:right="234"/>
              <w:jc w:val="right"/>
            </w:pPr>
            <w:r>
              <w:t>1</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Внутренних дел</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67 827</w:t>
            </w:r>
          </w:p>
        </w:tc>
        <w:tc>
          <w:tcPr>
            <w:tcW w:w="748" w:type="dxa"/>
            <w:tcBorders>
              <w:left w:val="single" w:sz="4" w:space="0" w:color="auto"/>
              <w:right w:val="single" w:sz="4" w:space="0" w:color="auto"/>
            </w:tcBorders>
          </w:tcPr>
          <w:p w:rsidR="00000000" w:rsidRDefault="00000000">
            <w:pPr>
              <w:tabs>
                <w:tab w:val="clear" w:pos="1134"/>
              </w:tabs>
              <w:spacing w:line="240" w:lineRule="auto"/>
              <w:ind w:right="234"/>
              <w:jc w:val="right"/>
            </w:pPr>
            <w:r>
              <w:t>4</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53 195</w:t>
            </w:r>
          </w:p>
        </w:tc>
        <w:tc>
          <w:tcPr>
            <w:tcW w:w="781" w:type="dxa"/>
            <w:tcBorders>
              <w:left w:val="single" w:sz="4" w:space="0" w:color="auto"/>
              <w:right w:val="single" w:sz="4" w:space="0" w:color="auto"/>
            </w:tcBorders>
          </w:tcPr>
          <w:p w:rsidR="00000000" w:rsidRDefault="00000000">
            <w:pPr>
              <w:tabs>
                <w:tab w:val="clear" w:pos="1134"/>
              </w:tabs>
              <w:spacing w:line="240" w:lineRule="auto"/>
              <w:ind w:right="234"/>
              <w:jc w:val="right"/>
            </w:pPr>
            <w:r>
              <w:t>2</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Охраны окружающей среды</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19 350</w:t>
            </w:r>
          </w:p>
        </w:tc>
        <w:tc>
          <w:tcPr>
            <w:tcW w:w="748" w:type="dxa"/>
            <w:tcBorders>
              <w:left w:val="single" w:sz="4" w:space="0" w:color="auto"/>
              <w:right w:val="single" w:sz="4" w:space="0" w:color="auto"/>
            </w:tcBorders>
          </w:tcPr>
          <w:p w:rsidR="00000000" w:rsidRDefault="00000000">
            <w:pPr>
              <w:tabs>
                <w:tab w:val="clear" w:pos="1134"/>
              </w:tabs>
              <w:spacing w:line="240" w:lineRule="auto"/>
              <w:ind w:right="234"/>
              <w:jc w:val="right"/>
            </w:pPr>
            <w:r>
              <w:t>1</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19 350</w:t>
            </w:r>
          </w:p>
        </w:tc>
        <w:tc>
          <w:tcPr>
            <w:tcW w:w="781" w:type="dxa"/>
            <w:tcBorders>
              <w:left w:val="single" w:sz="4" w:space="0" w:color="auto"/>
              <w:right w:val="single" w:sz="4" w:space="0" w:color="auto"/>
            </w:tcBorders>
          </w:tcPr>
          <w:p w:rsidR="00000000" w:rsidRDefault="00000000">
            <w:pPr>
              <w:tabs>
                <w:tab w:val="clear" w:pos="1134"/>
              </w:tabs>
              <w:spacing w:line="240" w:lineRule="auto"/>
              <w:ind w:right="234"/>
              <w:jc w:val="right"/>
            </w:pPr>
            <w:r>
              <w:t>1</w:t>
            </w:r>
          </w:p>
        </w:tc>
      </w:tr>
      <w:tr w:rsidR="00000000">
        <w:tblPrEx>
          <w:tblCellMar>
            <w:top w:w="0" w:type="dxa"/>
            <w:bottom w:w="0" w:type="dxa"/>
          </w:tblCellMar>
        </w:tblPrEx>
        <w:tc>
          <w:tcPr>
            <w:tcW w:w="4890" w:type="dxa"/>
            <w:tcBorders>
              <w:left w:val="single" w:sz="4" w:space="0" w:color="auto"/>
              <w:bottom w:val="single" w:sz="4" w:space="0" w:color="auto"/>
              <w:right w:val="single" w:sz="4" w:space="0" w:color="auto"/>
            </w:tcBorders>
          </w:tcPr>
          <w:p w:rsidR="00000000" w:rsidRDefault="00000000">
            <w:pPr>
              <w:spacing w:line="240" w:lineRule="auto"/>
            </w:pPr>
            <w:r>
              <w:t>Образования, по делам молодежи и спорта</w:t>
            </w:r>
          </w:p>
        </w:tc>
        <w:tc>
          <w:tcPr>
            <w:tcW w:w="1496"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right="234"/>
              <w:jc w:val="right"/>
            </w:pPr>
            <w:r>
              <w:t>652 490</w:t>
            </w:r>
          </w:p>
        </w:tc>
        <w:tc>
          <w:tcPr>
            <w:tcW w:w="748"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right="234"/>
              <w:jc w:val="right"/>
            </w:pPr>
            <w:r>
              <w:t>34</w:t>
            </w:r>
          </w:p>
        </w:tc>
        <w:tc>
          <w:tcPr>
            <w:tcW w:w="1496"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right="234"/>
              <w:jc w:val="right"/>
            </w:pPr>
            <w:r>
              <w:t>971 466</w:t>
            </w:r>
          </w:p>
        </w:tc>
        <w:tc>
          <w:tcPr>
            <w:tcW w:w="781"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right="234"/>
              <w:jc w:val="right"/>
            </w:pPr>
            <w:r>
              <w:t>47</w:t>
            </w:r>
          </w:p>
        </w:tc>
      </w:tr>
      <w:tr w:rsidR="00000000">
        <w:tblPrEx>
          <w:tblCellMar>
            <w:top w:w="0" w:type="dxa"/>
            <w:bottom w:w="0" w:type="dxa"/>
          </w:tblCellMar>
        </w:tblPrEx>
        <w:tc>
          <w:tcPr>
            <w:tcW w:w="4890" w:type="dxa"/>
            <w:tcBorders>
              <w:top w:val="single" w:sz="4" w:space="0" w:color="auto"/>
              <w:left w:val="single" w:sz="4" w:space="0" w:color="auto"/>
              <w:right w:val="single" w:sz="4" w:space="0" w:color="auto"/>
            </w:tcBorders>
          </w:tcPr>
          <w:p w:rsidR="00000000" w:rsidRDefault="00000000">
            <w:pPr>
              <w:spacing w:line="240" w:lineRule="auto"/>
            </w:pPr>
            <w:r>
              <w:t>Труда и социальных дел</w:t>
            </w:r>
          </w:p>
        </w:tc>
        <w:tc>
          <w:tcPr>
            <w:tcW w:w="1496"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right="234"/>
              <w:jc w:val="right"/>
            </w:pPr>
            <w:r>
              <w:t>659 933</w:t>
            </w:r>
          </w:p>
        </w:tc>
        <w:tc>
          <w:tcPr>
            <w:tcW w:w="748"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right="234"/>
              <w:jc w:val="right"/>
            </w:pPr>
            <w:r>
              <w:t>35</w:t>
            </w:r>
          </w:p>
        </w:tc>
        <w:tc>
          <w:tcPr>
            <w:tcW w:w="1496"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right="234"/>
              <w:jc w:val="right"/>
            </w:pPr>
            <w:r>
              <w:t>644 068</w:t>
            </w:r>
          </w:p>
        </w:tc>
        <w:tc>
          <w:tcPr>
            <w:tcW w:w="781"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right="234"/>
              <w:jc w:val="right"/>
            </w:pPr>
            <w:r>
              <w:t>30</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Здравоохранения</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311 379</w:t>
            </w:r>
          </w:p>
        </w:tc>
        <w:tc>
          <w:tcPr>
            <w:tcW w:w="748" w:type="dxa"/>
            <w:tcBorders>
              <w:left w:val="single" w:sz="4" w:space="0" w:color="auto"/>
              <w:right w:val="single" w:sz="4" w:space="0" w:color="auto"/>
            </w:tcBorders>
          </w:tcPr>
          <w:p w:rsidR="00000000" w:rsidRDefault="00000000">
            <w:pPr>
              <w:tabs>
                <w:tab w:val="clear" w:pos="1134"/>
              </w:tabs>
              <w:spacing w:line="240" w:lineRule="auto"/>
              <w:ind w:right="234"/>
              <w:jc w:val="right"/>
            </w:pPr>
            <w:r>
              <w:t>16</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221 931</w:t>
            </w:r>
          </w:p>
        </w:tc>
        <w:tc>
          <w:tcPr>
            <w:tcW w:w="781" w:type="dxa"/>
            <w:tcBorders>
              <w:left w:val="single" w:sz="4" w:space="0" w:color="auto"/>
              <w:right w:val="single" w:sz="4" w:space="0" w:color="auto"/>
            </w:tcBorders>
          </w:tcPr>
          <w:p w:rsidR="00000000" w:rsidRDefault="00000000">
            <w:pPr>
              <w:tabs>
                <w:tab w:val="clear" w:pos="1134"/>
              </w:tabs>
              <w:spacing w:line="240" w:lineRule="auto"/>
              <w:ind w:right="234"/>
              <w:jc w:val="right"/>
            </w:pPr>
            <w:r>
              <w:t>10</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Промышленности и торговли</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5 530</w:t>
            </w:r>
          </w:p>
        </w:tc>
        <w:tc>
          <w:tcPr>
            <w:tcW w:w="748" w:type="dxa"/>
            <w:tcBorders>
              <w:left w:val="single" w:sz="4" w:space="0" w:color="auto"/>
              <w:right w:val="single" w:sz="4" w:space="0" w:color="auto"/>
            </w:tcBorders>
          </w:tcPr>
          <w:p w:rsidR="00000000" w:rsidRDefault="00000000">
            <w:pPr>
              <w:tabs>
                <w:tab w:val="clear" w:pos="1134"/>
              </w:tabs>
              <w:spacing w:line="240" w:lineRule="auto"/>
              <w:ind w:right="234"/>
              <w:jc w:val="right"/>
            </w:pPr>
            <w:r>
              <w:t>0</w:t>
            </w:r>
          </w:p>
        </w:tc>
        <w:tc>
          <w:tcPr>
            <w:tcW w:w="1496" w:type="dxa"/>
            <w:tcBorders>
              <w:left w:val="single" w:sz="4" w:space="0" w:color="auto"/>
              <w:right w:val="single" w:sz="4" w:space="0" w:color="auto"/>
            </w:tcBorders>
          </w:tcPr>
          <w:p w:rsidR="00000000" w:rsidRDefault="00000000">
            <w:pPr>
              <w:tabs>
                <w:tab w:val="clear" w:pos="1134"/>
              </w:tabs>
              <w:spacing w:line="240" w:lineRule="auto"/>
              <w:ind w:right="234"/>
              <w:jc w:val="right"/>
            </w:pPr>
            <w:r>
              <w:t>7 800</w:t>
            </w:r>
          </w:p>
        </w:tc>
        <w:tc>
          <w:tcPr>
            <w:tcW w:w="781" w:type="dxa"/>
            <w:tcBorders>
              <w:left w:val="single" w:sz="4" w:space="0" w:color="auto"/>
              <w:right w:val="single" w:sz="4" w:space="0" w:color="auto"/>
            </w:tcBorders>
          </w:tcPr>
          <w:p w:rsidR="00000000" w:rsidRDefault="00000000">
            <w:pPr>
              <w:tabs>
                <w:tab w:val="clear" w:pos="1134"/>
              </w:tabs>
              <w:spacing w:line="240" w:lineRule="auto"/>
              <w:ind w:right="234"/>
              <w:jc w:val="right"/>
            </w:pPr>
            <w:r>
              <w:t>0</w:t>
            </w:r>
          </w:p>
        </w:tc>
      </w:tr>
      <w:tr w:rsidR="00000000">
        <w:tblPrEx>
          <w:tblCellMar>
            <w:top w:w="0" w:type="dxa"/>
            <w:bottom w:w="0" w:type="dxa"/>
          </w:tblCellMar>
        </w:tblPrEx>
        <w:tc>
          <w:tcPr>
            <w:tcW w:w="4890" w:type="dxa"/>
            <w:tcBorders>
              <w:left w:val="single" w:sz="4" w:space="0" w:color="auto"/>
              <w:bottom w:val="single" w:sz="4" w:space="0" w:color="auto"/>
              <w:right w:val="single" w:sz="4" w:space="0" w:color="auto"/>
            </w:tcBorders>
          </w:tcPr>
          <w:p w:rsidR="00000000" w:rsidRDefault="00000000">
            <w:pPr>
              <w:spacing w:line="240" w:lineRule="auto"/>
            </w:pPr>
            <w:r>
              <w:t>По вопросам развития регионов, городов и населенных пунктов</w:t>
            </w:r>
          </w:p>
        </w:tc>
        <w:tc>
          <w:tcPr>
            <w:tcW w:w="1496"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right="234"/>
              <w:jc w:val="right"/>
            </w:pPr>
            <w:r>
              <w:t>13 107</w:t>
            </w:r>
          </w:p>
        </w:tc>
        <w:tc>
          <w:tcPr>
            <w:tcW w:w="748"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right="234"/>
              <w:jc w:val="right"/>
            </w:pPr>
            <w:r>
              <w:t>1</w:t>
            </w:r>
          </w:p>
        </w:tc>
        <w:tc>
          <w:tcPr>
            <w:tcW w:w="1496"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right="234"/>
              <w:jc w:val="right"/>
            </w:pPr>
            <w:r>
              <w:t>13 536</w:t>
            </w:r>
          </w:p>
        </w:tc>
        <w:tc>
          <w:tcPr>
            <w:tcW w:w="781"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right="234"/>
              <w:jc w:val="right"/>
            </w:pPr>
            <w:r>
              <w:t>1</w:t>
            </w:r>
          </w:p>
        </w:tc>
      </w:tr>
      <w:tr w:rsidR="00000000">
        <w:tblPrEx>
          <w:tblCellMar>
            <w:top w:w="0" w:type="dxa"/>
            <w:bottom w:w="0" w:type="dxa"/>
          </w:tblCellMar>
        </w:tblPrEx>
        <w:tc>
          <w:tcPr>
            <w:tcW w:w="489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Всего</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234"/>
              <w:jc w:val="right"/>
            </w:pPr>
            <w:r>
              <w:t>1 898 915</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234"/>
              <w:jc w:val="right"/>
            </w:pPr>
            <w:r>
              <w:t>100</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234"/>
              <w:jc w:val="right"/>
            </w:pPr>
            <w:r>
              <w:t>2 128 987</w:t>
            </w:r>
          </w:p>
        </w:tc>
        <w:tc>
          <w:tcPr>
            <w:tcW w:w="781"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234"/>
              <w:jc w:val="right"/>
            </w:pPr>
            <w:r>
              <w:t>100</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spacing w:line="240" w:lineRule="auto"/>
      </w:pPr>
      <w:r>
        <w:tab/>
      </w:r>
      <w:r>
        <w:rPr>
          <w:u w:val="single"/>
        </w:rPr>
        <w:t>Источник</w:t>
      </w:r>
      <w:r>
        <w:t>:  Документация министерств, представленная в связи с анализом финансирования из государственного бюджета гражданских ассоциаций, специальных учреждений церквей, организаций по оказанию общественно-полезных услуг, фондов и целевых фондов.</w:t>
      </w:r>
    </w:p>
    <w:p w:rsidR="00000000" w:rsidRDefault="00000000">
      <w:pPr>
        <w:pStyle w:val="FootnoteText"/>
        <w:spacing w:line="288" w:lineRule="auto"/>
      </w:pPr>
    </w:p>
    <w:p w:rsidR="00000000" w:rsidRDefault="00000000">
      <w:pPr>
        <w:jc w:val="center"/>
        <w:rPr>
          <w:b/>
          <w:bCs/>
        </w:rPr>
      </w:pPr>
      <w:r>
        <w:rPr>
          <w:b/>
          <w:bCs/>
        </w:rPr>
        <w:t>Государственные субсидии в разбивке по основным областям деятельности (межведомственные)</w:t>
      </w:r>
    </w:p>
    <w:p w:rsidR="00000000" w:rsidRDefault="00000000">
      <w:pPr>
        <w:pStyle w:val="16"/>
        <w:rPr>
          <w:b/>
          <w:bCs/>
        </w:rPr>
      </w:pPr>
      <w:r>
        <w:rPr>
          <w:b/>
          <w:bCs/>
        </w:rPr>
        <w:t>(Включая деятельность церквей, частные школы и Фонд обеспечения будущего)</w:t>
      </w:r>
    </w:p>
    <w:p w:rsidR="00000000" w:rsidRDefault="00000000">
      <w:pPr>
        <w:pStyle w:val="16"/>
      </w:pPr>
    </w:p>
    <w:tbl>
      <w:tblPr>
        <w:tblW w:w="0" w:type="auto"/>
        <w:tblLayout w:type="fixed"/>
        <w:tblCellMar>
          <w:left w:w="28" w:type="dxa"/>
          <w:right w:w="28" w:type="dxa"/>
        </w:tblCellMar>
        <w:tblLook w:val="0000" w:firstRow="0" w:lastRow="0" w:firstColumn="0" w:lastColumn="0" w:noHBand="0" w:noVBand="0"/>
      </w:tblPr>
      <w:tblGrid>
        <w:gridCol w:w="4329"/>
        <w:gridCol w:w="1683"/>
        <w:gridCol w:w="748"/>
        <w:gridCol w:w="1870"/>
        <w:gridCol w:w="781"/>
      </w:tblGrid>
      <w:tr w:rsidR="00000000">
        <w:tblPrEx>
          <w:tblCellMar>
            <w:top w:w="0" w:type="dxa"/>
            <w:bottom w:w="0" w:type="dxa"/>
          </w:tblCellMar>
        </w:tblPrEx>
        <w:trPr>
          <w:cantSplit/>
        </w:trPr>
        <w:tc>
          <w:tcPr>
            <w:tcW w:w="4329" w:type="dxa"/>
            <w:tcBorders>
              <w:top w:val="single" w:sz="4" w:space="0" w:color="auto"/>
              <w:left w:val="single" w:sz="4" w:space="0" w:color="auto"/>
              <w:right w:val="single" w:sz="4" w:space="0" w:color="auto"/>
            </w:tcBorders>
          </w:tcPr>
          <w:p w:rsidR="00000000" w:rsidRDefault="00000000">
            <w:pPr>
              <w:pStyle w:val="Heading1"/>
              <w:spacing w:line="240" w:lineRule="auto"/>
              <w:jc w:val="center"/>
              <w:rPr>
                <w:b w:val="0"/>
              </w:rPr>
            </w:pPr>
            <w:r>
              <w:rPr>
                <w:b w:val="0"/>
              </w:rPr>
              <w:t>Область деятельности</w:t>
            </w:r>
          </w:p>
        </w:tc>
        <w:tc>
          <w:tcPr>
            <w:tcW w:w="2431" w:type="dxa"/>
            <w:gridSpan w:val="2"/>
            <w:tcBorders>
              <w:top w:val="single" w:sz="4" w:space="0" w:color="auto"/>
              <w:left w:val="single" w:sz="4" w:space="0" w:color="auto"/>
              <w:bottom w:val="single" w:sz="4" w:space="0" w:color="auto"/>
              <w:right w:val="single" w:sz="4" w:space="0" w:color="auto"/>
            </w:tcBorders>
          </w:tcPr>
          <w:p w:rsidR="00000000" w:rsidRDefault="00000000">
            <w:pPr>
              <w:pStyle w:val="16"/>
              <w:spacing w:line="240" w:lineRule="auto"/>
            </w:pPr>
            <w:r>
              <w:t>1998</w:t>
            </w:r>
          </w:p>
        </w:tc>
        <w:tc>
          <w:tcPr>
            <w:tcW w:w="265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1999</w:t>
            </w:r>
          </w:p>
        </w:tc>
      </w:tr>
      <w:tr w:rsidR="00000000">
        <w:tblPrEx>
          <w:tblCellMar>
            <w:top w:w="0" w:type="dxa"/>
            <w:bottom w:w="0" w:type="dxa"/>
          </w:tblCellMar>
        </w:tblPrEx>
        <w:tc>
          <w:tcPr>
            <w:tcW w:w="4329" w:type="dxa"/>
            <w:tcBorders>
              <w:left w:val="single" w:sz="4" w:space="0" w:color="auto"/>
              <w:bottom w:val="single" w:sz="4" w:space="0" w:color="auto"/>
              <w:right w:val="single" w:sz="4" w:space="0" w:color="auto"/>
            </w:tcBorders>
          </w:tcPr>
          <w:p w:rsidR="00000000" w:rsidRDefault="00000000">
            <w:pPr>
              <w:spacing w:line="240" w:lineRule="auto"/>
              <w:jc w:val="center"/>
            </w:pP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16"/>
              <w:spacing w:line="216" w:lineRule="auto"/>
            </w:pPr>
            <w:r>
              <w:t>Тысячи</w:t>
            </w:r>
            <w:bookmarkStart w:id="2" w:name="OLE_LINK1"/>
          </w:p>
          <w:p w:rsidR="00000000" w:rsidRDefault="00000000">
            <w:pPr>
              <w:pStyle w:val="16"/>
              <w:spacing w:line="216" w:lineRule="auto"/>
            </w:pPr>
            <w:r>
              <w:t>чешских крон</w:t>
            </w:r>
            <w:bookmarkEnd w:id="2"/>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p>
          <w:p w:rsidR="00000000" w:rsidRDefault="00000000">
            <w:pPr>
              <w:spacing w:line="216" w:lineRule="auto"/>
              <w:jc w:val="center"/>
            </w:pPr>
            <w:r>
              <w:t>%</w:t>
            </w:r>
          </w:p>
        </w:tc>
        <w:tc>
          <w:tcPr>
            <w:tcW w:w="1870"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Тысячи</w:t>
            </w:r>
          </w:p>
          <w:p w:rsidR="00000000" w:rsidRDefault="00000000">
            <w:pPr>
              <w:spacing w:line="216" w:lineRule="auto"/>
              <w:jc w:val="center"/>
            </w:pPr>
            <w:r>
              <w:t>чешских крон</w:t>
            </w:r>
          </w:p>
        </w:tc>
        <w:tc>
          <w:tcPr>
            <w:tcW w:w="781"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p>
          <w:p w:rsidR="00000000" w:rsidRDefault="00000000">
            <w:pPr>
              <w:spacing w:line="216" w:lineRule="auto"/>
              <w:jc w:val="center"/>
            </w:pPr>
            <w:r>
              <w:t>%</w:t>
            </w:r>
          </w:p>
        </w:tc>
      </w:tr>
      <w:tr w:rsidR="00000000">
        <w:tblPrEx>
          <w:tblCellMar>
            <w:top w:w="0" w:type="dxa"/>
            <w:bottom w:w="0" w:type="dxa"/>
          </w:tblCellMar>
        </w:tblPrEx>
        <w:tc>
          <w:tcPr>
            <w:tcW w:w="4329" w:type="dxa"/>
            <w:tcBorders>
              <w:top w:val="single" w:sz="4" w:space="0" w:color="auto"/>
              <w:left w:val="single" w:sz="4" w:space="0" w:color="auto"/>
              <w:right w:val="single" w:sz="4" w:space="0" w:color="auto"/>
            </w:tcBorders>
          </w:tcPr>
          <w:p w:rsidR="00000000" w:rsidRDefault="00000000">
            <w:pPr>
              <w:spacing w:line="240" w:lineRule="auto"/>
            </w:pPr>
            <w:r>
              <w:t>Культура</w:t>
            </w:r>
          </w:p>
        </w:tc>
        <w:tc>
          <w:tcPr>
            <w:tcW w:w="1683" w:type="dxa"/>
            <w:tcBorders>
              <w:top w:val="single" w:sz="4" w:space="0" w:color="auto"/>
              <w:left w:val="single" w:sz="4" w:space="0" w:color="auto"/>
              <w:right w:val="single" w:sz="4" w:space="0" w:color="auto"/>
            </w:tcBorders>
          </w:tcPr>
          <w:p w:rsidR="00000000" w:rsidRDefault="00000000">
            <w:pPr>
              <w:pStyle w:val="FootnoteText"/>
              <w:tabs>
                <w:tab w:val="clear" w:pos="1134"/>
                <w:tab w:val="clear" w:pos="1701"/>
              </w:tabs>
              <w:ind w:right="427"/>
              <w:jc w:val="right"/>
            </w:pPr>
            <w:r>
              <w:t>69 608</w:t>
            </w:r>
          </w:p>
        </w:tc>
        <w:tc>
          <w:tcPr>
            <w:tcW w:w="748"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pPr>
            <w:r>
              <w:t>2</w:t>
            </w:r>
          </w:p>
        </w:tc>
        <w:tc>
          <w:tcPr>
            <w:tcW w:w="1870" w:type="dxa"/>
            <w:tcBorders>
              <w:top w:val="single" w:sz="4" w:space="0" w:color="auto"/>
              <w:left w:val="single" w:sz="4" w:space="0" w:color="auto"/>
              <w:right w:val="single" w:sz="4" w:space="0" w:color="auto"/>
            </w:tcBorders>
          </w:tcPr>
          <w:p w:rsidR="00000000" w:rsidRDefault="00000000">
            <w:pPr>
              <w:tabs>
                <w:tab w:val="clear" w:pos="1134"/>
                <w:tab w:val="clear" w:pos="1701"/>
              </w:tabs>
              <w:spacing w:line="240" w:lineRule="auto"/>
              <w:ind w:right="427"/>
              <w:jc w:val="right"/>
            </w:pPr>
            <w:r>
              <w:t>82 991</w:t>
            </w:r>
          </w:p>
        </w:tc>
        <w:tc>
          <w:tcPr>
            <w:tcW w:w="781"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pPr>
            <w:r>
              <w:t>2</w:t>
            </w:r>
          </w:p>
        </w:tc>
      </w:tr>
      <w:tr w:rsidR="00000000">
        <w:tblPrEx>
          <w:tblCellMar>
            <w:top w:w="0" w:type="dxa"/>
            <w:bottom w:w="0" w:type="dxa"/>
          </w:tblCellMar>
        </w:tblPrEx>
        <w:tc>
          <w:tcPr>
            <w:tcW w:w="4329" w:type="dxa"/>
            <w:tcBorders>
              <w:left w:val="single" w:sz="4" w:space="0" w:color="auto"/>
              <w:right w:val="single" w:sz="4" w:space="0" w:color="auto"/>
            </w:tcBorders>
          </w:tcPr>
          <w:p w:rsidR="00000000" w:rsidRDefault="00000000">
            <w:pPr>
              <w:spacing w:line="240" w:lineRule="auto"/>
            </w:pPr>
            <w:r>
              <w:t>Образование и исследования</w:t>
            </w:r>
          </w:p>
        </w:tc>
        <w:tc>
          <w:tcPr>
            <w:tcW w:w="1683"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194 090</w:t>
            </w:r>
          </w:p>
        </w:tc>
        <w:tc>
          <w:tcPr>
            <w:tcW w:w="748"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pPr>
            <w:r>
              <w:t>4</w:t>
            </w:r>
          </w:p>
        </w:tc>
        <w:tc>
          <w:tcPr>
            <w:tcW w:w="1870"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14 689</w:t>
            </w:r>
          </w:p>
        </w:tc>
        <w:tc>
          <w:tcPr>
            <w:tcW w:w="781"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pPr>
            <w:r>
              <w:t>0</w:t>
            </w:r>
          </w:p>
        </w:tc>
      </w:tr>
      <w:tr w:rsidR="00000000">
        <w:tblPrEx>
          <w:tblCellMar>
            <w:top w:w="0" w:type="dxa"/>
            <w:bottom w:w="0" w:type="dxa"/>
          </w:tblCellMar>
        </w:tblPrEx>
        <w:tc>
          <w:tcPr>
            <w:tcW w:w="4329" w:type="dxa"/>
            <w:tcBorders>
              <w:left w:val="single" w:sz="4" w:space="0" w:color="auto"/>
              <w:right w:val="single" w:sz="4" w:space="0" w:color="auto"/>
            </w:tcBorders>
          </w:tcPr>
          <w:p w:rsidR="00000000" w:rsidRDefault="00000000">
            <w:pPr>
              <w:spacing w:line="240" w:lineRule="auto"/>
            </w:pPr>
            <w:r>
              <w:t>Частная и приходская</w:t>
            </w:r>
          </w:p>
        </w:tc>
        <w:tc>
          <w:tcPr>
            <w:tcW w:w="1683"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511 988</w:t>
            </w:r>
          </w:p>
        </w:tc>
        <w:tc>
          <w:tcPr>
            <w:tcW w:w="748"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pPr>
            <w:r>
              <w:t>12</w:t>
            </w:r>
          </w:p>
        </w:tc>
        <w:tc>
          <w:tcPr>
            <w:tcW w:w="1870"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621 514</w:t>
            </w:r>
          </w:p>
        </w:tc>
        <w:tc>
          <w:tcPr>
            <w:tcW w:w="781"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pPr>
            <w:r>
              <w:t>17</w:t>
            </w:r>
          </w:p>
        </w:tc>
      </w:tr>
      <w:tr w:rsidR="00000000">
        <w:tblPrEx>
          <w:tblCellMar>
            <w:top w:w="0" w:type="dxa"/>
            <w:bottom w:w="0" w:type="dxa"/>
          </w:tblCellMar>
        </w:tblPrEx>
        <w:tc>
          <w:tcPr>
            <w:tcW w:w="4329" w:type="dxa"/>
            <w:tcBorders>
              <w:left w:val="single" w:sz="4" w:space="0" w:color="auto"/>
              <w:right w:val="single" w:sz="4" w:space="0" w:color="auto"/>
            </w:tcBorders>
          </w:tcPr>
          <w:p w:rsidR="00000000" w:rsidRDefault="00000000">
            <w:pPr>
              <w:spacing w:line="240" w:lineRule="auto"/>
            </w:pPr>
            <w:r>
              <w:t>Здравоохранение</w:t>
            </w:r>
          </w:p>
        </w:tc>
        <w:tc>
          <w:tcPr>
            <w:tcW w:w="1683"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638 628</w:t>
            </w:r>
          </w:p>
        </w:tc>
        <w:tc>
          <w:tcPr>
            <w:tcW w:w="748"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pPr>
            <w:r>
              <w:t>15</w:t>
            </w:r>
          </w:p>
        </w:tc>
        <w:tc>
          <w:tcPr>
            <w:tcW w:w="1870"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451 291</w:t>
            </w:r>
          </w:p>
        </w:tc>
        <w:tc>
          <w:tcPr>
            <w:tcW w:w="781"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pPr>
            <w:r>
              <w:t>12</w:t>
            </w:r>
          </w:p>
        </w:tc>
      </w:tr>
      <w:tr w:rsidR="00000000">
        <w:tblPrEx>
          <w:tblCellMar>
            <w:top w:w="0" w:type="dxa"/>
            <w:bottom w:w="0" w:type="dxa"/>
          </w:tblCellMar>
        </w:tblPrEx>
        <w:tc>
          <w:tcPr>
            <w:tcW w:w="4329" w:type="dxa"/>
            <w:tcBorders>
              <w:left w:val="single" w:sz="4" w:space="0" w:color="auto"/>
              <w:right w:val="single" w:sz="4" w:space="0" w:color="auto"/>
            </w:tcBorders>
          </w:tcPr>
          <w:p w:rsidR="00000000" w:rsidRDefault="00000000">
            <w:pPr>
              <w:spacing w:line="240" w:lineRule="auto"/>
            </w:pPr>
            <w:r>
              <w:t>Социальная</w:t>
            </w:r>
          </w:p>
        </w:tc>
        <w:tc>
          <w:tcPr>
            <w:tcW w:w="1683"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435 571</w:t>
            </w:r>
          </w:p>
        </w:tc>
        <w:tc>
          <w:tcPr>
            <w:tcW w:w="748"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pPr>
            <w:r>
              <w:t>10</w:t>
            </w:r>
          </w:p>
        </w:tc>
        <w:tc>
          <w:tcPr>
            <w:tcW w:w="1870"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391 678</w:t>
            </w:r>
          </w:p>
        </w:tc>
        <w:tc>
          <w:tcPr>
            <w:tcW w:w="781"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rPr>
                <w:lang w:val="en-US"/>
              </w:rPr>
            </w:pPr>
            <w:r>
              <w:rPr>
                <w:lang w:val="en-US"/>
              </w:rPr>
              <w:t>11</w:t>
            </w:r>
          </w:p>
        </w:tc>
      </w:tr>
      <w:tr w:rsidR="00000000">
        <w:tblPrEx>
          <w:tblCellMar>
            <w:top w:w="0" w:type="dxa"/>
            <w:bottom w:w="0" w:type="dxa"/>
          </w:tblCellMar>
        </w:tblPrEx>
        <w:tc>
          <w:tcPr>
            <w:tcW w:w="4329" w:type="dxa"/>
            <w:tcBorders>
              <w:left w:val="single" w:sz="4" w:space="0" w:color="auto"/>
              <w:right w:val="single" w:sz="4" w:space="0" w:color="auto"/>
            </w:tcBorders>
          </w:tcPr>
          <w:p w:rsidR="00000000" w:rsidRDefault="00000000">
            <w:pPr>
              <w:spacing w:line="240" w:lineRule="auto"/>
            </w:pPr>
            <w:r>
              <w:t>Национальные меньшинства</w:t>
            </w:r>
          </w:p>
        </w:tc>
        <w:tc>
          <w:tcPr>
            <w:tcW w:w="1683"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46 324</w:t>
            </w:r>
          </w:p>
        </w:tc>
        <w:tc>
          <w:tcPr>
            <w:tcW w:w="748"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pPr>
            <w:r>
              <w:t>1</w:t>
            </w:r>
          </w:p>
        </w:tc>
        <w:tc>
          <w:tcPr>
            <w:tcW w:w="1870"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48 735</w:t>
            </w:r>
          </w:p>
        </w:tc>
        <w:tc>
          <w:tcPr>
            <w:tcW w:w="781"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pPr>
            <w:r>
              <w:t>1</w:t>
            </w:r>
          </w:p>
        </w:tc>
      </w:tr>
      <w:tr w:rsidR="00000000">
        <w:tblPrEx>
          <w:tblCellMar>
            <w:top w:w="0" w:type="dxa"/>
            <w:bottom w:w="0" w:type="dxa"/>
          </w:tblCellMar>
        </w:tblPrEx>
        <w:tc>
          <w:tcPr>
            <w:tcW w:w="4329" w:type="dxa"/>
            <w:tcBorders>
              <w:left w:val="single" w:sz="4" w:space="0" w:color="auto"/>
              <w:right w:val="single" w:sz="4" w:space="0" w:color="auto"/>
            </w:tcBorders>
          </w:tcPr>
          <w:p w:rsidR="00000000" w:rsidRDefault="00000000">
            <w:pPr>
              <w:spacing w:line="240" w:lineRule="auto"/>
            </w:pPr>
            <w:r>
              <w:t>Экология</w:t>
            </w:r>
          </w:p>
        </w:tc>
        <w:tc>
          <w:tcPr>
            <w:tcW w:w="1683"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19 640</w:t>
            </w:r>
          </w:p>
        </w:tc>
        <w:tc>
          <w:tcPr>
            <w:tcW w:w="748"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pPr>
            <w:r>
              <w:t>4</w:t>
            </w:r>
          </w:p>
        </w:tc>
        <w:tc>
          <w:tcPr>
            <w:tcW w:w="1870"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19 693</w:t>
            </w:r>
          </w:p>
        </w:tc>
        <w:tc>
          <w:tcPr>
            <w:tcW w:w="781"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pPr>
            <w:r>
              <w:t>1</w:t>
            </w:r>
          </w:p>
        </w:tc>
      </w:tr>
      <w:tr w:rsidR="00000000">
        <w:tblPrEx>
          <w:tblCellMar>
            <w:top w:w="0" w:type="dxa"/>
            <w:bottom w:w="0" w:type="dxa"/>
          </w:tblCellMar>
        </w:tblPrEx>
        <w:tc>
          <w:tcPr>
            <w:tcW w:w="4329" w:type="dxa"/>
            <w:tcBorders>
              <w:left w:val="single" w:sz="4" w:space="0" w:color="auto"/>
              <w:right w:val="single" w:sz="4" w:space="0" w:color="auto"/>
            </w:tcBorders>
          </w:tcPr>
          <w:p w:rsidR="00000000" w:rsidRDefault="00000000">
            <w:pPr>
              <w:spacing w:line="240" w:lineRule="auto"/>
            </w:pPr>
            <w:r>
              <w:t>Досуг детей и молодежи</w:t>
            </w:r>
          </w:p>
        </w:tc>
        <w:tc>
          <w:tcPr>
            <w:tcW w:w="1683"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133 622</w:t>
            </w:r>
          </w:p>
        </w:tc>
        <w:tc>
          <w:tcPr>
            <w:tcW w:w="748"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pPr>
            <w:r>
              <w:t>3</w:t>
            </w:r>
          </w:p>
        </w:tc>
        <w:tc>
          <w:tcPr>
            <w:tcW w:w="1870"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174 724</w:t>
            </w:r>
          </w:p>
        </w:tc>
        <w:tc>
          <w:tcPr>
            <w:tcW w:w="781"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pPr>
            <w:r>
              <w:t>5</w:t>
            </w:r>
          </w:p>
        </w:tc>
      </w:tr>
      <w:tr w:rsidR="00000000">
        <w:tblPrEx>
          <w:tblCellMar>
            <w:top w:w="0" w:type="dxa"/>
            <w:bottom w:w="0" w:type="dxa"/>
          </w:tblCellMar>
        </w:tblPrEx>
        <w:tc>
          <w:tcPr>
            <w:tcW w:w="4329" w:type="dxa"/>
            <w:tcBorders>
              <w:left w:val="single" w:sz="4" w:space="0" w:color="auto"/>
              <w:right w:val="single" w:sz="4" w:space="0" w:color="auto"/>
            </w:tcBorders>
          </w:tcPr>
          <w:p w:rsidR="00000000" w:rsidRDefault="00000000">
            <w:pPr>
              <w:spacing w:line="240" w:lineRule="auto"/>
            </w:pPr>
            <w:r>
              <w:t xml:space="preserve">Спорт </w:t>
            </w:r>
          </w:p>
        </w:tc>
        <w:tc>
          <w:tcPr>
            <w:tcW w:w="1683"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545 033</w:t>
            </w:r>
          </w:p>
        </w:tc>
        <w:tc>
          <w:tcPr>
            <w:tcW w:w="748"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pPr>
            <w:r>
              <w:t>12</w:t>
            </w:r>
          </w:p>
        </w:tc>
        <w:tc>
          <w:tcPr>
            <w:tcW w:w="1870"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824 837</w:t>
            </w:r>
          </w:p>
        </w:tc>
        <w:tc>
          <w:tcPr>
            <w:tcW w:w="781"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rPr>
                <w:lang w:val="en-US"/>
              </w:rPr>
            </w:pPr>
            <w:r>
              <w:rPr>
                <w:lang w:val="en-US"/>
              </w:rPr>
              <w:t>23</w:t>
            </w:r>
          </w:p>
        </w:tc>
      </w:tr>
      <w:tr w:rsidR="00000000">
        <w:tblPrEx>
          <w:tblCellMar>
            <w:top w:w="0" w:type="dxa"/>
            <w:bottom w:w="0" w:type="dxa"/>
          </w:tblCellMar>
        </w:tblPrEx>
        <w:tc>
          <w:tcPr>
            <w:tcW w:w="4329" w:type="dxa"/>
            <w:tcBorders>
              <w:left w:val="single" w:sz="4" w:space="0" w:color="auto"/>
              <w:right w:val="single" w:sz="4" w:space="0" w:color="auto"/>
            </w:tcBorders>
          </w:tcPr>
          <w:p w:rsidR="00000000" w:rsidRDefault="00000000">
            <w:pPr>
              <w:spacing w:line="240" w:lineRule="auto"/>
            </w:pPr>
            <w:r>
              <w:t>Спортивные лотереи</w:t>
            </w:r>
          </w:p>
        </w:tc>
        <w:tc>
          <w:tcPr>
            <w:tcW w:w="1683"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825 774</w:t>
            </w:r>
          </w:p>
        </w:tc>
        <w:tc>
          <w:tcPr>
            <w:tcW w:w="748"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pPr>
            <w:r>
              <w:t>19</w:t>
            </w:r>
          </w:p>
        </w:tc>
        <w:tc>
          <w:tcPr>
            <w:tcW w:w="1870"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w:t>
            </w:r>
          </w:p>
        </w:tc>
        <w:tc>
          <w:tcPr>
            <w:tcW w:w="781"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pPr>
            <w:r>
              <w:t>-</w:t>
            </w:r>
          </w:p>
        </w:tc>
      </w:tr>
      <w:tr w:rsidR="00000000">
        <w:tblPrEx>
          <w:tblCellMar>
            <w:top w:w="0" w:type="dxa"/>
            <w:bottom w:w="0" w:type="dxa"/>
          </w:tblCellMar>
        </w:tblPrEx>
        <w:tc>
          <w:tcPr>
            <w:tcW w:w="4329" w:type="dxa"/>
            <w:tcBorders>
              <w:left w:val="single" w:sz="4" w:space="0" w:color="auto"/>
              <w:right w:val="single" w:sz="4" w:space="0" w:color="auto"/>
            </w:tcBorders>
          </w:tcPr>
          <w:p w:rsidR="00000000" w:rsidRDefault="00000000">
            <w:pPr>
              <w:spacing w:line="240" w:lineRule="auto"/>
            </w:pPr>
            <w:r>
              <w:t>Церковь</w:t>
            </w:r>
          </w:p>
        </w:tc>
        <w:tc>
          <w:tcPr>
            <w:tcW w:w="1683"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pPr>
            <w:r>
              <w:t>647 791</w:t>
            </w:r>
          </w:p>
        </w:tc>
        <w:tc>
          <w:tcPr>
            <w:tcW w:w="748"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rPr>
                <w:lang w:val="en-US"/>
              </w:rPr>
            </w:pPr>
            <w:r>
              <w:rPr>
                <w:lang w:val="en-US"/>
              </w:rPr>
              <w:t>15</w:t>
            </w:r>
          </w:p>
        </w:tc>
        <w:tc>
          <w:tcPr>
            <w:tcW w:w="1870" w:type="dxa"/>
            <w:tcBorders>
              <w:left w:val="single" w:sz="4" w:space="0" w:color="auto"/>
              <w:right w:val="single" w:sz="4" w:space="0" w:color="auto"/>
            </w:tcBorders>
          </w:tcPr>
          <w:p w:rsidR="00000000" w:rsidRDefault="00000000">
            <w:pPr>
              <w:tabs>
                <w:tab w:val="clear" w:pos="1134"/>
                <w:tab w:val="clear" w:pos="1701"/>
              </w:tabs>
              <w:spacing w:line="240" w:lineRule="auto"/>
              <w:ind w:right="427"/>
              <w:jc w:val="right"/>
              <w:rPr>
                <w:lang w:val="en-US"/>
              </w:rPr>
            </w:pPr>
            <w:r>
              <w:rPr>
                <w:lang w:val="en-US"/>
              </w:rPr>
              <w:t>776 131</w:t>
            </w:r>
          </w:p>
        </w:tc>
        <w:tc>
          <w:tcPr>
            <w:tcW w:w="781" w:type="dxa"/>
            <w:tcBorders>
              <w:left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rPr>
                <w:lang w:val="en-US"/>
              </w:rPr>
            </w:pPr>
            <w:r>
              <w:rPr>
                <w:lang w:val="en-US"/>
              </w:rPr>
              <w:t>21</w:t>
            </w:r>
          </w:p>
        </w:tc>
      </w:tr>
      <w:tr w:rsidR="00000000">
        <w:tblPrEx>
          <w:tblCellMar>
            <w:top w:w="0" w:type="dxa"/>
            <w:bottom w:w="0" w:type="dxa"/>
          </w:tblCellMar>
        </w:tblPrEx>
        <w:tc>
          <w:tcPr>
            <w:tcW w:w="4329" w:type="dxa"/>
            <w:tcBorders>
              <w:left w:val="single" w:sz="4" w:space="0" w:color="auto"/>
              <w:bottom w:val="single" w:sz="4" w:space="0" w:color="auto"/>
              <w:right w:val="single" w:sz="4" w:space="0" w:color="auto"/>
            </w:tcBorders>
          </w:tcPr>
          <w:p w:rsidR="00000000" w:rsidRDefault="00000000">
            <w:pPr>
              <w:spacing w:line="240" w:lineRule="auto"/>
            </w:pPr>
            <w:r>
              <w:t>Прочее</w:t>
            </w:r>
          </w:p>
        </w:tc>
        <w:tc>
          <w:tcPr>
            <w:tcW w:w="1683" w:type="dxa"/>
            <w:tcBorders>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427"/>
              <w:jc w:val="right"/>
            </w:pPr>
            <w:r>
              <w:t>306 383</w:t>
            </w:r>
          </w:p>
        </w:tc>
        <w:tc>
          <w:tcPr>
            <w:tcW w:w="748"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pPr>
            <w:r>
              <w:t>7</w:t>
            </w:r>
          </w:p>
        </w:tc>
        <w:tc>
          <w:tcPr>
            <w:tcW w:w="1870" w:type="dxa"/>
            <w:tcBorders>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427"/>
              <w:jc w:val="right"/>
            </w:pPr>
            <w:r>
              <w:t>240 000</w:t>
            </w:r>
          </w:p>
        </w:tc>
        <w:tc>
          <w:tcPr>
            <w:tcW w:w="781"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pPr>
            <w:r>
              <w:t>7</w:t>
            </w:r>
          </w:p>
        </w:tc>
      </w:tr>
      <w:tr w:rsidR="00000000">
        <w:tblPrEx>
          <w:tblCellMar>
            <w:top w:w="0" w:type="dxa"/>
            <w:bottom w:w="0" w:type="dxa"/>
          </w:tblCellMar>
        </w:tblPrEx>
        <w:tc>
          <w:tcPr>
            <w:tcW w:w="432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Всего</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427"/>
              <w:jc w:val="right"/>
            </w:pPr>
            <w:r>
              <w:t>3 548 678</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s>
              <w:spacing w:line="240" w:lineRule="auto"/>
              <w:ind w:left="-215" w:right="183"/>
              <w:jc w:val="right"/>
            </w:pPr>
            <w:r>
              <w:t>100</w:t>
            </w:r>
          </w:p>
        </w:tc>
        <w:tc>
          <w:tcPr>
            <w:tcW w:w="1870"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427"/>
              <w:jc w:val="right"/>
            </w:pPr>
            <w:r>
              <w:t>3 646 283</w:t>
            </w:r>
          </w:p>
        </w:tc>
        <w:tc>
          <w:tcPr>
            <w:tcW w:w="781"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s>
              <w:spacing w:line="240" w:lineRule="auto"/>
              <w:ind w:right="141"/>
              <w:jc w:val="right"/>
            </w:pPr>
            <w:r>
              <w:t>100</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spacing w:line="240" w:lineRule="auto"/>
      </w:pPr>
      <w:r>
        <w:tab/>
      </w:r>
      <w:r>
        <w:rPr>
          <w:u w:val="single"/>
        </w:rPr>
        <w:t>Источник</w:t>
      </w:r>
      <w:r>
        <w:t>:  Документация министерств, представленная в связи с анализом финансирования из государственного бюджета гражданских ассоциаций, специальных учреждений церквей, организаций по оказанию общественно-полезных услуг, фондов и целевых фондов.</w:t>
      </w:r>
    </w:p>
    <w:p w:rsidR="00000000" w:rsidRDefault="00000000"/>
    <w:p w:rsidR="00000000" w:rsidRDefault="00000000">
      <w:pPr>
        <w:pStyle w:val="16"/>
        <w:jc w:val="left"/>
      </w:pPr>
      <w:r>
        <w:t>68.</w:t>
      </w:r>
      <w:r>
        <w:tab/>
        <w:t>Правительственный совет по делам неправительственных некоммерческих организаций также готовит материалы для постановления правительства о дальнейшем использовании средств, предназначаемых для Инвестиционного фонда в целях поддержки общественных фондов (</w:t>
      </w:r>
      <w:r>
        <w:rPr>
          <w:lang w:val="en-US"/>
        </w:rPr>
        <w:t>Nada</w:t>
      </w:r>
      <w:r>
        <w:t>è</w:t>
      </w:r>
      <w:r>
        <w:rPr>
          <w:lang w:val="en-US"/>
        </w:rPr>
        <w:t>n</w:t>
      </w:r>
      <w:r>
        <w:t xml:space="preserve">í </w:t>
      </w:r>
      <w:r>
        <w:rPr>
          <w:lang w:val="en-US"/>
        </w:rPr>
        <w:t>investi</w:t>
      </w:r>
      <w:r>
        <w:t>è</w:t>
      </w:r>
      <w:r>
        <w:rPr>
          <w:lang w:val="en-US"/>
        </w:rPr>
        <w:t>n</w:t>
      </w:r>
      <w:r>
        <w:t xml:space="preserve">í </w:t>
      </w:r>
      <w:r>
        <w:rPr>
          <w:lang w:val="en-US"/>
        </w:rPr>
        <w:t>fond</w:t>
      </w:r>
      <w:r>
        <w:t>)</w:t>
      </w:r>
      <w:r>
        <w:rPr>
          <w:rStyle w:val="FootnoteReference"/>
        </w:rPr>
        <w:footnoteReference w:id="45"/>
      </w:r>
      <w:r>
        <w:t>.  Первая стадия распределения средств в поддержку деятельности фондов проходила в 1999 году, когда были распределены средства в сумме 500 млн. чешских крон, приобретенные в результате продажи акций предприятий, которыми владело государство, и аккумулированные на специальном счете Национального фонда собственности.  Эти денежные средства были распределены по следующим направлениям:  социальная и гуманитарная сфера, здравоохранение, культура, защита прав человека, охрана окружающей среды, образование и прочее.</w:t>
      </w:r>
    </w:p>
    <w:p w:rsidR="00000000" w:rsidRDefault="00000000">
      <w:pPr>
        <w:pStyle w:val="16"/>
        <w:jc w:val="left"/>
      </w:pPr>
    </w:p>
    <w:p w:rsidR="00000000" w:rsidRDefault="00000000">
      <w:pPr>
        <w:pStyle w:val="16"/>
        <w:jc w:val="left"/>
      </w:pPr>
      <w:r>
        <w:t>69.</w:t>
      </w:r>
      <w:r>
        <w:tab/>
        <w:t>Относительно новыми гражданскими ассоциациями, но которые весьма важны с точки зрения преследуемых ими целей и которые действуют в Чехословацкой Республике в области прав человека с 1997 года, являются так называемые консультационные бюро граждан.  Эти бюро представляют собой институционализированную форму общего консультирования и организуются неправительственными организациями, которые оказывают бесплатные, независимые, конфиденциальные и беспристрастные услуги отдельным гражданам.  Их цель состоит в том, чтобы граждане не страдали от незнания своих прав и обязанностей, были ознакомлены с имеющимися услугами и могли конкретно выражать свои потребности.  Исходя из анализа проблем, с которыми сталкиваются граждане, консультационные бюро информируют соответствующие государственные и местные органы власти о пробелах в законодательстве и нерешенных проблемах.  Эти бюро действуют по британской модели консультационных бюро граждан и образуют общенациональную сеть.</w:t>
      </w:r>
    </w:p>
    <w:p w:rsidR="00000000" w:rsidRDefault="00000000"/>
    <w:p w:rsidR="00000000" w:rsidRDefault="00000000">
      <w:r>
        <w:t>70.</w:t>
      </w:r>
      <w:r>
        <w:tab/>
        <w:t>По состоянию на конец 1999 года Ассоциация консультационных бюро граждан (созданная в феврале 1997 года) имела девять консультационных бюро и зарегистрировала 40 новых заявлений о членстве.  Консультационные бюро Ассоциации обязаны использовать единые методы.  Организации </w:t>
      </w:r>
      <w:r>
        <w:noBreakHyphen/>
        <w:t xml:space="preserve"> члены Ассоциации работают совместно с Чешской коллегией адвокатов;  в 1997</w:t>
      </w:r>
      <w:r>
        <w:noBreakHyphen/>
        <w:t xml:space="preserve">1999 годах они получали финансовую поддержку, в частности, от Британского фонда ноу-хау, министерства труда и социальных дел, Фонда </w:t>
      </w:r>
      <w:r>
        <w:rPr>
          <w:lang w:val="en-US"/>
        </w:rPr>
        <w:t>SWIF</w:t>
      </w:r>
      <w:r>
        <w:t xml:space="preserve"> (в рамках Национального фонда образования) и Фонда для развития гражданского общества.  Консультационные бюро уже являются необходимым элементом социальной работы.  В феврале 1998 года правительство Чешской Республики утвердило общую схему закона о социальной помощи, в которой важное место отводится консультационным бюро граждан.</w:t>
      </w:r>
    </w:p>
    <w:p w:rsidR="00000000" w:rsidRDefault="00000000"/>
    <w:p w:rsidR="00000000" w:rsidRDefault="00000000">
      <w:pPr>
        <w:jc w:val="center"/>
        <w:rPr>
          <w:b/>
          <w:bCs/>
        </w:rPr>
      </w:pPr>
      <w:r>
        <w:rPr>
          <w:b/>
          <w:bCs/>
        </w:rPr>
        <w:t>G.</w:t>
      </w:r>
      <w:r>
        <w:rPr>
          <w:b/>
          <w:bCs/>
        </w:rPr>
        <w:tab/>
        <w:t>Международное сотрудничество</w:t>
      </w:r>
    </w:p>
    <w:p w:rsidR="00000000" w:rsidRDefault="00000000">
      <w:pPr>
        <w:jc w:val="center"/>
        <w:rPr>
          <w:b/>
          <w:bCs/>
        </w:rPr>
      </w:pPr>
    </w:p>
    <w:p w:rsidR="00000000" w:rsidRDefault="00000000">
      <w:r>
        <w:t>71.</w:t>
      </w:r>
      <w:r>
        <w:tab/>
        <w:t>Участие Чешской Республики в международных институциональных структурах играет важную роль в деле международного сотрудничества по вопросам защиты прав человека, включая экономические, социальные и культурные права.</w:t>
      </w:r>
    </w:p>
    <w:p w:rsidR="00000000" w:rsidRDefault="00000000">
      <w:pPr>
        <w:spacing w:line="240" w:lineRule="auto"/>
      </w:pPr>
    </w:p>
    <w:p w:rsidR="00000000" w:rsidRDefault="00000000">
      <w:pPr>
        <w:spacing w:line="240" w:lineRule="auto"/>
        <w:jc w:val="center"/>
        <w:rPr>
          <w:b/>
          <w:bCs/>
        </w:rPr>
      </w:pPr>
      <w:r>
        <w:rPr>
          <w:b/>
          <w:bCs/>
        </w:rPr>
        <w:t>Членство Чешской Республики в отдельных международных правительственных организациях</w:t>
      </w:r>
    </w:p>
    <w:p w:rsidR="00000000" w:rsidRDefault="00000000">
      <w:pPr>
        <w:pStyle w:val="10"/>
        <w:tabs>
          <w:tab w:val="left" w:pos="567"/>
          <w:tab w:val="left" w:pos="1134"/>
          <w:tab w:val="left" w:pos="1701"/>
          <w:tab w:val="left" w:pos="2268"/>
          <w:tab w:val="left" w:pos="6237"/>
        </w:tabs>
        <w:spacing w:line="240" w:lineRule="auto"/>
        <w:rPr>
          <w:bCs/>
        </w:rPr>
      </w:pPr>
    </w:p>
    <w:tbl>
      <w:tblPr>
        <w:tblW w:w="0" w:type="auto"/>
        <w:tblLayout w:type="fixed"/>
        <w:tblCellMar>
          <w:left w:w="28" w:type="dxa"/>
          <w:right w:w="28" w:type="dxa"/>
        </w:tblCellMar>
        <w:tblLook w:val="0000" w:firstRow="0" w:lastRow="0" w:firstColumn="0" w:lastColumn="0" w:noHBand="0" w:noVBand="0"/>
      </w:tblPr>
      <w:tblGrid>
        <w:gridCol w:w="4890"/>
        <w:gridCol w:w="1496"/>
        <w:gridCol w:w="1496"/>
        <w:gridCol w:w="748"/>
        <w:gridCol w:w="781"/>
      </w:tblGrid>
      <w:tr w:rsidR="00000000">
        <w:tblPrEx>
          <w:tblCellMar>
            <w:top w:w="0" w:type="dxa"/>
            <w:bottom w:w="0" w:type="dxa"/>
          </w:tblCellMar>
        </w:tblPrEx>
        <w:trPr>
          <w:cantSplit/>
        </w:trPr>
        <w:tc>
          <w:tcPr>
            <w:tcW w:w="489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p>
          <w:p w:rsidR="00000000" w:rsidRDefault="00000000">
            <w:pPr>
              <w:spacing w:line="240" w:lineRule="auto"/>
              <w:jc w:val="center"/>
            </w:pPr>
            <w:r>
              <w:t>Организация</w:t>
            </w:r>
          </w:p>
        </w:tc>
        <w:tc>
          <w:tcPr>
            <w:tcW w:w="149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pPr>
            <w:r>
              <w:t xml:space="preserve">Чешское </w:t>
            </w:r>
            <w:r>
              <w:rPr>
                <w:spacing w:val="-2"/>
              </w:rPr>
              <w:t>наименование</w:t>
            </w:r>
          </w:p>
        </w:tc>
        <w:tc>
          <w:tcPr>
            <w:tcW w:w="1496"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 xml:space="preserve">Междуна-родное </w:t>
            </w:r>
            <w:r>
              <w:rPr>
                <w:spacing w:val="-2"/>
              </w:rPr>
              <w:t>наименование</w:t>
            </w:r>
          </w:p>
        </w:tc>
        <w:tc>
          <w:tcPr>
            <w:tcW w:w="1529"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Членство</w:t>
            </w:r>
          </w:p>
        </w:tc>
      </w:tr>
      <w:tr w:rsidR="00000000">
        <w:tblPrEx>
          <w:tblCellMar>
            <w:top w:w="0" w:type="dxa"/>
            <w:bottom w:w="0" w:type="dxa"/>
          </w:tblCellMar>
        </w:tblPrEx>
        <w:trPr>
          <w:cantSplit/>
        </w:trPr>
        <w:tc>
          <w:tcPr>
            <w:tcW w:w="4890" w:type="dxa"/>
            <w:vMerge/>
            <w:tcBorders>
              <w:top w:val="single" w:sz="4" w:space="0" w:color="auto"/>
              <w:left w:val="single" w:sz="4" w:space="0" w:color="auto"/>
              <w:bottom w:val="single" w:sz="4" w:space="0" w:color="auto"/>
              <w:right w:val="single" w:sz="4" w:space="0" w:color="auto"/>
            </w:tcBorders>
          </w:tcPr>
          <w:p w:rsidR="00000000" w:rsidRDefault="00000000">
            <w:pPr>
              <w:spacing w:line="240" w:lineRule="auto"/>
            </w:pPr>
          </w:p>
        </w:tc>
        <w:tc>
          <w:tcPr>
            <w:tcW w:w="1496" w:type="dxa"/>
            <w:vMerge/>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p>
        </w:tc>
        <w:tc>
          <w:tcPr>
            <w:tcW w:w="1496" w:type="dxa"/>
            <w:vMerge/>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p>
        </w:tc>
        <w:tc>
          <w:tcPr>
            <w:tcW w:w="7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pPr>
            <w:r>
              <w:t>ЧР</w:t>
            </w:r>
          </w:p>
        </w:tc>
        <w:tc>
          <w:tcPr>
            <w:tcW w:w="78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16"/>
              <w:spacing w:line="240" w:lineRule="auto"/>
            </w:pPr>
            <w:r>
              <w:t>ЧСР</w:t>
            </w:r>
          </w:p>
        </w:tc>
      </w:tr>
      <w:tr w:rsidR="00000000">
        <w:tblPrEx>
          <w:tblCellMar>
            <w:top w:w="0" w:type="dxa"/>
            <w:bottom w:w="0" w:type="dxa"/>
          </w:tblCellMar>
        </w:tblPrEx>
        <w:tc>
          <w:tcPr>
            <w:tcW w:w="4890" w:type="dxa"/>
            <w:tcBorders>
              <w:top w:val="single" w:sz="4" w:space="0" w:color="auto"/>
              <w:left w:val="single" w:sz="4" w:space="0" w:color="auto"/>
              <w:right w:val="single" w:sz="4" w:space="0" w:color="auto"/>
            </w:tcBorders>
          </w:tcPr>
          <w:p w:rsidR="00000000" w:rsidRDefault="00000000">
            <w:pPr>
              <w:spacing w:line="240" w:lineRule="auto"/>
            </w:pPr>
            <w:r>
              <w:t xml:space="preserve">Организация Объединенных Наций </w:t>
            </w:r>
          </w:p>
        </w:tc>
        <w:tc>
          <w:tcPr>
            <w:tcW w:w="1496" w:type="dxa"/>
            <w:tcBorders>
              <w:top w:val="single" w:sz="4" w:space="0" w:color="auto"/>
              <w:left w:val="single" w:sz="4" w:space="0" w:color="auto"/>
              <w:right w:val="single" w:sz="4" w:space="0" w:color="auto"/>
            </w:tcBorders>
          </w:tcPr>
          <w:p w:rsidR="00000000" w:rsidRDefault="00000000">
            <w:pPr>
              <w:spacing w:line="240" w:lineRule="auto"/>
            </w:pPr>
            <w:r>
              <w:rPr>
                <w:lang w:val="en-US"/>
              </w:rPr>
              <w:t>OSN</w:t>
            </w:r>
          </w:p>
        </w:tc>
        <w:tc>
          <w:tcPr>
            <w:tcW w:w="1496" w:type="dxa"/>
            <w:tcBorders>
              <w:top w:val="single" w:sz="4" w:space="0" w:color="auto"/>
              <w:left w:val="single" w:sz="4" w:space="0" w:color="auto"/>
              <w:right w:val="single" w:sz="4" w:space="0" w:color="auto"/>
            </w:tcBorders>
          </w:tcPr>
          <w:p w:rsidR="00000000" w:rsidRDefault="00000000">
            <w:pPr>
              <w:spacing w:line="240" w:lineRule="auto"/>
            </w:pPr>
            <w:r>
              <w:t>ООН</w:t>
            </w:r>
          </w:p>
        </w:tc>
        <w:tc>
          <w:tcPr>
            <w:tcW w:w="748" w:type="dxa"/>
            <w:tcBorders>
              <w:top w:val="single" w:sz="4" w:space="0" w:color="auto"/>
              <w:left w:val="single" w:sz="4" w:space="0" w:color="auto"/>
              <w:right w:val="single" w:sz="4" w:space="0" w:color="auto"/>
            </w:tcBorders>
          </w:tcPr>
          <w:p w:rsidR="00000000" w:rsidRDefault="00000000">
            <w:pPr>
              <w:pStyle w:val="16"/>
              <w:tabs>
                <w:tab w:val="left" w:pos="567"/>
                <w:tab w:val="left" w:pos="1134"/>
                <w:tab w:val="left" w:pos="1701"/>
                <w:tab w:val="left" w:pos="2268"/>
                <w:tab w:val="left" w:pos="6237"/>
              </w:tabs>
              <w:spacing w:line="240" w:lineRule="auto"/>
            </w:pPr>
            <w:r>
              <w:t>1993</w:t>
            </w:r>
          </w:p>
        </w:tc>
        <w:tc>
          <w:tcPr>
            <w:tcW w:w="781" w:type="dxa"/>
            <w:tcBorders>
              <w:top w:val="single" w:sz="4" w:space="0" w:color="auto"/>
              <w:left w:val="single" w:sz="4" w:space="0" w:color="auto"/>
              <w:right w:val="single" w:sz="4" w:space="0" w:color="auto"/>
            </w:tcBorders>
          </w:tcPr>
          <w:p w:rsidR="00000000" w:rsidRDefault="00000000">
            <w:pPr>
              <w:spacing w:line="240" w:lineRule="auto"/>
              <w:jc w:val="center"/>
            </w:pPr>
            <w:r>
              <w:t>1945</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tabs>
                <w:tab w:val="clear" w:pos="567"/>
                <w:tab w:val="left" w:pos="374"/>
              </w:tabs>
              <w:spacing w:line="240" w:lineRule="auto"/>
              <w:ind w:left="374" w:hanging="374"/>
            </w:pPr>
            <w:r>
              <w:t>Организация по безопасности и сотрудничеству в Европе</w:t>
            </w:r>
          </w:p>
        </w:tc>
        <w:tc>
          <w:tcPr>
            <w:tcW w:w="1496" w:type="dxa"/>
            <w:tcBorders>
              <w:left w:val="single" w:sz="4" w:space="0" w:color="auto"/>
              <w:right w:val="single" w:sz="4" w:space="0" w:color="auto"/>
            </w:tcBorders>
          </w:tcPr>
          <w:p w:rsidR="00000000" w:rsidRDefault="00000000">
            <w:pPr>
              <w:pStyle w:val="FootnoteText"/>
            </w:pPr>
            <w:r>
              <w:t>OBSE</w:t>
            </w:r>
          </w:p>
        </w:tc>
        <w:tc>
          <w:tcPr>
            <w:tcW w:w="1496" w:type="dxa"/>
            <w:tcBorders>
              <w:left w:val="single" w:sz="4" w:space="0" w:color="auto"/>
              <w:right w:val="single" w:sz="4" w:space="0" w:color="auto"/>
            </w:tcBorders>
          </w:tcPr>
          <w:p w:rsidR="00000000" w:rsidRDefault="00000000">
            <w:pPr>
              <w:spacing w:line="240" w:lineRule="auto"/>
            </w:pPr>
            <w:r>
              <w:t>ОБСЕ</w:t>
            </w:r>
          </w:p>
        </w:tc>
        <w:tc>
          <w:tcPr>
            <w:tcW w:w="748" w:type="dxa"/>
            <w:tcBorders>
              <w:left w:val="single" w:sz="4" w:space="0" w:color="auto"/>
              <w:right w:val="single" w:sz="4" w:space="0" w:color="auto"/>
            </w:tcBorders>
          </w:tcPr>
          <w:p w:rsidR="00000000" w:rsidRDefault="00000000">
            <w:pPr>
              <w:spacing w:line="240" w:lineRule="auto"/>
              <w:jc w:val="center"/>
            </w:pPr>
            <w:r>
              <w:t>1993</w:t>
            </w:r>
          </w:p>
        </w:tc>
        <w:tc>
          <w:tcPr>
            <w:tcW w:w="781" w:type="dxa"/>
            <w:tcBorders>
              <w:left w:val="single" w:sz="4" w:space="0" w:color="auto"/>
              <w:right w:val="single" w:sz="4" w:space="0" w:color="auto"/>
            </w:tcBorders>
          </w:tcPr>
          <w:p w:rsidR="00000000" w:rsidRDefault="00000000">
            <w:pPr>
              <w:spacing w:line="240" w:lineRule="auto"/>
              <w:jc w:val="center"/>
            </w:pPr>
            <w:r>
              <w:t>1975</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Совет Европы</w:t>
            </w:r>
          </w:p>
        </w:tc>
        <w:tc>
          <w:tcPr>
            <w:tcW w:w="1496" w:type="dxa"/>
            <w:tcBorders>
              <w:left w:val="single" w:sz="4" w:space="0" w:color="auto"/>
              <w:right w:val="single" w:sz="4" w:space="0" w:color="auto"/>
            </w:tcBorders>
          </w:tcPr>
          <w:p w:rsidR="00000000" w:rsidRDefault="00000000">
            <w:pPr>
              <w:spacing w:line="240" w:lineRule="auto"/>
            </w:pPr>
            <w:r>
              <w:rPr>
                <w:lang w:val="en-US"/>
              </w:rPr>
              <w:t>RE</w:t>
            </w:r>
          </w:p>
        </w:tc>
        <w:tc>
          <w:tcPr>
            <w:tcW w:w="1496" w:type="dxa"/>
            <w:tcBorders>
              <w:left w:val="single" w:sz="4" w:space="0" w:color="auto"/>
              <w:right w:val="single" w:sz="4" w:space="0" w:color="auto"/>
            </w:tcBorders>
          </w:tcPr>
          <w:p w:rsidR="00000000" w:rsidRDefault="00000000">
            <w:pPr>
              <w:spacing w:line="240" w:lineRule="auto"/>
            </w:pPr>
            <w:r>
              <w:t>СЕ</w:t>
            </w:r>
          </w:p>
        </w:tc>
        <w:tc>
          <w:tcPr>
            <w:tcW w:w="748" w:type="dxa"/>
            <w:tcBorders>
              <w:left w:val="single" w:sz="4" w:space="0" w:color="auto"/>
              <w:right w:val="single" w:sz="4" w:space="0" w:color="auto"/>
            </w:tcBorders>
          </w:tcPr>
          <w:p w:rsidR="00000000" w:rsidRDefault="00000000">
            <w:pPr>
              <w:spacing w:line="240" w:lineRule="auto"/>
              <w:jc w:val="center"/>
            </w:pPr>
            <w:r>
              <w:t>1993</w:t>
            </w:r>
          </w:p>
        </w:tc>
        <w:tc>
          <w:tcPr>
            <w:tcW w:w="781" w:type="dxa"/>
            <w:tcBorders>
              <w:left w:val="single" w:sz="4" w:space="0" w:color="auto"/>
              <w:right w:val="single" w:sz="4" w:space="0" w:color="auto"/>
            </w:tcBorders>
          </w:tcPr>
          <w:p w:rsidR="00000000" w:rsidRDefault="00000000">
            <w:pPr>
              <w:spacing w:line="240" w:lineRule="auto"/>
              <w:jc w:val="center"/>
            </w:pPr>
            <w:r>
              <w:t>1991</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tabs>
                <w:tab w:val="clear" w:pos="567"/>
                <w:tab w:val="left" w:pos="374"/>
              </w:tabs>
              <w:spacing w:line="240" w:lineRule="auto"/>
              <w:ind w:left="374" w:hanging="374"/>
            </w:pPr>
            <w:r>
              <w:t xml:space="preserve">Продовольственная и сельскохозяйственная организация Объединенных Наций </w:t>
            </w:r>
          </w:p>
        </w:tc>
        <w:tc>
          <w:tcPr>
            <w:tcW w:w="1496" w:type="dxa"/>
            <w:tcBorders>
              <w:left w:val="single" w:sz="4" w:space="0" w:color="auto"/>
              <w:right w:val="single" w:sz="4" w:space="0" w:color="auto"/>
            </w:tcBorders>
          </w:tcPr>
          <w:p w:rsidR="00000000" w:rsidRDefault="00000000">
            <w:pPr>
              <w:spacing w:line="240" w:lineRule="auto"/>
            </w:pPr>
            <w:r>
              <w:rPr>
                <w:lang w:val="en-US"/>
              </w:rPr>
              <w:t>FAO</w:t>
            </w:r>
          </w:p>
        </w:tc>
        <w:tc>
          <w:tcPr>
            <w:tcW w:w="1496" w:type="dxa"/>
            <w:tcBorders>
              <w:left w:val="single" w:sz="4" w:space="0" w:color="auto"/>
              <w:right w:val="single" w:sz="4" w:space="0" w:color="auto"/>
            </w:tcBorders>
          </w:tcPr>
          <w:p w:rsidR="00000000" w:rsidRDefault="00000000">
            <w:pPr>
              <w:spacing w:line="240" w:lineRule="auto"/>
            </w:pPr>
            <w:r>
              <w:t>ФАО</w:t>
            </w:r>
          </w:p>
        </w:tc>
        <w:tc>
          <w:tcPr>
            <w:tcW w:w="748" w:type="dxa"/>
            <w:tcBorders>
              <w:left w:val="single" w:sz="4" w:space="0" w:color="auto"/>
              <w:right w:val="single" w:sz="4" w:space="0" w:color="auto"/>
            </w:tcBorders>
          </w:tcPr>
          <w:p w:rsidR="00000000" w:rsidRDefault="00000000">
            <w:pPr>
              <w:spacing w:line="240" w:lineRule="auto"/>
              <w:jc w:val="center"/>
            </w:pPr>
            <w:r>
              <w:t>1993</w:t>
            </w:r>
          </w:p>
        </w:tc>
        <w:tc>
          <w:tcPr>
            <w:tcW w:w="781" w:type="dxa"/>
            <w:tcBorders>
              <w:left w:val="single" w:sz="4" w:space="0" w:color="auto"/>
              <w:right w:val="single" w:sz="4" w:space="0" w:color="auto"/>
            </w:tcBorders>
          </w:tcPr>
          <w:p w:rsidR="00000000" w:rsidRDefault="00000000">
            <w:pPr>
              <w:spacing w:line="240" w:lineRule="auto"/>
              <w:jc w:val="center"/>
            </w:pPr>
            <w:r>
              <w:t>1945</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tabs>
                <w:tab w:val="clear" w:pos="567"/>
                <w:tab w:val="left" w:pos="374"/>
              </w:tabs>
              <w:spacing w:line="240" w:lineRule="auto"/>
              <w:ind w:left="374" w:hanging="374"/>
            </w:pPr>
            <w:r>
              <w:t>Организация Объединенных Наций по вопросам образования, науки и культуры</w:t>
            </w:r>
          </w:p>
        </w:tc>
        <w:tc>
          <w:tcPr>
            <w:tcW w:w="1496" w:type="dxa"/>
            <w:tcBorders>
              <w:left w:val="single" w:sz="4" w:space="0" w:color="auto"/>
              <w:right w:val="single" w:sz="4" w:space="0" w:color="auto"/>
            </w:tcBorders>
          </w:tcPr>
          <w:p w:rsidR="00000000" w:rsidRDefault="00000000">
            <w:pPr>
              <w:spacing w:line="240" w:lineRule="auto"/>
            </w:pPr>
            <w:r>
              <w:rPr>
                <w:lang w:val="en-US"/>
              </w:rPr>
              <w:t>UNESCO</w:t>
            </w:r>
          </w:p>
        </w:tc>
        <w:tc>
          <w:tcPr>
            <w:tcW w:w="1496" w:type="dxa"/>
            <w:tcBorders>
              <w:left w:val="single" w:sz="4" w:space="0" w:color="auto"/>
              <w:right w:val="single" w:sz="4" w:space="0" w:color="auto"/>
            </w:tcBorders>
          </w:tcPr>
          <w:p w:rsidR="00000000" w:rsidRDefault="00000000">
            <w:pPr>
              <w:spacing w:line="240" w:lineRule="auto"/>
            </w:pPr>
            <w:r>
              <w:t>ЮНЕСКО</w:t>
            </w:r>
          </w:p>
        </w:tc>
        <w:tc>
          <w:tcPr>
            <w:tcW w:w="748" w:type="dxa"/>
            <w:tcBorders>
              <w:left w:val="single" w:sz="4" w:space="0" w:color="auto"/>
              <w:right w:val="single" w:sz="4" w:space="0" w:color="auto"/>
            </w:tcBorders>
          </w:tcPr>
          <w:p w:rsidR="00000000" w:rsidRDefault="00000000">
            <w:pPr>
              <w:spacing w:line="240" w:lineRule="auto"/>
              <w:jc w:val="center"/>
            </w:pPr>
            <w:r>
              <w:t>1993</w:t>
            </w:r>
          </w:p>
        </w:tc>
        <w:tc>
          <w:tcPr>
            <w:tcW w:w="781" w:type="dxa"/>
            <w:tcBorders>
              <w:left w:val="single" w:sz="4" w:space="0" w:color="auto"/>
              <w:right w:val="single" w:sz="4" w:space="0" w:color="auto"/>
            </w:tcBorders>
          </w:tcPr>
          <w:p w:rsidR="00000000" w:rsidRDefault="00000000">
            <w:pPr>
              <w:spacing w:line="240" w:lineRule="auto"/>
              <w:jc w:val="center"/>
            </w:pPr>
            <w:r>
              <w:t>1945</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Всемирная организация здравоохранения</w:t>
            </w:r>
          </w:p>
        </w:tc>
        <w:tc>
          <w:tcPr>
            <w:tcW w:w="1496" w:type="dxa"/>
            <w:tcBorders>
              <w:left w:val="single" w:sz="4" w:space="0" w:color="auto"/>
              <w:right w:val="single" w:sz="4" w:space="0" w:color="auto"/>
            </w:tcBorders>
          </w:tcPr>
          <w:p w:rsidR="00000000" w:rsidRDefault="00000000">
            <w:pPr>
              <w:spacing w:line="240" w:lineRule="auto"/>
            </w:pPr>
            <w:r>
              <w:rPr>
                <w:lang w:val="en-US"/>
              </w:rPr>
              <w:t>WHO</w:t>
            </w:r>
          </w:p>
        </w:tc>
        <w:tc>
          <w:tcPr>
            <w:tcW w:w="1496" w:type="dxa"/>
            <w:tcBorders>
              <w:left w:val="single" w:sz="4" w:space="0" w:color="auto"/>
              <w:right w:val="single" w:sz="4" w:space="0" w:color="auto"/>
            </w:tcBorders>
          </w:tcPr>
          <w:p w:rsidR="00000000" w:rsidRDefault="00000000">
            <w:pPr>
              <w:spacing w:line="240" w:lineRule="auto"/>
            </w:pPr>
            <w:r>
              <w:t>ВОЗ</w:t>
            </w:r>
          </w:p>
        </w:tc>
        <w:tc>
          <w:tcPr>
            <w:tcW w:w="748" w:type="dxa"/>
            <w:tcBorders>
              <w:left w:val="single" w:sz="4" w:space="0" w:color="auto"/>
              <w:right w:val="single" w:sz="4" w:space="0" w:color="auto"/>
            </w:tcBorders>
          </w:tcPr>
          <w:p w:rsidR="00000000" w:rsidRDefault="00000000">
            <w:pPr>
              <w:spacing w:line="240" w:lineRule="auto"/>
              <w:jc w:val="center"/>
            </w:pPr>
            <w:r>
              <w:t>1993</w:t>
            </w:r>
          </w:p>
        </w:tc>
        <w:tc>
          <w:tcPr>
            <w:tcW w:w="781" w:type="dxa"/>
            <w:tcBorders>
              <w:left w:val="single" w:sz="4" w:space="0" w:color="auto"/>
              <w:right w:val="single" w:sz="4" w:space="0" w:color="auto"/>
            </w:tcBorders>
          </w:tcPr>
          <w:p w:rsidR="00000000" w:rsidRDefault="00000000">
            <w:pPr>
              <w:spacing w:line="240" w:lineRule="auto"/>
              <w:jc w:val="center"/>
            </w:pPr>
            <w:r>
              <w:t>1946</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Международная организация труда</w:t>
            </w:r>
          </w:p>
        </w:tc>
        <w:tc>
          <w:tcPr>
            <w:tcW w:w="1496" w:type="dxa"/>
            <w:tcBorders>
              <w:left w:val="single" w:sz="4" w:space="0" w:color="auto"/>
              <w:right w:val="single" w:sz="4" w:space="0" w:color="auto"/>
            </w:tcBorders>
          </w:tcPr>
          <w:p w:rsidR="00000000" w:rsidRDefault="00000000">
            <w:pPr>
              <w:spacing w:line="240" w:lineRule="auto"/>
            </w:pPr>
            <w:r>
              <w:rPr>
                <w:lang w:val="en-US"/>
              </w:rPr>
              <w:t>ILO</w:t>
            </w:r>
          </w:p>
        </w:tc>
        <w:tc>
          <w:tcPr>
            <w:tcW w:w="1496" w:type="dxa"/>
            <w:tcBorders>
              <w:left w:val="single" w:sz="4" w:space="0" w:color="auto"/>
              <w:right w:val="single" w:sz="4" w:space="0" w:color="auto"/>
            </w:tcBorders>
          </w:tcPr>
          <w:p w:rsidR="00000000" w:rsidRDefault="00000000">
            <w:pPr>
              <w:spacing w:line="240" w:lineRule="auto"/>
            </w:pPr>
            <w:r>
              <w:t>МОТ</w:t>
            </w:r>
          </w:p>
        </w:tc>
        <w:tc>
          <w:tcPr>
            <w:tcW w:w="748" w:type="dxa"/>
            <w:tcBorders>
              <w:left w:val="single" w:sz="4" w:space="0" w:color="auto"/>
              <w:right w:val="single" w:sz="4" w:space="0" w:color="auto"/>
            </w:tcBorders>
          </w:tcPr>
          <w:p w:rsidR="00000000" w:rsidRDefault="00000000">
            <w:pPr>
              <w:spacing w:line="240" w:lineRule="auto"/>
              <w:jc w:val="center"/>
            </w:pPr>
            <w:r>
              <w:t>1993</w:t>
            </w:r>
          </w:p>
        </w:tc>
        <w:tc>
          <w:tcPr>
            <w:tcW w:w="781" w:type="dxa"/>
            <w:tcBorders>
              <w:left w:val="single" w:sz="4" w:space="0" w:color="auto"/>
              <w:right w:val="single" w:sz="4" w:space="0" w:color="auto"/>
            </w:tcBorders>
          </w:tcPr>
          <w:p w:rsidR="00000000" w:rsidRDefault="00000000">
            <w:pPr>
              <w:spacing w:line="240" w:lineRule="auto"/>
              <w:jc w:val="center"/>
            </w:pPr>
            <w:r>
              <w:t>1919</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tabs>
                <w:tab w:val="clear" w:pos="567"/>
                <w:tab w:val="left" w:pos="374"/>
              </w:tabs>
              <w:spacing w:line="240" w:lineRule="auto"/>
              <w:ind w:left="374" w:hanging="374"/>
            </w:pPr>
            <w:r>
              <w:t>Международный банк реконструкции и развития</w:t>
            </w:r>
          </w:p>
        </w:tc>
        <w:tc>
          <w:tcPr>
            <w:tcW w:w="1496" w:type="dxa"/>
            <w:tcBorders>
              <w:left w:val="single" w:sz="4" w:space="0" w:color="auto"/>
              <w:right w:val="single" w:sz="4" w:space="0" w:color="auto"/>
            </w:tcBorders>
          </w:tcPr>
          <w:p w:rsidR="00000000" w:rsidRDefault="00000000">
            <w:pPr>
              <w:spacing w:line="240" w:lineRule="auto"/>
            </w:pPr>
            <w:r>
              <w:rPr>
                <w:lang w:val="en-US"/>
              </w:rPr>
              <w:t>IBRD</w:t>
            </w:r>
          </w:p>
        </w:tc>
        <w:tc>
          <w:tcPr>
            <w:tcW w:w="1496" w:type="dxa"/>
            <w:tcBorders>
              <w:left w:val="single" w:sz="4" w:space="0" w:color="auto"/>
              <w:right w:val="single" w:sz="4" w:space="0" w:color="auto"/>
            </w:tcBorders>
          </w:tcPr>
          <w:p w:rsidR="00000000" w:rsidRDefault="00000000">
            <w:pPr>
              <w:spacing w:line="240" w:lineRule="auto"/>
            </w:pPr>
            <w:r>
              <w:t>МБРР</w:t>
            </w:r>
          </w:p>
        </w:tc>
        <w:tc>
          <w:tcPr>
            <w:tcW w:w="748" w:type="dxa"/>
            <w:tcBorders>
              <w:left w:val="single" w:sz="4" w:space="0" w:color="auto"/>
              <w:right w:val="single" w:sz="4" w:space="0" w:color="auto"/>
            </w:tcBorders>
          </w:tcPr>
          <w:p w:rsidR="00000000" w:rsidRDefault="00000000">
            <w:pPr>
              <w:spacing w:line="240" w:lineRule="auto"/>
              <w:jc w:val="center"/>
            </w:pPr>
            <w:r>
              <w:t>1993</w:t>
            </w:r>
          </w:p>
        </w:tc>
        <w:tc>
          <w:tcPr>
            <w:tcW w:w="781" w:type="dxa"/>
            <w:tcBorders>
              <w:left w:val="single" w:sz="4" w:space="0" w:color="auto"/>
              <w:right w:val="single" w:sz="4" w:space="0" w:color="auto"/>
            </w:tcBorders>
          </w:tcPr>
          <w:p w:rsidR="00000000" w:rsidRDefault="00000000">
            <w:pPr>
              <w:spacing w:line="240" w:lineRule="auto"/>
              <w:jc w:val="center"/>
            </w:pPr>
            <w:r>
              <w:t>1945</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Международная ассоциация развития</w:t>
            </w:r>
          </w:p>
        </w:tc>
        <w:tc>
          <w:tcPr>
            <w:tcW w:w="1496" w:type="dxa"/>
            <w:tcBorders>
              <w:left w:val="single" w:sz="4" w:space="0" w:color="auto"/>
              <w:right w:val="single" w:sz="4" w:space="0" w:color="auto"/>
            </w:tcBorders>
          </w:tcPr>
          <w:p w:rsidR="00000000" w:rsidRDefault="00000000">
            <w:pPr>
              <w:spacing w:line="240" w:lineRule="auto"/>
            </w:pPr>
            <w:r>
              <w:rPr>
                <w:lang w:val="en-US"/>
              </w:rPr>
              <w:t>IDA</w:t>
            </w:r>
          </w:p>
        </w:tc>
        <w:tc>
          <w:tcPr>
            <w:tcW w:w="1496" w:type="dxa"/>
            <w:tcBorders>
              <w:left w:val="single" w:sz="4" w:space="0" w:color="auto"/>
              <w:right w:val="single" w:sz="4" w:space="0" w:color="auto"/>
            </w:tcBorders>
          </w:tcPr>
          <w:p w:rsidR="00000000" w:rsidRDefault="00000000">
            <w:pPr>
              <w:spacing w:line="240" w:lineRule="auto"/>
            </w:pPr>
            <w:r>
              <w:t>МАР</w:t>
            </w:r>
          </w:p>
        </w:tc>
        <w:tc>
          <w:tcPr>
            <w:tcW w:w="748" w:type="dxa"/>
            <w:tcBorders>
              <w:left w:val="single" w:sz="4" w:space="0" w:color="auto"/>
              <w:right w:val="single" w:sz="4" w:space="0" w:color="auto"/>
            </w:tcBorders>
          </w:tcPr>
          <w:p w:rsidR="00000000" w:rsidRDefault="00000000">
            <w:pPr>
              <w:spacing w:line="240" w:lineRule="auto"/>
              <w:jc w:val="center"/>
            </w:pPr>
            <w:r>
              <w:t>1993</w:t>
            </w:r>
          </w:p>
        </w:tc>
        <w:tc>
          <w:tcPr>
            <w:tcW w:w="781" w:type="dxa"/>
            <w:tcBorders>
              <w:left w:val="single" w:sz="4" w:space="0" w:color="auto"/>
              <w:right w:val="single" w:sz="4" w:space="0" w:color="auto"/>
            </w:tcBorders>
          </w:tcPr>
          <w:p w:rsidR="00000000" w:rsidRDefault="00000000">
            <w:pPr>
              <w:spacing w:line="240" w:lineRule="auto"/>
              <w:jc w:val="center"/>
            </w:pPr>
            <w:r>
              <w:t>1990</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tabs>
                <w:tab w:val="clear" w:pos="567"/>
                <w:tab w:val="left" w:pos="374"/>
              </w:tabs>
              <w:spacing w:line="240" w:lineRule="auto"/>
              <w:ind w:left="374" w:hanging="374"/>
            </w:pPr>
            <w:r>
              <w:t>Всемирная организация интеллектуальной собственности</w:t>
            </w:r>
          </w:p>
        </w:tc>
        <w:tc>
          <w:tcPr>
            <w:tcW w:w="1496" w:type="dxa"/>
            <w:tcBorders>
              <w:left w:val="single" w:sz="4" w:space="0" w:color="auto"/>
              <w:right w:val="single" w:sz="4" w:space="0" w:color="auto"/>
            </w:tcBorders>
          </w:tcPr>
          <w:p w:rsidR="00000000" w:rsidRDefault="00000000">
            <w:pPr>
              <w:spacing w:line="240" w:lineRule="auto"/>
            </w:pPr>
            <w:r>
              <w:rPr>
                <w:lang w:val="en-US"/>
              </w:rPr>
              <w:t>WIPO</w:t>
            </w:r>
          </w:p>
        </w:tc>
        <w:tc>
          <w:tcPr>
            <w:tcW w:w="1496" w:type="dxa"/>
            <w:tcBorders>
              <w:left w:val="single" w:sz="4" w:space="0" w:color="auto"/>
              <w:right w:val="single" w:sz="4" w:space="0" w:color="auto"/>
            </w:tcBorders>
          </w:tcPr>
          <w:p w:rsidR="00000000" w:rsidRDefault="00000000">
            <w:pPr>
              <w:spacing w:line="240" w:lineRule="auto"/>
            </w:pPr>
            <w:r>
              <w:t>ВОИС</w:t>
            </w:r>
          </w:p>
        </w:tc>
        <w:tc>
          <w:tcPr>
            <w:tcW w:w="748" w:type="dxa"/>
            <w:tcBorders>
              <w:left w:val="single" w:sz="4" w:space="0" w:color="auto"/>
              <w:right w:val="single" w:sz="4" w:space="0" w:color="auto"/>
            </w:tcBorders>
          </w:tcPr>
          <w:p w:rsidR="00000000" w:rsidRDefault="00000000">
            <w:pPr>
              <w:spacing w:line="240" w:lineRule="auto"/>
              <w:jc w:val="center"/>
            </w:pPr>
            <w:r>
              <w:t>1993</w:t>
            </w:r>
          </w:p>
        </w:tc>
        <w:tc>
          <w:tcPr>
            <w:tcW w:w="781" w:type="dxa"/>
            <w:tcBorders>
              <w:left w:val="single" w:sz="4" w:space="0" w:color="auto"/>
              <w:right w:val="single" w:sz="4" w:space="0" w:color="auto"/>
            </w:tcBorders>
          </w:tcPr>
          <w:p w:rsidR="00000000" w:rsidRDefault="00000000">
            <w:pPr>
              <w:spacing w:line="240" w:lineRule="auto"/>
              <w:jc w:val="center"/>
            </w:pPr>
            <w:r>
              <w:t>1970</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Европейский банк реконструкции и развития</w:t>
            </w:r>
          </w:p>
        </w:tc>
        <w:tc>
          <w:tcPr>
            <w:tcW w:w="1496" w:type="dxa"/>
            <w:tcBorders>
              <w:left w:val="single" w:sz="4" w:space="0" w:color="auto"/>
              <w:right w:val="single" w:sz="4" w:space="0" w:color="auto"/>
            </w:tcBorders>
          </w:tcPr>
          <w:p w:rsidR="00000000" w:rsidRDefault="00000000">
            <w:pPr>
              <w:spacing w:line="240" w:lineRule="auto"/>
            </w:pPr>
            <w:r>
              <w:rPr>
                <w:lang w:val="en-US"/>
              </w:rPr>
              <w:t>EBRD</w:t>
            </w:r>
          </w:p>
        </w:tc>
        <w:tc>
          <w:tcPr>
            <w:tcW w:w="1496" w:type="dxa"/>
            <w:tcBorders>
              <w:left w:val="single" w:sz="4" w:space="0" w:color="auto"/>
              <w:right w:val="single" w:sz="4" w:space="0" w:color="auto"/>
            </w:tcBorders>
          </w:tcPr>
          <w:p w:rsidR="00000000" w:rsidRDefault="00000000">
            <w:pPr>
              <w:spacing w:line="240" w:lineRule="auto"/>
            </w:pPr>
            <w:r>
              <w:t>ЕБРР</w:t>
            </w:r>
          </w:p>
        </w:tc>
        <w:tc>
          <w:tcPr>
            <w:tcW w:w="748" w:type="dxa"/>
            <w:tcBorders>
              <w:left w:val="single" w:sz="4" w:space="0" w:color="auto"/>
              <w:right w:val="single" w:sz="4" w:space="0" w:color="auto"/>
            </w:tcBorders>
          </w:tcPr>
          <w:p w:rsidR="00000000" w:rsidRDefault="00000000">
            <w:pPr>
              <w:spacing w:line="240" w:lineRule="auto"/>
              <w:jc w:val="center"/>
            </w:pPr>
            <w:r>
              <w:t>1993</w:t>
            </w:r>
          </w:p>
        </w:tc>
        <w:tc>
          <w:tcPr>
            <w:tcW w:w="781" w:type="dxa"/>
            <w:tcBorders>
              <w:left w:val="single" w:sz="4" w:space="0" w:color="auto"/>
              <w:right w:val="single" w:sz="4" w:space="0" w:color="auto"/>
            </w:tcBorders>
          </w:tcPr>
          <w:p w:rsidR="00000000" w:rsidRDefault="00000000">
            <w:pPr>
              <w:pStyle w:val="16"/>
              <w:spacing w:line="240" w:lineRule="auto"/>
            </w:pPr>
            <w:r>
              <w:t>1990</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tabs>
                <w:tab w:val="clear" w:pos="567"/>
                <w:tab w:val="left" w:pos="374"/>
              </w:tabs>
              <w:spacing w:line="240" w:lineRule="auto"/>
              <w:ind w:left="374" w:hanging="374"/>
            </w:pPr>
            <w:r>
              <w:t>Международный институт унификации частного права</w:t>
            </w:r>
          </w:p>
        </w:tc>
        <w:tc>
          <w:tcPr>
            <w:tcW w:w="1496" w:type="dxa"/>
            <w:tcBorders>
              <w:left w:val="single" w:sz="4" w:space="0" w:color="auto"/>
              <w:right w:val="single" w:sz="4" w:space="0" w:color="auto"/>
            </w:tcBorders>
          </w:tcPr>
          <w:p w:rsidR="00000000" w:rsidRDefault="00000000">
            <w:pPr>
              <w:pStyle w:val="FootnoteText"/>
              <w:rPr>
                <w:lang w:val="en-US"/>
              </w:rPr>
            </w:pPr>
            <w:r>
              <w:rPr>
                <w:lang w:val="en-US"/>
              </w:rPr>
              <w:t>UNIDROIT</w:t>
            </w:r>
          </w:p>
        </w:tc>
        <w:tc>
          <w:tcPr>
            <w:tcW w:w="1496" w:type="dxa"/>
            <w:tcBorders>
              <w:left w:val="single" w:sz="4" w:space="0" w:color="auto"/>
              <w:right w:val="single" w:sz="4" w:space="0" w:color="auto"/>
            </w:tcBorders>
          </w:tcPr>
          <w:p w:rsidR="00000000" w:rsidRDefault="00000000">
            <w:pPr>
              <w:spacing w:line="240" w:lineRule="auto"/>
              <w:rPr>
                <w:spacing w:val="-2"/>
              </w:rPr>
            </w:pPr>
            <w:r>
              <w:rPr>
                <w:spacing w:val="-2"/>
              </w:rPr>
              <w:t>ЮНИДРУА</w:t>
            </w:r>
          </w:p>
        </w:tc>
        <w:tc>
          <w:tcPr>
            <w:tcW w:w="748" w:type="dxa"/>
            <w:tcBorders>
              <w:left w:val="single" w:sz="4" w:space="0" w:color="auto"/>
              <w:right w:val="single" w:sz="4" w:space="0" w:color="auto"/>
            </w:tcBorders>
          </w:tcPr>
          <w:p w:rsidR="00000000" w:rsidRDefault="00000000">
            <w:pPr>
              <w:spacing w:line="240" w:lineRule="auto"/>
              <w:jc w:val="center"/>
            </w:pPr>
            <w:r>
              <w:t>1993</w:t>
            </w:r>
          </w:p>
        </w:tc>
        <w:tc>
          <w:tcPr>
            <w:tcW w:w="781" w:type="dxa"/>
            <w:tcBorders>
              <w:left w:val="single" w:sz="4" w:space="0" w:color="auto"/>
              <w:right w:val="single" w:sz="4" w:space="0" w:color="auto"/>
            </w:tcBorders>
          </w:tcPr>
          <w:p w:rsidR="00000000" w:rsidRDefault="00000000">
            <w:pPr>
              <w:spacing w:line="240" w:lineRule="auto"/>
              <w:jc w:val="center"/>
            </w:pPr>
            <w:r>
              <w:t>1968</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tabs>
                <w:tab w:val="clear" w:pos="567"/>
                <w:tab w:val="left" w:pos="374"/>
              </w:tabs>
              <w:spacing w:line="240" w:lineRule="auto"/>
              <w:ind w:left="374" w:hanging="374"/>
            </w:pPr>
            <w:r>
              <w:t>Международная организация уголовной полиции</w:t>
            </w:r>
          </w:p>
        </w:tc>
        <w:tc>
          <w:tcPr>
            <w:tcW w:w="1496" w:type="dxa"/>
            <w:tcBorders>
              <w:left w:val="single" w:sz="4" w:space="0" w:color="auto"/>
              <w:right w:val="single" w:sz="4" w:space="0" w:color="auto"/>
            </w:tcBorders>
          </w:tcPr>
          <w:p w:rsidR="00000000" w:rsidRDefault="00000000">
            <w:pPr>
              <w:spacing w:line="240" w:lineRule="auto"/>
            </w:pPr>
            <w:r>
              <w:rPr>
                <w:lang w:val="en-US"/>
              </w:rPr>
              <w:t>INTERPOL</w:t>
            </w:r>
          </w:p>
        </w:tc>
        <w:tc>
          <w:tcPr>
            <w:tcW w:w="1496" w:type="dxa"/>
            <w:tcBorders>
              <w:left w:val="single" w:sz="4" w:space="0" w:color="auto"/>
              <w:right w:val="single" w:sz="4" w:space="0" w:color="auto"/>
            </w:tcBorders>
          </w:tcPr>
          <w:p w:rsidR="00000000" w:rsidRDefault="00000000">
            <w:pPr>
              <w:spacing w:line="240" w:lineRule="auto"/>
              <w:rPr>
                <w:spacing w:val="-2"/>
              </w:rPr>
            </w:pPr>
            <w:r>
              <w:rPr>
                <w:spacing w:val="-2"/>
              </w:rPr>
              <w:t>ИНТЕРПОЛ</w:t>
            </w:r>
          </w:p>
        </w:tc>
        <w:tc>
          <w:tcPr>
            <w:tcW w:w="748" w:type="dxa"/>
            <w:tcBorders>
              <w:left w:val="single" w:sz="4" w:space="0" w:color="auto"/>
              <w:right w:val="single" w:sz="4" w:space="0" w:color="auto"/>
            </w:tcBorders>
          </w:tcPr>
          <w:p w:rsidR="00000000" w:rsidRDefault="00000000">
            <w:pPr>
              <w:spacing w:line="240" w:lineRule="auto"/>
              <w:jc w:val="center"/>
            </w:pPr>
            <w:r>
              <w:t>1993</w:t>
            </w:r>
          </w:p>
        </w:tc>
        <w:tc>
          <w:tcPr>
            <w:tcW w:w="781" w:type="dxa"/>
            <w:tcBorders>
              <w:left w:val="single" w:sz="4" w:space="0" w:color="auto"/>
              <w:right w:val="single" w:sz="4" w:space="0" w:color="auto"/>
            </w:tcBorders>
          </w:tcPr>
          <w:p w:rsidR="00000000" w:rsidRDefault="00000000">
            <w:pPr>
              <w:spacing w:line="240" w:lineRule="auto"/>
              <w:jc w:val="center"/>
            </w:pPr>
            <w:r>
              <w:t>1990</w:t>
            </w: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spacing w:line="240" w:lineRule="auto"/>
            </w:pPr>
            <w:r>
              <w:t>Международная организация миграции</w:t>
            </w:r>
          </w:p>
        </w:tc>
        <w:tc>
          <w:tcPr>
            <w:tcW w:w="1496" w:type="dxa"/>
            <w:tcBorders>
              <w:left w:val="single" w:sz="4" w:space="0" w:color="auto"/>
              <w:right w:val="single" w:sz="4" w:space="0" w:color="auto"/>
            </w:tcBorders>
          </w:tcPr>
          <w:p w:rsidR="00000000" w:rsidRDefault="00000000">
            <w:pPr>
              <w:spacing w:line="240" w:lineRule="auto"/>
            </w:pPr>
            <w:r>
              <w:rPr>
                <w:lang w:val="en-US"/>
              </w:rPr>
              <w:t>IOM</w:t>
            </w:r>
          </w:p>
        </w:tc>
        <w:tc>
          <w:tcPr>
            <w:tcW w:w="1496" w:type="dxa"/>
            <w:tcBorders>
              <w:left w:val="single" w:sz="4" w:space="0" w:color="auto"/>
              <w:right w:val="single" w:sz="4" w:space="0" w:color="auto"/>
            </w:tcBorders>
          </w:tcPr>
          <w:p w:rsidR="00000000" w:rsidRDefault="00000000">
            <w:pPr>
              <w:spacing w:line="240" w:lineRule="auto"/>
            </w:pPr>
            <w:r>
              <w:t>МОМ</w:t>
            </w:r>
          </w:p>
        </w:tc>
        <w:tc>
          <w:tcPr>
            <w:tcW w:w="748" w:type="dxa"/>
            <w:tcBorders>
              <w:left w:val="single" w:sz="4" w:space="0" w:color="auto"/>
              <w:right w:val="single" w:sz="4" w:space="0" w:color="auto"/>
            </w:tcBorders>
          </w:tcPr>
          <w:p w:rsidR="00000000" w:rsidRDefault="00000000">
            <w:pPr>
              <w:spacing w:line="240" w:lineRule="auto"/>
              <w:jc w:val="center"/>
            </w:pPr>
            <w:r>
              <w:t>1995</w:t>
            </w:r>
          </w:p>
        </w:tc>
        <w:tc>
          <w:tcPr>
            <w:tcW w:w="781" w:type="dxa"/>
            <w:tcBorders>
              <w:left w:val="single" w:sz="4" w:space="0" w:color="auto"/>
              <w:right w:val="single" w:sz="4" w:space="0" w:color="auto"/>
            </w:tcBorders>
          </w:tcPr>
          <w:p w:rsidR="00000000" w:rsidRDefault="00000000">
            <w:pPr>
              <w:spacing w:line="240" w:lineRule="auto"/>
              <w:jc w:val="center"/>
            </w:pPr>
          </w:p>
        </w:tc>
      </w:tr>
      <w:tr w:rsidR="00000000">
        <w:tblPrEx>
          <w:tblCellMar>
            <w:top w:w="0" w:type="dxa"/>
            <w:bottom w:w="0" w:type="dxa"/>
          </w:tblCellMar>
        </w:tblPrEx>
        <w:tc>
          <w:tcPr>
            <w:tcW w:w="4890" w:type="dxa"/>
            <w:tcBorders>
              <w:left w:val="single" w:sz="4" w:space="0" w:color="auto"/>
              <w:right w:val="single" w:sz="4" w:space="0" w:color="auto"/>
            </w:tcBorders>
          </w:tcPr>
          <w:p w:rsidR="00000000" w:rsidRDefault="00000000">
            <w:pPr>
              <w:tabs>
                <w:tab w:val="clear" w:pos="567"/>
                <w:tab w:val="left" w:pos="374"/>
              </w:tabs>
              <w:spacing w:line="240" w:lineRule="auto"/>
              <w:ind w:left="374" w:hanging="374"/>
            </w:pPr>
            <w:r>
              <w:t>Организация экономического сотрудничества и развития</w:t>
            </w:r>
          </w:p>
        </w:tc>
        <w:tc>
          <w:tcPr>
            <w:tcW w:w="1496" w:type="dxa"/>
            <w:tcBorders>
              <w:left w:val="single" w:sz="4" w:space="0" w:color="auto"/>
              <w:right w:val="single" w:sz="4" w:space="0" w:color="auto"/>
            </w:tcBorders>
          </w:tcPr>
          <w:p w:rsidR="00000000" w:rsidRDefault="00000000">
            <w:pPr>
              <w:spacing w:line="240" w:lineRule="auto"/>
            </w:pPr>
            <w:r>
              <w:rPr>
                <w:lang w:val="en-US"/>
              </w:rPr>
              <w:t>OECD</w:t>
            </w:r>
          </w:p>
        </w:tc>
        <w:tc>
          <w:tcPr>
            <w:tcW w:w="1496" w:type="dxa"/>
            <w:tcBorders>
              <w:left w:val="single" w:sz="4" w:space="0" w:color="auto"/>
              <w:right w:val="single" w:sz="4" w:space="0" w:color="auto"/>
            </w:tcBorders>
          </w:tcPr>
          <w:p w:rsidR="00000000" w:rsidRDefault="00000000">
            <w:pPr>
              <w:spacing w:line="240" w:lineRule="auto"/>
            </w:pPr>
            <w:r>
              <w:t>ОЭСР</w:t>
            </w:r>
          </w:p>
        </w:tc>
        <w:tc>
          <w:tcPr>
            <w:tcW w:w="748" w:type="dxa"/>
            <w:tcBorders>
              <w:left w:val="single" w:sz="4" w:space="0" w:color="auto"/>
              <w:right w:val="single" w:sz="4" w:space="0" w:color="auto"/>
            </w:tcBorders>
          </w:tcPr>
          <w:p w:rsidR="00000000" w:rsidRDefault="00000000">
            <w:pPr>
              <w:spacing w:line="240" w:lineRule="auto"/>
              <w:jc w:val="center"/>
            </w:pPr>
            <w:r>
              <w:t>1995</w:t>
            </w:r>
          </w:p>
        </w:tc>
        <w:tc>
          <w:tcPr>
            <w:tcW w:w="781" w:type="dxa"/>
            <w:tcBorders>
              <w:left w:val="single" w:sz="4" w:space="0" w:color="auto"/>
              <w:right w:val="single" w:sz="4" w:space="0" w:color="auto"/>
            </w:tcBorders>
          </w:tcPr>
          <w:p w:rsidR="00000000" w:rsidRDefault="00000000">
            <w:pPr>
              <w:spacing w:line="240" w:lineRule="auto"/>
              <w:jc w:val="center"/>
            </w:pPr>
          </w:p>
        </w:tc>
      </w:tr>
      <w:tr w:rsidR="00000000">
        <w:tblPrEx>
          <w:tblCellMar>
            <w:top w:w="0" w:type="dxa"/>
            <w:bottom w:w="0" w:type="dxa"/>
          </w:tblCellMar>
        </w:tblPrEx>
        <w:tc>
          <w:tcPr>
            <w:tcW w:w="4890" w:type="dxa"/>
            <w:tcBorders>
              <w:left w:val="single" w:sz="4" w:space="0" w:color="auto"/>
              <w:bottom w:val="single" w:sz="4" w:space="0" w:color="auto"/>
              <w:right w:val="single" w:sz="4" w:space="0" w:color="auto"/>
            </w:tcBorders>
          </w:tcPr>
          <w:p w:rsidR="00000000" w:rsidRDefault="00000000">
            <w:pPr>
              <w:tabs>
                <w:tab w:val="clear" w:pos="567"/>
                <w:tab w:val="left" w:pos="374"/>
              </w:tabs>
              <w:spacing w:line="240" w:lineRule="auto"/>
              <w:ind w:left="374" w:hanging="374"/>
            </w:pPr>
            <w:r>
              <w:t>Международный центр по изучению вопросов сохранения и восстановления культурных ценностей</w:t>
            </w:r>
          </w:p>
        </w:tc>
        <w:tc>
          <w:tcPr>
            <w:tcW w:w="1496" w:type="dxa"/>
            <w:tcBorders>
              <w:left w:val="single" w:sz="4" w:space="0" w:color="auto"/>
              <w:bottom w:val="single" w:sz="4" w:space="0" w:color="auto"/>
              <w:right w:val="single" w:sz="4" w:space="0" w:color="auto"/>
            </w:tcBorders>
          </w:tcPr>
          <w:p w:rsidR="00000000" w:rsidRDefault="00000000">
            <w:pPr>
              <w:spacing w:line="240" w:lineRule="auto"/>
            </w:pPr>
            <w:r>
              <w:rPr>
                <w:lang w:val="en-US"/>
              </w:rPr>
              <w:t>ICCROM</w:t>
            </w:r>
          </w:p>
        </w:tc>
        <w:tc>
          <w:tcPr>
            <w:tcW w:w="1496" w:type="dxa"/>
            <w:tcBorders>
              <w:left w:val="single" w:sz="4" w:space="0" w:color="auto"/>
              <w:bottom w:val="single" w:sz="4" w:space="0" w:color="auto"/>
              <w:right w:val="single" w:sz="4" w:space="0" w:color="auto"/>
            </w:tcBorders>
          </w:tcPr>
          <w:p w:rsidR="00000000" w:rsidRDefault="00000000">
            <w:pPr>
              <w:spacing w:line="240" w:lineRule="auto"/>
            </w:pPr>
            <w:r>
              <w:t>ИККРОМ</w:t>
            </w:r>
          </w:p>
        </w:tc>
        <w:tc>
          <w:tcPr>
            <w:tcW w:w="748" w:type="dxa"/>
            <w:tcBorders>
              <w:left w:val="single" w:sz="4" w:space="0" w:color="auto"/>
              <w:bottom w:val="single" w:sz="4" w:space="0" w:color="auto"/>
              <w:right w:val="single" w:sz="4" w:space="0" w:color="auto"/>
            </w:tcBorders>
          </w:tcPr>
          <w:p w:rsidR="00000000" w:rsidRDefault="00000000">
            <w:pPr>
              <w:spacing w:line="240" w:lineRule="auto"/>
              <w:jc w:val="center"/>
            </w:pPr>
            <w:r>
              <w:t>1995</w:t>
            </w:r>
          </w:p>
        </w:tc>
        <w:tc>
          <w:tcPr>
            <w:tcW w:w="781" w:type="dxa"/>
            <w:tcBorders>
              <w:left w:val="single" w:sz="4" w:space="0" w:color="auto"/>
              <w:bottom w:val="single" w:sz="4" w:space="0" w:color="auto"/>
              <w:right w:val="single" w:sz="4" w:space="0" w:color="auto"/>
            </w:tcBorders>
          </w:tcPr>
          <w:p w:rsidR="00000000" w:rsidRDefault="00000000">
            <w:pPr>
              <w:spacing w:line="240" w:lineRule="auto"/>
              <w:jc w:val="center"/>
            </w:pPr>
          </w:p>
        </w:tc>
      </w:tr>
    </w:tbl>
    <w:p w:rsidR="00000000" w:rsidRDefault="00000000"/>
    <w:p w:rsidR="00000000" w:rsidRDefault="00000000"/>
    <w:p w:rsidR="00000000" w:rsidRDefault="00000000">
      <w:r>
        <w:t>72.</w:t>
      </w:r>
      <w:r>
        <w:tab/>
        <w:t xml:space="preserve">В связи с подготовкой к вступлению в Европейский союз ("ЕС") Чешская Республика пользуется технической и финансовой помощью со стороны ЕС, главным образом через программу </w:t>
      </w:r>
      <w:r>
        <w:rPr>
          <w:lang w:val="en-US"/>
        </w:rPr>
        <w:t>PHARE</w:t>
      </w:r>
      <w:r>
        <w:t>.  Средства, выделенные Чешской Республике в период 1995</w:t>
      </w:r>
      <w:r>
        <w:noBreakHyphen/>
        <w:t>1997 годов, составили в целом 224 млн. ЭКЮ.  Эта помощь предоставляется Европейским инвестиционным банком, Европейским банком реконструкции и развития, Всемирным банком и прочими финансовыми учреждениями.  Техническая и финансовая помощь в основном сосредоточена на следующих областях:</w:t>
      </w:r>
    </w:p>
    <w:p w:rsidR="00000000" w:rsidRDefault="00000000"/>
    <w:p w:rsidR="00000000" w:rsidRDefault="00000000">
      <w:r>
        <w:tab/>
        <w:t>а)</w:t>
      </w:r>
      <w:r>
        <w:tab/>
        <w:t>создание институциональной инфраструктуры (примерно 30%):  укрепление демократических институтов, правового государства и государственной администрации посредством учебных курсов, технической помощи и гармонизации со структурой органов в государствах </w:t>
      </w:r>
      <w:r>
        <w:noBreakHyphen/>
        <w:t xml:space="preserve"> членах ЕС.  Она также выделяется на охрану интеллектуальной собственности, охрану окружающей среды, интеграцию рома, развитие социального обеспечения, обеспечение равных возможностей для женщин и мужчин и т.д.;</w:t>
      </w:r>
    </w:p>
    <w:p w:rsidR="00000000" w:rsidRDefault="00000000"/>
    <w:p w:rsidR="00000000" w:rsidRDefault="00000000">
      <w:r>
        <w:tab/>
      </w:r>
      <w:r>
        <w:rPr>
          <w:lang w:val="en-US"/>
        </w:rPr>
        <w:t>b</w:t>
      </w:r>
      <w:r>
        <w:t>)</w:t>
      </w:r>
      <w:r>
        <w:tab/>
        <w:t>инвестиционная поддержка (около 70%) с целью обеспечения необходимых инвестиций, которые позволят адаптировать инфраструктуру Чешской Республики к системе Европейского сообщества.  Эта поддержка концентрируется в таких областях, как реструктуризация сельскохозяйственного производства, региональное развитие и инвестиции в людской и интеллектуальный капитал (включая обеспечение участия в рамочной программе развития исследований и технологий).  Она также направлена на обеспечение соответствия национальных норм нормам Европейского сообщества в области охраны окружающей среды, сельского хозяйства, промышленности, охраны труда, транспорта и телесвязи.  Помощь оказывается также проектам по развитию мелкого и среднего предпринимательства.</w:t>
      </w:r>
    </w:p>
    <w:p w:rsidR="00000000" w:rsidRDefault="00000000">
      <w:pPr>
        <w:spacing w:line="240" w:lineRule="auto"/>
      </w:pPr>
    </w:p>
    <w:p w:rsidR="00000000" w:rsidRDefault="00000000">
      <w:pPr>
        <w:spacing w:line="240" w:lineRule="auto"/>
        <w:jc w:val="center"/>
        <w:rPr>
          <w:b/>
          <w:bCs/>
        </w:rPr>
      </w:pPr>
      <w:r>
        <w:rPr>
          <w:b/>
          <w:bCs/>
        </w:rPr>
        <w:t>II.</w:t>
      </w:r>
      <w:r>
        <w:rPr>
          <w:b/>
          <w:bCs/>
        </w:rPr>
        <w:tab/>
        <w:t>ОСУЩЕСТВЛЕНИЕ КОНКРЕТНЫХ СТАТЕЙ ПАКТА</w:t>
      </w:r>
    </w:p>
    <w:p w:rsidR="00000000" w:rsidRDefault="00000000">
      <w:pPr>
        <w:spacing w:line="240" w:lineRule="auto"/>
        <w:jc w:val="center"/>
        <w:rPr>
          <w:b/>
          <w:bCs/>
        </w:rPr>
      </w:pPr>
    </w:p>
    <w:p w:rsidR="00000000" w:rsidRDefault="00000000">
      <w:pPr>
        <w:spacing w:line="240" w:lineRule="auto"/>
        <w:jc w:val="center"/>
        <w:rPr>
          <w:b/>
          <w:bCs/>
        </w:rPr>
      </w:pPr>
      <w:r>
        <w:rPr>
          <w:b/>
          <w:bCs/>
        </w:rPr>
        <w:t>Статья 1</w:t>
      </w:r>
    </w:p>
    <w:p w:rsidR="00000000" w:rsidRDefault="00000000">
      <w:pPr>
        <w:spacing w:line="240" w:lineRule="auto"/>
        <w:jc w:val="center"/>
        <w:rPr>
          <w:b/>
          <w:bCs/>
        </w:rPr>
      </w:pPr>
    </w:p>
    <w:p w:rsidR="00000000" w:rsidRDefault="00000000">
      <w:pPr>
        <w:spacing w:line="240" w:lineRule="auto"/>
        <w:rPr>
          <w:b/>
          <w:bCs/>
        </w:rPr>
      </w:pPr>
      <w:r>
        <w:rPr>
          <w:b/>
          <w:bCs/>
        </w:rPr>
        <w:t>Пункт 1</w:t>
      </w:r>
    </w:p>
    <w:p w:rsidR="00000000" w:rsidRDefault="00000000">
      <w:pPr>
        <w:spacing w:line="240" w:lineRule="auto"/>
        <w:rPr>
          <w:u w:val="single"/>
        </w:rPr>
      </w:pPr>
    </w:p>
    <w:p w:rsidR="00000000" w:rsidRDefault="00000000">
      <w:pPr>
        <w:pStyle w:val="FootnoteText"/>
        <w:spacing w:line="288" w:lineRule="auto"/>
      </w:pPr>
      <w:r>
        <w:t>73.</w:t>
      </w:r>
      <w:r>
        <w:tab/>
        <w:t>Чешская Республика возникла 1 января 1993 года в результате разделения бывшей Чешской и Словацкой Федеративной Республики в качестве суверенного государства, основанного на демократических принципах, где люди свободны и равны в своем достоинстве и своих правах.  Как демократическая страна Чешская Республика свободно определяет свой политический статус и свободно обеспечивает свое политическое, экономическое, социальное и культурное развитие.  Основой этого свободного решения о создании Чешской Республики является ее Конституция.</w:t>
      </w:r>
    </w:p>
    <w:p w:rsidR="00000000" w:rsidRDefault="00000000">
      <w:pPr>
        <w:pStyle w:val="FootnoteText"/>
        <w:spacing w:line="288" w:lineRule="auto"/>
      </w:pPr>
    </w:p>
    <w:p w:rsidR="00000000" w:rsidRDefault="00000000">
      <w:r>
        <w:t>74.</w:t>
      </w:r>
      <w:r>
        <w:tab/>
        <w:t>Как указывается в статье 2 Конституции, народ осуществляет всю государственную власть через органы законодательной, исполнительной и судебной власти.  В соответствии со статьей 5 Конституции политическая система основана на свободном и добровольном создании и свободном соперничестве политических партий, уважающих основные демократические принципы и отвергающих насилие как средство отстаивания своих интересов.  Согласно статье 6 Конституции, в основе политических решений лежит воля большинства, выраженная свободным голосованием;  при принятии решений большинством обеспечивается защита прав меньшинства.</w:t>
      </w:r>
    </w:p>
    <w:p w:rsidR="00000000" w:rsidRDefault="00000000"/>
    <w:p w:rsidR="00000000" w:rsidRDefault="00000000">
      <w:r>
        <w:t>75.</w:t>
      </w:r>
      <w:r>
        <w:tab/>
        <w:t>Как суверенное государство Чешская Республика является субъектом международного права и соблюдает его.  С одной стороны, процесс глобализации и, с другой стороны, регионализация, т.е. процессы, ведущие к передаче части полномочий государства международным организациям, в первом случае, и более низким административным и организационным учреждениям, во втором случае, ограничивают самостоятельность государства в деле принятия решений.</w:t>
      </w:r>
    </w:p>
    <w:p w:rsidR="00000000" w:rsidRDefault="00000000"/>
    <w:p w:rsidR="00000000" w:rsidRDefault="00000000">
      <w:r>
        <w:t>76.</w:t>
      </w:r>
      <w:r>
        <w:tab/>
        <w:t>Согласно статье 11 Конституции, территория Чешской Республики представляет собой неделимое целое, ее государственные границы могут изменяться только конституционным законом.  Территориальные самоуправляющиеся единицы, образующие Чешскую Республику, представляют собой территориальные объединения граждан, которые имеют право на самоуправление.  Создание или ликвидация территориальной самоуправляющейся единицы осуществляется только конституционным законом.  Государство может вмешиваться в их деятельность только в тех случаях, когда это необходимо в целях охраны закона, и только в порядке, установленном законом.</w:t>
      </w:r>
    </w:p>
    <w:p w:rsidR="00000000" w:rsidRDefault="00000000"/>
    <w:p w:rsidR="00000000" w:rsidRDefault="00000000">
      <w:r>
        <w:t>77.</w:t>
      </w:r>
      <w:r>
        <w:tab/>
        <w:t>Чешская Республика приняла на себя международные обязательства ЧСФР, включая обязательства, вытекающие из Международного пакта об экономических, социальных и культурных правах и Международного пакта о гражданских и политических правах</w:t>
      </w:r>
      <w:r>
        <w:rPr>
          <w:rStyle w:val="FootnoteReference"/>
        </w:rPr>
        <w:footnoteReference w:id="46"/>
      </w:r>
      <w:r>
        <w:t>.  Права, изложенные в обоих пактах, гарантируются прежде всего в соответствующих положениях Конституции и Хартии.</w:t>
      </w:r>
    </w:p>
    <w:p w:rsidR="00000000" w:rsidRDefault="00000000"/>
    <w:p w:rsidR="00000000" w:rsidRDefault="00000000">
      <w:r>
        <w:t>78.</w:t>
      </w:r>
      <w:r>
        <w:tab/>
        <w:t>Право на самоопределение также подкрепляется статьей 3 Хартии, которая гласит следующее:</w:t>
      </w:r>
    </w:p>
    <w:p w:rsidR="00000000" w:rsidRDefault="00000000"/>
    <w:p w:rsidR="00000000" w:rsidRDefault="00000000">
      <w:pPr>
        <w:ind w:left="1134" w:hanging="1134"/>
      </w:pPr>
      <w:r>
        <w:br w:type="page"/>
      </w:r>
      <w:r>
        <w:tab/>
        <w:t>"1)</w:t>
      </w:r>
      <w:r>
        <w:tab/>
        <w:t>Каждому гарантируется обладание основными правами и свободами без какого бы то ни было различия, как-то:  по признаку пола, расы, цвета кожи, языка, вероисповедания и религии, политических или иных убеждений, национального или социального происхождения, принадлежности к национальному или этническому меньшинству, имущественного положения, рождения или иного обстоятельства.</w:t>
      </w:r>
    </w:p>
    <w:p w:rsidR="00000000" w:rsidRDefault="00000000">
      <w:pPr>
        <w:ind w:left="1134" w:hanging="1134"/>
      </w:pPr>
    </w:p>
    <w:p w:rsidR="00000000" w:rsidRDefault="00000000">
      <w:pPr>
        <w:ind w:left="1134" w:hanging="1134"/>
      </w:pPr>
      <w:r>
        <w:tab/>
        <w:t>2)</w:t>
      </w:r>
      <w:r>
        <w:tab/>
        <w:t>Каждый имеет право свободно выбирать свое гражданство.  Запрещается влиять на этот выбор каким-либо образом, равно как и применять какие-либо формы давления с целью подавления национальной принадлежности человека.</w:t>
      </w:r>
    </w:p>
    <w:p w:rsidR="00000000" w:rsidRDefault="00000000">
      <w:pPr>
        <w:ind w:left="1134" w:hanging="1134"/>
      </w:pPr>
    </w:p>
    <w:p w:rsidR="00000000" w:rsidRDefault="00000000">
      <w:pPr>
        <w:ind w:left="1134" w:hanging="1134"/>
      </w:pPr>
      <w:r>
        <w:tab/>
        <w:t>3)</w:t>
      </w:r>
      <w:r>
        <w:tab/>
        <w:t>Никто не может быть ущемлен в своих правах просто по той причине, что он отстаивает свои основные права и свободы".</w:t>
      </w:r>
    </w:p>
    <w:p w:rsidR="00000000" w:rsidRDefault="00000000">
      <w:pPr>
        <w:ind w:left="1134" w:hanging="1134"/>
      </w:pPr>
    </w:p>
    <w:p w:rsidR="00000000" w:rsidRDefault="00000000">
      <w:pPr>
        <w:pStyle w:val="Heading2"/>
        <w:rPr>
          <w:b/>
          <w:bCs/>
          <w:u w:val="none"/>
        </w:rPr>
      </w:pPr>
      <w:r>
        <w:rPr>
          <w:b/>
          <w:bCs/>
          <w:u w:val="none"/>
        </w:rPr>
        <w:t>Пункт 2</w:t>
      </w:r>
    </w:p>
    <w:p w:rsidR="00000000" w:rsidRDefault="00000000">
      <w:pPr>
        <w:pStyle w:val="Heading2"/>
      </w:pPr>
    </w:p>
    <w:p w:rsidR="00000000" w:rsidRDefault="00000000">
      <w:r>
        <w:t>79.</w:t>
      </w:r>
      <w:r>
        <w:tab/>
        <w:t>В преамбуле Конституции провозглашается решимость "сообща беречь и преумножать природные и культурные, материальные и духовные богатства…".  В статье 7 Конституции излагаются условия, обеспечивающие выполнение этой части преамбулы и обязательство государства принимать соответствующие законы и прочие правовые положения.  Согласно этой статье, "государство заботится о бережном использовании природных ресурсов и охране природных богатств".</w:t>
      </w:r>
    </w:p>
    <w:p w:rsidR="00000000" w:rsidRDefault="00000000"/>
    <w:p w:rsidR="00000000" w:rsidRDefault="00000000">
      <w:r>
        <w:t>80.</w:t>
      </w:r>
      <w:r>
        <w:tab/>
        <w:t>Ничто не препятствует Чешской Республике распоряжаться своими природными ресурсами и богатствами без ущерба для обязательств, вытекающих из международного экономического сотрудничества, основанного на взаимной выгоде и международном праве.  Поскольку таких обстоятельств не существует, они также не влияют на осуществление других прав, охраняемых Пактом.</w:t>
      </w:r>
    </w:p>
    <w:p w:rsidR="00000000" w:rsidRDefault="00000000"/>
    <w:p w:rsidR="00000000" w:rsidRDefault="00000000">
      <w:r>
        <w:t>81.</w:t>
      </w:r>
      <w:r>
        <w:tab/>
        <w:t>Природные богатства и природные ресурсы, являясь важнейшей частью внешних условий жизни, подлежат единому и независимому правовому регулированию окружающей среды.  Базовым законом в этой области является Закон об охране окружающей среды</w:t>
      </w:r>
      <w:r>
        <w:rPr>
          <w:rStyle w:val="FootnoteReference"/>
        </w:rPr>
        <w:footnoteReference w:id="47"/>
      </w:r>
      <w:r>
        <w:t>.  Этот закон в первую очередь содержит основные принципы охраны окружающей среды и определяет базовые концепции.  Согласно статье 1, Закон об охране окружающей среды исходит из принципа постоянного устойчивого развития;  в его статьях 11-16 излагаются базовые правила охраны окружающей среды.</w:t>
      </w:r>
    </w:p>
    <w:p w:rsidR="00000000" w:rsidRDefault="00000000"/>
    <w:p w:rsidR="00000000" w:rsidRDefault="00000000">
      <w:r>
        <w:t>82.</w:t>
      </w:r>
      <w:r>
        <w:tab/>
        <w:t>Осуществлявшаяся до 1990 года интенсивная эксплуатация природных богатств, граничившая с разрушением окружающей среды, была ограничена в 90-е годы при уделении особого внимания растущей важности сферы услуг и обрабатывающей промышленности.  Заинтересованность общества в охране окружающей среды выражена в целом ряде законов (см. текст, касающийся статьи 12 Пакта), относящихся ко всем главным компонентам природного богатства и окружающей среды.  Эти законы касаются охраны водных ресурсов, воздушного пространства, земельных ресурсов и ландшафта, а также рационального удаления отходов, добычи минералов, ядерной безопасности, пищевых цепочек и оценки их влияния на окружающую среду.  Ввиду ограниченных масштабов имеющихся природных ресурсов их эксплуатация неразрывно связана с их охраной.</w:t>
      </w:r>
    </w:p>
    <w:p w:rsidR="00000000" w:rsidRDefault="00000000"/>
    <w:p w:rsidR="00000000" w:rsidRDefault="00000000">
      <w:pPr>
        <w:pStyle w:val="Heading2"/>
        <w:rPr>
          <w:b/>
          <w:bCs/>
          <w:u w:val="none"/>
        </w:rPr>
      </w:pPr>
      <w:r>
        <w:rPr>
          <w:b/>
          <w:bCs/>
          <w:u w:val="none"/>
        </w:rPr>
        <w:t>Пункт 3</w:t>
      </w:r>
    </w:p>
    <w:p w:rsidR="00000000" w:rsidRDefault="00000000">
      <w:pPr>
        <w:rPr>
          <w:u w:val="single"/>
        </w:rPr>
      </w:pPr>
    </w:p>
    <w:p w:rsidR="00000000" w:rsidRDefault="00000000">
      <w:r>
        <w:t>83.</w:t>
      </w:r>
      <w:r>
        <w:tab/>
        <w:t>Чешская Республика участвует в совместных усилиях демократических стран с целью построения и укрепления сообщества мира, безопасности, сотрудничества, демократии и процветания.  Она стремится создать такое международное сообщество, в котором сила представляет собой неприемлемый метод решения споров между государствами, в котором совместно выявляются и устраняются угрозы и риски и в котором развиваются различные формы политического и экономического сотрудничества.</w:t>
      </w:r>
    </w:p>
    <w:p w:rsidR="00000000" w:rsidRDefault="00000000"/>
    <w:p w:rsidR="00000000" w:rsidRDefault="00000000">
      <w:r>
        <w:t>84.</w:t>
      </w:r>
      <w:r>
        <w:tab/>
        <w:t>Чешская Республика строит свои отношения с другими государствами на принципе мирного сосуществования и экономического и культурного сотрудничества в соответствии с принципами, закрепленными в Уставе Организации Объединенных Наций.  Она развивает международное сотрудничество в соответствии с принципом взаимной выгоды и невмешательства во внутренние дела других государств.  С другой стороны, она понимает важность совместной ответственности и международной солидарности и готова принимать участие в любой деятельности, ведущей к укреплению доверия в международных отношениях и обеспечению безопасности.</w:t>
      </w:r>
    </w:p>
    <w:p w:rsidR="00000000" w:rsidRDefault="00000000"/>
    <w:p w:rsidR="00000000" w:rsidRDefault="00000000">
      <w:r>
        <w:t>85.</w:t>
      </w:r>
      <w:r>
        <w:tab/>
        <w:t>Чешская Республика не имеет никаких территориальных претензий к соседним государствам, и ни одно из этих государств не имеет территориальных претензий к Чешской Республике.  Она не осуществляет управление несамоуправляющимися или подопечными территориями.  Ее отношения с другим государством - правопреемником бывшей ЧСФР, т.е. со Словацкой Республикой, являются мирными, упорядоченными, а начиная с 1998 года даже более дружественными и лучшими, чем обычные.</w:t>
      </w:r>
    </w:p>
    <w:p w:rsidR="00000000" w:rsidRDefault="00000000"/>
    <w:p w:rsidR="00000000" w:rsidRDefault="00000000">
      <w:r>
        <w:t>86.</w:t>
      </w:r>
      <w:r>
        <w:tab/>
        <w:t>Чешская Республика является членом Совета Европы.  Она использует свое членство для развития и укрепления европейских правовых и этических ценностей, плюралистической демократии, верховенства права и защиты прав человека и прав меньшинств.</w:t>
      </w:r>
    </w:p>
    <w:p w:rsidR="00000000" w:rsidRDefault="00000000"/>
    <w:p w:rsidR="00000000" w:rsidRDefault="00000000">
      <w:r>
        <w:t>87.</w:t>
      </w:r>
      <w:r>
        <w:tab/>
        <w:t>Чешская Республика включилась в европейский интеграционный процесс и стремится стать членом Европейского союза.  Правовой основой отношений между Чешской Республикой и Европейскими сообществами является "Европейское соглашение 1993 года об установлении ассоциации между Европейскими сообществами и их государствами-членами, с одной стороны, и Чешской Республикой, с другой стороны", которое вступило в силу 1 февраля 1995 года.  17 января 1996 года Чешская Республика обратилась с просьбой о принятии ее в члены и в 1998 году начала переговоры о присоединении к Европейскому союзу.</w:t>
      </w:r>
    </w:p>
    <w:p w:rsidR="00000000" w:rsidRDefault="00000000"/>
    <w:p w:rsidR="00000000" w:rsidRDefault="00000000">
      <w:r>
        <w:t>88.</w:t>
      </w:r>
      <w:r>
        <w:tab/>
        <w:t>В марте 1999 года Чешская Республика стала членом Организации Североатлантического договора (НАТО).  Тем самым она присоединилась к важной международной организации в области коллективной безопасности.</w:t>
      </w:r>
    </w:p>
    <w:p w:rsidR="00000000" w:rsidRDefault="00000000">
      <w:pPr>
        <w:spacing w:line="240" w:lineRule="auto"/>
      </w:pPr>
    </w:p>
    <w:p w:rsidR="00000000" w:rsidRDefault="00000000">
      <w:pPr>
        <w:pStyle w:val="10"/>
        <w:tabs>
          <w:tab w:val="left" w:pos="567"/>
          <w:tab w:val="left" w:pos="1134"/>
          <w:tab w:val="left" w:pos="1701"/>
          <w:tab w:val="left" w:pos="2268"/>
          <w:tab w:val="left" w:pos="6237"/>
        </w:tabs>
        <w:spacing w:line="240" w:lineRule="auto"/>
        <w:rPr>
          <w:bCs/>
        </w:rPr>
      </w:pPr>
      <w:r>
        <w:rPr>
          <w:bCs/>
        </w:rPr>
        <w:t>Статья 2</w:t>
      </w:r>
    </w:p>
    <w:p w:rsidR="00000000" w:rsidRDefault="00000000">
      <w:pPr>
        <w:spacing w:line="240" w:lineRule="auto"/>
        <w:jc w:val="center"/>
        <w:rPr>
          <w:u w:val="single"/>
        </w:rPr>
      </w:pPr>
    </w:p>
    <w:p w:rsidR="00000000" w:rsidRDefault="00000000">
      <w:pPr>
        <w:pStyle w:val="Heading1"/>
        <w:spacing w:line="240" w:lineRule="auto"/>
        <w:rPr>
          <w:bCs/>
        </w:rPr>
      </w:pPr>
      <w:r>
        <w:rPr>
          <w:bCs/>
        </w:rPr>
        <w:t>Пункт 1</w:t>
      </w:r>
    </w:p>
    <w:p w:rsidR="00000000" w:rsidRDefault="00000000">
      <w:pPr>
        <w:spacing w:line="240" w:lineRule="auto"/>
        <w:rPr>
          <w:u w:val="single"/>
        </w:rPr>
      </w:pPr>
    </w:p>
    <w:p w:rsidR="00000000" w:rsidRDefault="00000000">
      <w:r>
        <w:t>89.</w:t>
      </w:r>
      <w:r>
        <w:tab/>
        <w:t>Большинство прав и обязанностей, вытекающих из Международного пакта об экономических, социальных и культурных правах и Международного пакта о гражданских и политических правах, являются частью конституционного закона, каковым является Хартия.  Основные права и свободы, изложенные в Международном пакте об экономических, социальных и культурных правах и регулируемые Хартией, пользуются защитой со стороны судебной власти.  Согласно пункту 1 статьи 36 Хартии "каждый может посредством законно установленной процедуры отстаивать свои права в независимом и беспристрастном суде или, в четко определенных случаях, в другом органе".</w:t>
      </w:r>
    </w:p>
    <w:p w:rsidR="00000000" w:rsidRDefault="00000000"/>
    <w:p w:rsidR="00000000" w:rsidRDefault="00000000">
      <w:r>
        <w:t>90.</w:t>
      </w:r>
      <w:r>
        <w:tab/>
        <w:t>Важную роль в деле толкования Пакта, законов и других правовых положений играет статья 10 Конституции, согласно которой "ратифицированные и обнародованные международные договоры о правах человека и основных свободах, обязательства по которым приняла на себя Чешская Республика, непосредственно применяются и имеют преимущество перед внутренним законодательством".</w:t>
      </w:r>
    </w:p>
    <w:p w:rsidR="00000000" w:rsidRDefault="00000000"/>
    <w:p w:rsidR="00000000" w:rsidRDefault="00000000">
      <w:r>
        <w:t>91.</w:t>
      </w:r>
      <w:r>
        <w:tab/>
        <w:t>Шаги, предпринятые Чешской Республикой для обеспечения полного осуществления в экономике прав, признанных Пактом, были непосредственно связаны с преобразованием экономики, начатым в 1990 году, и с переходом к рыночной экономике.  Вместе с тем одновременно прилагались усилия для сохранения общего процветания и справедливого и эффективного распределения богатства посредством государственного бюджета.</w:t>
      </w:r>
    </w:p>
    <w:p w:rsidR="00000000" w:rsidRDefault="00000000"/>
    <w:p w:rsidR="00000000" w:rsidRDefault="00000000">
      <w:r>
        <w:t>92.</w:t>
      </w:r>
      <w:r>
        <w:tab/>
        <w:t xml:space="preserve">Экономические преобразования в Чешской Республике, являющиеся необходимым процессом для достижения долгосрочного экономического роста, позволяющего реально реализовать права, признанные в Пакте, включали следующие меры: </w:t>
      </w:r>
    </w:p>
    <w:p w:rsidR="00000000" w:rsidRDefault="00000000"/>
    <w:p w:rsidR="00000000" w:rsidRDefault="00000000">
      <w:r>
        <w:tab/>
        <w:t>а)</w:t>
      </w:r>
      <w:r>
        <w:tab/>
        <w:t>создание базовых условий для развития частного предпринимательства, особенно законодательного характера (базовые положения о личных предприятиях, о корпорациях, о государственных компаниях, Закон о банкротстве и урегулировании споров, Закон об экономической конкуренции, поправка к Торговому кодексу, Закон о лицензировании профессиональной деятельности и т.д.);</w:t>
      </w:r>
    </w:p>
    <w:p w:rsidR="00000000" w:rsidRDefault="00000000"/>
    <w:p w:rsidR="00000000" w:rsidRDefault="00000000">
      <w:r>
        <w:tab/>
      </w:r>
      <w:r>
        <w:rPr>
          <w:lang w:val="en-US"/>
        </w:rPr>
        <w:t>b</w:t>
      </w:r>
      <w:r>
        <w:t>)</w:t>
      </w:r>
      <w:r>
        <w:tab/>
        <w:t>либерализация цен, направленная на корректирование цен, деформированных централизованно планируемой экономикой;</w:t>
      </w:r>
    </w:p>
    <w:p w:rsidR="00000000" w:rsidRDefault="00000000"/>
    <w:p w:rsidR="00000000" w:rsidRDefault="00000000">
      <w:r>
        <w:tab/>
        <w:t>с)</w:t>
      </w:r>
      <w:r>
        <w:tab/>
        <w:t>либерализация внешней торговли:  в начале экономических преобразований была отменена государственная монополия внешней торговли.  Реструктуризация тарифов и роспуск Совета Экономической Взаимопомощи привели к сдвигу экспорта из восточноевропейских рынков на рынки государств </w:t>
      </w:r>
      <w:r>
        <w:noBreakHyphen/>
        <w:t xml:space="preserve"> членов Организации экономического сотрудничества и развития</w:t>
      </w:r>
      <w:r>
        <w:rPr>
          <w:rStyle w:val="FootnoteReference"/>
        </w:rPr>
        <w:footnoteReference w:id="48"/>
      </w:r>
      <w:r>
        <w:t>, главным образом на рынки западноевропейских стран.  Доля стран Европейского союза в экспорте Чешской Республики в 1999 году составляла почти 70%, а доля Европейского союза в общем импорте Чешской Республики достигла почти 65%;</w:t>
      </w:r>
    </w:p>
    <w:p w:rsidR="00000000" w:rsidRDefault="00000000"/>
    <w:p w:rsidR="00000000" w:rsidRDefault="00000000">
      <w:r>
        <w:tab/>
      </w:r>
      <w:r>
        <w:rPr>
          <w:lang w:val="en-US"/>
        </w:rPr>
        <w:t>d</w:t>
      </w:r>
      <w:r>
        <w:t>)</w:t>
      </w:r>
      <w:r>
        <w:tab/>
        <w:t>приватизация и реструктуризация коренным образом изменили структуру собственности в национальной экономике.  Процесс приватизации и реструктуризации еще не закончен;  сегодня эксперты считают использование приватизационных ваучеров весьма проблематичным методом.  Стремясь исправить неблагоприятную ситуацию, правительство в апреле 1999 года утвердило программу, направленную на решение экономических проблем в некоторых промышленных отраслях посредством оживления и реструктуризации</w:t>
      </w:r>
      <w:r>
        <w:rPr>
          <w:rStyle w:val="FootnoteReference"/>
        </w:rPr>
        <w:footnoteReference w:id="49"/>
      </w:r>
      <w:r>
        <w:t>;</w:t>
      </w:r>
    </w:p>
    <w:p w:rsidR="00000000" w:rsidRDefault="00000000"/>
    <w:p w:rsidR="00000000" w:rsidRDefault="00000000">
      <w:r>
        <w:tab/>
        <w:t>е)</w:t>
      </w:r>
      <w:r>
        <w:tab/>
        <w:t>установление обменного курса:  после первоначальной резкой девальвации внутренних обменных курсов и значительной экспортной ориентации экономической политики в 1995 году была обеспечена внешняя конвертируемость валюты, а в 1997 году после введения плавающего обменного курса были отменены все ограничения на обмен валюты;</w:t>
      </w:r>
    </w:p>
    <w:p w:rsidR="00000000" w:rsidRDefault="00000000"/>
    <w:p w:rsidR="00000000" w:rsidRDefault="00000000">
      <w:r>
        <w:tab/>
        <w:t>f)</w:t>
      </w:r>
      <w:r>
        <w:tab/>
        <w:t>всеобъемлющая налоговая реформа:  налоговая система была стандартизирована с 1993 года;  был установлен налог на добавленную стоимость, а косвенные налоги были укреплены за счет снижения прямых налогов;</w:t>
      </w:r>
    </w:p>
    <w:p w:rsidR="00000000" w:rsidRDefault="00000000"/>
    <w:p w:rsidR="00000000" w:rsidRDefault="00000000">
      <w:r>
        <w:tab/>
        <w:t>g)</w:t>
      </w:r>
      <w:r>
        <w:tab/>
        <w:t>внутренние институциональные экономические и политические изменения:  после создания Чешская Республика стала членом Международного валютного фонда</w:t>
      </w:r>
      <w:r>
        <w:rPr>
          <w:rStyle w:val="FootnoteReference"/>
        </w:rPr>
        <w:footnoteReference w:id="50"/>
      </w:r>
      <w:r>
        <w:t xml:space="preserve"> и Всемирного банка, Всемирной торговой организации</w:t>
      </w:r>
      <w:r>
        <w:rPr>
          <w:rStyle w:val="FootnoteReference"/>
        </w:rPr>
        <w:footnoteReference w:id="51"/>
      </w:r>
      <w:r>
        <w:t xml:space="preserve"> и других международных экономических организаций;  Чешская Республика является также участником Центральноевропейского соглашения о свободной торговле</w:t>
      </w:r>
      <w:r>
        <w:rPr>
          <w:rStyle w:val="FootnoteReference"/>
        </w:rPr>
        <w:footnoteReference w:id="52"/>
      </w:r>
      <w:r>
        <w:t xml:space="preserve"> и начала процесс интеграции в Европейский союз.</w:t>
      </w:r>
    </w:p>
    <w:p w:rsidR="00000000" w:rsidRDefault="00000000"/>
    <w:p w:rsidR="00000000" w:rsidRDefault="00000000">
      <w:r>
        <w:t>93.</w:t>
      </w:r>
      <w:r>
        <w:tab/>
        <w:t>Одним из критериев, использовавшихся при оценке адекватности мер, принятых в ходе приватизации, было сохранение низкого уровня безработицы и, тем самым, социального мира.  При оценке приватизационных проектов, осуществляемых в соответствии с постановлением министерства по администрации и приватизации национальной собственности</w:t>
      </w:r>
      <w:r>
        <w:rPr>
          <w:rStyle w:val="FootnoteReference"/>
        </w:rPr>
        <w:footnoteReference w:id="53"/>
      </w:r>
      <w:r>
        <w:t>, большое внимание также уделялось созданию рабочих мест.  Этот критерий также использовался при приватизации посредством прямой продажи.  Поддержка занятости также нашла свое отражение в условиях, предусматривающих государственную поддержку развития предпринимательства, особенно в тех областях, которые наиболее затронуты структурными изменениями.</w:t>
      </w:r>
    </w:p>
    <w:p w:rsidR="00000000" w:rsidRDefault="00000000"/>
    <w:p w:rsidR="00000000" w:rsidRDefault="00000000">
      <w:r>
        <w:t>94.</w:t>
      </w:r>
      <w:r>
        <w:tab/>
        <w:t>Одним из базовых инструментов, способствующих свободному экономическому, социальному и культурному развитию, является региональная политика.  Основы для поддержки регионального развития определяются в Принципах региональной политики, утвержденных правительством в 1998 году.  В этом документе региональная политика понимается как плановая деятельность государственных, региональных и местных органов, чья цель заключается в содействии сбалансированному и гармоничному развитию различных областей Чешской Республики, сглаживанию различий между уровнями развития в отдельных областях и укреплению региональной экономической структуры.</w:t>
      </w:r>
    </w:p>
    <w:p w:rsidR="00000000" w:rsidRDefault="00000000"/>
    <w:p w:rsidR="00000000" w:rsidRDefault="00000000">
      <w:r>
        <w:t>95.</w:t>
      </w:r>
      <w:r>
        <w:tab/>
        <w:t>Принципы региональной политики были утверждены с тем условием, что они будут действовать в период до подготовки и принятия закона о поддержке регионального развития.  Правительство поручило министру по вопросам развития регионов, городов и населенных пунктов подготовить соответствующий законопроект.  Как ожидается, этот закон вступит в силу в 2001 году.</w:t>
      </w:r>
    </w:p>
    <w:p w:rsidR="00000000" w:rsidRDefault="00000000"/>
    <w:p w:rsidR="00000000" w:rsidRDefault="00000000">
      <w:r>
        <w:t>96.</w:t>
      </w:r>
      <w:r>
        <w:tab/>
        <w:t>В связи с ведущейся подготовкой к вступлению Чешкой Республики в Европейский союз главное преимущество Принципов региональной политики и нового закона о поддержке регионального развития заключается в создании условий для гармонизации чешской региональной политики с региональной политикой Европейского союза, в частности основных принципов региональной политики, ее инструментов, институциональных гарантий и т.д.</w:t>
      </w:r>
    </w:p>
    <w:p w:rsidR="00000000" w:rsidRDefault="00000000"/>
    <w:p w:rsidR="00000000" w:rsidRDefault="00000000">
      <w:r>
        <w:t>97.</w:t>
      </w:r>
      <w:r>
        <w:tab/>
        <w:t>В июле 1999 года правительство обсудило и приняло к сведению предлагаемую стратегию регионального развития.  Она представляет собой базовый концептуальный документ по региональной политике в Чешской Республике на предстоящий период, т.е. примерно до 2010 года.  Стратегия регионального развития будет служить прежде всего концептуальным документом для региональной политики в Чешской Республике, на основе которого будут готовиться программные документы на национальном уровне, а впоследствии и на региональном уровне;  он также послужит отправным моментом для программ развития, связанных со структурными фондами Европейского союза.</w:t>
      </w:r>
    </w:p>
    <w:p w:rsidR="00000000" w:rsidRDefault="00000000"/>
    <w:p w:rsidR="00000000" w:rsidRDefault="00000000">
      <w:pPr>
        <w:pStyle w:val="Heading2"/>
        <w:rPr>
          <w:b/>
          <w:bCs/>
          <w:u w:val="none"/>
        </w:rPr>
      </w:pPr>
      <w:r>
        <w:rPr>
          <w:b/>
          <w:bCs/>
          <w:u w:val="none"/>
        </w:rPr>
        <w:t>Пункт 2</w:t>
      </w:r>
    </w:p>
    <w:p w:rsidR="00000000" w:rsidRDefault="00000000">
      <w:pPr>
        <w:pStyle w:val="Heading2"/>
      </w:pPr>
    </w:p>
    <w:p w:rsidR="00000000" w:rsidRDefault="00000000">
      <w:r>
        <w:t>98.</w:t>
      </w:r>
      <w:r>
        <w:tab/>
        <w:t>Принцип недискриминации содержится в:</w:t>
      </w:r>
    </w:p>
    <w:p w:rsidR="00000000" w:rsidRDefault="00000000"/>
    <w:p w:rsidR="00000000" w:rsidRDefault="00000000">
      <w:r>
        <w:tab/>
        <w:t>а)</w:t>
      </w:r>
      <w:r>
        <w:tab/>
        <w:t>статье 1 Хартии:  "Все люди свободны, равны в своем достоинстве и пользуются равными правами.  Их основные права и свободы неотъемлемы, неотчуждаемы и не подлежат срокам давности и отмене";</w:t>
      </w:r>
    </w:p>
    <w:p w:rsidR="00000000" w:rsidRDefault="00000000"/>
    <w:p w:rsidR="00000000" w:rsidRDefault="00000000">
      <w:r>
        <w:br w:type="page"/>
      </w:r>
      <w:r>
        <w:tab/>
        <w:t>b)</w:t>
      </w:r>
      <w:r>
        <w:tab/>
        <w:t>пункте 1 статьи 3 Хартии:  " Основные права и свободы гарантируются каждому без какого бы то ни было различия по признаку пола, расы, цвета кожи, языка, вероисповедания и религии, политических или иных убеждений, национального или социального происхождения, принадлежности к национальному или этническому меньшинству, имущественного положения, рождения или иных обстоятельств";  Пункт 3 статьи 3 Хартии гласит, что никто не может быть ущемлен в своих правах просто по той причине, что он отстаивает свои основные права и свободы.  Запрещение дискриминации также содержится в статье 24 Хартии, в которой говорится, что "принадлежность лица к любой национальной группе или этническому меньшинству не может служить причиной для ущемления его статуса".  Эти принципы полностью распространяются на права, изложенные в четвертой главе Хартии, т.е. на экономические, социальные и культурные права.</w:t>
      </w:r>
    </w:p>
    <w:p w:rsidR="00000000" w:rsidRDefault="00000000"/>
    <w:p w:rsidR="00000000" w:rsidRDefault="00000000">
      <w:r>
        <w:t>99.</w:t>
      </w:r>
      <w:r>
        <w:tab/>
        <w:t>В этой связи следует также сослаться на первоначальный и периодические доклады Чешской Республики о выполнении обязательств, вытекающих из Международной конвенции о ликвидации всех форм расовой дискриминации.</w:t>
      </w:r>
    </w:p>
    <w:p w:rsidR="00000000" w:rsidRDefault="00000000"/>
    <w:p w:rsidR="00000000" w:rsidRDefault="00000000">
      <w:r>
        <w:t>100.</w:t>
      </w:r>
      <w:r>
        <w:tab/>
        <w:t>Ниже делается ссылка на доклады об осуществлении конвенций № 100 о равном вознаграждении и № 111 о дискриминации в области труда и занятий Международной организации труда.</w:t>
      </w:r>
    </w:p>
    <w:p w:rsidR="00000000" w:rsidRDefault="00000000"/>
    <w:p w:rsidR="00000000" w:rsidRDefault="00000000">
      <w:r>
        <w:t>101.</w:t>
      </w:r>
      <w:r>
        <w:tab/>
        <w:t>Четкое запрещение дискриминации содержится в поправке к Закону о занятости</w:t>
      </w:r>
      <w:r>
        <w:rPr>
          <w:rStyle w:val="FootnoteReference"/>
        </w:rPr>
        <w:footnoteReference w:id="54"/>
      </w:r>
      <w:r>
        <w:t>, которая вступила в силу 1 октября 1999 года.  Пункт 1 статьи 1 гласит следующее:  "Никому не может быть отказано в праве на занятость (работу) по признаку расы, цвета кожи, пола, сексуальной ориентации, языка, вероисповедания или религии, политических или иных убеждений, членства или деятельности в политических партиях или политических движениях, профсоюзных организациях и иных ассоциациях, гражданства, этнического или социального происхождения, имущественного положения, семейной принадлежности, здоровья, возраста, состояния в браке и семейного положения или обязательств в отношении его семьи, за исключением тех случаев, которые предусмотрены законом, или случаев, когда существуют фактические основания, состоящие в предварительных условиях, требованиях и характере занятости (работы), которую гражданин должен выполнять и которая является необходимым условием для выполнения его занятия" (см. также текст, касающийся статьи 6 Пакта).  Государственный орган, осуществляющий надзор за соблюдением правовых положений в области труда и занятости (т.е. местное управление по вопросам труда), может налагать санкции на работодателя за нарушение этого принципа.  Кроме того, пунктом 2 статьи 1 этого закона также запрещается дискриминационная реклама:  "Стороны в правоотношениях, создаваемых согласно настоящему Закону, не могут предоставлять занятие (работу), противоречащее положениям пункта 1".  Потерпевшее лицо может обращаться в суды для своей защиты.</w:t>
      </w:r>
    </w:p>
    <w:p w:rsidR="00000000" w:rsidRDefault="00000000"/>
    <w:p w:rsidR="00000000" w:rsidRDefault="00000000">
      <w:r>
        <w:t>102.</w:t>
      </w:r>
      <w:r>
        <w:tab/>
        <w:t>Принцип, запрещающий дискриминацию, также соблюдается (хотя он четко и не предусмотрен) в общеобязательных правовых положениях, регулирующих образование и систему образования, в частности в таких основных законах, как Закон о системе начальных школ, средних школ и профессионально-технических училищ ("Закон о школах")</w:t>
      </w:r>
      <w:r>
        <w:rPr>
          <w:rStyle w:val="FootnoteReference"/>
        </w:rPr>
        <w:footnoteReference w:id="55"/>
      </w:r>
      <w:r>
        <w:t>, Закон о государственной администрации и местной администрации в области образования</w:t>
      </w:r>
      <w:r>
        <w:rPr>
          <w:rStyle w:val="FootnoteReference"/>
        </w:rPr>
        <w:footnoteReference w:id="56"/>
      </w:r>
      <w:r>
        <w:t>, Закон о школьных учреждениях</w:t>
      </w:r>
      <w:r>
        <w:rPr>
          <w:rStyle w:val="FootnoteReference"/>
        </w:rPr>
        <w:footnoteReference w:id="57"/>
      </w:r>
      <w:r>
        <w:t xml:space="preserve"> и Закон об университетах</w:t>
      </w:r>
      <w:r>
        <w:rPr>
          <w:rStyle w:val="FootnoteReference"/>
        </w:rPr>
        <w:footnoteReference w:id="58"/>
      </w:r>
      <w:r>
        <w:t>, которые провозглашают демократические принципы доступа к высшему образованию, получения соответствующей профессиональной квалификации и подготовки к научно-исследовательской и прочей специализированной деятельности и согласно которым никто не может подвергаться дискриминации по признаку цвета кожи, пола, религии, национального или социального происхождения или принадлежности к той или иной этнической группе.  Принцип, запрещающий дискриминацию, также содержится в Законе об общественном здравоохранении</w:t>
      </w:r>
      <w:r>
        <w:rPr>
          <w:rStyle w:val="FootnoteReference"/>
        </w:rPr>
        <w:footnoteReference w:id="59"/>
      </w:r>
      <w:r>
        <w:t>, который, в частности, также регулирует вопросы лицензирования работников системы здравоохранения, получивших образование за границей.</w:t>
      </w:r>
    </w:p>
    <w:p w:rsidR="00000000" w:rsidRDefault="00000000"/>
    <w:p w:rsidR="00000000" w:rsidRDefault="00000000">
      <w:r>
        <w:t>103.</w:t>
      </w:r>
      <w:r>
        <w:tab/>
        <w:t>Запрещение дискриминации также содержится в статье 6 Закона о защите потребителей</w:t>
      </w:r>
      <w:r>
        <w:rPr>
          <w:rStyle w:val="FootnoteReference"/>
        </w:rPr>
        <w:footnoteReference w:id="60"/>
      </w:r>
      <w:r>
        <w:t>:  "При продаже товаров или оказании услуг продавец не может нарушать принципы нравственности;  в частности, он никоим образом не может дискриминировать потребителя".  Надзор за соблюдением обязательства о недискриминации (надзор за защитой потребителей) осуществляется Чешской торговой инспекцией в соответствии со статьей 23 этого закона.</w:t>
      </w:r>
    </w:p>
    <w:p w:rsidR="00000000" w:rsidRDefault="00000000"/>
    <w:p w:rsidR="00000000" w:rsidRDefault="00000000">
      <w:r>
        <w:t>104.</w:t>
      </w:r>
      <w:r>
        <w:tab/>
        <w:t>Соответствующий государственный орган (в случае дискриминации - Чешская торговая инспекция) может налагать штраф в размере до 500 000 чешских крон за нарушение обязательств, предусмотренных Законом о защите потребителей;  при установлении размера штрафа учитывается характер противоправной деятельности и масштабы ее результатов</w:t>
      </w:r>
      <w:r>
        <w:rPr>
          <w:rStyle w:val="FootnoteReference"/>
        </w:rPr>
        <w:footnoteReference w:id="61"/>
      </w:r>
      <w:r>
        <w:t>.  На практике дискриминация считается доказанной, если она обнаружена в ходе любой (в том числе выборочной) проверки, проводимой Чешской торговой инспекцией.  В случае повторного нарушения обязательств в течение одного года может налагаться штраф в размере до 1 млн. чешских крон (статья 24 Закона о защите потребителей).  Разбирательства, предусмотренные статьями 23 и 24 этого закона, проводятся согласно общим положениям, касающимся административных разбирательств</w:t>
      </w:r>
      <w:r>
        <w:rPr>
          <w:rStyle w:val="FootnoteReference"/>
        </w:rPr>
        <w:footnoteReference w:id="62"/>
      </w:r>
      <w:r>
        <w:t>.</w:t>
      </w:r>
    </w:p>
    <w:p w:rsidR="00000000" w:rsidRDefault="00000000"/>
    <w:p w:rsidR="00000000" w:rsidRDefault="00000000">
      <w:r>
        <w:t>105.</w:t>
      </w:r>
      <w:r>
        <w:tab/>
        <w:t>Запрещение дискриминации, предусмотренное правопорядком, не всегда строго соблюдается на практике.  Ситуации, при которых дискриминация имеет место по различным причинам, описываются в тексте, касающемся статьей 3 и 6 Пакта.</w:t>
      </w:r>
    </w:p>
    <w:p w:rsidR="00000000" w:rsidRDefault="00000000"/>
    <w:p w:rsidR="00000000" w:rsidRDefault="00000000">
      <w:pPr>
        <w:pStyle w:val="Heading6"/>
        <w:rPr>
          <w:bCs/>
          <w:u w:val="none"/>
        </w:rPr>
      </w:pPr>
      <w:r>
        <w:rPr>
          <w:bCs/>
          <w:u w:val="none"/>
        </w:rPr>
        <w:t>Гарантии защиты прав иностранцев</w:t>
      </w:r>
    </w:p>
    <w:p w:rsidR="00000000" w:rsidRDefault="00000000">
      <w:pPr>
        <w:pStyle w:val="Heading6"/>
        <w:rPr>
          <w:bCs/>
        </w:rPr>
      </w:pPr>
    </w:p>
    <w:p w:rsidR="00000000" w:rsidRDefault="00000000">
      <w:r>
        <w:t>106.</w:t>
      </w:r>
      <w:r>
        <w:tab/>
        <w:t>Статья 42 Хартии (пункты 2 и 3) гласит следующее:</w:t>
      </w:r>
    </w:p>
    <w:p w:rsidR="00000000" w:rsidRDefault="00000000"/>
    <w:p w:rsidR="00000000" w:rsidRDefault="00000000">
      <w:pPr>
        <w:ind w:left="567" w:hanging="567"/>
      </w:pPr>
      <w:r>
        <w:br w:type="page"/>
      </w:r>
      <w:r>
        <w:tab/>
        <w:t>"2)</w:t>
      </w:r>
      <w:r>
        <w:tab/>
        <w:t>Иностранцы пользуются в Чешской и Словацкой Федеративной Республике правами человека и основными свободами, гарантируемыми Хартией, за исключением случаев, когда такие права и свободы четко распространяются только на граждан.</w:t>
      </w:r>
    </w:p>
    <w:p w:rsidR="00000000" w:rsidRDefault="00000000">
      <w:pPr>
        <w:ind w:left="567" w:hanging="567"/>
      </w:pPr>
    </w:p>
    <w:p w:rsidR="00000000" w:rsidRDefault="00000000">
      <w:pPr>
        <w:ind w:left="567" w:hanging="567"/>
      </w:pPr>
      <w:r>
        <w:tab/>
        <w:t>3)</w:t>
      </w:r>
      <w:r>
        <w:tab/>
        <w:t>Во всех случаях, когда в действующих правовых актах используется термин "гражданин", он должен пониматься как относящийся к любому лицу, если это касается основных прав и свобод, которые Хартия распространяет на любое лицо независимо от его гражданства".</w:t>
      </w:r>
    </w:p>
    <w:p w:rsidR="00000000" w:rsidRDefault="00000000">
      <w:pPr>
        <w:ind w:left="567" w:hanging="567"/>
      </w:pPr>
    </w:p>
    <w:p w:rsidR="00000000" w:rsidRDefault="00000000">
      <w:r>
        <w:t>107.</w:t>
      </w:r>
      <w:r>
        <w:tab/>
        <w:t>Основные права человека и свободы, гарантируемые Хартией независимо от гражданства, включают право на жизнь (статья 6);  неприкосновенность личности и частной жизни (никто не может подвергаться пыткам или другим жестоким, бесчеловечным или унижающим достоинство видам обращения и наказания (статья 7));  гарантию личной свободы (статья 8);  запрещение принудительного труда или службы (статья 9);  право на охрану человеческого достоинства, личной чести, доброй репутации, защиту от несанкционированного вмешательства в частную и семейную жизнь и защиту от несанкционированного сбора, публикации или иного злонамеренного использования личных данных (статья 10);  неприкосновенность жилья (статья 12);  защиту тайны переписки (статья 13);  свободу передвижения и свободу выбора места проживания (статья 14);  свободу мысли, совести и религиозных убеждений (статья 15);  и свободное исповедание своей религии (статья 16).</w:t>
      </w:r>
    </w:p>
    <w:p w:rsidR="00000000" w:rsidRDefault="00000000"/>
    <w:p w:rsidR="00000000" w:rsidRDefault="00000000">
      <w:r>
        <w:t>108.</w:t>
      </w:r>
      <w:r>
        <w:tab/>
        <w:t>В первой главе Хартии ограничения излагаются лишь в статье 11, которая касается права собственности.  Пункт 2 гласит следующее:  "Закон может также предусматривать, что некоторыми предметами собственности могут владеть исключительно граждане или юридические лица, центральные учреждения которых расположены в Чешской и Словацкой Федеративной Республике".</w:t>
      </w:r>
    </w:p>
    <w:p w:rsidR="00000000" w:rsidRDefault="00000000"/>
    <w:p w:rsidR="00000000" w:rsidRDefault="00000000">
      <w:r>
        <w:t>109.</w:t>
      </w:r>
      <w:r>
        <w:tab/>
        <w:t>В третьей главе Хартии, которая гарантирует права национальных и этнических меньшинств (статья 24), указывается, что принадлежность к тому или иному национальному или этническому меньшинству не может ущемлять личный статус, в том числе иностранца.  В то же время позитивные права (статья 25) - право развивать свою собственную культуру, право получать информацию на своем родном языке и участвовать в национальных ассоциациях и право на образование на своем собственном языке, право пользоваться своим языком в сношениях с официальными лицами и право участвовать в решении вопросов, касающихся национальных и этнических меньшинств - распространяются только на граждан Чешской Республики.</w:t>
      </w:r>
    </w:p>
    <w:p w:rsidR="00000000" w:rsidRDefault="00000000"/>
    <w:p w:rsidR="00000000" w:rsidRDefault="00000000">
      <w:r>
        <w:t>110.</w:t>
      </w:r>
      <w:r>
        <w:tab/>
        <w:t>Четвертая глава Хартии (статья 26) гарантирует каждому, в том числе иностранцам, право на свободный выбор профессии, профессиональную подготовку и право заниматься предпринимательством и иной деловой деятельностью;  она также гарантирует каждому право приобретать с помощью работы средства для удовлетворения своих потребностей.  Вместе с тем материальное обеспечение в том случае, если кто-либо не способен осуществлять это право не по своей вине, гарантируется только гражданам.  Статья 27 Хартии также гарантирует иностранцам, например, право вступать в профессиональные союзы.</w:t>
      </w:r>
    </w:p>
    <w:p w:rsidR="00000000" w:rsidRDefault="00000000"/>
    <w:p w:rsidR="00000000" w:rsidRDefault="00000000">
      <w:r>
        <w:t>111.</w:t>
      </w:r>
      <w:r>
        <w:tab/>
        <w:t>Некоторые другие положения, касающиеся экономических, социальных и культурных прав, распространяются только на граждан Чешской Республики, в частности статьи, касающиеся участия в системе социального обеспечения.  Так, например, только граждане имеют право на материальное обеспечение по старости, во время нетрудоспособности или в случае потери кормильца (статья 30) и только граждане имеют право на бесплатную медицинскую помощь, основанную на медицинском страховании (статья 31).  Согласно статье 30 Хартии все лица, включая иностранцев, которые испытывают материальные затруднения, имеют право лишь на такую помощь, которая необходима для обеспечения базового уровня жизни.  Однако законы, регулирующие экономические, социальные и культурные права, также наделяют иностранцев многими правами, основанными либо на статусе проживания, либо на статусе занятости.</w:t>
      </w:r>
    </w:p>
    <w:p w:rsidR="00000000" w:rsidRDefault="00000000"/>
    <w:p w:rsidR="00000000" w:rsidRDefault="00000000">
      <w:r>
        <w:t>112.</w:t>
      </w:r>
      <w:r>
        <w:tab/>
        <w:t>Чешский правопорядок наделяет иностранцев, имеющих постоянный вид на жительство, в основном теми же правами, что и граждан.  Важнейшим исключением не своей является то, что они не имеют права голоса и не подлежат призыву на воинскую службу.  В отчетный период в соответствии со статьей 7 Закона о проживании иностранцев в Чешской Республике</w:t>
      </w:r>
      <w:r>
        <w:rPr>
          <w:rStyle w:val="FootnoteReference"/>
        </w:rPr>
        <w:footnoteReference w:id="63"/>
      </w:r>
      <w:r>
        <w:t xml:space="preserve"> разрешение на постоянное проживание могло выдаваться на основании воссоединения семей, если супруг или супруга, или прямой родственник, или родной брат, или родная сестра иностранца имели постоянное жительство в Чешской Республике.  Существовала также возможность выдачи разрешения в гуманитарных случаях или если проживание отвечало интересам внешней политики Чешской Республики.</w:t>
      </w:r>
    </w:p>
    <w:p w:rsidR="00000000" w:rsidRDefault="00000000"/>
    <w:p w:rsidR="00000000" w:rsidRDefault="00000000">
      <w:r>
        <w:t>113.</w:t>
      </w:r>
      <w:r>
        <w:tab/>
        <w:t>Пятая глава Хартии, которая гарантирует право на судебную и прочую правовую защиту, полностью распространяется на иностранцев.</w:t>
      </w:r>
    </w:p>
    <w:p w:rsidR="00000000" w:rsidRDefault="00000000"/>
    <w:p w:rsidR="00000000" w:rsidRDefault="00000000">
      <w:r>
        <w:t>114.</w:t>
      </w:r>
      <w:r>
        <w:tab/>
        <w:t>В отчетный период условия для въезда и пребывания иностранцев в Чешской Республике были изложены в Законе о пребывании и проживании иностранцев.  Фактические процедуры подачи иностранцами ходатайств о долгосрочном проживании в Чешской Республике регулировались соответствующими положениями Закона об административном производстве</w:t>
      </w:r>
      <w:r>
        <w:rPr>
          <w:rStyle w:val="FootnoteReference"/>
        </w:rPr>
        <w:footnoteReference w:id="64"/>
      </w:r>
      <w:r>
        <w:t xml:space="preserve">.  В соответствии с этим законом иностранец, которому отказано в его заявлении, имел право использовать все обычные и экстраординарные средства обжалования.  Наделение иностранцев правом на судебный пересмотр административных решений в соответствии с Законом об иностранцах, который значительно укрепил правовую безопасность иностранцев, было основано на решении Конституционного суда Чешской Республики (№ 160/1998 </w:t>
      </w:r>
      <w:r>
        <w:rPr>
          <w:lang w:val="en-US"/>
        </w:rPr>
        <w:t>Coll</w:t>
      </w:r>
      <w:r>
        <w:t xml:space="preserve">.), которое с 13 мая 1999 года отменило действие пункта 2 статьи 32 Закона о пребывании и проживании иностранцев, серьезно ограничивавшего право на судебную защиту.  Второе решение (№ 159/1998 </w:t>
      </w:r>
      <w:r>
        <w:rPr>
          <w:lang w:val="en-US"/>
        </w:rPr>
        <w:t>Coll</w:t>
      </w:r>
      <w:r>
        <w:t>.) касалось отмены запрещения на пребывание в случае наличия обязательства (которое конкретно не оговаривалось), налагаемого общеобязательным правовым положением и позволяющего приостанавливать обжалование запрещения на пребывание.</w:t>
      </w:r>
    </w:p>
    <w:p w:rsidR="00000000" w:rsidRDefault="00000000"/>
    <w:p w:rsidR="00000000" w:rsidRDefault="00000000">
      <w:r>
        <w:t>115.</w:t>
      </w:r>
      <w:r>
        <w:tab/>
        <w:t>Учитывая тот факт, что предыдущий Закон об иностранцах более не соответствовал изменившейся ситуации, правительство внесло новый законопроект о проживании иностранцев в Чешской Республике.  Новый Закон о проживании иностранцев был утвержден и вступил в силу 1 января 2000 года</w:t>
      </w:r>
      <w:r>
        <w:rPr>
          <w:rStyle w:val="FootnoteReference"/>
        </w:rPr>
        <w:footnoteReference w:id="65"/>
      </w:r>
      <w:r>
        <w:t>.</w:t>
      </w:r>
    </w:p>
    <w:p w:rsidR="00000000" w:rsidRDefault="00000000"/>
    <w:p w:rsidR="00000000" w:rsidRDefault="00000000">
      <w:r>
        <w:t>116.</w:t>
      </w:r>
      <w:r>
        <w:tab/>
        <w:t>Среди иностранцев имеется особая категория беженцев и лиц, ходатайствующих о предоставлении им статуса беженцев.  В статье 43 Хартии говорится, что Чешская Республика предоставляет убежище иностранцам, которые преследуются за осуществление ими своих политических прав и свобод.  В убежище может быть отказано лицу, которое действовало в нарушение основных прав и свобод человека.  Другим правовым документом, регулирующим статус беженцев, является Конвенция о статусе беженцев</w:t>
      </w:r>
      <w:r>
        <w:rPr>
          <w:rStyle w:val="FootnoteReference"/>
        </w:rPr>
        <w:footnoteReference w:id="66"/>
      </w:r>
      <w:r>
        <w:t>.  В отчетный период в стране действовал Закон о беженцах</w:t>
      </w:r>
      <w:r>
        <w:rPr>
          <w:rStyle w:val="FootnoteReference"/>
        </w:rPr>
        <w:footnoteReference w:id="67"/>
      </w:r>
      <w:r>
        <w:t>.  Этот Закон регулирует не только рассмотрение вопросов правового статуса беженцев, но также и их фактический статус.</w:t>
      </w:r>
    </w:p>
    <w:p w:rsidR="00000000" w:rsidRDefault="00000000"/>
    <w:p w:rsidR="00000000" w:rsidRDefault="00000000">
      <w:r>
        <w:t>117.</w:t>
      </w:r>
      <w:r>
        <w:tab/>
        <w:t>В отчетный период правовой статус лиц, которым был предоставлен статус беженцев ("беженцев"), основывался на Законе о беженцах.  Беженцам гарантировался тот же статус, что и гражданам Чешской Республики, за исключением того, что они не имели права голоса, не подлежали призыву на воинскую службу и могли приобретать недвижимость и выполнять оплачиваемую работу только на условиях, предусмотренных особыми положениями для иностранцев.  Вместе с тем подобно иностранцам, имеющим постоянный вид на жительство, они в соответствии с Законом о занятиях имели равные права с гражданами Чешской Республики в отношении работы.  Им не требовалось иметь разрешение на работу.</w:t>
      </w:r>
    </w:p>
    <w:p w:rsidR="00000000" w:rsidRDefault="00000000"/>
    <w:p w:rsidR="00000000" w:rsidRDefault="00000000">
      <w:r>
        <w:t>118.</w:t>
      </w:r>
      <w:r>
        <w:tab/>
        <w:t>Беженцы также рассматривались наравне с иностранцами, имеющими постоянный вид на жительство, в целях медицинского страхования и социального обеспечения, а также в целях приобретения и утраты гражданства Чешской Республики в соответствии с Законом о приобретении и утрате гражданства</w:t>
      </w:r>
      <w:r>
        <w:rPr>
          <w:rStyle w:val="FootnoteReference"/>
        </w:rPr>
        <w:footnoteReference w:id="68"/>
      </w:r>
      <w:r>
        <w:t>.  В отличие от других иностранцев, лица, имеющие статус беженца, не обязаны представлять документ об утрате их предыдущего гражданства;  они также могут, в виде исключения, освобождаться от требования, касающегося пятилетнего проживания до подачи заявления.</w:t>
      </w:r>
    </w:p>
    <w:p w:rsidR="00000000" w:rsidRDefault="00000000"/>
    <w:p w:rsidR="00000000" w:rsidRDefault="00000000">
      <w:r>
        <w:t>119.</w:t>
      </w:r>
      <w:r>
        <w:tab/>
        <w:t xml:space="preserve">До 31 декабря 1999 года Закон о беженцах также регулировал статус лиц, обращающихся за предоставлением убежища.  В отчетный период лица, подающие заявления о предоставлении им статуса беженца, во время рассмотрения их заявлений должны были находиться в выделенном для них лагере для беженцев.  Исключения могли предоставляться только руководством лагеря для беженцев с согласия соответствующего административного органа.  Заявители имели право на жилье, бесплатное питание, карманные деньги и на бесплатную первичную медико-санитарную помощь.  Если </w:t>
      </w:r>
    </w:p>
    <w:p w:rsidR="00000000" w:rsidRDefault="00000000">
      <w:r>
        <w:br w:type="page"/>
        <w:t>заявителям предоставлялось исключение и они проживали в частных домах, то лицо, у которого они квартировали, должно было также гарантировать их материальное обеспечение.  В отчетный период в соответствии с пунктом 7 этого положения заявитель имел право на бесплатные услуги переводчика при рассмотрении его просьбы о предоставлении ему убежища и освобождался от всех расходов или сборов, связанных с административным производством по его делу.</w:t>
      </w:r>
    </w:p>
    <w:p w:rsidR="00000000" w:rsidRDefault="00000000"/>
    <w:p w:rsidR="00000000" w:rsidRDefault="00000000">
      <w:r>
        <w:t>120.</w:t>
      </w:r>
      <w:r>
        <w:tab/>
        <w:t>В декабре 1999 года был одобрен новый Закон о предоставлении убежища.  Новый Закон о предоставлении убежища</w:t>
      </w:r>
      <w:r>
        <w:rPr>
          <w:rStyle w:val="FootnoteReference"/>
        </w:rPr>
        <w:footnoteReference w:id="69"/>
      </w:r>
      <w:r>
        <w:t>, который вступил в силу 1 января 2000 года, полностью соответствует действующим международным положениям, касающимся беженцев и защиты прав человека.</w:t>
      </w:r>
    </w:p>
    <w:p w:rsidR="00000000" w:rsidRDefault="00000000"/>
    <w:p w:rsidR="00000000" w:rsidRDefault="00000000">
      <w:pPr>
        <w:pStyle w:val="Heading2"/>
        <w:rPr>
          <w:b/>
          <w:bCs/>
          <w:u w:val="none"/>
        </w:rPr>
      </w:pPr>
      <w:r>
        <w:rPr>
          <w:b/>
          <w:bCs/>
          <w:u w:val="none"/>
        </w:rPr>
        <w:t>Статус словацких граждан - бывших граждан ЧСФР</w:t>
      </w:r>
    </w:p>
    <w:p w:rsidR="00000000" w:rsidRDefault="00000000">
      <w:pPr>
        <w:pStyle w:val="Heading2"/>
      </w:pPr>
    </w:p>
    <w:p w:rsidR="00000000" w:rsidRDefault="00000000">
      <w:r>
        <w:t>121.</w:t>
      </w:r>
      <w:r>
        <w:tab/>
        <w:t>В 1993-1999 годах в стране проживала специальная категория иностранцев, бывших граждан ЧСФР, которые с 1 января 1993 года стали гражданами Словацкой Республики, хотя имели постоянное место жительства или постоянно проживали в Чешской Республике.  Первоначально Закон о приобретении и утрате гражданства касался приобретения гражданства государства-правопреемника - Чешской Республики - без учета желания лиц, которые были гражданами ЧСФР и имели постоянное место жительства в Чешской Республике</w:t>
      </w:r>
      <w:r>
        <w:rPr>
          <w:rStyle w:val="FootnoteReference"/>
        </w:rPr>
        <w:footnoteReference w:id="70"/>
      </w:r>
      <w:r>
        <w:t>.</w:t>
      </w:r>
    </w:p>
    <w:p w:rsidR="00000000" w:rsidRDefault="00000000"/>
    <w:p w:rsidR="00000000" w:rsidRDefault="00000000">
      <w:r>
        <w:t>122.</w:t>
      </w:r>
      <w:r>
        <w:tab/>
        <w:t>Многие из этих бывших граждан ЧСФР не могли по различным причинам соблюсти сроки выбора гражданства Чешской Республики, который был установлен до 30 июня 1994 года на условиях, предусмотренных статьей 18 этого закона.  Согласно условиям, предусмотренным в пункте 1 с) статьи 7 этого закона, такой выбор мог делаться только тем лицом, которое не было осуждено с правовыми последствиями за умышленное преступление в течение предыдущих пяти лет.  Такие же условия (за исключением продолжительности требуемого проживания в Чешской Республике, которая была продлена после окончания срока для выбора гражданства с двух до пяти лет) применялись в случае предоставления гражданства на основе соответствующего заявления.  Процесс соблюдения условий для подачи заявления о гражданстве был сам по себе обременительным с финансовой и административной точек зрения.  Для многих заявителей с низким уровнем образования, особенно для многих рома, этот процесс был сопряжен с серьезными препятствиями.</w:t>
      </w:r>
    </w:p>
    <w:p w:rsidR="00000000" w:rsidRDefault="00000000"/>
    <w:p w:rsidR="00000000" w:rsidRDefault="00000000">
      <w:r>
        <w:t>123.</w:t>
      </w:r>
      <w:r>
        <w:tab/>
        <w:t>В результате критики вышеуказанного закона со стороны международных и неправительственных организаций, наблюдающих за осуществлением прав человека в Чешской Республике, Закон был постепенно дополнен</w:t>
      </w:r>
      <w:r>
        <w:rPr>
          <w:rStyle w:val="FootnoteReference"/>
        </w:rPr>
        <w:footnoteReference w:id="71"/>
      </w:r>
      <w:r>
        <w:t>.  Эта проблема не была полностью решена до принятия поправки к Закону о приобретении и утрате гражданства, которая вступила в силу 2 сентября 1999 года</w:t>
      </w:r>
      <w:r>
        <w:rPr>
          <w:rStyle w:val="FootnoteReference"/>
        </w:rPr>
        <w:footnoteReference w:id="72"/>
      </w:r>
      <w:r>
        <w:t>.  Эта поправка значительно упрощает процедуру приобретения гражданства для некоторых граждан Словацкой Республики.  Согласно статье 18 Закона, физическое лицо, которое было гражданином ЧСФР по состоянию на 31 декабря 1992 года и которое имело зарегистрированное или существующее фактическое местожительство в Чешской Республике, могло приобрести гражданство Чешской Республики путем подачи простого заявления.  Такое лицо не обязано представлять документ с отказом от предыдущего гражданства и, тем самым, может иметь двойное гражданство (чешское и словацкое).  Это лицо также не обязано представлять выписку из уголовного досье.  Оно приобретает гражданство Чешской Республики с даты выдачи удостоверения о гражданстве.</w:t>
      </w:r>
    </w:p>
    <w:p w:rsidR="00000000" w:rsidRDefault="00000000"/>
    <w:p w:rsidR="00000000" w:rsidRDefault="00000000">
      <w:r>
        <w:t>124.</w:t>
      </w:r>
      <w:r>
        <w:tab/>
        <w:t>Поправка к вышеуказанному закону также подтверждает гражданство тех чешских граждан, которые в течение периода, предусмотренного Законом о словацком гражданстве</w:t>
      </w:r>
      <w:r>
        <w:rPr>
          <w:rStyle w:val="FootnoteReference"/>
        </w:rPr>
        <w:footnoteReference w:id="73"/>
      </w:r>
      <w:r>
        <w:t xml:space="preserve">, выбрали гражданство Словацкой Республики.  Таким образом, закон подтверждает прежнюю позицию Конституционного суда, состоящую в том, что лицо, которое было чешским гражданином по состоянию на 1 января 1993 года и которое выбрало словацкое гражданство после разделения государства, не теряет чешского </w:t>
      </w:r>
    </w:p>
    <w:p w:rsidR="00000000" w:rsidRDefault="00000000">
      <w:r>
        <w:br w:type="page"/>
        <w:t>гражданства в результате такого выбора.  Поскольку правительство Словакии выразило желание в соответствии со словацким законом возобновить словацкое гражданство для тех бывших словацких граждан, которые отказались от своего гражданства во время роспуска федерации в связи с приобретением чешского гражданства, возможность приобретения двойного словацкого и чешского гражданства получили также примерно 300 000 чешских граждан, постоянно проживающих в Чешской Республике, которые во время существования ЧСФР были словацкими гражданами (зачастую лишь формально).  Эти граждане, если им предоставляется гражданство Словацкой Республики, не теряют гражданства Чешской Республики.  Подобным же образом чешские граждане, проживающие в Словакии (т.е. 4 000 </w:t>
      </w:r>
      <w:r>
        <w:noBreakHyphen/>
        <w:t> 5 000 человек), не утратят гражданства Чешской Республики, если они получат словацкое гражданство.  Небольшая поправка </w:t>
      </w:r>
      <w:r>
        <w:noBreakHyphen/>
        <w:t xml:space="preserve"> возможность делать исключение в отношении представления документа, удостоверяющего отказ от первоначального гражданства для тех лиц, которые прожили в Чешской Республике более 20 лет, - распространяется, в частности, на польских и болгарских граждан.</w:t>
      </w:r>
    </w:p>
    <w:p w:rsidR="00000000" w:rsidRDefault="00000000">
      <w:pPr>
        <w:spacing w:line="240" w:lineRule="auto"/>
      </w:pPr>
    </w:p>
    <w:p w:rsidR="00000000" w:rsidRDefault="00000000">
      <w:pPr>
        <w:pStyle w:val="10"/>
        <w:spacing w:line="240" w:lineRule="auto"/>
        <w:rPr>
          <w:bCs/>
        </w:rPr>
      </w:pPr>
      <w:r>
        <w:rPr>
          <w:bCs/>
        </w:rPr>
        <w:t>Статья 3</w:t>
      </w:r>
    </w:p>
    <w:p w:rsidR="00000000" w:rsidRDefault="00000000">
      <w:pPr>
        <w:spacing w:line="240" w:lineRule="auto"/>
        <w:jc w:val="center"/>
        <w:rPr>
          <w:b/>
          <w:bCs/>
          <w:u w:val="single"/>
        </w:rPr>
      </w:pPr>
    </w:p>
    <w:p w:rsidR="00000000" w:rsidRDefault="00000000">
      <w:r>
        <w:t>125.</w:t>
      </w:r>
      <w:r>
        <w:tab/>
        <w:t>Принцип равенства мужчин и женщин провозглашается в Конституции Чешской Республики и в Хартии основных прав и свобод.  Пункт 1 статьи 3 Хартии гласит, что "каждому гарантируются его основные права и свободы независимо от пола".  Этот принцип также содержится в положениях Гражданского кодекса</w:t>
      </w:r>
      <w:r>
        <w:rPr>
          <w:b/>
          <w:bCs/>
          <w:vertAlign w:val="superscript"/>
        </w:rPr>
        <w:t>23</w:t>
      </w:r>
      <w:r>
        <w:t xml:space="preserve"> и Гражданско-процессуального кодекса</w:t>
      </w:r>
      <w:r>
        <w:rPr>
          <w:b/>
          <w:bCs/>
          <w:vertAlign w:val="superscript"/>
        </w:rPr>
        <w:t>20</w:t>
      </w:r>
      <w:r>
        <w:t>, Уголовного кодекса</w:t>
      </w:r>
      <w:r>
        <w:rPr>
          <w:b/>
          <w:bCs/>
          <w:vertAlign w:val="superscript"/>
        </w:rPr>
        <w:t>17</w:t>
      </w:r>
      <w:r>
        <w:t xml:space="preserve"> и Уголовно-процессуального кодекса</w:t>
      </w:r>
      <w:r>
        <w:rPr>
          <w:b/>
          <w:bCs/>
          <w:vertAlign w:val="superscript"/>
        </w:rPr>
        <w:t>19</w:t>
      </w:r>
      <w:r>
        <w:t>, Административно-процессуального кодекса</w:t>
      </w:r>
      <w:r>
        <w:rPr>
          <w:b/>
          <w:bCs/>
          <w:vertAlign w:val="superscript"/>
        </w:rPr>
        <w:t>23</w:t>
      </w:r>
      <w:r>
        <w:t>, Трудового кодекса и Закона о занятости</w:t>
      </w:r>
      <w:r>
        <w:rPr>
          <w:rStyle w:val="FootnoteReference"/>
        </w:rPr>
        <w:footnoteReference w:id="74"/>
      </w:r>
      <w:r>
        <w:t>, Закона о государственной поддержке социального обеспечения</w:t>
      </w:r>
      <w:r>
        <w:rPr>
          <w:rStyle w:val="FootnoteReference"/>
        </w:rPr>
        <w:footnoteReference w:id="75"/>
      </w:r>
      <w:r>
        <w:t>, Закона о семье</w:t>
      </w:r>
      <w:r>
        <w:rPr>
          <w:rStyle w:val="FootnoteReference"/>
        </w:rPr>
        <w:footnoteReference w:id="76"/>
      </w:r>
      <w:r>
        <w:t xml:space="preserve"> и т.д.</w:t>
      </w:r>
    </w:p>
    <w:p w:rsidR="00000000" w:rsidRDefault="00000000"/>
    <w:p w:rsidR="00000000" w:rsidRDefault="00000000">
      <w:r>
        <w:t>126.</w:t>
      </w:r>
      <w:r>
        <w:tab/>
        <w:t>Хартия и прочие законы защищают индивидуальные права мужчин и женщин и официально обеспечивают, что лица обоих полов могут в равной степени пользоваться правами, гарантированными Пактом.  Таким образом, в большинстве правовых положений права и обязанности определяются в нейтральных выражениях, без указания пола.  Вместе с тем статья 29 Хартии гласит:  "Женщины, подростки и лица со слабым здоровьем имеют право на повышенную охрану их здоровья по месту работы и на специальные условия труда".</w:t>
      </w:r>
    </w:p>
    <w:p w:rsidR="00000000" w:rsidRDefault="00000000"/>
    <w:p w:rsidR="00000000" w:rsidRDefault="00000000">
      <w:r>
        <w:t>127.</w:t>
      </w:r>
      <w:r>
        <w:tab/>
        <w:t>К индивидуальным правам, защищаемым Пактом, относятся следующие:</w:t>
      </w:r>
    </w:p>
    <w:p w:rsidR="00000000" w:rsidRDefault="00000000"/>
    <w:p w:rsidR="00000000" w:rsidRDefault="00000000">
      <w:r>
        <w:tab/>
        <w:t>а)</w:t>
      </w:r>
      <w:r>
        <w:tab/>
        <w:t>право на труд, образование и профессиональную подготовку (см. статью 6 Пакта);</w:t>
      </w:r>
    </w:p>
    <w:p w:rsidR="00000000" w:rsidRDefault="00000000"/>
    <w:p w:rsidR="00000000" w:rsidRDefault="00000000">
      <w:r>
        <w:tab/>
      </w:r>
      <w:r>
        <w:rPr>
          <w:lang w:val="en-US"/>
        </w:rPr>
        <w:t>b</w:t>
      </w:r>
      <w:r>
        <w:t>)</w:t>
      </w:r>
      <w:r>
        <w:tab/>
        <w:t>право на справедливые и благоприятные условия труда, охрану труда, продвижение по службе и на отдых (см. статью 7 Пакта);</w:t>
      </w:r>
    </w:p>
    <w:p w:rsidR="00000000" w:rsidRDefault="00000000"/>
    <w:p w:rsidR="00000000" w:rsidRDefault="00000000">
      <w:r>
        <w:tab/>
        <w:t>с)</w:t>
      </w:r>
      <w:r>
        <w:tab/>
        <w:t>право создавать профессиональные союзы (см. статью 8 Пакта);</w:t>
      </w:r>
    </w:p>
    <w:p w:rsidR="00000000" w:rsidRDefault="00000000"/>
    <w:p w:rsidR="00000000" w:rsidRDefault="00000000">
      <w:r>
        <w:tab/>
      </w:r>
      <w:r>
        <w:rPr>
          <w:lang w:val="en-US"/>
        </w:rPr>
        <w:t>d</w:t>
      </w:r>
      <w:r>
        <w:t>)</w:t>
      </w:r>
      <w:r>
        <w:tab/>
        <w:t>право на социальное обеспечение (см. статью 9 Пакта);</w:t>
      </w:r>
    </w:p>
    <w:p w:rsidR="00000000" w:rsidRDefault="00000000"/>
    <w:p w:rsidR="00000000" w:rsidRDefault="00000000">
      <w:r>
        <w:tab/>
        <w:t>е)</w:t>
      </w:r>
      <w:r>
        <w:tab/>
        <w:t>право на достаточный жизненный уровень для гражданина и его семьи (см. статью 11 Пакта);</w:t>
      </w:r>
    </w:p>
    <w:p w:rsidR="00000000" w:rsidRDefault="00000000"/>
    <w:p w:rsidR="00000000" w:rsidRDefault="00000000">
      <w:r>
        <w:tab/>
      </w:r>
      <w:r>
        <w:rPr>
          <w:lang w:val="en-US"/>
        </w:rPr>
        <w:t>f</w:t>
      </w:r>
      <w:r>
        <w:t>)</w:t>
      </w:r>
      <w:r>
        <w:tab/>
        <w:t>право на наивысший достижимый уровень физического и психического здоровья (см. статью 12 Пакта);</w:t>
      </w:r>
    </w:p>
    <w:p w:rsidR="00000000" w:rsidRDefault="00000000"/>
    <w:p w:rsidR="00000000" w:rsidRDefault="00000000">
      <w:r>
        <w:tab/>
      </w:r>
      <w:r>
        <w:rPr>
          <w:lang w:val="en-US"/>
        </w:rPr>
        <w:t>g</w:t>
      </w:r>
      <w:r>
        <w:t>)</w:t>
      </w:r>
      <w:r>
        <w:tab/>
        <w:t>право на образование (см. статью 13 Пакта).</w:t>
      </w:r>
    </w:p>
    <w:p w:rsidR="00000000" w:rsidRDefault="00000000"/>
    <w:p w:rsidR="00000000" w:rsidRDefault="00000000">
      <w:r>
        <w:t>128.</w:t>
      </w:r>
      <w:r>
        <w:tab/>
        <w:t>Ниже кратко излагаются отдельные права и их обеспечение с учетом гендерного фактора (более подробная информация, включая цитаты из законов, содержится в текстах, относящихся к соответствующим статьям Пакта).</w:t>
      </w:r>
    </w:p>
    <w:p w:rsidR="00000000" w:rsidRDefault="00000000"/>
    <w:p w:rsidR="00000000" w:rsidRDefault="00000000">
      <w:r>
        <w:t>129.</w:t>
      </w:r>
      <w:r>
        <w:tab/>
        <w:t>Право на труд сформулировано в нейтральных выражениях, и никто не может подвергаться дискриминации по признаку пола при получении и выполнении работы.  Право на профессионально-техническую подготовку также сформулировано в нейтральных выражениях.  Труд женщин не разрешается использовать на некоторых видах работ по причинам охраны здоровья;  в частности, к таким видам работ относятся подземные работы и работы, которые могут ставить под угрозу их материнскую функцию.</w:t>
      </w:r>
    </w:p>
    <w:p w:rsidR="00000000" w:rsidRDefault="00000000"/>
    <w:p w:rsidR="00000000" w:rsidRDefault="00000000">
      <w:r>
        <w:t>130.</w:t>
      </w:r>
      <w:r>
        <w:tab/>
        <w:t>Доля работающих женщин традиционно является высокой:  более 90% женщин трудоспособного возраста работают или ищут работу.  Женщины составляют примерно 45% общей рабочей силы в национальной экономике.  Число женщин, ищущих работу через бюро по трудоустройству, превышает 50%.</w:t>
      </w:r>
    </w:p>
    <w:p w:rsidR="00000000" w:rsidRDefault="00000000"/>
    <w:p w:rsidR="00000000" w:rsidRDefault="00000000">
      <w:r>
        <w:br w:type="page"/>
        <w:t>131.</w:t>
      </w:r>
      <w:r>
        <w:tab/>
        <w:t>Право на справедливые и благоприятные условия труда и охрану труда</w:t>
      </w:r>
      <w:r>
        <w:rPr>
          <w:b/>
          <w:bCs/>
        </w:rPr>
        <w:t xml:space="preserve"> </w:t>
      </w:r>
      <w:r>
        <w:t>также сформулировано в нейтральных выражениях.  Кроме того, право на благоприятные условия труда также включает требование об особой защите женщин, особенно беременных и кормящих женщин и матерей с малолетними детьми.  Это требование позволяет делать различные исключения для женщин (например, предоставлять им отпуск по беременности и родам, дополнительный отпуск по беременности и родам), а также обязывает работодателей относиться к женщинам по-иному, чем к мужчинам (например, во время беременности переводить их на иную работу или же направлять их в командировки лишь с их согласия), или воздерживаться от некоторых действий по отношению к ним (например, не увольнять их с работы во время беременности).  Нынешняя правовая основа содержит некоторые элементы неравенства между работниками мужского и женского пола, которые не обоснованы с точки зрения принципа равного обращения (например, льготы на уход за малолетними детьми, для получения которых мужчина должен быть родителем-одиночкой).  Неоправданным является и тот факт, что так называемый дополнительный отпуск по уходу за детьми (или родительский отпуск до достижения ребенком трехлетнего возраста) в основном предоставляется матери и лишь в исключительных случаях отцу.  В связи с этим поправка к Трудовому кодексу предусматривает принцип равного режима для мужчин и женщин в трудовых отношениях, с тем чтобы он соответствовал закону Европейского сообщества.</w:t>
      </w:r>
    </w:p>
    <w:p w:rsidR="00000000" w:rsidRDefault="00000000"/>
    <w:p w:rsidR="00000000" w:rsidRDefault="00000000">
      <w:r>
        <w:t>132.</w:t>
      </w:r>
      <w:r>
        <w:tab/>
        <w:t>Безопасность и гигиена на рабочих местах для беременных женщин и матерей обеспечиваются на относительно высоком европейском уровне:  такие институты, как отпуск по беременности и родам, перевод на другую работу, возможность отказываться от ночных работ, защита от увольнения во время беременности и уход за малолетними детьми, глубоко укоренились и соблюдаются работодателями.  Право на продвижение по службе</w:t>
      </w:r>
      <w:r>
        <w:rPr>
          <w:b/>
          <w:bCs/>
        </w:rPr>
        <w:t xml:space="preserve"> </w:t>
      </w:r>
      <w:r>
        <w:t>и право на отдых также сформулированы в нейтральных выражениях с гендерной точки зрения.</w:t>
      </w:r>
    </w:p>
    <w:p w:rsidR="00000000" w:rsidRDefault="00000000">
      <w:pPr>
        <w:pStyle w:val="FootnoteText"/>
        <w:spacing w:line="288" w:lineRule="auto"/>
      </w:pPr>
    </w:p>
    <w:p w:rsidR="00000000" w:rsidRDefault="00000000">
      <w:r>
        <w:t>133.</w:t>
      </w:r>
      <w:r>
        <w:tab/>
        <w:t>Право создавать профессиональные союзы сформулировано в нейтральных выражениях.  По сравнению с мужчинами большее число женщин является членами профессиональных союзов.</w:t>
      </w:r>
    </w:p>
    <w:p w:rsidR="00000000" w:rsidRDefault="00000000"/>
    <w:p w:rsidR="00000000" w:rsidRDefault="00000000">
      <w:r>
        <w:t>134.</w:t>
      </w:r>
      <w:r>
        <w:tab/>
        <w:t>Право на социальное обеспечение в равной мере распространяется на женщин и мужчин.  Правовые положения не содержат никаких элементов неравенства, за исключением требований о различном возрасте для выхода на пенсию (более низкий возраст для женщин, зависящий от числа воспитываемых детей).  Однако это различие также постепенно устраняется;  новый Закон о пенсионном страховании, принятый в 1995 году, сократил это различие на два года по сравнению с предыдущим законом.</w:t>
      </w:r>
    </w:p>
    <w:p w:rsidR="00000000" w:rsidRDefault="00000000"/>
    <w:p w:rsidR="00000000" w:rsidRDefault="00000000">
      <w:r>
        <w:t>135.</w:t>
      </w:r>
      <w:r>
        <w:tab/>
        <w:t>Право на достаточный жизненный уровень для граждан и их семей и право на наивысший достижимый уровень физического и психического здоровья также сформулированы в нейтральных выражениях.  Условия предоставления социальных пособий (государственная поддержка, социальное обеспечение и попечение, пособия по безработице) не дифференцируются по гендерному признаку;  условия медицинского обслуживания также не дифференцируются.</w:t>
      </w:r>
    </w:p>
    <w:p w:rsidR="00000000" w:rsidRDefault="00000000"/>
    <w:p w:rsidR="00000000" w:rsidRDefault="00000000">
      <w:r>
        <w:t>136.</w:t>
      </w:r>
      <w:r>
        <w:tab/>
        <w:t>Право на образование.  Хотя оно сформулировано в нейтральных выражениях, все же существуют отдельные области образования, к которым девочки фактически не имеют доступа или, напротив, которые преимущественно предусмотрены для девочек.  Комитет по ликвидации дискриминации в отношении женщин</w:t>
      </w:r>
      <w:r>
        <w:rPr>
          <w:rStyle w:val="FootnoteReference"/>
        </w:rPr>
        <w:footnoteReference w:id="77"/>
      </w:r>
      <w:r>
        <w:t xml:space="preserve"> подверг критике этот факт при обсуждении первоначального доклада о выполнении обязательств, вытекающих из Конвенции о ликвидации всех форм дискриминации в отношении женщин.  Он также подверг критике тот факт, что правительство не ориентирует девочек на выбор технических профессий.  В настоящее время изучается обоснованность недопущения девочек к соответствующим видам образования и готовятся изменения в дополнении к постановлению министерства образования, по делам молодежи и спорта о средних школах</w:t>
      </w:r>
      <w:r>
        <w:rPr>
          <w:rStyle w:val="FootnoteReference"/>
        </w:rPr>
        <w:footnoteReference w:id="78"/>
      </w:r>
      <w:r>
        <w:t>, в котором перечислены области, вызывающие проблемы.  В законодательство будут внесены такие изменения, которые не будут противоречить Директиве № 76/207/ЕЕС Совета ЕЭС.  Эта директива предусматривает, что государства-члены могут делать исключения из принципа равноправия мужчин и женщин в отношении такой работы, включая профессионально-техническую подготовку, для которой решающим моментом является гендерный фактор.</w:t>
      </w:r>
    </w:p>
    <w:p w:rsidR="00000000" w:rsidRDefault="00000000"/>
    <w:p w:rsidR="00000000" w:rsidRDefault="00000000">
      <w:r>
        <w:t>137.</w:t>
      </w:r>
      <w:r>
        <w:tab/>
        <w:t>Женщинам, желающим служить в вооруженных силах, приходится сталкиваться с трудностями для получения соответствующего образования.  Практика приема девушек в военные училища и их последующего направления в вооруженные силы противоречит статье 10 Конвенции о ликвидации всех форм дискриминации в отношении женщин.  В соответствии со статьями 3 и 6 Пакта участвующие в Пакте государства обязуются принять меры, обеспечивающие равные условия для выбора работы и занятий, а также равный доступ к образованию для получения профессионально-технической подготовки и знаний любого рода.  В целом в армии Чешской Республики нет таких профессий, которыми женщины не могли бы заниматься, но некоторые профессии (например, профессия летчика) менее подходит для женщин ввиду их физических особенностей, и женщины, подающие заявления о приеме в военные училища, предупреждаются об этом факте.  Прием женщин в средние и высшие военные учебные заведения определяется потребностями армии в заполнении должностей, которые армия гарантирует девушкам после принятия их на учебу.  Министерство обороны стремится провести потребности и интересы военной организации в соответствие с растущим интересом девушек к нетрадиционным военным профессиям.  В 1999/2000 учебном году министерство обороны начало проводить частичные изменения, приступив к отмене квот на принятие девушек в военные училища.</w:t>
      </w:r>
    </w:p>
    <w:p w:rsidR="00000000" w:rsidRDefault="00000000"/>
    <w:p w:rsidR="00000000" w:rsidRDefault="00000000">
      <w:r>
        <w:t>138.</w:t>
      </w:r>
      <w:r>
        <w:tab/>
        <w:t>Равенство мужчин и женщин в вопросах брака и семьи отражено в Законе о семье.  В 1998 году в него была внесена важная поправка</w:t>
      </w:r>
      <w:r>
        <w:rPr>
          <w:rStyle w:val="FootnoteReference"/>
        </w:rPr>
        <w:footnoteReference w:id="79"/>
      </w:r>
      <w:r>
        <w:t>.  Более подробную информацию о Законе о семье см. в тексте, касающемся пункта 1 статьи 10 Пакта.</w:t>
      </w:r>
    </w:p>
    <w:p w:rsidR="00000000" w:rsidRDefault="00000000">
      <w:pPr>
        <w:pStyle w:val="FootnoteText"/>
        <w:spacing w:line="288" w:lineRule="auto"/>
      </w:pPr>
    </w:p>
    <w:p w:rsidR="00000000" w:rsidRDefault="00000000">
      <w:r>
        <w:t>139.</w:t>
      </w:r>
      <w:r>
        <w:tab/>
        <w:t>Поощрение прав мужчин и женщин на равный статус (равный режим).  Каждый независимо от пола имеет право обращаться в суд с жалобой по поводу нарушения принципа равенства.  Этот вопрос разбирался в гражданских судах в 1999 году.  Стремясь облегчить осуществление этого права, правительство в поправке к Гражданско-процессуальному кодексу</w:t>
      </w:r>
      <w:r>
        <w:rPr>
          <w:rStyle w:val="FootnoteReference"/>
        </w:rPr>
        <w:footnoteReference w:id="80"/>
      </w:r>
      <w:r>
        <w:t xml:space="preserve"> предложило переложить время доказательства с истца на обвиняемого.  Проект статьи 133а) поправки гласит следующее</w:t>
      </w:r>
      <w:r>
        <w:rPr>
          <w:rStyle w:val="FootnoteReference"/>
        </w:rPr>
        <w:footnoteReference w:id="81"/>
      </w:r>
      <w:r>
        <w:t>:  "В вопросах трудовых отношений суд признает доказанным тот факт, что сторона непосредственно или косвенно дискриминируется по признаку пола, если в ходе разбирательства не было доказано противное".</w:t>
      </w:r>
    </w:p>
    <w:p w:rsidR="00000000" w:rsidRDefault="00000000"/>
    <w:p w:rsidR="00000000" w:rsidRDefault="00000000">
      <w:r>
        <w:t>140.</w:t>
      </w:r>
      <w:r>
        <w:tab/>
        <w:t>За соблюдением принципа равенства мужчин и женщин в сфере трудовых отношений наблюдают органы трудовой инспекции (управления по вопросам труда и министерство труда и социальных дел), которые налагают административные штрафы на работодателей, если они признаются виновными в нарушениях.  Механизмы, защищающие отдельных граждан от дискриминации по признаку пола, должны быть значительно укреплены в результате присоединения Чешской Республики к Факультативному протоколу к Конвенции о ликвидации всех форм дискриминации в отношении женщин, который предусматривает институт подачи индивидуальных жалоб на нарушение прав.  Протокол содержит положения, позволяющие отдельным лицам представлять Комитету по ликвидации дискриминации в отношении женщин жалобы на нарушение прав, гарантируемых Конвенцией.  Правительство одобрило предложение о ратификации Факультативного протокола в ноябре 1999 года</w:t>
      </w:r>
      <w:r>
        <w:rPr>
          <w:rStyle w:val="FootnoteReference"/>
        </w:rPr>
        <w:footnoteReference w:id="82"/>
      </w:r>
      <w:r>
        <w:t xml:space="preserve"> и представило его на утверждение парламента.</w:t>
      </w:r>
    </w:p>
    <w:p w:rsidR="00000000" w:rsidRDefault="00000000"/>
    <w:p w:rsidR="00000000" w:rsidRDefault="00000000">
      <w:r>
        <w:t>141.</w:t>
      </w:r>
      <w:r>
        <w:tab/>
        <w:t>Конвенция о ликвидации всех форм дискриминации в отношении женщин (далее в тексте, касающемся статьи 3 Пакта, "Конвенция") была подписана от имени Чехословацкой Социалистической Республики в Копенгагене 17 июля 1980 года, вступила в силу для Чехословацкой Социалистической Республики 18 марта 1982 года</w:t>
      </w:r>
      <w:r>
        <w:rPr>
          <w:rStyle w:val="FootnoteReference"/>
        </w:rPr>
        <w:footnoteReference w:id="83"/>
      </w:r>
      <w:r>
        <w:t xml:space="preserve"> и стала частью законодательства Чешской Республики.  В соответствии с пунктом 1 статьи 18 Конвенции в 1994 году Чешская Республика представила Комитету о ликвидации дискриминации в отношении женщин</w:t>
      </w:r>
      <w:r>
        <w:rPr>
          <w:rStyle w:val="FootnoteReference"/>
        </w:rPr>
        <w:footnoteReference w:id="84"/>
      </w:r>
      <w:r>
        <w:t xml:space="preserve"> обширный первоначальный доклад об осуществлении положений Конвенции за 1993-1994 годы.  Подготовка Комитета к обсуждению этого доклада началась лишь в конце 1997 года.  В связи с этим в ходе обсуждения первоначального доклада в Комитете 30 января 1998 года Чешская Республика представила дополнительную информацию за 1994</w:t>
      </w:r>
      <w:r>
        <w:noBreakHyphen/>
        <w:t>1997 годы.</w:t>
      </w:r>
    </w:p>
    <w:p w:rsidR="00000000" w:rsidRDefault="00000000"/>
    <w:p w:rsidR="00000000" w:rsidRDefault="00000000">
      <w:r>
        <w:t>142.</w:t>
      </w:r>
      <w:r>
        <w:tab/>
        <w:t>В 1999 году Чешская Республика представила Комитету свой второй периодический доклад, в котором главным образом излагаются важнейшие изменения, имевшие место после подготовки первоначального доклада, т.е. за период с 1 января 1995 года до 30 июня 1999 года.  По сравнению с предыдущим докладом в нем описываются принятые правовые и иные меры, направленные на ликвидацию дискриминации в отношении женщин, существенные изменения в статусе и равноправии женщин, процедуры, ведущие к устранению остающихся препятствий на пути включения женщин в политическую, социальную, экономическую и культурную жизнь и к устранению проблем, на которые указал Комитет после обсуждения первоначального доклада Чешской Республики об осуществлении положений Конвенции.</w:t>
      </w:r>
    </w:p>
    <w:p w:rsidR="00000000" w:rsidRDefault="00000000"/>
    <w:p w:rsidR="00000000" w:rsidRDefault="00000000">
      <w:r>
        <w:t>143.</w:t>
      </w:r>
      <w:r>
        <w:tab/>
        <w:t>В докладе также делаются подробные ссылки на официальные внутренние документы, касающиеся равноправия мужчин и женщин, которые были одобрены правительством Чешской Республики.  К ним относятся следующие:</w:t>
      </w:r>
    </w:p>
    <w:p w:rsidR="00000000" w:rsidRDefault="00000000"/>
    <w:p w:rsidR="00000000" w:rsidRDefault="00000000">
      <w:r>
        <w:tab/>
        <w:t>а)</w:t>
      </w:r>
      <w:r>
        <w:tab/>
        <w:t>Правительственные приоритеты и процедуры поощрения равноправия между мужчинами и женщинами</w:t>
      </w:r>
      <w:r>
        <w:rPr>
          <w:rStyle w:val="FootnoteReference"/>
        </w:rPr>
        <w:footnoteReference w:id="85"/>
      </w:r>
      <w:r>
        <w:t xml:space="preserve"> ("Приоритеты"), подготовленные министерством труда и социальных дел и одобренные правительством.  В своем постановлении правительство поручило отдельным министрам принять и осуществить меры с целью реального обеспечения равноправия мужчин и женщин.  Документ разбит на отдельные области правительственных приоритетов, которые классифицируются по своей значимости.  Для достижения целей, изложенных в постановлении, правительство определило конкретные меры (процедуры), крайние сроки для их достижения и отвечающие за это ведомство.  Ежегодно правительство оценивает ход осуществления этих мер.  В зависимости от результатов оценки правительство добавляет новые меры или изменяет первоначальные меры.  Таким образом, содержание этого гласного документа может адаптироваться к возникающим проблемам.  Его подготовка, оценка и обновление обеспечиваются не только министерствами и государственными административными органами более низких уровней, непосредственно ответственными за обеспечение формального и фактического равноправия мужчин и женщин, но также заинтересованными кругами общественности, в частности неправительственными организациями женщин и социальными партнерами (т. е. профсоюзами и организациями работодателей).</w:t>
      </w:r>
    </w:p>
    <w:p w:rsidR="00000000" w:rsidRDefault="00000000"/>
    <w:p w:rsidR="00000000" w:rsidRDefault="00000000">
      <w:r>
        <w:tab/>
        <w:t>b)</w:t>
      </w:r>
      <w:r>
        <w:tab/>
        <w:t>Краткий доклад о ходе осуществления Приоритетов</w:t>
      </w:r>
      <w:r>
        <w:rPr>
          <w:rStyle w:val="FootnoteReference"/>
        </w:rPr>
        <w:footnoteReference w:id="86"/>
      </w:r>
      <w:r>
        <w:t>.  Оценка также включала предложения о новом формулировании первоначальных мер, предложения о новых мерах и предложения об отмене меры, которая уже была осуществлена.</w:t>
      </w:r>
    </w:p>
    <w:p w:rsidR="00000000" w:rsidRDefault="00000000"/>
    <w:p w:rsidR="00000000" w:rsidRDefault="00000000">
      <w:r>
        <w:t>144.</w:t>
      </w:r>
      <w:r>
        <w:tab/>
        <w:t>В апреле 1999 года Чешская Республика представила Генеральной Ассамблее Организации Объединенных Наций оценку выполнения им выводов Пекинской конференции.  Этот доклад был подготовлен министерством труда и социальных дел.</w:t>
      </w:r>
    </w:p>
    <w:p w:rsidR="00000000" w:rsidRDefault="00000000"/>
    <w:p w:rsidR="00000000" w:rsidRDefault="00000000">
      <w:r>
        <w:t>145.</w:t>
      </w:r>
      <w:r>
        <w:tab/>
        <w:t>Заключенное 4 октября 1993 года Европейское соглашение об ассоциации между Европейскими сообществами и их государствами-членами, с одной стороны, и Чешской Республикой, с другой стороны, обязывает Чешскую Республику последовательно адаптировать свои действующие и будущие правовые положения таким образом, чтобы они были приведены в соответствие с положениями Европейского союза.  Это также означает включение принципа равных прав мужчин и женщин во всех областях трудовых отношений и социального обеспечения.  В результате этого Чешская Республика обязалась официально обеспечить правовые условия для фактического применения принципа равной оплаты для мужчин и женщин и принципа равного режима для мужчин и женщин, прежде всего в сфере труда, в доступе к профессионально-техническому образованию, в свободных профессиях и в социальном обеспечении.</w:t>
      </w:r>
    </w:p>
    <w:p w:rsidR="00000000" w:rsidRDefault="00000000"/>
    <w:p w:rsidR="00000000" w:rsidRDefault="00000000">
      <w:r>
        <w:t>146.</w:t>
      </w:r>
      <w:r>
        <w:tab/>
        <w:t>Правительство принимает все меры с учетом принципа равных возможностей для мужчин и женщин, поскольку оно считает применение этого принципа эффективным методом достижения подлинного равноправия.  Необходимым условием для применения этого принципа является повышение информированности о равноправии мужчин и женщин.  Отдельные министры обязаны "включать в программы подготовки служащих административных органов вопросы образования в области прав человека, уделяя при этом внимание применению принципа равных возможностей для мужчин и женщин" (см. "Приоритеты").</w:t>
      </w:r>
    </w:p>
    <w:p w:rsidR="00000000" w:rsidRDefault="00000000"/>
    <w:p w:rsidR="00000000" w:rsidRDefault="00000000">
      <w:r>
        <w:t>147.</w:t>
      </w:r>
      <w:r>
        <w:tab/>
        <w:t>Помимо этого основополагающего документа, в мае 1999 года правительство одобрило новую политику в области занятости, так называемый Национальный план в области занятости</w:t>
      </w:r>
      <w:r>
        <w:rPr>
          <w:rStyle w:val="FootnoteReference"/>
        </w:rPr>
        <w:footnoteReference w:id="87"/>
      </w:r>
      <w:r>
        <w:t>.  В нем предусмотрены меры, направленные на создание равных возможностей для мужчин и женщин на рынке труда.  В ходе подготовки плана было проверено на практике, насколько отдельные рабочие места подготовлены к приоритетному обеспечению принципа равных возможностей по отношению к другим принципам.  Исходя из накопленного опыта и учитывая результаты этого метода, правительство поручило министрам обязать министерства на постоянной основе планировать, принимать решения и оценивать текущие процессы на всех стадиях их подготовки и осуществления с учетом принципа равных возможностей для мужчин и женщин.  Это является четким выражением приверженности правительства делу осуществления такой политики.</w:t>
      </w:r>
    </w:p>
    <w:p w:rsidR="00000000" w:rsidRDefault="00000000"/>
    <w:p w:rsidR="00000000" w:rsidRDefault="00000000">
      <w:r>
        <w:t>148.</w:t>
      </w:r>
      <w:r>
        <w:tab/>
        <w:t>В этой связи 1 октября 1999 года вступила в силу поправка к Закону о занятости</w:t>
      </w:r>
      <w:r>
        <w:rPr>
          <w:rStyle w:val="FootnoteReference"/>
        </w:rPr>
        <w:footnoteReference w:id="88"/>
      </w:r>
      <w:r>
        <w:t>.  В ноябре 1999 года министр труда и социальных дел представил поправки к другим важным законам, касающимся трудовых отношений.  Как ожидается, эти поправки вступят в силу в июле 2000 года.  Эти поправки касаются Трудового кодекса, Закона об окладах и вознаграждении за работу в режиме дежурства и о средней заработной плате</w:t>
      </w:r>
      <w:r>
        <w:rPr>
          <w:rStyle w:val="FootnoteReference"/>
        </w:rPr>
        <w:footnoteReference w:id="89"/>
      </w:r>
      <w:r>
        <w:t xml:space="preserve"> и Закона об окладах и вознаграждении за работу в режиме дежурства в бюджетных и некоторых других организациях и учреждениях</w:t>
      </w:r>
      <w:r>
        <w:rPr>
          <w:rStyle w:val="FootnoteReference"/>
        </w:rPr>
        <w:footnoteReference w:id="90"/>
      </w:r>
      <w:r>
        <w:t>.  Проект поправок содержит следующие изменения:</w:t>
      </w:r>
    </w:p>
    <w:p w:rsidR="00000000" w:rsidRDefault="00000000"/>
    <w:p w:rsidR="00000000" w:rsidRDefault="00000000">
      <w:r>
        <w:tab/>
        <w:t>а)</w:t>
      </w:r>
      <w:r>
        <w:tab/>
        <w:t xml:space="preserve">проект поправки к Трудовому кодексу:  устанавливается принцип равных прав для всех работников (в доступе к профессионально-техническому образованию, в продвижении по службе или в ином продвижении, в обеспечении условий труда, в заработной плате);  запрещается дискриминация по признаку пола, состояния в браке или семейного положения или семейных обязательств в трудовых отношениях, включая запрещение косвенной дискриминации;  запрещаются сексуальные домогательства;  запрещаются репрессалии (наказание, лишение преимущества) в отношении работников, которые на законных основаниях требуют принудительного признания их прав и льгот, вытекающих из трудовых отношений (т.е. включая право на равный режим для мужчин и женщин на работе);  регулируются жалобы работников в случае нарушения их прав и обязанностей, вытекающих из равного режима для мужчин и женщин или нежелательного поведения на рабочих местах;  вводятся так называемый родительский отпуск (изменяя существующий "дополнительный" отпуск по беременности и уходу за детьми), а также принцип равного режима для обоих полов и другие условия, применимые в отношении ухода работников за детьми;  вводится обязательство работодателя информировать работников о всех правовых положениях, касающихся защиты от неравного режима;  предусматривается обязательство работодателей информировать беременных, кормящих или родивших женщин об охране здоровья и гигиене на рабочих местах;  </w:t>
      </w:r>
    </w:p>
    <w:p w:rsidR="00000000" w:rsidRDefault="00000000"/>
    <w:p w:rsidR="00000000" w:rsidRDefault="00000000">
      <w:r>
        <w:tab/>
      </w:r>
      <w:r>
        <w:rPr>
          <w:lang w:val="en-US"/>
        </w:rPr>
        <w:t>b</w:t>
      </w:r>
      <w:r>
        <w:t>)</w:t>
      </w:r>
      <w:r>
        <w:tab/>
        <w:t>проект поправки к Закону об окладах и вознаграждении за работу в режиме дежурства и о средней заработной плате и проект поправки к Закону об окладах и вознаграждении за работу в режиме дежурства в бюджетных и некоторых других организациях и учреждениях:  вводится система каталогизации рабочих мест и их оценка для работодателей;  более четко формулируется принцип равной оплаты за равный труд независимо от пола, т.е. "равная оплата за равную работу и работу равной ценности".</w:t>
      </w:r>
    </w:p>
    <w:p w:rsidR="00000000" w:rsidRDefault="00000000"/>
    <w:p w:rsidR="00000000" w:rsidRDefault="00000000">
      <w:r>
        <w:br w:type="page"/>
        <w:t>149.</w:t>
      </w:r>
      <w:r>
        <w:tab/>
        <w:t>Наряду с вышеуказанными законами изменения также вносятся (посредством косвенной поправки, т.е. через поправку к Трудовому кодексу и другим законам) в Закон о служебных отношениях сотрудников полиции Чешской Республики</w:t>
      </w:r>
      <w:r>
        <w:rPr>
          <w:rStyle w:val="FootnoteReference"/>
        </w:rPr>
        <w:footnoteReference w:id="91"/>
      </w:r>
      <w:r>
        <w:t>, Закон о службе обеспечения информационной безопасности</w:t>
      </w:r>
      <w:r>
        <w:rPr>
          <w:rStyle w:val="FootnoteReference"/>
        </w:rPr>
        <w:footnoteReference w:id="92"/>
      </w:r>
      <w:r>
        <w:t xml:space="preserve"> и Закон о военнослужащих-профессионалах</w:t>
      </w:r>
      <w:r>
        <w:rPr>
          <w:rStyle w:val="FootnoteReference"/>
        </w:rPr>
        <w:footnoteReference w:id="93"/>
      </w:r>
      <w:r>
        <w:t>.  Принцип равенства мужчин и женщин также вводится в отдельные виды служебных отношений в такой же мере, как это предусмотрено в Трудовом кодексе (включая равный статус для служащих - мужчин и женщин, - ухаживающих за малолетними детьми).</w:t>
      </w:r>
    </w:p>
    <w:p w:rsidR="00000000" w:rsidRDefault="00000000"/>
    <w:p w:rsidR="00000000" w:rsidRDefault="00000000">
      <w:r>
        <w:t>150.</w:t>
      </w:r>
      <w:r>
        <w:tab/>
        <w:t>В статье 2 директивы № 76/207/ЕЕС ЕЭС относительно осуществления принципа равного режима для мужчин и женщин в области доступа к работе, профессионально-технической подготовки, продвижения по службе и условий труда указывается, что "настоящее постановление не ущемляет право государств-членов исключать из области ее применения те виды работы - и, где это применимо, надлежащей подготовки к такой работе, - для которых по причинам их характера или контекста, в котором они выполняются, пол работника представляет собой решающий фактор".  Постановление Министерства здравоохранения, разъясняющее Трудовой кодекс, также соответствует этому положению</w:t>
      </w:r>
      <w:r>
        <w:rPr>
          <w:rStyle w:val="FootnoteReference"/>
        </w:rPr>
        <w:footnoteReference w:id="94"/>
      </w:r>
      <w:r>
        <w:t>.  Широкие положения статей 1-3 этого постановления содержат определение таких видов работы и рабочих мест.</w:t>
      </w:r>
    </w:p>
    <w:p w:rsidR="00000000" w:rsidRDefault="00000000"/>
    <w:p w:rsidR="00000000" w:rsidRDefault="00000000">
      <w:r>
        <w:t>151.</w:t>
      </w:r>
      <w:r>
        <w:tab/>
        <w:t>Сохраняющиеся различия в оплате труда женщин и мужчин находятся тем самым в центре постоянного внимания правительства и центральных административных органов.  В этой связи в Чешской Республике заработная плата мужчин и женщин считается одним из важнейших классификационных критериев в статистических выборочных исследованиях о заработной плате работников.  Последнее такое исследование было проведено за 1996 и 1997 годы.</w:t>
      </w:r>
    </w:p>
    <w:p w:rsidR="00000000" w:rsidRDefault="00000000"/>
    <w:p w:rsidR="00000000" w:rsidRDefault="00000000">
      <w:r>
        <w:t>152.</w:t>
      </w:r>
      <w:r>
        <w:tab/>
        <w:t>Говоря о диспропорциях в заработной плате женщин, необходимо учитывать положение женщин на рынке труда.  Структура женских рабочих мест отличается от структуры мужских рабочих мест, и этот фактор серьезно влияет на среднюю заработную плату.  Другими важными факторами являются отрасли экономической деятельности и тип предпринимательства (сектор собственности), требования, предъявляемые к квалификации работников (образование, шкала заработной платы), и возраст применительно к рабочей карьере мужчин и женщин.  На среднюю зарплату также влияют многие конкретные факторы, особенно часы работы и описание должностных функций (выполняемая работа).  С учетом этого нельзя говорить о том, что различия в средней заработной плате мужчин и женщин служат явным признаком дискриминации по признаку пола.</w:t>
      </w:r>
    </w:p>
    <w:p w:rsidR="00000000" w:rsidRDefault="00000000"/>
    <w:p w:rsidR="00000000" w:rsidRDefault="00000000">
      <w:pPr>
        <w:pStyle w:val="Heading1"/>
        <w:jc w:val="center"/>
        <w:rPr>
          <w:bCs/>
        </w:rPr>
      </w:pPr>
      <w:r>
        <w:rPr>
          <w:bCs/>
        </w:rPr>
        <w:t>Средняя валовая месячная заработная плата работников</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2972"/>
        <w:gridCol w:w="1914"/>
        <w:gridCol w:w="1914"/>
        <w:gridCol w:w="1915"/>
      </w:tblGrid>
      <w:tr w:rsidR="00000000">
        <w:tblPrEx>
          <w:tblCellMar>
            <w:top w:w="0" w:type="dxa"/>
            <w:bottom w:w="0" w:type="dxa"/>
          </w:tblCellMar>
        </w:tblPrEx>
        <w:trPr>
          <w:trHeight w:val="420"/>
        </w:trPr>
        <w:tc>
          <w:tcPr>
            <w:tcW w:w="856" w:type="dxa"/>
            <w:tcBorders>
              <w:left w:val="single" w:sz="4" w:space="0" w:color="auto"/>
              <w:bottom w:val="single" w:sz="4" w:space="0" w:color="auto"/>
              <w:right w:val="single" w:sz="4" w:space="0" w:color="auto"/>
            </w:tcBorders>
            <w:vAlign w:val="center"/>
          </w:tcPr>
          <w:p w:rsidR="00000000" w:rsidRDefault="00000000">
            <w:pPr>
              <w:jc w:val="center"/>
            </w:pPr>
            <w:r>
              <w:t>Год</w:t>
            </w:r>
          </w:p>
        </w:tc>
        <w:tc>
          <w:tcPr>
            <w:tcW w:w="2972" w:type="dxa"/>
            <w:tcBorders>
              <w:left w:val="single" w:sz="4" w:space="0" w:color="auto"/>
              <w:bottom w:val="single" w:sz="4" w:space="0" w:color="auto"/>
              <w:right w:val="single" w:sz="4" w:space="0" w:color="auto"/>
            </w:tcBorders>
            <w:vAlign w:val="center"/>
          </w:tcPr>
          <w:p w:rsidR="00000000" w:rsidRDefault="00000000">
            <w:pPr>
              <w:jc w:val="center"/>
            </w:pPr>
            <w:r>
              <w:t>Работники, всего</w:t>
            </w:r>
          </w:p>
        </w:tc>
        <w:tc>
          <w:tcPr>
            <w:tcW w:w="1914" w:type="dxa"/>
            <w:tcBorders>
              <w:left w:val="single" w:sz="4" w:space="0" w:color="auto"/>
              <w:bottom w:val="single" w:sz="4" w:space="0" w:color="auto"/>
              <w:right w:val="single" w:sz="4" w:space="0" w:color="auto"/>
            </w:tcBorders>
            <w:vAlign w:val="center"/>
          </w:tcPr>
          <w:p w:rsidR="00000000" w:rsidRDefault="00000000">
            <w:pPr>
              <w:jc w:val="center"/>
            </w:pPr>
            <w:r>
              <w:t>Мужчины</w:t>
            </w:r>
          </w:p>
        </w:tc>
        <w:tc>
          <w:tcPr>
            <w:tcW w:w="1914" w:type="dxa"/>
            <w:tcBorders>
              <w:left w:val="single" w:sz="4" w:space="0" w:color="auto"/>
              <w:bottom w:val="single" w:sz="4" w:space="0" w:color="auto"/>
              <w:right w:val="single" w:sz="4" w:space="0" w:color="auto"/>
            </w:tcBorders>
            <w:vAlign w:val="center"/>
          </w:tcPr>
          <w:p w:rsidR="00000000" w:rsidRDefault="00000000">
            <w:pPr>
              <w:jc w:val="center"/>
            </w:pPr>
            <w:r>
              <w:t>Женщины</w:t>
            </w:r>
          </w:p>
        </w:tc>
        <w:tc>
          <w:tcPr>
            <w:tcW w:w="1915" w:type="dxa"/>
            <w:tcBorders>
              <w:left w:val="single" w:sz="4" w:space="0" w:color="auto"/>
              <w:bottom w:val="single" w:sz="4" w:space="0" w:color="auto"/>
              <w:right w:val="single" w:sz="4" w:space="0" w:color="auto"/>
            </w:tcBorders>
            <w:vAlign w:val="center"/>
          </w:tcPr>
          <w:p w:rsidR="00000000" w:rsidRDefault="00000000">
            <w:pPr>
              <w:jc w:val="center"/>
            </w:pPr>
            <w:r>
              <w:t>Соотношение</w:t>
            </w:r>
            <w:r>
              <w:rPr>
                <w:b/>
                <w:bCs/>
                <w:vertAlign w:val="superscript"/>
              </w:rPr>
              <w:t>а</w:t>
            </w:r>
          </w:p>
        </w:tc>
      </w:tr>
      <w:tr w:rsidR="00000000">
        <w:tblPrEx>
          <w:tblCellMar>
            <w:top w:w="0" w:type="dxa"/>
            <w:bottom w:w="0" w:type="dxa"/>
          </w:tblCellMar>
        </w:tblPrEx>
        <w:trPr>
          <w:cantSplit/>
          <w:trHeight w:val="420"/>
        </w:trPr>
        <w:tc>
          <w:tcPr>
            <w:tcW w:w="856" w:type="dxa"/>
            <w:tcBorders>
              <w:top w:val="single" w:sz="4" w:space="0" w:color="auto"/>
              <w:left w:val="single" w:sz="4" w:space="0" w:color="auto"/>
              <w:bottom w:val="nil"/>
              <w:right w:val="single" w:sz="4" w:space="0" w:color="auto"/>
            </w:tcBorders>
            <w:vAlign w:val="center"/>
          </w:tcPr>
          <w:p w:rsidR="00000000" w:rsidRDefault="00000000">
            <w:pPr>
              <w:pStyle w:val="FootnoteText"/>
              <w:jc w:val="center"/>
            </w:pPr>
            <w:r>
              <w:t>1996</w:t>
            </w:r>
          </w:p>
        </w:tc>
        <w:tc>
          <w:tcPr>
            <w:tcW w:w="2972" w:type="dxa"/>
            <w:tcBorders>
              <w:top w:val="single" w:sz="4" w:space="0" w:color="auto"/>
              <w:left w:val="single" w:sz="4" w:space="0" w:color="auto"/>
              <w:bottom w:val="nil"/>
              <w:right w:val="single" w:sz="4" w:space="0" w:color="auto"/>
            </w:tcBorders>
            <w:vAlign w:val="center"/>
          </w:tcPr>
          <w:p w:rsidR="00000000" w:rsidRDefault="00000000">
            <w:pPr>
              <w:pStyle w:val="16"/>
              <w:spacing w:line="240" w:lineRule="auto"/>
            </w:pPr>
            <w:r>
              <w:t>9 610</w:t>
            </w:r>
          </w:p>
        </w:tc>
        <w:tc>
          <w:tcPr>
            <w:tcW w:w="1914" w:type="dxa"/>
            <w:tcBorders>
              <w:top w:val="single" w:sz="4" w:space="0" w:color="auto"/>
              <w:left w:val="single" w:sz="4" w:space="0" w:color="auto"/>
              <w:bottom w:val="nil"/>
              <w:right w:val="single" w:sz="4" w:space="0" w:color="auto"/>
            </w:tcBorders>
            <w:vAlign w:val="center"/>
          </w:tcPr>
          <w:p w:rsidR="00000000" w:rsidRDefault="00000000">
            <w:pPr>
              <w:spacing w:line="240" w:lineRule="auto"/>
              <w:jc w:val="center"/>
            </w:pPr>
            <w:r>
              <w:t>10 874</w:t>
            </w:r>
          </w:p>
        </w:tc>
        <w:tc>
          <w:tcPr>
            <w:tcW w:w="1914" w:type="dxa"/>
            <w:tcBorders>
              <w:top w:val="single" w:sz="4" w:space="0" w:color="auto"/>
              <w:left w:val="single" w:sz="4" w:space="0" w:color="auto"/>
              <w:bottom w:val="nil"/>
              <w:right w:val="single" w:sz="4" w:space="0" w:color="auto"/>
            </w:tcBorders>
            <w:vAlign w:val="center"/>
          </w:tcPr>
          <w:p w:rsidR="00000000" w:rsidRDefault="00000000">
            <w:pPr>
              <w:spacing w:line="240" w:lineRule="auto"/>
              <w:jc w:val="center"/>
            </w:pPr>
            <w:r>
              <w:t>8 026</w:t>
            </w:r>
          </w:p>
        </w:tc>
        <w:tc>
          <w:tcPr>
            <w:tcW w:w="1915" w:type="dxa"/>
            <w:tcBorders>
              <w:top w:val="single" w:sz="4" w:space="0" w:color="auto"/>
              <w:left w:val="single" w:sz="4" w:space="0" w:color="auto"/>
              <w:bottom w:val="nil"/>
              <w:right w:val="single" w:sz="4" w:space="0" w:color="auto"/>
            </w:tcBorders>
            <w:vAlign w:val="center"/>
          </w:tcPr>
          <w:p w:rsidR="00000000" w:rsidRDefault="00000000">
            <w:pPr>
              <w:spacing w:line="240" w:lineRule="auto"/>
              <w:jc w:val="center"/>
            </w:pPr>
            <w:r>
              <w:t>73,8</w:t>
            </w:r>
          </w:p>
        </w:tc>
      </w:tr>
      <w:tr w:rsidR="00000000">
        <w:tblPrEx>
          <w:tblCellMar>
            <w:top w:w="0" w:type="dxa"/>
            <w:bottom w:w="0" w:type="dxa"/>
          </w:tblCellMar>
        </w:tblPrEx>
        <w:trPr>
          <w:cantSplit/>
          <w:trHeight w:val="420"/>
        </w:trPr>
        <w:tc>
          <w:tcPr>
            <w:tcW w:w="856" w:type="dxa"/>
            <w:tcBorders>
              <w:top w:val="nil"/>
              <w:left w:val="single" w:sz="4" w:space="0" w:color="auto"/>
              <w:bottom w:val="single" w:sz="4" w:space="0" w:color="auto"/>
              <w:right w:val="single" w:sz="4" w:space="0" w:color="auto"/>
            </w:tcBorders>
            <w:vAlign w:val="center"/>
          </w:tcPr>
          <w:p w:rsidR="00000000" w:rsidRDefault="00000000">
            <w:pPr>
              <w:spacing w:line="240" w:lineRule="auto"/>
              <w:jc w:val="center"/>
              <w:rPr>
                <w:lang w:val="en-US"/>
              </w:rPr>
            </w:pPr>
            <w:r>
              <w:rPr>
                <w:lang w:val="en-US"/>
              </w:rPr>
              <w:t>1997</w:t>
            </w:r>
          </w:p>
        </w:tc>
        <w:tc>
          <w:tcPr>
            <w:tcW w:w="2972" w:type="dxa"/>
            <w:tcBorders>
              <w:top w:val="nil"/>
              <w:left w:val="single" w:sz="4" w:space="0" w:color="auto"/>
              <w:bottom w:val="single" w:sz="4" w:space="0" w:color="auto"/>
              <w:right w:val="single" w:sz="4" w:space="0" w:color="auto"/>
            </w:tcBorders>
            <w:vAlign w:val="center"/>
          </w:tcPr>
          <w:p w:rsidR="00000000" w:rsidRDefault="00000000">
            <w:pPr>
              <w:spacing w:line="240" w:lineRule="auto"/>
              <w:jc w:val="center"/>
            </w:pPr>
            <w:r>
              <w:t>11 017</w:t>
            </w:r>
          </w:p>
        </w:tc>
        <w:tc>
          <w:tcPr>
            <w:tcW w:w="1914" w:type="dxa"/>
            <w:tcBorders>
              <w:top w:val="nil"/>
              <w:left w:val="single" w:sz="4" w:space="0" w:color="auto"/>
              <w:bottom w:val="single" w:sz="4" w:space="0" w:color="auto"/>
              <w:right w:val="single" w:sz="4" w:space="0" w:color="auto"/>
            </w:tcBorders>
            <w:vAlign w:val="center"/>
          </w:tcPr>
          <w:p w:rsidR="00000000" w:rsidRDefault="00000000">
            <w:pPr>
              <w:spacing w:line="240" w:lineRule="auto"/>
              <w:jc w:val="center"/>
            </w:pPr>
            <w:r>
              <w:t>12 632</w:t>
            </w:r>
          </w:p>
        </w:tc>
        <w:tc>
          <w:tcPr>
            <w:tcW w:w="1914" w:type="dxa"/>
            <w:tcBorders>
              <w:top w:val="nil"/>
              <w:left w:val="single" w:sz="4" w:space="0" w:color="auto"/>
              <w:bottom w:val="single" w:sz="4" w:space="0" w:color="auto"/>
              <w:right w:val="single" w:sz="4" w:space="0" w:color="auto"/>
            </w:tcBorders>
            <w:vAlign w:val="center"/>
          </w:tcPr>
          <w:p w:rsidR="00000000" w:rsidRDefault="00000000">
            <w:pPr>
              <w:spacing w:line="240" w:lineRule="auto"/>
              <w:jc w:val="center"/>
            </w:pPr>
            <w:r>
              <w:t>9 275</w:t>
            </w:r>
          </w:p>
        </w:tc>
        <w:tc>
          <w:tcPr>
            <w:tcW w:w="1915" w:type="dxa"/>
            <w:tcBorders>
              <w:top w:val="nil"/>
              <w:left w:val="single" w:sz="4" w:space="0" w:color="auto"/>
              <w:bottom w:val="single" w:sz="4" w:space="0" w:color="auto"/>
              <w:right w:val="single" w:sz="4" w:space="0" w:color="auto"/>
            </w:tcBorders>
            <w:vAlign w:val="center"/>
          </w:tcPr>
          <w:p w:rsidR="00000000" w:rsidRDefault="00000000">
            <w:pPr>
              <w:spacing w:line="240" w:lineRule="auto"/>
              <w:jc w:val="center"/>
            </w:pPr>
            <w:r>
              <w:t>73,4</w:t>
            </w:r>
          </w:p>
        </w:tc>
      </w:tr>
    </w:tbl>
    <w:p w:rsidR="00000000" w:rsidRDefault="00000000">
      <w:pPr>
        <w:rPr>
          <w:b/>
          <w:bCs/>
        </w:rPr>
      </w:pPr>
    </w:p>
    <w:p w:rsidR="00000000" w:rsidRDefault="00000000">
      <w:pPr>
        <w:spacing w:line="240" w:lineRule="auto"/>
      </w:pPr>
      <w:r>
        <w:rPr>
          <w:b/>
          <w:bCs/>
          <w:vertAlign w:val="superscript"/>
        </w:rPr>
        <w:tab/>
        <w:t>а</w:t>
      </w:r>
      <w:r>
        <w:rPr>
          <w:b/>
          <w:bCs/>
          <w:vertAlign w:val="superscript"/>
        </w:rPr>
        <w:tab/>
      </w:r>
      <w:r>
        <w:t>Соотношение выражается как отношение заработной платы женщин к заработной плате мужчин в процентах.</w:t>
      </w:r>
    </w:p>
    <w:p w:rsidR="00000000" w:rsidRDefault="00000000"/>
    <w:p w:rsidR="00000000" w:rsidRDefault="00000000">
      <w:r>
        <w:t>153.</w:t>
      </w:r>
      <w:r>
        <w:tab/>
        <w:t>Анализ, подготовленный в связи с изучением заработной платы работников во всех секторах национальной экономики</w:t>
      </w:r>
      <w:r>
        <w:rPr>
          <w:rStyle w:val="FootnoteReference"/>
        </w:rPr>
        <w:footnoteReference w:id="95"/>
      </w:r>
      <w:r>
        <w:t>, содержит следующие выводы:</w:t>
      </w:r>
    </w:p>
    <w:p w:rsidR="00000000" w:rsidRDefault="00000000"/>
    <w:p w:rsidR="00000000" w:rsidRDefault="00000000">
      <w:r>
        <w:tab/>
        <w:t>а)</w:t>
      </w:r>
      <w:r>
        <w:tab/>
        <w:t>часы работы серьезно сказываются на соотношении уровней средней заработной платы;  в 1997 году только 2,7% мужчин работали неполный рабочий день, тогда как для женщин эта цифра составляла 8,5%;  мужчины также большее время были заняты на сверхурочных работах;</w:t>
      </w:r>
    </w:p>
    <w:p w:rsidR="00000000" w:rsidRDefault="00000000"/>
    <w:p w:rsidR="00000000" w:rsidRDefault="00000000">
      <w:r>
        <w:tab/>
      </w:r>
      <w:r>
        <w:rPr>
          <w:lang w:val="en-US"/>
        </w:rPr>
        <w:t>b</w:t>
      </w:r>
      <w:r>
        <w:t>)</w:t>
      </w:r>
      <w:r>
        <w:tab/>
        <w:t>женщины, как правило, имеют более высокое образование, чем мужчины, и преобладают в основном в категориях, требующих законченного среднего образования.  На двух самых высоких уровнях - образование выше среднего и научная подготовка - преобладают мужчины;</w:t>
      </w:r>
    </w:p>
    <w:p w:rsidR="00000000" w:rsidRDefault="00000000"/>
    <w:p w:rsidR="00000000" w:rsidRDefault="00000000">
      <w:r>
        <w:tab/>
        <w:t>с)</w:t>
      </w:r>
      <w:r>
        <w:tab/>
        <w:t>женщины преобладают, с одной стороны, на работах, не связанных с физическим трудом, за исключением управленческих профессий, а, с другой стороны, среди неквалифицированных работников мужчины же, напротив, преобладают на квалифицированных работах.  На управленческих постах больше мужчин, чем женщин (56%);</w:t>
      </w:r>
    </w:p>
    <w:p w:rsidR="00000000" w:rsidRDefault="00000000"/>
    <w:p w:rsidR="00000000" w:rsidRDefault="00000000">
      <w:r>
        <w:tab/>
      </w:r>
      <w:r>
        <w:rPr>
          <w:lang w:val="en-US"/>
        </w:rPr>
        <w:t>d</w:t>
      </w:r>
      <w:r>
        <w:t>)</w:t>
      </w:r>
      <w:r>
        <w:tab/>
        <w:t>с точки зрения классификации по тарифным позициям или группам заработной платы (которые отражают квалификацию работников), женщины преобладают в более низких категориях, а мужчины - в более высоких категориях.  Это соответствует вышеуказанным типам классификации.  Мужчины во все большей степени преобладают на самых трех высоких позициях, на самой высокой позиции насчитывается всего лишь 12% женщин;</w:t>
      </w:r>
    </w:p>
    <w:p w:rsidR="00000000" w:rsidRDefault="00000000"/>
    <w:p w:rsidR="00000000" w:rsidRDefault="00000000">
      <w:r>
        <w:tab/>
      </w:r>
      <w:r>
        <w:rPr>
          <w:lang w:val="en-US"/>
        </w:rPr>
        <w:t>e</w:t>
      </w:r>
      <w:r>
        <w:t>)</w:t>
      </w:r>
      <w:r>
        <w:tab/>
        <w:t>рабочая карьера женщин отличается по временным параметрам от карьеры мужчин (перерыв из</w:t>
      </w:r>
      <w:r>
        <w:noBreakHyphen/>
        <w:t>за отпуска по беременности и родам, иногда неоднократно).  В целом средняя заработная плата работника выше в конце его рабочей карьеры;  поскольку женщины раньше выходят на пенсию, они достигают максимального уровня карьеры в возрасте 55-59 лет (рост заработной платы с начала работы составляет менее 33%), а мужчины выходят на пенсию после 60 лет (рост составляет 39%);</w:t>
      </w:r>
    </w:p>
    <w:p w:rsidR="00000000" w:rsidRDefault="00000000"/>
    <w:p w:rsidR="00000000" w:rsidRDefault="00000000">
      <w:r>
        <w:tab/>
      </w:r>
      <w:r>
        <w:rPr>
          <w:lang w:val="en-US"/>
        </w:rPr>
        <w:t>f</w:t>
      </w:r>
      <w:r>
        <w:t>)</w:t>
      </w:r>
      <w:r>
        <w:tab/>
        <w:t>это соотношение заметно различается между отдельными отраслями национальной экономики.  Оно ниже на предприятиях торговли, предприятиях по ремонту автотранспортных средств и в производстве потребительских товаров (62,3%), чем в здравоохранении (62,2%) и в финансовой сфере и страховании (66,6%).  Наименьшие различия наблюдаются на транспорте, складских работах, в почтовой службе и телесвязи, в сфере других публичных, социальных и личных услуг (82%) и строительстве.  Труд женщин лучше оплачивается по сравнению с трудом мужчин в таких областях, где их меньше, за исключением образования (78,3% от средней зарплаты мужчин).  Однако занятость женщин лучше структурирована, чем у мужчин (заработная плата женщин в финансовой сфере превышает среднюю зарплату женщин).  Женщины при той же структуре занятости по секторам, что и мужчины, получали бы лишь 72,12% от заработной платы мужчин;</w:t>
      </w:r>
    </w:p>
    <w:p w:rsidR="00000000" w:rsidRDefault="00000000"/>
    <w:p w:rsidR="00000000" w:rsidRDefault="00000000">
      <w:r>
        <w:tab/>
      </w:r>
      <w:r>
        <w:rPr>
          <w:lang w:val="en-US"/>
        </w:rPr>
        <w:t>g</w:t>
      </w:r>
      <w:r>
        <w:t>)</w:t>
      </w:r>
      <w:r>
        <w:tab/>
        <w:t xml:space="preserve">неравенство женщин в области заработной платы неодинаково проявляется на различных видах работ:  в некоторых областях оно является минимальным (например, учителя начальных школ), а в других областях женщины получают значительно меньше (например, женщины-печатники и наборщики получают 58% от заработной платы мужчин при одинаковой квалификации).  </w:t>
      </w:r>
    </w:p>
    <w:p w:rsidR="00000000" w:rsidRDefault="00000000"/>
    <w:p w:rsidR="00000000" w:rsidRDefault="00000000">
      <w:pPr>
        <w:jc w:val="center"/>
      </w:pPr>
      <w:r>
        <w:rPr>
          <w:b/>
          <w:bCs/>
        </w:rPr>
        <w:t>Отношение средней зарплаты женщин к средней зарплате мужчин в разбивке по образованию и возрасту (в %)</w:t>
      </w:r>
    </w:p>
    <w:p w:rsidR="00000000" w:rsidRDefault="00000000">
      <w:pPr>
        <w:pStyle w:val="1"/>
      </w:pPr>
    </w:p>
    <w:tbl>
      <w:tblPr>
        <w:tblW w:w="0" w:type="auto"/>
        <w:tblLook w:val="0000" w:firstRow="0" w:lastRow="0" w:firstColumn="0" w:lastColumn="0" w:noHBand="0" w:noVBand="0"/>
      </w:tblPr>
      <w:tblGrid>
        <w:gridCol w:w="1978"/>
        <w:gridCol w:w="5422"/>
        <w:gridCol w:w="1122"/>
        <w:gridCol w:w="1048"/>
      </w:tblGrid>
      <w:tr w:rsidR="00000000">
        <w:tblPrEx>
          <w:tblCellMar>
            <w:top w:w="0" w:type="dxa"/>
            <w:bottom w:w="0" w:type="dxa"/>
          </w:tblCellMar>
        </w:tblPrEx>
        <w:tc>
          <w:tcPr>
            <w:tcW w:w="1978" w:type="dxa"/>
            <w:tcBorders>
              <w:top w:val="single" w:sz="4" w:space="0" w:color="auto"/>
              <w:left w:val="single" w:sz="4" w:space="0" w:color="auto"/>
              <w:bottom w:val="single" w:sz="4" w:space="0" w:color="auto"/>
              <w:right w:val="single" w:sz="4" w:space="0" w:color="auto"/>
            </w:tcBorders>
          </w:tcPr>
          <w:p w:rsidR="00000000" w:rsidRDefault="00000000"/>
        </w:tc>
        <w:tc>
          <w:tcPr>
            <w:tcW w:w="5423" w:type="dxa"/>
            <w:tcBorders>
              <w:top w:val="single" w:sz="4" w:space="0" w:color="auto"/>
              <w:left w:val="single" w:sz="4" w:space="0" w:color="auto"/>
              <w:bottom w:val="single" w:sz="4" w:space="0" w:color="auto"/>
              <w:right w:val="single" w:sz="4" w:space="0" w:color="auto"/>
            </w:tcBorders>
          </w:tcPr>
          <w:p w:rsidR="00000000" w:rsidRDefault="00000000"/>
        </w:tc>
        <w:tc>
          <w:tcPr>
            <w:tcW w:w="11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1997</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1998</w:t>
            </w:r>
          </w:p>
        </w:tc>
      </w:tr>
      <w:tr w:rsidR="00000000">
        <w:tblPrEx>
          <w:tblCellMar>
            <w:top w:w="0" w:type="dxa"/>
            <w:bottom w:w="0" w:type="dxa"/>
          </w:tblCellMar>
        </w:tblPrEx>
        <w:tc>
          <w:tcPr>
            <w:tcW w:w="1978" w:type="dxa"/>
            <w:tcBorders>
              <w:top w:val="single" w:sz="4" w:space="0" w:color="auto"/>
              <w:left w:val="single" w:sz="4" w:space="0" w:color="auto"/>
              <w:right w:val="single" w:sz="4" w:space="0" w:color="auto"/>
            </w:tcBorders>
          </w:tcPr>
          <w:p w:rsidR="00000000" w:rsidRDefault="00000000">
            <w:r>
              <w:t>Образование</w:t>
            </w:r>
          </w:p>
        </w:tc>
        <w:tc>
          <w:tcPr>
            <w:tcW w:w="5423" w:type="dxa"/>
            <w:tcBorders>
              <w:top w:val="single" w:sz="4" w:space="0" w:color="auto"/>
              <w:left w:val="single" w:sz="4" w:space="0" w:color="auto"/>
              <w:right w:val="single" w:sz="4" w:space="0" w:color="auto"/>
            </w:tcBorders>
          </w:tcPr>
          <w:p w:rsidR="00000000" w:rsidRDefault="00000000">
            <w:r>
              <w:t>Начальное</w:t>
            </w:r>
          </w:p>
        </w:tc>
        <w:tc>
          <w:tcPr>
            <w:tcW w:w="1122" w:type="dxa"/>
            <w:tcBorders>
              <w:top w:val="single" w:sz="4" w:space="0" w:color="auto"/>
              <w:left w:val="single" w:sz="4" w:space="0" w:color="auto"/>
              <w:right w:val="single" w:sz="4" w:space="0" w:color="auto"/>
            </w:tcBorders>
          </w:tcPr>
          <w:p w:rsidR="00000000" w:rsidRDefault="00000000">
            <w:pPr>
              <w:jc w:val="center"/>
            </w:pPr>
            <w:r>
              <w:t>74,9</w:t>
            </w:r>
          </w:p>
        </w:tc>
        <w:tc>
          <w:tcPr>
            <w:tcW w:w="1048" w:type="dxa"/>
            <w:tcBorders>
              <w:top w:val="single" w:sz="4" w:space="0" w:color="auto"/>
              <w:left w:val="single" w:sz="4" w:space="0" w:color="auto"/>
              <w:right w:val="single" w:sz="4" w:space="0" w:color="auto"/>
            </w:tcBorders>
          </w:tcPr>
          <w:p w:rsidR="00000000" w:rsidRDefault="00000000">
            <w:pPr>
              <w:jc w:val="center"/>
            </w:pPr>
            <w:r>
              <w:t>74,6</w:t>
            </w:r>
          </w:p>
        </w:tc>
      </w:tr>
      <w:tr w:rsidR="00000000">
        <w:tblPrEx>
          <w:tblCellMar>
            <w:top w:w="0" w:type="dxa"/>
            <w:bottom w:w="0" w:type="dxa"/>
          </w:tblCellMar>
        </w:tblPrEx>
        <w:tc>
          <w:tcPr>
            <w:tcW w:w="1978" w:type="dxa"/>
            <w:tcBorders>
              <w:left w:val="single" w:sz="4" w:space="0" w:color="auto"/>
              <w:right w:val="single" w:sz="4" w:space="0" w:color="auto"/>
            </w:tcBorders>
          </w:tcPr>
          <w:p w:rsidR="00000000" w:rsidRDefault="00000000"/>
        </w:tc>
        <w:tc>
          <w:tcPr>
            <w:tcW w:w="5423" w:type="dxa"/>
            <w:tcBorders>
              <w:left w:val="single" w:sz="4" w:space="0" w:color="auto"/>
              <w:right w:val="single" w:sz="4" w:space="0" w:color="auto"/>
            </w:tcBorders>
          </w:tcPr>
          <w:p w:rsidR="00000000" w:rsidRDefault="00000000">
            <w:r>
              <w:t>Ученичество и среднее образование без аттестата</w:t>
            </w:r>
          </w:p>
        </w:tc>
        <w:tc>
          <w:tcPr>
            <w:tcW w:w="1122" w:type="dxa"/>
            <w:tcBorders>
              <w:left w:val="single" w:sz="4" w:space="0" w:color="auto"/>
              <w:right w:val="single" w:sz="4" w:space="0" w:color="auto"/>
            </w:tcBorders>
          </w:tcPr>
          <w:p w:rsidR="00000000" w:rsidRDefault="00000000">
            <w:pPr>
              <w:jc w:val="center"/>
            </w:pPr>
            <w:r>
              <w:t>69,1</w:t>
            </w:r>
          </w:p>
        </w:tc>
        <w:tc>
          <w:tcPr>
            <w:tcW w:w="1048" w:type="dxa"/>
            <w:tcBorders>
              <w:left w:val="single" w:sz="4" w:space="0" w:color="auto"/>
              <w:right w:val="single" w:sz="4" w:space="0" w:color="auto"/>
            </w:tcBorders>
          </w:tcPr>
          <w:p w:rsidR="00000000" w:rsidRDefault="00000000">
            <w:pPr>
              <w:jc w:val="center"/>
            </w:pPr>
            <w:r>
              <w:t>71,6</w:t>
            </w:r>
          </w:p>
        </w:tc>
      </w:tr>
      <w:tr w:rsidR="00000000">
        <w:tblPrEx>
          <w:tblCellMar>
            <w:top w:w="0" w:type="dxa"/>
            <w:bottom w:w="0" w:type="dxa"/>
          </w:tblCellMar>
        </w:tblPrEx>
        <w:tc>
          <w:tcPr>
            <w:tcW w:w="1978" w:type="dxa"/>
            <w:tcBorders>
              <w:left w:val="single" w:sz="4" w:space="0" w:color="auto"/>
              <w:right w:val="single" w:sz="4" w:space="0" w:color="auto"/>
            </w:tcBorders>
          </w:tcPr>
          <w:p w:rsidR="00000000" w:rsidRDefault="00000000"/>
        </w:tc>
        <w:tc>
          <w:tcPr>
            <w:tcW w:w="5423" w:type="dxa"/>
            <w:tcBorders>
              <w:left w:val="single" w:sz="4" w:space="0" w:color="auto"/>
              <w:right w:val="single" w:sz="4" w:space="0" w:color="auto"/>
            </w:tcBorders>
          </w:tcPr>
          <w:p w:rsidR="00000000" w:rsidRDefault="00000000">
            <w:r>
              <w:t>Законченное среднее образование с получением аттестата</w:t>
            </w:r>
          </w:p>
        </w:tc>
        <w:tc>
          <w:tcPr>
            <w:tcW w:w="1122" w:type="dxa"/>
            <w:tcBorders>
              <w:left w:val="single" w:sz="4" w:space="0" w:color="auto"/>
              <w:right w:val="single" w:sz="4" w:space="0" w:color="auto"/>
            </w:tcBorders>
          </w:tcPr>
          <w:p w:rsidR="00000000" w:rsidRDefault="00000000">
            <w:pPr>
              <w:jc w:val="center"/>
            </w:pPr>
            <w:r>
              <w:t>75,5</w:t>
            </w:r>
          </w:p>
        </w:tc>
        <w:tc>
          <w:tcPr>
            <w:tcW w:w="1048" w:type="dxa"/>
            <w:tcBorders>
              <w:left w:val="single" w:sz="4" w:space="0" w:color="auto"/>
              <w:right w:val="single" w:sz="4" w:space="0" w:color="auto"/>
            </w:tcBorders>
          </w:tcPr>
          <w:p w:rsidR="00000000" w:rsidRDefault="00000000">
            <w:pPr>
              <w:jc w:val="center"/>
            </w:pPr>
            <w:r>
              <w:t>72,9</w:t>
            </w:r>
          </w:p>
        </w:tc>
      </w:tr>
      <w:tr w:rsidR="00000000">
        <w:tblPrEx>
          <w:tblCellMar>
            <w:top w:w="0" w:type="dxa"/>
            <w:bottom w:w="0" w:type="dxa"/>
          </w:tblCellMar>
        </w:tblPrEx>
        <w:tc>
          <w:tcPr>
            <w:tcW w:w="1978" w:type="dxa"/>
            <w:tcBorders>
              <w:left w:val="single" w:sz="4" w:space="0" w:color="auto"/>
              <w:bottom w:val="single" w:sz="4" w:space="0" w:color="auto"/>
              <w:right w:val="single" w:sz="4" w:space="0" w:color="auto"/>
            </w:tcBorders>
          </w:tcPr>
          <w:p w:rsidR="00000000" w:rsidRDefault="00000000"/>
        </w:tc>
        <w:tc>
          <w:tcPr>
            <w:tcW w:w="5423" w:type="dxa"/>
            <w:tcBorders>
              <w:left w:val="single" w:sz="4" w:space="0" w:color="auto"/>
              <w:bottom w:val="single" w:sz="4" w:space="0" w:color="auto"/>
              <w:right w:val="single" w:sz="4" w:space="0" w:color="auto"/>
            </w:tcBorders>
          </w:tcPr>
          <w:p w:rsidR="00000000" w:rsidRDefault="00000000">
            <w:r>
              <w:t>Послесреднее образование</w:t>
            </w:r>
          </w:p>
        </w:tc>
        <w:tc>
          <w:tcPr>
            <w:tcW w:w="1122" w:type="dxa"/>
            <w:tcBorders>
              <w:left w:val="single" w:sz="4" w:space="0" w:color="auto"/>
              <w:bottom w:val="single" w:sz="4" w:space="0" w:color="auto"/>
              <w:right w:val="single" w:sz="4" w:space="0" w:color="auto"/>
            </w:tcBorders>
          </w:tcPr>
          <w:p w:rsidR="00000000" w:rsidRDefault="00000000">
            <w:pPr>
              <w:jc w:val="center"/>
              <w:rPr>
                <w:lang w:val="en-US"/>
              </w:rPr>
            </w:pPr>
            <w:r>
              <w:rPr>
                <w:lang w:val="en-US"/>
              </w:rPr>
              <w:t>68,9</w:t>
            </w:r>
          </w:p>
        </w:tc>
        <w:tc>
          <w:tcPr>
            <w:tcW w:w="1048" w:type="dxa"/>
            <w:tcBorders>
              <w:left w:val="single" w:sz="4" w:space="0" w:color="auto"/>
              <w:bottom w:val="single" w:sz="4" w:space="0" w:color="auto"/>
              <w:right w:val="single" w:sz="4" w:space="0" w:color="auto"/>
            </w:tcBorders>
          </w:tcPr>
          <w:p w:rsidR="00000000" w:rsidRDefault="00000000">
            <w:pPr>
              <w:jc w:val="center"/>
              <w:rPr>
                <w:lang w:val="en-US"/>
              </w:rPr>
            </w:pPr>
            <w:r>
              <w:rPr>
                <w:lang w:val="en-US"/>
              </w:rPr>
              <w:t>64,9</w:t>
            </w:r>
          </w:p>
        </w:tc>
      </w:tr>
      <w:tr w:rsidR="00000000">
        <w:tblPrEx>
          <w:tblCellMar>
            <w:top w:w="0" w:type="dxa"/>
            <w:bottom w:w="0" w:type="dxa"/>
          </w:tblCellMar>
        </w:tblPrEx>
        <w:tc>
          <w:tcPr>
            <w:tcW w:w="1978" w:type="dxa"/>
            <w:tcBorders>
              <w:top w:val="single" w:sz="4" w:space="0" w:color="auto"/>
              <w:left w:val="single" w:sz="4" w:space="0" w:color="auto"/>
              <w:right w:val="single" w:sz="4" w:space="0" w:color="auto"/>
            </w:tcBorders>
          </w:tcPr>
          <w:p w:rsidR="00000000" w:rsidRDefault="00000000">
            <w:r>
              <w:t>Возраст</w:t>
            </w:r>
          </w:p>
        </w:tc>
        <w:tc>
          <w:tcPr>
            <w:tcW w:w="5423" w:type="dxa"/>
            <w:tcBorders>
              <w:top w:val="single" w:sz="4" w:space="0" w:color="auto"/>
              <w:left w:val="single" w:sz="4" w:space="0" w:color="auto"/>
              <w:right w:val="single" w:sz="4" w:space="0" w:color="auto"/>
            </w:tcBorders>
          </w:tcPr>
          <w:p w:rsidR="00000000" w:rsidRDefault="00000000">
            <w:r>
              <w:t>До 19 лет</w:t>
            </w:r>
          </w:p>
        </w:tc>
        <w:tc>
          <w:tcPr>
            <w:tcW w:w="1122" w:type="dxa"/>
            <w:tcBorders>
              <w:top w:val="single" w:sz="4" w:space="0" w:color="auto"/>
              <w:left w:val="single" w:sz="4" w:space="0" w:color="auto"/>
              <w:right w:val="single" w:sz="4" w:space="0" w:color="auto"/>
            </w:tcBorders>
          </w:tcPr>
          <w:p w:rsidR="00000000" w:rsidRDefault="00000000">
            <w:pPr>
              <w:jc w:val="center"/>
            </w:pPr>
            <w:r>
              <w:t>91,4</w:t>
            </w:r>
          </w:p>
        </w:tc>
        <w:tc>
          <w:tcPr>
            <w:tcW w:w="1048" w:type="dxa"/>
            <w:tcBorders>
              <w:top w:val="single" w:sz="4" w:space="0" w:color="auto"/>
              <w:left w:val="single" w:sz="4" w:space="0" w:color="auto"/>
              <w:right w:val="single" w:sz="4" w:space="0" w:color="auto"/>
            </w:tcBorders>
          </w:tcPr>
          <w:p w:rsidR="00000000" w:rsidRDefault="00000000">
            <w:pPr>
              <w:jc w:val="center"/>
            </w:pPr>
            <w:r>
              <w:t>84,6</w:t>
            </w:r>
          </w:p>
        </w:tc>
      </w:tr>
      <w:tr w:rsidR="00000000">
        <w:tblPrEx>
          <w:tblCellMar>
            <w:top w:w="0" w:type="dxa"/>
            <w:bottom w:w="0" w:type="dxa"/>
          </w:tblCellMar>
        </w:tblPrEx>
        <w:tc>
          <w:tcPr>
            <w:tcW w:w="1978" w:type="dxa"/>
            <w:tcBorders>
              <w:left w:val="single" w:sz="4" w:space="0" w:color="auto"/>
              <w:right w:val="single" w:sz="4" w:space="0" w:color="auto"/>
            </w:tcBorders>
          </w:tcPr>
          <w:p w:rsidR="00000000" w:rsidRDefault="00000000"/>
        </w:tc>
        <w:tc>
          <w:tcPr>
            <w:tcW w:w="5423" w:type="dxa"/>
            <w:tcBorders>
              <w:left w:val="single" w:sz="4" w:space="0" w:color="auto"/>
              <w:right w:val="single" w:sz="4" w:space="0" w:color="auto"/>
            </w:tcBorders>
          </w:tcPr>
          <w:p w:rsidR="00000000" w:rsidRDefault="00000000">
            <w:r>
              <w:t>20 - 24</w:t>
            </w:r>
            <w:r>
              <w:rPr>
                <w:lang w:val="en-US"/>
              </w:rPr>
              <w:t xml:space="preserve"> </w:t>
            </w:r>
            <w:r>
              <w:t>года</w:t>
            </w:r>
          </w:p>
        </w:tc>
        <w:tc>
          <w:tcPr>
            <w:tcW w:w="1122" w:type="dxa"/>
            <w:tcBorders>
              <w:left w:val="single" w:sz="4" w:space="0" w:color="auto"/>
              <w:right w:val="single" w:sz="4" w:space="0" w:color="auto"/>
            </w:tcBorders>
          </w:tcPr>
          <w:p w:rsidR="00000000" w:rsidRDefault="00000000">
            <w:pPr>
              <w:jc w:val="center"/>
            </w:pPr>
            <w:r>
              <w:t>85,0</w:t>
            </w:r>
          </w:p>
        </w:tc>
        <w:tc>
          <w:tcPr>
            <w:tcW w:w="1048" w:type="dxa"/>
            <w:tcBorders>
              <w:left w:val="single" w:sz="4" w:space="0" w:color="auto"/>
              <w:right w:val="single" w:sz="4" w:space="0" w:color="auto"/>
            </w:tcBorders>
          </w:tcPr>
          <w:p w:rsidR="00000000" w:rsidRDefault="00000000">
            <w:pPr>
              <w:jc w:val="center"/>
            </w:pPr>
            <w:r>
              <w:t>82,6</w:t>
            </w:r>
          </w:p>
        </w:tc>
      </w:tr>
      <w:tr w:rsidR="00000000">
        <w:tblPrEx>
          <w:tblCellMar>
            <w:top w:w="0" w:type="dxa"/>
            <w:bottom w:w="0" w:type="dxa"/>
          </w:tblCellMar>
        </w:tblPrEx>
        <w:tc>
          <w:tcPr>
            <w:tcW w:w="1978" w:type="dxa"/>
            <w:tcBorders>
              <w:left w:val="single" w:sz="4" w:space="0" w:color="auto"/>
              <w:right w:val="single" w:sz="4" w:space="0" w:color="auto"/>
            </w:tcBorders>
          </w:tcPr>
          <w:p w:rsidR="00000000" w:rsidRDefault="00000000"/>
        </w:tc>
        <w:tc>
          <w:tcPr>
            <w:tcW w:w="5423" w:type="dxa"/>
            <w:tcBorders>
              <w:left w:val="single" w:sz="4" w:space="0" w:color="auto"/>
              <w:right w:val="single" w:sz="4" w:space="0" w:color="auto"/>
            </w:tcBorders>
          </w:tcPr>
          <w:p w:rsidR="00000000" w:rsidRDefault="00000000">
            <w:r>
              <w:t>25 - 29 лет</w:t>
            </w:r>
          </w:p>
        </w:tc>
        <w:tc>
          <w:tcPr>
            <w:tcW w:w="1122" w:type="dxa"/>
            <w:tcBorders>
              <w:left w:val="single" w:sz="4" w:space="0" w:color="auto"/>
              <w:right w:val="single" w:sz="4" w:space="0" w:color="auto"/>
            </w:tcBorders>
          </w:tcPr>
          <w:p w:rsidR="00000000" w:rsidRDefault="00000000">
            <w:pPr>
              <w:jc w:val="center"/>
            </w:pPr>
            <w:r>
              <w:t>76,3</w:t>
            </w:r>
          </w:p>
        </w:tc>
        <w:tc>
          <w:tcPr>
            <w:tcW w:w="1048" w:type="dxa"/>
            <w:tcBorders>
              <w:left w:val="single" w:sz="4" w:space="0" w:color="auto"/>
              <w:right w:val="single" w:sz="4" w:space="0" w:color="auto"/>
            </w:tcBorders>
          </w:tcPr>
          <w:p w:rsidR="00000000" w:rsidRDefault="00000000">
            <w:pPr>
              <w:jc w:val="center"/>
            </w:pPr>
            <w:r>
              <w:t>73,4</w:t>
            </w:r>
          </w:p>
        </w:tc>
      </w:tr>
      <w:tr w:rsidR="00000000">
        <w:tblPrEx>
          <w:tblCellMar>
            <w:top w:w="0" w:type="dxa"/>
            <w:bottom w:w="0" w:type="dxa"/>
          </w:tblCellMar>
        </w:tblPrEx>
        <w:tc>
          <w:tcPr>
            <w:tcW w:w="1978" w:type="dxa"/>
            <w:tcBorders>
              <w:left w:val="single" w:sz="4" w:space="0" w:color="auto"/>
              <w:right w:val="single" w:sz="4" w:space="0" w:color="auto"/>
            </w:tcBorders>
          </w:tcPr>
          <w:p w:rsidR="00000000" w:rsidRDefault="00000000"/>
        </w:tc>
        <w:tc>
          <w:tcPr>
            <w:tcW w:w="5423" w:type="dxa"/>
            <w:tcBorders>
              <w:left w:val="single" w:sz="4" w:space="0" w:color="auto"/>
              <w:right w:val="single" w:sz="4" w:space="0" w:color="auto"/>
            </w:tcBorders>
          </w:tcPr>
          <w:p w:rsidR="00000000" w:rsidRDefault="00000000">
            <w:r>
              <w:t>30 - 34 года</w:t>
            </w:r>
          </w:p>
        </w:tc>
        <w:tc>
          <w:tcPr>
            <w:tcW w:w="1122" w:type="dxa"/>
            <w:tcBorders>
              <w:left w:val="single" w:sz="4" w:space="0" w:color="auto"/>
              <w:right w:val="single" w:sz="4" w:space="0" w:color="auto"/>
            </w:tcBorders>
          </w:tcPr>
          <w:p w:rsidR="00000000" w:rsidRDefault="00000000">
            <w:pPr>
              <w:jc w:val="center"/>
            </w:pPr>
            <w:r>
              <w:t>70,5</w:t>
            </w:r>
          </w:p>
        </w:tc>
        <w:tc>
          <w:tcPr>
            <w:tcW w:w="1048" w:type="dxa"/>
            <w:tcBorders>
              <w:left w:val="single" w:sz="4" w:space="0" w:color="auto"/>
              <w:right w:val="single" w:sz="4" w:space="0" w:color="auto"/>
            </w:tcBorders>
          </w:tcPr>
          <w:p w:rsidR="00000000" w:rsidRDefault="00000000">
            <w:pPr>
              <w:jc w:val="center"/>
            </w:pPr>
            <w:r>
              <w:t>67,1</w:t>
            </w:r>
          </w:p>
        </w:tc>
      </w:tr>
      <w:tr w:rsidR="00000000">
        <w:tblPrEx>
          <w:tblCellMar>
            <w:top w:w="0" w:type="dxa"/>
            <w:bottom w:w="0" w:type="dxa"/>
          </w:tblCellMar>
        </w:tblPrEx>
        <w:tc>
          <w:tcPr>
            <w:tcW w:w="1978" w:type="dxa"/>
            <w:tcBorders>
              <w:left w:val="single" w:sz="4" w:space="0" w:color="auto"/>
              <w:right w:val="single" w:sz="4" w:space="0" w:color="auto"/>
            </w:tcBorders>
          </w:tcPr>
          <w:p w:rsidR="00000000" w:rsidRDefault="00000000"/>
        </w:tc>
        <w:tc>
          <w:tcPr>
            <w:tcW w:w="5423" w:type="dxa"/>
            <w:tcBorders>
              <w:left w:val="single" w:sz="4" w:space="0" w:color="auto"/>
              <w:right w:val="single" w:sz="4" w:space="0" w:color="auto"/>
            </w:tcBorders>
          </w:tcPr>
          <w:p w:rsidR="00000000" w:rsidRDefault="00000000">
            <w:r>
              <w:t>35 - 39 лет</w:t>
            </w:r>
          </w:p>
        </w:tc>
        <w:tc>
          <w:tcPr>
            <w:tcW w:w="1122" w:type="dxa"/>
            <w:tcBorders>
              <w:left w:val="single" w:sz="4" w:space="0" w:color="auto"/>
              <w:right w:val="single" w:sz="4" w:space="0" w:color="auto"/>
            </w:tcBorders>
          </w:tcPr>
          <w:p w:rsidR="00000000" w:rsidRDefault="00000000">
            <w:pPr>
              <w:jc w:val="center"/>
            </w:pPr>
            <w:r>
              <w:t>72,6</w:t>
            </w:r>
          </w:p>
        </w:tc>
        <w:tc>
          <w:tcPr>
            <w:tcW w:w="1048" w:type="dxa"/>
            <w:tcBorders>
              <w:left w:val="single" w:sz="4" w:space="0" w:color="auto"/>
              <w:right w:val="single" w:sz="4" w:space="0" w:color="auto"/>
            </w:tcBorders>
          </w:tcPr>
          <w:p w:rsidR="00000000" w:rsidRDefault="00000000">
            <w:pPr>
              <w:jc w:val="center"/>
            </w:pPr>
            <w:r>
              <w:t>68,4</w:t>
            </w:r>
          </w:p>
        </w:tc>
      </w:tr>
      <w:tr w:rsidR="00000000">
        <w:tblPrEx>
          <w:tblCellMar>
            <w:top w:w="0" w:type="dxa"/>
            <w:bottom w:w="0" w:type="dxa"/>
          </w:tblCellMar>
        </w:tblPrEx>
        <w:tc>
          <w:tcPr>
            <w:tcW w:w="1978" w:type="dxa"/>
            <w:tcBorders>
              <w:left w:val="single" w:sz="4" w:space="0" w:color="auto"/>
              <w:right w:val="single" w:sz="4" w:space="0" w:color="auto"/>
            </w:tcBorders>
          </w:tcPr>
          <w:p w:rsidR="00000000" w:rsidRDefault="00000000"/>
        </w:tc>
        <w:tc>
          <w:tcPr>
            <w:tcW w:w="5423" w:type="dxa"/>
            <w:tcBorders>
              <w:left w:val="single" w:sz="4" w:space="0" w:color="auto"/>
              <w:right w:val="single" w:sz="4" w:space="0" w:color="auto"/>
            </w:tcBorders>
          </w:tcPr>
          <w:p w:rsidR="00000000" w:rsidRDefault="00000000">
            <w:r>
              <w:t>40 - 44 года</w:t>
            </w:r>
          </w:p>
        </w:tc>
        <w:tc>
          <w:tcPr>
            <w:tcW w:w="1122" w:type="dxa"/>
            <w:tcBorders>
              <w:left w:val="single" w:sz="4" w:space="0" w:color="auto"/>
              <w:right w:val="single" w:sz="4" w:space="0" w:color="auto"/>
            </w:tcBorders>
          </w:tcPr>
          <w:p w:rsidR="00000000" w:rsidRDefault="00000000">
            <w:pPr>
              <w:jc w:val="center"/>
            </w:pPr>
            <w:r>
              <w:t>73,0</w:t>
            </w:r>
          </w:p>
        </w:tc>
        <w:tc>
          <w:tcPr>
            <w:tcW w:w="1048" w:type="dxa"/>
            <w:tcBorders>
              <w:left w:val="single" w:sz="4" w:space="0" w:color="auto"/>
              <w:right w:val="single" w:sz="4" w:space="0" w:color="auto"/>
            </w:tcBorders>
          </w:tcPr>
          <w:p w:rsidR="00000000" w:rsidRDefault="00000000">
            <w:pPr>
              <w:jc w:val="center"/>
            </w:pPr>
            <w:r>
              <w:t>69,4</w:t>
            </w:r>
          </w:p>
        </w:tc>
      </w:tr>
      <w:tr w:rsidR="00000000">
        <w:tblPrEx>
          <w:tblCellMar>
            <w:top w:w="0" w:type="dxa"/>
            <w:bottom w:w="0" w:type="dxa"/>
          </w:tblCellMar>
        </w:tblPrEx>
        <w:tc>
          <w:tcPr>
            <w:tcW w:w="1978" w:type="dxa"/>
            <w:tcBorders>
              <w:left w:val="single" w:sz="4" w:space="0" w:color="auto"/>
              <w:right w:val="single" w:sz="4" w:space="0" w:color="auto"/>
            </w:tcBorders>
          </w:tcPr>
          <w:p w:rsidR="00000000" w:rsidRDefault="00000000"/>
        </w:tc>
        <w:tc>
          <w:tcPr>
            <w:tcW w:w="5423" w:type="dxa"/>
            <w:tcBorders>
              <w:left w:val="single" w:sz="4" w:space="0" w:color="auto"/>
              <w:right w:val="single" w:sz="4" w:space="0" w:color="auto"/>
            </w:tcBorders>
          </w:tcPr>
          <w:p w:rsidR="00000000" w:rsidRDefault="00000000">
            <w:r>
              <w:t>45 - 49 лет</w:t>
            </w:r>
          </w:p>
        </w:tc>
        <w:tc>
          <w:tcPr>
            <w:tcW w:w="1122" w:type="dxa"/>
            <w:tcBorders>
              <w:left w:val="single" w:sz="4" w:space="0" w:color="auto"/>
              <w:right w:val="single" w:sz="4" w:space="0" w:color="auto"/>
            </w:tcBorders>
          </w:tcPr>
          <w:p w:rsidR="00000000" w:rsidRDefault="00000000">
            <w:pPr>
              <w:jc w:val="center"/>
            </w:pPr>
            <w:r>
              <w:t>74,4</w:t>
            </w:r>
          </w:p>
        </w:tc>
        <w:tc>
          <w:tcPr>
            <w:tcW w:w="1048" w:type="dxa"/>
            <w:tcBorders>
              <w:left w:val="single" w:sz="4" w:space="0" w:color="auto"/>
              <w:right w:val="single" w:sz="4" w:space="0" w:color="auto"/>
            </w:tcBorders>
          </w:tcPr>
          <w:p w:rsidR="00000000" w:rsidRDefault="00000000">
            <w:pPr>
              <w:jc w:val="center"/>
            </w:pPr>
            <w:r>
              <w:t>70,6</w:t>
            </w:r>
          </w:p>
        </w:tc>
      </w:tr>
      <w:tr w:rsidR="00000000">
        <w:tblPrEx>
          <w:tblCellMar>
            <w:top w:w="0" w:type="dxa"/>
            <w:bottom w:w="0" w:type="dxa"/>
          </w:tblCellMar>
        </w:tblPrEx>
        <w:tc>
          <w:tcPr>
            <w:tcW w:w="1978" w:type="dxa"/>
            <w:tcBorders>
              <w:left w:val="single" w:sz="4" w:space="0" w:color="auto"/>
              <w:right w:val="single" w:sz="4" w:space="0" w:color="auto"/>
            </w:tcBorders>
          </w:tcPr>
          <w:p w:rsidR="00000000" w:rsidRDefault="00000000"/>
        </w:tc>
        <w:tc>
          <w:tcPr>
            <w:tcW w:w="5423" w:type="dxa"/>
            <w:tcBorders>
              <w:left w:val="single" w:sz="4" w:space="0" w:color="auto"/>
              <w:right w:val="single" w:sz="4" w:space="0" w:color="auto"/>
            </w:tcBorders>
          </w:tcPr>
          <w:p w:rsidR="00000000" w:rsidRDefault="00000000">
            <w:r>
              <w:t>50 - 54 года</w:t>
            </w:r>
          </w:p>
        </w:tc>
        <w:tc>
          <w:tcPr>
            <w:tcW w:w="1122" w:type="dxa"/>
            <w:tcBorders>
              <w:left w:val="single" w:sz="4" w:space="0" w:color="auto"/>
              <w:right w:val="single" w:sz="4" w:space="0" w:color="auto"/>
            </w:tcBorders>
          </w:tcPr>
          <w:p w:rsidR="00000000" w:rsidRDefault="00000000">
            <w:pPr>
              <w:jc w:val="center"/>
            </w:pPr>
            <w:r>
              <w:t>76,8</w:t>
            </w:r>
          </w:p>
        </w:tc>
        <w:tc>
          <w:tcPr>
            <w:tcW w:w="1048" w:type="dxa"/>
            <w:tcBorders>
              <w:left w:val="single" w:sz="4" w:space="0" w:color="auto"/>
              <w:right w:val="single" w:sz="4" w:space="0" w:color="auto"/>
            </w:tcBorders>
          </w:tcPr>
          <w:p w:rsidR="00000000" w:rsidRDefault="00000000">
            <w:pPr>
              <w:jc w:val="center"/>
            </w:pPr>
            <w:r>
              <w:t>74,1</w:t>
            </w:r>
          </w:p>
        </w:tc>
      </w:tr>
      <w:tr w:rsidR="00000000">
        <w:tblPrEx>
          <w:tblCellMar>
            <w:top w:w="0" w:type="dxa"/>
            <w:bottom w:w="0" w:type="dxa"/>
          </w:tblCellMar>
        </w:tblPrEx>
        <w:tc>
          <w:tcPr>
            <w:tcW w:w="1978" w:type="dxa"/>
            <w:tcBorders>
              <w:left w:val="single" w:sz="4" w:space="0" w:color="auto"/>
              <w:right w:val="single" w:sz="4" w:space="0" w:color="auto"/>
            </w:tcBorders>
          </w:tcPr>
          <w:p w:rsidR="00000000" w:rsidRDefault="00000000"/>
        </w:tc>
        <w:tc>
          <w:tcPr>
            <w:tcW w:w="5423" w:type="dxa"/>
            <w:tcBorders>
              <w:left w:val="single" w:sz="4" w:space="0" w:color="auto"/>
              <w:right w:val="single" w:sz="4" w:space="0" w:color="auto"/>
            </w:tcBorders>
          </w:tcPr>
          <w:p w:rsidR="00000000" w:rsidRDefault="00000000">
            <w:r>
              <w:t>55 - 59 лет</w:t>
            </w:r>
          </w:p>
        </w:tc>
        <w:tc>
          <w:tcPr>
            <w:tcW w:w="1122" w:type="dxa"/>
            <w:tcBorders>
              <w:left w:val="single" w:sz="4" w:space="0" w:color="auto"/>
              <w:right w:val="single" w:sz="4" w:space="0" w:color="auto"/>
            </w:tcBorders>
          </w:tcPr>
          <w:p w:rsidR="00000000" w:rsidRDefault="00000000">
            <w:pPr>
              <w:jc w:val="center"/>
            </w:pPr>
            <w:r>
              <w:t>84,9</w:t>
            </w:r>
          </w:p>
        </w:tc>
        <w:tc>
          <w:tcPr>
            <w:tcW w:w="1048" w:type="dxa"/>
            <w:tcBorders>
              <w:left w:val="single" w:sz="4" w:space="0" w:color="auto"/>
              <w:right w:val="single" w:sz="4" w:space="0" w:color="auto"/>
            </w:tcBorders>
          </w:tcPr>
          <w:p w:rsidR="00000000" w:rsidRDefault="00000000">
            <w:pPr>
              <w:jc w:val="center"/>
            </w:pPr>
            <w:r>
              <w:t>77,4</w:t>
            </w:r>
          </w:p>
        </w:tc>
      </w:tr>
      <w:tr w:rsidR="00000000">
        <w:tblPrEx>
          <w:tblCellMar>
            <w:top w:w="0" w:type="dxa"/>
            <w:bottom w:w="0" w:type="dxa"/>
          </w:tblCellMar>
        </w:tblPrEx>
        <w:tc>
          <w:tcPr>
            <w:tcW w:w="1978" w:type="dxa"/>
            <w:tcBorders>
              <w:left w:val="single" w:sz="4" w:space="0" w:color="auto"/>
              <w:bottom w:val="single" w:sz="4" w:space="0" w:color="auto"/>
              <w:right w:val="single" w:sz="4" w:space="0" w:color="auto"/>
            </w:tcBorders>
          </w:tcPr>
          <w:p w:rsidR="00000000" w:rsidRDefault="00000000"/>
        </w:tc>
        <w:tc>
          <w:tcPr>
            <w:tcW w:w="5423" w:type="dxa"/>
            <w:tcBorders>
              <w:left w:val="single" w:sz="4" w:space="0" w:color="auto"/>
              <w:bottom w:val="single" w:sz="4" w:space="0" w:color="auto"/>
              <w:right w:val="single" w:sz="4" w:space="0" w:color="auto"/>
            </w:tcBorders>
          </w:tcPr>
          <w:p w:rsidR="00000000" w:rsidRDefault="00000000">
            <w:r>
              <w:t>60 лет и более</w:t>
            </w:r>
          </w:p>
        </w:tc>
        <w:tc>
          <w:tcPr>
            <w:tcW w:w="1122" w:type="dxa"/>
            <w:tcBorders>
              <w:left w:val="single" w:sz="4" w:space="0" w:color="auto"/>
              <w:bottom w:val="single" w:sz="4" w:space="0" w:color="auto"/>
              <w:right w:val="single" w:sz="4" w:space="0" w:color="auto"/>
            </w:tcBorders>
          </w:tcPr>
          <w:p w:rsidR="00000000" w:rsidRDefault="00000000">
            <w:pPr>
              <w:jc w:val="center"/>
            </w:pPr>
            <w:r>
              <w:t>68,0</w:t>
            </w:r>
          </w:p>
        </w:tc>
        <w:tc>
          <w:tcPr>
            <w:tcW w:w="1048" w:type="dxa"/>
            <w:tcBorders>
              <w:left w:val="single" w:sz="4" w:space="0" w:color="auto"/>
              <w:bottom w:val="single" w:sz="4" w:space="0" w:color="auto"/>
              <w:right w:val="single" w:sz="4" w:space="0" w:color="auto"/>
            </w:tcBorders>
          </w:tcPr>
          <w:p w:rsidR="00000000" w:rsidRDefault="00000000">
            <w:pPr>
              <w:jc w:val="center"/>
            </w:pPr>
            <w:r>
              <w:t>65,5</w:t>
            </w:r>
          </w:p>
        </w:tc>
      </w:tr>
    </w:tbl>
    <w:p w:rsidR="00000000" w:rsidRDefault="00000000"/>
    <w:p w:rsidR="00000000" w:rsidRDefault="00000000">
      <w:pPr>
        <w:spacing w:line="240" w:lineRule="auto"/>
      </w:pPr>
      <w:r>
        <w:tab/>
      </w:r>
      <w:r>
        <w:rPr>
          <w:u w:val="single"/>
        </w:rPr>
        <w:t>Источник</w:t>
      </w:r>
      <w:r>
        <w:t>:</w:t>
      </w:r>
      <w:r>
        <w:tab/>
        <w:t>Чешское статистическое управление, исследование заработной платы работников.</w:t>
      </w:r>
    </w:p>
    <w:p w:rsidR="00000000" w:rsidRDefault="00000000"/>
    <w:p w:rsidR="00000000" w:rsidRDefault="00000000">
      <w:r>
        <w:t>154.</w:t>
      </w:r>
      <w:r>
        <w:tab/>
        <w:t>Таким образом, этот анализ позволяет сделать следующие выводы:  женщины в целом преобладают в отраслях с более низкой заработной платой.  Они имеют лучшую начальную квалификацию для выхода на рынок труда.  Однако, со структурной точки зрения, они находятся в менее благоприятном положении, в том что касается заполнения конкретных рабочих мест.  В отраслях с преобладанием женщин обычно применяется более низкая заработная плата.</w:t>
      </w:r>
    </w:p>
    <w:p w:rsidR="00000000" w:rsidRDefault="00000000">
      <w:pPr>
        <w:spacing w:line="240" w:lineRule="auto"/>
      </w:pPr>
    </w:p>
    <w:p w:rsidR="00000000" w:rsidRDefault="00000000">
      <w:pPr>
        <w:pStyle w:val="11"/>
        <w:spacing w:line="240" w:lineRule="auto"/>
        <w:rPr>
          <w:b/>
          <w:bCs/>
          <w:u w:val="none"/>
        </w:rPr>
      </w:pPr>
      <w:r>
        <w:rPr>
          <w:b/>
          <w:bCs/>
          <w:u w:val="none"/>
        </w:rPr>
        <w:t>Статья 4</w:t>
      </w:r>
    </w:p>
    <w:p w:rsidR="00000000" w:rsidRDefault="00000000">
      <w:pPr>
        <w:pStyle w:val="11"/>
        <w:spacing w:line="240" w:lineRule="auto"/>
      </w:pPr>
    </w:p>
    <w:p w:rsidR="00000000" w:rsidRDefault="00000000">
      <w:r>
        <w:t>155.</w:t>
      </w:r>
      <w:r>
        <w:tab/>
        <w:t>Пункт 2 статьи 2 Хартии основных прав и свобод гласит, что "государство может осуществлять свою власть только в тех случаях и тех пределах, которые предусмотрены законом, и только в таком порядке, который определен законом".  Согласно пункту 3 "каждый может делать то, что не запрещается законом, и никто не может быть принужден делать то, к чему закон не обязывает".</w:t>
      </w:r>
    </w:p>
    <w:p w:rsidR="00000000" w:rsidRDefault="00000000"/>
    <w:p w:rsidR="00000000" w:rsidRDefault="00000000">
      <w:r>
        <w:t>156.</w:t>
      </w:r>
      <w:r>
        <w:tab/>
        <w:t>Статья 4 Хартии гласит следующее:</w:t>
      </w:r>
    </w:p>
    <w:p w:rsidR="00000000" w:rsidRDefault="00000000"/>
    <w:p w:rsidR="00000000" w:rsidRDefault="00000000">
      <w:pPr>
        <w:ind w:left="1134" w:hanging="1134"/>
      </w:pPr>
      <w:r>
        <w:tab/>
        <w:t>"1)</w:t>
      </w:r>
      <w:r>
        <w:tab/>
        <w:t>Обязанности могут возлагаться только на основании закона и в его пределах и только при соблюдении основных прав и свобод человека.</w:t>
      </w:r>
    </w:p>
    <w:p w:rsidR="00000000" w:rsidRDefault="00000000">
      <w:pPr>
        <w:ind w:left="1134" w:hanging="1134"/>
      </w:pPr>
    </w:p>
    <w:p w:rsidR="00000000" w:rsidRDefault="00000000">
      <w:pPr>
        <w:ind w:left="1134" w:hanging="1134"/>
      </w:pPr>
      <w:r>
        <w:tab/>
        <w:t>2)</w:t>
      </w:r>
      <w:r>
        <w:tab/>
        <w:t>Основные права и основные свободы могут ограничиваться лишь законом и на условиях, предписанных Хартией основных прав и свобод.</w:t>
      </w:r>
    </w:p>
    <w:p w:rsidR="00000000" w:rsidRDefault="00000000">
      <w:pPr>
        <w:ind w:left="1134" w:hanging="1134"/>
      </w:pPr>
    </w:p>
    <w:p w:rsidR="00000000" w:rsidRDefault="00000000">
      <w:pPr>
        <w:ind w:left="1134" w:hanging="1134"/>
      </w:pPr>
      <w:r>
        <w:tab/>
        <w:t>3)</w:t>
      </w:r>
      <w:r>
        <w:tab/>
        <w:t>Любое законодательное ограничение основных прав и свобод должно применяться одинаковым образом во всех случаях, которые соответствуют точно определенным условиям.</w:t>
      </w:r>
    </w:p>
    <w:p w:rsidR="00000000" w:rsidRDefault="00000000">
      <w:pPr>
        <w:ind w:left="1134" w:hanging="1134"/>
      </w:pPr>
    </w:p>
    <w:p w:rsidR="00000000" w:rsidRDefault="00000000">
      <w:pPr>
        <w:ind w:left="1134" w:hanging="1134"/>
      </w:pPr>
      <w:r>
        <w:tab/>
        <w:t>4)</w:t>
      </w:r>
      <w:r>
        <w:tab/>
        <w:t>При применении положений, касающихся ограничения основных прав и свобод, сохраняется существо и смысл этих прав и свобод.  Такие ограничения не должны использоваться в иных целях, чем те, для которых они устанавливаются".</w:t>
      </w:r>
    </w:p>
    <w:p w:rsidR="00000000" w:rsidRDefault="00000000">
      <w:pPr>
        <w:ind w:left="1134" w:hanging="1134"/>
      </w:pPr>
    </w:p>
    <w:p w:rsidR="00000000" w:rsidRDefault="00000000">
      <w:r>
        <w:t>157.</w:t>
      </w:r>
      <w:r>
        <w:tab/>
        <w:t>Кроме того, в статье 9 Конституции указывается, что "изменения основных атрибутов демократического правового государства не допускаются".  Далее в ней говорится, что "толкование правовых норм не должно быть направлено на создание угрозы основам демократического государства или на их ликвидацию".</w:t>
      </w:r>
    </w:p>
    <w:p w:rsidR="00000000" w:rsidRDefault="00000000"/>
    <w:p w:rsidR="00000000" w:rsidRDefault="00000000">
      <w:r>
        <w:t>158.</w:t>
      </w:r>
      <w:r>
        <w:tab/>
        <w:t>В пунктах 2</w:t>
      </w:r>
      <w:r>
        <w:rPr>
          <w:lang w:val="en-US"/>
        </w:rPr>
        <w:t> c</w:t>
      </w:r>
      <w:r>
        <w:t xml:space="preserve">) и </w:t>
      </w:r>
      <w:r>
        <w:rPr>
          <w:lang w:val="en-US"/>
        </w:rPr>
        <w:t>d</w:t>
      </w:r>
      <w:r>
        <w:t>) статьи 9 Хартии, касающихся принудительных работ, разрешается на основе закона привлекать граждан к таким работам в случае стихийных бедствий, аварий или другой опасности, которая угрожает жизни, здоровью или имуществу в крупных размерах, а также принимать меры, необходимые по закону для охраны жизни, здоровья или прав других лиц.</w:t>
      </w:r>
    </w:p>
    <w:p w:rsidR="00000000" w:rsidRDefault="00000000"/>
    <w:p w:rsidR="00000000" w:rsidRDefault="00000000">
      <w:r>
        <w:t>159.</w:t>
      </w:r>
      <w:r>
        <w:tab/>
        <w:t>Пункт 4 статьи 11 Хартии допускает экспроприацию или иное принудительное ограничение права собственности в общественных интересах на основе закона и за компенсацию.  В пункте 3 статьи 12 указывается, что иные исключения из принципа неприкосновенности жилища (за исключением домашних обысков в целях уголовного судопроизводства) могут разрешаться законом лишь в тех случаях, когда это необходимо в демократическом обществе для защиты жизни или здоровья личности, прав и свобод других лиц или же в целях предотвращения серьезной угрозы общественной безопасности и порядку.</w:t>
      </w:r>
    </w:p>
    <w:p w:rsidR="00000000" w:rsidRDefault="00000000"/>
    <w:p w:rsidR="00000000" w:rsidRDefault="00000000">
      <w:r>
        <w:t>160.</w:t>
      </w:r>
      <w:r>
        <w:tab/>
        <w:t>Пункт 3 статьи 14 Хартии также разрешает ограничивать свободу передвижения и местожительства на основе закона, если это необходимо для безопасности государства, поддержания общественного порядка и т.д.  Аналогичное ограничение основных прав и свобод содержится в пункте 4 статьи 16, который касается религиозных свобод.</w:t>
      </w:r>
    </w:p>
    <w:p w:rsidR="00000000" w:rsidRDefault="00000000"/>
    <w:p w:rsidR="00000000" w:rsidRDefault="00000000">
      <w:r>
        <w:t>161.</w:t>
      </w:r>
      <w:r>
        <w:tab/>
        <w:t>Конституционный закон о безопасности Чешской Республики</w:t>
      </w:r>
      <w:r>
        <w:rPr>
          <w:rStyle w:val="FootnoteReference"/>
        </w:rPr>
        <w:footnoteReference w:id="96"/>
      </w:r>
      <w:r>
        <w:t xml:space="preserve"> предусматривает ограничение некоторых прав и свобод (и установление определенных обязательств) в случае чрезвычайного положения, угрозы национальной безопасности или состояния войны.  Правительство (а в случае возможной задержки - премьер-министр) может объявить чрезвычайное положение не более чем на 30 дней в случае стихийного бедствия, экологической или промышленной катастрофы или аварии, которые серьезно угрожают жизни, здоровью, имуществу или внутреннему порядку и безопасности.  Правительство незамедлительно информирует об объявлении чрезвычайного положения палату депутатов, которая может отменить или расширить это решение.</w:t>
      </w:r>
    </w:p>
    <w:p w:rsidR="00000000" w:rsidRDefault="00000000"/>
    <w:p w:rsidR="00000000" w:rsidRDefault="00000000">
      <w:r>
        <w:t>162.</w:t>
      </w:r>
      <w:r>
        <w:tab/>
        <w:t>Состояние угрозы национальной безопасности объявляется в тех случаях, когда суверенитет или территориальная целостность государства подвергаются угрозе, а также когда возникает угроза демократическим основам государства.  Объявление об угрозе национальной безопасности принимается палатой депутатов и сенатом</w:t>
      </w:r>
      <w:r>
        <w:rPr>
          <w:rStyle w:val="FootnoteReference"/>
        </w:rPr>
        <w:footnoteReference w:id="97"/>
      </w:r>
      <w:r>
        <w:t>.  Если мандат депутата, сенатора, президента Республики или представительного органа заканчивается в течение действия состояния угрозы национальной безопасности, он может быть продлен на шесть месяцев.</w:t>
      </w:r>
    </w:p>
    <w:p w:rsidR="00000000" w:rsidRDefault="00000000"/>
    <w:p w:rsidR="00000000" w:rsidRDefault="00000000">
      <w:r>
        <w:t>163.</w:t>
      </w:r>
      <w:r>
        <w:tab/>
        <w:t>Вышеуказанный Конституционный закон был вначале подвергнут критике со стороны общественности за слишком широкое ограничение основных прав и свобод в указанных выше ситуациях, поскольку во время его принятия он не был конкретизирован в законах, которые должны были детализировать масштабы и методы ограничения некоторых прав и конкретные обязательства для юридических и физических лиц.  Такие законы были приняты и вступили в силу с 1 декабря 1999 года.</w:t>
      </w:r>
    </w:p>
    <w:p w:rsidR="00000000" w:rsidRDefault="00000000"/>
    <w:p w:rsidR="00000000" w:rsidRDefault="00000000">
      <w:r>
        <w:t>164.</w:t>
      </w:r>
      <w:r>
        <w:tab/>
        <w:t>Одновременно статья 44 Хартии позволяет ограничивать на основании закона некоторые права военнослужащих (право на собрания, право на петиции и право создавать профессиональные союзы), если это связано с выполнением их обязанностей.  Она также позволяет на основе закона ограничивать некоторые другие права в случае принятия мер, необходимых в демократическом обществе для обеспечения национальной безопасности.  Исходя из вышесказанного, Закон о военнослужащих-профессионалах</w:t>
      </w:r>
      <w:r>
        <w:rPr>
          <w:rStyle w:val="FootnoteReference"/>
        </w:rPr>
        <w:footnoteReference w:id="98"/>
      </w:r>
      <w:r>
        <w:t xml:space="preserve"> содержит ограничение права на собрания (пункт 44), права на ассоциации (пункт 45) и права на свободу религии или вероисповедания (пункт 46).</w:t>
      </w:r>
    </w:p>
    <w:p w:rsidR="00000000" w:rsidRDefault="00000000"/>
    <w:p w:rsidR="00000000" w:rsidRDefault="00000000">
      <w:r>
        <w:br w:type="page"/>
        <w:t>165.</w:t>
      </w:r>
      <w:r>
        <w:tab/>
        <w:t>Согласно новому Закону об обеспечении обороны Чешской Республики</w:t>
      </w:r>
      <w:r>
        <w:rPr>
          <w:rStyle w:val="FootnoteReference"/>
        </w:rPr>
        <w:footnoteReference w:id="99"/>
      </w:r>
      <w:r>
        <w:t>, который вступил в силу 1 декабря 1999 года, можно в соответствии со статьей 4 Пакта и на основе статей 4, 19, 20 и 35 Хартии, ограничивать некоторые основные права и свободы в случае угрозы национальной безопасности и при состоянии войны, когда приоритет в первую очередь отводится защите целостности государства и, тем самым, неприкосновенности каждого гражданина.</w:t>
      </w:r>
    </w:p>
    <w:p w:rsidR="00000000" w:rsidRDefault="00000000"/>
    <w:p w:rsidR="00000000" w:rsidRDefault="00000000">
      <w:r>
        <w:t>166.</w:t>
      </w:r>
      <w:r>
        <w:tab/>
        <w:t>В статье 53 этого закона не только перечисляются права и свободы, которые могут ограничиваться в случае угрозы национальной безопасности и состояния войны, с тем чтобы обеспечить эффективную оборону государства, но также излагается основное содержание этих ограничений.  Учитывая тот факт, что невозможно предвидеть масштабы ограничения основных прав и свобод, предлагается принимать решения путем постановлений в соответствии с этим законом.</w:t>
      </w:r>
    </w:p>
    <w:p w:rsidR="00000000" w:rsidRDefault="00000000">
      <w:pPr>
        <w:spacing w:line="240" w:lineRule="auto"/>
      </w:pPr>
    </w:p>
    <w:p w:rsidR="00000000" w:rsidRDefault="00000000">
      <w:pPr>
        <w:pStyle w:val="10"/>
        <w:spacing w:line="240" w:lineRule="auto"/>
        <w:rPr>
          <w:bCs/>
        </w:rPr>
      </w:pPr>
      <w:r>
        <w:rPr>
          <w:bCs/>
        </w:rPr>
        <w:t>Статья 5</w:t>
      </w:r>
    </w:p>
    <w:p w:rsidR="00000000" w:rsidRDefault="00000000">
      <w:pPr>
        <w:spacing w:line="240" w:lineRule="auto"/>
      </w:pPr>
    </w:p>
    <w:p w:rsidR="00000000" w:rsidRDefault="00000000">
      <w:pPr>
        <w:pStyle w:val="BodyText"/>
        <w:spacing w:line="288" w:lineRule="auto"/>
      </w:pPr>
      <w:r>
        <w:t>167.</w:t>
      </w:r>
      <w:r>
        <w:tab/>
        <w:t xml:space="preserve">В Чешской Республике в полном объеме соблюдаются нормы толкования положений Пакта.  Никакие права, гарантированные чешским законодательством, не ограничиваются под тем предлогом, что в Пакте специально не предусмотрена защита таких прав или их защита в меньшем объеме предусмотрена, чем в соответствующем национальном законе.  Это касается, в частности, прав, закрепленных в Хартии, которая гарантирует ряд прав в большем объеме, чем они признаются в Пакте. </w:t>
      </w:r>
    </w:p>
    <w:p w:rsidR="00000000" w:rsidRDefault="00000000">
      <w:pPr>
        <w:shd w:val="clear" w:color="auto" w:fill="FFFFFF"/>
        <w:rPr>
          <w:szCs w:val="24"/>
        </w:rPr>
      </w:pPr>
    </w:p>
    <w:p w:rsidR="00000000" w:rsidRDefault="00000000">
      <w:pPr>
        <w:shd w:val="clear" w:color="auto" w:fill="FFFFFF"/>
        <w:rPr>
          <w:color w:val="000000"/>
          <w:szCs w:val="25"/>
        </w:rPr>
      </w:pPr>
      <w:r>
        <w:rPr>
          <w:color w:val="000000"/>
          <w:szCs w:val="25"/>
        </w:rPr>
        <w:t>168.</w:t>
      </w:r>
      <w:r>
        <w:rPr>
          <w:color w:val="000000"/>
          <w:szCs w:val="25"/>
        </w:rPr>
        <w:tab/>
        <w:t xml:space="preserve">Запрещение отмены любых вытекающих из Пакта прав связано с выполнением </w:t>
      </w:r>
      <w:r>
        <w:rPr>
          <w:color w:val="000000"/>
          <w:szCs w:val="27"/>
        </w:rPr>
        <w:t xml:space="preserve">обязательств, изложенных в статье 5 Международного пакта о гражданских и </w:t>
      </w:r>
      <w:r>
        <w:rPr>
          <w:color w:val="000000"/>
          <w:szCs w:val="25"/>
        </w:rPr>
        <w:t>политических правах</w:t>
      </w:r>
      <w:r>
        <w:rPr>
          <w:rStyle w:val="FootnoteReference"/>
          <w:szCs w:val="25"/>
        </w:rPr>
        <w:footnoteReference w:id="100"/>
      </w:r>
      <w:r>
        <w:rPr>
          <w:color w:val="000000"/>
          <w:szCs w:val="25"/>
        </w:rPr>
        <w:t xml:space="preserve"> и в статье 17 Европейской конвенции о защите прав человека и основных свобод</w:t>
      </w:r>
      <w:r>
        <w:rPr>
          <w:rStyle w:val="FootnoteReference"/>
          <w:szCs w:val="25"/>
        </w:rPr>
        <w:footnoteReference w:id="101"/>
      </w:r>
      <w:r>
        <w:rPr>
          <w:color w:val="000000"/>
          <w:szCs w:val="25"/>
        </w:rPr>
        <w:t>.  Эти статьи запрещают отдельным лицам, группам и государственным органам ограничивать или отменять какие бы то ни было признанные права.  В чешском законодательстве данный принцип закреплен также в статье 3 Гражданского кодекса</w:t>
      </w:r>
      <w:r>
        <w:rPr>
          <w:rStyle w:val="FootnoteReference"/>
          <w:szCs w:val="25"/>
        </w:rPr>
        <w:footnoteReference w:id="102"/>
      </w:r>
      <w:r>
        <w:rPr>
          <w:color w:val="000000"/>
          <w:szCs w:val="25"/>
        </w:rPr>
        <w:t>:</w:t>
      </w:r>
    </w:p>
    <w:p w:rsidR="00000000" w:rsidRDefault="00000000">
      <w:pPr>
        <w:shd w:val="clear" w:color="auto" w:fill="FFFFFF"/>
        <w:rPr>
          <w:szCs w:val="24"/>
        </w:rPr>
      </w:pPr>
    </w:p>
    <w:p w:rsidR="00000000" w:rsidRDefault="00000000">
      <w:pPr>
        <w:shd w:val="clear" w:color="auto" w:fill="FFFFFF"/>
        <w:ind w:left="567" w:hanging="567"/>
        <w:rPr>
          <w:color w:val="000000"/>
          <w:szCs w:val="25"/>
        </w:rPr>
      </w:pPr>
      <w:r>
        <w:rPr>
          <w:color w:val="000000"/>
          <w:szCs w:val="25"/>
        </w:rPr>
        <w:tab/>
      </w:r>
      <w:r>
        <w:rPr>
          <w:color w:val="000000"/>
          <w:szCs w:val="25"/>
        </w:rPr>
        <w:tab/>
        <w:t>"Осуществление прав и выполнение обязанностей (обязательств), вытекающих из норм гражданского права, не должны, без легитимных на то оснований, нарушать права и законные интересы других и не должны противоречить соответствующим моральным принципам.  Физические и юридические лица, государственные учреждения (органы) должны следить за тем, чтобы права, вытекающие из норм гражданского права, не ущемлялись и не нарушались и чтобы любые возможные споры между сторонами разрешались прежде всего мирным путем".</w:t>
      </w:r>
    </w:p>
    <w:p w:rsidR="00000000" w:rsidRDefault="00000000">
      <w:pPr>
        <w:shd w:val="clear" w:color="auto" w:fill="FFFFFF"/>
        <w:ind w:left="567" w:hanging="567"/>
        <w:rPr>
          <w:szCs w:val="24"/>
        </w:rPr>
      </w:pPr>
    </w:p>
    <w:p w:rsidR="00000000" w:rsidRDefault="00000000">
      <w:pPr>
        <w:shd w:val="clear" w:color="auto" w:fill="FFFFFF"/>
        <w:rPr>
          <w:szCs w:val="24"/>
        </w:rPr>
      </w:pPr>
      <w:r>
        <w:rPr>
          <w:color w:val="000000"/>
          <w:szCs w:val="25"/>
        </w:rPr>
        <w:t>В статье 7 Гражданского кодекса говорится, что "частное (физическое) лицо приобретает при рождении способность иметь права и обязанности (обязательства).  Такой способностью обладает также зачатый ребенок, если он рождается живым".</w:t>
      </w:r>
    </w:p>
    <w:p w:rsidR="00000000" w:rsidRDefault="00000000">
      <w:pPr>
        <w:shd w:val="clear" w:color="auto" w:fill="FFFFFF"/>
        <w:rPr>
          <w:szCs w:val="24"/>
        </w:rPr>
      </w:pPr>
    </w:p>
    <w:p w:rsidR="00000000" w:rsidRDefault="00000000">
      <w:pPr>
        <w:shd w:val="clear" w:color="auto" w:fill="FFFFFF"/>
        <w:rPr>
          <w:color w:val="000000"/>
          <w:szCs w:val="25"/>
        </w:rPr>
      </w:pPr>
      <w:r>
        <w:rPr>
          <w:color w:val="000000"/>
          <w:szCs w:val="25"/>
        </w:rPr>
        <w:t>169.</w:t>
      </w:r>
      <w:r>
        <w:rPr>
          <w:color w:val="000000"/>
          <w:szCs w:val="25"/>
        </w:rPr>
        <w:tab/>
        <w:t>Право на судебную и иную правовую защиту регулируется в целом статьей 36 Хартии:</w:t>
      </w:r>
    </w:p>
    <w:p w:rsidR="00000000" w:rsidRDefault="00000000">
      <w:pPr>
        <w:shd w:val="clear" w:color="auto" w:fill="FFFFFF"/>
        <w:rPr>
          <w:szCs w:val="24"/>
        </w:rPr>
      </w:pPr>
    </w:p>
    <w:p w:rsidR="00000000" w:rsidRDefault="00000000">
      <w:pPr>
        <w:shd w:val="clear" w:color="auto" w:fill="FFFFFF"/>
        <w:ind w:left="567" w:hanging="567"/>
        <w:rPr>
          <w:color w:val="000000"/>
          <w:szCs w:val="24"/>
        </w:rPr>
      </w:pPr>
      <w:r>
        <w:rPr>
          <w:color w:val="000000"/>
          <w:szCs w:val="24"/>
        </w:rPr>
        <w:tab/>
      </w:r>
      <w:r>
        <w:rPr>
          <w:color w:val="000000"/>
          <w:szCs w:val="24"/>
        </w:rPr>
        <w:tab/>
        <w:t xml:space="preserve">"Каждый может в установленном законом порядке отстаивать свои права в независимом и беспристрастном суде и в особых случаях в ином органе.  Каждый, кто утверждает, что его права были нарушены решением органа государственной администрации, может обратиться в суд для проверки законности данного решения, если иное не предусмотрено законом.  При этом из компетенции суда не может быть исключена проверка решений, которые затрагивают основные права и свободы, закрепленные в Хартии". </w:t>
      </w:r>
    </w:p>
    <w:p w:rsidR="00000000" w:rsidRDefault="00000000">
      <w:pPr>
        <w:shd w:val="clear" w:color="auto" w:fill="FFFFFF"/>
        <w:ind w:left="567" w:hanging="567"/>
        <w:rPr>
          <w:color w:val="000000"/>
          <w:szCs w:val="24"/>
        </w:rPr>
      </w:pPr>
    </w:p>
    <w:p w:rsidR="00000000" w:rsidRDefault="00000000">
      <w:pPr>
        <w:shd w:val="clear" w:color="auto" w:fill="FFFFFF"/>
        <w:rPr>
          <w:szCs w:val="24"/>
        </w:rPr>
      </w:pPr>
      <w:r>
        <w:rPr>
          <w:color w:val="000000"/>
          <w:szCs w:val="24"/>
        </w:rPr>
        <w:t>В пункте 4 упомянутой статьи уточняется также, что конкретные условия и подробные положения устанавливаются законом.</w:t>
      </w:r>
    </w:p>
    <w:p w:rsidR="00000000" w:rsidRDefault="00000000">
      <w:pPr>
        <w:shd w:val="clear" w:color="auto" w:fill="FFFFFF"/>
        <w:rPr>
          <w:szCs w:val="24"/>
        </w:rPr>
      </w:pPr>
    </w:p>
    <w:p w:rsidR="00000000" w:rsidRDefault="00000000">
      <w:pPr>
        <w:shd w:val="clear" w:color="auto" w:fill="FFFFFF"/>
        <w:rPr>
          <w:szCs w:val="24"/>
        </w:rPr>
      </w:pPr>
      <w:r>
        <w:rPr>
          <w:color w:val="000000"/>
          <w:szCs w:val="24"/>
        </w:rPr>
        <w:t>170.</w:t>
      </w:r>
      <w:r>
        <w:rPr>
          <w:color w:val="000000"/>
          <w:szCs w:val="24"/>
        </w:rPr>
        <w:tab/>
        <w:t>Никакие основные права и свободы не могут быть исключены из сферы судебной защиты.  Процедуры судебного разбирательства основаны на принципах так называемой "концепции справедливого судебного разбирательства".  В Конституции и Хартии определены следующие принципы справедливого судебного разбирательства:</w:t>
      </w:r>
    </w:p>
    <w:p w:rsidR="00000000" w:rsidRDefault="00000000">
      <w:pPr>
        <w:shd w:val="clear" w:color="auto" w:fill="FFFFFF"/>
        <w:rPr>
          <w:color w:val="000000"/>
          <w:szCs w:val="24"/>
        </w:rPr>
      </w:pPr>
    </w:p>
    <w:p w:rsidR="00000000" w:rsidRDefault="00000000">
      <w:pPr>
        <w:shd w:val="clear" w:color="auto" w:fill="FFFFFF"/>
        <w:ind w:firstLine="561"/>
        <w:rPr>
          <w:szCs w:val="24"/>
        </w:rPr>
      </w:pPr>
      <w:r>
        <w:rPr>
          <w:color w:val="000000"/>
          <w:szCs w:val="24"/>
        </w:rPr>
        <w:t>все стороны имеют равные права в суде;</w:t>
      </w:r>
    </w:p>
    <w:p w:rsidR="00000000" w:rsidRDefault="00000000">
      <w:pPr>
        <w:shd w:val="clear" w:color="auto" w:fill="FFFFFF"/>
        <w:rPr>
          <w:szCs w:val="24"/>
        </w:rPr>
      </w:pPr>
    </w:p>
    <w:p w:rsidR="00000000" w:rsidRDefault="00000000">
      <w:pPr>
        <w:shd w:val="clear" w:color="auto" w:fill="FFFFFF"/>
        <w:ind w:left="561" w:hanging="561"/>
      </w:pPr>
      <w:r>
        <w:rPr>
          <w:color w:val="000000"/>
          <w:szCs w:val="25"/>
        </w:rPr>
        <w:tab/>
      </w:r>
      <w:r>
        <w:t>разбирательство дел в судах является устным и открытым;  исключения из этого правила устанавливаются законом;</w:t>
      </w:r>
    </w:p>
    <w:p w:rsidR="00000000" w:rsidRDefault="00000000">
      <w:pPr>
        <w:shd w:val="clear" w:color="auto" w:fill="FFFFFF"/>
        <w:ind w:left="561" w:hanging="561"/>
      </w:pPr>
    </w:p>
    <w:p w:rsidR="00000000" w:rsidRDefault="00000000">
      <w:pPr>
        <w:shd w:val="clear" w:color="auto" w:fill="FFFFFF"/>
        <w:ind w:left="567"/>
        <w:rPr>
          <w:color w:val="000000"/>
          <w:szCs w:val="25"/>
        </w:rPr>
      </w:pPr>
      <w:r>
        <w:rPr>
          <w:color w:val="000000"/>
          <w:szCs w:val="25"/>
        </w:rPr>
        <w:t>решения всегда объявляются публично;</w:t>
      </w:r>
    </w:p>
    <w:p w:rsidR="00000000" w:rsidRDefault="00000000">
      <w:pPr>
        <w:shd w:val="clear" w:color="auto" w:fill="FFFFFF"/>
        <w:rPr>
          <w:color w:val="000000"/>
          <w:szCs w:val="25"/>
        </w:rPr>
      </w:pPr>
    </w:p>
    <w:p w:rsidR="00000000" w:rsidRDefault="00000000">
      <w:pPr>
        <w:shd w:val="clear" w:color="auto" w:fill="FFFFFF"/>
        <w:ind w:left="567" w:hanging="567"/>
        <w:rPr>
          <w:color w:val="000000"/>
          <w:szCs w:val="25"/>
        </w:rPr>
      </w:pPr>
      <w:r>
        <w:rPr>
          <w:color w:val="000000"/>
          <w:szCs w:val="25"/>
        </w:rPr>
        <w:tab/>
        <w:t>каждый имеет право отказаться от дачи показаний, если это создает для него или близкого ему лица опасность уголовного преследования;</w:t>
      </w:r>
    </w:p>
    <w:p w:rsidR="00000000" w:rsidRDefault="00000000">
      <w:pPr>
        <w:shd w:val="clear" w:color="auto" w:fill="FFFFFF"/>
        <w:ind w:left="567" w:hanging="567"/>
        <w:rPr>
          <w:color w:val="000000"/>
          <w:szCs w:val="25"/>
        </w:rPr>
      </w:pPr>
    </w:p>
    <w:p w:rsidR="00000000" w:rsidRDefault="00000000">
      <w:pPr>
        <w:shd w:val="clear" w:color="auto" w:fill="FFFFFF"/>
        <w:ind w:left="567" w:hanging="567"/>
        <w:rPr>
          <w:color w:val="000000"/>
          <w:szCs w:val="25"/>
        </w:rPr>
      </w:pPr>
      <w:r>
        <w:rPr>
          <w:color w:val="000000"/>
          <w:szCs w:val="25"/>
        </w:rPr>
        <w:tab/>
        <w:t>каждый имеет право на правовую помощь при рассмотрении его дела в суде, ином государственном органе или органе государственной администрации с момента начала судопроизводства;</w:t>
      </w:r>
    </w:p>
    <w:p w:rsidR="00000000" w:rsidRDefault="00000000">
      <w:pPr>
        <w:shd w:val="clear" w:color="auto" w:fill="FFFFFF"/>
        <w:ind w:left="567" w:hanging="567"/>
        <w:rPr>
          <w:color w:val="000000"/>
          <w:szCs w:val="25"/>
        </w:rPr>
      </w:pPr>
    </w:p>
    <w:p w:rsidR="00000000" w:rsidRDefault="00000000">
      <w:pPr>
        <w:shd w:val="clear" w:color="auto" w:fill="FFFFFF"/>
        <w:ind w:left="567" w:hanging="567"/>
        <w:rPr>
          <w:szCs w:val="24"/>
        </w:rPr>
      </w:pPr>
      <w:r>
        <w:rPr>
          <w:color w:val="000000"/>
          <w:szCs w:val="25"/>
        </w:rPr>
        <w:tab/>
        <w:t>каждый, кто заявит, что он не владеет языком, на котором проводится разбирательство, имеет право на помощь переводчика;</w:t>
      </w:r>
    </w:p>
    <w:p w:rsidR="00000000" w:rsidRDefault="00000000">
      <w:pPr>
        <w:rPr>
          <w:szCs w:val="24"/>
        </w:rPr>
      </w:pPr>
    </w:p>
    <w:p w:rsidR="00000000" w:rsidRDefault="00000000">
      <w:pPr>
        <w:shd w:val="clear" w:color="auto" w:fill="FFFFFF"/>
        <w:ind w:left="567" w:hanging="567"/>
        <w:rPr>
          <w:color w:val="000000"/>
          <w:szCs w:val="25"/>
        </w:rPr>
      </w:pPr>
      <w:r>
        <w:rPr>
          <w:color w:val="000000"/>
          <w:szCs w:val="25"/>
        </w:rPr>
        <w:tab/>
        <w:t>каждый имеет право на открытое рассмотрение его дела без излишней задержки и в его присутствии, с тем чтобы он мог высказаться по всем представленным доказательствам;</w:t>
      </w:r>
    </w:p>
    <w:p w:rsidR="00000000" w:rsidRDefault="00000000">
      <w:pPr>
        <w:shd w:val="clear" w:color="auto" w:fill="FFFFFF"/>
        <w:ind w:left="567" w:hanging="567"/>
        <w:rPr>
          <w:szCs w:val="24"/>
        </w:rPr>
      </w:pPr>
    </w:p>
    <w:p w:rsidR="00000000" w:rsidRDefault="00000000">
      <w:pPr>
        <w:shd w:val="clear" w:color="auto" w:fill="FFFFFF"/>
        <w:ind w:left="567" w:hanging="567"/>
        <w:rPr>
          <w:szCs w:val="24"/>
        </w:rPr>
      </w:pPr>
      <w:r>
        <w:rPr>
          <w:color w:val="000000"/>
          <w:szCs w:val="25"/>
        </w:rPr>
        <w:tab/>
        <w:t>в уголовном праве действуют принцип "</w:t>
      </w:r>
      <w:r>
        <w:rPr>
          <w:color w:val="000000"/>
          <w:szCs w:val="25"/>
          <w:lang w:val="en-US"/>
        </w:rPr>
        <w:t>nulla</w:t>
      </w:r>
      <w:r>
        <w:rPr>
          <w:color w:val="000000"/>
          <w:szCs w:val="25"/>
        </w:rPr>
        <w:t xml:space="preserve"> </w:t>
      </w:r>
      <w:r>
        <w:rPr>
          <w:color w:val="000000"/>
          <w:szCs w:val="25"/>
          <w:lang w:val="en-US"/>
        </w:rPr>
        <w:t>poena</w:t>
      </w:r>
      <w:r>
        <w:rPr>
          <w:color w:val="000000"/>
          <w:szCs w:val="25"/>
        </w:rPr>
        <w:t xml:space="preserve"> </w:t>
      </w:r>
      <w:r>
        <w:rPr>
          <w:color w:val="000000"/>
          <w:szCs w:val="25"/>
          <w:lang w:val="en-US"/>
        </w:rPr>
        <w:t>sine</w:t>
      </w:r>
      <w:r>
        <w:rPr>
          <w:color w:val="000000"/>
          <w:szCs w:val="25"/>
        </w:rPr>
        <w:t xml:space="preserve"> </w:t>
      </w:r>
      <w:r>
        <w:rPr>
          <w:color w:val="000000"/>
          <w:szCs w:val="25"/>
          <w:lang w:val="en-US"/>
        </w:rPr>
        <w:t>lege</w:t>
      </w:r>
      <w:r>
        <w:rPr>
          <w:color w:val="000000"/>
          <w:szCs w:val="25"/>
        </w:rPr>
        <w:t>", презумпция невиновности и запрещение ретроактивного применения законов;</w:t>
      </w:r>
    </w:p>
    <w:p w:rsidR="00000000" w:rsidRDefault="00000000">
      <w:pPr>
        <w:shd w:val="clear" w:color="auto" w:fill="FFFFFF"/>
        <w:rPr>
          <w:szCs w:val="24"/>
        </w:rPr>
      </w:pPr>
    </w:p>
    <w:p w:rsidR="00000000" w:rsidRDefault="00000000">
      <w:pPr>
        <w:shd w:val="clear" w:color="auto" w:fill="FFFFFF"/>
        <w:ind w:left="567" w:hanging="567"/>
        <w:rPr>
          <w:color w:val="000000"/>
          <w:szCs w:val="24"/>
        </w:rPr>
      </w:pPr>
      <w:r>
        <w:rPr>
          <w:color w:val="000000"/>
          <w:szCs w:val="24"/>
        </w:rPr>
        <w:tab/>
        <w:t>в уголовном судопроизводстве обвиняемый имеет право на получение времени и возможностей для подготовки и осуществления самостоятельной защиты или защиты с помощью адвоката;</w:t>
      </w:r>
    </w:p>
    <w:p w:rsidR="00000000" w:rsidRDefault="00000000">
      <w:pPr>
        <w:shd w:val="clear" w:color="auto" w:fill="FFFFFF"/>
        <w:ind w:left="567" w:hanging="567"/>
        <w:rPr>
          <w:szCs w:val="24"/>
        </w:rPr>
      </w:pPr>
    </w:p>
    <w:p w:rsidR="00000000" w:rsidRDefault="00000000">
      <w:pPr>
        <w:shd w:val="clear" w:color="auto" w:fill="FFFFFF"/>
        <w:ind w:left="567" w:hanging="567"/>
        <w:rPr>
          <w:color w:val="000000"/>
          <w:szCs w:val="24"/>
        </w:rPr>
      </w:pPr>
      <w:r>
        <w:rPr>
          <w:color w:val="000000"/>
          <w:szCs w:val="26"/>
        </w:rPr>
        <w:tab/>
        <w:t xml:space="preserve">если у обвиняемого нет адвоката, несмотря на то, что он должен иметь адвоката по </w:t>
      </w:r>
      <w:r>
        <w:rPr>
          <w:color w:val="000000"/>
          <w:szCs w:val="24"/>
        </w:rPr>
        <w:t>закону, услуги адвоката предоставляются ему бесплатно;</w:t>
      </w:r>
    </w:p>
    <w:p w:rsidR="00000000" w:rsidRDefault="00000000">
      <w:pPr>
        <w:shd w:val="clear" w:color="auto" w:fill="FFFFFF"/>
        <w:ind w:left="567" w:hanging="567"/>
        <w:rPr>
          <w:color w:val="000000"/>
          <w:szCs w:val="24"/>
        </w:rPr>
      </w:pPr>
    </w:p>
    <w:p w:rsidR="00000000" w:rsidRDefault="00000000">
      <w:pPr>
        <w:shd w:val="clear" w:color="auto" w:fill="FFFFFF"/>
        <w:ind w:left="567" w:hanging="567"/>
        <w:rPr>
          <w:color w:val="000000"/>
          <w:szCs w:val="24"/>
        </w:rPr>
      </w:pPr>
      <w:r>
        <w:rPr>
          <w:color w:val="000000"/>
          <w:szCs w:val="24"/>
        </w:rPr>
        <w:tab/>
        <w:t>обвиняемый имеет право отказаться от дачи показаний и не может быть лишен этого права ни при каких обстоятельствах.</w:t>
      </w:r>
    </w:p>
    <w:p w:rsidR="00000000" w:rsidRDefault="00000000">
      <w:pPr>
        <w:shd w:val="clear" w:color="auto" w:fill="FFFFFF"/>
        <w:ind w:left="567" w:hanging="567"/>
        <w:rPr>
          <w:color w:val="000000"/>
          <w:szCs w:val="24"/>
        </w:rPr>
      </w:pPr>
    </w:p>
    <w:p w:rsidR="00000000" w:rsidRDefault="00000000">
      <w:pPr>
        <w:shd w:val="clear" w:color="auto" w:fill="FFFFFF"/>
        <w:ind w:left="567" w:hanging="567"/>
        <w:rPr>
          <w:szCs w:val="24"/>
        </w:rPr>
      </w:pPr>
      <w:r>
        <w:rPr>
          <w:color w:val="000000"/>
          <w:szCs w:val="24"/>
        </w:rPr>
        <w:t>171.</w:t>
      </w:r>
      <w:r>
        <w:rPr>
          <w:color w:val="000000"/>
          <w:szCs w:val="24"/>
        </w:rPr>
        <w:tab/>
        <w:t>В правовой системе Чешской Республики нет ни одного нормативного акта, который</w:t>
      </w:r>
    </w:p>
    <w:p w:rsidR="00000000" w:rsidRDefault="00000000">
      <w:pPr>
        <w:shd w:val="clear" w:color="auto" w:fill="FFFFFF"/>
        <w:rPr>
          <w:color w:val="000000"/>
          <w:szCs w:val="24"/>
        </w:rPr>
      </w:pPr>
      <w:r>
        <w:rPr>
          <w:color w:val="000000"/>
          <w:szCs w:val="24"/>
        </w:rPr>
        <w:t>противоречил бы статье 5 Пакта.  Благодаря этому, а также тому, что статья 10 Конституции гарантирует прямое действие международных договоров и их преимущество перед внутренним законодательством, можно непосредственно применять статью 5 Пакта.  В сфере трудового законодательства злоупотребления четко запрещены в пункте 2 статьи 7 Трудового кодекса</w:t>
      </w:r>
      <w:r>
        <w:rPr>
          <w:rStyle w:val="FootnoteReference"/>
          <w:szCs w:val="24"/>
        </w:rPr>
        <w:footnoteReference w:id="103"/>
      </w:r>
      <w:r>
        <w:rPr>
          <w:color w:val="000000"/>
          <w:szCs w:val="24"/>
        </w:rPr>
        <w:t>:</w:t>
      </w:r>
    </w:p>
    <w:p w:rsidR="00000000" w:rsidRDefault="00000000">
      <w:pPr>
        <w:shd w:val="clear" w:color="auto" w:fill="FFFFFF"/>
        <w:rPr>
          <w:color w:val="000000"/>
          <w:szCs w:val="24"/>
        </w:rPr>
      </w:pPr>
    </w:p>
    <w:p w:rsidR="00000000" w:rsidRDefault="00000000">
      <w:pPr>
        <w:shd w:val="clear" w:color="auto" w:fill="FFFFFF"/>
        <w:ind w:left="567" w:hanging="567"/>
        <w:rPr>
          <w:szCs w:val="24"/>
        </w:rPr>
      </w:pPr>
      <w:r>
        <w:rPr>
          <w:color w:val="000000"/>
          <w:szCs w:val="24"/>
        </w:rPr>
        <w:tab/>
      </w:r>
      <w:r>
        <w:rPr>
          <w:color w:val="000000"/>
          <w:szCs w:val="24"/>
        </w:rPr>
        <w:tab/>
        <w:t>"Никакая сторона трудовых отношений не должна осуществлять права или выполнять обязанности, вытекающие из норм трудового права, в ущерб другой стороне".</w:t>
      </w:r>
    </w:p>
    <w:p w:rsidR="00000000" w:rsidRDefault="00000000">
      <w:pPr>
        <w:shd w:val="clear" w:color="auto" w:fill="FFFFFF"/>
        <w:rPr>
          <w:color w:val="000000"/>
          <w:szCs w:val="25"/>
        </w:rPr>
      </w:pPr>
    </w:p>
    <w:p w:rsidR="00000000" w:rsidRDefault="00000000">
      <w:pPr>
        <w:shd w:val="clear" w:color="auto" w:fill="FFFFFF"/>
        <w:rPr>
          <w:color w:val="000000"/>
          <w:szCs w:val="25"/>
        </w:rPr>
      </w:pPr>
      <w:r>
        <w:rPr>
          <w:color w:val="000000"/>
          <w:szCs w:val="25"/>
        </w:rPr>
        <w:t>172.</w:t>
      </w:r>
      <w:r>
        <w:rPr>
          <w:color w:val="000000"/>
          <w:szCs w:val="25"/>
        </w:rPr>
        <w:tab/>
        <w:t xml:space="preserve">Судебная защита индивидуальных прав является одним из основополагающих институтов чешской правовой системы.  Каждый может в установленном порядке отстаивать свои права суде, который является независимым от исполнительной власти и беспристрастным.  Закон может также установить иной порядок определения законности решений государственных административных органов, но только суд компетентен пересматривать решения, касающиеся прав и свобод, закрепленных в Хартии.  В то же время для целей правовой защиты крайне важно, чтобы все знали, какие права гарантируются Пактом, а судебные и административные органы были осведомлены о тех </w:t>
      </w:r>
    </w:p>
    <w:p w:rsidR="00000000" w:rsidRDefault="00000000">
      <w:pPr>
        <w:shd w:val="clear" w:color="auto" w:fill="FFFFFF"/>
        <w:rPr>
          <w:color w:val="000000"/>
          <w:szCs w:val="25"/>
        </w:rPr>
      </w:pPr>
      <w:r>
        <w:rPr>
          <w:color w:val="000000"/>
          <w:szCs w:val="25"/>
        </w:rPr>
        <w:br w:type="page"/>
        <w:t>обязательствах, которые возложены на Чешскую Республику как на государство </w:t>
      </w:r>
      <w:r>
        <w:rPr>
          <w:color w:val="000000"/>
          <w:szCs w:val="25"/>
        </w:rPr>
        <w:noBreakHyphen/>
        <w:t xml:space="preserve"> участник Пакта.  Как отмечалось выше, все конституционные акты, законы и общеправовые обязательные нормы, действующие в Чешской Республике, в том числе тексты ратифицированных международных договоров, публикуются в Сборнике законов, а важные правовые нормы излагаются в аннотированных изданиях со ссылками на прецедентное право.</w:t>
      </w:r>
    </w:p>
    <w:p w:rsidR="00000000" w:rsidRDefault="00000000">
      <w:pPr>
        <w:shd w:val="clear" w:color="auto" w:fill="FFFFFF"/>
        <w:rPr>
          <w:color w:val="000000"/>
          <w:szCs w:val="25"/>
        </w:rPr>
      </w:pPr>
    </w:p>
    <w:p w:rsidR="00000000" w:rsidRDefault="00000000">
      <w:pPr>
        <w:shd w:val="clear" w:color="auto" w:fill="FFFFFF"/>
        <w:rPr>
          <w:szCs w:val="24"/>
        </w:rPr>
      </w:pPr>
      <w:r>
        <w:rPr>
          <w:color w:val="000000"/>
          <w:szCs w:val="25"/>
        </w:rPr>
        <w:t>173.</w:t>
      </w:r>
      <w:r>
        <w:rPr>
          <w:color w:val="000000"/>
          <w:szCs w:val="25"/>
        </w:rPr>
        <w:tab/>
        <w:t>Пункт 3 статьи 36 Хартии гласит:  "Каждый имеет право на возмещение ущерба, причиненного незаконным решением суда, иного государственного органа или органа государственной администрации либо в результате неправомочной официальной процедуры".</w:t>
      </w:r>
    </w:p>
    <w:p w:rsidR="00000000" w:rsidRDefault="00000000">
      <w:pPr>
        <w:rPr>
          <w:szCs w:val="24"/>
        </w:rPr>
      </w:pPr>
    </w:p>
    <w:p w:rsidR="00000000" w:rsidRDefault="00000000">
      <w:pPr>
        <w:shd w:val="clear" w:color="auto" w:fill="FFFFFF"/>
        <w:rPr>
          <w:color w:val="000000"/>
          <w:szCs w:val="25"/>
        </w:rPr>
      </w:pPr>
      <w:r>
        <w:rPr>
          <w:color w:val="000000"/>
          <w:szCs w:val="25"/>
        </w:rPr>
        <w:t>174.</w:t>
      </w:r>
      <w:r>
        <w:rPr>
          <w:color w:val="000000"/>
          <w:szCs w:val="25"/>
        </w:rPr>
        <w:tab/>
        <w:t>Ответственность государства за ущерб, причиненный его органами в результате решения или неправомочной процедуры, регулируется в настоящее время Законом об ответственности за ущерб, причиненный должностными лицами государственных органов или в результате неправомочной административной процедуры</w:t>
      </w:r>
      <w:r>
        <w:rPr>
          <w:rStyle w:val="FootnoteReference"/>
          <w:szCs w:val="25"/>
        </w:rPr>
        <w:footnoteReference w:id="104"/>
      </w:r>
      <w:r>
        <w:rPr>
          <w:color w:val="000000"/>
          <w:szCs w:val="25"/>
        </w:rPr>
        <w:t xml:space="preserve">.  В соответствии с этим Законом государство несет ответственность за ущерб, причиненный решением, принятым в рамках гражданского судопроизводства, административного производства или уголовного судопроизводства, либо в результате </w:t>
      </w:r>
      <w:r>
        <w:rPr>
          <w:color w:val="000000"/>
          <w:szCs w:val="24"/>
        </w:rPr>
        <w:t>неправомочной административной процедуры (статья 5 упомянутого закона).  Согласно условиям, установленным в этом законе, территориальные самоуправляющиеся органы несут ответственность за ущерб, причиненный при исполнении полномочий, которые согласно закону относятся к их исключительной</w:t>
      </w:r>
      <w:r>
        <w:rPr>
          <w:color w:val="000000"/>
          <w:szCs w:val="25"/>
        </w:rPr>
        <w:t xml:space="preserve"> юрисдикции.</w:t>
      </w:r>
    </w:p>
    <w:p w:rsidR="00000000" w:rsidRDefault="00000000">
      <w:pPr>
        <w:shd w:val="clear" w:color="auto" w:fill="FFFFFF"/>
        <w:rPr>
          <w:color w:val="000000"/>
          <w:szCs w:val="25"/>
        </w:rPr>
      </w:pPr>
    </w:p>
    <w:p w:rsidR="00000000" w:rsidRDefault="00000000">
      <w:pPr>
        <w:shd w:val="clear" w:color="auto" w:fill="FFFFFF"/>
        <w:rPr>
          <w:szCs w:val="24"/>
        </w:rPr>
      </w:pPr>
      <w:r>
        <w:rPr>
          <w:color w:val="000000"/>
          <w:szCs w:val="25"/>
        </w:rPr>
        <w:t>175.</w:t>
      </w:r>
      <w:r>
        <w:rPr>
          <w:color w:val="000000"/>
          <w:szCs w:val="25"/>
        </w:rPr>
        <w:tab/>
        <w:t>Содержащееся в упомянутом законе</w:t>
      </w:r>
      <w:r>
        <w:rPr>
          <w:color w:val="000000"/>
          <w:szCs w:val="24"/>
        </w:rPr>
        <w:t xml:space="preserve"> определение государства как субъекта, несущего ответственность за ущерб, обуславливает необходимость определить министерства или иные центральные учреждения, которые могут взять на себя ответственность от имени государства.  Эти учреждения не представляют государство, но по закону действуют от его имени не только в тех случаях, когда потерпевшая сторона требует от них возместить ущерб, как то предусмотрено в статье 14 закона, но и в рамках любых правовых процедур, предусмотренных в законе в связи с возмещением ущерба.</w:t>
      </w:r>
    </w:p>
    <w:p w:rsidR="00000000" w:rsidRDefault="00000000"/>
    <w:p w:rsidR="00000000" w:rsidRDefault="00000000">
      <w:r>
        <w:t>176.</w:t>
      </w:r>
      <w:r>
        <w:tab/>
        <w:t xml:space="preserve">В Законе различается ответственность, вытекающая "из решений о задержании, наказании или мерах защиты";  в нем также выделяется "ответственность, вытекающая из противозаконных решений", которые могут представлять собой любые иные решения по какому-либо конкретному вопросу, принятые на основе процессуальных норм, а также "ответственность за ущерб, причиненный в результате неправомочной административной процедуры".  Это различие было проведено по той причине, что решение о задержании, которое причинило ущерб, необязательно должно быть противозаконным во всех случаях, а также потому, что два других вида решений по уголовно-правовым вопросам тоже имеют свои отличительные особенности.  </w:t>
      </w:r>
    </w:p>
    <w:p w:rsidR="00000000" w:rsidRDefault="00000000"/>
    <w:p w:rsidR="00000000" w:rsidRDefault="00000000">
      <w:r>
        <w:t>177.</w:t>
      </w:r>
      <w:r>
        <w:tab/>
        <w:t>Лица, обладающие правом на возмещение ущерба, определяются в Законе о государственной ответственности по</w:t>
      </w:r>
      <w:r>
        <w:noBreakHyphen/>
        <w:t>разному, в зависимости от того, какое правовое действие привело к причинению ущерба.  В случае ущерба, причиненного решением о задержании и наказании, правом на возмещение ущерба обладает лишь лицо, которое было подвергнуто задержанию или наказанию.  В случае ущерба, причиненного в результате противозаконного решения, право на возмещение ущерба имеют стороны разбирательства, в ходе которого было принято противозаконное решение, причинившее ущерб</w:t>
      </w:r>
      <w:r>
        <w:rPr>
          <w:rStyle w:val="FootnoteReference"/>
        </w:rPr>
        <w:footnoteReference w:id="105"/>
      </w:r>
      <w:r>
        <w:t>.  В Законе ясно говорится о том, что лицо, которое не считалось стороной разбирательства, хотя и должно было быть признано таковым, также имеет право на возмещение ущерба, причиненного противозаконным решением.  В этом контексте под стороной разбирательства следует понимать лицо, которое определяется как сторона действующими процессуальными нормами, а не как лицо, признанное стороной в рамках особых процедур.</w:t>
      </w:r>
    </w:p>
    <w:p w:rsidR="00000000" w:rsidRDefault="00000000"/>
    <w:p w:rsidR="00000000" w:rsidRDefault="00000000">
      <w:r>
        <w:t>178.</w:t>
      </w:r>
      <w:r>
        <w:tab/>
        <w:t>Первым условием для предъявления требования о возмещении ущерба, причиненного противозаконным решением, должно быть вступление такого решения в силу.  Однако закон также охватывает случаи, когда решение подлежит исполнению независимо от того, вступило оно в силу или нет.  Необходимо, чтобы вступившее в силу решение было отменено или изменено на том основании, что оно противозаконно;  это делает орган, наделенный такой компетенцией согласно соответствующим процессуальным нормам (в целом основанным на чрезвычайных процедурах обжалования или процедурах разбирательства в Конституционном суде).  Таким образом, противозаконность того или иного решения не устанавливается до тех пор, пока не начнутся процессуальные действия, направленные на возмещение ущерба.  Требование о возмещении ущерба, причиненного решением, которое подлежит исполнению независимо от того, вступило оно в силу или нет, можно также подать после отмены или изменения этого решения в рамках обычной процедуры обжалования, поскольку такое решение может причинить ущерб еще до того, как оно вступит в силу.</w:t>
      </w:r>
    </w:p>
    <w:p w:rsidR="00000000" w:rsidRDefault="00000000"/>
    <w:p w:rsidR="00000000" w:rsidRDefault="00000000">
      <w:r>
        <w:t>179.</w:t>
      </w:r>
      <w:r>
        <w:tab/>
        <w:t>Положение, которое позволяет требовать возмещение ущерба, можно использовать лишь в отношении решений, которые не вступили в силу. Оно направлено на ограничение числа случаев причинения ущерба.  Эти средства обжалования в полной мере доступны сторонам разбирательства, и, следовательно, неиспользование этих средств может быть вменено в вину таким сторонам</w:t>
      </w:r>
      <w:r>
        <w:rPr>
          <w:rStyle w:val="FootnoteReference"/>
        </w:rPr>
        <w:footnoteReference w:id="106"/>
      </w:r>
      <w:r>
        <w:t>.  Следовательно, эти средства обжалования не включают жалобы на нарушение закона в рамках уголовного судопроизводства.</w:t>
      </w:r>
    </w:p>
    <w:p w:rsidR="00000000" w:rsidRDefault="00000000"/>
    <w:p w:rsidR="00000000" w:rsidRDefault="00000000">
      <w:r>
        <w:t>180.</w:t>
      </w:r>
      <w:r>
        <w:tab/>
        <w:t>Возмещение ущерба не может быть также предоставлено в связи с решениями о задержании, наказании или мерах защиты, если продолжение процессуальных действий стало невозможным, поскольку пострадавшая сторона (по Уголовно-процессуальному кодексу) отозвала свое заявление о возбуждении или продолжении уголовного преследования (статья 163 а) Уголовно-процессуального кодекса).  Возмещение не может быть также предоставлено, если уголовное преследование было условно прекращено вследствие принятия какого-либо решения об урегулировании или если уголовное преследование было прекращено, поскольку наказание, которое может быть вынесено в результате процессуальных действий, не будет иметь никакого значения в контексте наказания, которое уже вынесено или будет, по всей вероятности, вынесено</w:t>
      </w:r>
      <w:r>
        <w:rPr>
          <w:rStyle w:val="FootnoteReference"/>
        </w:rPr>
        <w:footnoteReference w:id="107"/>
      </w:r>
      <w:r>
        <w:t xml:space="preserve"> ответчику за совершение другого преступления, либо поскольку решение в отношении проступка ответчика уже было принято другим дисциплинарным карательным органом, иностранным судом или административным учреждением.</w:t>
      </w:r>
    </w:p>
    <w:p w:rsidR="00000000" w:rsidRDefault="00000000"/>
    <w:p w:rsidR="00000000" w:rsidRDefault="00000000">
      <w:r>
        <w:t>181.</w:t>
      </w:r>
      <w:r>
        <w:tab/>
        <w:t>Помимо противозаконного решения, источником ущерба может быть также неправомочная административная процедура.  Более точно эта процедура в ныне действующих законах не определяется;  в качестве примера приводится лишь один из возможных вариантов неправомочного решения.  Определить неправомочную административную процедуру очень сложно.  Каждое такое определение рискует быть неполным.  Данная процедура может охватывать как действие, так и бездействие соответствующих органов, осуществляющих государственную власть.  Она может включать как нарушения закона, так и нарушения подзаконных актов, т.е. внутренних постановлений отдельных органов.</w:t>
      </w:r>
    </w:p>
    <w:p w:rsidR="00000000" w:rsidRDefault="00000000"/>
    <w:p w:rsidR="00000000" w:rsidRDefault="00000000">
      <w:r>
        <w:t>182.</w:t>
      </w:r>
      <w:r>
        <w:tab/>
        <w:t>Из Закона явствует, что "неправомочная административная процедура" также предполагает нарушение обязательства осуществить какое-либо действие или принять решение к определенному законом сроку.  Если тот или иной орган, который, в соответствии с законом, обязан решать какие-либо вопросы, не соблюдает установленные в законе сроки для принятия решения или для выдачи письменного текста решения либо нарушает общие положения процессуальных норм, которые обязывают его своевременно и без неоправданной задержки рассматривать вопросы, являющиеся предметом разбирательства, то это можно квалифицировать как неправомочную административную процедуру.</w:t>
      </w:r>
    </w:p>
    <w:p w:rsidR="00000000" w:rsidRDefault="00000000"/>
    <w:p w:rsidR="00000000" w:rsidRDefault="00000000">
      <w:r>
        <w:t>183.</w:t>
      </w:r>
      <w:r>
        <w:tab/>
        <w:t>Государство может обязать юридических лиц или их работников, которые непосредственно причинили ущерб какому-либо лицу противозаконным решением или иной неправомочной административной процедурой, возместить ущерб в порядке так называемой "регрессивной" выплаты.  Требование о регрессивной выплате может применяться лишь в тех случаях, когда пострадавшей стороне была выплачена компенсация за ущерб.  Правовое регулирование регрессивной выплаты носит иерархический характер:  в принципе, юридическое лицо, выплатившее компенсацию за ущерб (государство), может потребовать (с определенными исключениями) регрессивную выплату от тех органов, которые причинили ущерб, а эти органы могут потребовать выплату от своих работников.</w:t>
      </w:r>
    </w:p>
    <w:p w:rsidR="00000000" w:rsidRDefault="00000000"/>
    <w:p w:rsidR="00000000" w:rsidRDefault="00000000">
      <w:r>
        <w:t>184.</w:t>
      </w:r>
      <w:r>
        <w:tab/>
        <w:t>Государство несет ответственность за ущерб, причиненный должностными лицами государственных органов.  Под государственными органами следует понимать, в соответствии с пунктом 1 статьи 2 Конституции, органы законодательной, исполнительной и судебной власти.  Закон об ответственности за ущерб сформулирован таким образом, что он охватывает лишь ответственность за ущерб, причиненный органами исполнительной и судебной власти в указанных Законом условиях.  Согласно положениям этого Закона, государство несет ответственность за ущерб, причиненный конкретно указанными в Законе деяниями, т.е. решением или неправомочной административной процедурой, и Закон не предусматривает никаких оснований для исключений</w:t>
      </w:r>
      <w:r>
        <w:rPr>
          <w:rStyle w:val="FootnoteReference"/>
        </w:rPr>
        <w:footnoteReference w:id="108"/>
      </w:r>
      <w:r>
        <w:t>.  В то же время по этому Закону государство не несет ответственности за ущерб, причиненный законодательными актами.  На основании Закона нельзя требовать возмещения ущерба, причиненного законодательной властью и так называемыми подзаконными актами.</w:t>
      </w:r>
    </w:p>
    <w:p w:rsidR="00000000" w:rsidRDefault="00000000"/>
    <w:p w:rsidR="00000000" w:rsidRDefault="00000000">
      <w:r>
        <w:t>185.</w:t>
      </w:r>
      <w:r>
        <w:tab/>
        <w:t xml:space="preserve">Кроме того, в пункте 2 статьи 37 Хартии говорится:  "Каждый имеет право на правовую помощь при разбирательстве его дела в судах, иных государственных органах или органах государственной администрации с момента начала такого разбирательства".  В более узком смысле под правовой помощью можно понимать квалифицированную помощь адвоката.  Обвиняемым это право обеспечивается в соответствии с Уголовно-процессуальным кодексом.  В ходе уголовного разбирательства может возникнуть проблема с предоставлением квалифицированной правовой помощи другим сторонам разбирательства, например жертвам, которые могут получить правовую помощь для осуществления своих прав через посредство юридического представителя либо представителя, действующего по доверенности, но такие стороны не имеют права на бесплатную правовую помощь.  </w:t>
      </w:r>
    </w:p>
    <w:p w:rsidR="00000000" w:rsidRDefault="00000000"/>
    <w:p w:rsidR="00000000" w:rsidRDefault="00000000">
      <w:r>
        <w:t>186.</w:t>
      </w:r>
      <w:r>
        <w:tab/>
        <w:t>Один из недостатков, которые надлежит исправить в будущих нормативных актах, заключается в том, что в соответствии с Гражданско-процессуальным кодексом суд не полномочен рассматривать бездействие административного органа или допущенные им неоправданные задержки при принятии решения.  Эта проблема затрудняет практическое осуществление права на судебное разбирательство без неоправданных задержек.</w:t>
      </w:r>
    </w:p>
    <w:p w:rsidR="00000000" w:rsidRDefault="00000000">
      <w:pPr>
        <w:spacing w:line="240" w:lineRule="auto"/>
        <w:rPr>
          <w:b/>
          <w:bCs/>
        </w:rPr>
      </w:pPr>
    </w:p>
    <w:p w:rsidR="00000000" w:rsidRDefault="00000000">
      <w:pPr>
        <w:pStyle w:val="11"/>
        <w:spacing w:line="216" w:lineRule="auto"/>
        <w:rPr>
          <w:b/>
          <w:bCs/>
          <w:u w:val="none"/>
        </w:rPr>
      </w:pPr>
      <w:r>
        <w:rPr>
          <w:b/>
          <w:bCs/>
          <w:u w:val="none"/>
        </w:rPr>
        <w:t>Статья 6</w:t>
      </w:r>
    </w:p>
    <w:p w:rsidR="00000000" w:rsidRDefault="00000000">
      <w:pPr>
        <w:pStyle w:val="11"/>
        <w:spacing w:line="216" w:lineRule="auto"/>
        <w:rPr>
          <w:b/>
          <w:bCs/>
          <w:u w:val="none"/>
        </w:rPr>
      </w:pPr>
    </w:p>
    <w:p w:rsidR="00000000" w:rsidRDefault="00000000">
      <w:pPr>
        <w:pStyle w:val="Heading2"/>
        <w:keepNext w:val="0"/>
        <w:spacing w:line="216" w:lineRule="auto"/>
        <w:rPr>
          <w:b/>
          <w:bCs/>
          <w:u w:val="none"/>
        </w:rPr>
      </w:pPr>
      <w:r>
        <w:rPr>
          <w:b/>
          <w:bCs/>
          <w:u w:val="none"/>
        </w:rPr>
        <w:t>Пункт 1</w:t>
      </w:r>
    </w:p>
    <w:p w:rsidR="00000000" w:rsidRDefault="00000000">
      <w:pPr>
        <w:pStyle w:val="Heading2"/>
        <w:keepNext w:val="0"/>
        <w:spacing w:line="216" w:lineRule="auto"/>
        <w:rPr>
          <w:b/>
          <w:bCs/>
          <w:u w:val="none"/>
        </w:rPr>
      </w:pPr>
    </w:p>
    <w:p w:rsidR="00000000" w:rsidRDefault="00000000">
      <w:r>
        <w:t>187.</w:t>
      </w:r>
      <w:r>
        <w:tab/>
        <w:t>В общем плане право на труд и на свободный выбор профессии гарантируется в правовой системе Чешской Республики статьей 26 Хартии основных прав и свобод:</w:t>
      </w:r>
    </w:p>
    <w:p w:rsidR="00000000" w:rsidRDefault="00000000"/>
    <w:p w:rsidR="00000000" w:rsidRDefault="00000000">
      <w:pPr>
        <w:ind w:left="567" w:hanging="567"/>
      </w:pPr>
      <w:r>
        <w:tab/>
        <w:t>"1)</w:t>
      </w:r>
      <w:r>
        <w:tab/>
        <w:t>Каждый имеет право на свободный выбор профессии и подготовку к ней, а также право заниматься предпринимательской и иной хозяйственной деятельностью.</w:t>
      </w:r>
    </w:p>
    <w:p w:rsidR="00000000" w:rsidRDefault="00000000">
      <w:pPr>
        <w:ind w:left="567" w:hanging="567"/>
      </w:pPr>
    </w:p>
    <w:p w:rsidR="00000000" w:rsidRDefault="00000000">
      <w:pPr>
        <w:ind w:left="567" w:hanging="567"/>
      </w:pPr>
      <w:r>
        <w:br w:type="page"/>
      </w:r>
      <w:r>
        <w:tab/>
        <w:t>2)</w:t>
      </w:r>
      <w:r>
        <w:tab/>
        <w:t>Законом могут быть установлены условия и ограничения применительно к праву осуществлять определенные профессии или виды деятельности.</w:t>
      </w:r>
    </w:p>
    <w:p w:rsidR="00000000" w:rsidRDefault="00000000">
      <w:pPr>
        <w:ind w:left="567" w:hanging="567"/>
      </w:pPr>
    </w:p>
    <w:p w:rsidR="00000000" w:rsidRDefault="00000000">
      <w:pPr>
        <w:ind w:left="567" w:hanging="567"/>
      </w:pPr>
      <w:r>
        <w:tab/>
        <w:t>3)</w:t>
      </w:r>
      <w:r>
        <w:tab/>
        <w:t>Каждый имеет право добывать трудом средства для удовлетворения своих жизненных потребностей.  Гражданам, которые не по своей вине не могут пользоваться этим правом, государство предоставляет в соразмерном объеме материальное обеспечение на условиях, установленных законом.</w:t>
      </w:r>
    </w:p>
    <w:p w:rsidR="00000000" w:rsidRDefault="00000000">
      <w:pPr>
        <w:ind w:left="567" w:hanging="567"/>
      </w:pPr>
    </w:p>
    <w:p w:rsidR="00000000" w:rsidRDefault="00000000">
      <w:pPr>
        <w:ind w:left="567" w:hanging="567"/>
      </w:pPr>
      <w:r>
        <w:tab/>
        <w:t>4)</w:t>
      </w:r>
      <w:r>
        <w:tab/>
        <w:t>В отношении иностранцев могут действовать иные нормативные правила".</w:t>
      </w:r>
    </w:p>
    <w:p w:rsidR="00000000" w:rsidRDefault="00000000">
      <w:pPr>
        <w:ind w:left="567" w:hanging="567"/>
      </w:pPr>
    </w:p>
    <w:p w:rsidR="00000000" w:rsidRDefault="00000000">
      <w:r>
        <w:t>188.</w:t>
      </w:r>
      <w:r>
        <w:tab/>
        <w:t>Кроме того, Чешская Республика является участником международных конвенций, гарантирующих каждому равный доступ к труду , а именно Международной конвенции о ликвидации всех форм расовой дискриминации, Конвенции о ликвидации всех форм дискриминации в отношении женщин и конвенций Международной организации труда</w:t>
      </w:r>
      <w:r>
        <w:rPr>
          <w:rStyle w:val="FootnoteReference"/>
        </w:rPr>
        <w:footnoteReference w:id="109"/>
      </w:r>
      <w:r>
        <w:t>.</w:t>
      </w:r>
    </w:p>
    <w:p w:rsidR="00000000" w:rsidRDefault="00000000"/>
    <w:p w:rsidR="00000000" w:rsidRDefault="00000000">
      <w:r>
        <w:t>189.</w:t>
      </w:r>
      <w:r>
        <w:tab/>
        <w:t>Еще более подробное определение содержится в Законе о занятости</w:t>
      </w:r>
      <w:r>
        <w:rPr>
          <w:rStyle w:val="FootnoteReference"/>
        </w:rPr>
        <w:footnoteReference w:id="110"/>
      </w:r>
      <w:r>
        <w:t>.  В соответствии с пунктом 3 статьи 1 этого закона "право на труд означает право каждого трудоспособного гражданина, который хочет трудиться и действительно ищет работу, на получение:  помощи в нахождении приемлемой работы;  переподготовки, которая имеет важнейшее значение для нахождения работы;  финансовой поддержки до начала работы и в случае потери работы".</w:t>
      </w:r>
    </w:p>
    <w:p w:rsidR="00000000" w:rsidRDefault="00000000"/>
    <w:p w:rsidR="00000000" w:rsidRDefault="00000000">
      <w:r>
        <w:t>190.</w:t>
      </w:r>
      <w:r>
        <w:tab/>
        <w:t>В соответствии с пунктом 4 статьи 1 Закона о занятости работа по найму должна быть приемлемой для данного лица, т.е. должна соответствовать его состоянию здоровья, возрасту, квалификации и способностям, а также трудовому стажу и жилищным условиям.</w:t>
      </w:r>
    </w:p>
    <w:p w:rsidR="00000000" w:rsidRDefault="00000000"/>
    <w:p w:rsidR="00000000" w:rsidRDefault="00000000">
      <w:r>
        <w:t>191.</w:t>
      </w:r>
      <w:r>
        <w:tab/>
        <w:t>Нахождение приемлемых рабочих мест является основной задачей служб трудоустройства</w:t>
      </w:r>
      <w:r>
        <w:rPr>
          <w:rStyle w:val="FootnoteReference"/>
        </w:rPr>
        <w:footnoteReference w:id="111"/>
      </w:r>
      <w:r>
        <w:t xml:space="preserve"> - государственных учреждений, которые занимаются вопросами трудоустройства и которые создаются, управляются и финансируются из бюджета Управления по вопросам трудоустройства министерства труда и социальных дел.  Местонахождение и территориальная компетенция служб трудоустройства аналогичны местонахождению и территориальной компетенции районных органов власти.  Службы трудоустройства оказывают бесплатные услуги лицам, которые ищут работу.  Помимо этих служб, в Чешской Республике по состоянию на 31 октября 1999 года действовали 170 частных фирм по трудоустройству, получивших соответствующую лицензию министерства труда и социальных дел и оказывавших услуги по трудоустройству за плату, размер которой определяет министерство труда и социальных дел на основании Закона о занятости и Закона о юрисдикции органов Чешской Республики в секторе занятости.  Отчисления из зарплаты в качестве вознаграждения за трудоустройство запрещены.</w:t>
      </w:r>
    </w:p>
    <w:p w:rsidR="00000000" w:rsidRDefault="00000000"/>
    <w:p w:rsidR="00000000" w:rsidRDefault="00000000">
      <w:r>
        <w:t>192.</w:t>
      </w:r>
      <w:r>
        <w:tab/>
        <w:t>Гарантии права на свободный выбор работы включают право на получение, до начала трудовой деятельности, квалифицированных консультативных услуг по возможностям трудоустройства, которые оказывают учебные заведения, как правило, в сотрудничестве с государственными органами по вопросам занятости и службами трудоустройства, в рамках индивидуальных и групповых консультаций, лекций, групповых обсуждений и т.д.</w:t>
      </w:r>
    </w:p>
    <w:p w:rsidR="00000000" w:rsidRDefault="00000000"/>
    <w:p w:rsidR="00000000" w:rsidRDefault="00000000">
      <w:r>
        <w:t>193.</w:t>
      </w:r>
      <w:r>
        <w:tab/>
        <w:t>К службам трудоустройства относятся информационные и консультативные  центры.  Эти центры бесплатно предоставляют информацию, которая помогает выбрать профессию выпускникам профессиональных, средних и высших учебных заведений, а также учащимся начальных и специальных учебных заведений и их родителям;  информацию о ситуации на рынке труда и возможностях трудоустройства в различных секторах;  информацию о возможностях переподготовки;  свежую информацию о новых вакансиях в данном районе и в стране в целом;  а также оказывают иные услуги.</w:t>
      </w:r>
    </w:p>
    <w:p w:rsidR="00000000" w:rsidRDefault="00000000"/>
    <w:p w:rsidR="00000000" w:rsidRDefault="00000000">
      <w:r>
        <w:t>194.</w:t>
      </w:r>
      <w:r>
        <w:tab/>
        <w:t>Свободный выбор профессии гарантируется также статьей 27 Трудового кодекса</w:t>
      </w:r>
      <w:r>
        <w:rPr>
          <w:rStyle w:val="FootnoteReference"/>
        </w:rPr>
        <w:footnoteReference w:id="112"/>
      </w:r>
      <w:r>
        <w:t xml:space="preserve">:  "трудовые отношения определяются договором между работодателем и работником", т.е. соглашением, выражающим волю обеих сторон.  Этот договор должен быть свободным, осмысленным, однозначным и понятным.  Аналогичным образом без согласия заинтересованного лица не могут возникать и другие аспекты трудовых отношений, являющиеся результатом назначения или избрания.  </w:t>
      </w:r>
    </w:p>
    <w:p w:rsidR="00000000" w:rsidRDefault="00000000"/>
    <w:p w:rsidR="00000000" w:rsidRDefault="00000000">
      <w:r>
        <w:t>195.</w:t>
      </w:r>
      <w:r>
        <w:tab/>
        <w:t>Лица, желающие учиться в средних школах, и лица, желающие получить подготовку по связанным с ручным трудом профессиям в средних специализированных профессиональных школах, принимаются в такие школы на основе их заявлений с учетом их способностей, знаний - проверяемых обычно при приеме, - а также круга интересов и состояния здоровья.</w:t>
      </w:r>
    </w:p>
    <w:p w:rsidR="00000000" w:rsidRDefault="00000000"/>
    <w:p w:rsidR="00000000" w:rsidRDefault="00000000">
      <w:r>
        <w:t>196.</w:t>
      </w:r>
      <w:r>
        <w:tab/>
        <w:t>Поправка к Трудовому кодексу</w:t>
      </w:r>
      <w:r>
        <w:rPr>
          <w:rStyle w:val="FootnoteReference"/>
        </w:rPr>
        <w:footnoteReference w:id="113"/>
      </w:r>
      <w:r>
        <w:t>, принятая в 1992 году, отменила возможность принудительного труда в виде перевода работника без его согласия на другую работу на период в 30 рабочих дней в течение календарного года.  Соответствующее положение Трудового кодекса (пункт 4 с) статьи 37) было исключено из Трудового кодекса, поскольку оно противоречило статье 9 Хартии, а также принятой МОТ Конвенции № 29</w:t>
      </w:r>
      <w:r>
        <w:rPr>
          <w:rStyle w:val="FootnoteReference"/>
        </w:rPr>
        <w:footnoteReference w:id="114"/>
      </w:r>
      <w:r>
        <w:t xml:space="preserve"> и Европейской конвенции о защите прав человека и основных свобод.  В соответствии с действующими нормативными актами перевести работника на другую работу можно </w:t>
      </w:r>
    </w:p>
    <w:p w:rsidR="00000000" w:rsidRDefault="00000000">
      <w:r>
        <w:br w:type="page"/>
        <w:t>лишь на условиях, перечисленных в статье 37 Трудового кодекса.  Работодатель и работник должны подтвердить свое согласие в трудовом соглашении установленной формы (пункт 1 статьи 36 Трудового кодекса</w:t>
      </w:r>
      <w:r>
        <w:rPr>
          <w:rStyle w:val="FootnoteReference"/>
        </w:rPr>
        <w:footnoteReference w:id="115"/>
      </w:r>
      <w:r>
        <w:t>).  Однако, в исключительных случаях, предусмотренных в Кодексе, работодатель может перевести работника на другую работу без его согласия (в чрезвычайных ситуациях, обусловленных перерывом в работе из-за неблагоприятных погодных условий;  в период ликвидации последствий стихийных бедствий;  при временном отсутствии надлежащих условий труда, предусмотренных в нормативных актах, и т.д.).</w:t>
      </w:r>
    </w:p>
    <w:p w:rsidR="00000000" w:rsidRDefault="00000000"/>
    <w:p w:rsidR="00000000" w:rsidRDefault="00000000">
      <w:r>
        <w:t>197.</w:t>
      </w:r>
      <w:r>
        <w:tab/>
        <w:t xml:space="preserve">В статье 9 Хартии предусмотрены исключения, которые предполагают обязательное выполнение работы или оказание услуг.  Пункт 1 статьи 9 гласит:  "Никто не может быть привлечен к принудительным работам или принудительному оказанию услуг".  В последующих пунктах, однако, говорится:  </w:t>
      </w:r>
    </w:p>
    <w:p w:rsidR="00000000" w:rsidRDefault="00000000"/>
    <w:p w:rsidR="00000000" w:rsidRDefault="00000000">
      <w:pPr>
        <w:ind w:left="567" w:hanging="567"/>
      </w:pPr>
      <w:r>
        <w:tab/>
        <w:t>"2)</w:t>
      </w:r>
      <w:r>
        <w:tab/>
        <w:t>Положение пункта 1 не распространяется на:</w:t>
      </w:r>
    </w:p>
    <w:p w:rsidR="00000000" w:rsidRDefault="00000000">
      <w:pPr>
        <w:ind w:left="567" w:hanging="567"/>
      </w:pPr>
    </w:p>
    <w:p w:rsidR="00000000" w:rsidRDefault="00000000">
      <w:pPr>
        <w:ind w:left="567" w:hanging="567"/>
      </w:pPr>
      <w:r>
        <w:tab/>
      </w:r>
      <w:r>
        <w:tab/>
        <w:t>а)</w:t>
      </w:r>
      <w:r>
        <w:tab/>
        <w:t>работы, возлагаемые законом на лиц, отбывающих наказание в виде лишения свободы или иное наказание, заменяющее лишение свободы;</w:t>
      </w:r>
    </w:p>
    <w:p w:rsidR="00000000" w:rsidRDefault="00000000">
      <w:pPr>
        <w:ind w:left="567" w:hanging="567"/>
      </w:pPr>
    </w:p>
    <w:p w:rsidR="00000000" w:rsidRDefault="00000000">
      <w:pPr>
        <w:ind w:left="567" w:hanging="567"/>
      </w:pPr>
      <w:r>
        <w:tab/>
      </w:r>
      <w:r>
        <w:tab/>
        <w:t>b)</w:t>
      </w:r>
      <w:r>
        <w:tab/>
        <w:t>военную службу или иную службу, установленную законом вместо обязательной военной службы;</w:t>
      </w:r>
    </w:p>
    <w:p w:rsidR="00000000" w:rsidRDefault="00000000">
      <w:pPr>
        <w:ind w:left="567" w:hanging="567"/>
      </w:pPr>
    </w:p>
    <w:p w:rsidR="00000000" w:rsidRDefault="00000000">
      <w:pPr>
        <w:ind w:left="567" w:hanging="567"/>
      </w:pPr>
      <w:r>
        <w:tab/>
      </w:r>
      <w:r>
        <w:tab/>
        <w:t>с)</w:t>
      </w:r>
      <w:r>
        <w:tab/>
        <w:t>службу, требуемую на основании закона в случаях стихийных бедствий, аварий или иной опасности, которая угрожает жизни, здоровью людей или может нанести значительный ущерб материальным ценностям;</w:t>
      </w:r>
    </w:p>
    <w:p w:rsidR="00000000" w:rsidRDefault="00000000">
      <w:pPr>
        <w:ind w:left="567" w:hanging="567"/>
      </w:pPr>
    </w:p>
    <w:p w:rsidR="00000000" w:rsidRDefault="00000000">
      <w:pPr>
        <w:ind w:left="567" w:hanging="567"/>
      </w:pPr>
      <w:r>
        <w:tab/>
      </w:r>
      <w:r>
        <w:tab/>
        <w:t>d)</w:t>
      </w:r>
      <w:r>
        <w:tab/>
        <w:t>деятельность, установленную законом в целях охраны жизни, здоровья или прав других лиц".</w:t>
      </w:r>
    </w:p>
    <w:p w:rsidR="00000000" w:rsidRDefault="00000000">
      <w:pPr>
        <w:ind w:left="567" w:hanging="567"/>
      </w:pPr>
    </w:p>
    <w:p w:rsidR="00000000" w:rsidRDefault="00000000">
      <w:r>
        <w:t>198.</w:t>
      </w:r>
      <w:r>
        <w:tab/>
        <w:t>Аналогичные нормы содержатся также в ряде положений Трудового кодекса.  Так, в пунктах 2 d) и 2 е) статьи 90 регламентируется порядок сокращения продолжительности беспрерывного отдыха между рабочими сменами;  в статье 95 - готовность к работе, в статьях 96-98 - сверхурочная работа, в статьях 170 и 171 - предотвращение ущерба, а в статье 175 - ответственность работников за невыполнение обязанностей, направленных на предотвращение ущерба.  Кроме того, защита от принудительного труда регулируется в общем плане положениями Уголовного кодекса</w:t>
      </w:r>
      <w:r>
        <w:rPr>
          <w:rStyle w:val="FootnoteReference"/>
        </w:rPr>
        <w:footnoteReference w:id="116"/>
      </w:r>
      <w:r>
        <w:t xml:space="preserve">:  статьей 235 о вымогательстве, статьей 237 о притеснениях, а также статьями 231 и 232, касающимися ограничения или лишения личной свободы.  </w:t>
      </w:r>
    </w:p>
    <w:p w:rsidR="00000000" w:rsidRDefault="00000000"/>
    <w:p w:rsidR="00000000" w:rsidRDefault="00000000">
      <w:r>
        <w:t>199.</w:t>
      </w:r>
      <w:r>
        <w:tab/>
        <w:t>На защиту граждан от произвольных увольнений направлены положения об обязательном наличии надлежащих причин для одностороннего прекращения трудовых отношений работодателем (полный перечень причин, оправдывающих направление уведомления об увольнении и немедленное прекращение трудовых отношений, приводится в статьях 46-53 Трудового кодекса), об обязательном обсуждении такого увольнения с профсоюзом данного предприятия и об обязательстве предложить работнику другую приемлемую должность перед направлением уведомления об увольнении (за исключением случаев увольнения, обусловленного нарушением трудовой дисциплины или причинами, по которым трудовые отношения могут быть прекращены незамедлительно).  Особой гарантией являются запрещение увольнений в определенных жизненных ситуациях и специальные меры защиты трудящихся беременных женщин, одиноких матерей и отцов малолетних детей, инвалидов и т.д. (статья 48 Трудового кодекса).  Уведомление об увольнении должно быть направлено за два месяца (за три месяца, если работодатель уведомляет об увольнении, обусловленном организационными причинами).  В соответствии с Гражданско-процессуальным кодексом работник может оспорить легитимность увольнения в суде не позднее чем через три месяца со дня прекращения трудовых отношений.  Работник может обжаловать решение суда первой инстанции в вышестоящем суде, как то предусмотрено в статье 201 Гражданско-процессуального кодекса</w:t>
      </w:r>
      <w:r>
        <w:rPr>
          <w:rStyle w:val="FootnoteReference"/>
        </w:rPr>
        <w:footnoteReference w:id="117"/>
      </w:r>
      <w:r>
        <w:t>.</w:t>
      </w:r>
    </w:p>
    <w:p w:rsidR="00000000" w:rsidRDefault="00000000"/>
    <w:p w:rsidR="00000000" w:rsidRDefault="00000000">
      <w:r>
        <w:br w:type="page"/>
        <w:t>200.</w:t>
      </w:r>
      <w:r>
        <w:tab/>
        <w:t>Особые положения регулируют трудовые отношения таможенных работников</w:t>
      </w:r>
      <w:r>
        <w:rPr>
          <w:rStyle w:val="FootnoteReference"/>
        </w:rPr>
        <w:footnoteReference w:id="118"/>
      </w:r>
      <w:r>
        <w:t>, военнослужащих</w:t>
      </w:r>
      <w:r>
        <w:rPr>
          <w:rStyle w:val="FootnoteReference"/>
        </w:rPr>
        <w:footnoteReference w:id="119"/>
      </w:r>
      <w:r>
        <w:t>, сотрудников Информационной службы безопасности</w:t>
      </w:r>
      <w:r>
        <w:rPr>
          <w:rStyle w:val="FootnoteReference"/>
        </w:rPr>
        <w:footnoteReference w:id="120"/>
      </w:r>
      <w:r>
        <w:t>, сотрудников полиции Чешской Республики</w:t>
      </w:r>
      <w:r>
        <w:rPr>
          <w:rStyle w:val="FootnoteReference"/>
        </w:rPr>
        <w:footnoteReference w:id="121"/>
      </w:r>
      <w:r>
        <w:t xml:space="preserve"> и работников пожарных служб</w:t>
      </w:r>
      <w:r>
        <w:rPr>
          <w:rStyle w:val="FootnoteReference"/>
        </w:rPr>
        <w:footnoteReference w:id="122"/>
      </w:r>
      <w:r>
        <w:t xml:space="preserve">.  Эти нормативные акты независимо регулируют возникновение, продолжение и прекращение служебных отношений, условия приема на работу, испытательный период, условия назначения или перевода какого-либо лица на другую работу без его согласия, служебный распорядок, обязанности сотрудников, а также выполняемые ими конкретные функции (медицинского, социального и образовательного характера) и иные правила, по которым служебные отношения отличаются от трудовых отношений, регулируемых Трудовым кодексом.  </w:t>
      </w:r>
    </w:p>
    <w:p w:rsidR="00000000" w:rsidRDefault="00000000"/>
    <w:p w:rsidR="00000000" w:rsidRDefault="00000000">
      <w:r>
        <w:t>201.</w:t>
      </w:r>
      <w:r>
        <w:tab/>
        <w:t>1 декабря 1999 года вступили в силу новые законы, регулирующие служебные и иные трудовые отношения военнослужащих:  Закон о профессиональной военной службе</w:t>
      </w:r>
      <w:r>
        <w:rPr>
          <w:rStyle w:val="FootnoteReference"/>
        </w:rPr>
        <w:footnoteReference w:id="123"/>
      </w:r>
      <w:r>
        <w:t>, Закон об обеспечении обороны</w:t>
      </w:r>
      <w:r>
        <w:rPr>
          <w:rStyle w:val="FootnoteReference"/>
        </w:rPr>
        <w:footnoteReference w:id="124"/>
      </w:r>
      <w:r>
        <w:t xml:space="preserve"> и Закон о Вооруженных силах</w:t>
      </w:r>
      <w:r>
        <w:rPr>
          <w:rStyle w:val="FootnoteReference"/>
        </w:rPr>
        <w:footnoteReference w:id="125"/>
      </w:r>
      <w:r>
        <w:t xml:space="preserve">.  В первом квартале 2000 года правительство рассмотрит проект нового закона о полиции Чешской Республики, который вступит в силу 1 января 2001 года.  </w:t>
      </w:r>
    </w:p>
    <w:p w:rsidR="00000000" w:rsidRDefault="00000000"/>
    <w:p w:rsidR="00000000" w:rsidRDefault="00000000">
      <w:r>
        <w:t>202.</w:t>
      </w:r>
      <w:r>
        <w:tab/>
        <w:t>В пункте 1 статьи 47 нового Закона о профессиональной военной службе установлено следующее нормативное ограничение в отношении профессиональной деятельности этих лиц:  "Военнослужащие могут в исключительных случаях выполнять работу по найму лишь с письменного согласия командования, если такая деятельность не противоречит выполнению им служебных обязанностей или иным важным интересам Вооруженных сил".</w:t>
      </w:r>
    </w:p>
    <w:p w:rsidR="00000000" w:rsidRDefault="00000000"/>
    <w:p w:rsidR="00000000" w:rsidRDefault="00000000">
      <w:r>
        <w:t>203.</w:t>
      </w:r>
      <w:r>
        <w:tab/>
        <w:t>Бесплатное получение базовой профессиональной подготовки в начальных и средних школах гарантируется всем гражданам Чешской Республики и постоянно проживающим в стране иностранцам Законом о школьном образовании</w:t>
      </w:r>
      <w:r>
        <w:rPr>
          <w:rStyle w:val="FootnoteReference"/>
        </w:rPr>
        <w:footnoteReference w:id="126"/>
      </w:r>
      <w:r>
        <w:t>, как то предусмотрено в пункте 1 статьи 13 Пакта.  В соответствии со статьей 39 Закона о школьном образовании весь процесс обучения в этих школах должен быть основан на учебных материалах, которые разрабатываются с учетом специфики соответствующих профессий и потребностей рынка труда.  Более подробная информация излагается в разделе, посвященном статье 13 Пакта.</w:t>
      </w:r>
    </w:p>
    <w:p w:rsidR="00000000" w:rsidRDefault="00000000"/>
    <w:p w:rsidR="00000000" w:rsidRDefault="00000000">
      <w:r>
        <w:t>204.</w:t>
      </w:r>
      <w:r>
        <w:tab/>
        <w:t>Статьи 141-144 Трудового кодекса обязывают работодателей контролировать и повышать квалификацию своих работников.  Эти положения закрепляют права и обязанности как работодателя, так и его работников:</w:t>
      </w:r>
    </w:p>
    <w:p w:rsidR="00000000" w:rsidRDefault="00000000"/>
    <w:p w:rsidR="00000000" w:rsidRDefault="00000000">
      <w:r>
        <w:tab/>
        <w:t>а)</w:t>
      </w:r>
      <w:r>
        <w:tab/>
        <w:t>статья 141 а) Трудового кодекса обязывает работника "систематически углублять знания, которые ему необходимы для выполнения работы, определенной в его трудовом договоре".  Работодатель вправе "требовать от своего работника прохождения подготовки по повышению квалификации.  Работодатель должен обеспечивать, чтобы его работник, вступающий в трудовые отношения без надлежащих профессиональных знаний (навыков), получил их в рамках вводного учебного курса или начальной подготовки" (пункт 1 статьи 142 Трудового кодекса), по окончании которых работодатель обязан выдать работнику соответствующий сертификат об их прохождении.  Кроме того, в соответствии с пунктом 2 статьи 142 Трудового кодекса работодатель обязан организовать для работника учебный курс или начальную подготовку, если этот работник переводится на новое рабочее место, новый вид или род работы, особенно в тех случаях, когда это необходимо вследствие изменений в организации труда или иных мер по совершенствованию производственного процесса.  Некоторые профессии предполагают обязательное повышение квалификации, другие - в зависимости от потребностей и финансовых возможностей работодателя;</w:t>
      </w:r>
    </w:p>
    <w:p w:rsidR="00000000" w:rsidRDefault="00000000"/>
    <w:p w:rsidR="00000000" w:rsidRDefault="00000000">
      <w:r>
        <w:tab/>
        <w:t>b)</w:t>
      </w:r>
      <w:r>
        <w:tab/>
        <w:t>в соответствии со статьей 142 b) Трудового кодекса работодатель может освободить своего работника от работы и предоставить ему финансовую (материальную) помощь (на основе статьи 126 Трудового кодекса), если предполагаемое повышение квалификации соответствует потребностям работодателя.</w:t>
      </w:r>
    </w:p>
    <w:p w:rsidR="00000000" w:rsidRDefault="00000000"/>
    <w:p w:rsidR="00000000" w:rsidRDefault="00000000">
      <w:r>
        <w:t>205.</w:t>
      </w:r>
      <w:r>
        <w:tab/>
        <w:t>Дополнительное обучение в рамках переквалификации осуществляется в соответствии с Законом о занятости и постановлением министерства труда и социальных дел о порядке переквалификации работающих и ищущих работу лиц</w:t>
      </w:r>
      <w:r>
        <w:rPr>
          <w:rStyle w:val="FootnoteReference"/>
        </w:rPr>
        <w:footnoteReference w:id="127"/>
      </w:r>
      <w:r>
        <w:t>.  В соответствии со статьей 1 этого постановления при переквалификации лиц, ищущих работу, помимо имеющейся квалификации учитываются личные качества, способности и состояние здоровья упомянутых лиц с точки зрения той работы, для выполнения которой они проходят переквалификацию.  Переквалификация проводится с использованием надлежащих форм теоретических и практических занятий, особенно по конкретной профессии или области знаний, с возможной подготовкой к курсам индивидуальной специализации и краткосрочному обучению в средних школах и высших учебных заведениях.</w:t>
      </w:r>
    </w:p>
    <w:p w:rsidR="00000000" w:rsidRDefault="00000000"/>
    <w:p w:rsidR="00000000" w:rsidRDefault="00000000">
      <w:r>
        <w:t>206.</w:t>
      </w:r>
      <w:r>
        <w:tab/>
        <w:t>Службы трудоустройства организуют переквалификацию в тех случаях, когда спрос на рынке труда не соответствует предложению и переквалификация рабочей силы позволит дополнительно трудоустроить новых компетентных работников.</w:t>
      </w:r>
    </w:p>
    <w:p w:rsidR="00000000" w:rsidRDefault="00000000"/>
    <w:p w:rsidR="00000000" w:rsidRDefault="00000000">
      <w:r>
        <w:t>207.</w:t>
      </w:r>
      <w:r>
        <w:tab/>
        <w:t>В соответствии с упомянутым выше постановлением министерства труда и социальных дел переквалификацией ищущих работу лиц занимаются:  профессиональные школы, средние профессиональные школы, гимназии, техникумы и специальные школы, учрежденные государством, а также учебные заведения работодателей, частные учреждения, физические и юридические лица.  Способность того или иного учреждения осуществлять переквалификацию проверяется и подтверждается министерством образования, по делам молодежи и спорта.  Учебные заведения организуют переквалификацию на основе соглашения со службой трудоустройства или работодателем.  Обучение проводится с использованием учебных материалов, утвержденных министерством образования, по делам молодежи и спорта.</w:t>
      </w:r>
    </w:p>
    <w:p w:rsidR="00000000" w:rsidRDefault="00000000"/>
    <w:p w:rsidR="00000000" w:rsidRDefault="00000000">
      <w:r>
        <w:t>208.</w:t>
      </w:r>
      <w:r>
        <w:tab/>
        <w:t>Служба трудоустройства заключает письменное соглашение с ищущим работу лицом, которому необходимо пройти переквалификацию для поступления на работу или которое выражает соответствующую заинтересованность.  В этом соглашении определяются условия прохождения переквалификации.</w:t>
      </w:r>
    </w:p>
    <w:p w:rsidR="00000000" w:rsidRDefault="00000000"/>
    <w:p w:rsidR="00000000" w:rsidRDefault="00000000">
      <w:r>
        <w:t>209.</w:t>
      </w:r>
      <w:r>
        <w:tab/>
        <w:t>В соответствии со статьей 4 упомянутого выше постановления бюро трудоустройства бесплатно предоставляет необходимые приспособления и оборудование для обеспечения безопасности на производстве ищущим работу лицам, которых оно направляет на переквалификацию;  оно также может возместить им расходы за обучение (в сумме до 1 000 чешских крон), дорожные расходы и страхование на случай получения травмы.</w:t>
      </w:r>
    </w:p>
    <w:p w:rsidR="00000000" w:rsidRDefault="00000000"/>
    <w:p w:rsidR="00000000" w:rsidRDefault="00000000">
      <w:r>
        <w:t>210.</w:t>
      </w:r>
      <w:r>
        <w:tab/>
        <w:t>Никакие нормативные акты в Чешской Республике не предусматривают исключений или ограничений, касающихся расы, пола, национальности, социального происхождения и т.д., которые нарушали или умаляли бы признание, пользование и осуществление права на равные возможности в том, что касается трудоустройства и профессиональной подготовки.</w:t>
      </w:r>
    </w:p>
    <w:p w:rsidR="00000000" w:rsidRDefault="00000000"/>
    <w:p w:rsidR="00000000" w:rsidRDefault="00000000">
      <w:r>
        <w:t>211.</w:t>
      </w:r>
      <w:r>
        <w:tab/>
        <w:t>Порядок и условия оказания финансовой помощи до начала трудовой деятельности и в случае потери работы регулируются статьями 12</w:t>
      </w:r>
      <w:r>
        <w:noBreakHyphen/>
        <w:t>18 Закона о занятости.  Финансовая помощь предоставляется ищущим работу лицам, которые в течение последних трех лет до подачи просьбы о трудоустройстве в совокупности проработали по крайней мере 12 месяцев.  В соответствии с пунктом 2 статьи 13 Закона о занятости рабочий стаж включает:  время обучения (профессиональной или производственной подготовки), срочную военную или гражданскую службу, период ухода за ребенком в возрасте до трех лет или до 18 лет, если ребенок серьезно болен и, следовательно, требует особого ухода, а также период ухода за родственником полностью или в значительной степени утратившим трудоспособность, и период получения полной пенсии по инвалидности.</w:t>
      </w:r>
    </w:p>
    <w:p w:rsidR="00000000" w:rsidRDefault="00000000"/>
    <w:p w:rsidR="00000000" w:rsidRDefault="00000000">
      <w:r>
        <w:t>212.</w:t>
      </w:r>
      <w:r>
        <w:tab/>
        <w:t>Если работодатель не может тем или иным образом трудоустроить на своем предприятии сокращаемого работника, он обязан, в сотрудничестве со службами трудоустройства, помочь этому работнику найти нового приемлемое рабочее место.  Если, несмотря на помощь бывшего работодателя и службы трудоустройства, это лицо не может найти приемлемую работу, оно имеет право, в соответствии со статьей 17 Закона о занятости, в течение трех месяцев получать пособие по безработице в размере 50% от прежней заработной платы, а затем в течение следующих трех месяцев </w:t>
      </w:r>
      <w:r>
        <w:noBreakHyphen/>
        <w:t xml:space="preserve"> в размере 40%.  Ищущему работу лицу, которое проходит переквалификацию, предоставляется в течение периода переквалификации материальная помощь в размере 60% от его чистой среднемесячной зарплаты по месту последней работы.  Если даже после этого данное лицо не может трудоустроиться, служба трудоустройства по</w:t>
      </w:r>
      <w:r>
        <w:noBreakHyphen/>
        <w:t>прежнему рассматривает его как лицо, ищущее работу, и предлагает ему появляющиеся вакансии, но до поступления на работу это лицо получает материальную помощь в рамках системы социального обеспечения.</w:t>
      </w:r>
    </w:p>
    <w:p w:rsidR="00000000" w:rsidRDefault="00000000"/>
    <w:p w:rsidR="00000000" w:rsidRDefault="00000000">
      <w:r>
        <w:t>213.</w:t>
      </w:r>
      <w:r>
        <w:tab/>
        <w:t>Государственная политика в области занятости предусматривает регулирование использования иностранной рабочей силы.  Условия найма на работу иностранцев в Чешской Республике определены в Законе о занятости, в соответствии с которым иностранцы или лица без гражданства могут работать по найму в Чешской Республике при условии, что они получили разрешение на работу от службы трудоустройства (согласно Закону о занятости и юрисдикции органов Чешской Республики в секторе занятости) и вид на жительство от министерства внутренних дел (согласно Закону о проживании иностранцев в Чешской Республике</w:t>
      </w:r>
      <w:r>
        <w:rPr>
          <w:rStyle w:val="FootnoteReference"/>
        </w:rPr>
        <w:footnoteReference w:id="128"/>
      </w:r>
      <w:r>
        <w:t>).  Разрешение на работу также требуется, если иностранец работает в Чешской Республике на иностранного работодателя, который поручает ему выполнять работу на основе делового или иного соглашения, заключенного с местным юридическим или физическим лицом.</w:t>
      </w:r>
    </w:p>
    <w:p w:rsidR="00000000" w:rsidRDefault="00000000"/>
    <w:p w:rsidR="00000000" w:rsidRDefault="00000000">
      <w:r>
        <w:t>214.</w:t>
      </w:r>
      <w:r>
        <w:tab/>
        <w:t>В соответствии со статьей 19 Закона о занятости службы трудоустройства выдают разрешение принять на работу иностранца, если имеющаяся вакансия не может быть иным образом заполнена вследствие требуемой квалификации или временного дефицита рабочей силы.</w:t>
      </w:r>
    </w:p>
    <w:p w:rsidR="00000000" w:rsidRDefault="00000000"/>
    <w:p w:rsidR="00000000" w:rsidRDefault="00000000">
      <w:r>
        <w:t>215.</w:t>
      </w:r>
      <w:r>
        <w:tab/>
        <w:t>В поправках к Закону о занятости</w:t>
      </w:r>
      <w:r>
        <w:rPr>
          <w:rStyle w:val="FootnoteReference"/>
        </w:rPr>
        <w:footnoteReference w:id="129"/>
      </w:r>
      <w:r>
        <w:t>, вступивших в силу 1 октября 1999 года, определены более точные и строгие условия найма на работу иностранцев.  Одно из важных изменений заключается в ограничении действия разрешения на работу одним годом с возможностью его возобновления.  После того как иностранец проработает в стране три года, новое разрешение может быть выдано лишь через 12 месяцев, если иного не предусмотрено в международном договоре, носящем императивный характер для Чешской Республики.  Это ограничение не применяется в отношении иностранцев, работающих в приграничных районах, которые возвращаются домой по крайней мере раз в неделю, и в отношении сезонных рабочих, если они работают в Чешской Республике не более шести месяцев в год с перерывом, составляющим также минимум шесть месяцев.  Кроме того, оно не применяется в отношении иностранцев, которые работают в Чешской Республике как преподаватели учебных заведений.</w:t>
      </w:r>
    </w:p>
    <w:p w:rsidR="00000000" w:rsidRDefault="00000000"/>
    <w:p w:rsidR="00000000" w:rsidRDefault="00000000">
      <w:r>
        <w:t>216.</w:t>
      </w:r>
      <w:r>
        <w:tab/>
        <w:t>В некоторых случаях работодатели могут нанимать иностранцев, не имеющих разрешения на работу.  Речь идет прежде всего об иностранцах и лицах без гражданства, которые имеют постоянный вид на жительство, об иностранцах, которые получили статус беженца или ходатайствуют об его получении, а также о просителях убежища</w:t>
      </w:r>
      <w:r>
        <w:rPr>
          <w:rStyle w:val="FootnoteReference"/>
        </w:rPr>
        <w:footnoteReference w:id="130"/>
      </w:r>
      <w:r>
        <w:t>.  Разрешения также не нужны членам семей сотрудников дипломатических миссий, консульских учреждений или сотрудников международных правительственных организаций, имеющих свои отделения в Чехии, если это гарантируется на обоюдной основе международным договором, заключенным от имени чешского правительства.</w:t>
      </w:r>
    </w:p>
    <w:p w:rsidR="00000000" w:rsidRDefault="00000000"/>
    <w:p w:rsidR="00000000" w:rsidRDefault="00000000">
      <w:r>
        <w:t>217.</w:t>
      </w:r>
      <w:r>
        <w:tab/>
        <w:t>После происшедшего в 1993 году разделения Федерации правительства государств-преемников </w:t>
      </w:r>
      <w:r>
        <w:noBreakHyphen/>
        <w:t xml:space="preserve"> Чешской Республики и Словацкой Республики </w:t>
      </w:r>
      <w:r>
        <w:noBreakHyphen/>
        <w:t xml:space="preserve"> заключили договор о взаимном трудоустройстве их граждан</w:t>
      </w:r>
      <w:r>
        <w:rPr>
          <w:rStyle w:val="FootnoteReference"/>
        </w:rPr>
        <w:footnoteReference w:id="131"/>
      </w:r>
      <w:r>
        <w:t>.  Этот Договор обеспечивает соблюдение принципа свободного передвижения рабочей силы между двумя государствами.  Работодатель обязан лишь зарегистрировать своих работников в надлежащей службе трудоустройства.</w:t>
      </w:r>
    </w:p>
    <w:p w:rsidR="00000000" w:rsidRDefault="00000000"/>
    <w:p w:rsidR="00000000" w:rsidRDefault="00000000">
      <w:r>
        <w:t>218.</w:t>
      </w:r>
      <w:r>
        <w:tab/>
        <w:t>Если иностранцы или лица без гражданства работают в Чехии без разрешения или регистрации в службе трудоустройства, они могут быть привлечены к ответственности в соответствии с Законом о преступлениях</w:t>
      </w:r>
      <w:r>
        <w:rPr>
          <w:rStyle w:val="FootnoteReference"/>
        </w:rPr>
        <w:footnoteReference w:id="132"/>
      </w:r>
      <w:r>
        <w:t>, а подпольные рабочие </w:t>
      </w:r>
      <w:r>
        <w:noBreakHyphen/>
        <w:t xml:space="preserve"> на основании Закона о проживании иностранцев.  В этих случаях на работодателей может быть наложен штраф за нарушение Закона о занятости.  Соответствующим инспектированием занимаются службы занятости, которые также налагают на работодателей штрафы за несоблюдение действующих нормативных правил.  Несмотря на эти меры, в стране имеется много подпольных рабочих, особенно в строительной отрасли.</w:t>
      </w:r>
    </w:p>
    <w:p w:rsidR="00000000" w:rsidRDefault="00000000"/>
    <w:p w:rsidR="00000000" w:rsidRDefault="00000000">
      <w:r>
        <w:t>219.</w:t>
      </w:r>
      <w:r>
        <w:tab/>
        <w:t>В соответствии со статьей 26 Хартии каждый имеет право на свободный выбор профессии и подготовку к ней, а также право заниматься предпринимательской и иной хозяйственной деятельностью.  Условия развития частного предпринимательства определены в Законе о лицензировании профессиональной деятельности</w:t>
      </w:r>
      <w:r>
        <w:rPr>
          <w:rStyle w:val="FootnoteReference"/>
        </w:rPr>
        <w:footnoteReference w:id="133"/>
      </w:r>
      <w:r>
        <w:t xml:space="preserve"> и </w:t>
      </w:r>
    </w:p>
    <w:p w:rsidR="00000000" w:rsidRDefault="00000000">
      <w:r>
        <w:br w:type="page"/>
        <w:t>Коммерческом кодексе</w:t>
      </w:r>
      <w:r>
        <w:rPr>
          <w:rStyle w:val="FootnoteReference"/>
        </w:rPr>
        <w:footnoteReference w:id="134"/>
      </w:r>
      <w:r>
        <w:t>.  Эти условия включают осуществление той или иной профессиональной деятельности в соответствии с Законом о лицензировании профессиональной деятельности, регистрацию согласно Закону о частном предпринимательстве граждан</w:t>
      </w:r>
      <w:r>
        <w:rPr>
          <w:rStyle w:val="FootnoteReference"/>
        </w:rPr>
        <w:footnoteReference w:id="135"/>
      </w:r>
      <w:r>
        <w:t xml:space="preserve"> (касается сельскохозяйственных предприятий);  наличие уставного органа в соответствующей компании, последовательное осуществление художественной или иной творческой деятельности на основе норм авторского права (см. текст, касающийся статьи 15 Пакта, посвященный защите интеллектуальной собственности), осуществление иной оплачиваемой деятельности на основе разрешения, выдаваемого в соответствии со специальными нормативными актами (Законом об адвокатской деятельности</w:t>
      </w:r>
      <w:r>
        <w:rPr>
          <w:rStyle w:val="FootnoteReference"/>
        </w:rPr>
        <w:footnoteReference w:id="136"/>
      </w:r>
      <w:r>
        <w:t>, Законом об аудиторской деятельности</w:t>
      </w:r>
      <w:r>
        <w:rPr>
          <w:rStyle w:val="FootnoteReference"/>
        </w:rPr>
        <w:footnoteReference w:id="137"/>
      </w:r>
      <w:r>
        <w:t xml:space="preserve"> и т.д.), и сотрудничество в осуществлении какой-либо независимой оплачиваемой деятельности. </w:t>
      </w:r>
    </w:p>
    <w:p w:rsidR="00000000" w:rsidRDefault="00000000"/>
    <w:p w:rsidR="00000000" w:rsidRDefault="00000000">
      <w:r>
        <w:t>220.</w:t>
      </w:r>
      <w:r>
        <w:tab/>
        <w:t>Пункты 1 и 2 статьи 1 поправки к Закону о занятости, вступившие в силу 1 октября 1999 года, запрещают дискриминацию в области занятости.  Они также запрещают проявления дискриминации при найме на работу, которые противоречат принципу равного доступа к труду:</w:t>
      </w:r>
    </w:p>
    <w:p w:rsidR="00000000" w:rsidRDefault="00000000"/>
    <w:p w:rsidR="00000000" w:rsidRDefault="00000000">
      <w:pPr>
        <w:ind w:left="1134" w:hanging="1134"/>
      </w:pPr>
      <w:r>
        <w:tab/>
        <w:t>"1)</w:t>
      </w:r>
      <w:r>
        <w:tab/>
        <w:t>Гражданину не может быть отказано в праве на труд (трудовую деятельность) на основании его расы, цвета кожи, пола, сексуальной ориентации, языка, вероисповедания или религии, политических или иных убеждений, членства либо деятельности в политических партиях или политических движениях, профсоюзных организациях или иных ассоциациях, национальности, этнического или социального происхождения, имущественного положения, семейной принадлежности, состояния здоровья, возраста, семейного положения или обязательств перед его семьей, за исключением предусмотренных в законодательстве случаев или случаев, когда имеют место фактические основания в виде предварительных условий, требований и специфики работы (трудовой деятельности), которым должен соответствовать гражданин и которые необходимы для выполнения этой работы.</w:t>
      </w:r>
    </w:p>
    <w:p w:rsidR="00000000" w:rsidRDefault="00000000">
      <w:pPr>
        <w:ind w:left="1134" w:hanging="1134"/>
      </w:pPr>
    </w:p>
    <w:p w:rsidR="00000000" w:rsidRDefault="00000000">
      <w:pPr>
        <w:ind w:left="1134" w:hanging="1134"/>
      </w:pPr>
      <w:r>
        <w:tab/>
        <w:t>2)</w:t>
      </w:r>
      <w:r>
        <w:tab/>
        <w:t>Участникам правовых отношений, регулируемых настоящим Законом, не может быть предложена работа (трудовая деятельность), противоречащая положениям пункта 1)".</w:t>
      </w:r>
    </w:p>
    <w:p w:rsidR="00000000" w:rsidRDefault="00000000">
      <w:pPr>
        <w:ind w:left="1134" w:hanging="1134"/>
      </w:pPr>
    </w:p>
    <w:p w:rsidR="00000000" w:rsidRDefault="00000000">
      <w:r>
        <w:tab/>
        <w:t>Предложением работы считается не только предложение, опубликованное в средствах массовой информации (рекламное объявление), но также предложение, сделанное во время беседы работодателя с кандидатом в процессе отбора, и т.д.</w:t>
      </w:r>
    </w:p>
    <w:p w:rsidR="00000000" w:rsidRDefault="00000000"/>
    <w:p w:rsidR="00000000" w:rsidRDefault="00000000">
      <w:r>
        <w:t>221.</w:t>
      </w:r>
      <w:r>
        <w:tab/>
        <w:t>В соответствии со статьями 8 и 9 Закона о занятости и юрисдикции органов Чешской Республики в секторе занятости по доказанному факту дискриминации при трудоустройстве может быть возбуждено судебное преследование.  На виновных лиц может быть наложен штраф в размере до 250 000 чешских крон, а в случае повторения - до 1 миллиона чешских крон.  Осуществляют контроль и налагают штрафы инспекционные органы:  службы трудоустройства и министерство труда и социальных дел.  Пока еще не известно, имели ли место обращения в суд в целях защиты от дискриминации, поскольку до 1999 года соответствующие данные в рамках официальной статистики не собирались.</w:t>
      </w:r>
    </w:p>
    <w:p w:rsidR="00000000" w:rsidRDefault="00000000"/>
    <w:p w:rsidR="00000000" w:rsidRDefault="00000000">
      <w:r>
        <w:t>222.</w:t>
      </w:r>
      <w:r>
        <w:tab/>
        <w:t>В связи с практическим осуществлением права на равный доступ к труду возникают проблемы, которые касаются не только мужчин и женщин, но и всех категорий населения, относящихся к группам риска:  молодежи без профессионального опыта, женщин с малолетними детьми, инвалидов, лиц предпенсионного возраста и лиц с низкой квалификацией или вообще без квалификации.</w:t>
      </w:r>
    </w:p>
    <w:p w:rsidR="00000000" w:rsidRDefault="00000000"/>
    <w:p w:rsidR="00000000" w:rsidRDefault="00000000">
      <w:r>
        <w:t>223.</w:t>
      </w:r>
      <w:r>
        <w:tab/>
        <w:t>С серьезными проблемами на рынке труда сталкиваются члены меньшинств рома.  Уровень безработицы среди членов этого меньшинства крайне высок (по данным правительства, не имеют работы 70-80% рома трудоспособного возраста</w:t>
      </w:r>
      <w:r>
        <w:rPr>
          <w:rStyle w:val="FootnoteReference"/>
        </w:rPr>
        <w:footnoteReference w:id="138"/>
      </w:r>
      <w:r>
        <w:t>) и они зависит от пособий по социальному обеспечению и других видов социальной помощи.  Кроме того, большинство рома, которые зарегистрировались в качестве безработных в службах трудоустройства, также входят в группу лиц, которым трудно найти работу, поскольку для них характерно сочетание целого ряда недостатков.</w:t>
      </w:r>
    </w:p>
    <w:p w:rsidR="00000000" w:rsidRDefault="00000000"/>
    <w:p w:rsidR="00000000" w:rsidRDefault="00000000">
      <w:r>
        <w:t>224.</w:t>
      </w:r>
      <w:r>
        <w:tab/>
        <w:t>Главная причина высокой безработицы среди рома заключается в том, что большинство из них имеют низкий уровень образования и квалификации.  Вторая причина, тесно связанная с первой, - дестимулирующая система социальных пособий с точки зрения уровня оплаты неквалифицированного ручного труда.  Усилия по предотвращению прямой дискриминации со стороны работодателей, которые иногда отказываются брать на работу рома без разъяснения причин и зачастую ссылаются на их "неприспособленность" работать в обычном режиме и на печальный опыт найма рома, не увенчались успехом.  Вместе с тем, доказать эту форму дискриминации сложно.  Проекты по трудоустройству рома получают поддержку министерства труда и социальных дел в рамках государственных программ переквалификации</w:t>
      </w:r>
      <w:r>
        <w:rPr>
          <w:rStyle w:val="FootnoteReference"/>
        </w:rPr>
        <w:footnoteReference w:id="139"/>
      </w:r>
      <w:r>
        <w:t>, а на местном уровне </w:t>
      </w:r>
      <w:r>
        <w:noBreakHyphen/>
        <w:t xml:space="preserve"> министерства внутренних дел в рамках Национального комитета по предотвращению преступности</w:t>
      </w:r>
      <w:r>
        <w:rPr>
          <w:rStyle w:val="FootnoteReference"/>
        </w:rPr>
        <w:footnoteReference w:id="140"/>
      </w:r>
      <w:r>
        <w:t>.</w:t>
      </w:r>
    </w:p>
    <w:p w:rsidR="00000000" w:rsidRDefault="00000000"/>
    <w:p w:rsidR="00000000" w:rsidRDefault="00000000">
      <w:r>
        <w:t>225.</w:t>
      </w:r>
      <w:r>
        <w:tab/>
        <w:t>В целях поощрения занятости инвалидов возложенная на работодателей обязанность принимать на работу определенный процент инвалидов была перенесена из простого постановления правительства непосредственно в новый Закон о занятости.  И все же, как показывают статистические данные, безработица среди инвалидов растет.  В последние годы число граждан с физическими недостатками резко увеличилось, а количество приемлемых для них рабочих мест, по данным служб трудоустройства, осталось прежним.  По состоянию на 31 декабря 1998 года численность инвалидов в Чешской Республике составляла 48 951 человек и на их долю приходилось лишь 1 242 (зарегистрированных в службах трудоустройства) рабочих места.</w:t>
      </w:r>
    </w:p>
    <w:p w:rsidR="00000000" w:rsidRDefault="00000000"/>
    <w:p w:rsidR="00000000" w:rsidRDefault="00000000">
      <w:r>
        <w:t>226.</w:t>
      </w:r>
      <w:r>
        <w:tab/>
        <w:t>Опыт последних десяти лет показывает неадекватность узковедомственного подхода к решению вопросов, связанных со здоровьем и занятостью населения.  Экономические потери, связанные с инвалидностью, возникают не только напрямую, т.е. вследствие выделения инвалидам социальных пособий и пенсий, но и косвенно в результате того, что инвалиды не принимают участия в создании валового национального продукта.  Дополнительные потери возникают из</w:t>
      </w:r>
      <w:r>
        <w:noBreakHyphen/>
        <w:t>за неспособности родственников и близких лиц, заботящихся об инвалиде, пользоваться образованием, квалификацией и опытом, вследствие менее активного участия в создании ВНП, а также в результате статистически доказуемой возросшей потребности в медицинском уходе для лиц, не прошедших реабилитацию.  Одним из предварительных условий эффективного направления финансовых ресурсов на нужды инвалидов является введение единых параметров реабилитации, которые основаны на оценке физических недостатков с помощью критериев, рекомендованных ВОЗ</w:t>
      </w:r>
      <w:r>
        <w:rPr>
          <w:rStyle w:val="FootnoteReference"/>
        </w:rPr>
        <w:footnoteReference w:id="141"/>
      </w:r>
      <w:r>
        <w:t>.  В мае 1999 года своим постановлением</w:t>
      </w:r>
      <w:r>
        <w:rPr>
          <w:rStyle w:val="FootnoteReference"/>
        </w:rPr>
        <w:footnoteReference w:id="142"/>
      </w:r>
      <w:r>
        <w:t xml:space="preserve"> правительство поручило министерству труда и социальных дел подготовить к середине 2000 года проект "концепции единых параметров реабилитации" (которая должна вступить в силу 1 января 2001 года).</w:t>
      </w:r>
    </w:p>
    <w:p w:rsidR="00000000" w:rsidRDefault="00000000"/>
    <w:p w:rsidR="00000000" w:rsidRDefault="00000000">
      <w:pPr>
        <w:pStyle w:val="Heading2"/>
        <w:rPr>
          <w:b/>
          <w:bCs/>
          <w:u w:val="none"/>
        </w:rPr>
      </w:pPr>
      <w:r>
        <w:rPr>
          <w:b/>
          <w:bCs/>
          <w:u w:val="none"/>
        </w:rPr>
        <w:t>Ограничения на занятие определенных должностей</w:t>
      </w:r>
    </w:p>
    <w:p w:rsidR="00000000" w:rsidRDefault="00000000">
      <w:pPr>
        <w:pStyle w:val="Heading2"/>
      </w:pPr>
    </w:p>
    <w:p w:rsidR="00000000" w:rsidRDefault="00000000">
      <w:r>
        <w:t>227.</w:t>
      </w:r>
      <w:r>
        <w:tab/>
        <w:t>В рамках усилий, направленных на ограничение влияния лиц, которые были тесно связаны с существовавшим до 1989 года режимом, занимая высокие государственные посты и руководящие должности в репрессивных органах государственной власти, было принято два так называемых "люстрационных" закона:  Федеральный закон о ряде дополнительных условий для занятия определенных должностей в государственных органах и организациях</w:t>
      </w:r>
      <w:r>
        <w:rPr>
          <w:rStyle w:val="FootnoteReference"/>
        </w:rPr>
        <w:footnoteReference w:id="143"/>
      </w:r>
      <w:r>
        <w:t xml:space="preserve"> и дополняющий его Закон Чешского национального совета о ряде дополнительных критериев назначения или отбора на определенные должности сотрудников полиции и служащих пенитенциарных учреждений</w:t>
      </w:r>
      <w:r>
        <w:rPr>
          <w:rStyle w:val="FootnoteReference"/>
        </w:rPr>
        <w:footnoteReference w:id="144"/>
      </w:r>
      <w:r>
        <w:t>.</w:t>
      </w:r>
    </w:p>
    <w:p w:rsidR="00000000" w:rsidRDefault="00000000"/>
    <w:p w:rsidR="00000000" w:rsidRDefault="00000000">
      <w:r>
        <w:t>228.</w:t>
      </w:r>
      <w:r>
        <w:tab/>
        <w:t>В соответствии с упомянутыми законодательными актами важными должностями считаются посты, которые заполняются путем избрания, назначения или отбора в государственных административных органах, Вооруженных силах, Информационной службе безопасности, в канцелярии президента Республики, в канцелярии правительства, в канцелярии Верховного и Конституционного суда, в Президиуме Академии наук, на радио и телевидении, в государственных компаниях и организациях, а также в государственных фондах и финансовых учреждениях, включая Чешский национальный банк.  Эти акты действуют также в отношении судей, прокуроров и стажеров в судебных органах и определяют рамки надлежащего осуществления некоторых лицензируемых видов деятельности</w:t>
      </w:r>
      <w:r>
        <w:rPr>
          <w:rStyle w:val="FootnoteReference"/>
        </w:rPr>
        <w:footnoteReference w:id="145"/>
      </w:r>
      <w:r>
        <w:t>.</w:t>
      </w:r>
    </w:p>
    <w:p w:rsidR="00000000" w:rsidRDefault="00000000"/>
    <w:p w:rsidR="00000000" w:rsidRDefault="00000000">
      <w:r>
        <w:t>229.</w:t>
      </w:r>
      <w:r>
        <w:tab/>
        <w:t>В соответствии с указанными законами для занятия определенных должностей необходимо, чтобы в период с 25 февраля 1948 года по 17 ноября 1989 года заинтересованное лицо не было сотрудником Службы государственной безопасности, не было зарегистрировано в качестве секретного сотрудника Службы государственной безопасности, не было секретарем какого-либо органа Чехословацкой коммунистической партии на окружном уровне и выше, не было членом Центрального комитета партии, сотрудником политического аппарата этих органов, членом "Комиссии по партийной чистке" или специального комитета после 1948 и после 1968 годов, сотрудником народной милиции, учащимся высшего учебного заведения по подготовке политических кадров и сотрудников Службы государственной безопасности или студентом ряда высших учебных заведений Советского Союза.</w:t>
      </w:r>
    </w:p>
    <w:p w:rsidR="00000000" w:rsidRDefault="00000000"/>
    <w:p w:rsidR="00000000" w:rsidRDefault="00000000">
      <w:r>
        <w:t>230.</w:t>
      </w:r>
      <w:r>
        <w:tab/>
        <w:t>Сторонники "люстрационных" законов заявляют, что они представляют собой превентивную меру, которая необходима для защиты зарождающейся демократии.  Противники критикуют эти законы главным образом за то, что предусмотренные в них меры фактически равносильны внесудебному вынесению наказания, которое носит ретроактивный и, следовательно, неприемлемый характер.  Они также выражают неудовлетворение в связи с тем, что эти законы предусматривают автоматическое наказание перечисленных категорий лиц без рассмотрения степени виновности каждого человека</w:t>
      </w:r>
      <w:r>
        <w:rPr>
          <w:rStyle w:val="FootnoteReference"/>
        </w:rPr>
        <w:footnoteReference w:id="146"/>
      </w:r>
      <w:r>
        <w:t>.  Оба упомянутых законодательных акта вступили в силу 31 декабря 2000 года</w:t>
      </w:r>
      <w:r>
        <w:rPr>
          <w:rStyle w:val="FootnoteReference"/>
        </w:rPr>
        <w:footnoteReference w:id="147"/>
      </w:r>
      <w:r>
        <w:t>.</w:t>
      </w:r>
    </w:p>
    <w:p w:rsidR="00000000" w:rsidRDefault="00000000"/>
    <w:p w:rsidR="00000000" w:rsidRDefault="00000000">
      <w:r>
        <w:t>231.</w:t>
      </w:r>
      <w:r>
        <w:tab/>
        <w:t>Инспекционные органы Международной организации труда признали важное значение "люстрационных" законов в период перехода к демократии, высказавшись, однако, за ограничение их действия по времени.  Они также подвергли критике слишком широкую сферу действия этих законов, особенно в части, касающейся занятия должностей в государственных административных органах.  Эти законы также были подвергнуты критике органами Совета Европы.</w:t>
      </w:r>
    </w:p>
    <w:p w:rsidR="00000000" w:rsidRDefault="00000000"/>
    <w:p w:rsidR="00000000" w:rsidRDefault="00000000">
      <w:pPr>
        <w:pStyle w:val="Heading2"/>
        <w:rPr>
          <w:b/>
          <w:bCs/>
          <w:u w:val="none"/>
        </w:rPr>
      </w:pPr>
      <w:r>
        <w:rPr>
          <w:b/>
          <w:bCs/>
          <w:u w:val="none"/>
        </w:rPr>
        <w:t>Пункт 2</w:t>
      </w:r>
    </w:p>
    <w:p w:rsidR="00000000" w:rsidRDefault="00000000">
      <w:pPr>
        <w:pStyle w:val="Heading2"/>
      </w:pPr>
    </w:p>
    <w:p w:rsidR="00000000" w:rsidRDefault="00000000">
      <w:r>
        <w:t>232.</w:t>
      </w:r>
      <w:r>
        <w:tab/>
        <w:t>Правительство Чешской Республики создало систему государственных учреждений по вопросам занятости (служб трудоустройства) для разработки, подготовки и осуществления общегосударственной политики в области занятости.  Чешская Республика представила подробную информацию о законодательных и практических мерах, принимаемых в рамках активной и пассивной политики по поощрению занятости, и об учреждениях по вопросам занятости Комитету экспертов Международной организации труда в связи с осуществлением Конвенции № 122 (о политике в области занятости), Конвенции № 159 (о профессиональной реабилитации и занятости инвалидов) и Конвенции №  88 (об организации службы занятости).  Что касается свободного осуществления трудовой деятельности, то Чешская Республика представила Международной организации труда доклад относительно осуществления Конвенции № 29 о принудительном труде и Конвенции № 105 об упразднении принудительного труда.  За исключением Конвенции № 105, вступившей в силу для Чешской Республики 6 августа 1997 года, все упомянутые выше конвенции действуют в Чешской Республике с 1 января 1993 года.</w:t>
      </w:r>
    </w:p>
    <w:p w:rsidR="00000000" w:rsidRDefault="00000000"/>
    <w:p w:rsidR="00000000" w:rsidRDefault="00000000">
      <w:r>
        <w:t>233.</w:t>
      </w:r>
      <w:r>
        <w:tab/>
        <w:t>В 1975 году Чешская Республика ратифицировала также принятую Международной организацией труда Конвенцию № 140 об оплачиваемых учебных отпусках и Конвенцию № 142 о развитии людских ресурсов.</w:t>
      </w:r>
    </w:p>
    <w:p w:rsidR="00000000" w:rsidRDefault="00000000"/>
    <w:p w:rsidR="00000000" w:rsidRDefault="00000000">
      <w:r>
        <w:t>234.</w:t>
      </w:r>
      <w:r>
        <w:tab/>
        <w:t>Помимо упомянутой выше переквалификации, службы занятости обеспечивают, в рамках активной политики по поощрению занятости, создание новых рабочих мест посредством материального стимулирования работодателей, нанимающих лиц, которые ищут работу.  Они создают социально значимые рабочие места</w:t>
      </w:r>
      <w:r>
        <w:rPr>
          <w:rStyle w:val="FootnoteReference"/>
        </w:rPr>
        <w:footnoteReference w:id="148"/>
      </w:r>
      <w:r>
        <w:t xml:space="preserve">, организуют общественно полезные работы, оказывают финансовую поддержку работодателям, которые организуют производственное обучение для выпускников школ или профессиональные курсы для несовершеннолетних лиц, зарегистрировавшихся в службах трудоустройства, материально стимулируют закрепление за инвалидами рабочих мест и должностей, а также выделяют субсидии в фонд заработной платы компаниям, которые меняют свою производственную ориентацию в целях предотвращения временного увольнения своих работников. </w:t>
      </w:r>
    </w:p>
    <w:p w:rsidR="00000000" w:rsidRDefault="00000000"/>
    <w:p w:rsidR="00000000" w:rsidRDefault="00000000">
      <w:r>
        <w:t>235.</w:t>
      </w:r>
      <w:r>
        <w:tab/>
        <w:t>В мае 1999 года правительство утвердило концептуальный документ "Национальный план действий в области занятости"</w:t>
      </w:r>
      <w:r>
        <w:rPr>
          <w:rStyle w:val="FootnoteReference"/>
        </w:rPr>
        <w:footnoteReference w:id="149"/>
      </w:r>
      <w:r>
        <w:t xml:space="preserve"> и учредило Комитет по вопросам занятости в качестве координационного и консультативного органа при министерстве труда и социальных дел.  Упомянутый план предусматривает следующие основные направления практической деятельности:</w:t>
      </w:r>
    </w:p>
    <w:p w:rsidR="00000000" w:rsidRDefault="00000000"/>
    <w:p w:rsidR="00000000" w:rsidRDefault="00000000">
      <w:r>
        <w:rPr>
          <w:lang w:val="en-US"/>
        </w:rPr>
        <w:tab/>
        <w:t>a</w:t>
      </w:r>
      <w:r>
        <w:t>)</w:t>
      </w:r>
      <w:r>
        <w:tab/>
        <w:t>постепенное реформирование, начиная с 2000/2001 школьного года, порядка управления и финансирования школьной системы на уровнях начального, среднего и высшего профессионального образования в целях создания, с помощью системы образования, условий, обеспечивающих сбалансированность между профессиональной квалификацией выпускников школ и потребностями рынка труда;</w:t>
      </w:r>
    </w:p>
    <w:p w:rsidR="00000000" w:rsidRDefault="00000000"/>
    <w:p w:rsidR="00000000" w:rsidRDefault="00000000">
      <w:r>
        <w:tab/>
      </w:r>
      <w:r>
        <w:rPr>
          <w:lang w:val="en-US"/>
        </w:rPr>
        <w:t>b</w:t>
      </w:r>
      <w:r>
        <w:t>)</w:t>
      </w:r>
      <w:r>
        <w:tab/>
        <w:t>включение, начиная с 2000/2001 школьного года, в учебные программы школ, особенно начальных школ, предмета "Выбор профессии" в целях надлежащей подготовки учащихся и в сотрудничестве со службами трудоустройства и информирование о нынешних и будущих возможностях на рынке труда в рамках обучения в начальных, средних и высших профессиональных учебных заведениях;</w:t>
      </w:r>
    </w:p>
    <w:p w:rsidR="00000000" w:rsidRDefault="00000000"/>
    <w:p w:rsidR="00000000" w:rsidRDefault="00000000">
      <w:r>
        <w:tab/>
      </w:r>
      <w:r>
        <w:rPr>
          <w:lang w:val="en-US"/>
        </w:rPr>
        <w:t>c</w:t>
      </w:r>
      <w:r>
        <w:t>)</w:t>
      </w:r>
      <w:r>
        <w:tab/>
        <w:t>постепенное повышение доли заработанного дохода в социальных пособиях, главным образом среди лиц с ожидаемыми низкими доходами, и предоставление экономически активным лицам льгот по сравнению с неработающими.  В рамках решения этой задачи необходимо повысить размер минимальной заработной платы, с тем чтобы она превышала прожиточный минимум одинокого взрослого;</w:t>
      </w:r>
    </w:p>
    <w:p w:rsidR="00000000" w:rsidRDefault="00000000"/>
    <w:p w:rsidR="00000000" w:rsidRDefault="00000000">
      <w:r>
        <w:tab/>
      </w:r>
      <w:r>
        <w:rPr>
          <w:lang w:val="en-US"/>
        </w:rPr>
        <w:t>d</w:t>
      </w:r>
      <w:r>
        <w:t>)</w:t>
      </w:r>
      <w:r>
        <w:tab/>
        <w:t xml:space="preserve">изменение и расширение юрисдикции и возможностей, в том числе организационных и финансовых, органов по вопросам занятости с учетом потребностей рынка труда.  Подготовка нового закона о занятости, с тем чтобы он мог вступить в силу 1 июля 2001 года.  В этом законе следует всесторонне и взаимозависимо рассмотреть опросы трудоустройства иностранцев и инвалидов и защиты их интересов на рынке труда, а также положение лиц, испытывающих большие трудности с трудоустройством; </w:t>
      </w:r>
    </w:p>
    <w:p w:rsidR="00000000" w:rsidRDefault="00000000"/>
    <w:p w:rsidR="00000000" w:rsidRDefault="00000000">
      <w:r>
        <w:tab/>
      </w:r>
      <w:r>
        <w:rPr>
          <w:lang w:val="en-US"/>
        </w:rPr>
        <w:t>e</w:t>
      </w:r>
      <w:r>
        <w:t>)</w:t>
      </w:r>
      <w:r>
        <w:tab/>
        <w:t>разработка мер по поощрению занятости долгосрочных безработных с должным учетом интересов общины рома;</w:t>
      </w:r>
    </w:p>
    <w:p w:rsidR="00000000" w:rsidRDefault="00000000"/>
    <w:p w:rsidR="00000000" w:rsidRDefault="00000000">
      <w:r>
        <w:tab/>
      </w:r>
      <w:r>
        <w:rPr>
          <w:lang w:val="en-US"/>
        </w:rPr>
        <w:t>f</w:t>
      </w:r>
      <w:r>
        <w:t>)</w:t>
      </w:r>
      <w:r>
        <w:tab/>
        <w:t>поощрение создания и развития промышленных зон и предприятий, обеспечив новые рабочие места.  Одновременная поддержка малых и средних предприятий посредством оказания им прямой помощи и снижения их налогового бремени;</w:t>
      </w:r>
    </w:p>
    <w:p w:rsidR="00000000" w:rsidRDefault="00000000"/>
    <w:p w:rsidR="00000000" w:rsidRDefault="00000000">
      <w:r>
        <w:tab/>
      </w:r>
      <w:r>
        <w:rPr>
          <w:lang w:val="en-US"/>
        </w:rPr>
        <w:t>g</w:t>
      </w:r>
      <w:r>
        <w:t>)</w:t>
      </w:r>
      <w:r>
        <w:tab/>
        <w:t>уделение приоритетного внимания государственным подрядам в целях обеспечения занятости ищущих работу лиц, особенно тех, кто испытывает трудности с трудоустройством;</w:t>
      </w:r>
    </w:p>
    <w:p w:rsidR="00000000" w:rsidRDefault="00000000"/>
    <w:p w:rsidR="00000000" w:rsidRDefault="00000000">
      <w:r>
        <w:tab/>
      </w:r>
      <w:r>
        <w:rPr>
          <w:lang w:val="en-US"/>
        </w:rPr>
        <w:t>h</w:t>
      </w:r>
      <w:r>
        <w:t>)</w:t>
      </w:r>
      <w:r>
        <w:tab/>
        <w:t>создание условий для введения гибких форм организации и распорядка труда, которые позволяют взаимно учитывать интересы работодателей и трудящихся;  создание условий для сокращения продолжительности рабочего дня и для работы неполный рабочий день;  сокращение практики внеурочной работы;</w:t>
      </w:r>
    </w:p>
    <w:p w:rsidR="00000000" w:rsidRDefault="00000000"/>
    <w:p w:rsidR="00000000" w:rsidRDefault="00000000">
      <w:r>
        <w:tab/>
      </w:r>
      <w:r>
        <w:rPr>
          <w:lang w:val="en-US"/>
        </w:rPr>
        <w:t>i</w:t>
      </w:r>
      <w:r>
        <w:t>)</w:t>
      </w:r>
      <w:r>
        <w:tab/>
        <w:t xml:space="preserve">постоянный контроль за эффективным осуществлением права на труд среди категорий населения, подвергаемых дискриминации; </w:t>
      </w:r>
    </w:p>
    <w:p w:rsidR="00000000" w:rsidRDefault="00000000"/>
    <w:p w:rsidR="00000000" w:rsidRDefault="00000000">
      <w:r>
        <w:tab/>
      </w:r>
      <w:r>
        <w:rPr>
          <w:lang w:val="en-US"/>
        </w:rPr>
        <w:t>j</w:t>
      </w:r>
      <w:r>
        <w:t>)</w:t>
      </w:r>
      <w:r>
        <w:tab/>
        <w:t>содействие ликвидации несправедливых различий в заработной плате между мужчинами и женщинами.</w:t>
      </w:r>
    </w:p>
    <w:p w:rsidR="00000000" w:rsidRDefault="00000000"/>
    <w:p w:rsidR="00000000" w:rsidRDefault="00000000">
      <w:r>
        <w:t>236.</w:t>
      </w:r>
      <w:r>
        <w:tab/>
        <w:t>Принятие нового плана стало следствием изменений, происшедших на рынке труда после создания Чешской Республики, и тех требований, которые были изложены в стратегии экономического развития Чешской Республики в рамках вступления в Европейский союз:  оживление экономического роста, укрепление конкурентоспособности, улучшение квалификации рабочей силы и повышение занятости.</w:t>
      </w:r>
    </w:p>
    <w:p w:rsidR="00000000" w:rsidRDefault="00000000"/>
    <w:p w:rsidR="00000000" w:rsidRDefault="00000000">
      <w:pPr>
        <w:pStyle w:val="FootnoteText"/>
        <w:spacing w:line="288" w:lineRule="auto"/>
      </w:pPr>
      <w:r>
        <w:t>237.</w:t>
      </w:r>
      <w:r>
        <w:tab/>
        <w:t>Свой вклад в осуществление политики в области занятости вносят также основные государственные транспортные службы, особенно общественный транспорт</w:t>
      </w:r>
      <w:r>
        <w:rPr>
          <w:rStyle w:val="FootnoteReference"/>
        </w:rPr>
        <w:footnoteReference w:id="150"/>
      </w:r>
      <w:r>
        <w:t>.  Оказание основных общественных транспортных услуг на какой</w:t>
      </w:r>
      <w:r>
        <w:noBreakHyphen/>
        <w:t xml:space="preserve">либо территории </w:t>
      </w:r>
      <w:r>
        <w:noBreakHyphen/>
        <w:t xml:space="preserve"> в Чешской Республике, главным образом, на окружном уровне </w:t>
      </w:r>
      <w:r>
        <w:noBreakHyphen/>
        <w:t xml:space="preserve"> означает обеспечение надлежащих ежедневных перевозок до места работы и учебы, а также судебных и медицинских учреждений и обратно.  Общественный транспорт не развит равномерно по всей территории Чешской Республики.  Протяженность сетей и маршрутов автобусного и железнодорожного пассажирского транспорта зависит, среди прочего, от финансовых возможностей государства и отдельных муниципалитетов.</w:t>
      </w:r>
    </w:p>
    <w:p w:rsidR="00000000" w:rsidRDefault="00000000">
      <w:pPr>
        <w:pStyle w:val="FootnoteText"/>
        <w:spacing w:line="216" w:lineRule="auto"/>
      </w:pPr>
    </w:p>
    <w:p w:rsidR="00000000" w:rsidRDefault="00000000">
      <w:pPr>
        <w:pStyle w:val="FootnoteText"/>
        <w:spacing w:line="216" w:lineRule="auto"/>
        <w:jc w:val="center"/>
        <w:rPr>
          <w:b/>
          <w:bCs/>
        </w:rPr>
      </w:pPr>
      <w:r>
        <w:rPr>
          <w:b/>
          <w:bCs/>
        </w:rPr>
        <w:t>Пассажирские перевозки (в млн. человек)</w:t>
      </w:r>
    </w:p>
    <w:p w:rsidR="00000000" w:rsidRDefault="00000000">
      <w:pPr>
        <w:pStyle w:val="FootnoteText"/>
        <w:spacing w:line="216" w:lineRule="auto"/>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8"/>
        <w:gridCol w:w="935"/>
        <w:gridCol w:w="935"/>
        <w:gridCol w:w="935"/>
        <w:gridCol w:w="935"/>
        <w:gridCol w:w="935"/>
        <w:gridCol w:w="1048"/>
      </w:tblGrid>
      <w:tr w:rsidR="00000000">
        <w:tblPrEx>
          <w:tblCellMar>
            <w:top w:w="0" w:type="dxa"/>
            <w:bottom w:w="0" w:type="dxa"/>
          </w:tblCellMar>
        </w:tblPrEx>
        <w:tc>
          <w:tcPr>
            <w:tcW w:w="3848" w:type="dxa"/>
            <w:tcBorders>
              <w:bottom w:val="nil"/>
            </w:tcBorders>
          </w:tcPr>
          <w:p w:rsidR="00000000" w:rsidRDefault="00000000">
            <w:pPr>
              <w:pStyle w:val="FootnoteText"/>
            </w:pPr>
          </w:p>
        </w:tc>
        <w:tc>
          <w:tcPr>
            <w:tcW w:w="935" w:type="dxa"/>
            <w:tcBorders>
              <w:bottom w:val="single" w:sz="4" w:space="0" w:color="auto"/>
            </w:tcBorders>
          </w:tcPr>
          <w:p w:rsidR="00000000" w:rsidRDefault="00000000">
            <w:pPr>
              <w:pStyle w:val="FootnoteText"/>
              <w:jc w:val="center"/>
            </w:pPr>
            <w:r>
              <w:t>1993</w:t>
            </w:r>
          </w:p>
        </w:tc>
        <w:tc>
          <w:tcPr>
            <w:tcW w:w="935" w:type="dxa"/>
            <w:tcBorders>
              <w:bottom w:val="single" w:sz="4" w:space="0" w:color="auto"/>
            </w:tcBorders>
          </w:tcPr>
          <w:p w:rsidR="00000000" w:rsidRDefault="00000000">
            <w:pPr>
              <w:pStyle w:val="FootnoteText"/>
              <w:jc w:val="center"/>
            </w:pPr>
            <w:r>
              <w:t>1994</w:t>
            </w:r>
          </w:p>
        </w:tc>
        <w:tc>
          <w:tcPr>
            <w:tcW w:w="935" w:type="dxa"/>
            <w:tcBorders>
              <w:bottom w:val="single" w:sz="4" w:space="0" w:color="auto"/>
            </w:tcBorders>
          </w:tcPr>
          <w:p w:rsidR="00000000" w:rsidRDefault="00000000">
            <w:pPr>
              <w:pStyle w:val="FootnoteText"/>
              <w:jc w:val="center"/>
            </w:pPr>
            <w:r>
              <w:t>1995</w:t>
            </w:r>
          </w:p>
        </w:tc>
        <w:tc>
          <w:tcPr>
            <w:tcW w:w="935" w:type="dxa"/>
            <w:tcBorders>
              <w:bottom w:val="single" w:sz="4" w:space="0" w:color="auto"/>
            </w:tcBorders>
          </w:tcPr>
          <w:p w:rsidR="00000000" w:rsidRDefault="00000000">
            <w:pPr>
              <w:pStyle w:val="FootnoteText"/>
              <w:jc w:val="center"/>
            </w:pPr>
            <w:r>
              <w:t>1996</w:t>
            </w:r>
          </w:p>
        </w:tc>
        <w:tc>
          <w:tcPr>
            <w:tcW w:w="935" w:type="dxa"/>
            <w:tcBorders>
              <w:bottom w:val="single" w:sz="4" w:space="0" w:color="auto"/>
            </w:tcBorders>
          </w:tcPr>
          <w:p w:rsidR="00000000" w:rsidRDefault="00000000">
            <w:pPr>
              <w:pStyle w:val="FootnoteText"/>
              <w:jc w:val="center"/>
            </w:pPr>
            <w:r>
              <w:t>1997</w:t>
            </w:r>
          </w:p>
        </w:tc>
        <w:tc>
          <w:tcPr>
            <w:tcW w:w="1048" w:type="dxa"/>
            <w:tcBorders>
              <w:bottom w:val="single" w:sz="4" w:space="0" w:color="auto"/>
            </w:tcBorders>
          </w:tcPr>
          <w:p w:rsidR="00000000" w:rsidRDefault="00000000">
            <w:pPr>
              <w:pStyle w:val="FootnoteText"/>
              <w:jc w:val="center"/>
            </w:pPr>
            <w:r>
              <w:t>1998</w:t>
            </w:r>
          </w:p>
        </w:tc>
      </w:tr>
      <w:tr w:rsidR="00000000">
        <w:tblPrEx>
          <w:tblCellMar>
            <w:top w:w="0" w:type="dxa"/>
            <w:bottom w:w="0" w:type="dxa"/>
          </w:tblCellMar>
        </w:tblPrEx>
        <w:tc>
          <w:tcPr>
            <w:tcW w:w="3848" w:type="dxa"/>
            <w:tcBorders>
              <w:top w:val="nil"/>
              <w:bottom w:val="nil"/>
            </w:tcBorders>
          </w:tcPr>
          <w:p w:rsidR="00000000" w:rsidRDefault="00000000">
            <w:pPr>
              <w:pStyle w:val="FootnoteText"/>
            </w:pPr>
            <w:r>
              <w:t>Железнодорожный транспорт</w:t>
            </w:r>
          </w:p>
        </w:tc>
        <w:tc>
          <w:tcPr>
            <w:tcW w:w="935" w:type="dxa"/>
            <w:tcBorders>
              <w:bottom w:val="nil"/>
              <w:right w:val="single" w:sz="4" w:space="0" w:color="auto"/>
            </w:tcBorders>
          </w:tcPr>
          <w:p w:rsidR="00000000" w:rsidRDefault="00000000">
            <w:pPr>
              <w:pStyle w:val="FootnoteText"/>
              <w:jc w:val="right"/>
            </w:pPr>
            <w:r>
              <w:t>242</w:t>
            </w:r>
          </w:p>
        </w:tc>
        <w:tc>
          <w:tcPr>
            <w:tcW w:w="935" w:type="dxa"/>
            <w:tcBorders>
              <w:left w:val="single" w:sz="4" w:space="0" w:color="auto"/>
              <w:bottom w:val="nil"/>
              <w:right w:val="single" w:sz="4" w:space="0" w:color="auto"/>
            </w:tcBorders>
          </w:tcPr>
          <w:p w:rsidR="00000000" w:rsidRDefault="00000000">
            <w:pPr>
              <w:pStyle w:val="FootnoteText"/>
              <w:jc w:val="right"/>
            </w:pPr>
            <w:r>
              <w:t>229</w:t>
            </w:r>
          </w:p>
        </w:tc>
        <w:tc>
          <w:tcPr>
            <w:tcW w:w="935" w:type="dxa"/>
            <w:tcBorders>
              <w:left w:val="single" w:sz="4" w:space="0" w:color="auto"/>
              <w:bottom w:val="nil"/>
              <w:right w:val="single" w:sz="4" w:space="0" w:color="auto"/>
            </w:tcBorders>
          </w:tcPr>
          <w:p w:rsidR="00000000" w:rsidRDefault="00000000">
            <w:pPr>
              <w:pStyle w:val="FootnoteText"/>
              <w:jc w:val="right"/>
            </w:pPr>
            <w:r>
              <w:t>227</w:t>
            </w:r>
          </w:p>
        </w:tc>
        <w:tc>
          <w:tcPr>
            <w:tcW w:w="935" w:type="dxa"/>
            <w:tcBorders>
              <w:left w:val="single" w:sz="4" w:space="0" w:color="auto"/>
              <w:bottom w:val="nil"/>
              <w:right w:val="single" w:sz="4" w:space="0" w:color="auto"/>
            </w:tcBorders>
          </w:tcPr>
          <w:p w:rsidR="00000000" w:rsidRDefault="00000000">
            <w:pPr>
              <w:pStyle w:val="FootnoteText"/>
              <w:jc w:val="right"/>
            </w:pPr>
            <w:r>
              <w:t>219</w:t>
            </w:r>
          </w:p>
        </w:tc>
        <w:tc>
          <w:tcPr>
            <w:tcW w:w="935" w:type="dxa"/>
            <w:tcBorders>
              <w:left w:val="single" w:sz="4" w:space="0" w:color="auto"/>
              <w:bottom w:val="nil"/>
              <w:right w:val="single" w:sz="4" w:space="0" w:color="auto"/>
            </w:tcBorders>
          </w:tcPr>
          <w:p w:rsidR="00000000" w:rsidRDefault="00000000">
            <w:pPr>
              <w:pStyle w:val="FootnoteText"/>
              <w:jc w:val="right"/>
            </w:pPr>
            <w:r>
              <w:t>203</w:t>
            </w:r>
          </w:p>
        </w:tc>
        <w:tc>
          <w:tcPr>
            <w:tcW w:w="1048" w:type="dxa"/>
            <w:tcBorders>
              <w:left w:val="single" w:sz="4" w:space="0" w:color="auto"/>
              <w:bottom w:val="nil"/>
            </w:tcBorders>
          </w:tcPr>
          <w:p w:rsidR="00000000" w:rsidRDefault="00000000">
            <w:pPr>
              <w:pStyle w:val="FootnoteText"/>
              <w:jc w:val="right"/>
            </w:pPr>
            <w:r>
              <w:t>183</w:t>
            </w:r>
          </w:p>
        </w:tc>
      </w:tr>
      <w:tr w:rsidR="00000000">
        <w:tblPrEx>
          <w:tblCellMar>
            <w:top w:w="0" w:type="dxa"/>
            <w:bottom w:w="0" w:type="dxa"/>
          </w:tblCellMar>
        </w:tblPrEx>
        <w:tc>
          <w:tcPr>
            <w:tcW w:w="3848" w:type="dxa"/>
            <w:tcBorders>
              <w:top w:val="nil"/>
              <w:bottom w:val="nil"/>
            </w:tcBorders>
          </w:tcPr>
          <w:p w:rsidR="00000000" w:rsidRDefault="00000000">
            <w:pPr>
              <w:pStyle w:val="FootnoteText"/>
            </w:pPr>
            <w:r>
              <w:t>Автобусные маршруты</w:t>
            </w:r>
          </w:p>
        </w:tc>
        <w:tc>
          <w:tcPr>
            <w:tcW w:w="935" w:type="dxa"/>
            <w:tcBorders>
              <w:top w:val="nil"/>
              <w:bottom w:val="nil"/>
              <w:right w:val="single" w:sz="4" w:space="0" w:color="auto"/>
            </w:tcBorders>
          </w:tcPr>
          <w:p w:rsidR="00000000" w:rsidRDefault="00000000">
            <w:pPr>
              <w:pStyle w:val="FootnoteText"/>
              <w:jc w:val="right"/>
            </w:pPr>
            <w:r>
              <w:t>9,09</w:t>
            </w:r>
          </w:p>
        </w:tc>
        <w:tc>
          <w:tcPr>
            <w:tcW w:w="935" w:type="dxa"/>
            <w:tcBorders>
              <w:top w:val="nil"/>
              <w:left w:val="single" w:sz="4" w:space="0" w:color="auto"/>
              <w:bottom w:val="nil"/>
              <w:right w:val="single" w:sz="4" w:space="0" w:color="auto"/>
            </w:tcBorders>
          </w:tcPr>
          <w:p w:rsidR="00000000" w:rsidRDefault="00000000">
            <w:pPr>
              <w:pStyle w:val="FootnoteText"/>
              <w:jc w:val="right"/>
            </w:pPr>
            <w:r>
              <w:t>8,20</w:t>
            </w:r>
          </w:p>
        </w:tc>
        <w:tc>
          <w:tcPr>
            <w:tcW w:w="935" w:type="dxa"/>
            <w:tcBorders>
              <w:top w:val="nil"/>
              <w:left w:val="single" w:sz="4" w:space="0" w:color="auto"/>
              <w:bottom w:val="nil"/>
              <w:right w:val="single" w:sz="4" w:space="0" w:color="auto"/>
            </w:tcBorders>
          </w:tcPr>
          <w:p w:rsidR="00000000" w:rsidRDefault="00000000">
            <w:pPr>
              <w:pStyle w:val="FootnoteText"/>
              <w:jc w:val="right"/>
            </w:pPr>
            <w:r>
              <w:t>7,67</w:t>
            </w:r>
          </w:p>
        </w:tc>
        <w:tc>
          <w:tcPr>
            <w:tcW w:w="935" w:type="dxa"/>
            <w:tcBorders>
              <w:top w:val="nil"/>
              <w:left w:val="single" w:sz="4" w:space="0" w:color="auto"/>
              <w:bottom w:val="nil"/>
              <w:right w:val="single" w:sz="4" w:space="0" w:color="auto"/>
            </w:tcBorders>
          </w:tcPr>
          <w:p w:rsidR="00000000" w:rsidRDefault="00000000">
            <w:pPr>
              <w:pStyle w:val="FootnoteText"/>
              <w:jc w:val="right"/>
            </w:pPr>
            <w:r>
              <w:t>6,32</w:t>
            </w:r>
          </w:p>
        </w:tc>
        <w:tc>
          <w:tcPr>
            <w:tcW w:w="935" w:type="dxa"/>
            <w:tcBorders>
              <w:top w:val="nil"/>
              <w:left w:val="single" w:sz="4" w:space="0" w:color="auto"/>
              <w:bottom w:val="nil"/>
              <w:right w:val="single" w:sz="4" w:space="0" w:color="auto"/>
            </w:tcBorders>
          </w:tcPr>
          <w:p w:rsidR="00000000" w:rsidRDefault="00000000">
            <w:pPr>
              <w:pStyle w:val="FootnoteText"/>
              <w:jc w:val="right"/>
            </w:pPr>
            <w:r>
              <w:t>5,88</w:t>
            </w:r>
          </w:p>
        </w:tc>
        <w:tc>
          <w:tcPr>
            <w:tcW w:w="1048" w:type="dxa"/>
            <w:tcBorders>
              <w:top w:val="nil"/>
              <w:left w:val="single" w:sz="4" w:space="0" w:color="auto"/>
              <w:bottom w:val="nil"/>
            </w:tcBorders>
          </w:tcPr>
          <w:p w:rsidR="00000000" w:rsidRDefault="00000000">
            <w:pPr>
              <w:pStyle w:val="FootnoteText"/>
              <w:jc w:val="right"/>
            </w:pPr>
            <w:r>
              <w:t>5,98</w:t>
            </w:r>
          </w:p>
        </w:tc>
      </w:tr>
      <w:tr w:rsidR="00000000">
        <w:tblPrEx>
          <w:tblCellMar>
            <w:top w:w="0" w:type="dxa"/>
            <w:bottom w:w="0" w:type="dxa"/>
          </w:tblCellMar>
        </w:tblPrEx>
        <w:tc>
          <w:tcPr>
            <w:tcW w:w="3848" w:type="dxa"/>
            <w:tcBorders>
              <w:top w:val="nil"/>
            </w:tcBorders>
          </w:tcPr>
          <w:p w:rsidR="00000000" w:rsidRDefault="00000000">
            <w:pPr>
              <w:pStyle w:val="FootnoteText"/>
            </w:pPr>
            <w:r>
              <w:t>Городской общественный транспорт</w:t>
            </w:r>
          </w:p>
        </w:tc>
        <w:tc>
          <w:tcPr>
            <w:tcW w:w="935" w:type="dxa"/>
            <w:tcBorders>
              <w:top w:val="nil"/>
              <w:bottom w:val="single" w:sz="4" w:space="0" w:color="auto"/>
              <w:right w:val="single" w:sz="4" w:space="0" w:color="auto"/>
            </w:tcBorders>
          </w:tcPr>
          <w:p w:rsidR="00000000" w:rsidRDefault="00000000">
            <w:pPr>
              <w:pStyle w:val="FootnoteText"/>
              <w:jc w:val="right"/>
            </w:pPr>
            <w:r>
              <w:t>2 635</w:t>
            </w:r>
          </w:p>
        </w:tc>
        <w:tc>
          <w:tcPr>
            <w:tcW w:w="935" w:type="dxa"/>
            <w:tcBorders>
              <w:top w:val="nil"/>
              <w:left w:val="single" w:sz="4" w:space="0" w:color="auto"/>
              <w:bottom w:val="single" w:sz="4" w:space="0" w:color="auto"/>
              <w:right w:val="single" w:sz="4" w:space="0" w:color="auto"/>
            </w:tcBorders>
          </w:tcPr>
          <w:p w:rsidR="00000000" w:rsidRDefault="00000000">
            <w:pPr>
              <w:pStyle w:val="FootnoteText"/>
              <w:jc w:val="right"/>
            </w:pPr>
            <w:r>
              <w:t>2 575</w:t>
            </w:r>
          </w:p>
        </w:tc>
        <w:tc>
          <w:tcPr>
            <w:tcW w:w="935" w:type="dxa"/>
            <w:tcBorders>
              <w:top w:val="nil"/>
              <w:left w:val="single" w:sz="4" w:space="0" w:color="auto"/>
              <w:bottom w:val="single" w:sz="4" w:space="0" w:color="auto"/>
              <w:right w:val="single" w:sz="4" w:space="0" w:color="auto"/>
            </w:tcBorders>
          </w:tcPr>
          <w:p w:rsidR="00000000" w:rsidRDefault="00000000">
            <w:pPr>
              <w:pStyle w:val="FootnoteText"/>
              <w:jc w:val="right"/>
            </w:pPr>
            <w:r>
              <w:t>2 262</w:t>
            </w:r>
          </w:p>
        </w:tc>
        <w:tc>
          <w:tcPr>
            <w:tcW w:w="935" w:type="dxa"/>
            <w:tcBorders>
              <w:top w:val="nil"/>
              <w:left w:val="single" w:sz="4" w:space="0" w:color="auto"/>
              <w:bottom w:val="single" w:sz="4" w:space="0" w:color="auto"/>
              <w:right w:val="single" w:sz="4" w:space="0" w:color="auto"/>
            </w:tcBorders>
          </w:tcPr>
          <w:p w:rsidR="00000000" w:rsidRDefault="00000000">
            <w:pPr>
              <w:pStyle w:val="FootnoteText"/>
              <w:jc w:val="right"/>
            </w:pPr>
            <w:r>
              <w:t>2 207</w:t>
            </w:r>
          </w:p>
        </w:tc>
        <w:tc>
          <w:tcPr>
            <w:tcW w:w="935" w:type="dxa"/>
            <w:tcBorders>
              <w:top w:val="nil"/>
              <w:left w:val="single" w:sz="4" w:space="0" w:color="auto"/>
              <w:bottom w:val="single" w:sz="4" w:space="0" w:color="auto"/>
              <w:right w:val="single" w:sz="4" w:space="0" w:color="auto"/>
            </w:tcBorders>
          </w:tcPr>
          <w:p w:rsidR="00000000" w:rsidRDefault="00000000">
            <w:pPr>
              <w:pStyle w:val="FootnoteText"/>
              <w:jc w:val="right"/>
            </w:pPr>
            <w:r>
              <w:t>2 162</w:t>
            </w:r>
          </w:p>
        </w:tc>
        <w:tc>
          <w:tcPr>
            <w:tcW w:w="1048" w:type="dxa"/>
            <w:tcBorders>
              <w:top w:val="nil"/>
              <w:left w:val="single" w:sz="4" w:space="0" w:color="auto"/>
              <w:bottom w:val="single" w:sz="4" w:space="0" w:color="auto"/>
            </w:tcBorders>
          </w:tcPr>
          <w:p w:rsidR="00000000" w:rsidRDefault="00000000">
            <w:pPr>
              <w:pStyle w:val="FootnoteText"/>
              <w:jc w:val="right"/>
            </w:pPr>
            <w:r>
              <w:t>2 175</w:t>
            </w:r>
          </w:p>
        </w:tc>
      </w:tr>
    </w:tbl>
    <w:p w:rsidR="00000000" w:rsidRDefault="00000000">
      <w:pPr>
        <w:pStyle w:val="FootnoteText"/>
        <w:rPr>
          <w:b/>
          <w:bCs/>
        </w:rPr>
      </w:pPr>
    </w:p>
    <w:p w:rsidR="00000000" w:rsidRDefault="00000000">
      <w:pPr>
        <w:pStyle w:val="FootnoteText"/>
      </w:pPr>
      <w:r>
        <w:tab/>
      </w:r>
      <w:r>
        <w:rPr>
          <w:u w:val="single"/>
        </w:rPr>
        <w:t>Источник</w:t>
      </w:r>
      <w:r>
        <w:t>:</w:t>
      </w:r>
      <w:r>
        <w:rPr>
          <w:b/>
          <w:bCs/>
        </w:rPr>
        <w:t xml:space="preserve">  </w:t>
      </w:r>
      <w:r>
        <w:t>Министерство транспорта и связи, 1999 год.</w:t>
      </w:r>
    </w:p>
    <w:p w:rsidR="00000000" w:rsidRDefault="00000000">
      <w:pPr>
        <w:pStyle w:val="FootnoteText"/>
      </w:pPr>
    </w:p>
    <w:p w:rsidR="00000000" w:rsidRDefault="00000000">
      <w:pPr>
        <w:pStyle w:val="FootnoteText"/>
        <w:spacing w:line="288" w:lineRule="auto"/>
      </w:pPr>
      <w:r>
        <w:t>238.</w:t>
      </w:r>
      <w:r>
        <w:tab/>
        <w:t xml:space="preserve">Средний уровень занятости в  первые годы преобразований был в целом удовлетворительным.  В сохранении высокого уровня занятости важную роль, в частности, играл сектор услуг:  в 1998 году в этом секторе работали 53,6% всех экономически активных лиц.  Доля сельского хозяйства и лесного сектора составляла лишь 5,5%, а промышленности </w:t>
      </w:r>
      <w:r>
        <w:noBreakHyphen/>
        <w:t xml:space="preserve"> 40,9%.  Хотя численность работающих на наиболее крупных промышленных предприятиях резко сократилась, на многих мелких и независимых предприятиях она возросла и составляет приблизительно 780 000 рабочих мест.</w:t>
      </w:r>
    </w:p>
    <w:p w:rsidR="00000000" w:rsidRDefault="00000000">
      <w:pPr>
        <w:pStyle w:val="FootnoteText"/>
        <w:spacing w:line="288" w:lineRule="auto"/>
      </w:pPr>
    </w:p>
    <w:p w:rsidR="00000000" w:rsidRDefault="00000000">
      <w:pPr>
        <w:pStyle w:val="FootnoteText"/>
        <w:spacing w:line="288" w:lineRule="auto"/>
      </w:pPr>
      <w:r>
        <w:t>239.</w:t>
      </w:r>
      <w:r>
        <w:tab/>
        <w:t>Кроме того, сохранению удовлетворительного уровня занятости вплоть до 1994 года способствовали:  сокращение числа работающих лиц пенсионного возраста, продление отпуска по уходу за ребенком с двух до трех лет, продление выплаты дотаций родителям до достижения ребенком четырехлетнего возраста и увеличение продолжительности отпуска на одну неделю.  Низкому уровню безработицы содействовала также практика досрочного выхода на пенсию.</w:t>
      </w:r>
    </w:p>
    <w:p w:rsidR="00000000" w:rsidRDefault="00000000">
      <w:pPr>
        <w:pStyle w:val="FootnoteText"/>
        <w:spacing w:line="216" w:lineRule="auto"/>
      </w:pPr>
    </w:p>
    <w:p w:rsidR="00000000" w:rsidRDefault="00000000">
      <w:pPr>
        <w:pStyle w:val="FootnoteText"/>
        <w:spacing w:line="216" w:lineRule="auto"/>
        <w:jc w:val="center"/>
        <w:rPr>
          <w:b/>
          <w:bCs/>
        </w:rPr>
      </w:pPr>
      <w:r>
        <w:rPr>
          <w:b/>
          <w:bCs/>
        </w:rPr>
        <w:br w:type="page"/>
        <w:t>Развитие рынка труда</w:t>
      </w:r>
    </w:p>
    <w:p w:rsidR="00000000" w:rsidRDefault="00000000">
      <w:pPr>
        <w:pStyle w:val="FootnoteText"/>
        <w:spacing w:line="216" w:lineRule="auto"/>
        <w:rPr>
          <w:b/>
          <w:bCs/>
        </w:rPr>
      </w:pPr>
    </w:p>
    <w:tbl>
      <w:tblPr>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
        <w:gridCol w:w="3179"/>
        <w:gridCol w:w="2618"/>
      </w:tblGrid>
      <w:tr w:rsidR="00000000">
        <w:tblPrEx>
          <w:tblCellMar>
            <w:top w:w="0" w:type="dxa"/>
            <w:bottom w:w="0" w:type="dxa"/>
          </w:tblCellMar>
        </w:tblPrEx>
        <w:tc>
          <w:tcPr>
            <w:tcW w:w="935" w:type="dxa"/>
            <w:tcBorders>
              <w:bottom w:val="single" w:sz="4" w:space="0" w:color="auto"/>
            </w:tcBorders>
          </w:tcPr>
          <w:p w:rsidR="00000000" w:rsidRDefault="00000000">
            <w:pPr>
              <w:pStyle w:val="FootnoteText"/>
              <w:spacing w:line="216" w:lineRule="auto"/>
              <w:jc w:val="center"/>
            </w:pPr>
            <w:r>
              <w:t>Год</w:t>
            </w:r>
          </w:p>
        </w:tc>
        <w:tc>
          <w:tcPr>
            <w:tcW w:w="3179" w:type="dxa"/>
            <w:tcBorders>
              <w:bottom w:val="single" w:sz="4" w:space="0" w:color="auto"/>
            </w:tcBorders>
          </w:tcPr>
          <w:p w:rsidR="00000000" w:rsidRDefault="00000000">
            <w:pPr>
              <w:pStyle w:val="FootnoteText"/>
              <w:spacing w:line="216" w:lineRule="auto"/>
              <w:jc w:val="center"/>
            </w:pPr>
            <w:r>
              <w:t>Уровень безработицы (в %)</w:t>
            </w:r>
          </w:p>
        </w:tc>
        <w:tc>
          <w:tcPr>
            <w:tcW w:w="2618" w:type="dxa"/>
            <w:tcBorders>
              <w:bottom w:val="single" w:sz="4" w:space="0" w:color="auto"/>
            </w:tcBorders>
          </w:tcPr>
          <w:p w:rsidR="00000000" w:rsidRDefault="00000000">
            <w:pPr>
              <w:pStyle w:val="FootnoteText"/>
              <w:spacing w:line="216" w:lineRule="auto"/>
              <w:jc w:val="center"/>
            </w:pPr>
            <w:r>
              <w:t>Общая численность</w:t>
            </w:r>
          </w:p>
          <w:p w:rsidR="00000000" w:rsidRDefault="00000000">
            <w:pPr>
              <w:pStyle w:val="FootnoteText"/>
              <w:spacing w:line="216" w:lineRule="auto"/>
              <w:jc w:val="center"/>
            </w:pPr>
            <w:r>
              <w:t>(в тыс. человек)</w:t>
            </w:r>
          </w:p>
        </w:tc>
      </w:tr>
      <w:tr w:rsidR="00000000">
        <w:tblPrEx>
          <w:tblCellMar>
            <w:top w:w="0" w:type="dxa"/>
            <w:bottom w:w="0" w:type="dxa"/>
          </w:tblCellMar>
        </w:tblPrEx>
        <w:tc>
          <w:tcPr>
            <w:tcW w:w="935" w:type="dxa"/>
            <w:tcBorders>
              <w:bottom w:val="nil"/>
              <w:right w:val="single" w:sz="4" w:space="0" w:color="auto"/>
            </w:tcBorders>
          </w:tcPr>
          <w:p w:rsidR="00000000" w:rsidRDefault="00000000">
            <w:pPr>
              <w:pStyle w:val="FootnoteText"/>
              <w:jc w:val="center"/>
            </w:pPr>
            <w:r>
              <w:t>1993</w:t>
            </w:r>
          </w:p>
        </w:tc>
        <w:tc>
          <w:tcPr>
            <w:tcW w:w="3179" w:type="dxa"/>
            <w:tcBorders>
              <w:left w:val="single" w:sz="4" w:space="0" w:color="auto"/>
              <w:bottom w:val="nil"/>
              <w:right w:val="single" w:sz="4" w:space="0" w:color="auto"/>
            </w:tcBorders>
          </w:tcPr>
          <w:p w:rsidR="00000000" w:rsidRDefault="00000000">
            <w:pPr>
              <w:pStyle w:val="FootnoteText"/>
              <w:jc w:val="center"/>
            </w:pPr>
            <w:r>
              <w:t>3,52</w:t>
            </w:r>
          </w:p>
        </w:tc>
        <w:tc>
          <w:tcPr>
            <w:tcW w:w="2618" w:type="dxa"/>
            <w:tcBorders>
              <w:left w:val="single" w:sz="4" w:space="0" w:color="auto"/>
              <w:bottom w:val="nil"/>
            </w:tcBorders>
          </w:tcPr>
          <w:p w:rsidR="00000000" w:rsidRDefault="00000000">
            <w:pPr>
              <w:pStyle w:val="FootnoteText"/>
              <w:jc w:val="center"/>
            </w:pPr>
            <w:r>
              <w:t>185</w:t>
            </w:r>
          </w:p>
        </w:tc>
      </w:tr>
      <w:tr w:rsidR="00000000">
        <w:tblPrEx>
          <w:tblCellMar>
            <w:top w:w="0" w:type="dxa"/>
            <w:bottom w:w="0" w:type="dxa"/>
          </w:tblCellMar>
        </w:tblPrEx>
        <w:tc>
          <w:tcPr>
            <w:tcW w:w="935" w:type="dxa"/>
            <w:tcBorders>
              <w:top w:val="nil"/>
              <w:bottom w:val="nil"/>
              <w:right w:val="single" w:sz="4" w:space="0" w:color="auto"/>
            </w:tcBorders>
          </w:tcPr>
          <w:p w:rsidR="00000000" w:rsidRDefault="00000000">
            <w:pPr>
              <w:pStyle w:val="FootnoteText"/>
              <w:jc w:val="center"/>
            </w:pPr>
            <w:r>
              <w:t>1994</w:t>
            </w:r>
          </w:p>
        </w:tc>
        <w:tc>
          <w:tcPr>
            <w:tcW w:w="3179" w:type="dxa"/>
            <w:tcBorders>
              <w:top w:val="nil"/>
              <w:left w:val="single" w:sz="4" w:space="0" w:color="auto"/>
              <w:bottom w:val="nil"/>
              <w:right w:val="single" w:sz="4" w:space="0" w:color="auto"/>
            </w:tcBorders>
          </w:tcPr>
          <w:p w:rsidR="00000000" w:rsidRDefault="00000000">
            <w:pPr>
              <w:pStyle w:val="FootnoteText"/>
              <w:jc w:val="center"/>
            </w:pPr>
            <w:r>
              <w:t>3,19</w:t>
            </w:r>
          </w:p>
        </w:tc>
        <w:tc>
          <w:tcPr>
            <w:tcW w:w="2618" w:type="dxa"/>
            <w:tcBorders>
              <w:top w:val="nil"/>
              <w:left w:val="single" w:sz="4" w:space="0" w:color="auto"/>
              <w:bottom w:val="nil"/>
            </w:tcBorders>
          </w:tcPr>
          <w:p w:rsidR="00000000" w:rsidRDefault="00000000">
            <w:pPr>
              <w:pStyle w:val="FootnoteText"/>
              <w:jc w:val="center"/>
            </w:pPr>
            <w:r>
              <w:t>166</w:t>
            </w:r>
          </w:p>
        </w:tc>
      </w:tr>
      <w:tr w:rsidR="00000000">
        <w:tblPrEx>
          <w:tblCellMar>
            <w:top w:w="0" w:type="dxa"/>
            <w:bottom w:w="0" w:type="dxa"/>
          </w:tblCellMar>
        </w:tblPrEx>
        <w:tc>
          <w:tcPr>
            <w:tcW w:w="935" w:type="dxa"/>
            <w:tcBorders>
              <w:top w:val="nil"/>
              <w:bottom w:val="nil"/>
              <w:right w:val="single" w:sz="4" w:space="0" w:color="auto"/>
            </w:tcBorders>
          </w:tcPr>
          <w:p w:rsidR="00000000" w:rsidRDefault="00000000">
            <w:pPr>
              <w:pStyle w:val="FootnoteText"/>
              <w:jc w:val="center"/>
            </w:pPr>
            <w:r>
              <w:t>1995</w:t>
            </w:r>
          </w:p>
        </w:tc>
        <w:tc>
          <w:tcPr>
            <w:tcW w:w="3179" w:type="dxa"/>
            <w:tcBorders>
              <w:top w:val="nil"/>
              <w:left w:val="single" w:sz="4" w:space="0" w:color="auto"/>
              <w:bottom w:val="nil"/>
              <w:right w:val="single" w:sz="4" w:space="0" w:color="auto"/>
            </w:tcBorders>
          </w:tcPr>
          <w:p w:rsidR="00000000" w:rsidRDefault="00000000">
            <w:pPr>
              <w:pStyle w:val="FootnoteText"/>
              <w:jc w:val="center"/>
            </w:pPr>
            <w:r>
              <w:t>2,93</w:t>
            </w:r>
          </w:p>
        </w:tc>
        <w:tc>
          <w:tcPr>
            <w:tcW w:w="2618" w:type="dxa"/>
            <w:tcBorders>
              <w:top w:val="nil"/>
              <w:left w:val="single" w:sz="4" w:space="0" w:color="auto"/>
              <w:bottom w:val="nil"/>
            </w:tcBorders>
          </w:tcPr>
          <w:p w:rsidR="00000000" w:rsidRDefault="00000000">
            <w:pPr>
              <w:pStyle w:val="FootnoteText"/>
              <w:jc w:val="center"/>
            </w:pPr>
            <w:r>
              <w:t>153</w:t>
            </w:r>
          </w:p>
        </w:tc>
      </w:tr>
      <w:tr w:rsidR="00000000">
        <w:tblPrEx>
          <w:tblCellMar>
            <w:top w:w="0" w:type="dxa"/>
            <w:bottom w:w="0" w:type="dxa"/>
          </w:tblCellMar>
        </w:tblPrEx>
        <w:tc>
          <w:tcPr>
            <w:tcW w:w="935" w:type="dxa"/>
            <w:tcBorders>
              <w:top w:val="nil"/>
              <w:bottom w:val="nil"/>
              <w:right w:val="single" w:sz="4" w:space="0" w:color="auto"/>
            </w:tcBorders>
          </w:tcPr>
          <w:p w:rsidR="00000000" w:rsidRDefault="00000000">
            <w:pPr>
              <w:pStyle w:val="FootnoteText"/>
              <w:jc w:val="center"/>
            </w:pPr>
            <w:r>
              <w:t>1996</w:t>
            </w:r>
          </w:p>
        </w:tc>
        <w:tc>
          <w:tcPr>
            <w:tcW w:w="3179" w:type="dxa"/>
            <w:tcBorders>
              <w:top w:val="nil"/>
              <w:left w:val="single" w:sz="4" w:space="0" w:color="auto"/>
              <w:bottom w:val="nil"/>
              <w:right w:val="single" w:sz="4" w:space="0" w:color="auto"/>
            </w:tcBorders>
          </w:tcPr>
          <w:p w:rsidR="00000000" w:rsidRDefault="00000000">
            <w:pPr>
              <w:pStyle w:val="FootnoteText"/>
              <w:jc w:val="center"/>
            </w:pPr>
            <w:r>
              <w:t>3,52</w:t>
            </w:r>
          </w:p>
        </w:tc>
        <w:tc>
          <w:tcPr>
            <w:tcW w:w="2618" w:type="dxa"/>
            <w:tcBorders>
              <w:top w:val="nil"/>
              <w:left w:val="single" w:sz="4" w:space="0" w:color="auto"/>
              <w:bottom w:val="nil"/>
            </w:tcBorders>
          </w:tcPr>
          <w:p w:rsidR="00000000" w:rsidRDefault="00000000">
            <w:pPr>
              <w:pStyle w:val="FootnoteText"/>
              <w:jc w:val="center"/>
            </w:pPr>
            <w:r>
              <w:t>186</w:t>
            </w:r>
          </w:p>
        </w:tc>
      </w:tr>
      <w:tr w:rsidR="00000000">
        <w:tblPrEx>
          <w:tblCellMar>
            <w:top w:w="0" w:type="dxa"/>
            <w:bottom w:w="0" w:type="dxa"/>
          </w:tblCellMar>
        </w:tblPrEx>
        <w:tc>
          <w:tcPr>
            <w:tcW w:w="935" w:type="dxa"/>
            <w:tcBorders>
              <w:top w:val="nil"/>
              <w:bottom w:val="nil"/>
              <w:right w:val="single" w:sz="4" w:space="0" w:color="auto"/>
            </w:tcBorders>
          </w:tcPr>
          <w:p w:rsidR="00000000" w:rsidRDefault="00000000">
            <w:pPr>
              <w:pStyle w:val="FootnoteText"/>
              <w:jc w:val="center"/>
            </w:pPr>
            <w:r>
              <w:t>1997</w:t>
            </w:r>
          </w:p>
        </w:tc>
        <w:tc>
          <w:tcPr>
            <w:tcW w:w="3179" w:type="dxa"/>
            <w:tcBorders>
              <w:top w:val="nil"/>
              <w:left w:val="single" w:sz="4" w:space="0" w:color="auto"/>
              <w:bottom w:val="nil"/>
              <w:right w:val="single" w:sz="4" w:space="0" w:color="auto"/>
            </w:tcBorders>
          </w:tcPr>
          <w:p w:rsidR="00000000" w:rsidRDefault="00000000">
            <w:pPr>
              <w:pStyle w:val="FootnoteText"/>
              <w:jc w:val="center"/>
            </w:pPr>
            <w:r>
              <w:t>5,23</w:t>
            </w:r>
          </w:p>
        </w:tc>
        <w:tc>
          <w:tcPr>
            <w:tcW w:w="2618" w:type="dxa"/>
            <w:tcBorders>
              <w:top w:val="nil"/>
              <w:left w:val="single" w:sz="4" w:space="0" w:color="auto"/>
              <w:bottom w:val="nil"/>
            </w:tcBorders>
          </w:tcPr>
          <w:p w:rsidR="00000000" w:rsidRDefault="00000000">
            <w:pPr>
              <w:pStyle w:val="FootnoteText"/>
              <w:jc w:val="center"/>
            </w:pPr>
            <w:r>
              <w:t>269</w:t>
            </w:r>
          </w:p>
        </w:tc>
      </w:tr>
      <w:tr w:rsidR="00000000">
        <w:tblPrEx>
          <w:tblCellMar>
            <w:top w:w="0" w:type="dxa"/>
            <w:bottom w:w="0" w:type="dxa"/>
          </w:tblCellMar>
        </w:tblPrEx>
        <w:tc>
          <w:tcPr>
            <w:tcW w:w="935" w:type="dxa"/>
            <w:tcBorders>
              <w:top w:val="nil"/>
              <w:bottom w:val="nil"/>
              <w:right w:val="single" w:sz="4" w:space="0" w:color="auto"/>
            </w:tcBorders>
          </w:tcPr>
          <w:p w:rsidR="00000000" w:rsidRDefault="00000000">
            <w:pPr>
              <w:pStyle w:val="FootnoteText"/>
              <w:jc w:val="center"/>
            </w:pPr>
            <w:r>
              <w:t>1998</w:t>
            </w:r>
          </w:p>
        </w:tc>
        <w:tc>
          <w:tcPr>
            <w:tcW w:w="3179" w:type="dxa"/>
            <w:tcBorders>
              <w:top w:val="nil"/>
              <w:left w:val="single" w:sz="4" w:space="0" w:color="auto"/>
              <w:bottom w:val="nil"/>
              <w:right w:val="single" w:sz="4" w:space="0" w:color="auto"/>
            </w:tcBorders>
          </w:tcPr>
          <w:p w:rsidR="00000000" w:rsidRDefault="00000000">
            <w:pPr>
              <w:pStyle w:val="FootnoteText"/>
              <w:jc w:val="center"/>
            </w:pPr>
            <w:r>
              <w:t>7,48</w:t>
            </w:r>
          </w:p>
        </w:tc>
        <w:tc>
          <w:tcPr>
            <w:tcW w:w="2618" w:type="dxa"/>
            <w:tcBorders>
              <w:top w:val="nil"/>
              <w:left w:val="single" w:sz="4" w:space="0" w:color="auto"/>
              <w:bottom w:val="nil"/>
            </w:tcBorders>
          </w:tcPr>
          <w:p w:rsidR="00000000" w:rsidRDefault="00000000">
            <w:pPr>
              <w:pStyle w:val="FootnoteText"/>
              <w:jc w:val="center"/>
            </w:pPr>
            <w:r>
              <w:t>387</w:t>
            </w:r>
          </w:p>
        </w:tc>
      </w:tr>
      <w:tr w:rsidR="00000000">
        <w:tblPrEx>
          <w:tblCellMar>
            <w:top w:w="0" w:type="dxa"/>
            <w:bottom w:w="0" w:type="dxa"/>
          </w:tblCellMar>
        </w:tblPrEx>
        <w:tc>
          <w:tcPr>
            <w:tcW w:w="935" w:type="dxa"/>
            <w:tcBorders>
              <w:top w:val="nil"/>
              <w:right w:val="single" w:sz="4" w:space="0" w:color="auto"/>
            </w:tcBorders>
          </w:tcPr>
          <w:p w:rsidR="00000000" w:rsidRDefault="00000000">
            <w:pPr>
              <w:pStyle w:val="FootnoteText"/>
              <w:jc w:val="center"/>
            </w:pPr>
            <w:r>
              <w:t>1999</w:t>
            </w:r>
          </w:p>
        </w:tc>
        <w:tc>
          <w:tcPr>
            <w:tcW w:w="3179" w:type="dxa"/>
            <w:tcBorders>
              <w:top w:val="nil"/>
              <w:left w:val="single" w:sz="4" w:space="0" w:color="auto"/>
              <w:right w:val="single" w:sz="4" w:space="0" w:color="auto"/>
            </w:tcBorders>
          </w:tcPr>
          <w:p w:rsidR="00000000" w:rsidRDefault="00000000">
            <w:pPr>
              <w:pStyle w:val="FootnoteText"/>
              <w:jc w:val="center"/>
            </w:pPr>
            <w:r>
              <w:t>8,39</w:t>
            </w:r>
          </w:p>
        </w:tc>
        <w:tc>
          <w:tcPr>
            <w:tcW w:w="2618" w:type="dxa"/>
            <w:tcBorders>
              <w:top w:val="nil"/>
              <w:left w:val="single" w:sz="4" w:space="0" w:color="auto"/>
            </w:tcBorders>
          </w:tcPr>
          <w:p w:rsidR="00000000" w:rsidRDefault="00000000">
            <w:pPr>
              <w:pStyle w:val="FootnoteText"/>
              <w:jc w:val="center"/>
            </w:pPr>
            <w:r>
              <w:t>435</w:t>
            </w:r>
          </w:p>
        </w:tc>
      </w:tr>
    </w:tbl>
    <w:p w:rsidR="00000000" w:rsidRDefault="00000000">
      <w:pPr>
        <w:pStyle w:val="FootnoteText"/>
        <w:rPr>
          <w:b/>
          <w:bCs/>
        </w:rPr>
      </w:pPr>
    </w:p>
    <w:p w:rsidR="00000000" w:rsidRDefault="00000000">
      <w:pPr>
        <w:pStyle w:val="FootnoteText"/>
      </w:pPr>
      <w:r>
        <w:tab/>
      </w:r>
      <w:r>
        <w:rPr>
          <w:u w:val="single"/>
        </w:rPr>
        <w:t>Источник</w:t>
      </w:r>
      <w:r>
        <w:t>:  Министерство труда и социальных дел, 2000 год.</w:t>
      </w:r>
    </w:p>
    <w:p w:rsidR="00000000" w:rsidRDefault="00000000">
      <w:pPr>
        <w:pStyle w:val="FootnoteText"/>
        <w:rPr>
          <w:b/>
          <w:bCs/>
        </w:rPr>
      </w:pPr>
    </w:p>
    <w:p w:rsidR="00000000" w:rsidRDefault="00000000">
      <w:pPr>
        <w:pStyle w:val="FootnoteText"/>
      </w:pPr>
      <w:r>
        <w:tab/>
      </w:r>
      <w:r>
        <w:rPr>
          <w:u w:val="single"/>
        </w:rPr>
        <w:t>Примечание</w:t>
      </w:r>
      <w:r>
        <w:t>:  Данные по состоянию на 31 декабря каждого года;  данные за 1999 год </w:t>
      </w:r>
      <w:r>
        <w:noBreakHyphen/>
        <w:t xml:space="preserve"> по состоянию на 30 июня.  По состоянию на 31 декабря 1999 года уровень безработицы составлял 9,4%.</w:t>
      </w:r>
    </w:p>
    <w:p w:rsidR="00000000" w:rsidRDefault="00000000">
      <w:pPr>
        <w:pStyle w:val="FootnoteText"/>
        <w:spacing w:line="288" w:lineRule="auto"/>
      </w:pPr>
    </w:p>
    <w:p w:rsidR="00000000" w:rsidRDefault="00000000">
      <w:r>
        <w:t>240.</w:t>
      </w:r>
      <w:r>
        <w:tab/>
        <w:t>Определенную роль сыграли также методы проведенной в Чешской Республике приватизации.  Отдельные предприятия не были реструктурированы до приватизации, и эту проблему приходится решать их новым владельцам.  Таким образом, в процессе завершения приватизации безработица, как ожидается, будет расти.</w:t>
      </w:r>
    </w:p>
    <w:p w:rsidR="00000000" w:rsidRDefault="00000000"/>
    <w:p w:rsidR="00000000" w:rsidRDefault="00000000">
      <w:r>
        <w:t>241.</w:t>
      </w:r>
      <w:r>
        <w:tab/>
        <w:t>До последних месяцев 1997 года никаких серьезных повышений уровня безработицы не отмечалось.  К уязвимым группам населения в этой связи относится в первую очередь молодежь без профессионального опыта, женщины с малолетними детьми, лица с низкой квалификацией или вообще без квалификации, а также инвалиды.  Во многих случаях одно и то же лицо можно отнести сразу к нескольким упомянутым категориям.  Представители таких групп составляют основную часть хронических или долгосрочных безработных.</w:t>
      </w:r>
    </w:p>
    <w:p w:rsidR="00000000" w:rsidRDefault="00000000">
      <w:pPr>
        <w:spacing w:line="240" w:lineRule="auto"/>
      </w:pPr>
    </w:p>
    <w:p w:rsidR="00000000" w:rsidRDefault="00000000">
      <w:pPr>
        <w:pStyle w:val="10"/>
        <w:spacing w:line="240" w:lineRule="auto"/>
        <w:rPr>
          <w:bCs/>
        </w:rPr>
      </w:pPr>
      <w:r>
        <w:rPr>
          <w:bCs/>
        </w:rPr>
        <w:t>Количество зарегистрированных безработных, относящихся</w:t>
      </w:r>
    </w:p>
    <w:p w:rsidR="00000000" w:rsidRDefault="00000000">
      <w:pPr>
        <w:spacing w:line="240" w:lineRule="auto"/>
        <w:jc w:val="center"/>
        <w:rPr>
          <w:b/>
          <w:bCs/>
        </w:rPr>
      </w:pPr>
      <w:r>
        <w:rPr>
          <w:b/>
          <w:bCs/>
        </w:rPr>
        <w:t>к уязвимым группам населения (в тыс. человек)</w:t>
      </w:r>
    </w:p>
    <w:p w:rsidR="00000000" w:rsidRDefault="00000000">
      <w:pPr>
        <w:pStyle w:val="FootnoteText"/>
      </w:pPr>
    </w:p>
    <w:tbl>
      <w:tblPr>
        <w:tblW w:w="9412" w:type="dxa"/>
        <w:tblLayout w:type="fixed"/>
        <w:tblCellMar>
          <w:top w:w="57" w:type="dxa"/>
          <w:left w:w="0" w:type="dxa"/>
          <w:bottom w:w="57" w:type="dxa"/>
          <w:right w:w="0" w:type="dxa"/>
        </w:tblCellMar>
        <w:tblLook w:val="0000" w:firstRow="0" w:lastRow="0" w:firstColumn="0" w:lastColumn="0" w:noHBand="0" w:noVBand="0"/>
      </w:tblPr>
      <w:tblGrid>
        <w:gridCol w:w="4536"/>
        <w:gridCol w:w="696"/>
        <w:gridCol w:w="697"/>
        <w:gridCol w:w="696"/>
        <w:gridCol w:w="697"/>
        <w:gridCol w:w="696"/>
        <w:gridCol w:w="697"/>
        <w:gridCol w:w="697"/>
      </w:tblGrid>
      <w:tr w:rsidR="00000000">
        <w:trPr>
          <w:tblHeader/>
        </w:trPr>
        <w:tc>
          <w:tcPr>
            <w:tcW w:w="4536" w:type="dxa"/>
            <w:tcBorders>
              <w:top w:val="single" w:sz="4" w:space="0" w:color="auto"/>
              <w:left w:val="single" w:sz="4" w:space="0" w:color="auto"/>
              <w:bottom w:val="single" w:sz="4" w:space="0" w:color="auto"/>
              <w:right w:val="single" w:sz="4" w:space="0" w:color="auto"/>
            </w:tcBorders>
          </w:tcPr>
          <w:p w:rsidR="00000000" w:rsidRDefault="00000000">
            <w:pPr>
              <w:pStyle w:val="Heading1"/>
              <w:tabs>
                <w:tab w:val="clear" w:pos="567"/>
                <w:tab w:val="clear" w:pos="1134"/>
                <w:tab w:val="clear" w:pos="1701"/>
                <w:tab w:val="left" w:pos="569"/>
                <w:tab w:val="left" w:pos="1418"/>
              </w:tabs>
              <w:spacing w:line="240" w:lineRule="auto"/>
              <w:jc w:val="center"/>
              <w:rPr>
                <w:b w:val="0"/>
              </w:rPr>
            </w:pPr>
            <w:r>
              <w:rPr>
                <w:b w:val="0"/>
              </w:rPr>
              <w:t>Показатель</w:t>
            </w:r>
          </w:p>
        </w:tc>
        <w:tc>
          <w:tcPr>
            <w:tcW w:w="696" w:type="dxa"/>
            <w:tcBorders>
              <w:top w:val="single" w:sz="4" w:space="0" w:color="auto"/>
              <w:left w:val="single" w:sz="4" w:space="0" w:color="auto"/>
              <w:bottom w:val="single" w:sz="4" w:space="0" w:color="auto"/>
              <w:right w:val="single" w:sz="4" w:space="0" w:color="auto"/>
            </w:tcBorders>
          </w:tcPr>
          <w:p w:rsidR="00000000" w:rsidRDefault="00000000">
            <w:pPr>
              <w:pStyle w:val="16"/>
              <w:spacing w:line="240" w:lineRule="auto"/>
            </w:pPr>
            <w:r>
              <w:t>1993</w:t>
            </w:r>
          </w:p>
        </w:tc>
        <w:tc>
          <w:tcPr>
            <w:tcW w:w="69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1994</w:t>
            </w:r>
          </w:p>
        </w:tc>
        <w:tc>
          <w:tcPr>
            <w:tcW w:w="69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1995</w:t>
            </w:r>
          </w:p>
        </w:tc>
        <w:tc>
          <w:tcPr>
            <w:tcW w:w="69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1996</w:t>
            </w:r>
          </w:p>
        </w:tc>
        <w:tc>
          <w:tcPr>
            <w:tcW w:w="69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1997</w:t>
            </w:r>
          </w:p>
        </w:tc>
        <w:tc>
          <w:tcPr>
            <w:tcW w:w="69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1998</w:t>
            </w:r>
          </w:p>
        </w:tc>
        <w:tc>
          <w:tcPr>
            <w:tcW w:w="69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1999</w:t>
            </w:r>
          </w:p>
        </w:tc>
      </w:tr>
      <w:tr w:rsidR="00000000">
        <w:tc>
          <w:tcPr>
            <w:tcW w:w="4536" w:type="dxa"/>
            <w:tcBorders>
              <w:top w:val="single" w:sz="4" w:space="0" w:color="auto"/>
              <w:left w:val="single" w:sz="4" w:space="0" w:color="auto"/>
              <w:right w:val="single" w:sz="4" w:space="0" w:color="auto"/>
            </w:tcBorders>
          </w:tcPr>
          <w:p w:rsidR="00000000" w:rsidRDefault="00000000">
            <w:pPr>
              <w:pStyle w:val="a0"/>
              <w:widowControl/>
              <w:tabs>
                <w:tab w:val="left" w:pos="569"/>
                <w:tab w:val="left" w:pos="1418"/>
                <w:tab w:val="left" w:pos="2268"/>
                <w:tab w:val="left" w:pos="6237"/>
              </w:tabs>
              <w:rPr>
                <w:rFonts w:ascii="Times New Roman" w:hAnsi="Times New Roman"/>
                <w:snapToGrid/>
                <w:lang w:eastAsia="en-US"/>
              </w:rPr>
            </w:pPr>
            <w:r>
              <w:rPr>
                <w:rFonts w:ascii="Times New Roman" w:hAnsi="Times New Roman"/>
                <w:snapToGrid/>
                <w:lang w:eastAsia="en-US"/>
              </w:rPr>
              <w:t>Всего зарегистрированных безработных</w:t>
            </w:r>
          </w:p>
        </w:tc>
        <w:tc>
          <w:tcPr>
            <w:tcW w:w="696"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185</w:t>
            </w:r>
          </w:p>
        </w:tc>
        <w:tc>
          <w:tcPr>
            <w:tcW w:w="697" w:type="dxa"/>
            <w:tcBorders>
              <w:top w:val="single" w:sz="4" w:space="0" w:color="auto"/>
              <w:left w:val="single" w:sz="4" w:space="0" w:color="auto"/>
              <w:right w:val="single" w:sz="4" w:space="0" w:color="auto"/>
            </w:tcBorders>
          </w:tcPr>
          <w:p w:rsidR="00000000" w:rsidRDefault="00000000">
            <w:pPr>
              <w:pStyle w:val="16"/>
              <w:tabs>
                <w:tab w:val="clear" w:pos="567"/>
                <w:tab w:val="clear" w:pos="1134"/>
                <w:tab w:val="clear" w:pos="1701"/>
                <w:tab w:val="clear" w:pos="2268"/>
                <w:tab w:val="clear" w:pos="6237"/>
                <w:tab w:val="decimal" w:pos="510"/>
              </w:tabs>
              <w:spacing w:line="240" w:lineRule="auto"/>
              <w:jc w:val="left"/>
            </w:pPr>
            <w:r>
              <w:t>166</w:t>
            </w:r>
          </w:p>
        </w:tc>
        <w:tc>
          <w:tcPr>
            <w:tcW w:w="696"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153</w:t>
            </w:r>
          </w:p>
        </w:tc>
        <w:tc>
          <w:tcPr>
            <w:tcW w:w="697"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186</w:t>
            </w:r>
          </w:p>
        </w:tc>
        <w:tc>
          <w:tcPr>
            <w:tcW w:w="696"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269</w:t>
            </w:r>
          </w:p>
        </w:tc>
        <w:tc>
          <w:tcPr>
            <w:tcW w:w="697"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387</w:t>
            </w:r>
          </w:p>
        </w:tc>
        <w:tc>
          <w:tcPr>
            <w:tcW w:w="697"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435</w:t>
            </w:r>
          </w:p>
        </w:tc>
      </w:tr>
      <w:tr w:rsidR="00000000">
        <w:tc>
          <w:tcPr>
            <w:tcW w:w="4536" w:type="dxa"/>
            <w:tcBorders>
              <w:left w:val="single" w:sz="4" w:space="0" w:color="auto"/>
              <w:right w:val="single" w:sz="4" w:space="0" w:color="auto"/>
            </w:tcBorders>
          </w:tcPr>
          <w:p w:rsidR="00000000" w:rsidRDefault="00000000">
            <w:pPr>
              <w:tabs>
                <w:tab w:val="clear" w:pos="567"/>
                <w:tab w:val="clear" w:pos="1134"/>
                <w:tab w:val="clear" w:pos="1701"/>
                <w:tab w:val="left" w:pos="569"/>
                <w:tab w:val="left" w:pos="1418"/>
              </w:tabs>
              <w:spacing w:line="240" w:lineRule="auto"/>
            </w:pPr>
            <w:r>
              <w:t>Безработные</w:t>
            </w:r>
            <w:r>
              <w:tab/>
              <w:t>в возрасте до 19 лет</w:t>
            </w:r>
          </w:p>
        </w:tc>
        <w:tc>
          <w:tcPr>
            <w:tcW w:w="696"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510"/>
              </w:tabs>
            </w:pPr>
            <w:r>
              <w:t>29</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22</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20</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24</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33</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33</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25</w:t>
            </w:r>
          </w:p>
        </w:tc>
      </w:tr>
      <w:tr w:rsidR="00000000">
        <w:tc>
          <w:tcPr>
            <w:tcW w:w="4536" w:type="dxa"/>
            <w:tcBorders>
              <w:left w:val="single" w:sz="4" w:space="0" w:color="auto"/>
              <w:right w:val="single" w:sz="4" w:space="0" w:color="auto"/>
            </w:tcBorders>
          </w:tcPr>
          <w:p w:rsidR="00000000" w:rsidRDefault="00000000">
            <w:pPr>
              <w:tabs>
                <w:tab w:val="clear" w:pos="567"/>
                <w:tab w:val="clear" w:pos="1134"/>
                <w:tab w:val="clear" w:pos="1701"/>
                <w:tab w:val="left" w:pos="569"/>
                <w:tab w:val="left" w:pos="1418"/>
              </w:tabs>
              <w:spacing w:line="240" w:lineRule="auto"/>
            </w:pPr>
            <w:r>
              <w:tab/>
              <w:t>в возрасте 20–24 лет</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28</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25</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22</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28</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46</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95</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107</w:t>
            </w:r>
          </w:p>
        </w:tc>
      </w:tr>
      <w:tr w:rsidR="00000000">
        <w:tc>
          <w:tcPr>
            <w:tcW w:w="4536" w:type="dxa"/>
            <w:tcBorders>
              <w:left w:val="single" w:sz="4" w:space="0" w:color="auto"/>
              <w:right w:val="single" w:sz="4" w:space="0" w:color="auto"/>
            </w:tcBorders>
          </w:tcPr>
          <w:p w:rsidR="00000000" w:rsidRDefault="00000000">
            <w:pPr>
              <w:tabs>
                <w:tab w:val="clear" w:pos="567"/>
                <w:tab w:val="clear" w:pos="1134"/>
                <w:tab w:val="clear" w:pos="1701"/>
                <w:tab w:val="left" w:pos="569"/>
                <w:tab w:val="left" w:pos="1418"/>
              </w:tabs>
              <w:spacing w:line="240" w:lineRule="auto"/>
            </w:pPr>
            <w:r>
              <w:t>Безработные, получившие обязательное среднее образование</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70</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65</w:t>
            </w:r>
          </w:p>
        </w:tc>
        <w:tc>
          <w:tcPr>
            <w:tcW w:w="696"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510"/>
              </w:tabs>
            </w:pPr>
            <w:r>
              <w:t>62</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71</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90</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117</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131</w:t>
            </w:r>
          </w:p>
        </w:tc>
      </w:tr>
      <w:tr w:rsidR="00000000">
        <w:tc>
          <w:tcPr>
            <w:tcW w:w="4536" w:type="dxa"/>
            <w:tcBorders>
              <w:left w:val="single" w:sz="4" w:space="0" w:color="auto"/>
              <w:right w:val="single" w:sz="4" w:space="0" w:color="auto"/>
            </w:tcBorders>
          </w:tcPr>
          <w:p w:rsidR="00000000" w:rsidRDefault="00000000">
            <w:pPr>
              <w:tabs>
                <w:tab w:val="clear" w:pos="567"/>
                <w:tab w:val="clear" w:pos="1134"/>
                <w:tab w:val="clear" w:pos="1701"/>
                <w:tab w:val="left" w:pos="569"/>
                <w:tab w:val="left" w:pos="1418"/>
              </w:tabs>
              <w:spacing w:line="240" w:lineRule="auto"/>
            </w:pPr>
            <w:r>
              <w:t>Продолжительность безработицы:</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p>
        </w:tc>
      </w:tr>
      <w:tr w:rsidR="00000000">
        <w:tc>
          <w:tcPr>
            <w:tcW w:w="4536" w:type="dxa"/>
            <w:tcBorders>
              <w:left w:val="single" w:sz="4" w:space="0" w:color="auto"/>
              <w:right w:val="single" w:sz="4" w:space="0" w:color="auto"/>
            </w:tcBorders>
          </w:tcPr>
          <w:p w:rsidR="00000000" w:rsidRDefault="00000000">
            <w:pPr>
              <w:tabs>
                <w:tab w:val="clear" w:pos="567"/>
                <w:tab w:val="clear" w:pos="1134"/>
                <w:tab w:val="clear" w:pos="1701"/>
                <w:tab w:val="left" w:pos="569"/>
                <w:tab w:val="left" w:pos="1418"/>
              </w:tabs>
              <w:spacing w:line="240" w:lineRule="auto"/>
            </w:pPr>
            <w:r>
              <w:tab/>
              <w:t>до 3 месяцев</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86</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67</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60</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77</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100</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134</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133</w:t>
            </w:r>
          </w:p>
        </w:tc>
      </w:tr>
      <w:tr w:rsidR="00000000">
        <w:tc>
          <w:tcPr>
            <w:tcW w:w="4536" w:type="dxa"/>
            <w:tcBorders>
              <w:left w:val="single" w:sz="4" w:space="0" w:color="auto"/>
              <w:right w:val="single" w:sz="4" w:space="0" w:color="auto"/>
            </w:tcBorders>
          </w:tcPr>
          <w:p w:rsidR="00000000" w:rsidRDefault="00000000">
            <w:pPr>
              <w:tabs>
                <w:tab w:val="clear" w:pos="567"/>
                <w:tab w:val="clear" w:pos="1134"/>
                <w:tab w:val="clear" w:pos="1701"/>
                <w:tab w:val="left" w:pos="569"/>
                <w:tab w:val="left" w:pos="1418"/>
              </w:tabs>
              <w:spacing w:line="240" w:lineRule="auto"/>
            </w:pPr>
            <w:r>
              <w:tab/>
              <w:t>от 3 до 6 месяцев</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43</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37</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33</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43</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68</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99</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92</w:t>
            </w:r>
          </w:p>
        </w:tc>
      </w:tr>
      <w:tr w:rsidR="00000000">
        <w:tc>
          <w:tcPr>
            <w:tcW w:w="4536" w:type="dxa"/>
            <w:tcBorders>
              <w:left w:val="single" w:sz="4" w:space="0" w:color="auto"/>
              <w:right w:val="single" w:sz="4" w:space="0" w:color="auto"/>
            </w:tcBorders>
          </w:tcPr>
          <w:p w:rsidR="00000000" w:rsidRDefault="00000000">
            <w:pPr>
              <w:tabs>
                <w:tab w:val="clear" w:pos="567"/>
                <w:tab w:val="clear" w:pos="1134"/>
                <w:tab w:val="clear" w:pos="1701"/>
                <w:tab w:val="left" w:pos="569"/>
                <w:tab w:val="left" w:pos="1418"/>
              </w:tabs>
              <w:spacing w:line="240" w:lineRule="auto"/>
            </w:pPr>
            <w:r>
              <w:tab/>
              <w:t>от 6 до 9 месяцев</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18</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17</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14</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18</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30</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41</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53</w:t>
            </w:r>
          </w:p>
        </w:tc>
      </w:tr>
      <w:tr w:rsidR="00000000">
        <w:tc>
          <w:tcPr>
            <w:tcW w:w="4536" w:type="dxa"/>
            <w:tcBorders>
              <w:left w:val="single" w:sz="4" w:space="0" w:color="auto"/>
              <w:right w:val="single" w:sz="4" w:space="0" w:color="auto"/>
            </w:tcBorders>
          </w:tcPr>
          <w:p w:rsidR="00000000" w:rsidRDefault="00000000">
            <w:pPr>
              <w:tabs>
                <w:tab w:val="clear" w:pos="567"/>
                <w:tab w:val="clear" w:pos="1134"/>
                <w:tab w:val="clear" w:pos="1701"/>
                <w:tab w:val="left" w:pos="569"/>
                <w:tab w:val="left" w:pos="1418"/>
              </w:tabs>
              <w:spacing w:line="240" w:lineRule="auto"/>
            </w:pPr>
            <w:r>
              <w:tab/>
              <w:t>от 9 до 12 месяцев</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12</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11</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10</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10</w:t>
            </w:r>
          </w:p>
        </w:tc>
        <w:tc>
          <w:tcPr>
            <w:tcW w:w="69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18</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27</w:t>
            </w:r>
          </w:p>
        </w:tc>
        <w:tc>
          <w:tcPr>
            <w:tcW w:w="69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47</w:t>
            </w:r>
          </w:p>
        </w:tc>
      </w:tr>
      <w:tr w:rsidR="00000000">
        <w:tc>
          <w:tcPr>
            <w:tcW w:w="4536"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left" w:pos="569"/>
                <w:tab w:val="left" w:pos="1418"/>
              </w:tabs>
              <w:spacing w:line="240" w:lineRule="auto"/>
            </w:pPr>
            <w:r>
              <w:tab/>
              <w:t>свыше 12 месяцев</w:t>
            </w:r>
          </w:p>
        </w:tc>
        <w:tc>
          <w:tcPr>
            <w:tcW w:w="696"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27</w:t>
            </w:r>
          </w:p>
        </w:tc>
        <w:tc>
          <w:tcPr>
            <w:tcW w:w="697"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35</w:t>
            </w:r>
          </w:p>
        </w:tc>
        <w:tc>
          <w:tcPr>
            <w:tcW w:w="696"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36</w:t>
            </w:r>
          </w:p>
        </w:tc>
        <w:tc>
          <w:tcPr>
            <w:tcW w:w="697"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38</w:t>
            </w:r>
          </w:p>
        </w:tc>
        <w:tc>
          <w:tcPr>
            <w:tcW w:w="696"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53</w:t>
            </w:r>
          </w:p>
        </w:tc>
        <w:tc>
          <w:tcPr>
            <w:tcW w:w="697"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87</w:t>
            </w:r>
          </w:p>
        </w:tc>
        <w:tc>
          <w:tcPr>
            <w:tcW w:w="697"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510"/>
              </w:tabs>
              <w:spacing w:line="240" w:lineRule="auto"/>
            </w:pPr>
            <w:r>
              <w:t>110</w:t>
            </w:r>
          </w:p>
        </w:tc>
      </w:tr>
    </w:tbl>
    <w:p w:rsidR="00000000" w:rsidRDefault="00000000">
      <w:pPr>
        <w:tabs>
          <w:tab w:val="clear" w:pos="1134"/>
          <w:tab w:val="clear" w:pos="1701"/>
          <w:tab w:val="left" w:pos="1559"/>
        </w:tabs>
        <w:spacing w:line="240" w:lineRule="auto"/>
        <w:ind w:left="1559" w:hanging="1559"/>
      </w:pPr>
    </w:p>
    <w:p w:rsidR="00000000" w:rsidRDefault="00000000">
      <w:pPr>
        <w:tabs>
          <w:tab w:val="clear" w:pos="1134"/>
          <w:tab w:val="clear" w:pos="1701"/>
          <w:tab w:val="left" w:pos="1559"/>
        </w:tabs>
        <w:spacing w:line="240" w:lineRule="auto"/>
        <w:ind w:left="1559" w:hanging="1559"/>
        <w:rPr>
          <w:lang w:val="en-US"/>
        </w:rPr>
      </w:pPr>
      <w:r>
        <w:tab/>
      </w:r>
      <w:r>
        <w:rPr>
          <w:u w:val="single"/>
        </w:rPr>
        <w:t>Источник</w:t>
      </w:r>
      <w:r>
        <w:rPr>
          <w:lang w:val="en-US"/>
        </w:rPr>
        <w:t>:  Statistical Yearbook of the CR, 1999.</w:t>
      </w:r>
    </w:p>
    <w:p w:rsidR="00000000" w:rsidRDefault="00000000">
      <w:pPr>
        <w:tabs>
          <w:tab w:val="clear" w:pos="1134"/>
          <w:tab w:val="clear" w:pos="1701"/>
          <w:tab w:val="left" w:pos="1559"/>
        </w:tabs>
        <w:spacing w:line="240" w:lineRule="auto"/>
        <w:ind w:left="1559" w:hanging="1559"/>
        <w:rPr>
          <w:lang w:val="en-US"/>
        </w:rPr>
      </w:pPr>
    </w:p>
    <w:p w:rsidR="00000000" w:rsidRDefault="00000000">
      <w:pPr>
        <w:tabs>
          <w:tab w:val="clear" w:pos="1134"/>
          <w:tab w:val="clear" w:pos="1701"/>
          <w:tab w:val="left" w:pos="1559"/>
        </w:tabs>
        <w:spacing w:line="240" w:lineRule="auto"/>
      </w:pPr>
      <w:r>
        <w:tab/>
      </w:r>
      <w:r>
        <w:rPr>
          <w:u w:val="single"/>
        </w:rPr>
        <w:t>Примечание</w:t>
      </w:r>
      <w:r>
        <w:t>:</w:t>
      </w:r>
      <w:r>
        <w:tab/>
        <w:t>Данные по состоянию на 31 декабря каждого года;  данные за 1999 год – по состоянию на 30 июня.</w:t>
      </w:r>
    </w:p>
    <w:p w:rsidR="00000000" w:rsidRDefault="00000000">
      <w:pPr>
        <w:tabs>
          <w:tab w:val="clear" w:pos="1134"/>
          <w:tab w:val="clear" w:pos="1701"/>
          <w:tab w:val="left" w:pos="1559"/>
        </w:tabs>
        <w:spacing w:line="240" w:lineRule="auto"/>
        <w:ind w:left="1559" w:hanging="1559"/>
      </w:pPr>
    </w:p>
    <w:p w:rsidR="00000000" w:rsidRDefault="00000000">
      <w:r>
        <w:t>242.</w:t>
      </w:r>
      <w:r>
        <w:tab/>
        <w:t xml:space="preserve">Показатели безработицы существенно </w:t>
      </w:r>
      <w:r>
        <w:rPr>
          <w:lang w:val="en-US"/>
        </w:rPr>
        <w:t>от</w:t>
      </w:r>
      <w:r>
        <w:t>личаются в разных районах.  Есть два очевидных типа проблемных районов.  К первому типу относят районы с высокой концентрацией промышленных предприятий, имеющих крайне узкую специализацию, на которых произошел спад производства или которые были закрыты (угледобывающие предприятия, металлургические заводы, тяжелое машиностроение, производство вагонов, грузовых автомобилей и т.д.), и этот спад не был компенсирован созданием новых рабочих мест.  Речь идет в первую очередь о районах северной Моравии и северной Богемии с высокой концентрацией городского населения.  Ко второму типу относят экономически слаборазвитые районы с ориентацией на сельское хозяйство и с низкой плотностью населения (горные и приграничные районы в северной и южной Моравии, а также северные, южные и западные районы Богемии).</w:t>
      </w:r>
    </w:p>
    <w:p w:rsidR="00000000" w:rsidRDefault="00000000">
      <w:pPr>
        <w:spacing w:line="216" w:lineRule="auto"/>
      </w:pPr>
    </w:p>
    <w:p w:rsidR="00000000" w:rsidRDefault="00000000">
      <w:pPr>
        <w:spacing w:line="216" w:lineRule="auto"/>
        <w:jc w:val="right"/>
        <w:rPr>
          <w:b/>
          <w:bCs/>
        </w:rPr>
      </w:pPr>
      <w:r>
        <w:rPr>
          <w:b/>
          <w:bCs/>
        </w:rPr>
        <w:t>Уровень безработицы в отдельных районах</w:t>
      </w:r>
      <w:r>
        <w:rPr>
          <w:b/>
          <w:bCs/>
          <w:vertAlign w:val="superscript"/>
        </w:rPr>
        <w:t>а</w:t>
      </w:r>
      <w:r>
        <w:t xml:space="preserve"> </w:t>
      </w:r>
      <w:r>
        <w:rPr>
          <w:b/>
          <w:bCs/>
        </w:rPr>
        <w:t>(по состоянию на 31 декабря 1998 года)</w:t>
      </w:r>
    </w:p>
    <w:p w:rsidR="00000000" w:rsidRDefault="00000000">
      <w:pPr>
        <w:spacing w:line="216" w:lineRule="auto"/>
        <w:jc w:val="right"/>
      </w:pPr>
    </w:p>
    <w:tbl>
      <w:tblPr>
        <w:tblW w:w="0" w:type="auto"/>
        <w:tblCellMar>
          <w:top w:w="57" w:type="dxa"/>
          <w:left w:w="0" w:type="dxa"/>
          <w:bottom w:w="57" w:type="dxa"/>
          <w:right w:w="0" w:type="dxa"/>
        </w:tblCellMar>
        <w:tblLook w:val="0000" w:firstRow="0" w:lastRow="0" w:firstColumn="0" w:lastColumn="0" w:noHBand="0" w:noVBand="0"/>
      </w:tblPr>
      <w:tblGrid>
        <w:gridCol w:w="4253"/>
        <w:gridCol w:w="1701"/>
        <w:gridCol w:w="1701"/>
        <w:gridCol w:w="1701"/>
      </w:tblGrid>
      <w:tr w:rsidR="00000000">
        <w:tc>
          <w:tcPr>
            <w:tcW w:w="4253"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16" w:lineRule="auto"/>
              <w:jc w:val="center"/>
            </w:pPr>
            <w:r>
              <w:t>Показатель</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10"/>
              <w:spacing w:line="216" w:lineRule="auto"/>
              <w:rPr>
                <w:b w:val="0"/>
              </w:rPr>
            </w:pPr>
            <w:r>
              <w:rPr>
                <w:b w:val="0"/>
              </w:rPr>
              <w:t>Всего</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Мужчины</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Женщины</w:t>
            </w:r>
          </w:p>
        </w:tc>
      </w:tr>
      <w:tr w:rsidR="00000000">
        <w:tc>
          <w:tcPr>
            <w:tcW w:w="4253" w:type="dxa"/>
            <w:tcBorders>
              <w:top w:val="single" w:sz="4" w:space="0" w:color="auto"/>
              <w:left w:val="single" w:sz="4" w:space="0" w:color="auto"/>
              <w:right w:val="single" w:sz="4" w:space="0" w:color="auto"/>
            </w:tcBorders>
          </w:tcPr>
          <w:p w:rsidR="00000000" w:rsidRDefault="00000000">
            <w:pPr>
              <w:pStyle w:val="Heading1"/>
              <w:spacing w:line="216" w:lineRule="auto"/>
              <w:rPr>
                <w:b w:val="0"/>
              </w:rPr>
            </w:pPr>
            <w:r>
              <w:rPr>
                <w:b w:val="0"/>
              </w:rPr>
              <w:t>Общий уровень безработицы (МОТ)</w:t>
            </w:r>
          </w:p>
        </w:tc>
        <w:tc>
          <w:tcPr>
            <w:tcW w:w="1701"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7,3</w:t>
            </w:r>
          </w:p>
        </w:tc>
        <w:tc>
          <w:tcPr>
            <w:tcW w:w="1701"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5,7</w:t>
            </w:r>
          </w:p>
        </w:tc>
        <w:tc>
          <w:tcPr>
            <w:tcW w:w="1701"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9,3</w:t>
            </w:r>
          </w:p>
        </w:tc>
      </w:tr>
      <w:tr w:rsidR="00000000">
        <w:tc>
          <w:tcPr>
            <w:tcW w:w="4253" w:type="dxa"/>
            <w:tcBorders>
              <w:left w:val="single" w:sz="4" w:space="0" w:color="auto"/>
              <w:right w:val="single" w:sz="4" w:space="0" w:color="auto"/>
            </w:tcBorders>
          </w:tcPr>
          <w:p w:rsidR="00000000" w:rsidRDefault="00000000">
            <w:pPr>
              <w:spacing w:line="216" w:lineRule="auto"/>
            </w:pPr>
            <w:r>
              <w:t>Прага</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3,6</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2,9</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4,3</w:t>
            </w:r>
          </w:p>
        </w:tc>
      </w:tr>
      <w:tr w:rsidR="00000000">
        <w:tc>
          <w:tcPr>
            <w:tcW w:w="4253" w:type="dxa"/>
            <w:tcBorders>
              <w:left w:val="single" w:sz="4" w:space="0" w:color="auto"/>
              <w:right w:val="single" w:sz="4" w:space="0" w:color="auto"/>
            </w:tcBorders>
          </w:tcPr>
          <w:p w:rsidR="00000000" w:rsidRDefault="00000000">
            <w:pPr>
              <w:spacing w:line="216" w:lineRule="auto"/>
            </w:pPr>
            <w:r>
              <w:t>Центральная Богемия</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6,2</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4,6</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8,3</w:t>
            </w:r>
          </w:p>
        </w:tc>
      </w:tr>
      <w:tr w:rsidR="00000000">
        <w:tc>
          <w:tcPr>
            <w:tcW w:w="4253" w:type="dxa"/>
            <w:tcBorders>
              <w:left w:val="single" w:sz="4" w:space="0" w:color="auto"/>
              <w:right w:val="single" w:sz="4" w:space="0" w:color="auto"/>
            </w:tcBorders>
          </w:tcPr>
          <w:p w:rsidR="00000000" w:rsidRDefault="00000000">
            <w:pPr>
              <w:spacing w:line="216" w:lineRule="auto"/>
            </w:pPr>
            <w:r>
              <w:t>Южная Богемия</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5,0</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4,0</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6,2</w:t>
            </w:r>
          </w:p>
        </w:tc>
      </w:tr>
      <w:tr w:rsidR="00000000">
        <w:tc>
          <w:tcPr>
            <w:tcW w:w="4253" w:type="dxa"/>
            <w:tcBorders>
              <w:left w:val="single" w:sz="4" w:space="0" w:color="auto"/>
              <w:right w:val="single" w:sz="4" w:space="0" w:color="auto"/>
            </w:tcBorders>
          </w:tcPr>
          <w:p w:rsidR="00000000" w:rsidRDefault="00000000">
            <w:pPr>
              <w:spacing w:line="216" w:lineRule="auto"/>
            </w:pPr>
            <w:r>
              <w:t>Западная Богемия</w:t>
            </w:r>
          </w:p>
        </w:tc>
        <w:tc>
          <w:tcPr>
            <w:tcW w:w="1701" w:type="dxa"/>
            <w:tcBorders>
              <w:left w:val="single" w:sz="4" w:space="0" w:color="auto"/>
              <w:right w:val="single" w:sz="4" w:space="0" w:color="auto"/>
            </w:tcBorders>
          </w:tcPr>
          <w:p w:rsidR="00000000" w:rsidRDefault="00000000">
            <w:pPr>
              <w:pStyle w:val="16"/>
              <w:tabs>
                <w:tab w:val="clear" w:pos="567"/>
                <w:tab w:val="clear" w:pos="1134"/>
                <w:tab w:val="clear" w:pos="1701"/>
                <w:tab w:val="clear" w:pos="2268"/>
                <w:tab w:val="clear" w:pos="6237"/>
                <w:tab w:val="decimal" w:pos="851"/>
              </w:tabs>
              <w:spacing w:line="216" w:lineRule="auto"/>
              <w:jc w:val="left"/>
            </w:pPr>
            <w:r>
              <w:t>6,5</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5,5</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7,8</w:t>
            </w:r>
          </w:p>
        </w:tc>
      </w:tr>
      <w:tr w:rsidR="00000000">
        <w:tc>
          <w:tcPr>
            <w:tcW w:w="4253" w:type="dxa"/>
            <w:tcBorders>
              <w:left w:val="single" w:sz="4" w:space="0" w:color="auto"/>
              <w:right w:val="single" w:sz="4" w:space="0" w:color="auto"/>
            </w:tcBorders>
          </w:tcPr>
          <w:p w:rsidR="00000000" w:rsidRDefault="00000000">
            <w:pPr>
              <w:spacing w:line="216" w:lineRule="auto"/>
            </w:pPr>
            <w:r>
              <w:t>Северная Богемия</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12,0</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9,2</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15,6</w:t>
            </w:r>
          </w:p>
        </w:tc>
      </w:tr>
      <w:tr w:rsidR="00000000">
        <w:tc>
          <w:tcPr>
            <w:tcW w:w="4253" w:type="dxa"/>
            <w:tcBorders>
              <w:left w:val="single" w:sz="4" w:space="0" w:color="auto"/>
              <w:right w:val="single" w:sz="4" w:space="0" w:color="auto"/>
            </w:tcBorders>
          </w:tcPr>
          <w:p w:rsidR="00000000" w:rsidRDefault="00000000">
            <w:pPr>
              <w:spacing w:line="216" w:lineRule="auto"/>
            </w:pPr>
            <w:r>
              <w:t>Восточная Богемия</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6,5</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4,8</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8,7</w:t>
            </w:r>
          </w:p>
        </w:tc>
      </w:tr>
      <w:tr w:rsidR="00000000">
        <w:tc>
          <w:tcPr>
            <w:tcW w:w="4253" w:type="dxa"/>
            <w:tcBorders>
              <w:left w:val="single" w:sz="4" w:space="0" w:color="auto"/>
              <w:right w:val="single" w:sz="4" w:space="0" w:color="auto"/>
            </w:tcBorders>
          </w:tcPr>
          <w:p w:rsidR="00000000" w:rsidRDefault="00000000">
            <w:pPr>
              <w:spacing w:line="216" w:lineRule="auto"/>
            </w:pPr>
            <w:r>
              <w:t>Южная Моравия</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6,4</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4,9</w:t>
            </w:r>
          </w:p>
        </w:tc>
        <w:tc>
          <w:tcPr>
            <w:tcW w:w="1701"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8,3</w:t>
            </w:r>
          </w:p>
        </w:tc>
      </w:tr>
      <w:tr w:rsidR="00000000">
        <w:tc>
          <w:tcPr>
            <w:tcW w:w="4253" w:type="dxa"/>
            <w:tcBorders>
              <w:left w:val="single" w:sz="4" w:space="0" w:color="auto"/>
              <w:bottom w:val="single" w:sz="4" w:space="0" w:color="auto"/>
              <w:right w:val="single" w:sz="4" w:space="0" w:color="auto"/>
            </w:tcBorders>
          </w:tcPr>
          <w:p w:rsidR="00000000" w:rsidRDefault="00000000">
            <w:pPr>
              <w:spacing w:line="216" w:lineRule="auto"/>
            </w:pPr>
            <w:r>
              <w:t>Северная Моравия</w:t>
            </w:r>
          </w:p>
        </w:tc>
        <w:tc>
          <w:tcPr>
            <w:tcW w:w="1701"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10,0</w:t>
            </w:r>
          </w:p>
        </w:tc>
        <w:tc>
          <w:tcPr>
            <w:tcW w:w="1701"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7,9</w:t>
            </w:r>
          </w:p>
        </w:tc>
        <w:tc>
          <w:tcPr>
            <w:tcW w:w="1701"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12,6</w:t>
            </w:r>
          </w:p>
        </w:tc>
      </w:tr>
    </w:tbl>
    <w:p w:rsidR="00000000" w:rsidRDefault="00000000">
      <w:pPr>
        <w:spacing w:line="216" w:lineRule="auto"/>
        <w:rPr>
          <w:b/>
          <w:bCs/>
          <w:vertAlign w:val="superscript"/>
        </w:rPr>
      </w:pPr>
    </w:p>
    <w:p w:rsidR="00000000" w:rsidRDefault="00000000">
      <w:pPr>
        <w:spacing w:line="216" w:lineRule="auto"/>
      </w:pPr>
      <w:r>
        <w:rPr>
          <w:b/>
          <w:bCs/>
          <w:vertAlign w:val="superscript"/>
        </w:rPr>
        <w:tab/>
        <w:t>а</w:t>
      </w:r>
      <w:r>
        <w:tab/>
        <w:t>Районы, которые в соответствии с решениями территориальных административных органов использовались для целей статистической классификации до 31 декабря 1999 года.</w:t>
      </w:r>
    </w:p>
    <w:p w:rsidR="00000000" w:rsidRDefault="00000000">
      <w:pPr>
        <w:spacing w:line="216" w:lineRule="auto"/>
      </w:pPr>
    </w:p>
    <w:p w:rsidR="00000000" w:rsidRDefault="00000000">
      <w:pPr>
        <w:tabs>
          <w:tab w:val="clear" w:pos="1134"/>
          <w:tab w:val="clear" w:pos="1701"/>
          <w:tab w:val="left" w:pos="1559"/>
        </w:tabs>
        <w:spacing w:line="216" w:lineRule="auto"/>
        <w:ind w:left="1559" w:hanging="1559"/>
        <w:rPr>
          <w:lang w:val="en-US"/>
        </w:rPr>
      </w:pPr>
      <w:r>
        <w:tab/>
      </w:r>
      <w:r>
        <w:rPr>
          <w:u w:val="single"/>
        </w:rPr>
        <w:t>Источник</w:t>
      </w:r>
      <w:r>
        <w:rPr>
          <w:lang w:val="en-US"/>
        </w:rPr>
        <w:t>:   Statistical Yearbook of the CR, 1999.</w:t>
      </w:r>
    </w:p>
    <w:p w:rsidR="00000000" w:rsidRDefault="00000000">
      <w:pPr>
        <w:tabs>
          <w:tab w:val="clear" w:pos="1134"/>
          <w:tab w:val="clear" w:pos="1701"/>
          <w:tab w:val="left" w:pos="1559"/>
        </w:tabs>
        <w:ind w:left="1559" w:hanging="1559"/>
        <w:rPr>
          <w:lang w:val="en-US"/>
        </w:rPr>
      </w:pPr>
    </w:p>
    <w:p w:rsidR="00000000" w:rsidRDefault="00000000">
      <w:r>
        <w:t>243.</w:t>
      </w:r>
      <w:r>
        <w:tab/>
        <w:t>В целом положение на рынке труда в Чешской Республике можно охарактеризовать следующим образом:</w:t>
      </w:r>
    </w:p>
    <w:p w:rsidR="00000000" w:rsidRDefault="00000000"/>
    <w:p w:rsidR="00000000" w:rsidRDefault="00000000">
      <w:pPr>
        <w:numPr>
          <w:ilvl w:val="0"/>
          <w:numId w:val="5"/>
        </w:numPr>
        <w:ind w:left="0" w:firstLine="567"/>
      </w:pPr>
      <w:r>
        <w:t>вследствие низких темпов экономического развития Чешской Республики в 1997 году, а также вследствие использовавшихся методов приватизации и незавершенной реструктуризации предприятий предложение рабочей силы стало превышать спрос.  В процессе завершения преобразований экономики и ее восстановления возможен дальнейший рост безработицы.  Количество безработных растет, а количество вакантных рабочих мест сокращается;</w:t>
      </w:r>
    </w:p>
    <w:p w:rsidR="00000000" w:rsidRDefault="00000000">
      <w:pPr>
        <w:tabs>
          <w:tab w:val="clear" w:pos="1134"/>
        </w:tabs>
      </w:pPr>
    </w:p>
    <w:p w:rsidR="00000000" w:rsidRDefault="00000000">
      <w:pPr>
        <w:numPr>
          <w:ilvl w:val="0"/>
          <w:numId w:val="5"/>
        </w:numPr>
        <w:ind w:left="0" w:firstLine="567"/>
      </w:pPr>
      <w:r>
        <w:t>структура рабочей силы по видам профессиональной деятельности и квалификации не соответствует структуре спроса на рынке труда.  Отсутствует связь между системой образования и рынком труда.  Естественное развитие частных школ и тяжелое положение профессиональных учебных заведений (с точки зрения финансирования и эффективности управления), а также снижение интереса учащихся к техническим областям порождают дефицит выпускников, прошедших подготовку по ряду профессий и технических областей, связанных с ручным трудом.  В то же время растет число выпускников, не нашедших работы на рынке труда (особенно в экономической сфере);</w:t>
      </w:r>
    </w:p>
    <w:p w:rsidR="00000000" w:rsidRDefault="00000000">
      <w:pPr>
        <w:tabs>
          <w:tab w:val="clear" w:pos="1134"/>
        </w:tabs>
      </w:pPr>
    </w:p>
    <w:p w:rsidR="00000000" w:rsidRDefault="00000000">
      <w:pPr>
        <w:tabs>
          <w:tab w:val="clear" w:pos="1134"/>
          <w:tab w:val="left" w:pos="1122"/>
        </w:tabs>
      </w:pPr>
      <w:r>
        <w:tab/>
        <w:t>с)</w:t>
      </w:r>
      <w:r>
        <w:tab/>
        <w:t>не созданы базовые условия для географической мобильности рабочей силы.  Трудящиеся со средним уровнем дохода и ниже (более 60% всех работников) не могут переехать на новое место жительства для получения работы, поскольку рынок жилья для этих категорий населения развит недостаточно.  Кроме того, сокращаются транспортные услуги, а расходы на общественный транспорт растут, что также негативно сказывается на возможностях исправления ситуации в районах с критическим уровнем безработицы;</w:t>
      </w:r>
    </w:p>
    <w:p w:rsidR="00000000" w:rsidRDefault="00000000">
      <w:pPr>
        <w:tabs>
          <w:tab w:val="clear" w:pos="1134"/>
        </w:tabs>
      </w:pPr>
    </w:p>
    <w:p w:rsidR="00000000" w:rsidRDefault="00000000">
      <w:pPr>
        <w:tabs>
          <w:tab w:val="clear" w:pos="1134"/>
          <w:tab w:val="left" w:pos="1122"/>
        </w:tabs>
      </w:pPr>
      <w:r>
        <w:tab/>
      </w:r>
      <w:r>
        <w:rPr>
          <w:lang w:val="en-US"/>
        </w:rPr>
        <w:t>d</w:t>
      </w:r>
      <w:r>
        <w:t>)</w:t>
      </w:r>
      <w:r>
        <w:tab/>
        <w:t>уровни заработной платы и социальных пособий не сбалансированы:  ныне действующий коэффициент не стимулирует лиц с низкой квалификацией и низкими доходами к поискам работы.  Как следствие растет долгосрочная и хроническая безработица.  Осложнились проблемы, связанные с трудоустройством лиц, которые давно ищут работу.  В 1997 году средний размер пособия по безработице составлял 2 533 чешские кроны.  В тот же период размер брутто (т.е. до вычета налогов и отчислений на социальное и медицинское страхование) среднемесячной заработной платы в государственном секторе национальной экономики составлял 10 696 чешских крон, а в наиболее низкооплачиваемой отрасли (текстильной промышленности) – лишь 6 861 чешскую крону;</w:t>
      </w:r>
    </w:p>
    <w:p w:rsidR="00000000" w:rsidRDefault="00000000">
      <w:pPr>
        <w:tabs>
          <w:tab w:val="clear" w:pos="1134"/>
        </w:tabs>
      </w:pPr>
    </w:p>
    <w:p w:rsidR="00000000" w:rsidRDefault="00000000">
      <w:pPr>
        <w:tabs>
          <w:tab w:val="clear" w:pos="1134"/>
          <w:tab w:val="left" w:pos="1122"/>
        </w:tabs>
      </w:pPr>
      <w:r>
        <w:tab/>
        <w:t>е)</w:t>
      </w:r>
      <w:r>
        <w:tab/>
        <w:t>существует высокий спрос на иностранных рабочих, главным образом в тех видах профессиональной деятельности, которые не требуют высокой квалификации, плохо оплачиваются или предполагают тяжелые условия труда.  Иностранные рабочие вытесняют с рынка рабочей силы местных трудящихся, поскольку работодателям зачастую выгоднее нанимать на работу иностранцев и платить им заработную плату, размер которой противоречит даже действующему законодательству.  Эти рабочие, во многих случаях имеющие высокую квалификацию, согласны работать за меньшее вознаграждение;</w:t>
      </w:r>
    </w:p>
    <w:p w:rsidR="00000000" w:rsidRDefault="00000000">
      <w:pPr>
        <w:tabs>
          <w:tab w:val="clear" w:pos="1134"/>
        </w:tabs>
      </w:pPr>
    </w:p>
    <w:p w:rsidR="00000000" w:rsidRDefault="00000000">
      <w:pPr>
        <w:tabs>
          <w:tab w:val="clear" w:pos="1134"/>
          <w:tab w:val="left" w:pos="1122"/>
        </w:tabs>
      </w:pPr>
      <w:r>
        <w:tab/>
      </w:r>
      <w:r>
        <w:rPr>
          <w:lang w:val="en-US"/>
        </w:rPr>
        <w:t>f</w:t>
      </w:r>
      <w:r>
        <w:t>)</w:t>
      </w:r>
      <w:r>
        <w:tab/>
        <w:t>до принятия Национального плана действий в области занятости политика в этой сфере предусматривала главным образом принятие так называемых "пассивных" мер, т.е. оказание безработным материальной помощи.  В результате сокращения объема бюджетных средств, выделяемых на принятие активных мер в области занятости, с 1993 года по 1997 год оказывать упомянутую помощь можно было лишь ограниченному числу безработных.  Сокращение расходов на активные меры было обусловлено не урезанием соответствующих бюджетных ассигнований, а снижением эффективности прежних инструментов активной политики (работодатели, например, утратили интерес к использованию этой формы помощи).</w:t>
      </w:r>
    </w:p>
    <w:p w:rsidR="00000000" w:rsidRDefault="00000000">
      <w:pPr>
        <w:tabs>
          <w:tab w:val="clear" w:pos="1134"/>
        </w:tabs>
        <w:spacing w:line="240" w:lineRule="auto"/>
      </w:pPr>
    </w:p>
    <w:p w:rsidR="00000000" w:rsidRDefault="00000000">
      <w:pPr>
        <w:pStyle w:val="Heading1"/>
        <w:spacing w:line="240" w:lineRule="auto"/>
        <w:jc w:val="center"/>
        <w:rPr>
          <w:bCs/>
        </w:rPr>
      </w:pPr>
      <w:r>
        <w:rPr>
          <w:bCs/>
        </w:rPr>
        <w:t>Расходы на осуществление политики в области занятости</w:t>
      </w:r>
    </w:p>
    <w:p w:rsidR="00000000" w:rsidRDefault="00000000">
      <w:pPr>
        <w:spacing w:line="240" w:lineRule="auto"/>
      </w:pPr>
    </w:p>
    <w:tbl>
      <w:tblPr>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964"/>
        <w:gridCol w:w="1683"/>
        <w:gridCol w:w="1683"/>
        <w:gridCol w:w="1870"/>
        <w:gridCol w:w="1309"/>
        <w:gridCol w:w="1904"/>
      </w:tblGrid>
      <w:tr w:rsidR="00000000">
        <w:trPr>
          <w:cantSplit/>
          <w:jc w:val="center"/>
        </w:trPr>
        <w:tc>
          <w:tcPr>
            <w:tcW w:w="964" w:type="dxa"/>
            <w:vMerge w:val="restart"/>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Год</w:t>
            </w:r>
          </w:p>
        </w:tc>
        <w:tc>
          <w:tcPr>
            <w:tcW w:w="1683" w:type="dxa"/>
            <w:vMerge w:val="restart"/>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Всего (в тыс. чешских крон)</w:t>
            </w:r>
          </w:p>
        </w:tc>
        <w:tc>
          <w:tcPr>
            <w:tcW w:w="3553" w:type="dxa"/>
            <w:gridSpan w:val="2"/>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Активная политика в области занятости</w:t>
            </w:r>
          </w:p>
        </w:tc>
        <w:tc>
          <w:tcPr>
            <w:tcW w:w="1309" w:type="dxa"/>
            <w:vMerge w:val="restart"/>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Процентная доля рабочих мест (в %)</w:t>
            </w:r>
            <w:r>
              <w:rPr>
                <w:bCs/>
                <w:vertAlign w:val="superscript"/>
              </w:rPr>
              <w:t>а</w:t>
            </w:r>
          </w:p>
        </w:tc>
        <w:tc>
          <w:tcPr>
            <w:tcW w:w="1904" w:type="dxa"/>
            <w:vMerge w:val="restart"/>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Среднемесячные расходы (в тыс. чешских крон)</w:t>
            </w:r>
          </w:p>
        </w:tc>
      </w:tr>
      <w:tr w:rsidR="00000000">
        <w:trPr>
          <w:cantSplit/>
          <w:jc w:val="center"/>
        </w:trPr>
        <w:tc>
          <w:tcPr>
            <w:tcW w:w="964" w:type="dxa"/>
            <w:vMerge/>
            <w:tcBorders>
              <w:bottom w:val="single" w:sz="4" w:space="0" w:color="auto"/>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p>
        </w:tc>
        <w:tc>
          <w:tcPr>
            <w:tcW w:w="1683" w:type="dxa"/>
            <w:vMerge/>
            <w:tcBorders>
              <w:bottom w:val="single" w:sz="4" w:space="0" w:color="auto"/>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p>
        </w:tc>
        <w:tc>
          <w:tcPr>
            <w:tcW w:w="1683" w:type="dxa"/>
            <w:tcBorders>
              <w:bottom w:val="single" w:sz="4" w:space="0" w:color="auto"/>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в тыс. чешских крон</w:t>
            </w:r>
          </w:p>
        </w:tc>
        <w:tc>
          <w:tcPr>
            <w:tcW w:w="1870" w:type="dxa"/>
            <w:tcBorders>
              <w:bottom w:val="single" w:sz="4" w:space="0" w:color="auto"/>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в % от общей суммы расходов</w:t>
            </w:r>
          </w:p>
        </w:tc>
        <w:tc>
          <w:tcPr>
            <w:tcW w:w="1309" w:type="dxa"/>
            <w:vMerge/>
            <w:tcBorders>
              <w:bottom w:val="single" w:sz="4" w:space="0" w:color="auto"/>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p>
        </w:tc>
        <w:tc>
          <w:tcPr>
            <w:tcW w:w="1904" w:type="dxa"/>
            <w:vMerge/>
            <w:tcBorders>
              <w:bottom w:val="single" w:sz="4" w:space="0" w:color="auto"/>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p>
        </w:tc>
      </w:tr>
      <w:tr w:rsidR="00000000">
        <w:trPr>
          <w:trHeight w:val="234"/>
          <w:jc w:val="center"/>
        </w:trPr>
        <w:tc>
          <w:tcPr>
            <w:tcW w:w="964" w:type="dxa"/>
            <w:tcBorders>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1993</w:t>
            </w:r>
          </w:p>
        </w:tc>
        <w:tc>
          <w:tcPr>
            <w:tcW w:w="1683" w:type="dxa"/>
            <w:tcBorders>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2 174 877</w:t>
            </w:r>
          </w:p>
        </w:tc>
        <w:tc>
          <w:tcPr>
            <w:tcW w:w="1683" w:type="dxa"/>
            <w:tcBorders>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758 208</w:t>
            </w:r>
          </w:p>
        </w:tc>
        <w:tc>
          <w:tcPr>
            <w:tcW w:w="1870" w:type="dxa"/>
            <w:tcBorders>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34,86</w:t>
            </w:r>
          </w:p>
        </w:tc>
        <w:tc>
          <w:tcPr>
            <w:tcW w:w="1309" w:type="dxa"/>
            <w:tcBorders>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28,6</w:t>
            </w:r>
          </w:p>
        </w:tc>
        <w:tc>
          <w:tcPr>
            <w:tcW w:w="1904" w:type="dxa"/>
            <w:tcBorders>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1 654</w:t>
            </w:r>
          </w:p>
        </w:tc>
      </w:tr>
      <w:tr w:rsidR="00000000">
        <w:trPr>
          <w:jc w:val="center"/>
        </w:trPr>
        <w:tc>
          <w:tcPr>
            <w:tcW w:w="964"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1994</w:t>
            </w:r>
          </w:p>
        </w:tc>
        <w:tc>
          <w:tcPr>
            <w:tcW w:w="1683"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2 571 843</w:t>
            </w:r>
          </w:p>
        </w:tc>
        <w:tc>
          <w:tcPr>
            <w:tcW w:w="1683"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727 579</w:t>
            </w:r>
          </w:p>
        </w:tc>
        <w:tc>
          <w:tcPr>
            <w:tcW w:w="1870"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28,29</w:t>
            </w:r>
          </w:p>
        </w:tc>
        <w:tc>
          <w:tcPr>
            <w:tcW w:w="1309"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26,3</w:t>
            </w:r>
          </w:p>
        </w:tc>
        <w:tc>
          <w:tcPr>
            <w:tcW w:w="1904"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1 839</w:t>
            </w:r>
          </w:p>
        </w:tc>
      </w:tr>
      <w:tr w:rsidR="00000000">
        <w:trPr>
          <w:jc w:val="center"/>
        </w:trPr>
        <w:tc>
          <w:tcPr>
            <w:tcW w:w="964"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1995</w:t>
            </w:r>
          </w:p>
        </w:tc>
        <w:tc>
          <w:tcPr>
            <w:tcW w:w="1683"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2 416 637</w:t>
            </w:r>
          </w:p>
        </w:tc>
        <w:tc>
          <w:tcPr>
            <w:tcW w:w="1683"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634 791</w:t>
            </w:r>
          </w:p>
        </w:tc>
        <w:tc>
          <w:tcPr>
            <w:tcW w:w="1870"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26,27</w:t>
            </w:r>
          </w:p>
        </w:tc>
        <w:tc>
          <w:tcPr>
            <w:tcW w:w="1309"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23,7</w:t>
            </w:r>
          </w:p>
        </w:tc>
        <w:tc>
          <w:tcPr>
            <w:tcW w:w="1904"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2 056</w:t>
            </w:r>
          </w:p>
        </w:tc>
      </w:tr>
      <w:tr w:rsidR="00000000">
        <w:trPr>
          <w:jc w:val="center"/>
        </w:trPr>
        <w:tc>
          <w:tcPr>
            <w:tcW w:w="964"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1996</w:t>
            </w:r>
          </w:p>
        </w:tc>
        <w:tc>
          <w:tcPr>
            <w:tcW w:w="1683"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2 664 492</w:t>
            </w:r>
          </w:p>
        </w:tc>
        <w:tc>
          <w:tcPr>
            <w:tcW w:w="1683"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558 086</w:t>
            </w:r>
          </w:p>
        </w:tc>
        <w:tc>
          <w:tcPr>
            <w:tcW w:w="1870"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20,95</w:t>
            </w:r>
          </w:p>
        </w:tc>
        <w:tc>
          <w:tcPr>
            <w:tcW w:w="1309"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19,9</w:t>
            </w:r>
          </w:p>
        </w:tc>
        <w:tc>
          <w:tcPr>
            <w:tcW w:w="1904"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2 306</w:t>
            </w:r>
          </w:p>
        </w:tc>
      </w:tr>
      <w:tr w:rsidR="00000000">
        <w:trPr>
          <w:jc w:val="center"/>
        </w:trPr>
        <w:tc>
          <w:tcPr>
            <w:tcW w:w="964"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1997</w:t>
            </w:r>
          </w:p>
        </w:tc>
        <w:tc>
          <w:tcPr>
            <w:tcW w:w="1683"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3 994 750</w:t>
            </w:r>
          </w:p>
        </w:tc>
        <w:tc>
          <w:tcPr>
            <w:tcW w:w="1683"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574 712</w:t>
            </w:r>
          </w:p>
        </w:tc>
        <w:tc>
          <w:tcPr>
            <w:tcW w:w="1870"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14,39</w:t>
            </w:r>
          </w:p>
        </w:tc>
        <w:tc>
          <w:tcPr>
            <w:tcW w:w="1309"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13,8</w:t>
            </w:r>
          </w:p>
        </w:tc>
        <w:tc>
          <w:tcPr>
            <w:tcW w:w="1904" w:type="dxa"/>
            <w:tcBorders>
              <w:top w:val="nil"/>
              <w:bottom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2 567</w:t>
            </w:r>
          </w:p>
        </w:tc>
      </w:tr>
      <w:tr w:rsidR="00000000">
        <w:trPr>
          <w:jc w:val="center"/>
        </w:trPr>
        <w:tc>
          <w:tcPr>
            <w:tcW w:w="964" w:type="dxa"/>
            <w:tcBorders>
              <w:top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1998</w:t>
            </w:r>
          </w:p>
        </w:tc>
        <w:tc>
          <w:tcPr>
            <w:tcW w:w="1683" w:type="dxa"/>
            <w:tcBorders>
              <w:top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5 117 089</w:t>
            </w:r>
          </w:p>
        </w:tc>
        <w:tc>
          <w:tcPr>
            <w:tcW w:w="1683" w:type="dxa"/>
            <w:tcBorders>
              <w:top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923 390</w:t>
            </w:r>
          </w:p>
        </w:tc>
        <w:tc>
          <w:tcPr>
            <w:tcW w:w="1870" w:type="dxa"/>
            <w:tcBorders>
              <w:top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18,05</w:t>
            </w:r>
          </w:p>
        </w:tc>
        <w:tc>
          <w:tcPr>
            <w:tcW w:w="1309" w:type="dxa"/>
            <w:tcBorders>
              <w:top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14,9</w:t>
            </w:r>
          </w:p>
        </w:tc>
        <w:tc>
          <w:tcPr>
            <w:tcW w:w="1904" w:type="dxa"/>
            <w:tcBorders>
              <w:top w:val="nil"/>
            </w:tcBorders>
            <w:vAlign w:val="center"/>
          </w:tcPr>
          <w:p w:rsidR="00000000" w:rsidRDefault="00000000">
            <w:pPr>
              <w:pStyle w:val="Heading1"/>
              <w:keepNext w:val="0"/>
              <w:tabs>
                <w:tab w:val="clear" w:pos="567"/>
                <w:tab w:val="clear" w:pos="1134"/>
                <w:tab w:val="clear" w:pos="1701"/>
                <w:tab w:val="clear" w:pos="2268"/>
                <w:tab w:val="clear" w:pos="6237"/>
              </w:tabs>
              <w:spacing w:line="240" w:lineRule="auto"/>
              <w:jc w:val="center"/>
              <w:rPr>
                <w:b w:val="0"/>
              </w:rPr>
            </w:pPr>
            <w:r>
              <w:rPr>
                <w:b w:val="0"/>
              </w:rPr>
              <w:t>2 335</w:t>
            </w:r>
          </w:p>
        </w:tc>
      </w:tr>
    </w:tbl>
    <w:p w:rsidR="00000000" w:rsidRDefault="00000000">
      <w:pPr>
        <w:spacing w:line="240" w:lineRule="auto"/>
        <w:rPr>
          <w:b/>
          <w:bCs/>
          <w:vertAlign w:val="superscript"/>
        </w:rPr>
      </w:pPr>
    </w:p>
    <w:p w:rsidR="00000000" w:rsidRDefault="00000000">
      <w:pPr>
        <w:spacing w:line="240" w:lineRule="auto"/>
      </w:pPr>
      <w:r>
        <w:rPr>
          <w:b/>
          <w:bCs/>
          <w:vertAlign w:val="superscript"/>
        </w:rPr>
        <w:tab/>
        <w:t>а</w:t>
      </w:r>
      <w:r>
        <w:tab/>
        <w:t>Доля безработных, охваченных активной политикой в области занятости, от среднего числа безработных.</w:t>
      </w:r>
    </w:p>
    <w:p w:rsidR="00000000" w:rsidRDefault="00000000">
      <w:pPr>
        <w:spacing w:line="240" w:lineRule="auto"/>
      </w:pPr>
    </w:p>
    <w:p w:rsidR="00000000" w:rsidRDefault="00000000">
      <w:pPr>
        <w:spacing w:line="240" w:lineRule="auto"/>
      </w:pPr>
      <w:r>
        <w:tab/>
      </w:r>
      <w:r>
        <w:rPr>
          <w:u w:val="single"/>
        </w:rPr>
        <w:t>Источник</w:t>
      </w:r>
      <w:r>
        <w:t>:   Министерство труда и социальных дел.</w:t>
      </w:r>
    </w:p>
    <w:p w:rsidR="00000000" w:rsidRDefault="00000000"/>
    <w:p w:rsidR="00000000" w:rsidRDefault="00000000">
      <w:r>
        <w:t>244.</w:t>
      </w:r>
      <w:r>
        <w:tab/>
        <w:t>Национальный план действий в области занятости был переориентирован с пассивной политики в области занятости на активную, на предотвращение связанных с высоким риском событий и на ликвидацию системных несоответствий в правовом регулировании занятости.  В соответствии с Законом о государственном бюджете на 1999 год</w:t>
      </w:r>
      <w:r>
        <w:rPr>
          <w:rStyle w:val="FootnoteReference"/>
        </w:rPr>
        <w:footnoteReference w:id="151"/>
      </w:r>
      <w:r>
        <w:t xml:space="preserve"> в рамках бюджета Чешской Республики на 1999 год на проведение государственной политики в области занятости было выделено 7 464 645 000 чешских крон, в том числе 1 445 936 000 крон на проведение активной политики, что составляет 19,4% от всей суммы средств.</w:t>
      </w:r>
    </w:p>
    <w:p w:rsidR="00000000" w:rsidRDefault="00000000"/>
    <w:p w:rsidR="00000000" w:rsidRDefault="00000000">
      <w:r>
        <w:t>245.</w:t>
      </w:r>
      <w:r>
        <w:tab/>
        <w:t>На основе Постановления правительства о неотложных мерах по исправлению ситуации на рынке труда</w:t>
      </w:r>
      <w:r>
        <w:rPr>
          <w:rStyle w:val="FootnoteReference"/>
        </w:rPr>
        <w:footnoteReference w:id="152"/>
      </w:r>
      <w:r>
        <w:t xml:space="preserve"> в 1999 году бюджетные ассигнования на активную политику в области занятости были увеличены по сравнению с первоначальным планом на общую сумму в 550 млн. чешских крон, из которых 200 млн. предназначались для стимулирования инвестиций.  Часть дополнительных ассигнований (170 млн. чешских крон) была получена в результате задействования средств, предназначавшихся для пассивной политики в области занятости.  После этих корректировок бюджет на проведение государственной политики в области занятости в 1999 году составил в совокупности 7 844 645 000 чешских крон, включая 1 992 936 000 на активную политику в области занятости и 5 851 709 тыс. на пассивную политику.  Средства, выделенные на проведение активной политики, составляют 25,4% от общего объема ассигнований в области занятости.</w:t>
      </w:r>
    </w:p>
    <w:p w:rsidR="00000000" w:rsidRDefault="00000000"/>
    <w:p w:rsidR="00000000" w:rsidRDefault="00000000">
      <w:r>
        <w:t>246.</w:t>
      </w:r>
      <w:r>
        <w:tab/>
        <w:t>Важную роль в осуществлении политики в области занятости играет Совет экономического и социального согласия, который "является совместным, добровольным совещательным и инициативным органом профсоюзов, работодателей и правительства Чешской Республики по ведению трехсторонних переговоров в целях достижения согласия по основным вопросам экономического и социального развития"</w:t>
      </w:r>
      <w:r>
        <w:rPr>
          <w:rStyle w:val="FootnoteReference"/>
        </w:rPr>
        <w:footnoteReference w:id="153"/>
      </w:r>
      <w:r>
        <w:t>.  Совет рассматривает отдельные, представляющие общий интерес проблемы, которые, в частности, касаются экономической политики, трудовых отношений, ведения коллективных переговоров и трудоустройства, социальных вопросов и вопросов, связанных со ставками и размерами заработной платы, а также представляющие общий интерес проблемы, возникающие в непроизводственной сфере, в обеспечении безопасности труда и в процессе интеграции Чешской Республики в Европейской союз.</w:t>
      </w:r>
    </w:p>
    <w:p w:rsidR="00000000" w:rsidRDefault="00000000"/>
    <w:p w:rsidR="00000000" w:rsidRDefault="00000000">
      <w:r>
        <w:br w:type="page"/>
        <w:t>247.</w:t>
      </w:r>
      <w:r>
        <w:tab/>
        <w:t>В Чешской Республике сравнительно мало людей, которые работают на двух работах.  Как правило, для кормильца семьи нет необходимости работать на двух работах для обеспечения адекватного уровня жизни его семьи.  Кроме того, в большинстве чешских семей работают оба родителя (доля работающих женщин в Чешской Республике высока).  В 1996 году на двух работах работали 197 500 человек, в 1997 году - 169 700, а в 1998 году - 153 500.  Трудовые отношения и права лиц, работающих на двух работах, регулируются статьями 69-71 Трудового кодекса.  В том случае, когда какое</w:t>
      </w:r>
      <w:r>
        <w:noBreakHyphen/>
        <w:t>либо лицо работает на нескольких работах, то его соответствующие права и обязанности гарантируются ему на всех местах работы, если законодательство не предусматривает иного.</w:t>
      </w:r>
    </w:p>
    <w:p w:rsidR="00000000" w:rsidRDefault="00000000"/>
    <w:p w:rsidR="00000000" w:rsidRDefault="00000000">
      <w:r>
        <w:t>248.</w:t>
      </w:r>
      <w:r>
        <w:tab/>
        <w:t>Вторую работу разрешается выполнять лишь в течение более краткого периода, чем установленная продолжительность рабочей недели.  Трудовой договор о такой работе не может быть заключен с несовершеннолетним лицом, и он должен предусматривать более короткий срок для уведомления о прекращении трудовой деятельности как для работника, так и работодателя (15 дней).  Кроме того, на основе договора или соглашения о дополнительной трудовой деятельности работник может выполнять так называемую "дополнительную работу" для своего основного работодателя.  Эта работа подразумевает выполнение трудовых заданий иного характера, чем предусмотрено в трудовом соглашении, исключительно вне рамок установленного рабочего времени.  Вторую (дополнительную) работу можно также выполнять при условии получения соответствующей лицензии на основе Закона о лицензировании профессиональной деятельности.</w:t>
      </w:r>
    </w:p>
    <w:p w:rsidR="00000000" w:rsidRDefault="00000000"/>
    <w:p w:rsidR="00000000" w:rsidRDefault="00000000">
      <w:r>
        <w:t>249.</w:t>
      </w:r>
      <w:r>
        <w:tab/>
        <w:t>В 1998 году доля лиц, работавших более чем на одной работе, составляла 3,2% от общей численности населения (3,7% среди мужчин и лишь 2,5% среди женщин).  Вторую работу имеют главным образом лица в возрасте 30 и более лет (наиболее представлена возрастная группа 45-49 лет:  вторую работу имеют 16,2% таких лиц) и лица с законченным основным профессиональным образованием (вторую работу имеют более трети таких лиц).  Чаще всего в число упомянутых лиц входят технические специалисты, работники здравоохранения и образования (24%), а также научные сотрудники и работники умственного труда (20%);  другую многочисленную группу составляют неквалифицированные рабочие и лица, занимающиеся ремонтом (13%).  Лиц, работающих на нескольких работах, больше всего в Праге (там самый низкий уровень безработицы и самый высокий уровень профессиональной квалификации) и в Южной Моравии.</w:t>
      </w:r>
    </w:p>
    <w:p w:rsidR="00000000" w:rsidRDefault="00000000"/>
    <w:p w:rsidR="00000000" w:rsidRDefault="00000000">
      <w:pPr>
        <w:pStyle w:val="Heading1"/>
        <w:jc w:val="center"/>
        <w:rPr>
          <w:bCs/>
        </w:rPr>
      </w:pPr>
      <w:r>
        <w:rPr>
          <w:bCs/>
        </w:rPr>
        <w:br w:type="page"/>
        <w:t>Лица, работавшие на двух работах в 1998 году</w:t>
      </w:r>
    </w:p>
    <w:p w:rsidR="00000000" w:rsidRDefault="00000000"/>
    <w:tbl>
      <w:tblPr>
        <w:tblW w:w="9391" w:type="dxa"/>
        <w:tblBorders>
          <w:top w:val="single" w:sz="4" w:space="0" w:color="auto"/>
          <w:bottom w:val="single" w:sz="4" w:space="0" w:color="auto"/>
        </w:tblBorders>
        <w:tblLayout w:type="fixed"/>
        <w:tblCellMar>
          <w:left w:w="82" w:type="dxa"/>
          <w:right w:w="82" w:type="dxa"/>
        </w:tblCellMar>
        <w:tblLook w:val="0000" w:firstRow="0" w:lastRow="0" w:firstColumn="0" w:lastColumn="0" w:noHBand="0" w:noVBand="0"/>
      </w:tblPr>
      <w:tblGrid>
        <w:gridCol w:w="2755"/>
        <w:gridCol w:w="1106"/>
        <w:gridCol w:w="1106"/>
        <w:gridCol w:w="1106"/>
        <w:gridCol w:w="1106"/>
        <w:gridCol w:w="1106"/>
        <w:gridCol w:w="1106"/>
      </w:tblGrid>
      <w:tr w:rsidR="00000000">
        <w:tblPrEx>
          <w:tblCellMar>
            <w:top w:w="0" w:type="dxa"/>
            <w:bottom w:w="0" w:type="dxa"/>
          </w:tblCellMar>
        </w:tblPrEx>
        <w:trPr>
          <w:cantSplit/>
        </w:trPr>
        <w:tc>
          <w:tcPr>
            <w:tcW w:w="275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ing1"/>
              <w:spacing w:line="216" w:lineRule="auto"/>
              <w:jc w:val="center"/>
              <w:rPr>
                <w:b w:val="0"/>
              </w:rPr>
            </w:pPr>
            <w:r>
              <w:rPr>
                <w:b w:val="0"/>
              </w:rPr>
              <w:t>Показатель</w:t>
            </w:r>
          </w:p>
        </w:tc>
        <w:tc>
          <w:tcPr>
            <w:tcW w:w="2212" w:type="dxa"/>
            <w:gridSpan w:val="2"/>
            <w:tcBorders>
              <w:top w:val="single" w:sz="4" w:space="0" w:color="auto"/>
              <w:left w:val="single" w:sz="4" w:space="0" w:color="auto"/>
              <w:bottom w:val="single" w:sz="4" w:space="0" w:color="auto"/>
              <w:right w:val="single" w:sz="4" w:space="0" w:color="auto"/>
            </w:tcBorders>
          </w:tcPr>
          <w:p w:rsidR="00000000" w:rsidRDefault="00000000">
            <w:pPr>
              <w:pStyle w:val="16"/>
              <w:spacing w:line="216" w:lineRule="auto"/>
            </w:pPr>
            <w:r>
              <w:t>Общее число</w:t>
            </w:r>
          </w:p>
          <w:p w:rsidR="00000000" w:rsidRDefault="00000000">
            <w:pPr>
              <w:pStyle w:val="16"/>
              <w:spacing w:line="216" w:lineRule="auto"/>
            </w:pPr>
            <w:r>
              <w:t>работающих</w:t>
            </w:r>
          </w:p>
        </w:tc>
        <w:tc>
          <w:tcPr>
            <w:tcW w:w="2212" w:type="dxa"/>
            <w:gridSpan w:val="2"/>
            <w:tcBorders>
              <w:top w:val="single" w:sz="4" w:space="0" w:color="auto"/>
              <w:left w:val="single" w:sz="4" w:space="0" w:color="auto"/>
              <w:bottom w:val="single" w:sz="4" w:space="0" w:color="auto"/>
              <w:right w:val="single" w:sz="4" w:space="0" w:color="auto"/>
            </w:tcBorders>
          </w:tcPr>
          <w:p w:rsidR="00000000" w:rsidRDefault="00000000">
            <w:pPr>
              <w:pStyle w:val="10"/>
              <w:spacing w:line="216" w:lineRule="auto"/>
              <w:rPr>
                <w:b w:val="0"/>
              </w:rPr>
            </w:pPr>
            <w:r>
              <w:rPr>
                <w:b w:val="0"/>
              </w:rPr>
              <w:t>Мужчины</w:t>
            </w:r>
          </w:p>
        </w:tc>
        <w:tc>
          <w:tcPr>
            <w:tcW w:w="2212" w:type="dxa"/>
            <w:gridSpan w:val="2"/>
            <w:tcBorders>
              <w:top w:val="single" w:sz="4" w:space="0" w:color="auto"/>
              <w:left w:val="single" w:sz="4" w:space="0" w:color="auto"/>
              <w:bottom w:val="single" w:sz="4" w:space="0" w:color="auto"/>
              <w:right w:val="single" w:sz="4" w:space="0" w:color="auto"/>
            </w:tcBorders>
          </w:tcPr>
          <w:p w:rsidR="00000000" w:rsidRDefault="00000000">
            <w:pPr>
              <w:pStyle w:val="10"/>
              <w:spacing w:line="216" w:lineRule="auto"/>
              <w:rPr>
                <w:b w:val="0"/>
              </w:rPr>
            </w:pPr>
            <w:r>
              <w:rPr>
                <w:b w:val="0"/>
              </w:rPr>
              <w:t>Женщины</w:t>
            </w:r>
          </w:p>
        </w:tc>
      </w:tr>
      <w:tr w:rsidR="00000000">
        <w:tblPrEx>
          <w:tblCellMar>
            <w:top w:w="0" w:type="dxa"/>
            <w:bottom w:w="0" w:type="dxa"/>
          </w:tblCellMar>
        </w:tblPrEx>
        <w:trPr>
          <w:cantSplit/>
        </w:trPr>
        <w:tc>
          <w:tcPr>
            <w:tcW w:w="2755" w:type="dxa"/>
            <w:vMerge/>
            <w:tcBorders>
              <w:top w:val="single" w:sz="4" w:space="0" w:color="auto"/>
              <w:left w:val="single" w:sz="4" w:space="0" w:color="auto"/>
              <w:bottom w:val="single" w:sz="4" w:space="0" w:color="auto"/>
              <w:right w:val="single" w:sz="4" w:space="0" w:color="auto"/>
            </w:tcBorders>
          </w:tcPr>
          <w:p w:rsidR="00000000" w:rsidRDefault="00000000">
            <w:pPr>
              <w:spacing w:line="216" w:lineRule="auto"/>
            </w:pPr>
          </w:p>
        </w:tc>
        <w:tc>
          <w:tcPr>
            <w:tcW w:w="1106" w:type="dxa"/>
            <w:tcBorders>
              <w:top w:val="single" w:sz="4" w:space="0" w:color="auto"/>
              <w:left w:val="single" w:sz="4" w:space="0" w:color="auto"/>
              <w:bottom w:val="single" w:sz="4" w:space="0" w:color="auto"/>
              <w:right w:val="single" w:sz="4" w:space="0" w:color="auto"/>
            </w:tcBorders>
          </w:tcPr>
          <w:p w:rsidR="00000000" w:rsidRDefault="00000000">
            <w:pPr>
              <w:pStyle w:val="16"/>
              <w:spacing w:line="216" w:lineRule="auto"/>
            </w:pPr>
            <w:r>
              <w:t>в тыс. человек</w:t>
            </w:r>
          </w:p>
        </w:tc>
        <w:tc>
          <w:tcPr>
            <w:tcW w:w="1106" w:type="dxa"/>
            <w:tcBorders>
              <w:top w:val="single" w:sz="4" w:space="0" w:color="auto"/>
              <w:left w:val="single" w:sz="4" w:space="0" w:color="auto"/>
              <w:bottom w:val="single" w:sz="4" w:space="0" w:color="auto"/>
              <w:right w:val="single" w:sz="4" w:space="0" w:color="auto"/>
            </w:tcBorders>
          </w:tcPr>
          <w:p w:rsidR="00000000" w:rsidRDefault="00000000">
            <w:pPr>
              <w:pStyle w:val="16"/>
              <w:spacing w:line="216" w:lineRule="auto"/>
            </w:pPr>
          </w:p>
          <w:p w:rsidR="00000000" w:rsidRDefault="00000000">
            <w:pPr>
              <w:pStyle w:val="16"/>
              <w:spacing w:line="216" w:lineRule="auto"/>
            </w:pPr>
            <w:r>
              <w:t>в %</w:t>
            </w:r>
          </w:p>
        </w:tc>
        <w:tc>
          <w:tcPr>
            <w:tcW w:w="110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в тыс. человек</w:t>
            </w:r>
          </w:p>
        </w:tc>
        <w:tc>
          <w:tcPr>
            <w:tcW w:w="110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p>
          <w:p w:rsidR="00000000" w:rsidRDefault="00000000">
            <w:pPr>
              <w:spacing w:line="216" w:lineRule="auto"/>
              <w:jc w:val="center"/>
            </w:pPr>
            <w:r>
              <w:t>в %</w:t>
            </w:r>
          </w:p>
        </w:tc>
        <w:tc>
          <w:tcPr>
            <w:tcW w:w="110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в тыс. человек</w:t>
            </w:r>
          </w:p>
        </w:tc>
        <w:tc>
          <w:tcPr>
            <w:tcW w:w="110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p>
          <w:p w:rsidR="00000000" w:rsidRDefault="00000000">
            <w:pPr>
              <w:spacing w:line="216" w:lineRule="auto"/>
              <w:jc w:val="center"/>
            </w:pPr>
            <w:r>
              <w:t>в %</w:t>
            </w:r>
          </w:p>
        </w:tc>
      </w:tr>
      <w:tr w:rsidR="00000000">
        <w:tblPrEx>
          <w:tblCellMar>
            <w:top w:w="0" w:type="dxa"/>
            <w:bottom w:w="0" w:type="dxa"/>
          </w:tblCellMar>
        </w:tblPrEx>
        <w:tc>
          <w:tcPr>
            <w:tcW w:w="2755" w:type="dxa"/>
            <w:tcBorders>
              <w:top w:val="single" w:sz="4" w:space="0" w:color="auto"/>
              <w:left w:val="single" w:sz="4" w:space="0" w:color="auto"/>
              <w:right w:val="single" w:sz="4" w:space="0" w:color="auto"/>
            </w:tcBorders>
          </w:tcPr>
          <w:p w:rsidR="00000000" w:rsidRDefault="00000000">
            <w:pPr>
              <w:pStyle w:val="Heading1"/>
              <w:rPr>
                <w:b w:val="0"/>
                <w:sz w:val="22"/>
              </w:rPr>
            </w:pPr>
            <w:r>
              <w:rPr>
                <w:b w:val="0"/>
                <w:sz w:val="22"/>
              </w:rPr>
              <w:t>Всего</w:t>
            </w:r>
          </w:p>
        </w:tc>
        <w:tc>
          <w:tcPr>
            <w:tcW w:w="1106" w:type="dxa"/>
            <w:tcBorders>
              <w:top w:val="single" w:sz="4" w:space="0" w:color="auto"/>
              <w:left w:val="single" w:sz="4" w:space="0" w:color="auto"/>
              <w:right w:val="single" w:sz="4" w:space="0" w:color="auto"/>
            </w:tcBorders>
          </w:tcPr>
          <w:p w:rsidR="00000000" w:rsidRDefault="00000000">
            <w:pPr>
              <w:tabs>
                <w:tab w:val="clear" w:pos="567"/>
              </w:tabs>
              <w:ind w:left="-203" w:right="153"/>
              <w:jc w:val="right"/>
              <w:rPr>
                <w:sz w:val="22"/>
              </w:rPr>
            </w:pPr>
            <w:r>
              <w:rPr>
                <w:sz w:val="22"/>
              </w:rPr>
              <w:t>153,5</w:t>
            </w:r>
          </w:p>
        </w:tc>
        <w:tc>
          <w:tcPr>
            <w:tcW w:w="1106" w:type="dxa"/>
            <w:tcBorders>
              <w:top w:val="single" w:sz="4" w:space="0" w:color="auto"/>
              <w:left w:val="single" w:sz="4" w:space="0" w:color="auto"/>
              <w:right w:val="single" w:sz="4" w:space="0" w:color="auto"/>
            </w:tcBorders>
          </w:tcPr>
          <w:p w:rsidR="00000000" w:rsidRDefault="00000000">
            <w:pPr>
              <w:tabs>
                <w:tab w:val="clear" w:pos="567"/>
              </w:tabs>
              <w:ind w:left="-203" w:right="153"/>
              <w:jc w:val="right"/>
              <w:rPr>
                <w:sz w:val="22"/>
              </w:rPr>
            </w:pPr>
            <w:r>
              <w:rPr>
                <w:sz w:val="22"/>
              </w:rPr>
              <w:t>100,0</w:t>
            </w:r>
          </w:p>
        </w:tc>
        <w:tc>
          <w:tcPr>
            <w:tcW w:w="1106" w:type="dxa"/>
            <w:tcBorders>
              <w:top w:val="single" w:sz="4" w:space="0" w:color="auto"/>
              <w:left w:val="single" w:sz="4" w:space="0" w:color="auto"/>
              <w:right w:val="single" w:sz="4" w:space="0" w:color="auto"/>
            </w:tcBorders>
          </w:tcPr>
          <w:p w:rsidR="00000000" w:rsidRDefault="00000000">
            <w:pPr>
              <w:tabs>
                <w:tab w:val="clear" w:pos="567"/>
              </w:tabs>
              <w:ind w:left="-203" w:right="153"/>
              <w:jc w:val="right"/>
              <w:rPr>
                <w:sz w:val="22"/>
              </w:rPr>
            </w:pPr>
            <w:r>
              <w:rPr>
                <w:sz w:val="22"/>
              </w:rPr>
              <w:t>101,0</w:t>
            </w:r>
          </w:p>
        </w:tc>
        <w:tc>
          <w:tcPr>
            <w:tcW w:w="1106" w:type="dxa"/>
            <w:tcBorders>
              <w:top w:val="single" w:sz="4" w:space="0" w:color="auto"/>
              <w:left w:val="single" w:sz="4" w:space="0" w:color="auto"/>
              <w:right w:val="single" w:sz="4" w:space="0" w:color="auto"/>
            </w:tcBorders>
          </w:tcPr>
          <w:p w:rsidR="00000000" w:rsidRDefault="00000000">
            <w:pPr>
              <w:tabs>
                <w:tab w:val="clear" w:pos="567"/>
              </w:tabs>
              <w:ind w:left="-203" w:right="153"/>
              <w:jc w:val="right"/>
              <w:rPr>
                <w:sz w:val="22"/>
              </w:rPr>
            </w:pPr>
            <w:r>
              <w:rPr>
                <w:sz w:val="22"/>
              </w:rPr>
              <w:t>100,0</w:t>
            </w:r>
          </w:p>
        </w:tc>
        <w:tc>
          <w:tcPr>
            <w:tcW w:w="1106" w:type="dxa"/>
            <w:tcBorders>
              <w:top w:val="single" w:sz="4" w:space="0" w:color="auto"/>
              <w:left w:val="single" w:sz="4" w:space="0" w:color="auto"/>
              <w:right w:val="single" w:sz="4" w:space="0" w:color="auto"/>
            </w:tcBorders>
          </w:tcPr>
          <w:p w:rsidR="00000000" w:rsidRDefault="00000000">
            <w:pPr>
              <w:tabs>
                <w:tab w:val="clear" w:pos="567"/>
              </w:tabs>
              <w:ind w:left="-203" w:right="153"/>
              <w:jc w:val="right"/>
              <w:rPr>
                <w:sz w:val="22"/>
              </w:rPr>
            </w:pPr>
            <w:r>
              <w:rPr>
                <w:sz w:val="22"/>
              </w:rPr>
              <w:t>52,5</w:t>
            </w:r>
          </w:p>
        </w:tc>
        <w:tc>
          <w:tcPr>
            <w:tcW w:w="1106" w:type="dxa"/>
            <w:tcBorders>
              <w:top w:val="single" w:sz="4" w:space="0" w:color="auto"/>
              <w:left w:val="single" w:sz="4" w:space="0" w:color="auto"/>
              <w:right w:val="single" w:sz="4" w:space="0" w:color="auto"/>
            </w:tcBorders>
          </w:tcPr>
          <w:p w:rsidR="00000000" w:rsidRDefault="00000000">
            <w:pPr>
              <w:tabs>
                <w:tab w:val="clear" w:pos="567"/>
              </w:tabs>
              <w:ind w:left="-203" w:right="153"/>
              <w:jc w:val="right"/>
              <w:rPr>
                <w:sz w:val="22"/>
              </w:rPr>
            </w:pPr>
            <w:r>
              <w:rPr>
                <w:sz w:val="22"/>
              </w:rPr>
              <w:t>100,0</w:t>
            </w:r>
          </w:p>
        </w:tc>
      </w:tr>
      <w:tr w:rsidR="00000000">
        <w:tblPrEx>
          <w:tblCellMar>
            <w:top w:w="0" w:type="dxa"/>
            <w:bottom w:w="0" w:type="dxa"/>
          </w:tblCellMar>
        </w:tblPrEx>
        <w:tc>
          <w:tcPr>
            <w:tcW w:w="2755" w:type="dxa"/>
            <w:tcBorders>
              <w:left w:val="single" w:sz="4" w:space="0" w:color="auto"/>
              <w:right w:val="single" w:sz="4" w:space="0" w:color="auto"/>
            </w:tcBorders>
          </w:tcPr>
          <w:p w:rsidR="00000000" w:rsidRDefault="00000000">
            <w:pPr>
              <w:rPr>
                <w:sz w:val="22"/>
              </w:rPr>
            </w:pPr>
            <w:r>
              <w:rPr>
                <w:sz w:val="22"/>
              </w:rPr>
              <w:t xml:space="preserve">  В том числе (по МСКЗ)</w:t>
            </w:r>
            <w:r>
              <w:rPr>
                <w:b/>
                <w:bCs/>
                <w:sz w:val="22"/>
                <w:vertAlign w:val="superscript"/>
              </w:rPr>
              <w:t>а</w:t>
            </w:r>
            <w:r>
              <w:rPr>
                <w:sz w:val="22"/>
              </w:rPr>
              <w:t>:</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p>
        </w:tc>
      </w:tr>
      <w:tr w:rsidR="00000000">
        <w:tblPrEx>
          <w:tblCellMar>
            <w:top w:w="0" w:type="dxa"/>
            <w:bottom w:w="0" w:type="dxa"/>
          </w:tblCellMar>
        </w:tblPrEx>
        <w:tc>
          <w:tcPr>
            <w:tcW w:w="2755" w:type="dxa"/>
            <w:tcBorders>
              <w:left w:val="single" w:sz="4" w:space="0" w:color="auto"/>
              <w:right w:val="single" w:sz="4" w:space="0" w:color="auto"/>
            </w:tcBorders>
          </w:tcPr>
          <w:p w:rsidR="00000000" w:rsidRDefault="00000000">
            <w:pPr>
              <w:rPr>
                <w:sz w:val="22"/>
              </w:rPr>
            </w:pPr>
            <w:r>
              <w:rPr>
                <w:sz w:val="22"/>
              </w:rPr>
              <w:t>Лица наемного труда</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61,1</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39,8</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34,7</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34,4</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26,3</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50,1</w:t>
            </w:r>
          </w:p>
        </w:tc>
      </w:tr>
      <w:tr w:rsidR="00000000">
        <w:tblPrEx>
          <w:tblCellMar>
            <w:top w:w="0" w:type="dxa"/>
            <w:bottom w:w="0" w:type="dxa"/>
          </w:tblCellMar>
        </w:tblPrEx>
        <w:tc>
          <w:tcPr>
            <w:tcW w:w="2755" w:type="dxa"/>
            <w:tcBorders>
              <w:left w:val="single" w:sz="4" w:space="0" w:color="auto"/>
              <w:right w:val="single" w:sz="4" w:space="0" w:color="auto"/>
            </w:tcBorders>
          </w:tcPr>
          <w:p w:rsidR="00000000" w:rsidRDefault="00000000">
            <w:pPr>
              <w:rPr>
                <w:sz w:val="22"/>
              </w:rPr>
            </w:pPr>
            <w:r>
              <w:rPr>
                <w:sz w:val="22"/>
              </w:rPr>
              <w:t>Работодатели</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8,5</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5,5</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6,8</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6,8</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1,6</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3,1</w:t>
            </w:r>
          </w:p>
        </w:tc>
      </w:tr>
      <w:tr w:rsidR="00000000">
        <w:tblPrEx>
          <w:tblCellMar>
            <w:top w:w="0" w:type="dxa"/>
            <w:bottom w:w="0" w:type="dxa"/>
          </w:tblCellMar>
        </w:tblPrEx>
        <w:tc>
          <w:tcPr>
            <w:tcW w:w="2755" w:type="dxa"/>
            <w:tcBorders>
              <w:left w:val="single" w:sz="4" w:space="0" w:color="auto"/>
              <w:right w:val="single" w:sz="4" w:space="0" w:color="auto"/>
            </w:tcBorders>
          </w:tcPr>
          <w:p w:rsidR="00000000" w:rsidRDefault="00000000">
            <w:pPr>
              <w:rPr>
                <w:sz w:val="22"/>
              </w:rPr>
            </w:pPr>
            <w:r>
              <w:rPr>
                <w:sz w:val="22"/>
              </w:rPr>
              <w:t>Самостоятельные</w:t>
            </w:r>
          </w:p>
          <w:p w:rsidR="00000000" w:rsidRDefault="00000000">
            <w:pPr>
              <w:rPr>
                <w:sz w:val="22"/>
              </w:rPr>
            </w:pPr>
            <w:r>
              <w:rPr>
                <w:sz w:val="22"/>
              </w:rPr>
              <w:t xml:space="preserve">  работники</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79,7</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51,9</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57,9</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57,4</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21,8</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41,4</w:t>
            </w:r>
          </w:p>
        </w:tc>
      </w:tr>
      <w:tr w:rsidR="00000000">
        <w:tblPrEx>
          <w:tblCellMar>
            <w:top w:w="0" w:type="dxa"/>
            <w:bottom w:w="0" w:type="dxa"/>
          </w:tblCellMar>
        </w:tblPrEx>
        <w:tc>
          <w:tcPr>
            <w:tcW w:w="2755" w:type="dxa"/>
            <w:tcBorders>
              <w:left w:val="single" w:sz="4" w:space="0" w:color="auto"/>
              <w:right w:val="single" w:sz="4" w:space="0" w:color="auto"/>
            </w:tcBorders>
          </w:tcPr>
          <w:p w:rsidR="00000000" w:rsidRDefault="00000000">
            <w:pPr>
              <w:rPr>
                <w:sz w:val="22"/>
              </w:rPr>
            </w:pPr>
            <w:r>
              <w:rPr>
                <w:sz w:val="22"/>
              </w:rPr>
              <w:t>Члены производственных</w:t>
            </w:r>
          </w:p>
          <w:p w:rsidR="00000000" w:rsidRDefault="00000000">
            <w:pPr>
              <w:rPr>
                <w:sz w:val="22"/>
              </w:rPr>
            </w:pPr>
            <w:r>
              <w:rPr>
                <w:sz w:val="22"/>
              </w:rPr>
              <w:t xml:space="preserve">  кооперативов</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0,7</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0,5</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0,5</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0,5</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0,2</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0,5</w:t>
            </w:r>
          </w:p>
        </w:tc>
      </w:tr>
      <w:tr w:rsidR="00000000">
        <w:tblPrEx>
          <w:tblCellMar>
            <w:top w:w="0" w:type="dxa"/>
            <w:bottom w:w="0" w:type="dxa"/>
          </w:tblCellMar>
        </w:tblPrEx>
        <w:tc>
          <w:tcPr>
            <w:tcW w:w="2755" w:type="dxa"/>
            <w:tcBorders>
              <w:left w:val="single" w:sz="4" w:space="0" w:color="auto"/>
              <w:right w:val="single" w:sz="4" w:space="0" w:color="auto"/>
            </w:tcBorders>
          </w:tcPr>
          <w:p w:rsidR="00000000" w:rsidRDefault="00000000">
            <w:pPr>
              <w:rPr>
                <w:sz w:val="22"/>
              </w:rPr>
            </w:pPr>
            <w:r>
              <w:rPr>
                <w:sz w:val="22"/>
              </w:rPr>
              <w:t>Работники, участвующие в</w:t>
            </w:r>
          </w:p>
          <w:p w:rsidR="00000000" w:rsidRDefault="00000000">
            <w:pPr>
              <w:rPr>
                <w:sz w:val="22"/>
              </w:rPr>
            </w:pPr>
            <w:r>
              <w:rPr>
                <w:sz w:val="22"/>
              </w:rPr>
              <w:t xml:space="preserve">  работе семейного </w:t>
            </w:r>
          </w:p>
          <w:p w:rsidR="00000000" w:rsidRDefault="00000000">
            <w:pPr>
              <w:rPr>
                <w:sz w:val="22"/>
              </w:rPr>
            </w:pPr>
            <w:r>
              <w:rPr>
                <w:sz w:val="22"/>
              </w:rPr>
              <w:t xml:space="preserve">  предприятия</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3,5</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2,3</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1,0</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1.0</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2,6</w:t>
            </w:r>
          </w:p>
        </w:tc>
        <w:tc>
          <w:tcPr>
            <w:tcW w:w="1106" w:type="dxa"/>
            <w:tcBorders>
              <w:left w:val="single" w:sz="4" w:space="0" w:color="auto"/>
              <w:right w:val="single" w:sz="4" w:space="0" w:color="auto"/>
            </w:tcBorders>
          </w:tcPr>
          <w:p w:rsidR="00000000" w:rsidRDefault="00000000">
            <w:pPr>
              <w:tabs>
                <w:tab w:val="clear" w:pos="567"/>
              </w:tabs>
              <w:ind w:left="-203" w:right="153"/>
              <w:jc w:val="right"/>
              <w:rPr>
                <w:sz w:val="22"/>
              </w:rPr>
            </w:pPr>
            <w:r>
              <w:rPr>
                <w:sz w:val="22"/>
              </w:rPr>
              <w:t>4,9</w:t>
            </w:r>
          </w:p>
        </w:tc>
      </w:tr>
      <w:tr w:rsidR="00000000">
        <w:tblPrEx>
          <w:tblCellMar>
            <w:top w:w="0" w:type="dxa"/>
            <w:bottom w:w="0" w:type="dxa"/>
          </w:tblCellMar>
        </w:tblPrEx>
        <w:tc>
          <w:tcPr>
            <w:tcW w:w="2755" w:type="dxa"/>
            <w:tcBorders>
              <w:left w:val="single" w:sz="4" w:space="0" w:color="auto"/>
              <w:bottom w:val="single" w:sz="4" w:space="0" w:color="auto"/>
              <w:right w:val="single" w:sz="4" w:space="0" w:color="auto"/>
            </w:tcBorders>
          </w:tcPr>
          <w:p w:rsidR="00000000" w:rsidRDefault="00000000">
            <w:pPr>
              <w:rPr>
                <w:sz w:val="22"/>
              </w:rPr>
            </w:pPr>
            <w:r>
              <w:rPr>
                <w:sz w:val="22"/>
              </w:rPr>
              <w:t>Лица, работающие на</w:t>
            </w:r>
          </w:p>
          <w:p w:rsidR="00000000" w:rsidRDefault="00000000">
            <w:pPr>
              <w:rPr>
                <w:sz w:val="22"/>
              </w:rPr>
            </w:pPr>
            <w:r>
              <w:rPr>
                <w:sz w:val="22"/>
              </w:rPr>
              <w:t xml:space="preserve">  одной (основной) работе</w:t>
            </w:r>
          </w:p>
        </w:tc>
        <w:tc>
          <w:tcPr>
            <w:tcW w:w="1106" w:type="dxa"/>
            <w:tcBorders>
              <w:left w:val="single" w:sz="4" w:space="0" w:color="auto"/>
              <w:bottom w:val="single" w:sz="4" w:space="0" w:color="auto"/>
              <w:right w:val="single" w:sz="4" w:space="0" w:color="auto"/>
            </w:tcBorders>
          </w:tcPr>
          <w:p w:rsidR="00000000" w:rsidRDefault="00000000">
            <w:pPr>
              <w:tabs>
                <w:tab w:val="clear" w:pos="567"/>
              </w:tabs>
              <w:ind w:left="-203" w:right="153"/>
              <w:jc w:val="right"/>
              <w:rPr>
                <w:sz w:val="22"/>
              </w:rPr>
            </w:pPr>
            <w:r>
              <w:rPr>
                <w:sz w:val="22"/>
              </w:rPr>
              <w:t>4 802,6</w:t>
            </w:r>
          </w:p>
        </w:tc>
        <w:tc>
          <w:tcPr>
            <w:tcW w:w="1106" w:type="dxa"/>
            <w:tcBorders>
              <w:left w:val="single" w:sz="4" w:space="0" w:color="auto"/>
              <w:bottom w:val="single" w:sz="4" w:space="0" w:color="auto"/>
              <w:right w:val="single" w:sz="4" w:space="0" w:color="auto"/>
            </w:tcBorders>
          </w:tcPr>
          <w:p w:rsidR="00000000" w:rsidRDefault="00000000">
            <w:pPr>
              <w:tabs>
                <w:tab w:val="clear" w:pos="567"/>
              </w:tabs>
              <w:ind w:left="-203" w:right="153"/>
              <w:jc w:val="right"/>
              <w:rPr>
                <w:sz w:val="22"/>
              </w:rPr>
            </w:pPr>
            <w:r>
              <w:rPr>
                <w:sz w:val="22"/>
                <w:lang w:val="en-US"/>
              </w:rPr>
              <w:t>x</w:t>
            </w:r>
          </w:p>
        </w:tc>
        <w:tc>
          <w:tcPr>
            <w:tcW w:w="1106" w:type="dxa"/>
            <w:tcBorders>
              <w:left w:val="single" w:sz="4" w:space="0" w:color="auto"/>
              <w:bottom w:val="single" w:sz="4" w:space="0" w:color="auto"/>
              <w:right w:val="single" w:sz="4" w:space="0" w:color="auto"/>
            </w:tcBorders>
          </w:tcPr>
          <w:p w:rsidR="00000000" w:rsidRDefault="00000000">
            <w:pPr>
              <w:tabs>
                <w:tab w:val="clear" w:pos="567"/>
              </w:tabs>
              <w:ind w:left="-203" w:right="153"/>
              <w:jc w:val="right"/>
              <w:rPr>
                <w:sz w:val="22"/>
              </w:rPr>
            </w:pPr>
            <w:r>
              <w:rPr>
                <w:sz w:val="22"/>
              </w:rPr>
              <w:t>2 701,9</w:t>
            </w:r>
          </w:p>
        </w:tc>
        <w:tc>
          <w:tcPr>
            <w:tcW w:w="1106" w:type="dxa"/>
            <w:tcBorders>
              <w:left w:val="single" w:sz="4" w:space="0" w:color="auto"/>
              <w:bottom w:val="single" w:sz="4" w:space="0" w:color="auto"/>
              <w:right w:val="single" w:sz="4" w:space="0" w:color="auto"/>
            </w:tcBorders>
          </w:tcPr>
          <w:p w:rsidR="00000000" w:rsidRDefault="00000000">
            <w:pPr>
              <w:tabs>
                <w:tab w:val="clear" w:pos="567"/>
              </w:tabs>
              <w:ind w:left="-203" w:right="153"/>
              <w:jc w:val="right"/>
              <w:rPr>
                <w:sz w:val="22"/>
              </w:rPr>
            </w:pPr>
            <w:r>
              <w:rPr>
                <w:sz w:val="22"/>
                <w:lang w:val="en-US"/>
              </w:rPr>
              <w:t>x</w:t>
            </w:r>
          </w:p>
        </w:tc>
        <w:tc>
          <w:tcPr>
            <w:tcW w:w="1106" w:type="dxa"/>
            <w:tcBorders>
              <w:left w:val="single" w:sz="4" w:space="0" w:color="auto"/>
              <w:bottom w:val="single" w:sz="4" w:space="0" w:color="auto"/>
              <w:right w:val="single" w:sz="4" w:space="0" w:color="auto"/>
            </w:tcBorders>
          </w:tcPr>
          <w:p w:rsidR="00000000" w:rsidRDefault="00000000">
            <w:pPr>
              <w:tabs>
                <w:tab w:val="clear" w:pos="567"/>
              </w:tabs>
              <w:ind w:left="-203" w:right="153"/>
              <w:jc w:val="right"/>
              <w:rPr>
                <w:sz w:val="22"/>
              </w:rPr>
            </w:pPr>
            <w:r>
              <w:rPr>
                <w:sz w:val="22"/>
              </w:rPr>
              <w:t>2 100,7</w:t>
            </w:r>
          </w:p>
        </w:tc>
        <w:tc>
          <w:tcPr>
            <w:tcW w:w="1106" w:type="dxa"/>
            <w:tcBorders>
              <w:left w:val="single" w:sz="4" w:space="0" w:color="auto"/>
              <w:bottom w:val="single" w:sz="4" w:space="0" w:color="auto"/>
              <w:right w:val="single" w:sz="4" w:space="0" w:color="auto"/>
            </w:tcBorders>
          </w:tcPr>
          <w:p w:rsidR="00000000" w:rsidRDefault="00000000">
            <w:pPr>
              <w:tabs>
                <w:tab w:val="clear" w:pos="567"/>
              </w:tabs>
              <w:ind w:left="-203" w:right="153"/>
              <w:jc w:val="right"/>
              <w:rPr>
                <w:sz w:val="22"/>
              </w:rPr>
            </w:pPr>
            <w:r>
              <w:rPr>
                <w:sz w:val="22"/>
                <w:lang w:val="en-US"/>
              </w:rPr>
              <w:t>x</w:t>
            </w:r>
          </w:p>
        </w:tc>
      </w:tr>
    </w:tbl>
    <w:p w:rsidR="00000000" w:rsidRDefault="00000000">
      <w:pPr>
        <w:pStyle w:val="1"/>
      </w:pPr>
    </w:p>
    <w:p w:rsidR="00000000" w:rsidRDefault="00000000">
      <w:pPr>
        <w:rPr>
          <w:lang w:val="en-US"/>
        </w:rPr>
      </w:pPr>
      <w:r>
        <w:tab/>
      </w:r>
      <w:r>
        <w:rPr>
          <w:u w:val="single"/>
        </w:rPr>
        <w:t>Источник</w:t>
      </w:r>
      <w:r>
        <w:rPr>
          <w:lang w:val="en-US"/>
        </w:rPr>
        <w:t>:  Statistical Yearbook of the CR, 1999.</w:t>
      </w:r>
    </w:p>
    <w:p w:rsidR="00000000" w:rsidRDefault="00000000">
      <w:pPr>
        <w:rPr>
          <w:lang w:val="en-US"/>
        </w:rPr>
      </w:pPr>
    </w:p>
    <w:p w:rsidR="00000000" w:rsidRDefault="00000000">
      <w:r>
        <w:rPr>
          <w:b/>
          <w:bCs/>
          <w:vertAlign w:val="superscript"/>
        </w:rPr>
        <w:tab/>
        <w:t>а</w:t>
      </w:r>
      <w:r>
        <w:tab/>
        <w:t>Международная стандартная классификация занятий.</w:t>
      </w:r>
    </w:p>
    <w:p w:rsidR="00000000" w:rsidRDefault="00000000"/>
    <w:p w:rsidR="00000000" w:rsidRDefault="00000000">
      <w:r>
        <w:t>250.</w:t>
      </w:r>
      <w:r>
        <w:tab/>
        <w:t>Международное сотрудничество в рамках осуществления права, предусмотренного в статье 6 Пакта, находит, в частности, свое воплощение в реализации межправительственных договоров о взаимном трудоустройстве граждан.  В течение отчетного периода Чешская Республика выполняла такие договоры, заключенные с Германией (в 1991 году), Польшей (в 1992 году), Словакией (в 1992 году), Вьетнамом (в 1994 году), Украиной (в1996 году), Швейцарией (в 1997 году, касается лишь обмена студентами) и Российской Федерацией (в 1998 году, о временной занятости).</w:t>
      </w:r>
    </w:p>
    <w:p w:rsidR="00000000" w:rsidRDefault="00000000">
      <w:pPr>
        <w:spacing w:line="240" w:lineRule="auto"/>
      </w:pPr>
    </w:p>
    <w:p w:rsidR="00000000" w:rsidRDefault="00000000">
      <w:pPr>
        <w:pStyle w:val="14"/>
        <w:spacing w:line="240" w:lineRule="auto"/>
        <w:rPr>
          <w:bCs/>
          <w:u w:val="none"/>
        </w:rPr>
      </w:pPr>
      <w:r>
        <w:rPr>
          <w:bCs/>
          <w:u w:val="none"/>
        </w:rPr>
        <w:t>Статья 7</w:t>
      </w:r>
    </w:p>
    <w:p w:rsidR="00000000" w:rsidRDefault="00000000">
      <w:pPr>
        <w:pStyle w:val="14"/>
        <w:spacing w:line="240" w:lineRule="auto"/>
        <w:rPr>
          <w:bCs/>
        </w:rPr>
      </w:pPr>
    </w:p>
    <w:p w:rsidR="00000000" w:rsidRDefault="00000000">
      <w:r>
        <w:t>251.</w:t>
      </w:r>
      <w:r>
        <w:tab/>
        <w:t xml:space="preserve">Чешская Республика является государством - участником следующих конвенций Международной организации труда, перечисленных в рекомендациях по подготовке доклада об осуществлении Пакта:  № 14 о еженедельном отдыхе в промышленности (1921 года);  № 100 о равном вознаграждении (1951 года);  № 132 (пересмотренной) об оплачиваемых отпусках (1970 года);  № 155 о безопасности и гигиене труда (1981 года).  В 1998 году Чешская Республика представила Комитету экспертов МОТ по осуществлению конвенций и рекомендаций доклады об осуществлении конвенций № 100, 132 и 155.  Чешская Республика является также государством - участником следующих конвенций, имеющих отношение к статье 7 Пакта:  № 1 о рабочем времени в промышленности (1919 года);  № 13 о свинцовых белилах в малярном деле (1921 года);  № 26 о процедуре установления минимальной заработной платы (1928 года);  № 95 об охране заработной платы (1949 года);  № 99 о процедуре установления минимальной заработной платы в сельском хозяйстве (1951 года);  № 111 о дискриминации в области труда и занятий (1958 года);  № 136 о бензоле (1971 года);  № 139 о профессиональных раковых заболеваниях (1974 года);  № 148 о производственной среде (загрязнение воздуха, шум и вибрация) (1977 года);  № 167 о безопасности и гигиене труда в строительстве (1988 года). </w:t>
      </w:r>
    </w:p>
    <w:p w:rsidR="00000000" w:rsidRDefault="00000000"/>
    <w:p w:rsidR="00000000" w:rsidRDefault="00000000">
      <w:pPr>
        <w:pStyle w:val="Heading1"/>
        <w:rPr>
          <w:bCs/>
          <w:kern w:val="0"/>
        </w:rPr>
      </w:pPr>
      <w:r>
        <w:rPr>
          <w:bCs/>
          <w:kern w:val="0"/>
        </w:rPr>
        <w:t>Оплата труда</w:t>
      </w:r>
    </w:p>
    <w:p w:rsidR="00000000" w:rsidRDefault="00000000">
      <w:pPr>
        <w:rPr>
          <w:b/>
          <w:bCs/>
          <w:u w:val="single"/>
        </w:rPr>
      </w:pPr>
    </w:p>
    <w:p w:rsidR="00000000" w:rsidRDefault="00000000">
      <w:r>
        <w:t>252.</w:t>
      </w:r>
      <w:r>
        <w:tab/>
        <w:t xml:space="preserve">Статья 28 Хартии основных прав и свобод гласит:  </w:t>
      </w:r>
      <w:r>
        <w:rPr>
          <w:iCs/>
        </w:rPr>
        <w:t>"Работники имеют право на справедливую оплату своего труда и удовлетворительные условия труда.  Подробные положения устанавливаются законом"</w:t>
      </w:r>
      <w:r>
        <w:rPr>
          <w:i/>
          <w:iCs/>
        </w:rPr>
        <w:t xml:space="preserve">.  </w:t>
      </w:r>
      <w:r>
        <w:t>Юридические нормы, касающиеся оплаты труда работников по найму, содержатся в следующих нормативных актах (законах и подзаконных актах):</w:t>
      </w:r>
    </w:p>
    <w:p w:rsidR="00000000" w:rsidRDefault="00000000">
      <w:pPr>
        <w:spacing w:line="240" w:lineRule="auto"/>
        <w:ind w:left="567"/>
      </w:pPr>
    </w:p>
    <w:p w:rsidR="00000000" w:rsidRDefault="00000000">
      <w:pPr>
        <w:spacing w:line="240" w:lineRule="auto"/>
        <w:ind w:left="1134" w:hanging="567"/>
      </w:pPr>
      <w:r>
        <w:t>-</w:t>
      </w:r>
      <w:r>
        <w:tab/>
        <w:t>Трудовой кодекс, особенно статьи 119</w:t>
      </w:r>
      <w:r>
        <w:noBreakHyphen/>
        <w:t>121;</w:t>
      </w:r>
    </w:p>
    <w:p w:rsidR="00000000" w:rsidRDefault="00000000">
      <w:pPr>
        <w:spacing w:line="240" w:lineRule="auto"/>
        <w:ind w:left="1134" w:hanging="567"/>
      </w:pPr>
    </w:p>
    <w:p w:rsidR="00000000" w:rsidRDefault="00000000">
      <w:pPr>
        <w:spacing w:line="240" w:lineRule="auto"/>
        <w:ind w:left="1134" w:hanging="567"/>
      </w:pPr>
      <w:r>
        <w:t>-</w:t>
      </w:r>
      <w:r>
        <w:tab/>
        <w:t>Закон о заработной плате, оплате резервных работников и среднем заработке;</w:t>
      </w:r>
    </w:p>
    <w:p w:rsidR="00000000" w:rsidRDefault="00000000">
      <w:pPr>
        <w:spacing w:line="240" w:lineRule="auto"/>
        <w:ind w:left="1134" w:hanging="567"/>
      </w:pPr>
    </w:p>
    <w:p w:rsidR="00000000" w:rsidRDefault="00000000">
      <w:pPr>
        <w:ind w:left="1134" w:hanging="567"/>
      </w:pPr>
      <w:r>
        <w:t>-</w:t>
      </w:r>
      <w:r>
        <w:tab/>
        <w:t>Закон об окладах и оплате труда резервных работников бюджетных и некоторых других органов и организаций;</w:t>
      </w:r>
    </w:p>
    <w:p w:rsidR="00000000" w:rsidRDefault="00000000">
      <w:pPr>
        <w:ind w:left="1134" w:hanging="567"/>
      </w:pPr>
    </w:p>
    <w:p w:rsidR="00000000" w:rsidRDefault="00000000">
      <w:pPr>
        <w:ind w:left="1134" w:hanging="567"/>
      </w:pPr>
      <w:r>
        <w:t>-</w:t>
      </w:r>
      <w:r>
        <w:tab/>
        <w:t>Закон об окладах и некоторых других выплатах и льготах государственных прокуроров</w:t>
      </w:r>
      <w:r>
        <w:rPr>
          <w:rStyle w:val="FootnoteReference"/>
        </w:rPr>
        <w:footnoteReference w:id="154"/>
      </w:r>
      <w:r>
        <w:t>;</w:t>
      </w:r>
    </w:p>
    <w:p w:rsidR="00000000" w:rsidRDefault="00000000">
      <w:pPr>
        <w:spacing w:line="240" w:lineRule="auto"/>
        <w:ind w:left="1134" w:hanging="567"/>
      </w:pPr>
    </w:p>
    <w:p w:rsidR="00000000" w:rsidRDefault="00000000">
      <w:pPr>
        <w:spacing w:line="240" w:lineRule="auto"/>
        <w:ind w:left="1134" w:hanging="567"/>
      </w:pPr>
      <w:r>
        <w:t>-</w:t>
      </w:r>
      <w:r>
        <w:tab/>
        <w:t>Закон о банкротстве и урегулировании</w:t>
      </w:r>
      <w:r>
        <w:rPr>
          <w:rStyle w:val="FootnoteReference"/>
        </w:rPr>
        <w:footnoteReference w:id="155"/>
      </w:r>
      <w:r>
        <w:t>;</w:t>
      </w:r>
    </w:p>
    <w:p w:rsidR="00000000" w:rsidRDefault="00000000">
      <w:pPr>
        <w:spacing w:line="240" w:lineRule="auto"/>
        <w:ind w:left="1134" w:hanging="567"/>
      </w:pPr>
    </w:p>
    <w:p w:rsidR="00000000" w:rsidRDefault="00000000">
      <w:pPr>
        <w:spacing w:line="240" w:lineRule="auto"/>
        <w:ind w:left="1134" w:hanging="567"/>
      </w:pPr>
      <w:r>
        <w:t>-</w:t>
      </w:r>
      <w:r>
        <w:tab/>
        <w:t>Закон о коллективных переговорах</w:t>
      </w:r>
      <w:r>
        <w:rPr>
          <w:rStyle w:val="FootnoteReference"/>
        </w:rPr>
        <w:footnoteReference w:id="156"/>
      </w:r>
      <w:r>
        <w:t>;</w:t>
      </w:r>
    </w:p>
    <w:p w:rsidR="00000000" w:rsidRDefault="00000000">
      <w:pPr>
        <w:spacing w:line="240" w:lineRule="auto"/>
        <w:ind w:left="1134" w:hanging="567"/>
      </w:pPr>
    </w:p>
    <w:p w:rsidR="00000000" w:rsidRDefault="00000000">
      <w:pPr>
        <w:spacing w:line="240" w:lineRule="auto"/>
        <w:ind w:left="1134" w:hanging="567"/>
      </w:pPr>
      <w:r>
        <w:t>-</w:t>
      </w:r>
      <w:r>
        <w:tab/>
        <w:t>постановление правительства об окладах работников государственных административных органов, некоторых других органов и муниципалитетов</w:t>
      </w:r>
      <w:r>
        <w:rPr>
          <w:rStyle w:val="FootnoteReference"/>
        </w:rPr>
        <w:footnoteReference w:id="157"/>
      </w:r>
      <w:r>
        <w:t>;</w:t>
      </w:r>
    </w:p>
    <w:p w:rsidR="00000000" w:rsidRDefault="00000000">
      <w:pPr>
        <w:spacing w:line="240" w:lineRule="auto"/>
        <w:ind w:left="1134" w:hanging="567"/>
      </w:pPr>
    </w:p>
    <w:p w:rsidR="00000000" w:rsidRDefault="00000000">
      <w:pPr>
        <w:spacing w:line="240" w:lineRule="auto"/>
        <w:ind w:left="1134" w:hanging="567"/>
      </w:pPr>
      <w:r>
        <w:t>-</w:t>
      </w:r>
      <w:r>
        <w:tab/>
        <w:t>постановление правительства о личном доходе священнослужителей церквей и религиозных объединений</w:t>
      </w:r>
      <w:r>
        <w:rPr>
          <w:rStyle w:val="FootnoteReference"/>
        </w:rPr>
        <w:footnoteReference w:id="158"/>
      </w:r>
      <w:r>
        <w:t>;</w:t>
      </w:r>
    </w:p>
    <w:p w:rsidR="00000000" w:rsidRDefault="00000000">
      <w:pPr>
        <w:spacing w:line="240" w:lineRule="auto"/>
        <w:ind w:left="1134" w:hanging="567"/>
      </w:pPr>
    </w:p>
    <w:p w:rsidR="00000000" w:rsidRDefault="00000000">
      <w:pPr>
        <w:spacing w:line="240" w:lineRule="auto"/>
        <w:ind w:left="1134" w:hanging="567"/>
      </w:pPr>
      <w:r>
        <w:t>-</w:t>
      </w:r>
      <w:r>
        <w:tab/>
        <w:t>постановление правительства об установлении размера фонда оплаты труда резервных работников бюджетных и некоторых других организаций и органов</w:t>
      </w:r>
      <w:r>
        <w:rPr>
          <w:rStyle w:val="FootnoteReference"/>
        </w:rPr>
        <w:footnoteReference w:id="159"/>
      </w:r>
      <w:r>
        <w:t>;</w:t>
      </w:r>
    </w:p>
    <w:p w:rsidR="00000000" w:rsidRDefault="00000000">
      <w:pPr>
        <w:ind w:left="1134" w:hanging="567"/>
      </w:pPr>
    </w:p>
    <w:p w:rsidR="00000000" w:rsidRDefault="00000000">
      <w:pPr>
        <w:ind w:left="1134" w:hanging="567"/>
      </w:pPr>
      <w:r>
        <w:t>-</w:t>
      </w:r>
      <w:r>
        <w:tab/>
        <w:t>постановление правительства о минимальном размере оплаты труда</w:t>
      </w:r>
      <w:r>
        <w:rPr>
          <w:rStyle w:val="FootnoteReference"/>
        </w:rPr>
        <w:footnoteReference w:id="160"/>
      </w:r>
      <w:r>
        <w:t>;</w:t>
      </w:r>
    </w:p>
    <w:p w:rsidR="00000000" w:rsidRDefault="00000000">
      <w:pPr>
        <w:ind w:left="1134" w:hanging="567"/>
      </w:pPr>
    </w:p>
    <w:p w:rsidR="00000000" w:rsidRDefault="00000000">
      <w:pPr>
        <w:ind w:left="1134" w:hanging="567"/>
      </w:pPr>
      <w:r>
        <w:t>-</w:t>
      </w:r>
      <w:r>
        <w:tab/>
        <w:t>постановление правительства о введении в действие Трудового кодекса</w:t>
      </w:r>
      <w:r>
        <w:rPr>
          <w:rStyle w:val="FootnoteReference"/>
        </w:rPr>
        <w:footnoteReference w:id="161"/>
      </w:r>
      <w:r>
        <w:t>;</w:t>
      </w:r>
    </w:p>
    <w:p w:rsidR="00000000" w:rsidRDefault="00000000">
      <w:pPr>
        <w:ind w:left="1134" w:hanging="567"/>
      </w:pPr>
    </w:p>
    <w:p w:rsidR="00000000" w:rsidRDefault="00000000">
      <w:pPr>
        <w:ind w:left="1134" w:hanging="567"/>
      </w:pPr>
      <w:r>
        <w:br w:type="page"/>
        <w:t>-</w:t>
      </w:r>
      <w:r>
        <w:tab/>
        <w:t>постановление правительства об установлении минимального размера оплаты труда и надбавок к заработной плате за работу в тяжелых или вредных условиях и в ночное время</w:t>
      </w:r>
      <w:r>
        <w:rPr>
          <w:rStyle w:val="FootnoteReference"/>
        </w:rPr>
        <w:footnoteReference w:id="162"/>
      </w:r>
      <w:r>
        <w:t>;</w:t>
      </w:r>
    </w:p>
    <w:p w:rsidR="00000000" w:rsidRDefault="00000000">
      <w:pPr>
        <w:ind w:left="1134" w:hanging="567"/>
      </w:pPr>
    </w:p>
    <w:p w:rsidR="00000000" w:rsidRDefault="00000000">
      <w:pPr>
        <w:ind w:left="1134" w:hanging="567"/>
      </w:pPr>
      <w:r>
        <w:t>-</w:t>
      </w:r>
      <w:r>
        <w:tab/>
        <w:t>постановление правительства о порядке выплаты и размере специальной надбавки за работу в тяжелых и вредных условиях</w:t>
      </w:r>
      <w:r>
        <w:rPr>
          <w:rStyle w:val="FootnoteReference"/>
        </w:rPr>
        <w:footnoteReference w:id="163"/>
      </w:r>
      <w:r>
        <w:t>;</w:t>
      </w:r>
    </w:p>
    <w:p w:rsidR="00000000" w:rsidRDefault="00000000">
      <w:pPr>
        <w:ind w:left="1134" w:hanging="567"/>
      </w:pPr>
    </w:p>
    <w:p w:rsidR="00000000" w:rsidRDefault="00000000">
      <w:pPr>
        <w:ind w:left="1134" w:hanging="567"/>
      </w:pPr>
      <w:r>
        <w:t>-</w:t>
      </w:r>
      <w:r>
        <w:tab/>
        <w:t>постановление правительства о порядке расчета основной части, которая не может быть удержана из ежемесячного заработка по исполнительному листу и об установлении части заработной платы, удержания из которой могут производиться без ограничений</w:t>
      </w:r>
      <w:r>
        <w:rPr>
          <w:rStyle w:val="FootnoteReference"/>
        </w:rPr>
        <w:footnoteReference w:id="164"/>
      </w:r>
      <w:r>
        <w:t>;</w:t>
      </w:r>
    </w:p>
    <w:p w:rsidR="00000000" w:rsidRDefault="00000000">
      <w:pPr>
        <w:ind w:left="1134" w:hanging="567"/>
      </w:pPr>
    </w:p>
    <w:p w:rsidR="00000000" w:rsidRDefault="00000000">
      <w:pPr>
        <w:ind w:left="1134" w:hanging="567"/>
      </w:pPr>
      <w:r>
        <w:t>-</w:t>
      </w:r>
      <w:r>
        <w:tab/>
        <w:t>постановление правительства об окладах работников бюджетных и некоторых других организаций</w:t>
      </w:r>
      <w:r>
        <w:rPr>
          <w:rStyle w:val="FootnoteReference"/>
        </w:rPr>
        <w:footnoteReference w:id="165"/>
      </w:r>
      <w:r>
        <w:t>;</w:t>
      </w:r>
    </w:p>
    <w:p w:rsidR="00000000" w:rsidRDefault="00000000">
      <w:pPr>
        <w:ind w:left="1134" w:hanging="567"/>
      </w:pPr>
    </w:p>
    <w:p w:rsidR="00000000" w:rsidRDefault="00000000">
      <w:pPr>
        <w:ind w:left="1134" w:hanging="567"/>
      </w:pPr>
      <w:r>
        <w:t>-</w:t>
      </w:r>
      <w:r>
        <w:tab/>
        <w:t>постановление правительства об окладах военнослужащих вооруженных сил, работников сил и служб безопасности, таможенных органов, работников пожарной охраны и работников некоторых других организаций</w:t>
      </w:r>
      <w:r>
        <w:rPr>
          <w:rStyle w:val="FootnoteReference"/>
        </w:rPr>
        <w:footnoteReference w:id="166"/>
      </w:r>
      <w:r>
        <w:t>.</w:t>
      </w:r>
    </w:p>
    <w:p w:rsidR="00000000" w:rsidRDefault="00000000">
      <w:pPr>
        <w:ind w:left="1134" w:hanging="567"/>
      </w:pPr>
    </w:p>
    <w:p w:rsidR="00000000" w:rsidRDefault="00000000">
      <w:r>
        <w:t>253.</w:t>
      </w:r>
      <w:r>
        <w:tab/>
        <w:t>Все имеющие общеобязательную силу нормативные акты публикуются в "Сборнике законодательства", и каждый работник в любое время может ознакомиться с нормативными актами, в соответствии с которыми устанавливается размер его заработной платы, которые должны быть представлены его работодателем.</w:t>
      </w:r>
    </w:p>
    <w:p w:rsidR="00000000" w:rsidRDefault="00000000"/>
    <w:p w:rsidR="00000000" w:rsidRDefault="00000000">
      <w:r>
        <w:t>254.</w:t>
      </w:r>
      <w:r>
        <w:tab/>
        <w:t>Трудовой кодекс, закон о заработной плате и закон об окладах устанавливают право работника на заработную плату (оклад) за свою работу.  Заработная плата (оклад) означает денежное и неденежное (предоставляемое в натуральной форме) вознаграждение, предоставляемое работнику за его труд.  Не считается заработной платой (окладом) вознаграждение, предоставляемое работникам в соответствии с особыми нормативными актами, а именно:  пособие взамен заработной платы, выходное пособие, проездные, доход от участия в капитале (доход на акции), доход от облигаций и надбавка за готовность приступить к работе незамедлительно по уведомлению (надбавка для резервных работников).</w:t>
      </w:r>
    </w:p>
    <w:p w:rsidR="00000000" w:rsidRDefault="00000000"/>
    <w:p w:rsidR="00000000" w:rsidRDefault="00000000">
      <w:r>
        <w:t>255.</w:t>
      </w:r>
      <w:r>
        <w:tab/>
        <w:t>В бюджетных и субсидируемых из бюджета организациях закон и подзаконные акты устанавливают обязательный порядок выплаты окладов.  Основа обеспечения равной оплаты мужчин и женщин в этих организациях - система тарифных окладов (в настоящее время имеющая 12 разрядов;  готовится расширенная 16-разрядная система, которая будет введена в действие с 1 января 2002 года) и справочники расценок, которые являются обязательными документами об установлении тарифных разрядов работников.  В частном секторе заработная плата устанавливается главным образом на основе трудового договора или коллективного соглашения, заключаемого по итогам коллективных переговоров на уровне предприятия или целой отрасли.  Коллективные соглашения заключаются на уровне предприятия или на более высоком уровне.  Коллективные переговоры охватывают примерно 40% работников частного сектора.  Порядок коллективных переговоров установлен в законе о коллективных переговорах.</w:t>
      </w:r>
    </w:p>
    <w:p w:rsidR="00000000" w:rsidRDefault="00000000"/>
    <w:p w:rsidR="00000000" w:rsidRDefault="00000000">
      <w:pPr>
        <w:pStyle w:val="10"/>
        <w:spacing w:line="240" w:lineRule="auto"/>
        <w:rPr>
          <w:bCs/>
        </w:rPr>
      </w:pPr>
      <w:r>
        <w:rPr>
          <w:bCs/>
        </w:rPr>
        <w:br w:type="page"/>
        <w:t xml:space="preserve">Среднемесячная валовая заработная плата в гражданских отраслях </w:t>
      </w:r>
    </w:p>
    <w:p w:rsidR="00000000" w:rsidRDefault="00000000">
      <w:pPr>
        <w:pStyle w:val="10"/>
        <w:tabs>
          <w:tab w:val="left" w:pos="567"/>
          <w:tab w:val="left" w:pos="1134"/>
          <w:tab w:val="left" w:pos="1701"/>
          <w:tab w:val="left" w:pos="2268"/>
          <w:tab w:val="left" w:pos="6237"/>
        </w:tabs>
        <w:spacing w:line="240" w:lineRule="auto"/>
        <w:rPr>
          <w:bCs/>
        </w:rPr>
      </w:pPr>
      <w:r>
        <w:rPr>
          <w:bCs/>
        </w:rPr>
        <w:t>народного хозяйства (в чешских кронах)</w:t>
      </w:r>
    </w:p>
    <w:p w:rsidR="00000000" w:rsidRDefault="00000000">
      <w:pPr>
        <w:jc w:val="center"/>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3"/>
        <w:gridCol w:w="265"/>
        <w:gridCol w:w="3918"/>
        <w:gridCol w:w="960"/>
        <w:gridCol w:w="962"/>
        <w:gridCol w:w="962"/>
        <w:gridCol w:w="962"/>
        <w:gridCol w:w="958"/>
      </w:tblGrid>
      <w:tr w:rsidR="00000000">
        <w:tblPrEx>
          <w:tblCellMar>
            <w:top w:w="0" w:type="dxa"/>
            <w:bottom w:w="0" w:type="dxa"/>
          </w:tblCellMar>
        </w:tblPrEx>
        <w:trPr>
          <w:jc w:val="center"/>
        </w:trPr>
        <w:tc>
          <w:tcPr>
            <w:tcW w:w="366" w:type="pct"/>
            <w:gridSpan w:val="2"/>
            <w:tcBorders>
              <w:left w:val="single" w:sz="4" w:space="0" w:color="auto"/>
              <w:bottom w:val="single" w:sz="4" w:space="0" w:color="auto"/>
              <w:right w:val="single" w:sz="4" w:space="0" w:color="auto"/>
            </w:tcBorders>
          </w:tcPr>
          <w:p w:rsidR="00000000" w:rsidRDefault="00000000">
            <w:pPr>
              <w:jc w:val="center"/>
              <w:rPr>
                <w:sz w:val="20"/>
              </w:rPr>
            </w:pPr>
          </w:p>
        </w:tc>
        <w:tc>
          <w:tcPr>
            <w:tcW w:w="2082" w:type="pct"/>
            <w:tcBorders>
              <w:left w:val="single" w:sz="4" w:space="0" w:color="auto"/>
              <w:bottom w:val="single" w:sz="4" w:space="0" w:color="auto"/>
              <w:right w:val="single" w:sz="4" w:space="0" w:color="auto"/>
            </w:tcBorders>
          </w:tcPr>
          <w:p w:rsidR="00000000" w:rsidRDefault="00000000">
            <w:pPr>
              <w:jc w:val="center"/>
              <w:rPr>
                <w:sz w:val="20"/>
              </w:rPr>
            </w:pPr>
          </w:p>
        </w:tc>
        <w:tc>
          <w:tcPr>
            <w:tcW w:w="510" w:type="pct"/>
            <w:tcBorders>
              <w:left w:val="single" w:sz="4" w:space="0" w:color="auto"/>
              <w:bottom w:val="single" w:sz="4" w:space="0" w:color="auto"/>
              <w:right w:val="single" w:sz="4" w:space="0" w:color="auto"/>
            </w:tcBorders>
          </w:tcPr>
          <w:p w:rsidR="00000000" w:rsidRDefault="00000000">
            <w:pPr>
              <w:jc w:val="center"/>
              <w:rPr>
                <w:sz w:val="20"/>
              </w:rPr>
            </w:pPr>
            <w:r>
              <w:rPr>
                <w:sz w:val="20"/>
              </w:rPr>
              <w:t>1990</w:t>
            </w:r>
          </w:p>
        </w:tc>
        <w:tc>
          <w:tcPr>
            <w:tcW w:w="511" w:type="pct"/>
            <w:tcBorders>
              <w:left w:val="single" w:sz="4" w:space="0" w:color="auto"/>
              <w:bottom w:val="single" w:sz="4" w:space="0" w:color="auto"/>
              <w:right w:val="single" w:sz="4" w:space="0" w:color="auto"/>
            </w:tcBorders>
          </w:tcPr>
          <w:p w:rsidR="00000000" w:rsidRDefault="00000000">
            <w:pPr>
              <w:jc w:val="center"/>
              <w:rPr>
                <w:sz w:val="20"/>
              </w:rPr>
            </w:pPr>
            <w:r>
              <w:rPr>
                <w:sz w:val="20"/>
              </w:rPr>
              <w:t>1995</w:t>
            </w:r>
          </w:p>
        </w:tc>
        <w:tc>
          <w:tcPr>
            <w:tcW w:w="511" w:type="pct"/>
            <w:tcBorders>
              <w:left w:val="single" w:sz="4" w:space="0" w:color="auto"/>
              <w:bottom w:val="single" w:sz="4" w:space="0" w:color="auto"/>
              <w:right w:val="single" w:sz="4" w:space="0" w:color="auto"/>
            </w:tcBorders>
          </w:tcPr>
          <w:p w:rsidR="00000000" w:rsidRDefault="00000000">
            <w:pPr>
              <w:jc w:val="center"/>
              <w:rPr>
                <w:sz w:val="20"/>
              </w:rPr>
            </w:pPr>
            <w:r>
              <w:rPr>
                <w:sz w:val="20"/>
              </w:rPr>
              <w:t>1996</w:t>
            </w:r>
          </w:p>
        </w:tc>
        <w:tc>
          <w:tcPr>
            <w:tcW w:w="511" w:type="pct"/>
            <w:tcBorders>
              <w:left w:val="single" w:sz="4" w:space="0" w:color="auto"/>
              <w:bottom w:val="single" w:sz="4" w:space="0" w:color="auto"/>
              <w:right w:val="single" w:sz="4" w:space="0" w:color="auto"/>
            </w:tcBorders>
          </w:tcPr>
          <w:p w:rsidR="00000000" w:rsidRDefault="00000000">
            <w:pPr>
              <w:tabs>
                <w:tab w:val="clear" w:pos="567"/>
              </w:tabs>
              <w:jc w:val="center"/>
              <w:rPr>
                <w:sz w:val="20"/>
              </w:rPr>
            </w:pPr>
            <w:r>
              <w:rPr>
                <w:sz w:val="20"/>
              </w:rPr>
              <w:t>1997</w:t>
            </w:r>
          </w:p>
        </w:tc>
        <w:tc>
          <w:tcPr>
            <w:tcW w:w="509" w:type="pct"/>
            <w:tcBorders>
              <w:left w:val="single" w:sz="4" w:space="0" w:color="auto"/>
              <w:bottom w:val="single" w:sz="4" w:space="0" w:color="auto"/>
              <w:right w:val="single" w:sz="4" w:space="0" w:color="auto"/>
            </w:tcBorders>
          </w:tcPr>
          <w:p w:rsidR="00000000" w:rsidRDefault="00000000">
            <w:pPr>
              <w:tabs>
                <w:tab w:val="clear" w:pos="567"/>
              </w:tabs>
              <w:jc w:val="center"/>
              <w:rPr>
                <w:sz w:val="20"/>
              </w:rPr>
            </w:pPr>
            <w:r>
              <w:rPr>
                <w:sz w:val="20"/>
              </w:rPr>
              <w:t>1998</w:t>
            </w:r>
          </w:p>
        </w:tc>
      </w:tr>
      <w:tr w:rsidR="00000000">
        <w:tblPrEx>
          <w:tblCellMar>
            <w:top w:w="0" w:type="dxa"/>
            <w:bottom w:w="0" w:type="dxa"/>
          </w:tblCellMar>
        </w:tblPrEx>
        <w:trPr>
          <w:cantSplit/>
          <w:jc w:val="center"/>
        </w:trPr>
        <w:tc>
          <w:tcPr>
            <w:tcW w:w="2448" w:type="pct"/>
            <w:gridSpan w:val="3"/>
            <w:tcBorders>
              <w:left w:val="single" w:sz="4" w:space="0" w:color="auto"/>
              <w:bottom w:val="nil"/>
              <w:right w:val="single" w:sz="4" w:space="0" w:color="auto"/>
            </w:tcBorders>
          </w:tcPr>
          <w:p w:rsidR="00000000" w:rsidRDefault="00000000">
            <w:pPr>
              <w:pStyle w:val="Heading1"/>
              <w:rPr>
                <w:b w:val="0"/>
                <w:sz w:val="20"/>
                <w:u w:val="single"/>
              </w:rPr>
            </w:pPr>
            <w:r>
              <w:rPr>
                <w:b w:val="0"/>
                <w:sz w:val="20"/>
                <w:u w:val="single"/>
              </w:rPr>
              <w:t>Всего</w:t>
            </w:r>
          </w:p>
        </w:tc>
        <w:tc>
          <w:tcPr>
            <w:tcW w:w="510" w:type="pct"/>
            <w:tcBorders>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3 286</w:t>
            </w:r>
          </w:p>
        </w:tc>
        <w:tc>
          <w:tcPr>
            <w:tcW w:w="511" w:type="pct"/>
            <w:tcBorders>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8 172</w:t>
            </w:r>
          </w:p>
        </w:tc>
        <w:tc>
          <w:tcPr>
            <w:tcW w:w="511" w:type="pct"/>
            <w:tcBorders>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9 676</w:t>
            </w:r>
          </w:p>
        </w:tc>
        <w:tc>
          <w:tcPr>
            <w:tcW w:w="511" w:type="pct"/>
            <w:tcBorders>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10 691</w:t>
            </w:r>
          </w:p>
        </w:tc>
        <w:tc>
          <w:tcPr>
            <w:tcW w:w="509" w:type="pct"/>
            <w:tcBorders>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11 693</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rPr>
              <w:t>А.</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Сельское хозяйство, охота и лесное хозяйство</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3 603</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6 878</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7 808</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8 506</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9 222</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rPr>
              <w:t>В.</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Рыбное хозяйство, рыбоводство, обслуживание</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4 360</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10 610</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11 616</w:t>
            </w:r>
          </w:p>
        </w:tc>
      </w:tr>
      <w:tr w:rsidR="00000000">
        <w:tblPrEx>
          <w:tblCellMar>
            <w:top w:w="0" w:type="dxa"/>
            <w:bottom w:w="0" w:type="dxa"/>
          </w:tblCellMar>
        </w:tblPrEx>
        <w:trPr>
          <w:cantSplit/>
          <w:jc w:val="center"/>
        </w:trPr>
        <w:tc>
          <w:tcPr>
            <w:tcW w:w="2448" w:type="pct"/>
            <w:gridSpan w:val="3"/>
            <w:tcBorders>
              <w:top w:val="nil"/>
              <w:left w:val="single" w:sz="4" w:space="0" w:color="auto"/>
              <w:bottom w:val="nil"/>
              <w:right w:val="single" w:sz="4" w:space="0" w:color="auto"/>
            </w:tcBorders>
          </w:tcPr>
          <w:p w:rsidR="00000000" w:rsidRDefault="00000000">
            <w:pPr>
              <w:rPr>
                <w:sz w:val="20"/>
                <w:u w:val="single"/>
              </w:rPr>
            </w:pPr>
            <w:r>
              <w:rPr>
                <w:sz w:val="20"/>
                <w:u w:val="single"/>
              </w:rPr>
              <w:t>Промышленность, всего (С-Е)</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3 410</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8 148</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9 587</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10 726</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11 859</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rPr>
              <w:t>С.</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Горнодобывающая промышленность</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4 476</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10 039</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11 610</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13 043</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14 653</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lang w:val="en-US"/>
              </w:rPr>
              <w:t>D</w:t>
            </w:r>
            <w:r>
              <w:rPr>
                <w:sz w:val="20"/>
              </w:rPr>
              <w:t>.</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Обрабатывающая промышленность</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3 271</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7 854</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9 259</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10 411</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11 500</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lang w:val="en-US"/>
              </w:rPr>
              <w:t>E</w:t>
            </w:r>
            <w:r>
              <w:rPr>
                <w:sz w:val="20"/>
              </w:rPr>
              <w:t>.</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Энерго-, газо- и водоснабжение</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3 851</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9 730</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11 516</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12 991</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14 510</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lang w:val="en-US"/>
              </w:rPr>
              <w:t>F</w:t>
            </w:r>
            <w:r>
              <w:rPr>
                <w:sz w:val="20"/>
              </w:rPr>
              <w:t>.</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Строительство</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3 612</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8 837</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10 166</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11 234</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12 076</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lang w:val="en-US"/>
              </w:rPr>
              <w:t>G</w:t>
            </w:r>
            <w:r>
              <w:rPr>
                <w:sz w:val="20"/>
              </w:rPr>
              <w:t>.</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Оптовая и розничная торговля;  ремонт автотранспортных средств, мотоциклов, бытовых товаров</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2 818</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7 201</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8 499</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10 488</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11 917</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rPr>
              <w:t>Н.</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Общественное питание и гостиничное хозяйство</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2 671</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7 352</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8 487</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8 297</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8 940</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lang w:val="en-US"/>
              </w:rPr>
              <w:t>I</w:t>
            </w:r>
            <w:r>
              <w:rPr>
                <w:sz w:val="20"/>
              </w:rPr>
              <w:t>.</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Транспорт, складские услуги, почтовая связь и телекоммуникации</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3 428</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8 241</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9 853</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11 306</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12 638</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lang w:val="en-US"/>
              </w:rPr>
              <w:t>J</w:t>
            </w:r>
            <w:r>
              <w:rPr>
                <w:sz w:val="20"/>
              </w:rPr>
              <w:t>.</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Финансовое посредничество</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3 351</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14 017</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16 407</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18 665</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21 168</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lang w:val="en-US"/>
              </w:rPr>
              <w:t>K</w:t>
            </w:r>
            <w:r>
              <w:rPr>
                <w:sz w:val="20"/>
              </w:rPr>
              <w:t>.</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Недвижимость, аренда, коммерческая деятельность, исследования и разработки</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3 179</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8 896</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10 494</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11 728</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13 082</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lang w:val="en-US"/>
              </w:rPr>
              <w:t>L</w:t>
            </w:r>
            <w:r>
              <w:rPr>
                <w:sz w:val="20"/>
              </w:rPr>
              <w:t>.</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Государственное управление, оборона, обязательное социальное страхование</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3 299</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9 608</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11 460</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11 788</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12 061</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lang w:val="en-US"/>
              </w:rPr>
              <w:t>M</w:t>
            </w:r>
            <w:r>
              <w:rPr>
                <w:sz w:val="20"/>
              </w:rPr>
              <w:t>.</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Образование</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2 894</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7 426</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8 994</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9 422</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9 851</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lang w:val="en-US"/>
              </w:rPr>
              <w:t>N</w:t>
            </w:r>
            <w:r>
              <w:rPr>
                <w:sz w:val="20"/>
              </w:rPr>
              <w:t>.</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Здравоохранение;  ветеринарное дело;  социальные мероприятия</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3 043</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7 529</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9 068</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9 622</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9 946</w:t>
            </w:r>
          </w:p>
        </w:tc>
      </w:tr>
      <w:tr w:rsidR="00000000">
        <w:tblPrEx>
          <w:tblCellMar>
            <w:top w:w="0" w:type="dxa"/>
            <w:bottom w:w="0" w:type="dxa"/>
          </w:tblCellMar>
        </w:tblPrEx>
        <w:trPr>
          <w:jc w:val="center"/>
        </w:trPr>
        <w:tc>
          <w:tcPr>
            <w:tcW w:w="225" w:type="pct"/>
            <w:tcBorders>
              <w:top w:val="nil"/>
              <w:left w:val="single" w:sz="4" w:space="0" w:color="auto"/>
              <w:bottom w:val="nil"/>
              <w:right w:val="single" w:sz="4" w:space="0" w:color="auto"/>
            </w:tcBorders>
          </w:tcPr>
          <w:p w:rsidR="00000000" w:rsidRDefault="00000000">
            <w:pPr>
              <w:rPr>
                <w:sz w:val="20"/>
              </w:rPr>
            </w:pPr>
            <w:r>
              <w:rPr>
                <w:sz w:val="20"/>
                <w:lang w:val="en-US"/>
              </w:rPr>
              <w:t>O</w:t>
            </w:r>
            <w:r>
              <w:rPr>
                <w:sz w:val="20"/>
              </w:rPr>
              <w:t>.</w:t>
            </w:r>
          </w:p>
        </w:tc>
        <w:tc>
          <w:tcPr>
            <w:tcW w:w="2223" w:type="pct"/>
            <w:gridSpan w:val="2"/>
            <w:tcBorders>
              <w:top w:val="nil"/>
              <w:left w:val="single" w:sz="4" w:space="0" w:color="auto"/>
              <w:bottom w:val="nil"/>
              <w:right w:val="single" w:sz="4" w:space="0" w:color="auto"/>
            </w:tcBorders>
          </w:tcPr>
          <w:p w:rsidR="00000000" w:rsidRDefault="00000000">
            <w:pPr>
              <w:rPr>
                <w:sz w:val="20"/>
              </w:rPr>
            </w:pPr>
            <w:r>
              <w:rPr>
                <w:sz w:val="20"/>
              </w:rPr>
              <w:t xml:space="preserve">Другие государственные социальные и личные услуги </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2 543</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6 720</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8 097</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9 275</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9 998</w:t>
            </w:r>
          </w:p>
        </w:tc>
      </w:tr>
      <w:tr w:rsidR="00000000">
        <w:tblPrEx>
          <w:tblCellMar>
            <w:top w:w="0" w:type="dxa"/>
            <w:bottom w:w="0" w:type="dxa"/>
          </w:tblCellMar>
        </w:tblPrEx>
        <w:trPr>
          <w:cantSplit/>
          <w:jc w:val="center"/>
        </w:trPr>
        <w:tc>
          <w:tcPr>
            <w:tcW w:w="2448" w:type="pct"/>
            <w:gridSpan w:val="3"/>
            <w:tcBorders>
              <w:top w:val="nil"/>
              <w:left w:val="single" w:sz="4" w:space="0" w:color="auto"/>
              <w:bottom w:val="nil"/>
              <w:right w:val="single" w:sz="4" w:space="0" w:color="auto"/>
            </w:tcBorders>
          </w:tcPr>
          <w:p w:rsidR="00000000" w:rsidRDefault="00000000">
            <w:pPr>
              <w:pStyle w:val="Heading1"/>
              <w:rPr>
                <w:b w:val="0"/>
                <w:sz w:val="20"/>
              </w:rPr>
            </w:pPr>
            <w:r>
              <w:rPr>
                <w:b w:val="0"/>
                <w:sz w:val="20"/>
              </w:rPr>
              <w:t>Итого, государственный сектор</w:t>
            </w:r>
          </w:p>
        </w:tc>
        <w:tc>
          <w:tcPr>
            <w:tcW w:w="510"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8 216</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9 836</w:t>
            </w:r>
          </w:p>
        </w:tc>
        <w:tc>
          <w:tcPr>
            <w:tcW w:w="511"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10 656</w:t>
            </w:r>
          </w:p>
        </w:tc>
        <w:tc>
          <w:tcPr>
            <w:tcW w:w="509" w:type="pct"/>
            <w:tcBorders>
              <w:top w:val="nil"/>
              <w:left w:val="single" w:sz="4" w:space="0" w:color="auto"/>
              <w:bottom w:val="nil"/>
              <w:right w:val="single" w:sz="4" w:space="0" w:color="auto"/>
            </w:tcBorders>
          </w:tcPr>
          <w:p w:rsidR="00000000" w:rsidRDefault="00000000">
            <w:pPr>
              <w:tabs>
                <w:tab w:val="clear" w:pos="567"/>
              </w:tabs>
              <w:ind w:left="-211" w:right="123"/>
              <w:jc w:val="right"/>
              <w:rPr>
                <w:sz w:val="20"/>
              </w:rPr>
            </w:pPr>
            <w:r>
              <w:rPr>
                <w:sz w:val="20"/>
              </w:rPr>
              <w:t>11 353</w:t>
            </w:r>
          </w:p>
        </w:tc>
      </w:tr>
      <w:tr w:rsidR="00000000">
        <w:tblPrEx>
          <w:tblCellMar>
            <w:top w:w="0" w:type="dxa"/>
            <w:bottom w:w="0" w:type="dxa"/>
          </w:tblCellMar>
        </w:tblPrEx>
        <w:trPr>
          <w:cantSplit/>
          <w:jc w:val="center"/>
        </w:trPr>
        <w:tc>
          <w:tcPr>
            <w:tcW w:w="2448" w:type="pct"/>
            <w:gridSpan w:val="3"/>
            <w:tcBorders>
              <w:top w:val="nil"/>
              <w:left w:val="single" w:sz="4" w:space="0" w:color="auto"/>
              <w:right w:val="single" w:sz="4" w:space="0" w:color="auto"/>
            </w:tcBorders>
          </w:tcPr>
          <w:p w:rsidR="00000000" w:rsidRDefault="00000000">
            <w:pPr>
              <w:pStyle w:val="Heading1"/>
              <w:rPr>
                <w:b w:val="0"/>
                <w:sz w:val="20"/>
              </w:rPr>
            </w:pPr>
            <w:r>
              <w:rPr>
                <w:b w:val="0"/>
                <w:sz w:val="20"/>
              </w:rPr>
              <w:t>Итого, частный сектор</w:t>
            </w:r>
          </w:p>
        </w:tc>
        <w:tc>
          <w:tcPr>
            <w:tcW w:w="510" w:type="pct"/>
            <w:tcBorders>
              <w:top w:val="nil"/>
              <w:left w:val="single" w:sz="4" w:space="0" w:color="auto"/>
              <w:right w:val="single" w:sz="4" w:space="0" w:color="auto"/>
            </w:tcBorders>
          </w:tcPr>
          <w:p w:rsidR="00000000" w:rsidRDefault="00000000">
            <w:pPr>
              <w:tabs>
                <w:tab w:val="clear" w:pos="567"/>
              </w:tabs>
              <w:ind w:left="-211" w:right="123"/>
              <w:jc w:val="right"/>
              <w:rPr>
                <w:sz w:val="20"/>
              </w:rPr>
            </w:pPr>
            <w:r>
              <w:rPr>
                <w:sz w:val="20"/>
              </w:rPr>
              <w:t>-</w:t>
            </w:r>
          </w:p>
        </w:tc>
        <w:tc>
          <w:tcPr>
            <w:tcW w:w="511" w:type="pct"/>
            <w:tcBorders>
              <w:top w:val="nil"/>
              <w:left w:val="single" w:sz="4" w:space="0" w:color="auto"/>
              <w:right w:val="single" w:sz="4" w:space="0" w:color="auto"/>
            </w:tcBorders>
          </w:tcPr>
          <w:p w:rsidR="00000000" w:rsidRDefault="00000000">
            <w:pPr>
              <w:tabs>
                <w:tab w:val="clear" w:pos="567"/>
              </w:tabs>
              <w:ind w:left="-211" w:right="123"/>
              <w:jc w:val="right"/>
              <w:rPr>
                <w:sz w:val="20"/>
              </w:rPr>
            </w:pPr>
            <w:r>
              <w:rPr>
                <w:sz w:val="20"/>
              </w:rPr>
              <w:t>8 130</w:t>
            </w:r>
          </w:p>
        </w:tc>
        <w:tc>
          <w:tcPr>
            <w:tcW w:w="511" w:type="pct"/>
            <w:tcBorders>
              <w:top w:val="nil"/>
              <w:left w:val="single" w:sz="4" w:space="0" w:color="auto"/>
              <w:right w:val="single" w:sz="4" w:space="0" w:color="auto"/>
            </w:tcBorders>
          </w:tcPr>
          <w:p w:rsidR="00000000" w:rsidRDefault="00000000">
            <w:pPr>
              <w:tabs>
                <w:tab w:val="clear" w:pos="567"/>
              </w:tabs>
              <w:ind w:left="-211" w:right="123"/>
              <w:jc w:val="right"/>
              <w:rPr>
                <w:sz w:val="20"/>
              </w:rPr>
            </w:pPr>
            <w:r>
              <w:rPr>
                <w:sz w:val="20"/>
              </w:rPr>
              <w:t>9 665</w:t>
            </w:r>
          </w:p>
        </w:tc>
        <w:tc>
          <w:tcPr>
            <w:tcW w:w="511" w:type="pct"/>
            <w:tcBorders>
              <w:top w:val="nil"/>
              <w:left w:val="single" w:sz="4" w:space="0" w:color="auto"/>
              <w:right w:val="single" w:sz="4" w:space="0" w:color="auto"/>
            </w:tcBorders>
          </w:tcPr>
          <w:p w:rsidR="00000000" w:rsidRDefault="00000000">
            <w:pPr>
              <w:tabs>
                <w:tab w:val="clear" w:pos="567"/>
              </w:tabs>
              <w:ind w:left="-211" w:right="123"/>
              <w:jc w:val="right"/>
              <w:rPr>
                <w:sz w:val="20"/>
              </w:rPr>
            </w:pPr>
            <w:r>
              <w:rPr>
                <w:sz w:val="20"/>
              </w:rPr>
              <w:t>10 709</w:t>
            </w:r>
          </w:p>
        </w:tc>
        <w:tc>
          <w:tcPr>
            <w:tcW w:w="509" w:type="pct"/>
            <w:tcBorders>
              <w:top w:val="nil"/>
              <w:left w:val="single" w:sz="4" w:space="0" w:color="auto"/>
              <w:right w:val="single" w:sz="4" w:space="0" w:color="auto"/>
            </w:tcBorders>
          </w:tcPr>
          <w:p w:rsidR="00000000" w:rsidRDefault="00000000">
            <w:pPr>
              <w:tabs>
                <w:tab w:val="clear" w:pos="567"/>
              </w:tabs>
              <w:ind w:left="-211" w:right="123"/>
              <w:jc w:val="right"/>
              <w:rPr>
                <w:sz w:val="20"/>
              </w:rPr>
            </w:pPr>
            <w:r>
              <w:rPr>
                <w:sz w:val="20"/>
              </w:rPr>
              <w:t>11 861</w:t>
            </w:r>
          </w:p>
        </w:tc>
      </w:tr>
    </w:tbl>
    <w:p w:rsidR="00000000" w:rsidRDefault="00000000">
      <w:pPr>
        <w:pStyle w:val="16"/>
        <w:spacing w:line="216" w:lineRule="auto"/>
        <w:jc w:val="left"/>
      </w:pPr>
    </w:p>
    <w:p w:rsidR="00000000" w:rsidRDefault="00000000">
      <w:pPr>
        <w:pStyle w:val="16"/>
        <w:spacing w:line="216" w:lineRule="auto"/>
        <w:jc w:val="left"/>
      </w:pPr>
      <w:r>
        <w:rPr>
          <w:b/>
          <w:bCs/>
          <w:vertAlign w:val="superscript"/>
        </w:rPr>
        <w:tab/>
        <w:t>а</w:t>
      </w:r>
      <w:r>
        <w:rPr>
          <w:b/>
          <w:bCs/>
          <w:vertAlign w:val="superscript"/>
        </w:rPr>
        <w:tab/>
      </w:r>
      <w:r>
        <w:t>Предварительные данные.</w:t>
      </w:r>
    </w:p>
    <w:p w:rsidR="00000000" w:rsidRDefault="00000000">
      <w:pPr>
        <w:pStyle w:val="16"/>
        <w:spacing w:line="216" w:lineRule="auto"/>
        <w:jc w:val="left"/>
      </w:pPr>
    </w:p>
    <w:p w:rsidR="00000000" w:rsidRDefault="00000000">
      <w:pPr>
        <w:pStyle w:val="16"/>
        <w:spacing w:line="216" w:lineRule="auto"/>
        <w:jc w:val="left"/>
        <w:rPr>
          <w:lang w:val="en-US"/>
        </w:rPr>
      </w:pPr>
      <w:r>
        <w:tab/>
      </w:r>
      <w:r>
        <w:rPr>
          <w:u w:val="single"/>
        </w:rPr>
        <w:t>Источник</w:t>
      </w:r>
      <w:r>
        <w:rPr>
          <w:lang w:val="en-US"/>
        </w:rPr>
        <w:t>:  Statistical Yearbook of the CR, 1999.</w:t>
      </w:r>
    </w:p>
    <w:p w:rsidR="00000000" w:rsidRDefault="00000000">
      <w:pPr>
        <w:pStyle w:val="16"/>
        <w:jc w:val="left"/>
        <w:rPr>
          <w:lang w:val="en-US"/>
        </w:rPr>
      </w:pPr>
    </w:p>
    <w:p w:rsidR="00000000" w:rsidRDefault="00000000">
      <w:pPr>
        <w:pStyle w:val="16"/>
        <w:jc w:val="left"/>
      </w:pPr>
      <w:r>
        <w:t>256.</w:t>
      </w:r>
      <w:r>
        <w:tab/>
        <w:t>Трудовой кодекс, закон о заработной плате и закон об окладах предусматривают, что заработная плата (оклад) не может быть меньше</w:t>
      </w:r>
      <w:r>
        <w:rPr>
          <w:b/>
          <w:bCs/>
        </w:rPr>
        <w:t xml:space="preserve"> </w:t>
      </w:r>
      <w:r>
        <w:t>минимального размера оплаты труда.  Эта норма в равной мере касается всех работодателей частного и государственного сектора.  Минимальный размер оплаты труда устанавливается постановлением правительства.  На июль 1999 года минимальный размер оплаты труда составлял 3 600 чешских крон для работников, получающих помесячную заработную плату, или 20 чешских крон в час для работников с почасовой оплатой труда.  С 1 января 2000 года минимальный размер оплаты труда работников, получающих помесячную заработную плату, составляет 4 000 чешских крон, а ставка почасовой оплаты работников с почасовой оплатой труда составляет 22,30 чешских крон.  Ожидается, что с 1 июля 2000 года минимальный размер оплаты труда вновь будет повышен, что станет шагом к достижению цели Национального плана занятости – повышению минимального размера оплаты труда выше прожиточного минимума для несемейного взрослого</w:t>
      </w:r>
      <w:r>
        <w:rPr>
          <w:rStyle w:val="FootnoteReference"/>
        </w:rPr>
        <w:footnoteReference w:id="167"/>
      </w:r>
      <w:r>
        <w:t>.  С 1 января 2000 года с учетом удержаний по социальному страхованию и медицинскому страхованию и авансовых выплат подоходного налога работник, получающий минимальную заработную плату, получает оплату в размере 99,5% прожиточного минимума несемейного взрослого.</w:t>
      </w:r>
    </w:p>
    <w:p w:rsidR="00000000" w:rsidRDefault="00000000"/>
    <w:p w:rsidR="00000000" w:rsidRDefault="00000000">
      <w:pPr>
        <w:pStyle w:val="10"/>
        <w:spacing w:line="240" w:lineRule="auto"/>
        <w:rPr>
          <w:bCs/>
        </w:rPr>
      </w:pPr>
      <w:r>
        <w:rPr>
          <w:bCs/>
        </w:rPr>
        <w:t>Рост минимального размера оплаты труда в сопоставлении со средней заработной платой и прожиточным минимумом (в среднем за год)</w:t>
      </w:r>
    </w:p>
    <w:p w:rsidR="00000000" w:rsidRDefault="00000000"/>
    <w:tbl>
      <w:tblPr>
        <w:tblW w:w="5000" w:type="pct"/>
        <w:tblBorders>
          <w:top w:val="single" w:sz="4" w:space="0" w:color="auto"/>
          <w:bottom w:val="single" w:sz="4" w:space="0" w:color="auto"/>
        </w:tblBorders>
        <w:tblLook w:val="0000" w:firstRow="0" w:lastRow="0" w:firstColumn="0" w:lastColumn="0" w:noHBand="0" w:noVBand="0"/>
      </w:tblPr>
      <w:tblGrid>
        <w:gridCol w:w="1043"/>
        <w:gridCol w:w="1870"/>
        <w:gridCol w:w="1682"/>
        <w:gridCol w:w="1805"/>
        <w:gridCol w:w="1589"/>
        <w:gridCol w:w="1581"/>
      </w:tblGrid>
      <w:tr w:rsidR="00000000">
        <w:tblPrEx>
          <w:tblCellMar>
            <w:top w:w="0" w:type="dxa"/>
            <w:bottom w:w="0" w:type="dxa"/>
          </w:tblCellMar>
        </w:tblPrEx>
        <w:trPr>
          <w:cantSplit/>
        </w:trPr>
        <w:tc>
          <w:tcPr>
            <w:tcW w:w="545" w:type="pct"/>
            <w:vMerge w:val="restart"/>
            <w:tcBorders>
              <w:top w:val="single" w:sz="4" w:space="0" w:color="auto"/>
              <w:left w:val="single" w:sz="4" w:space="0" w:color="auto"/>
              <w:right w:val="single" w:sz="4" w:space="0" w:color="auto"/>
            </w:tcBorders>
            <w:vAlign w:val="center"/>
          </w:tcPr>
          <w:p w:rsidR="00000000" w:rsidRDefault="00000000">
            <w:pPr>
              <w:jc w:val="center"/>
              <w:rPr>
                <w:sz w:val="20"/>
              </w:rPr>
            </w:pPr>
            <w:r>
              <w:rPr>
                <w:sz w:val="20"/>
              </w:rPr>
              <w:t>Год</w:t>
            </w:r>
          </w:p>
        </w:tc>
        <w:tc>
          <w:tcPr>
            <w:tcW w:w="1856" w:type="pct"/>
            <w:gridSpan w:val="2"/>
            <w:tcBorders>
              <w:top w:val="single" w:sz="4" w:space="0" w:color="auto"/>
              <w:left w:val="single" w:sz="4" w:space="0" w:color="auto"/>
              <w:bottom w:val="single" w:sz="4" w:space="0" w:color="auto"/>
              <w:right w:val="single" w:sz="4" w:space="0" w:color="auto"/>
            </w:tcBorders>
          </w:tcPr>
          <w:p w:rsidR="00000000" w:rsidRDefault="00000000">
            <w:pPr>
              <w:pStyle w:val="16"/>
              <w:rPr>
                <w:sz w:val="20"/>
              </w:rPr>
            </w:pPr>
            <w:r>
              <w:rPr>
                <w:sz w:val="20"/>
              </w:rPr>
              <w:t>Минимальная заработная плата в чешских кронах</w:t>
            </w:r>
          </w:p>
        </w:tc>
        <w:tc>
          <w:tcPr>
            <w:tcW w:w="943"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Средняя чистая заработная плата</w:t>
            </w:r>
          </w:p>
        </w:tc>
        <w:tc>
          <w:tcPr>
            <w:tcW w:w="830"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Прожиточный минимум</w:t>
            </w:r>
          </w:p>
        </w:tc>
        <w:tc>
          <w:tcPr>
            <w:tcW w:w="826" w:type="pct"/>
            <w:vMerge w:val="restart"/>
            <w:tcBorders>
              <w:top w:val="single" w:sz="4" w:space="0" w:color="auto"/>
              <w:left w:val="single" w:sz="4" w:space="0" w:color="auto"/>
              <w:right w:val="single" w:sz="4" w:space="0" w:color="auto"/>
            </w:tcBorders>
            <w:vAlign w:val="center"/>
          </w:tcPr>
          <w:p w:rsidR="00000000" w:rsidRDefault="00000000">
            <w:pPr>
              <w:jc w:val="center"/>
              <w:rPr>
                <w:sz w:val="20"/>
              </w:rPr>
            </w:pPr>
            <w:r>
              <w:rPr>
                <w:sz w:val="20"/>
              </w:rPr>
              <w:t>ЧМЗП</w:t>
            </w:r>
            <w:r>
              <w:rPr>
                <w:b/>
                <w:bCs/>
                <w:sz w:val="20"/>
                <w:vertAlign w:val="superscript"/>
              </w:rPr>
              <w:t>а</w:t>
            </w:r>
            <w:r>
              <w:rPr>
                <w:sz w:val="20"/>
              </w:rPr>
              <w:t>/ИПМ</w:t>
            </w:r>
            <w:r>
              <w:rPr>
                <w:b/>
                <w:bCs/>
                <w:sz w:val="20"/>
                <w:vertAlign w:val="superscript"/>
                <w:lang w:val="en-US"/>
              </w:rPr>
              <w:t>b</w:t>
            </w:r>
          </w:p>
        </w:tc>
      </w:tr>
      <w:tr w:rsidR="00000000">
        <w:tblPrEx>
          <w:tblCellMar>
            <w:top w:w="0" w:type="dxa"/>
            <w:bottom w:w="0" w:type="dxa"/>
          </w:tblCellMar>
        </w:tblPrEx>
        <w:trPr>
          <w:cantSplit/>
        </w:trPr>
        <w:tc>
          <w:tcPr>
            <w:tcW w:w="545" w:type="pct"/>
            <w:vMerge/>
            <w:tcBorders>
              <w:left w:val="single" w:sz="4" w:space="0" w:color="auto"/>
              <w:bottom w:val="single" w:sz="4" w:space="0" w:color="auto"/>
              <w:right w:val="single" w:sz="4" w:space="0" w:color="auto"/>
            </w:tcBorders>
          </w:tcPr>
          <w:p w:rsidR="00000000" w:rsidRDefault="00000000">
            <w:pPr>
              <w:rPr>
                <w:sz w:val="20"/>
              </w:rPr>
            </w:pPr>
          </w:p>
        </w:tc>
        <w:tc>
          <w:tcPr>
            <w:tcW w:w="97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Валовая</w:t>
            </w:r>
          </w:p>
        </w:tc>
        <w:tc>
          <w:tcPr>
            <w:tcW w:w="87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Чистая</w:t>
            </w:r>
          </w:p>
        </w:tc>
        <w:tc>
          <w:tcPr>
            <w:tcW w:w="943" w:type="pct"/>
            <w:vMerge/>
            <w:tcBorders>
              <w:top w:val="nil"/>
              <w:left w:val="single" w:sz="4" w:space="0" w:color="auto"/>
              <w:bottom w:val="single" w:sz="4" w:space="0" w:color="auto"/>
              <w:right w:val="single" w:sz="4" w:space="0" w:color="auto"/>
            </w:tcBorders>
          </w:tcPr>
          <w:p w:rsidR="00000000" w:rsidRDefault="00000000">
            <w:pPr>
              <w:rPr>
                <w:sz w:val="20"/>
              </w:rPr>
            </w:pPr>
          </w:p>
        </w:tc>
        <w:tc>
          <w:tcPr>
            <w:tcW w:w="830" w:type="pct"/>
            <w:vMerge/>
            <w:tcBorders>
              <w:top w:val="nil"/>
              <w:left w:val="single" w:sz="4" w:space="0" w:color="auto"/>
              <w:bottom w:val="single" w:sz="4" w:space="0" w:color="auto"/>
              <w:right w:val="single" w:sz="4" w:space="0" w:color="auto"/>
            </w:tcBorders>
          </w:tcPr>
          <w:p w:rsidR="00000000" w:rsidRDefault="00000000">
            <w:pPr>
              <w:rPr>
                <w:sz w:val="20"/>
              </w:rPr>
            </w:pPr>
          </w:p>
        </w:tc>
        <w:tc>
          <w:tcPr>
            <w:tcW w:w="826" w:type="pct"/>
            <w:vMerge/>
            <w:tcBorders>
              <w:left w:val="single" w:sz="4" w:space="0" w:color="auto"/>
              <w:bottom w:val="single" w:sz="4" w:space="0" w:color="auto"/>
              <w:right w:val="single" w:sz="4" w:space="0" w:color="auto"/>
            </w:tcBorders>
          </w:tcPr>
          <w:p w:rsidR="00000000" w:rsidRDefault="00000000">
            <w:pPr>
              <w:rPr>
                <w:sz w:val="20"/>
              </w:rPr>
            </w:pPr>
          </w:p>
        </w:tc>
      </w:tr>
      <w:tr w:rsidR="00000000">
        <w:tblPrEx>
          <w:tblCellMar>
            <w:top w:w="0" w:type="dxa"/>
            <w:bottom w:w="0" w:type="dxa"/>
          </w:tblCellMar>
        </w:tblPrEx>
        <w:tc>
          <w:tcPr>
            <w:tcW w:w="545" w:type="pct"/>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1992</w:t>
            </w:r>
          </w:p>
        </w:tc>
        <w:tc>
          <w:tcPr>
            <w:tcW w:w="977" w:type="pct"/>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2 200</w:t>
            </w:r>
          </w:p>
        </w:tc>
        <w:tc>
          <w:tcPr>
            <w:tcW w:w="879" w:type="pct"/>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1 802</w:t>
            </w:r>
          </w:p>
        </w:tc>
        <w:tc>
          <w:tcPr>
            <w:tcW w:w="943" w:type="pct"/>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3 715</w:t>
            </w:r>
          </w:p>
        </w:tc>
        <w:tc>
          <w:tcPr>
            <w:tcW w:w="830" w:type="pct"/>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1 700</w:t>
            </w:r>
          </w:p>
        </w:tc>
        <w:tc>
          <w:tcPr>
            <w:tcW w:w="826" w:type="pct"/>
            <w:tcBorders>
              <w:top w:val="single" w:sz="4" w:space="0" w:color="auto"/>
              <w:left w:val="single" w:sz="4" w:space="0" w:color="auto"/>
              <w:bottom w:val="nil"/>
              <w:right w:val="single" w:sz="4" w:space="0" w:color="auto"/>
            </w:tcBorders>
          </w:tcPr>
          <w:p w:rsidR="00000000" w:rsidRDefault="00000000">
            <w:pPr>
              <w:tabs>
                <w:tab w:val="clear" w:pos="1134"/>
              </w:tabs>
              <w:ind w:right="545"/>
              <w:jc w:val="right"/>
              <w:rPr>
                <w:sz w:val="20"/>
              </w:rPr>
            </w:pPr>
            <w:r>
              <w:rPr>
                <w:sz w:val="20"/>
              </w:rPr>
              <w:t>106,0</w:t>
            </w:r>
          </w:p>
        </w:tc>
      </w:tr>
      <w:tr w:rsidR="00000000">
        <w:tblPrEx>
          <w:tblCellMar>
            <w:top w:w="0" w:type="dxa"/>
            <w:bottom w:w="0" w:type="dxa"/>
          </w:tblCellMar>
        </w:tblPrEx>
        <w:tc>
          <w:tcPr>
            <w:tcW w:w="545" w:type="pct"/>
            <w:tcBorders>
              <w:top w:val="nil"/>
              <w:left w:val="single" w:sz="4" w:space="0" w:color="auto"/>
              <w:right w:val="single" w:sz="4" w:space="0" w:color="auto"/>
            </w:tcBorders>
          </w:tcPr>
          <w:p w:rsidR="00000000" w:rsidRDefault="00000000">
            <w:pPr>
              <w:jc w:val="center"/>
              <w:rPr>
                <w:sz w:val="20"/>
              </w:rPr>
            </w:pPr>
            <w:r>
              <w:rPr>
                <w:sz w:val="20"/>
              </w:rPr>
              <w:t>1993</w:t>
            </w:r>
          </w:p>
        </w:tc>
        <w:tc>
          <w:tcPr>
            <w:tcW w:w="977" w:type="pct"/>
            <w:tcBorders>
              <w:top w:val="nil"/>
              <w:left w:val="single" w:sz="4" w:space="0" w:color="auto"/>
              <w:bottom w:val="nil"/>
              <w:right w:val="single" w:sz="4" w:space="0" w:color="auto"/>
            </w:tcBorders>
          </w:tcPr>
          <w:p w:rsidR="00000000" w:rsidRDefault="00000000">
            <w:pPr>
              <w:jc w:val="center"/>
              <w:rPr>
                <w:sz w:val="20"/>
              </w:rPr>
            </w:pPr>
            <w:r>
              <w:rPr>
                <w:sz w:val="20"/>
              </w:rPr>
              <w:t>2 200</w:t>
            </w:r>
          </w:p>
        </w:tc>
        <w:tc>
          <w:tcPr>
            <w:tcW w:w="879" w:type="pct"/>
            <w:tcBorders>
              <w:top w:val="nil"/>
              <w:left w:val="single" w:sz="4" w:space="0" w:color="auto"/>
              <w:bottom w:val="nil"/>
              <w:right w:val="single" w:sz="4" w:space="0" w:color="auto"/>
            </w:tcBorders>
          </w:tcPr>
          <w:p w:rsidR="00000000" w:rsidRDefault="00000000">
            <w:pPr>
              <w:jc w:val="center"/>
              <w:rPr>
                <w:sz w:val="20"/>
              </w:rPr>
            </w:pPr>
            <w:r>
              <w:rPr>
                <w:sz w:val="20"/>
              </w:rPr>
              <w:t>1 902</w:t>
            </w:r>
          </w:p>
        </w:tc>
        <w:tc>
          <w:tcPr>
            <w:tcW w:w="943" w:type="pct"/>
            <w:tcBorders>
              <w:top w:val="nil"/>
              <w:left w:val="single" w:sz="4" w:space="0" w:color="auto"/>
              <w:bottom w:val="nil"/>
              <w:right w:val="single" w:sz="4" w:space="0" w:color="auto"/>
            </w:tcBorders>
          </w:tcPr>
          <w:p w:rsidR="00000000" w:rsidRDefault="00000000">
            <w:pPr>
              <w:jc w:val="center"/>
              <w:rPr>
                <w:sz w:val="20"/>
              </w:rPr>
            </w:pPr>
            <w:r>
              <w:rPr>
                <w:sz w:val="20"/>
              </w:rPr>
              <w:t>4 613</w:t>
            </w:r>
          </w:p>
        </w:tc>
        <w:tc>
          <w:tcPr>
            <w:tcW w:w="830" w:type="pct"/>
            <w:tcBorders>
              <w:top w:val="nil"/>
              <w:left w:val="single" w:sz="4" w:space="0" w:color="auto"/>
              <w:bottom w:val="nil"/>
              <w:right w:val="single" w:sz="4" w:space="0" w:color="auto"/>
            </w:tcBorders>
          </w:tcPr>
          <w:p w:rsidR="00000000" w:rsidRDefault="00000000">
            <w:pPr>
              <w:jc w:val="center"/>
              <w:rPr>
                <w:sz w:val="20"/>
              </w:rPr>
            </w:pPr>
            <w:r>
              <w:rPr>
                <w:sz w:val="20"/>
              </w:rPr>
              <w:t>1 917</w:t>
            </w:r>
          </w:p>
        </w:tc>
        <w:tc>
          <w:tcPr>
            <w:tcW w:w="826" w:type="pct"/>
            <w:tcBorders>
              <w:top w:val="nil"/>
              <w:left w:val="single" w:sz="4" w:space="0" w:color="auto"/>
              <w:right w:val="single" w:sz="4" w:space="0" w:color="auto"/>
            </w:tcBorders>
          </w:tcPr>
          <w:p w:rsidR="00000000" w:rsidRDefault="00000000">
            <w:pPr>
              <w:tabs>
                <w:tab w:val="clear" w:pos="1134"/>
              </w:tabs>
              <w:ind w:right="545"/>
              <w:jc w:val="right"/>
              <w:rPr>
                <w:sz w:val="20"/>
              </w:rPr>
            </w:pPr>
            <w:r>
              <w:rPr>
                <w:sz w:val="20"/>
              </w:rPr>
              <w:t>99,2</w:t>
            </w:r>
          </w:p>
        </w:tc>
      </w:tr>
      <w:tr w:rsidR="00000000">
        <w:tblPrEx>
          <w:tblCellMar>
            <w:top w:w="0" w:type="dxa"/>
            <w:bottom w:w="0" w:type="dxa"/>
          </w:tblCellMar>
        </w:tblPrEx>
        <w:tc>
          <w:tcPr>
            <w:tcW w:w="545" w:type="pct"/>
            <w:tcBorders>
              <w:left w:val="single" w:sz="4" w:space="0" w:color="auto"/>
              <w:right w:val="single" w:sz="4" w:space="0" w:color="auto"/>
            </w:tcBorders>
          </w:tcPr>
          <w:p w:rsidR="00000000" w:rsidRDefault="00000000">
            <w:pPr>
              <w:jc w:val="center"/>
              <w:rPr>
                <w:sz w:val="20"/>
              </w:rPr>
            </w:pPr>
            <w:r>
              <w:rPr>
                <w:sz w:val="20"/>
              </w:rPr>
              <w:t>1994</w:t>
            </w:r>
          </w:p>
        </w:tc>
        <w:tc>
          <w:tcPr>
            <w:tcW w:w="977" w:type="pct"/>
            <w:tcBorders>
              <w:top w:val="nil"/>
              <w:left w:val="single" w:sz="4" w:space="0" w:color="auto"/>
              <w:bottom w:val="nil"/>
              <w:right w:val="single" w:sz="4" w:space="0" w:color="auto"/>
            </w:tcBorders>
          </w:tcPr>
          <w:p w:rsidR="00000000" w:rsidRDefault="00000000">
            <w:pPr>
              <w:jc w:val="center"/>
              <w:rPr>
                <w:sz w:val="20"/>
              </w:rPr>
            </w:pPr>
            <w:r>
              <w:rPr>
                <w:sz w:val="20"/>
              </w:rPr>
              <w:t>2 200</w:t>
            </w:r>
          </w:p>
        </w:tc>
        <w:tc>
          <w:tcPr>
            <w:tcW w:w="879" w:type="pct"/>
            <w:tcBorders>
              <w:top w:val="nil"/>
              <w:left w:val="single" w:sz="4" w:space="0" w:color="auto"/>
              <w:bottom w:val="nil"/>
              <w:right w:val="single" w:sz="4" w:space="0" w:color="auto"/>
            </w:tcBorders>
          </w:tcPr>
          <w:p w:rsidR="00000000" w:rsidRDefault="00000000">
            <w:pPr>
              <w:jc w:val="center"/>
              <w:rPr>
                <w:sz w:val="20"/>
              </w:rPr>
            </w:pPr>
            <w:r>
              <w:rPr>
                <w:sz w:val="20"/>
              </w:rPr>
              <w:t>1 878</w:t>
            </w:r>
          </w:p>
        </w:tc>
        <w:tc>
          <w:tcPr>
            <w:tcW w:w="943" w:type="pct"/>
            <w:tcBorders>
              <w:top w:val="nil"/>
              <w:left w:val="single" w:sz="4" w:space="0" w:color="auto"/>
              <w:bottom w:val="nil"/>
              <w:right w:val="single" w:sz="4" w:space="0" w:color="auto"/>
            </w:tcBorders>
          </w:tcPr>
          <w:p w:rsidR="00000000" w:rsidRDefault="00000000">
            <w:pPr>
              <w:jc w:val="center"/>
              <w:rPr>
                <w:sz w:val="20"/>
              </w:rPr>
            </w:pPr>
            <w:r>
              <w:rPr>
                <w:sz w:val="20"/>
              </w:rPr>
              <w:t>5 398</w:t>
            </w:r>
          </w:p>
        </w:tc>
        <w:tc>
          <w:tcPr>
            <w:tcW w:w="830" w:type="pct"/>
            <w:tcBorders>
              <w:top w:val="nil"/>
              <w:left w:val="single" w:sz="4" w:space="0" w:color="auto"/>
              <w:bottom w:val="nil"/>
              <w:right w:val="single" w:sz="4" w:space="0" w:color="auto"/>
            </w:tcBorders>
          </w:tcPr>
          <w:p w:rsidR="00000000" w:rsidRDefault="00000000">
            <w:pPr>
              <w:jc w:val="center"/>
              <w:rPr>
                <w:sz w:val="20"/>
              </w:rPr>
            </w:pPr>
            <w:r>
              <w:rPr>
                <w:sz w:val="20"/>
              </w:rPr>
              <w:t>2 143</w:t>
            </w:r>
          </w:p>
        </w:tc>
        <w:tc>
          <w:tcPr>
            <w:tcW w:w="826" w:type="pct"/>
            <w:tcBorders>
              <w:left w:val="single" w:sz="4" w:space="0" w:color="auto"/>
              <w:right w:val="single" w:sz="4" w:space="0" w:color="auto"/>
            </w:tcBorders>
          </w:tcPr>
          <w:p w:rsidR="00000000" w:rsidRDefault="00000000">
            <w:pPr>
              <w:tabs>
                <w:tab w:val="clear" w:pos="1134"/>
              </w:tabs>
              <w:ind w:right="545"/>
              <w:jc w:val="right"/>
              <w:rPr>
                <w:sz w:val="20"/>
              </w:rPr>
            </w:pPr>
            <w:r>
              <w:rPr>
                <w:sz w:val="20"/>
              </w:rPr>
              <w:t>87,6</w:t>
            </w:r>
          </w:p>
        </w:tc>
      </w:tr>
      <w:tr w:rsidR="00000000">
        <w:tblPrEx>
          <w:tblCellMar>
            <w:top w:w="0" w:type="dxa"/>
            <w:bottom w:w="0" w:type="dxa"/>
          </w:tblCellMar>
        </w:tblPrEx>
        <w:tc>
          <w:tcPr>
            <w:tcW w:w="545" w:type="pct"/>
            <w:tcBorders>
              <w:left w:val="single" w:sz="4" w:space="0" w:color="auto"/>
              <w:right w:val="single" w:sz="4" w:space="0" w:color="auto"/>
            </w:tcBorders>
          </w:tcPr>
          <w:p w:rsidR="00000000" w:rsidRDefault="00000000">
            <w:pPr>
              <w:jc w:val="center"/>
              <w:rPr>
                <w:sz w:val="20"/>
              </w:rPr>
            </w:pPr>
            <w:r>
              <w:rPr>
                <w:sz w:val="20"/>
              </w:rPr>
              <w:t>1995</w:t>
            </w:r>
          </w:p>
        </w:tc>
        <w:tc>
          <w:tcPr>
            <w:tcW w:w="977" w:type="pct"/>
            <w:tcBorders>
              <w:top w:val="nil"/>
              <w:left w:val="single" w:sz="4" w:space="0" w:color="auto"/>
              <w:bottom w:val="nil"/>
              <w:right w:val="single" w:sz="4" w:space="0" w:color="auto"/>
            </w:tcBorders>
          </w:tcPr>
          <w:p w:rsidR="00000000" w:rsidRDefault="00000000">
            <w:pPr>
              <w:jc w:val="center"/>
              <w:rPr>
                <w:sz w:val="20"/>
              </w:rPr>
            </w:pPr>
            <w:r>
              <w:rPr>
                <w:sz w:val="20"/>
              </w:rPr>
              <w:t>2 200</w:t>
            </w:r>
          </w:p>
        </w:tc>
        <w:tc>
          <w:tcPr>
            <w:tcW w:w="879" w:type="pct"/>
            <w:tcBorders>
              <w:top w:val="nil"/>
              <w:left w:val="single" w:sz="4" w:space="0" w:color="auto"/>
              <w:bottom w:val="nil"/>
              <w:right w:val="single" w:sz="4" w:space="0" w:color="auto"/>
            </w:tcBorders>
          </w:tcPr>
          <w:p w:rsidR="00000000" w:rsidRDefault="00000000">
            <w:pPr>
              <w:jc w:val="center"/>
              <w:rPr>
                <w:sz w:val="20"/>
              </w:rPr>
            </w:pPr>
            <w:r>
              <w:rPr>
                <w:sz w:val="20"/>
              </w:rPr>
              <w:t>1 908</w:t>
            </w:r>
          </w:p>
        </w:tc>
        <w:tc>
          <w:tcPr>
            <w:tcW w:w="943" w:type="pct"/>
            <w:tcBorders>
              <w:top w:val="nil"/>
              <w:left w:val="single" w:sz="4" w:space="0" w:color="auto"/>
              <w:bottom w:val="nil"/>
              <w:right w:val="single" w:sz="4" w:space="0" w:color="auto"/>
            </w:tcBorders>
          </w:tcPr>
          <w:p w:rsidR="00000000" w:rsidRDefault="00000000">
            <w:pPr>
              <w:jc w:val="center"/>
              <w:rPr>
                <w:sz w:val="20"/>
              </w:rPr>
            </w:pPr>
            <w:r>
              <w:rPr>
                <w:sz w:val="20"/>
              </w:rPr>
              <w:t>6 341</w:t>
            </w:r>
          </w:p>
        </w:tc>
        <w:tc>
          <w:tcPr>
            <w:tcW w:w="830" w:type="pct"/>
            <w:tcBorders>
              <w:top w:val="nil"/>
              <w:left w:val="single" w:sz="4" w:space="0" w:color="auto"/>
              <w:bottom w:val="nil"/>
              <w:right w:val="single" w:sz="4" w:space="0" w:color="auto"/>
            </w:tcBorders>
          </w:tcPr>
          <w:p w:rsidR="00000000" w:rsidRDefault="00000000">
            <w:pPr>
              <w:jc w:val="center"/>
              <w:rPr>
                <w:sz w:val="20"/>
              </w:rPr>
            </w:pPr>
            <w:r>
              <w:rPr>
                <w:sz w:val="20"/>
              </w:rPr>
              <w:t>2 440</w:t>
            </w:r>
          </w:p>
        </w:tc>
        <w:tc>
          <w:tcPr>
            <w:tcW w:w="826" w:type="pct"/>
            <w:tcBorders>
              <w:left w:val="single" w:sz="4" w:space="0" w:color="auto"/>
              <w:right w:val="single" w:sz="4" w:space="0" w:color="auto"/>
            </w:tcBorders>
          </w:tcPr>
          <w:p w:rsidR="00000000" w:rsidRDefault="00000000">
            <w:pPr>
              <w:tabs>
                <w:tab w:val="clear" w:pos="1134"/>
              </w:tabs>
              <w:ind w:right="545"/>
              <w:jc w:val="right"/>
              <w:rPr>
                <w:sz w:val="20"/>
              </w:rPr>
            </w:pPr>
            <w:r>
              <w:rPr>
                <w:sz w:val="20"/>
              </w:rPr>
              <w:t>78,2</w:t>
            </w:r>
          </w:p>
        </w:tc>
      </w:tr>
      <w:tr w:rsidR="00000000">
        <w:tblPrEx>
          <w:tblCellMar>
            <w:top w:w="0" w:type="dxa"/>
            <w:bottom w:w="0" w:type="dxa"/>
          </w:tblCellMar>
        </w:tblPrEx>
        <w:tc>
          <w:tcPr>
            <w:tcW w:w="545" w:type="pct"/>
            <w:tcBorders>
              <w:left w:val="single" w:sz="4" w:space="0" w:color="auto"/>
              <w:right w:val="single" w:sz="4" w:space="0" w:color="auto"/>
            </w:tcBorders>
          </w:tcPr>
          <w:p w:rsidR="00000000" w:rsidRDefault="00000000">
            <w:pPr>
              <w:jc w:val="center"/>
              <w:rPr>
                <w:sz w:val="20"/>
              </w:rPr>
            </w:pPr>
            <w:r>
              <w:rPr>
                <w:sz w:val="20"/>
              </w:rPr>
              <w:t>1996</w:t>
            </w:r>
          </w:p>
        </w:tc>
        <w:tc>
          <w:tcPr>
            <w:tcW w:w="977" w:type="pct"/>
            <w:tcBorders>
              <w:top w:val="nil"/>
              <w:left w:val="single" w:sz="4" w:space="0" w:color="auto"/>
              <w:bottom w:val="nil"/>
              <w:right w:val="single" w:sz="4" w:space="0" w:color="auto"/>
            </w:tcBorders>
          </w:tcPr>
          <w:p w:rsidR="00000000" w:rsidRDefault="00000000">
            <w:pPr>
              <w:jc w:val="center"/>
              <w:rPr>
                <w:sz w:val="20"/>
              </w:rPr>
            </w:pPr>
            <w:r>
              <w:rPr>
                <w:sz w:val="20"/>
              </w:rPr>
              <w:t>2 500</w:t>
            </w:r>
          </w:p>
        </w:tc>
        <w:tc>
          <w:tcPr>
            <w:tcW w:w="879" w:type="pct"/>
            <w:tcBorders>
              <w:top w:val="nil"/>
              <w:left w:val="single" w:sz="4" w:space="0" w:color="auto"/>
              <w:bottom w:val="nil"/>
              <w:right w:val="single" w:sz="4" w:space="0" w:color="auto"/>
            </w:tcBorders>
          </w:tcPr>
          <w:p w:rsidR="00000000" w:rsidRDefault="00000000">
            <w:pPr>
              <w:jc w:val="center"/>
              <w:rPr>
                <w:sz w:val="20"/>
              </w:rPr>
            </w:pPr>
            <w:r>
              <w:rPr>
                <w:sz w:val="20"/>
              </w:rPr>
              <w:t>2 188</w:t>
            </w:r>
          </w:p>
        </w:tc>
        <w:tc>
          <w:tcPr>
            <w:tcW w:w="943" w:type="pct"/>
            <w:tcBorders>
              <w:top w:val="nil"/>
              <w:left w:val="single" w:sz="4" w:space="0" w:color="auto"/>
              <w:bottom w:val="nil"/>
              <w:right w:val="single" w:sz="4" w:space="0" w:color="auto"/>
            </w:tcBorders>
          </w:tcPr>
          <w:p w:rsidR="00000000" w:rsidRDefault="00000000">
            <w:pPr>
              <w:jc w:val="center"/>
              <w:rPr>
                <w:sz w:val="20"/>
              </w:rPr>
            </w:pPr>
            <w:r>
              <w:rPr>
                <w:sz w:val="20"/>
              </w:rPr>
              <w:t>7 538</w:t>
            </w:r>
          </w:p>
        </w:tc>
        <w:tc>
          <w:tcPr>
            <w:tcW w:w="830" w:type="pct"/>
            <w:tcBorders>
              <w:top w:val="nil"/>
              <w:left w:val="single" w:sz="4" w:space="0" w:color="auto"/>
              <w:bottom w:val="nil"/>
              <w:right w:val="single" w:sz="4" w:space="0" w:color="auto"/>
            </w:tcBorders>
          </w:tcPr>
          <w:p w:rsidR="00000000" w:rsidRDefault="00000000">
            <w:pPr>
              <w:jc w:val="center"/>
              <w:rPr>
                <w:sz w:val="20"/>
              </w:rPr>
            </w:pPr>
            <w:r>
              <w:rPr>
                <w:sz w:val="20"/>
              </w:rPr>
              <w:t>2 718</w:t>
            </w:r>
          </w:p>
        </w:tc>
        <w:tc>
          <w:tcPr>
            <w:tcW w:w="826" w:type="pct"/>
            <w:tcBorders>
              <w:left w:val="single" w:sz="4" w:space="0" w:color="auto"/>
              <w:right w:val="single" w:sz="4" w:space="0" w:color="auto"/>
            </w:tcBorders>
          </w:tcPr>
          <w:p w:rsidR="00000000" w:rsidRDefault="00000000">
            <w:pPr>
              <w:tabs>
                <w:tab w:val="clear" w:pos="1134"/>
              </w:tabs>
              <w:ind w:right="545"/>
              <w:jc w:val="right"/>
              <w:rPr>
                <w:sz w:val="20"/>
              </w:rPr>
            </w:pPr>
            <w:r>
              <w:rPr>
                <w:sz w:val="20"/>
              </w:rPr>
              <w:t>80,5</w:t>
            </w:r>
          </w:p>
        </w:tc>
      </w:tr>
      <w:tr w:rsidR="00000000">
        <w:tblPrEx>
          <w:tblCellMar>
            <w:top w:w="0" w:type="dxa"/>
            <w:bottom w:w="0" w:type="dxa"/>
          </w:tblCellMar>
        </w:tblPrEx>
        <w:tc>
          <w:tcPr>
            <w:tcW w:w="545" w:type="pct"/>
            <w:tcBorders>
              <w:left w:val="single" w:sz="4" w:space="0" w:color="auto"/>
              <w:right w:val="single" w:sz="4" w:space="0" w:color="auto"/>
            </w:tcBorders>
          </w:tcPr>
          <w:p w:rsidR="00000000" w:rsidRDefault="00000000">
            <w:pPr>
              <w:jc w:val="center"/>
              <w:rPr>
                <w:sz w:val="20"/>
              </w:rPr>
            </w:pPr>
            <w:r>
              <w:rPr>
                <w:sz w:val="20"/>
              </w:rPr>
              <w:t>1997</w:t>
            </w:r>
          </w:p>
        </w:tc>
        <w:tc>
          <w:tcPr>
            <w:tcW w:w="977" w:type="pct"/>
            <w:tcBorders>
              <w:top w:val="nil"/>
              <w:left w:val="single" w:sz="4" w:space="0" w:color="auto"/>
              <w:bottom w:val="nil"/>
              <w:right w:val="single" w:sz="4" w:space="0" w:color="auto"/>
            </w:tcBorders>
          </w:tcPr>
          <w:p w:rsidR="00000000" w:rsidRDefault="00000000">
            <w:pPr>
              <w:jc w:val="center"/>
              <w:rPr>
                <w:sz w:val="20"/>
              </w:rPr>
            </w:pPr>
            <w:r>
              <w:rPr>
                <w:sz w:val="20"/>
              </w:rPr>
              <w:t>2 500</w:t>
            </w:r>
          </w:p>
        </w:tc>
        <w:tc>
          <w:tcPr>
            <w:tcW w:w="879" w:type="pct"/>
            <w:tcBorders>
              <w:top w:val="nil"/>
              <w:left w:val="single" w:sz="4" w:space="0" w:color="auto"/>
              <w:bottom w:val="nil"/>
              <w:right w:val="single" w:sz="4" w:space="0" w:color="auto"/>
            </w:tcBorders>
          </w:tcPr>
          <w:p w:rsidR="00000000" w:rsidRDefault="00000000">
            <w:pPr>
              <w:jc w:val="center"/>
              <w:rPr>
                <w:sz w:val="20"/>
              </w:rPr>
            </w:pPr>
            <w:r>
              <w:rPr>
                <w:sz w:val="20"/>
              </w:rPr>
              <w:t>2 188</w:t>
            </w:r>
          </w:p>
        </w:tc>
        <w:tc>
          <w:tcPr>
            <w:tcW w:w="943" w:type="pct"/>
            <w:tcBorders>
              <w:top w:val="nil"/>
              <w:left w:val="single" w:sz="4" w:space="0" w:color="auto"/>
              <w:bottom w:val="nil"/>
              <w:right w:val="single" w:sz="4" w:space="0" w:color="auto"/>
            </w:tcBorders>
          </w:tcPr>
          <w:p w:rsidR="00000000" w:rsidRDefault="00000000">
            <w:pPr>
              <w:jc w:val="center"/>
              <w:rPr>
                <w:sz w:val="20"/>
              </w:rPr>
            </w:pPr>
            <w:r>
              <w:rPr>
                <w:sz w:val="20"/>
              </w:rPr>
              <w:t>8 115</w:t>
            </w:r>
          </w:p>
        </w:tc>
        <w:tc>
          <w:tcPr>
            <w:tcW w:w="830" w:type="pct"/>
            <w:tcBorders>
              <w:top w:val="nil"/>
              <w:left w:val="single" w:sz="4" w:space="0" w:color="auto"/>
              <w:bottom w:val="nil"/>
              <w:right w:val="single" w:sz="4" w:space="0" w:color="auto"/>
            </w:tcBorders>
          </w:tcPr>
          <w:p w:rsidR="00000000" w:rsidRDefault="00000000">
            <w:pPr>
              <w:jc w:val="center"/>
              <w:rPr>
                <w:sz w:val="20"/>
              </w:rPr>
            </w:pPr>
            <w:r>
              <w:rPr>
                <w:sz w:val="20"/>
              </w:rPr>
              <w:t>2 965</w:t>
            </w:r>
          </w:p>
        </w:tc>
        <w:tc>
          <w:tcPr>
            <w:tcW w:w="826" w:type="pct"/>
            <w:tcBorders>
              <w:left w:val="single" w:sz="4" w:space="0" w:color="auto"/>
              <w:right w:val="single" w:sz="4" w:space="0" w:color="auto"/>
            </w:tcBorders>
          </w:tcPr>
          <w:p w:rsidR="00000000" w:rsidRDefault="00000000">
            <w:pPr>
              <w:tabs>
                <w:tab w:val="clear" w:pos="1134"/>
              </w:tabs>
              <w:ind w:right="545"/>
              <w:jc w:val="right"/>
              <w:rPr>
                <w:sz w:val="20"/>
              </w:rPr>
            </w:pPr>
            <w:r>
              <w:rPr>
                <w:sz w:val="20"/>
              </w:rPr>
              <w:t>73,8</w:t>
            </w:r>
          </w:p>
        </w:tc>
      </w:tr>
      <w:tr w:rsidR="00000000">
        <w:tblPrEx>
          <w:tblCellMar>
            <w:top w:w="0" w:type="dxa"/>
            <w:bottom w:w="0" w:type="dxa"/>
          </w:tblCellMar>
        </w:tblPrEx>
        <w:tc>
          <w:tcPr>
            <w:tcW w:w="545" w:type="pct"/>
            <w:tcBorders>
              <w:left w:val="single" w:sz="4" w:space="0" w:color="auto"/>
              <w:right w:val="single" w:sz="4" w:space="0" w:color="auto"/>
            </w:tcBorders>
          </w:tcPr>
          <w:p w:rsidR="00000000" w:rsidRDefault="00000000">
            <w:pPr>
              <w:jc w:val="center"/>
              <w:rPr>
                <w:sz w:val="20"/>
              </w:rPr>
            </w:pPr>
            <w:r>
              <w:rPr>
                <w:sz w:val="20"/>
              </w:rPr>
              <w:t>1998</w:t>
            </w:r>
          </w:p>
        </w:tc>
        <w:tc>
          <w:tcPr>
            <w:tcW w:w="977" w:type="pct"/>
            <w:tcBorders>
              <w:top w:val="nil"/>
              <w:left w:val="single" w:sz="4" w:space="0" w:color="auto"/>
              <w:bottom w:val="nil"/>
              <w:right w:val="single" w:sz="4" w:space="0" w:color="auto"/>
            </w:tcBorders>
          </w:tcPr>
          <w:p w:rsidR="00000000" w:rsidRDefault="00000000">
            <w:pPr>
              <w:jc w:val="center"/>
              <w:rPr>
                <w:sz w:val="20"/>
              </w:rPr>
            </w:pPr>
            <w:r>
              <w:rPr>
                <w:sz w:val="20"/>
              </w:rPr>
              <w:t>2 650</w:t>
            </w:r>
          </w:p>
        </w:tc>
        <w:tc>
          <w:tcPr>
            <w:tcW w:w="879" w:type="pct"/>
            <w:tcBorders>
              <w:top w:val="nil"/>
              <w:left w:val="single" w:sz="4" w:space="0" w:color="auto"/>
              <w:bottom w:val="nil"/>
              <w:right w:val="single" w:sz="4" w:space="0" w:color="auto"/>
            </w:tcBorders>
          </w:tcPr>
          <w:p w:rsidR="00000000" w:rsidRDefault="00000000">
            <w:pPr>
              <w:jc w:val="center"/>
              <w:rPr>
                <w:sz w:val="20"/>
              </w:rPr>
            </w:pPr>
            <w:r>
              <w:rPr>
                <w:sz w:val="20"/>
              </w:rPr>
              <w:t>2 319</w:t>
            </w:r>
          </w:p>
        </w:tc>
        <w:tc>
          <w:tcPr>
            <w:tcW w:w="943" w:type="pct"/>
            <w:tcBorders>
              <w:top w:val="nil"/>
              <w:left w:val="single" w:sz="4" w:space="0" w:color="auto"/>
              <w:bottom w:val="nil"/>
              <w:right w:val="single" w:sz="4" w:space="0" w:color="auto"/>
            </w:tcBorders>
          </w:tcPr>
          <w:p w:rsidR="00000000" w:rsidRDefault="00000000">
            <w:pPr>
              <w:jc w:val="center"/>
              <w:rPr>
                <w:sz w:val="20"/>
              </w:rPr>
            </w:pPr>
            <w:r>
              <w:rPr>
                <w:sz w:val="20"/>
              </w:rPr>
              <w:t>8 820</w:t>
            </w:r>
          </w:p>
        </w:tc>
        <w:tc>
          <w:tcPr>
            <w:tcW w:w="830" w:type="pct"/>
            <w:tcBorders>
              <w:top w:val="nil"/>
              <w:left w:val="single" w:sz="4" w:space="0" w:color="auto"/>
              <w:bottom w:val="nil"/>
              <w:right w:val="single" w:sz="4" w:space="0" w:color="auto"/>
            </w:tcBorders>
          </w:tcPr>
          <w:p w:rsidR="00000000" w:rsidRDefault="00000000">
            <w:pPr>
              <w:jc w:val="center"/>
              <w:rPr>
                <w:sz w:val="20"/>
              </w:rPr>
            </w:pPr>
            <w:r>
              <w:rPr>
                <w:sz w:val="20"/>
              </w:rPr>
              <w:t>3 333</w:t>
            </w:r>
          </w:p>
        </w:tc>
        <w:tc>
          <w:tcPr>
            <w:tcW w:w="826" w:type="pct"/>
            <w:tcBorders>
              <w:left w:val="single" w:sz="4" w:space="0" w:color="auto"/>
              <w:right w:val="single" w:sz="4" w:space="0" w:color="auto"/>
            </w:tcBorders>
          </w:tcPr>
          <w:p w:rsidR="00000000" w:rsidRDefault="00000000">
            <w:pPr>
              <w:tabs>
                <w:tab w:val="clear" w:pos="1134"/>
              </w:tabs>
              <w:ind w:right="545"/>
              <w:jc w:val="right"/>
              <w:rPr>
                <w:sz w:val="20"/>
              </w:rPr>
            </w:pPr>
            <w:r>
              <w:rPr>
                <w:sz w:val="20"/>
              </w:rPr>
              <w:t>69,6</w:t>
            </w:r>
          </w:p>
        </w:tc>
      </w:tr>
      <w:tr w:rsidR="00000000">
        <w:tblPrEx>
          <w:tblCellMar>
            <w:top w:w="0" w:type="dxa"/>
            <w:bottom w:w="0" w:type="dxa"/>
          </w:tblCellMar>
        </w:tblPrEx>
        <w:tc>
          <w:tcPr>
            <w:tcW w:w="545" w:type="pct"/>
            <w:tcBorders>
              <w:left w:val="single" w:sz="4" w:space="0" w:color="auto"/>
              <w:bottom w:val="single" w:sz="4" w:space="0" w:color="auto"/>
              <w:right w:val="single" w:sz="4" w:space="0" w:color="auto"/>
            </w:tcBorders>
          </w:tcPr>
          <w:p w:rsidR="00000000" w:rsidRDefault="00000000">
            <w:pPr>
              <w:jc w:val="center"/>
              <w:rPr>
                <w:b/>
                <w:bCs/>
                <w:sz w:val="20"/>
                <w:vertAlign w:val="superscript"/>
              </w:rPr>
            </w:pPr>
            <w:r>
              <w:rPr>
                <w:sz w:val="20"/>
              </w:rPr>
              <w:t>1999</w:t>
            </w:r>
            <w:r>
              <w:rPr>
                <w:b/>
                <w:bCs/>
                <w:sz w:val="20"/>
                <w:vertAlign w:val="superscript"/>
              </w:rPr>
              <w:t>с</w:t>
            </w:r>
          </w:p>
        </w:tc>
        <w:tc>
          <w:tcPr>
            <w:tcW w:w="977" w:type="pct"/>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3 425</w:t>
            </w:r>
          </w:p>
        </w:tc>
        <w:tc>
          <w:tcPr>
            <w:tcW w:w="879" w:type="pct"/>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2 963</w:t>
            </w:r>
          </w:p>
        </w:tc>
        <w:tc>
          <w:tcPr>
            <w:tcW w:w="943" w:type="pct"/>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9 558</w:t>
            </w:r>
          </w:p>
        </w:tc>
        <w:tc>
          <w:tcPr>
            <w:tcW w:w="830" w:type="pct"/>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3 430</w:t>
            </w:r>
          </w:p>
        </w:tc>
        <w:tc>
          <w:tcPr>
            <w:tcW w:w="826" w:type="pct"/>
            <w:tcBorders>
              <w:left w:val="single" w:sz="4" w:space="0" w:color="auto"/>
              <w:bottom w:val="single" w:sz="4" w:space="0" w:color="auto"/>
              <w:right w:val="single" w:sz="4" w:space="0" w:color="auto"/>
            </w:tcBorders>
          </w:tcPr>
          <w:p w:rsidR="00000000" w:rsidRDefault="00000000">
            <w:pPr>
              <w:tabs>
                <w:tab w:val="clear" w:pos="1134"/>
              </w:tabs>
              <w:ind w:right="545"/>
              <w:jc w:val="right"/>
              <w:rPr>
                <w:sz w:val="20"/>
              </w:rPr>
            </w:pPr>
            <w:r>
              <w:rPr>
                <w:sz w:val="20"/>
              </w:rPr>
              <w:t>86,4</w:t>
            </w:r>
          </w:p>
        </w:tc>
      </w:tr>
    </w:tbl>
    <w:p w:rsidR="00000000" w:rsidRDefault="00000000">
      <w:pPr>
        <w:spacing w:line="240" w:lineRule="auto"/>
      </w:pPr>
    </w:p>
    <w:p w:rsidR="00000000" w:rsidRDefault="00000000">
      <w:pPr>
        <w:spacing w:line="240" w:lineRule="auto"/>
      </w:pPr>
      <w:r>
        <w:tab/>
      </w:r>
      <w:r>
        <w:rPr>
          <w:u w:val="single"/>
        </w:rPr>
        <w:t>Источник</w:t>
      </w:r>
      <w:r>
        <w:t>:  Министерство труда и социальных дел.</w:t>
      </w:r>
    </w:p>
    <w:p w:rsidR="00000000" w:rsidRDefault="00000000">
      <w:pPr>
        <w:spacing w:line="240" w:lineRule="auto"/>
      </w:pPr>
    </w:p>
    <w:p w:rsidR="00000000" w:rsidRDefault="00000000">
      <w:pPr>
        <w:spacing w:line="240" w:lineRule="auto"/>
      </w:pPr>
      <w:r>
        <w:rPr>
          <w:b/>
          <w:bCs/>
          <w:vertAlign w:val="superscript"/>
        </w:rPr>
        <w:tab/>
        <w:t>а</w:t>
      </w:r>
      <w:r>
        <w:tab/>
        <w:t>Чистая месячная заработная плата.  С 1997 года включает заработную плату на мелких предприятиях с числом работников до 20 человек.</w:t>
      </w:r>
    </w:p>
    <w:p w:rsidR="00000000" w:rsidRDefault="00000000">
      <w:pPr>
        <w:spacing w:line="240" w:lineRule="auto"/>
      </w:pPr>
    </w:p>
    <w:p w:rsidR="00000000" w:rsidRDefault="00000000">
      <w:pPr>
        <w:spacing w:line="240" w:lineRule="auto"/>
      </w:pPr>
      <w:r>
        <w:rPr>
          <w:b/>
          <w:bCs/>
          <w:vertAlign w:val="superscript"/>
        </w:rPr>
        <w:tab/>
      </w:r>
      <w:r>
        <w:rPr>
          <w:b/>
          <w:bCs/>
          <w:vertAlign w:val="superscript"/>
          <w:lang w:val="en-US"/>
        </w:rPr>
        <w:t>b</w:t>
      </w:r>
      <w:r>
        <w:rPr>
          <w:b/>
          <w:bCs/>
        </w:rPr>
        <w:tab/>
      </w:r>
      <w:r>
        <w:t>Индивидуальный прожиточный минимум.</w:t>
      </w:r>
    </w:p>
    <w:p w:rsidR="00000000" w:rsidRDefault="00000000">
      <w:pPr>
        <w:spacing w:line="240" w:lineRule="auto"/>
      </w:pPr>
    </w:p>
    <w:p w:rsidR="00000000" w:rsidRDefault="00000000">
      <w:pPr>
        <w:spacing w:line="240" w:lineRule="auto"/>
      </w:pPr>
      <w:r>
        <w:rPr>
          <w:b/>
          <w:bCs/>
          <w:vertAlign w:val="superscript"/>
        </w:rPr>
        <w:tab/>
        <w:t>с</w:t>
      </w:r>
      <w:r>
        <w:rPr>
          <w:b/>
          <w:bCs/>
          <w:vertAlign w:val="superscript"/>
        </w:rPr>
        <w:tab/>
      </w:r>
      <w:r>
        <w:t>Данные за 1999 год представляют собой оценку ежегодного прироста номинальной заработной платы в 1999 году - 8,3%.</w:t>
      </w:r>
    </w:p>
    <w:p w:rsidR="00000000" w:rsidRDefault="00000000"/>
    <w:p w:rsidR="00000000" w:rsidRDefault="00000000">
      <w:r>
        <w:t>257.</w:t>
      </w:r>
      <w:r>
        <w:tab/>
        <w:t>Минимальная заработная плата работников в возрасте 18-21 года, впервые поступивших на работу или установивших сходные трудовые отношения, составляет 90% этих сумм;  вспомогательного персонала - 80%;  работников, получающих пенсию по частичной нетрудоспособности, - 75%;  работников, получающих пенсию по полной нетрудоспособности и полностью нетрудоспособных несовершеннолетних, не получающих пенсии по полной нетрудоспособности, - 50% этих сумм.  Отдельные коллективные отношения могут устанавливать более высокий минимальный размер оплаты труда, и такая возможность обычно используется.</w:t>
      </w:r>
    </w:p>
    <w:p w:rsidR="00000000" w:rsidRDefault="00000000"/>
    <w:p w:rsidR="00000000" w:rsidRDefault="00000000">
      <w:r>
        <w:t>258.</w:t>
      </w:r>
      <w:r>
        <w:tab/>
        <w:t>В настоящее время правительство уделяет большое внимание вопросу минимального размера оплаты труда, и в своем программном заявлении</w:t>
      </w:r>
      <w:r>
        <w:rPr>
          <w:rStyle w:val="FootnoteReference"/>
        </w:rPr>
        <w:footnoteReference w:id="168"/>
      </w:r>
      <w:r>
        <w:t xml:space="preserve"> оно взяло обязательство постепенно (не позднее чем к 2002 году) увеличить минимальный размер оплаты труда, подняв его выше прожиточного минимума несемейного взрослого.  Увеличение минимального размера оплаты труда также предусматривается в Национальном плане занятости, что призвано дать преимущество экономически активному населению по сравнению с экономически неактивным населением или повысить долю трудового дохода по отношению к социальной помощи.</w:t>
      </w:r>
    </w:p>
    <w:p w:rsidR="00000000" w:rsidRDefault="00000000"/>
    <w:p w:rsidR="00000000" w:rsidRDefault="00000000">
      <w:r>
        <w:t>259.</w:t>
      </w:r>
      <w:r>
        <w:tab/>
        <w:t>В организациях частного сектора, где не было заключено трудового соглашения или где заработная плата не устанавливается на основе коллективного соглашения, закон о заработной плате, оплате резервных работников и среднем заработке предусматривает постепенное увеличение заработной платы работников, получающих непропорционально низкую заработную плату, на основе установления минимальных тарифов заработной платы</w:t>
      </w:r>
      <w:r>
        <w:rPr>
          <w:rStyle w:val="FootnoteReference"/>
        </w:rPr>
        <w:footnoteReference w:id="169"/>
      </w:r>
      <w:r>
        <w:t>.  Минимальный размер оплаты труда варьируется в пределах конкретных тарифных разрядов в зависимости от сложности и ответственности работы.  Конкретные разряды устанавливаются постановлением правительства, при этом минимальная заработная плата по первому тарифному разряду для работника, выполняющего самую простую работу, устанавливается в сумме минимальной заработной платы.</w:t>
      </w:r>
    </w:p>
    <w:p w:rsidR="00000000" w:rsidRDefault="00000000"/>
    <w:p w:rsidR="00000000" w:rsidRDefault="00000000">
      <w:r>
        <w:t>260.</w:t>
      </w:r>
      <w:r>
        <w:tab/>
        <w:t>Число работников, получающих минимальную заработную плату и заработную плату по первому разряду, относительно невелико.  Данные системы министерства труда и социальных дел, охватывающие примерно 1 млн. работников, показывают, что во втором квартале 1999 года почасовую заработную плату в размере до 23 чешских крон или максимум 4 140 чешских крон в месяц получали только 0,3% работников.  Согласно данным исследования, проведенного в марте 1999 года бюро по труду, низкая заработная плата чаще выплачивается в менее крупных организациях, в частности в организациях с числом работников до 50 человек:  в этих организациях заработную плату в размере до 4 000 чешских крон в месяц получали примерно 4,7% работников.</w:t>
      </w:r>
    </w:p>
    <w:p w:rsidR="00000000" w:rsidRDefault="00000000"/>
    <w:p w:rsidR="00000000" w:rsidRDefault="00000000">
      <w:r>
        <w:t>261.</w:t>
      </w:r>
      <w:r>
        <w:tab/>
        <w:t>Чешская Республика гарантирует гражданам и их семьям приемлемый уровень жизни, устанавливая прожиточный минимум</w:t>
      </w:r>
      <w:r>
        <w:rPr>
          <w:rStyle w:val="FootnoteReference"/>
        </w:rPr>
        <w:footnoteReference w:id="170"/>
      </w:r>
      <w:r>
        <w:t>.  Прожиточный минимум - это общественно признанный минимальный размер дохода, доход ниже которого не обеспечивает материальных потребностей.  Он определяет сумму, необходимую для временного удовлетворения основных материальных потребностей граждан и семей.  Для наиболее типичной семьи с детьми - полной семьи из четырех человек (двое взрослых и двое детей) прожиточный минимум в 1999 году составлял 9 490-10 870 чешских крон в месяц в зависимости от возраста неработающих детей (см. текст к статье 9 Пакта).  В первой половине 1999 года среднемесячная валовая заработная плата достигла 12 063 чешских кроны.  В первой половине 1999 года отношение семейного пособия к средней валовой заработной плате для семьи с одним работающим взрослым составило 78,7-90,1%;  для семьи с двумя работающими взрослыми оно составило 39,3</w:t>
      </w:r>
      <w:r>
        <w:noBreakHyphen/>
        <w:t>45,1%.</w:t>
      </w:r>
    </w:p>
    <w:p w:rsidR="00000000" w:rsidRDefault="00000000">
      <w:pPr>
        <w:spacing w:line="240" w:lineRule="auto"/>
      </w:pPr>
    </w:p>
    <w:p w:rsidR="00000000" w:rsidRDefault="00000000">
      <w:pPr>
        <w:pStyle w:val="Heading1"/>
        <w:keepNext w:val="0"/>
        <w:spacing w:line="240" w:lineRule="auto"/>
        <w:jc w:val="center"/>
        <w:rPr>
          <w:bCs/>
        </w:rPr>
      </w:pPr>
      <w:r>
        <w:rPr>
          <w:bCs/>
        </w:rPr>
        <w:t>Доходы семей работников по найму в 1998 году</w:t>
      </w:r>
    </w:p>
    <w:p w:rsidR="00000000" w:rsidRDefault="00000000">
      <w:pPr>
        <w:pStyle w:val="Heading1"/>
        <w:keepNext w:val="0"/>
        <w:spacing w:line="240" w:lineRule="auto"/>
        <w:jc w:val="center"/>
        <w:rPr>
          <w:bCs/>
        </w:rPr>
      </w:pPr>
    </w:p>
    <w:p w:rsidR="00000000" w:rsidRDefault="00000000">
      <w:pPr>
        <w:spacing w:line="240" w:lineRule="auto"/>
        <w:jc w:val="center"/>
        <w:rPr>
          <w:b/>
          <w:bCs/>
        </w:rPr>
      </w:pPr>
      <w:r>
        <w:rPr>
          <w:b/>
          <w:bCs/>
        </w:rPr>
        <w:t>(в среднем, чешских крон в месяц для семьи с детьми из четырех членов с одним или двумя работающими)</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5"/>
        <w:gridCol w:w="2618"/>
        <w:gridCol w:w="2357"/>
      </w:tblGrid>
      <w:tr w:rsidR="00000000">
        <w:tblPrEx>
          <w:tblCellMar>
            <w:top w:w="0" w:type="dxa"/>
            <w:bottom w:w="0" w:type="dxa"/>
          </w:tblCellMar>
        </w:tblPrEx>
        <w:tc>
          <w:tcPr>
            <w:tcW w:w="4596" w:type="dxa"/>
          </w:tcPr>
          <w:p w:rsidR="00000000" w:rsidRDefault="00000000">
            <w:pPr>
              <w:spacing w:line="240" w:lineRule="auto"/>
            </w:pPr>
          </w:p>
        </w:tc>
        <w:tc>
          <w:tcPr>
            <w:tcW w:w="2618" w:type="dxa"/>
          </w:tcPr>
          <w:p w:rsidR="00000000" w:rsidRDefault="00000000">
            <w:pPr>
              <w:spacing w:line="240" w:lineRule="auto"/>
              <w:jc w:val="center"/>
            </w:pPr>
            <w:r>
              <w:t>Семья с одним работающим</w:t>
            </w:r>
          </w:p>
        </w:tc>
        <w:tc>
          <w:tcPr>
            <w:tcW w:w="2357" w:type="dxa"/>
          </w:tcPr>
          <w:p w:rsidR="00000000" w:rsidRDefault="00000000">
            <w:pPr>
              <w:spacing w:line="240" w:lineRule="auto"/>
              <w:jc w:val="center"/>
            </w:pPr>
            <w:r>
              <w:t>Семья с двумя работающими</w:t>
            </w:r>
          </w:p>
        </w:tc>
      </w:tr>
      <w:tr w:rsidR="00000000">
        <w:tblPrEx>
          <w:tblCellMar>
            <w:top w:w="0" w:type="dxa"/>
            <w:bottom w:w="0" w:type="dxa"/>
          </w:tblCellMar>
        </w:tblPrEx>
        <w:tc>
          <w:tcPr>
            <w:tcW w:w="4596" w:type="dxa"/>
            <w:tcBorders>
              <w:bottom w:val="nil"/>
            </w:tcBorders>
          </w:tcPr>
          <w:p w:rsidR="00000000" w:rsidRDefault="00000000">
            <w:pPr>
              <w:spacing w:line="240" w:lineRule="auto"/>
            </w:pPr>
            <w:r>
              <w:t>Валовой денежный доход</w:t>
            </w:r>
          </w:p>
        </w:tc>
        <w:tc>
          <w:tcPr>
            <w:tcW w:w="2618" w:type="dxa"/>
            <w:tcBorders>
              <w:bottom w:val="nil"/>
            </w:tcBorders>
          </w:tcPr>
          <w:p w:rsidR="00000000" w:rsidRDefault="00000000">
            <w:pPr>
              <w:pStyle w:val="FootnoteText"/>
              <w:jc w:val="center"/>
            </w:pPr>
            <w:r>
              <w:t>21 364</w:t>
            </w:r>
          </w:p>
        </w:tc>
        <w:tc>
          <w:tcPr>
            <w:tcW w:w="2357" w:type="dxa"/>
            <w:tcBorders>
              <w:bottom w:val="nil"/>
            </w:tcBorders>
          </w:tcPr>
          <w:p w:rsidR="00000000" w:rsidRDefault="00000000">
            <w:pPr>
              <w:spacing w:line="240" w:lineRule="auto"/>
              <w:jc w:val="center"/>
            </w:pPr>
            <w:r>
              <w:t>29 522</w:t>
            </w:r>
          </w:p>
        </w:tc>
      </w:tr>
      <w:tr w:rsidR="00000000">
        <w:tblPrEx>
          <w:tblCellMar>
            <w:top w:w="0" w:type="dxa"/>
            <w:bottom w:w="0" w:type="dxa"/>
          </w:tblCellMar>
        </w:tblPrEx>
        <w:tc>
          <w:tcPr>
            <w:tcW w:w="4596" w:type="dxa"/>
            <w:tcBorders>
              <w:top w:val="nil"/>
              <w:bottom w:val="nil"/>
            </w:tcBorders>
          </w:tcPr>
          <w:p w:rsidR="00000000" w:rsidRDefault="00000000">
            <w:pPr>
              <w:tabs>
                <w:tab w:val="clear" w:pos="567"/>
              </w:tabs>
              <w:spacing w:line="240" w:lineRule="auto"/>
              <w:ind w:left="374" w:hanging="374"/>
            </w:pPr>
            <w:r>
              <w:tab/>
              <w:t>в том числе, валовой доход от работы по найму</w:t>
            </w:r>
          </w:p>
        </w:tc>
        <w:tc>
          <w:tcPr>
            <w:tcW w:w="2618" w:type="dxa"/>
            <w:tcBorders>
              <w:top w:val="nil"/>
              <w:bottom w:val="nil"/>
            </w:tcBorders>
          </w:tcPr>
          <w:p w:rsidR="00000000" w:rsidRDefault="00000000">
            <w:pPr>
              <w:jc w:val="center"/>
            </w:pPr>
            <w:r>
              <w:t>15 937</w:t>
            </w:r>
          </w:p>
        </w:tc>
        <w:tc>
          <w:tcPr>
            <w:tcW w:w="2357" w:type="dxa"/>
            <w:tcBorders>
              <w:top w:val="nil"/>
              <w:bottom w:val="nil"/>
            </w:tcBorders>
          </w:tcPr>
          <w:p w:rsidR="00000000" w:rsidRDefault="00000000">
            <w:pPr>
              <w:jc w:val="center"/>
            </w:pPr>
            <w:r>
              <w:t>25 896</w:t>
            </w:r>
          </w:p>
        </w:tc>
      </w:tr>
      <w:tr w:rsidR="00000000">
        <w:tblPrEx>
          <w:tblCellMar>
            <w:top w:w="0" w:type="dxa"/>
            <w:bottom w:w="0" w:type="dxa"/>
          </w:tblCellMar>
        </w:tblPrEx>
        <w:tc>
          <w:tcPr>
            <w:tcW w:w="4596" w:type="dxa"/>
            <w:tcBorders>
              <w:top w:val="nil"/>
              <w:bottom w:val="nil"/>
            </w:tcBorders>
          </w:tcPr>
          <w:p w:rsidR="00000000" w:rsidRDefault="00000000">
            <w:pPr>
              <w:tabs>
                <w:tab w:val="clear" w:pos="567"/>
              </w:tabs>
              <w:spacing w:line="240" w:lineRule="auto"/>
              <w:ind w:left="374" w:hanging="374"/>
            </w:pPr>
            <w:r>
              <w:t>Совокупный чистый доход (включая выплаты натурой)</w:t>
            </w:r>
          </w:p>
        </w:tc>
        <w:tc>
          <w:tcPr>
            <w:tcW w:w="2618" w:type="dxa"/>
            <w:tcBorders>
              <w:top w:val="nil"/>
              <w:bottom w:val="nil"/>
            </w:tcBorders>
          </w:tcPr>
          <w:p w:rsidR="00000000" w:rsidRDefault="00000000">
            <w:pPr>
              <w:jc w:val="center"/>
            </w:pPr>
            <w:r>
              <w:t>19 731</w:t>
            </w:r>
          </w:p>
        </w:tc>
        <w:tc>
          <w:tcPr>
            <w:tcW w:w="2357" w:type="dxa"/>
            <w:tcBorders>
              <w:top w:val="nil"/>
              <w:bottom w:val="nil"/>
            </w:tcBorders>
          </w:tcPr>
          <w:p w:rsidR="00000000" w:rsidRDefault="00000000">
            <w:pPr>
              <w:jc w:val="center"/>
            </w:pPr>
            <w:r>
              <w:t>25 081</w:t>
            </w:r>
          </w:p>
        </w:tc>
      </w:tr>
      <w:tr w:rsidR="00000000">
        <w:tblPrEx>
          <w:tblCellMar>
            <w:top w:w="0" w:type="dxa"/>
            <w:bottom w:w="0" w:type="dxa"/>
          </w:tblCellMar>
        </w:tblPrEx>
        <w:tc>
          <w:tcPr>
            <w:tcW w:w="4596" w:type="dxa"/>
            <w:tcBorders>
              <w:top w:val="nil"/>
            </w:tcBorders>
          </w:tcPr>
          <w:p w:rsidR="00000000" w:rsidRDefault="00000000">
            <w:pPr>
              <w:tabs>
                <w:tab w:val="clear" w:pos="567"/>
              </w:tabs>
              <w:ind w:left="374" w:hanging="374"/>
            </w:pPr>
            <w:r>
              <w:tab/>
              <w:t>в том числе, чистый денежный доход</w:t>
            </w:r>
          </w:p>
        </w:tc>
        <w:tc>
          <w:tcPr>
            <w:tcW w:w="2618" w:type="dxa"/>
            <w:tcBorders>
              <w:top w:val="nil"/>
            </w:tcBorders>
          </w:tcPr>
          <w:p w:rsidR="00000000" w:rsidRDefault="00000000">
            <w:pPr>
              <w:jc w:val="center"/>
            </w:pPr>
            <w:r>
              <w:t>18 147</w:t>
            </w:r>
          </w:p>
        </w:tc>
        <w:tc>
          <w:tcPr>
            <w:tcW w:w="2357" w:type="dxa"/>
            <w:tcBorders>
              <w:top w:val="nil"/>
            </w:tcBorders>
          </w:tcPr>
          <w:p w:rsidR="00000000" w:rsidRDefault="00000000">
            <w:pPr>
              <w:jc w:val="center"/>
            </w:pPr>
            <w:r>
              <w:t>23 967</w:t>
            </w:r>
          </w:p>
        </w:tc>
      </w:tr>
    </w:tbl>
    <w:p w:rsidR="00000000" w:rsidRDefault="00000000"/>
    <w:p w:rsidR="00000000" w:rsidRDefault="00000000">
      <w:r>
        <w:tab/>
      </w:r>
      <w:r>
        <w:rPr>
          <w:u w:val="single"/>
        </w:rPr>
        <w:t>Источник</w:t>
      </w:r>
      <w:r>
        <w:t>:</w:t>
      </w:r>
      <w:r>
        <w:tab/>
        <w:t>Статистика семейных бюджетов, Чешское статистическое управление.</w:t>
      </w:r>
    </w:p>
    <w:p w:rsidR="00000000" w:rsidRDefault="00000000"/>
    <w:p w:rsidR="00000000" w:rsidRDefault="00000000">
      <w:r>
        <w:t>262.</w:t>
      </w:r>
      <w:r>
        <w:tab/>
        <w:t>Отношение прожиточного минимума семьи к чистому денежному доходу семьи от работы по найму составляло:  для семьи с одним работающим – 52,3-59,9%;  для семьи с двумя работающими – 39,6-45,4%.</w:t>
      </w:r>
    </w:p>
    <w:p w:rsidR="00000000" w:rsidRDefault="00000000"/>
    <w:p w:rsidR="00000000" w:rsidRDefault="00000000">
      <w:r>
        <w:t>263.</w:t>
      </w:r>
      <w:r>
        <w:tab/>
        <w:t>Исходя из принципа равной оплаты за труд равной ценности, женщины имеют на работе те же права, что и мужчины.  В то же время ни в Трудовом кодексе, ни в других нормативных актах об оплате труда прямо не говорится, что мужчины и женщины имеют право на равную оплату за равный труд или за труд равной ценности.  Этот недостаток тем более очевиден, что разница в средней (почасовой) оплате труда между мужчинами и женщинами год от года возрастает.</w:t>
      </w:r>
    </w:p>
    <w:p w:rsidR="00000000" w:rsidRDefault="00000000"/>
    <w:p w:rsidR="00000000" w:rsidRDefault="00000000">
      <w:r>
        <w:t>264.</w:t>
      </w:r>
      <w:r>
        <w:tab/>
        <w:t>Осуществление принципа равной оплаты предусмотрено поправками к Трудовому кодексу, закону о заработной плате, оплате резервных работников и среднем заработке и поправками к закону об окладах и оплате резервных работников бюджетных и некоторых других органов и организаций (см. также текст по статье 3 Пакта)</w:t>
      </w:r>
      <w:r>
        <w:rPr>
          <w:rStyle w:val="FootnoteReference"/>
        </w:rPr>
        <w:footnoteReference w:id="171"/>
      </w:r>
      <w:r>
        <w:t>.  Поправки к этим законам прямо устанавливают принцип равной оплаты мужчин и женщин (равной оплаты за равный труд или труд равной ценности).</w:t>
      </w:r>
    </w:p>
    <w:p w:rsidR="00000000" w:rsidRDefault="00000000"/>
    <w:p w:rsidR="00000000" w:rsidRDefault="00000000">
      <w:r>
        <w:t>265.</w:t>
      </w:r>
      <w:r>
        <w:tab/>
        <w:t>Все законы и иные нормативные акты о заработной плате основываются на принципе равной оплаты всех работников и принципе равной оплаты за труд равной ценности.  В нормативных актах о заработной плате обычно употребляется слово "он", однако они в равной мере действуют в отношении обоих полов.  Система оценки труда, тарифные справочники и определения тарифов заработной платы "нейтральны в отношении пола и в иных отношениях" и основываются на критериях, которые являются недискриминационными (сложность и ответственность работ).  Трудовой кодекс предоставляет работникам, считающим, что они в этой области подвергаются дискриминации, возможность требовать исправления ситуации в суде.</w:t>
      </w:r>
    </w:p>
    <w:p w:rsidR="00000000" w:rsidRDefault="00000000"/>
    <w:p w:rsidR="00000000" w:rsidRDefault="00000000">
      <w:r>
        <w:t>266.</w:t>
      </w:r>
      <w:r>
        <w:tab/>
        <w:t>Статистические данные об оценке положения дел в плане равной оплаты получены из ежеквартальных выборочных обследований министерства труда и социальных дел, охватывающих в настоящее время примерно 40% работников.  Помимо министерства труда и социальных дел, Чешское статистическое управление также проводит ежегодные специальные выборочные обследования заработной платы.</w:t>
      </w:r>
    </w:p>
    <w:p w:rsidR="00000000" w:rsidRDefault="00000000"/>
    <w:p w:rsidR="00000000" w:rsidRDefault="00000000">
      <w:r>
        <w:t>267.</w:t>
      </w:r>
      <w:r>
        <w:tab/>
        <w:t>В соответствии с последними имеющимися данными (на первую половину 1999 года) почасовая ставка заработной платы женщин в среднем на 26,3% меньше, чем ставка мужчин.  Разница в оплате труда между мужчинами и женщинами демонстрирует тенденцию некоторого снижения (см. также текст по статье 3 Пакта).</w:t>
      </w:r>
    </w:p>
    <w:p w:rsidR="00000000" w:rsidRDefault="00000000"/>
    <w:p w:rsidR="00000000" w:rsidRDefault="00000000">
      <w:r>
        <w:t>268.</w:t>
      </w:r>
      <w:r>
        <w:tab/>
        <w:t>Меньше всего различие в оплате труда между мужчинами и женщинами, выполняющими простую работу, не требующую высокой квалификации, или более простую работу, требующую высшего образования.  Наиболее велика разница в оплате труда между мужчинами и женщинами, занимающимися специализированной работой или технической работой среднего уровня, а также выполняющими наиболее сложную работу, требующую высшего образования.</w:t>
      </w:r>
    </w:p>
    <w:p w:rsidR="00000000" w:rsidRDefault="00000000"/>
    <w:p w:rsidR="00000000" w:rsidRDefault="00000000">
      <w:r>
        <w:t>269.</w:t>
      </w:r>
      <w:r>
        <w:tab/>
        <w:t>Более низкий заработок женщин обусловлен в первую очередь рождением детей и ролью в семье и связанными с этим перерывами в профессиональной карьере, вызванными рождением детей (уход в отпуск в связи с рождением ребенка, уход за больными детьми и т.п.).  Такие перерывы также приводят к в среднем более низкому накоплению профессионального и трудового опыта и влияют на возможности устройства женщин на работу, требующую больших затрат времени и связанную с большей ответственностью.</w:t>
      </w:r>
    </w:p>
    <w:p w:rsidR="00000000" w:rsidRDefault="00000000"/>
    <w:p w:rsidR="00000000" w:rsidRDefault="00000000">
      <w:r>
        <w:t>270.</w:t>
      </w:r>
      <w:r>
        <w:tab/>
        <w:t>Законодательство предусматривает создание для женщин таких условий работы, которые облегчают их труд, не только в плане физиологических требований, но и, например, в плане роли, связанной с рождением и воспитанием детей.  Вместе с тем необходимо добавить, что многие положения Трудового кодекса, которые в прошлом были разработаны в качестве запретов, отвечающих интересам защиты женщин, позднее были изложены в Кодексе в другой редакции, с тем чтобы женщины имели возможность защиты, которой они вправе воспользоваться.  В результате унификации законодательства ЧР с законодательством Европейского сообщества (в частности, декретами о равноправии мужчин и женщин) женщинам будет обеспечена особая защита только в тех случаях, когда этого требуют конкретные обстоятельства.</w:t>
      </w:r>
    </w:p>
    <w:p w:rsidR="00000000" w:rsidRDefault="00000000"/>
    <w:p w:rsidR="00000000" w:rsidRDefault="00000000">
      <w:r>
        <w:t>271.</w:t>
      </w:r>
      <w:r>
        <w:tab/>
        <w:t>Режим особой защиты женщин в Чешской Республике уже не полностью соответствует последним тенденциям в развитых европейских странах.  Цели особой защиты постепенно сужаются, и в результате научно-технического прогресса общая защита уже перестает считаться оправданной, за исключением защиты беременных женщин и кормящих матерей.</w:t>
      </w:r>
    </w:p>
    <w:p w:rsidR="00000000" w:rsidRDefault="00000000"/>
    <w:p w:rsidR="00000000" w:rsidRDefault="00000000">
      <w:r>
        <w:t>272.</w:t>
      </w:r>
      <w:r>
        <w:tab/>
        <w:t>Поправки к Трудовому кодексу, соответствующие принципу равноправия мужчин и женщин в сфере труда, регулируют условия льгот в связи с уходом за ребенком, которые могут предоставляться любому из родителей (например, дополнительный отпуск для ухода за ребенком для матерей заменен на отпуск для ухода за ребенком для любого из родителей).  Несмотря на принцип равенства прав, по</w:t>
      </w:r>
      <w:r>
        <w:noBreakHyphen/>
        <w:t>прежнему имеются льготы в связи с уходом за ребенком, предоставляемые только матерям (отпуск по беременности и родам).</w:t>
      </w:r>
    </w:p>
    <w:p w:rsidR="00000000" w:rsidRDefault="00000000"/>
    <w:p w:rsidR="00000000" w:rsidRDefault="00000000">
      <w:r>
        <w:t>273.</w:t>
      </w:r>
      <w:r>
        <w:tab/>
        <w:t>В этой связи мы ссылаемся на доклад, представленный в 1998 году Чешской Республикой МОТ и касающийся осуществления Конвенции № 100 о равном вознаграждении.</w:t>
      </w:r>
    </w:p>
    <w:p w:rsidR="00000000" w:rsidRDefault="00000000"/>
    <w:p w:rsidR="00000000" w:rsidRDefault="00000000">
      <w:r>
        <w:t>274.</w:t>
      </w:r>
      <w:r>
        <w:tab/>
        <w:t>На практике встречаются случаи, когда компании и предприниматели не выполняют по отношению к своим работникам одного из основных обязательств, установленных Хартией, Трудовым кодексом и другими законами, прежде всего законами о заработной плате (окладах), оплате резервных работников и среднем заработке, - обязательства выплатить заработную плату или оклад за произведенную работу.  В таких случаях законодательство не обеспечивает необходимой защиты работников.  Ныне действующее законодательство, призванное гарантировать удовлетворение требований работников по заработной плате, не выплаченной работодателем, применяется только в рамках закона о банкротстве и урегулировании</w:t>
      </w:r>
      <w:r>
        <w:rPr>
          <w:rStyle w:val="FootnoteReference"/>
        </w:rPr>
        <w:footnoteReference w:id="172"/>
      </w:r>
      <w:r>
        <w:t>.  Разумеется, такая защита занимает много времени, сложна и недейственна для работников, хотя в ходе конкурсного производства задолженность работникам по заработной плате погашается в первую очередь.</w:t>
      </w:r>
    </w:p>
    <w:p w:rsidR="00000000" w:rsidRDefault="00000000"/>
    <w:p w:rsidR="00000000" w:rsidRDefault="00000000">
      <w:r>
        <w:t>275.</w:t>
      </w:r>
      <w:r>
        <w:tab/>
        <w:t>Ненадлежащее обеспечение права на заработную плату за труд также критиковалось в очередном докладе Европейской комиссии о Чешской Республике в 1999 году.  По этим причинам и в соответствии с планом работы правительства в законодательной области</w:t>
      </w:r>
      <w:r>
        <w:rPr>
          <w:rStyle w:val="FootnoteReference"/>
        </w:rPr>
        <w:footnoteReference w:id="173"/>
      </w:r>
      <w:r>
        <w:t xml:space="preserve"> в декабре 1999 года министр труда и социальных дел представил проект закона о защите работников в случае неплатежеспособности работодателя.  Проект закона также необходим с точки зрения унификации внутреннего законодательства с нормативными актами Европейского сообщества</w:t>
      </w:r>
      <w:r>
        <w:rPr>
          <w:rStyle w:val="FootnoteReference"/>
        </w:rPr>
        <w:footnoteReference w:id="174"/>
      </w:r>
      <w:r>
        <w:t>.  В соответствии с этим законопроектом государство выступает в Чешской Республике гарантом в случае неплатежеспособности работодателя.</w:t>
      </w:r>
    </w:p>
    <w:p w:rsidR="00000000" w:rsidRDefault="00000000"/>
    <w:p w:rsidR="00000000" w:rsidRDefault="00000000">
      <w:r>
        <w:t>276.</w:t>
      </w:r>
      <w:r>
        <w:tab/>
        <w:t>Проект закона определяет неплатежеспособность в соответствии с законом о банкротстве и урегулировании.  Однако он передает юрисдикцию в отношении осуществления подлежащих удовлетворению требований по заработной плате бюро по труду, а не конкурсному управляющему.  В проекте также перечислены субъекты, на которых не распространяется этот закон, дается определение требований по заработной плате.  В интересах ускоренного удовлетворения требований о выплате заработной платы и уменьшения неблагоприятных финансовых последствий для работника и его семьи бюро по труду в бесспорных случаях подтвердит претензию и обеспечит ее выплату, а в других случаях примет решение, основываясь на материалах, представленных работодателем или конкурсным управляющим и работником.  Предполагается, что закон будет введен в действие с 1 июля 2000 года.</w:t>
      </w:r>
    </w:p>
    <w:p w:rsidR="00000000" w:rsidRDefault="00000000"/>
    <w:p w:rsidR="00000000" w:rsidRDefault="00000000">
      <w:r>
        <w:t>277.</w:t>
      </w:r>
      <w:r>
        <w:tab/>
        <w:t>В отношении нормативных актов, гарантирующих каждому минимальные средства, необходимые для обеспечения достойной жизни для него и его семьи, мы ссылаемся на текст по статье 9 Пакта о системе социального обеспечения.</w:t>
      </w:r>
    </w:p>
    <w:p w:rsidR="00000000" w:rsidRDefault="00000000"/>
    <w:p w:rsidR="00000000" w:rsidRDefault="00000000">
      <w:pPr>
        <w:pStyle w:val="Heading6"/>
        <w:rPr>
          <w:bCs/>
          <w:u w:val="none"/>
        </w:rPr>
      </w:pPr>
      <w:r>
        <w:rPr>
          <w:bCs/>
          <w:u w:val="none"/>
        </w:rPr>
        <w:t>Безопасные и здоровые условия труда</w:t>
      </w:r>
    </w:p>
    <w:p w:rsidR="00000000" w:rsidRDefault="00000000">
      <w:pPr>
        <w:pStyle w:val="Heading6"/>
        <w:rPr>
          <w:bCs/>
        </w:rPr>
      </w:pPr>
    </w:p>
    <w:p w:rsidR="00000000" w:rsidRDefault="00000000">
      <w:r>
        <w:t>278.</w:t>
      </w:r>
      <w:r>
        <w:tab/>
        <w:t>Оценивая соблюдение пункта </w:t>
      </w:r>
      <w:r>
        <w:rPr>
          <w:lang w:val="en-US"/>
        </w:rPr>
        <w:t>b</w:t>
      </w:r>
      <w:r>
        <w:t>) статьи 7 Пакта, мы ссылаемся на доклады об осуществлении Конвенции № 155 МОТ.</w:t>
      </w:r>
    </w:p>
    <w:p w:rsidR="00000000" w:rsidRDefault="00000000"/>
    <w:p w:rsidR="00000000" w:rsidRDefault="00000000">
      <w:r>
        <w:t>279.</w:t>
      </w:r>
      <w:r>
        <w:tab/>
        <w:t>Главные нормативные акты о защите безопасности и гигиены труда:</w:t>
      </w:r>
    </w:p>
    <w:p w:rsidR="00000000" w:rsidRDefault="00000000">
      <w:pPr>
        <w:spacing w:line="240" w:lineRule="auto"/>
      </w:pPr>
    </w:p>
    <w:p w:rsidR="00000000" w:rsidRDefault="00000000">
      <w:pPr>
        <w:spacing w:line="240" w:lineRule="auto"/>
      </w:pPr>
      <w:r>
        <w:tab/>
        <w:t>-</w:t>
      </w:r>
      <w:r>
        <w:tab/>
        <w:t>Трудовой кодекс</w:t>
      </w:r>
    </w:p>
    <w:p w:rsidR="00000000" w:rsidRDefault="00000000">
      <w:pPr>
        <w:spacing w:line="240" w:lineRule="auto"/>
      </w:pPr>
    </w:p>
    <w:p w:rsidR="00000000" w:rsidRDefault="00000000">
      <w:pPr>
        <w:spacing w:line="240" w:lineRule="auto"/>
      </w:pPr>
      <w:r>
        <w:tab/>
        <w:t>-</w:t>
      </w:r>
      <w:r>
        <w:tab/>
        <w:t>закон о специализированном контроле государства за безопасность труда</w:t>
      </w:r>
      <w:r>
        <w:rPr>
          <w:rStyle w:val="FootnoteReference"/>
        </w:rPr>
        <w:footnoteReference w:id="175"/>
      </w:r>
      <w:r>
        <w:t>;</w:t>
      </w:r>
    </w:p>
    <w:p w:rsidR="00000000" w:rsidRDefault="00000000">
      <w:pPr>
        <w:spacing w:line="240" w:lineRule="auto"/>
      </w:pPr>
    </w:p>
    <w:p w:rsidR="00000000" w:rsidRDefault="00000000">
      <w:pPr>
        <w:spacing w:line="240" w:lineRule="auto"/>
      </w:pPr>
      <w:r>
        <w:tab/>
        <w:t>-</w:t>
      </w:r>
      <w:r>
        <w:tab/>
        <w:t>закон о здравоохранении</w:t>
      </w:r>
      <w:r>
        <w:rPr>
          <w:rStyle w:val="FootnoteReference"/>
        </w:rPr>
        <w:footnoteReference w:id="176"/>
      </w:r>
      <w:r>
        <w:t>;</w:t>
      </w:r>
    </w:p>
    <w:p w:rsidR="00000000" w:rsidRDefault="00000000">
      <w:pPr>
        <w:spacing w:line="240" w:lineRule="auto"/>
      </w:pPr>
    </w:p>
    <w:p w:rsidR="00000000" w:rsidRDefault="00000000">
      <w:pPr>
        <w:ind w:left="1134" w:hanging="1134"/>
      </w:pPr>
      <w:r>
        <w:tab/>
        <w:t>-</w:t>
      </w:r>
      <w:r>
        <w:tab/>
        <w:t>закон о горных работах, взрывчатых веществах и Государственном горном управлении</w:t>
      </w:r>
      <w:r>
        <w:rPr>
          <w:rStyle w:val="FootnoteReference"/>
        </w:rPr>
        <w:footnoteReference w:id="177"/>
      </w:r>
      <w:r>
        <w:t>;</w:t>
      </w:r>
    </w:p>
    <w:p w:rsidR="00000000" w:rsidRDefault="00000000">
      <w:pPr>
        <w:ind w:left="1134" w:hanging="1134"/>
      </w:pPr>
    </w:p>
    <w:p w:rsidR="00000000" w:rsidRDefault="00000000">
      <w:pPr>
        <w:ind w:left="1134" w:hanging="1134"/>
      </w:pPr>
      <w:r>
        <w:br w:type="page"/>
      </w:r>
      <w:r>
        <w:tab/>
        <w:t>-</w:t>
      </w:r>
      <w:r>
        <w:tab/>
        <w:t>приказ министра здравоохранения об обеспечении и ограждении здоровых условий жизни</w:t>
      </w:r>
      <w:r>
        <w:rPr>
          <w:rStyle w:val="FootnoteReference"/>
        </w:rPr>
        <w:footnoteReference w:id="178"/>
      </w:r>
      <w:r>
        <w:t>;</w:t>
      </w:r>
    </w:p>
    <w:p w:rsidR="00000000" w:rsidRDefault="00000000">
      <w:pPr>
        <w:ind w:left="1134" w:hanging="1134"/>
      </w:pPr>
    </w:p>
    <w:p w:rsidR="00000000" w:rsidRDefault="00000000">
      <w:pPr>
        <w:ind w:left="1134" w:hanging="1134"/>
      </w:pPr>
      <w:r>
        <w:tab/>
        <w:t>-</w:t>
      </w:r>
      <w:r>
        <w:tab/>
        <w:t>распоряжение об учете и регистрации производственных травм и представлении сведений о несчастных случаях на производстве и выходе из строя оборудования</w:t>
      </w:r>
      <w:r>
        <w:rPr>
          <w:rStyle w:val="FootnoteReference"/>
        </w:rPr>
        <w:footnoteReference w:id="179"/>
      </w:r>
      <w:r>
        <w:t>;</w:t>
      </w:r>
    </w:p>
    <w:p w:rsidR="00000000" w:rsidRDefault="00000000">
      <w:pPr>
        <w:ind w:left="1134" w:hanging="1134"/>
      </w:pPr>
    </w:p>
    <w:p w:rsidR="00000000" w:rsidRDefault="00000000">
      <w:pPr>
        <w:ind w:left="1134" w:hanging="1134"/>
      </w:pPr>
      <w:r>
        <w:tab/>
        <w:t>-</w:t>
      </w:r>
      <w:r>
        <w:tab/>
        <w:t>приказ министра труда об утверждении перечня и порядка предоставления индивидуальных средств защиты и моющих, чистящих и дезинфицирующих средств</w:t>
      </w:r>
      <w:r>
        <w:rPr>
          <w:rStyle w:val="FootnoteReference"/>
        </w:rPr>
        <w:footnoteReference w:id="180"/>
      </w:r>
      <w:r>
        <w:t>;</w:t>
      </w:r>
    </w:p>
    <w:p w:rsidR="00000000" w:rsidRDefault="00000000">
      <w:pPr>
        <w:ind w:left="1134" w:hanging="1134"/>
      </w:pPr>
    </w:p>
    <w:p w:rsidR="00000000" w:rsidRDefault="00000000">
      <w:pPr>
        <w:ind w:left="1134" w:hanging="1134"/>
      </w:pPr>
      <w:r>
        <w:tab/>
        <w:t>-</w:t>
      </w:r>
      <w:r>
        <w:tab/>
        <w:t>распоряжение об установлении основных требований к обеспечению безопасности труда и безопасности оборудования</w:t>
      </w:r>
      <w:r>
        <w:rPr>
          <w:rStyle w:val="FootnoteReference"/>
        </w:rPr>
        <w:footnoteReference w:id="181"/>
      </w:r>
      <w:r>
        <w:t>.</w:t>
      </w:r>
    </w:p>
    <w:p w:rsidR="00000000" w:rsidRDefault="00000000">
      <w:pPr>
        <w:ind w:left="1134" w:hanging="1134"/>
      </w:pPr>
    </w:p>
    <w:p w:rsidR="00000000" w:rsidRDefault="00000000">
      <w:r>
        <w:t>Помимо этих нормативных актов безопасность труда также обеспечивается многими другими нормативными актами и техническими стандартами.  Эти нормативные акты приводятся в докладах Чешской Республики об осуществлении конвенций МОТ № 155 и 148.</w:t>
      </w:r>
    </w:p>
    <w:p w:rsidR="00000000" w:rsidRDefault="00000000"/>
    <w:p w:rsidR="00000000" w:rsidRDefault="00000000">
      <w:r>
        <w:t>280.</w:t>
      </w:r>
      <w:r>
        <w:tab/>
        <w:t>Право на здоровые условия труда вытекают из следующего:</w:t>
      </w:r>
    </w:p>
    <w:p w:rsidR="00000000" w:rsidRDefault="00000000"/>
    <w:p w:rsidR="00000000" w:rsidRDefault="00000000">
      <w:r>
        <w:tab/>
        <w:t>а)</w:t>
      </w:r>
      <w:r>
        <w:tab/>
        <w:t>право на защиту здоровья в соответствии со статьей 31 Хартии:  "Каждый имеет право на охрану здоровья.  На основе общественного страхования граждане имеют право на бесплатное медицинское обслуживание и на медицинское пособие на условиях, установленных законом";</w:t>
      </w:r>
    </w:p>
    <w:p w:rsidR="00000000" w:rsidRDefault="00000000">
      <w:pPr>
        <w:rPr>
          <w:i/>
          <w:iCs/>
        </w:rPr>
      </w:pPr>
    </w:p>
    <w:p w:rsidR="00000000" w:rsidRDefault="00000000">
      <w:r>
        <w:tab/>
      </w:r>
      <w:r>
        <w:rPr>
          <w:lang w:val="en-US"/>
        </w:rPr>
        <w:t>b</w:t>
      </w:r>
      <w:r>
        <w:t>)</w:t>
      </w:r>
      <w:r>
        <w:tab/>
        <w:t>право на удовлетворительные условия труда в соответствии с указанной выше статьей 28 Хартии;</w:t>
      </w:r>
    </w:p>
    <w:p w:rsidR="00000000" w:rsidRDefault="00000000"/>
    <w:p w:rsidR="00000000" w:rsidRDefault="00000000">
      <w:r>
        <w:tab/>
        <w:t>с)</w:t>
      </w:r>
      <w:r>
        <w:tab/>
        <w:t>статья 29 Хартии, гарантирующая повышенную охрану здоровья женщин, молодежи и лиц с нарушениями здоровья:</w:t>
      </w:r>
    </w:p>
    <w:p w:rsidR="00000000" w:rsidRDefault="00000000"/>
    <w:p w:rsidR="00000000" w:rsidRDefault="00000000">
      <w:pPr>
        <w:ind w:left="567" w:hanging="567"/>
      </w:pPr>
      <w:r>
        <w:tab/>
        <w:t>"1)</w:t>
      </w:r>
      <w:r>
        <w:tab/>
        <w:t>Женщины, молодежь и лица с нарушениями здоровья имеют право на повышенную охрану здоровья в процессе труда и особые условия труда.</w:t>
      </w:r>
    </w:p>
    <w:p w:rsidR="00000000" w:rsidRDefault="00000000">
      <w:pPr>
        <w:ind w:left="567" w:hanging="567"/>
      </w:pPr>
    </w:p>
    <w:p w:rsidR="00000000" w:rsidRDefault="00000000">
      <w:pPr>
        <w:ind w:left="567" w:hanging="567"/>
      </w:pPr>
      <w:r>
        <w:tab/>
        <w:t>2)</w:t>
      </w:r>
      <w:r>
        <w:tab/>
        <w:t>Молодежь и лица с нарушениями здоровья имеют право на особую защиту в трудовых отношениях и на помощь в овладении профессией".</w:t>
      </w:r>
    </w:p>
    <w:p w:rsidR="00000000" w:rsidRDefault="00000000">
      <w:pPr>
        <w:ind w:left="567" w:hanging="567"/>
      </w:pPr>
    </w:p>
    <w:p w:rsidR="00000000" w:rsidRDefault="00000000">
      <w:r>
        <w:t>281.</w:t>
      </w:r>
      <w:r>
        <w:tab/>
        <w:t>Работодатель обязан возместить ущерб, причиненный работнику в результате несчастного случая на производстве, имевшего место при выполнении производственного задания или в непосредственной связи с ним.  Работники обязаны соблюдать правила техники безопасности и гигиены труда (статья 73, подпункт 1 с), Трудового кодекса), и контролирующие работники обязаны обеспечить соблюдение таких правил (статья 74 Трудового кодекса).  Знание правил техники безопасности и гигиены труда является неотъемлемым элементом квалификационных требований.  Статьи 133</w:t>
      </w:r>
      <w:r>
        <w:noBreakHyphen/>
        <w:t>136 Трудового кодекса подробно устанавливают права и обязанности работников и работодателей.</w:t>
      </w:r>
    </w:p>
    <w:p w:rsidR="00000000" w:rsidRDefault="00000000"/>
    <w:p w:rsidR="00000000" w:rsidRDefault="00000000">
      <w:r>
        <w:t>282.</w:t>
      </w:r>
      <w:r>
        <w:tab/>
        <w:t>Здесь под "правилами техники безопасности и гигиены труда" имеются в виду все нормативные акты о защите жизни и здоровья, санитарно-гигиенические и антиэпидемические нормативные акты, нормативные акты о безопасности технического оборудования и технические стандарты, транспортные предписания, предписания о пожаробезопасности и предписания об обращении с воспламеняющимися и взрывчатыми веществами, оружием, радиоактивными, ядовитыми и иными материалами, вредными для здоровья, в части вопросов, касающихся защиты жизни и здоровья.  К ним относятся нормативные акты о безопасности и гигиене труда, изданные центральными органами и работодателями и утвержденные соответствующими государственными контрольными органами, уполномоченными следить за безопасностью труда и технического оборудования, и соответствующими профсоюзными органами (статья 273 Трудового кодекса).</w:t>
      </w:r>
    </w:p>
    <w:p w:rsidR="00000000" w:rsidRDefault="00000000"/>
    <w:p w:rsidR="00000000" w:rsidRDefault="00000000">
      <w:r>
        <w:t>283.</w:t>
      </w:r>
      <w:r>
        <w:tab/>
        <w:t>Государственный контроль за безопасностью и гигиеной труда осуществляют:</w:t>
      </w:r>
    </w:p>
    <w:p w:rsidR="00000000" w:rsidRDefault="00000000"/>
    <w:p w:rsidR="00000000" w:rsidRDefault="00000000">
      <w:r>
        <w:tab/>
        <w:t>а)</w:t>
      </w:r>
      <w:r>
        <w:tab/>
        <w:t>министерство труда и социальных дел ЧР и подчиненное ему Чешское бюро безопасности труда, проводящие инспекции труда;</w:t>
      </w:r>
    </w:p>
    <w:p w:rsidR="00000000" w:rsidRDefault="00000000"/>
    <w:p w:rsidR="00000000" w:rsidRDefault="00000000">
      <w:r>
        <w:tab/>
      </w:r>
      <w:r>
        <w:rPr>
          <w:lang w:val="en-US"/>
        </w:rPr>
        <w:t>b</w:t>
      </w:r>
      <w:r>
        <w:t>)</w:t>
      </w:r>
      <w:r>
        <w:tab/>
        <w:t>Чешское горное бюро, привлекающее к этой работе свои территориальные подразделения;</w:t>
      </w:r>
    </w:p>
    <w:p w:rsidR="00000000" w:rsidRDefault="00000000"/>
    <w:p w:rsidR="00000000" w:rsidRDefault="00000000">
      <w:r>
        <w:tab/>
        <w:t>с)</w:t>
      </w:r>
      <w:r>
        <w:tab/>
        <w:t>профсоюзные органы (статья 136 Трудового кодекса);</w:t>
      </w:r>
    </w:p>
    <w:p w:rsidR="00000000" w:rsidRDefault="00000000"/>
    <w:p w:rsidR="00000000" w:rsidRDefault="00000000">
      <w:r>
        <w:tab/>
        <w:t>d)</w:t>
      </w:r>
      <w:r>
        <w:tab/>
        <w:t>органы государственной санитарной инспекции (в соответствии с Законом о здравоохранении).</w:t>
      </w:r>
    </w:p>
    <w:p w:rsidR="00000000" w:rsidRDefault="00000000"/>
    <w:p w:rsidR="00000000" w:rsidRDefault="00000000">
      <w:r>
        <w:t>284.</w:t>
      </w:r>
      <w:r>
        <w:tab/>
        <w:t>Подробная информация о нормах законодательства и практике по вопросам, регламентируемым конвенциями Международной организации труда об инспекции труда (Конвенция № 81 и Рекомендация № 81 об инспекции труда;  Конвенция № 129 и Рекомендация № 133 об инспекции труда в сельском хозяйстве), содержится в докладах, ранее представленных контрольным органом МОТ в соответствии со статьей 19 Устава МОТ о нератифицированных конвенциях.</w:t>
      </w:r>
    </w:p>
    <w:p w:rsidR="00000000" w:rsidRDefault="00000000"/>
    <w:p w:rsidR="00000000" w:rsidRDefault="00000000">
      <w:pPr>
        <w:pStyle w:val="Heading1"/>
        <w:jc w:val="center"/>
        <w:rPr>
          <w:bCs/>
        </w:rPr>
      </w:pPr>
      <w:r>
        <w:rPr>
          <w:bCs/>
        </w:rPr>
        <w:t>Несчастные случаи на производстве в Чешской Республике</w:t>
      </w:r>
    </w:p>
    <w:p w:rsidR="00000000" w:rsidRDefault="00000000"/>
    <w:tbl>
      <w:tblPr>
        <w:tblW w:w="0" w:type="auto"/>
        <w:tblLook w:val="0000" w:firstRow="0" w:lastRow="0" w:firstColumn="0" w:lastColumn="0" w:noHBand="0" w:noVBand="0"/>
      </w:tblPr>
      <w:tblGrid>
        <w:gridCol w:w="5530"/>
        <w:gridCol w:w="1309"/>
        <w:gridCol w:w="1309"/>
        <w:gridCol w:w="1422"/>
      </w:tblGrid>
      <w:tr w:rsidR="00000000">
        <w:tblPrEx>
          <w:tblCellMar>
            <w:top w:w="0" w:type="dxa"/>
            <w:bottom w:w="0" w:type="dxa"/>
          </w:tblCellMar>
        </w:tblPrEx>
        <w:tc>
          <w:tcPr>
            <w:tcW w:w="5531"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pP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jc w:val="center"/>
            </w:pPr>
            <w:r>
              <w:t>1993 год</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jc w:val="center"/>
            </w:pPr>
            <w:r>
              <w:t>1995 год</w:t>
            </w:r>
          </w:p>
        </w:tc>
        <w:tc>
          <w:tcPr>
            <w:tcW w:w="1422" w:type="dxa"/>
            <w:tcBorders>
              <w:top w:val="single" w:sz="4" w:space="0" w:color="auto"/>
              <w:left w:val="single" w:sz="4" w:space="0" w:color="auto"/>
              <w:bottom w:val="single" w:sz="4" w:space="0" w:color="auto"/>
              <w:right w:val="single" w:sz="4" w:space="0" w:color="auto"/>
            </w:tcBorders>
          </w:tcPr>
          <w:p w:rsidR="00000000" w:rsidRDefault="00000000">
            <w:pPr>
              <w:jc w:val="center"/>
            </w:pPr>
            <w:r>
              <w:t>1998 год</w:t>
            </w:r>
          </w:p>
        </w:tc>
      </w:tr>
      <w:tr w:rsidR="00000000">
        <w:tblPrEx>
          <w:tblCellMar>
            <w:top w:w="0" w:type="dxa"/>
            <w:bottom w:w="0" w:type="dxa"/>
          </w:tblCellMar>
        </w:tblPrEx>
        <w:tc>
          <w:tcPr>
            <w:tcW w:w="5531" w:type="dxa"/>
            <w:tcBorders>
              <w:top w:val="single" w:sz="4" w:space="0" w:color="auto"/>
              <w:left w:val="single" w:sz="4" w:space="0" w:color="auto"/>
              <w:right w:val="single" w:sz="4" w:space="0" w:color="auto"/>
            </w:tcBorders>
          </w:tcPr>
          <w:p w:rsidR="00000000" w:rsidRDefault="00000000">
            <w:r>
              <w:t>Число сообщений о производственных травмах</w:t>
            </w:r>
          </w:p>
        </w:tc>
        <w:tc>
          <w:tcPr>
            <w:tcW w:w="1309" w:type="dxa"/>
            <w:tcBorders>
              <w:top w:val="single" w:sz="4" w:space="0" w:color="auto"/>
              <w:left w:val="single" w:sz="4" w:space="0" w:color="auto"/>
              <w:right w:val="single" w:sz="4" w:space="0" w:color="auto"/>
            </w:tcBorders>
          </w:tcPr>
          <w:p w:rsidR="00000000" w:rsidRDefault="00000000">
            <w:pPr>
              <w:tabs>
                <w:tab w:val="clear" w:pos="1134"/>
              </w:tabs>
              <w:ind w:right="266"/>
              <w:jc w:val="right"/>
            </w:pPr>
            <w:r>
              <w:t>109 908</w:t>
            </w:r>
          </w:p>
        </w:tc>
        <w:tc>
          <w:tcPr>
            <w:tcW w:w="1309" w:type="dxa"/>
            <w:tcBorders>
              <w:top w:val="single" w:sz="4" w:space="0" w:color="auto"/>
              <w:left w:val="single" w:sz="4" w:space="0" w:color="auto"/>
              <w:right w:val="single" w:sz="4" w:space="0" w:color="auto"/>
            </w:tcBorders>
          </w:tcPr>
          <w:p w:rsidR="00000000" w:rsidRDefault="00000000">
            <w:pPr>
              <w:tabs>
                <w:tab w:val="clear" w:pos="1134"/>
              </w:tabs>
              <w:ind w:right="266"/>
              <w:jc w:val="right"/>
            </w:pPr>
            <w:r>
              <w:t>106 275</w:t>
            </w:r>
          </w:p>
        </w:tc>
        <w:tc>
          <w:tcPr>
            <w:tcW w:w="1422" w:type="dxa"/>
            <w:tcBorders>
              <w:top w:val="single" w:sz="4" w:space="0" w:color="auto"/>
              <w:left w:val="single" w:sz="4" w:space="0" w:color="auto"/>
              <w:right w:val="single" w:sz="4" w:space="0" w:color="auto"/>
            </w:tcBorders>
          </w:tcPr>
          <w:p w:rsidR="00000000" w:rsidRDefault="00000000">
            <w:pPr>
              <w:tabs>
                <w:tab w:val="clear" w:pos="1134"/>
              </w:tabs>
              <w:ind w:right="266"/>
              <w:jc w:val="right"/>
            </w:pPr>
            <w:r>
              <w:t>107 175</w:t>
            </w:r>
          </w:p>
        </w:tc>
      </w:tr>
      <w:tr w:rsidR="00000000">
        <w:tblPrEx>
          <w:tblCellMar>
            <w:top w:w="0" w:type="dxa"/>
            <w:bottom w:w="0" w:type="dxa"/>
          </w:tblCellMar>
        </w:tblPrEx>
        <w:tc>
          <w:tcPr>
            <w:tcW w:w="5531" w:type="dxa"/>
            <w:tcBorders>
              <w:left w:val="single" w:sz="4" w:space="0" w:color="auto"/>
              <w:bottom w:val="single" w:sz="4" w:space="0" w:color="auto"/>
              <w:right w:val="single" w:sz="4" w:space="0" w:color="auto"/>
            </w:tcBorders>
          </w:tcPr>
          <w:p w:rsidR="00000000" w:rsidRDefault="00000000">
            <w:r>
              <w:t>Число производственных травм на 100 работников</w:t>
            </w:r>
          </w:p>
        </w:tc>
        <w:tc>
          <w:tcPr>
            <w:tcW w:w="1309" w:type="dxa"/>
            <w:tcBorders>
              <w:left w:val="single" w:sz="4" w:space="0" w:color="auto"/>
              <w:bottom w:val="single" w:sz="4" w:space="0" w:color="auto"/>
              <w:right w:val="single" w:sz="4" w:space="0" w:color="auto"/>
            </w:tcBorders>
            <w:vAlign w:val="bottom"/>
          </w:tcPr>
          <w:p w:rsidR="00000000" w:rsidRDefault="00000000">
            <w:pPr>
              <w:tabs>
                <w:tab w:val="clear" w:pos="1134"/>
              </w:tabs>
              <w:ind w:right="266"/>
              <w:jc w:val="right"/>
            </w:pPr>
            <w:r>
              <w:t>2,33</w:t>
            </w:r>
          </w:p>
        </w:tc>
        <w:tc>
          <w:tcPr>
            <w:tcW w:w="1309" w:type="dxa"/>
            <w:tcBorders>
              <w:left w:val="single" w:sz="4" w:space="0" w:color="auto"/>
              <w:bottom w:val="single" w:sz="4" w:space="0" w:color="auto"/>
              <w:right w:val="single" w:sz="4" w:space="0" w:color="auto"/>
            </w:tcBorders>
            <w:vAlign w:val="bottom"/>
          </w:tcPr>
          <w:p w:rsidR="00000000" w:rsidRDefault="00000000">
            <w:pPr>
              <w:tabs>
                <w:tab w:val="clear" w:pos="1134"/>
              </w:tabs>
              <w:ind w:right="266"/>
              <w:jc w:val="right"/>
            </w:pPr>
            <w:r>
              <w:t>2,26</w:t>
            </w:r>
          </w:p>
        </w:tc>
        <w:tc>
          <w:tcPr>
            <w:tcW w:w="1422" w:type="dxa"/>
            <w:tcBorders>
              <w:left w:val="single" w:sz="4" w:space="0" w:color="auto"/>
              <w:bottom w:val="single" w:sz="4" w:space="0" w:color="auto"/>
              <w:right w:val="single" w:sz="4" w:space="0" w:color="auto"/>
            </w:tcBorders>
            <w:vAlign w:val="bottom"/>
          </w:tcPr>
          <w:p w:rsidR="00000000" w:rsidRDefault="00000000">
            <w:pPr>
              <w:tabs>
                <w:tab w:val="clear" w:pos="1134"/>
              </w:tabs>
              <w:ind w:right="266"/>
              <w:jc w:val="right"/>
            </w:pPr>
            <w:r>
              <w:t>2,24</w:t>
            </w:r>
          </w:p>
        </w:tc>
      </w:tr>
    </w:tbl>
    <w:p w:rsidR="00000000" w:rsidRDefault="00000000">
      <w:pPr>
        <w:pStyle w:val="FootnoteText"/>
        <w:spacing w:line="288" w:lineRule="auto"/>
      </w:pPr>
    </w:p>
    <w:p w:rsidR="00000000" w:rsidRDefault="00000000">
      <w:r>
        <w:tab/>
      </w:r>
      <w:r>
        <w:rPr>
          <w:u w:val="single"/>
        </w:rPr>
        <w:t>Примечание</w:t>
      </w:r>
      <w:r>
        <w:t>:  В 1993 году имело место 368 несчастных случаев на производстве со смертельным исходом, в 1995 году произошло 257 таких случаев, а в 1998 году - 267 случаев.  Примерно 10% таких пострадавших - женщины.</w:t>
      </w:r>
    </w:p>
    <w:p w:rsidR="00000000" w:rsidRDefault="00000000"/>
    <w:p w:rsidR="00000000" w:rsidRDefault="00000000">
      <w:r>
        <w:t>285.</w:t>
      </w:r>
      <w:r>
        <w:tab/>
        <w:t>Действие нормативных актов о безопасности и гигиене труда распространяется на работников всех отраслей народного хозяйства.  Все рабочие места контролируются соответствующими инспекционными органами.  Однако на практике уровень соблюдения требований техники безопасности подчас низок, в частности на менее крупных предприятиях.  При обновлении законодательного регулирования трудовых отношений и условий труда в соответствии с нормами законодательства министерство труда и социальных дел в предстоящий период призвано решить две важных задачи:  создать реально функционирующий комплексный орган инспекции труда и создать новую систему страхования от несчастных случаев на производстве.  Достижение обеих задач связано с порученной министерству перестройкой существующей системы бюро по труду, инспекций безопасности труда и инспекций гигиены труда, поскольку ныне действующие нормативные акты и их организационное обеспечение по</w:t>
      </w:r>
      <w:r>
        <w:noBreakHyphen/>
        <w:t>прежнему несут черты директивного управления, а также с подготовкой предложений относительно всеобъемлющего правового регулирования обеспечения безопасности и гигиены труда.  Важная задача - изменение нынешней системы страхования от несчастных случаев на производстве, и новая система должна стимулировать предотвращение производственных травм и другого вреда здоровью на производстве.  Ныне действующее законодательство не предусматривает возможности создания достаточно эффективных экономических стимулов, побуждающих предприятия уделять должное внимание вопросам безопасности и охраны труда на производстве и таким образом учитывать факторы производственного травматизма при должной организации производства.</w:t>
      </w:r>
    </w:p>
    <w:p w:rsidR="00000000" w:rsidRDefault="00000000"/>
    <w:p w:rsidR="00000000" w:rsidRDefault="00000000">
      <w:pPr>
        <w:pStyle w:val="Heading1"/>
        <w:rPr>
          <w:bCs/>
        </w:rPr>
      </w:pPr>
      <w:r>
        <w:rPr>
          <w:bCs/>
        </w:rPr>
        <w:t>Равные возможности служебного роста</w:t>
      </w:r>
    </w:p>
    <w:p w:rsidR="00000000" w:rsidRDefault="00000000">
      <w:pPr>
        <w:pStyle w:val="Heading1"/>
        <w:rPr>
          <w:bCs/>
          <w:u w:val="single"/>
        </w:rPr>
      </w:pPr>
    </w:p>
    <w:p w:rsidR="00000000" w:rsidRDefault="00000000">
      <w:r>
        <w:t>286.</w:t>
      </w:r>
      <w:r>
        <w:tab/>
        <w:t>Статья 3 Хартии гласит, что предусмотренные в ней права и свободы гарантируются каждому без какой бы то ни было дискриминации.  Этот принцип также касается служебного роста.  Назначение на более ответственную работу основывается главным образом на доказанных способностях, образовании и опыте.  Продвижение по службе производится на основе оценки труда работников (в соответствии со статьей 74 Трудового кодекса работодатели должны оценивать результаты труда работников).</w:t>
      </w:r>
    </w:p>
    <w:p w:rsidR="00000000" w:rsidRDefault="00000000"/>
    <w:p w:rsidR="00000000" w:rsidRDefault="00000000">
      <w:r>
        <w:t>287.</w:t>
      </w:r>
      <w:r>
        <w:tab/>
        <w:t>Работодатель обязан обсудить оценку результатов труда с работником и по его просьбе выдает тому копию такой оценки.  Если работник не согласен с оценкой, он может оспорить ее в суде (статья 60 Трудового кодекса).</w:t>
      </w:r>
    </w:p>
    <w:p w:rsidR="00000000" w:rsidRDefault="00000000"/>
    <w:p w:rsidR="00000000" w:rsidRDefault="00000000">
      <w:r>
        <w:t>288.</w:t>
      </w:r>
      <w:r>
        <w:tab/>
        <w:t>Статья 26 Хартии гласит:  "Законом могут быть установлены условия и ограничения осуществления определенных профессий или видов деятельности".  В 1991 году на основе этого положения был принят закон № 451/1991 С</w:t>
      </w:r>
      <w:r>
        <w:rPr>
          <w:lang w:val="en-US"/>
        </w:rPr>
        <w:t>oll</w:t>
      </w:r>
      <w:r>
        <w:t>., устанавливающий определенные требования для назначения на ряд должностей в государственных органах и организациях Чешской и Словацкой Федеративной Республики, Чешской Республики и Словацкой Республики.  По поводу дополнительной оценки этого "закона о люстрации" мы ссылаемся на мнения, представленные контролирующим органами МОТ в связи с жалобой Профсоюзной ассоциации Богемии, Моравии и Силезии о нарушении Конвенции № 111 МОТ, а также текст по статье 6 Пакта.</w:t>
      </w:r>
    </w:p>
    <w:p w:rsidR="00000000" w:rsidRDefault="00000000"/>
    <w:p w:rsidR="00000000" w:rsidRDefault="00000000">
      <w:r>
        <w:t>289.</w:t>
      </w:r>
      <w:r>
        <w:tab/>
        <w:t>Важным нормативным документом (имеющим в ЧР прямое действие), обеспечивающим равенство возможностей продвижения по службе, является Конвенция № 111 МОТ, устанавливающая в своей статье 2 обязательство государства обеспечить равенство возможностей и равное обращение по вопросам занятости и трудоустройства без какой бы то ни было дискриминации.  Работа и занятость также означают доступ к специализированному обучению, возможность трудоустройства и получения различных профессий и условий трудоустройства.  Любые дифференциации, исключение или предпочтение на основе квалификации, требуемой для определенных профессий, не являются дискриминацией.</w:t>
      </w:r>
    </w:p>
    <w:p w:rsidR="00000000" w:rsidRDefault="00000000"/>
    <w:p w:rsidR="00000000" w:rsidRDefault="00000000">
      <w:r>
        <w:t>290.</w:t>
      </w:r>
      <w:r>
        <w:tab/>
        <w:t>Гражданин (трудящийся) может добиваться обеспечения равенства возможностей служебного роста в судах, ссылаясь на статью 3 Хартии или непосредственно на Конвенцию № 111 и статью 7 Пакта.</w:t>
      </w:r>
    </w:p>
    <w:p w:rsidR="00000000" w:rsidRDefault="00000000"/>
    <w:p w:rsidR="00000000" w:rsidRDefault="00000000">
      <w:pPr>
        <w:pStyle w:val="BodyText"/>
        <w:spacing w:line="288" w:lineRule="auto"/>
        <w:rPr>
          <w:b/>
          <w:bCs/>
        </w:rPr>
      </w:pPr>
      <w:r>
        <w:rPr>
          <w:b/>
          <w:bCs/>
        </w:rPr>
        <w:t>Отдых, свободное время, ограничение рабочего дня, оплачиваемый отпуск, оплачиваемые выходные дни</w:t>
      </w:r>
    </w:p>
    <w:p w:rsidR="00000000" w:rsidRDefault="00000000">
      <w:pPr>
        <w:pStyle w:val="BodyText"/>
        <w:spacing w:line="288" w:lineRule="auto"/>
        <w:rPr>
          <w:u w:val="single"/>
        </w:rPr>
      </w:pPr>
    </w:p>
    <w:p w:rsidR="00000000" w:rsidRDefault="00000000">
      <w:r>
        <w:t>291.</w:t>
      </w:r>
      <w:r>
        <w:tab/>
        <w:t>Эти категории регламентируются положениями следующих законодательных актов:</w:t>
      </w:r>
    </w:p>
    <w:p w:rsidR="00000000" w:rsidRDefault="00000000"/>
    <w:p w:rsidR="00000000" w:rsidRDefault="00000000">
      <w:r>
        <w:tab/>
        <w:t>-</w:t>
      </w:r>
      <w:r>
        <w:tab/>
        <w:t>Трудовой кодекс, особенно статьи 83, 96 и 100</w:t>
      </w:r>
      <w:r>
        <w:rPr>
          <w:rStyle w:val="FootnoteReference"/>
        </w:rPr>
        <w:footnoteReference w:id="182"/>
      </w:r>
      <w:r>
        <w:t>;</w:t>
      </w:r>
    </w:p>
    <w:p w:rsidR="00000000" w:rsidRDefault="00000000"/>
    <w:p w:rsidR="00000000" w:rsidRDefault="00000000">
      <w:pPr>
        <w:ind w:left="1134" w:hanging="1134"/>
      </w:pPr>
      <w:r>
        <w:tab/>
        <w:t>-</w:t>
      </w:r>
      <w:r>
        <w:tab/>
        <w:t>Приказ министра труда о принципах введения сокращенной рабочей недели и режимов работы с пятидневной рабочей неделей</w:t>
      </w:r>
      <w:r>
        <w:rPr>
          <w:rStyle w:val="FootnoteReference"/>
        </w:rPr>
        <w:footnoteReference w:id="183"/>
      </w:r>
      <w:r>
        <w:t>;</w:t>
      </w:r>
    </w:p>
    <w:p w:rsidR="00000000" w:rsidRDefault="00000000">
      <w:pPr>
        <w:ind w:left="1134" w:hanging="1134"/>
      </w:pPr>
    </w:p>
    <w:p w:rsidR="00000000" w:rsidRDefault="00000000">
      <w:pPr>
        <w:ind w:left="1134" w:hanging="1134"/>
      </w:pPr>
      <w:r>
        <w:tab/>
        <w:t>-</w:t>
      </w:r>
      <w:r>
        <w:tab/>
        <w:t>Постановление правительства № 108/1994 Сб. о введении в силу Трудового кодекса;</w:t>
      </w:r>
    </w:p>
    <w:p w:rsidR="00000000" w:rsidRDefault="00000000">
      <w:pPr>
        <w:ind w:left="1134" w:hanging="1134"/>
      </w:pPr>
    </w:p>
    <w:p w:rsidR="00000000" w:rsidRDefault="00000000">
      <w:pPr>
        <w:ind w:left="1134" w:hanging="1134"/>
      </w:pPr>
      <w:r>
        <w:tab/>
        <w:t>-</w:t>
      </w:r>
      <w:r>
        <w:tab/>
        <w:t>Закон о выходных днях, нерабочих днях и памятных и знаменательных датах</w:t>
      </w:r>
      <w:r>
        <w:rPr>
          <w:rStyle w:val="FootnoteReference"/>
        </w:rPr>
        <w:footnoteReference w:id="184"/>
      </w:r>
      <w:r>
        <w:t>;</w:t>
      </w:r>
    </w:p>
    <w:p w:rsidR="00000000" w:rsidRDefault="00000000">
      <w:pPr>
        <w:ind w:left="1134" w:hanging="1134"/>
      </w:pPr>
    </w:p>
    <w:p w:rsidR="00000000" w:rsidRDefault="00000000">
      <w:pPr>
        <w:ind w:left="1134" w:hanging="1134"/>
      </w:pPr>
      <w:r>
        <w:tab/>
        <w:t>-</w:t>
      </w:r>
      <w:r>
        <w:tab/>
        <w:t>Закон о заработной плате</w:t>
      </w:r>
      <w:r>
        <w:rPr>
          <w:rStyle w:val="FootnoteReference"/>
        </w:rPr>
        <w:footnoteReference w:id="185"/>
      </w:r>
      <w:r>
        <w:t>;</w:t>
      </w:r>
    </w:p>
    <w:p w:rsidR="00000000" w:rsidRDefault="00000000">
      <w:pPr>
        <w:ind w:left="1134" w:hanging="1134"/>
      </w:pPr>
    </w:p>
    <w:p w:rsidR="00000000" w:rsidRDefault="00000000">
      <w:pPr>
        <w:ind w:left="1134" w:hanging="1134"/>
      </w:pPr>
      <w:r>
        <w:tab/>
        <w:t>-</w:t>
      </w:r>
      <w:r>
        <w:tab/>
        <w:t>Закон об окладах</w:t>
      </w:r>
      <w:r>
        <w:rPr>
          <w:rStyle w:val="FootnoteReference"/>
        </w:rPr>
        <w:footnoteReference w:id="186"/>
      </w:r>
      <w:r>
        <w:t>.</w:t>
      </w:r>
    </w:p>
    <w:p w:rsidR="00000000" w:rsidRDefault="00000000">
      <w:pPr>
        <w:ind w:left="1134" w:hanging="1134"/>
      </w:pPr>
    </w:p>
    <w:p w:rsidR="00000000" w:rsidRDefault="00000000">
      <w:r>
        <w:t>Право на отдых обеспечено в нормативных актах о максимальной продолжительности рабочей недели и об оплачиваемом отпуске.</w:t>
      </w:r>
    </w:p>
    <w:p w:rsidR="00000000" w:rsidRDefault="00000000"/>
    <w:p w:rsidR="00000000" w:rsidRDefault="00000000">
      <w:r>
        <w:t>292.</w:t>
      </w:r>
      <w:r>
        <w:tab/>
        <w:t>Что касается непрерывного отдыха между двумя сменами, то в соответствии с Трудовым кодексом работодатель обязан так составлять график работы, чтобы работник имел для отдыха по крайней мере 12 часов между концом одной смены и началом следующей смены.  Такой отдых может быть сокращен до восьми часов применительно к трудящемуся старше 18 лет:</w:t>
      </w:r>
    </w:p>
    <w:p w:rsidR="00000000" w:rsidRDefault="00000000"/>
    <w:p w:rsidR="00000000" w:rsidRDefault="00000000">
      <w:r>
        <w:tab/>
        <w:t>a)</w:t>
      </w:r>
      <w:r>
        <w:tab/>
        <w:t>на предприятиях с непрерывной технологией производства и работой по скользящему графику;</w:t>
      </w:r>
    </w:p>
    <w:p w:rsidR="00000000" w:rsidRDefault="00000000"/>
    <w:p w:rsidR="00000000" w:rsidRDefault="00000000">
      <w:r>
        <w:tab/>
        <w:t>b)</w:t>
      </w:r>
      <w:r>
        <w:tab/>
        <w:t>в сельском хозяйстве;</w:t>
      </w:r>
    </w:p>
    <w:p w:rsidR="00000000" w:rsidRDefault="00000000"/>
    <w:p w:rsidR="00000000" w:rsidRDefault="00000000">
      <w:r>
        <w:tab/>
        <w:t>c)</w:t>
      </w:r>
      <w:r>
        <w:tab/>
        <w:t>на предприятиях общественного питания и в учреждениях культуры;</w:t>
      </w:r>
    </w:p>
    <w:p w:rsidR="00000000" w:rsidRDefault="00000000"/>
    <w:p w:rsidR="00000000" w:rsidRDefault="00000000">
      <w:r>
        <w:tab/>
        <w:t>d)</w:t>
      </w:r>
      <w:r>
        <w:tab/>
        <w:t>на срочных ремонтных работах в случае необходимости предотвращения угрозы для жизни или здоровья работников;</w:t>
      </w:r>
    </w:p>
    <w:p w:rsidR="00000000" w:rsidRDefault="00000000"/>
    <w:p w:rsidR="00000000" w:rsidRDefault="00000000">
      <w:r>
        <w:tab/>
        <w:t>е)</w:t>
      </w:r>
      <w:r>
        <w:tab/>
        <w:t>в случае стихийных бедствий и других аналогичных чрезвычайных происшествий (статья 90 Трудового кодекса).</w:t>
      </w:r>
    </w:p>
    <w:p w:rsidR="00000000" w:rsidRDefault="00000000"/>
    <w:p w:rsidR="00000000" w:rsidRDefault="00000000">
      <w:pPr>
        <w:pStyle w:val="Heading1"/>
        <w:rPr>
          <w:b w:val="0"/>
          <w:i/>
          <w:iCs/>
          <w:kern w:val="0"/>
        </w:rPr>
      </w:pPr>
      <w:r>
        <w:rPr>
          <w:b w:val="0"/>
          <w:i/>
          <w:iCs/>
          <w:kern w:val="0"/>
        </w:rPr>
        <w:t>Непрерывный отдых в ходе недели</w:t>
      </w:r>
    </w:p>
    <w:p w:rsidR="00000000" w:rsidRDefault="00000000">
      <w:pPr>
        <w:rPr>
          <w:b/>
          <w:bCs/>
        </w:rPr>
      </w:pPr>
    </w:p>
    <w:p w:rsidR="00000000" w:rsidRDefault="00000000">
      <w:r>
        <w:t>293.</w:t>
      </w:r>
      <w:r>
        <w:tab/>
        <w:t>Раз в неделю каждый работник имеет право на непрерывный отдых продолжительностью не менее 32 часов.  Если это позволяют требования производства на предприятии, непрерывный еженедельный отдых устанавливается для всех работников в один день недели, воскресенье.  Если из-за условий производства предоставить работнику такой непрерывный отдых невозможно, работодатель обязан составлять график работы таким образом, чтобы этот период отдыха составлял не менее 24 часов:</w:t>
      </w:r>
    </w:p>
    <w:p w:rsidR="00000000" w:rsidRDefault="00000000"/>
    <w:p w:rsidR="00000000" w:rsidRDefault="00000000">
      <w:r>
        <w:tab/>
        <w:t>a)</w:t>
      </w:r>
      <w:r>
        <w:tab/>
        <w:t>на сезонных и приравненных к ним работах;</w:t>
      </w:r>
    </w:p>
    <w:p w:rsidR="00000000" w:rsidRDefault="00000000"/>
    <w:p w:rsidR="00000000" w:rsidRDefault="00000000">
      <w:r>
        <w:tab/>
        <w:t>b)</w:t>
      </w:r>
      <w:r>
        <w:tab/>
        <w:t>на предприятиях транспорта и связи, в учреждениях культуры и на предприятиях с непрерывной технологией производства при условии, что не реже раза в три недели каждому работнику предоставляется непрерывный отдых продолжительностью не менее 32 часов.</w:t>
      </w:r>
    </w:p>
    <w:p w:rsidR="00000000" w:rsidRDefault="00000000"/>
    <w:p w:rsidR="00000000" w:rsidRDefault="00000000">
      <w:r>
        <w:t>294.</w:t>
      </w:r>
      <w:r>
        <w:tab/>
        <w:t>В случае работ с нерегулярным годовым графиком работы и в сельском хозяйстве работодатель может, основываясь на указаниях центрального государственного административного органа, составлять график рабочего времени таким образом, чтобы непрерывный отдых, продолжающийся как минимум 32 часа, предоставлялся каждому работнику каждые две недели.  В почтовых отделениях и для водителей туристических автобусов непрерывный еженедельный отдых может быть сокращен до 18 часов.</w:t>
      </w:r>
    </w:p>
    <w:p w:rsidR="00000000" w:rsidRDefault="00000000"/>
    <w:p w:rsidR="00000000" w:rsidRDefault="00000000">
      <w:r>
        <w:t>295.</w:t>
      </w:r>
      <w:r>
        <w:tab/>
        <w:t>Работа в выходные дни (т.е. дни еженедельного непрерывного отдыха работника и в праздники) допускается только в чрезвычайных обстоятельствах.  Это - работы, которые не могут быть произведены в рабочие дни, например:</w:t>
      </w:r>
    </w:p>
    <w:p w:rsidR="00000000" w:rsidRDefault="00000000"/>
    <w:p w:rsidR="00000000" w:rsidRDefault="00000000">
      <w:pPr>
        <w:ind w:left="1134" w:hanging="567"/>
      </w:pPr>
      <w:r>
        <w:t>-</w:t>
      </w:r>
      <w:r>
        <w:tab/>
        <w:t>работы по предотвращению неминуемой угрозы для жизни или здоровья или в случае стихийных бедствий и других сходных чрезвычайных происшествий;</w:t>
      </w:r>
    </w:p>
    <w:p w:rsidR="00000000" w:rsidRDefault="00000000">
      <w:pPr>
        <w:ind w:left="1134" w:hanging="567"/>
      </w:pPr>
    </w:p>
    <w:p w:rsidR="00000000" w:rsidRDefault="00000000">
      <w:pPr>
        <w:ind w:left="1134" w:hanging="567"/>
      </w:pPr>
      <w:r>
        <w:t>-</w:t>
      </w:r>
      <w:r>
        <w:tab/>
        <w:t>работа в службах жизнеобеспечения, медицинских учреждениях и культурных учреждениях, обслуживающих население (см. статью 91 Трудового кодекса).</w:t>
      </w:r>
    </w:p>
    <w:p w:rsidR="00000000" w:rsidRDefault="00000000">
      <w:pPr>
        <w:ind w:left="1134" w:hanging="567"/>
      </w:pPr>
    </w:p>
    <w:p w:rsidR="00000000" w:rsidRDefault="00000000">
      <w:pPr>
        <w:pStyle w:val="Heading7"/>
        <w:tabs>
          <w:tab w:val="left" w:pos="1134"/>
        </w:tabs>
        <w:ind w:left="0" w:firstLine="0"/>
        <w:rPr>
          <w:b w:val="0"/>
          <w:bCs w:val="0"/>
          <w:i/>
          <w:iCs/>
          <w:u w:val="none"/>
        </w:rPr>
      </w:pPr>
      <w:r>
        <w:rPr>
          <w:b w:val="0"/>
          <w:bCs w:val="0"/>
          <w:i/>
          <w:iCs/>
          <w:u w:val="none"/>
        </w:rPr>
        <w:t>Конкретно определенные рабочие часы</w:t>
      </w:r>
    </w:p>
    <w:p w:rsidR="00000000" w:rsidRDefault="00000000">
      <w:pPr>
        <w:ind w:left="1134" w:hanging="567"/>
        <w:rPr>
          <w:b/>
          <w:bCs/>
          <w:u w:val="single"/>
        </w:rPr>
      </w:pPr>
    </w:p>
    <w:p w:rsidR="00000000" w:rsidRDefault="00000000">
      <w:r>
        <w:t>296.</w:t>
      </w:r>
      <w:r>
        <w:tab/>
        <w:t>В 1968 году в соответствии с приказом министра труда и социальных дел о принципах введения сокращенной рабочей недели и режимов работы с пятидневной рабочей неделей продолжительность рабочей недели была сокращена с 42,5 до 40 часов.  Установлена пятидневная рабочая неделя, суббота и воскресенье </w:t>
      </w:r>
      <w:r>
        <w:noBreakHyphen/>
        <w:t xml:space="preserve"> нерабочие дни.  Статья 83, пункт 1, Трудового кодекса предусматривает, что продолжительность рабочей недели составляет максимум 43 часа.  Рабочая неделя работников младше 16 лет составляет максимум 33 часа.</w:t>
      </w:r>
    </w:p>
    <w:p w:rsidR="00000000" w:rsidRDefault="00000000"/>
    <w:p w:rsidR="00000000" w:rsidRDefault="00000000">
      <w:r>
        <w:t>297.</w:t>
      </w:r>
      <w:r>
        <w:tab/>
        <w:t>Работодатель решает вопросы составления графика рабочего времени после обсуждения с профсоюзным органом предприятия.  График рабочего времени составляется таким образом, чтобы в течение недели рабочий день не превышал 9,5 часа (статья 84 Трудового кодекса).  Если характер работы или условия деятельности не позволяют равномерно распределять рабочие часы по неделям, работодатель может распределять рабочие часы иначе (статья 85 Трудового кодекса) при условии, что в течение определенного периода, обычно четырех дней, средняя продолжительность рабочего времени не может превышать установленного предела продолжительности рабочей недели.</w:t>
      </w:r>
    </w:p>
    <w:p w:rsidR="00000000" w:rsidRDefault="00000000"/>
    <w:p w:rsidR="00000000" w:rsidRDefault="00000000">
      <w:r>
        <w:t>298.</w:t>
      </w:r>
      <w:r>
        <w:tab/>
        <w:t>Сверхурочная работа - это работа по распоряжению работодателя или с его согласия сверх рабочего времени по ранее установленному графику рабочего времени и предусмотренных в графике рабочих смен.  Работодатель может распорядиться о сверхурочной работе только в чрезвычайных обстоятельствах, обусловленных срочной общественной потребностью.  Продолжительность сверхурочных работника не может превышать 8 часов в неделю (это ограничение не распространяется на сезонные и приравненные к ним работы, транспорт, связь, чрезвычайную деятельность, работу, связанную со снабжением населения и т.п.).  Продолжительность сверхурочных работника не может превышать 150 часов в календарный год.  Бюро по труду могут, после обсуждения с профсоюзным органом, разрешать для определенных видов деятельности и на определенный срок дополнительные сверхурочные при условии, что работодатель должен согласовать дополнительные сверхурочные с представителями работников (т.е. с профсоюзным органом предприятия).  Беременные женщины и женщины, имеющие детей младше одного года, и подростки (в возрасте до 18 лет) не могут привлекаться к сверхурочным работам (пункт 3 статьи 156 и пункт 1 статьи 166 Трудового кодекса).</w:t>
      </w:r>
    </w:p>
    <w:p w:rsidR="00000000" w:rsidRDefault="00000000"/>
    <w:p w:rsidR="00000000" w:rsidRDefault="00000000">
      <w:pPr>
        <w:pStyle w:val="Heading3"/>
        <w:rPr>
          <w:iCs/>
        </w:rPr>
      </w:pPr>
      <w:r>
        <w:rPr>
          <w:iCs/>
        </w:rPr>
        <w:t>Оплаченный отпуск</w:t>
      </w:r>
    </w:p>
    <w:p w:rsidR="00000000" w:rsidRDefault="00000000">
      <w:pPr>
        <w:rPr>
          <w:b/>
          <w:bCs/>
          <w:u w:val="single"/>
        </w:rPr>
      </w:pPr>
    </w:p>
    <w:p w:rsidR="00000000" w:rsidRDefault="00000000">
      <w:r>
        <w:t>299.</w:t>
      </w:r>
      <w:r>
        <w:tab/>
        <w:t>Продолжительность отпуска составляет не менее трех недель в календарный год.  Работник, имеющий трудовой стаж на данном предприятии не менее 15 лет с 18</w:t>
      </w:r>
      <w:r>
        <w:noBreakHyphen/>
        <w:t>летнего возраста, имеет право на отпуск продолжительностью четыре недели в календарный год.  Коллективное соглашение или правила внутреннего распорядка могут продлевать продолжительность отпуска сверх указанной выше для работников работодателей, занимающихся предпринимательской деятельностью.  Работникам работодателей, не занимающихся предпринимательской деятельностью, может предоставляться дополнительная неделя отпуска (предприятия общего пользования, органа государственного управления).  Для получения права на отпуск работник должен проработать на предприятии не менее 60 дней в данном календарном году.  Проект поправок к Трудовому кодексу предусматривает продолжительность не менее четырех недель.</w:t>
      </w:r>
    </w:p>
    <w:p w:rsidR="00000000" w:rsidRDefault="00000000"/>
    <w:p w:rsidR="00000000" w:rsidRDefault="00000000">
      <w:pPr>
        <w:pStyle w:val="Heading3"/>
        <w:rPr>
          <w:iCs/>
        </w:rPr>
      </w:pPr>
      <w:r>
        <w:rPr>
          <w:iCs/>
        </w:rPr>
        <w:t>Оплачиваемые праздничные дни</w:t>
      </w:r>
    </w:p>
    <w:p w:rsidR="00000000" w:rsidRDefault="00000000">
      <w:pPr>
        <w:rPr>
          <w:b/>
          <w:bCs/>
          <w:u w:val="single"/>
        </w:rPr>
      </w:pPr>
    </w:p>
    <w:p w:rsidR="00000000" w:rsidRDefault="00000000">
      <w:r>
        <w:t>300.</w:t>
      </w:r>
      <w:r>
        <w:tab/>
        <w:t>Статья 91 Трудового кодекса предусматривает, что праздники являются нерабочими днями и работа в эти дни допускается лишь в чрезвычайных обстоятельствах, причем в праздники допускается только такая работа, которая разрешается в дни еженедельного непрерывного отдыха, на предприятиях с непрерывным циклом производства, а также для сохранения производственной базы работодателя.  За каждый час, отработанный в выходной день, работник имеет право на надбавку к заработной плате в сумме его среднего почасового заработка.</w:t>
      </w:r>
    </w:p>
    <w:p w:rsidR="00000000" w:rsidRDefault="00000000"/>
    <w:p w:rsidR="00000000" w:rsidRDefault="00000000">
      <w:r>
        <w:t>301.</w:t>
      </w:r>
      <w:r>
        <w:tab/>
        <w:t>Вычеты из помесячной зарплаты за праздничные дни не допускаются;  за дни, когда праздник выпадает на его обычный рабочий день, заработная плата выплачивается в сумме среднего заработка.</w:t>
      </w:r>
    </w:p>
    <w:p w:rsidR="00000000" w:rsidRDefault="00000000"/>
    <w:p w:rsidR="00000000" w:rsidRDefault="00000000">
      <w:r>
        <w:t>302.</w:t>
      </w:r>
      <w:r>
        <w:tab/>
        <w:t>Кроме того, мы ссылаемся на первый доклад по Конвенции № 132 об оплачиваемых отпусках (пересмотренный вариант), представленный в 1998 году Комитету экспертов МОТ.</w:t>
      </w:r>
    </w:p>
    <w:p w:rsidR="00000000" w:rsidRDefault="00000000">
      <w:pPr>
        <w:spacing w:line="240" w:lineRule="auto"/>
      </w:pPr>
    </w:p>
    <w:p w:rsidR="00000000" w:rsidRDefault="00000000">
      <w:pPr>
        <w:pStyle w:val="10"/>
        <w:tabs>
          <w:tab w:val="left" w:pos="567"/>
          <w:tab w:val="left" w:pos="1134"/>
          <w:tab w:val="left" w:pos="1701"/>
          <w:tab w:val="left" w:pos="2268"/>
          <w:tab w:val="left" w:pos="6237"/>
        </w:tabs>
        <w:spacing w:line="240" w:lineRule="auto"/>
        <w:rPr>
          <w:bCs/>
        </w:rPr>
      </w:pPr>
      <w:r>
        <w:rPr>
          <w:bCs/>
        </w:rPr>
        <w:t>Статья 8</w:t>
      </w:r>
    </w:p>
    <w:p w:rsidR="00000000" w:rsidRDefault="00000000">
      <w:pPr>
        <w:spacing w:line="240" w:lineRule="auto"/>
        <w:jc w:val="center"/>
        <w:rPr>
          <w:b/>
          <w:bCs/>
          <w:u w:val="single"/>
        </w:rPr>
      </w:pPr>
    </w:p>
    <w:p w:rsidR="00000000" w:rsidRDefault="00000000">
      <w:r>
        <w:t>303.</w:t>
      </w:r>
      <w:r>
        <w:tab/>
        <w:t>Общий принцип правового регулирования права на создание профсоюзов содержится в Хартии основных прав и свобод.  Статья 27 Хартии гласит:</w:t>
      </w:r>
    </w:p>
    <w:p w:rsidR="00000000" w:rsidRDefault="00000000"/>
    <w:p w:rsidR="00000000" w:rsidRDefault="00000000">
      <w:pPr>
        <w:ind w:left="567"/>
      </w:pPr>
      <w:r>
        <w:t>"1)</w:t>
      </w:r>
      <w:r>
        <w:tab/>
        <w:t>Каждый имеет право свободно объединяться с другими лицами для защиты своих экономических и социальных интересов.</w:t>
      </w:r>
    </w:p>
    <w:p w:rsidR="00000000" w:rsidRDefault="00000000">
      <w:pPr>
        <w:ind w:left="567"/>
      </w:pPr>
    </w:p>
    <w:p w:rsidR="00000000" w:rsidRDefault="00000000">
      <w:pPr>
        <w:ind w:left="567"/>
      </w:pPr>
      <w:r>
        <w:t>2)</w:t>
      </w:r>
      <w:r>
        <w:tab/>
        <w:t>Профсоюзные организации создаются независимо от государства.  Не допускается ограничивать количество профсоюзных организаций, а также создавать некоторым из них более благоприятные условия на предприятии или в отрасли.</w:t>
      </w:r>
    </w:p>
    <w:p w:rsidR="00000000" w:rsidRDefault="00000000">
      <w:pPr>
        <w:ind w:left="567"/>
      </w:pPr>
    </w:p>
    <w:p w:rsidR="00000000" w:rsidRDefault="00000000">
      <w:pPr>
        <w:ind w:left="567"/>
      </w:pPr>
      <w:r>
        <w:t>3)</w:t>
      </w:r>
      <w:r>
        <w:tab/>
        <w:t>Деятельность профсоюзных организаций и образование и деятельность иных объединений для защиты экономических и социальных интересов могут быть ограничены законом, если такие меры необходимы в демократическом обществе для охраны безопасности государства, общественного порядка или прав и свобод других граждан.</w:t>
      </w:r>
    </w:p>
    <w:p w:rsidR="00000000" w:rsidRDefault="00000000">
      <w:pPr>
        <w:ind w:left="567"/>
      </w:pPr>
    </w:p>
    <w:p w:rsidR="00000000" w:rsidRDefault="00000000">
      <w:pPr>
        <w:ind w:left="567"/>
      </w:pPr>
      <w:r>
        <w:t>4)</w:t>
      </w:r>
      <w:r>
        <w:tab/>
        <w:t>Право на забастовку гарантируется на условиях, установленных законом;  это право не распространяется на судей, прокуроров, военнослужащих и работников правоохранительных органов".</w:t>
      </w:r>
    </w:p>
    <w:p w:rsidR="00000000" w:rsidRDefault="00000000">
      <w:pPr>
        <w:ind w:left="567"/>
      </w:pPr>
    </w:p>
    <w:p w:rsidR="00000000" w:rsidRDefault="00000000">
      <w:r>
        <w:t>304.</w:t>
      </w:r>
      <w:r>
        <w:tab/>
        <w:t>Создание и деятельность профсоюзов регламентируется Законом об объединениях граждан</w:t>
      </w:r>
      <w:r>
        <w:rPr>
          <w:rStyle w:val="FootnoteReference"/>
        </w:rPr>
        <w:footnoteReference w:id="187"/>
      </w:r>
      <w:r>
        <w:t>.  В вводной части этого Закона (пункты 1 и 2 статьи 1) говорится:  "1)  Граждане имеют право на свободу объединения.  2)  Для осуществления этого права разрешения государственного органа не требуется".  Этот закон не распространяется на такие объединения граждан, как политические партии и политические движения, объединения работников и профессиональные союзы церкви и религиозные объединения.</w:t>
      </w:r>
    </w:p>
    <w:p w:rsidR="00000000" w:rsidRDefault="00000000"/>
    <w:p w:rsidR="00000000" w:rsidRDefault="00000000">
      <w:r>
        <w:t>305.</w:t>
      </w:r>
      <w:r>
        <w:tab/>
        <w:t>В соответствии с этим законом профсоюз является одной из форм объединения (пункт 1 статьи 2):  "Членами объединения могут также являться юридические лица".  Особый метод создания объединения для защиты экономических и социальных интересов рассматривается в пункте а) статьи 9 Закона:  "Профсоюзная организация или организация работодателей становится юридическим лицом на день подачи заявления о регистрации в соответствующем министерстве".  Согласно статье 3 этого закона никто не может принуждаться к вступлению в объединение, к членству в нем или к участию в его деятельности.  Каждый свободен выйти из объединения.</w:t>
      </w:r>
    </w:p>
    <w:p w:rsidR="00000000" w:rsidRDefault="00000000"/>
    <w:p w:rsidR="00000000" w:rsidRDefault="00000000">
      <w:r>
        <w:t>306.</w:t>
      </w:r>
      <w:r>
        <w:tab/>
        <w:t>В отношении профсоюзов и организаций работодателей действует так называемый уведомительный принцип.  В соответствии с законом об объединениях граждан для профсоюзной деятельности разрешения государственного органа не требуется (пункт 2 статьи 1), а министерство внутренних дел только регистрирует объединение.  Заявление о регистрации объединения может быть подано не менее чем тремя гражданами, из которых не менее одного имеют возраст более 18 лет.  На 31 декабря 1999 года было зарегистрировано примерно 650 объединений работодателей.</w:t>
      </w:r>
    </w:p>
    <w:p w:rsidR="00000000" w:rsidRDefault="00000000"/>
    <w:p w:rsidR="00000000" w:rsidRDefault="00000000">
      <w:r>
        <w:t>307.</w:t>
      </w:r>
      <w:r>
        <w:tab/>
        <w:t>В соответствии с пунктом 4 статьи 2 Закона об объединениях граждан "военнослужащие, состоящие на действительной службе, не могут создавать союзов и быть их членами.  Разрешенные пределы деятельности союзов, состоящих из работников национальных сил безопасности (полиции) и уголовно-исполнительной системы,  по осуществлению и защите их социальных интересов устанавливаются специальным законом".  Другое положение Закона об объединениях (пункт с) статьи 4) предусматривает, что "вооруженные объединения или объединения в вооруженных силах не разрешаются;  такими объединениями не считаются объединения, члены которых имеют или используют огнестрельное оружие для спортивных целей либо для охоты".</w:t>
      </w:r>
    </w:p>
    <w:p w:rsidR="00000000" w:rsidRDefault="00000000"/>
    <w:p w:rsidR="00000000" w:rsidRDefault="00000000">
      <w:pPr>
        <w:pStyle w:val="Heading1"/>
        <w:rPr>
          <w:bCs/>
          <w:kern w:val="0"/>
        </w:rPr>
      </w:pPr>
      <w:r>
        <w:rPr>
          <w:bCs/>
          <w:kern w:val="0"/>
        </w:rPr>
        <w:t>Право на забастовку</w:t>
      </w:r>
    </w:p>
    <w:p w:rsidR="00000000" w:rsidRDefault="00000000">
      <w:pPr>
        <w:rPr>
          <w:b/>
          <w:bCs/>
          <w:u w:val="single"/>
        </w:rPr>
      </w:pPr>
    </w:p>
    <w:p w:rsidR="00000000" w:rsidRDefault="00000000">
      <w:r>
        <w:t>308.</w:t>
      </w:r>
      <w:r>
        <w:tab/>
        <w:t>Законодательное регулирование проведения забастовок содержится в Законе о коллективных переговорах.  Этот закон регламентирует проведение забастовок профсоюзом в случае спора по поводу заключения коллективного соглашения или коллективного соглашения более высокого уровня и забастовок солидарности в поддержку других работников, объявивших забастовку в связи с заключением коллективного соглашения.</w:t>
      </w:r>
    </w:p>
    <w:p w:rsidR="00000000" w:rsidRDefault="00000000"/>
    <w:p w:rsidR="00000000" w:rsidRDefault="00000000">
      <w:r>
        <w:t>309.</w:t>
      </w:r>
      <w:r>
        <w:tab/>
        <w:t>В силу указанного выше положения Хартии, а также закона о коллективных переговорах право на забастовку как таковое не предусматривается для следующих профессий:  судей, прокуроров, военнослужащих и работников правоохранительных органов.</w:t>
      </w:r>
    </w:p>
    <w:p w:rsidR="00000000" w:rsidRDefault="00000000"/>
    <w:p w:rsidR="00000000" w:rsidRDefault="00000000">
      <w:pPr>
        <w:pStyle w:val="Heading1"/>
        <w:rPr>
          <w:bCs/>
          <w:kern w:val="0"/>
        </w:rPr>
      </w:pPr>
      <w:r>
        <w:rPr>
          <w:bCs/>
          <w:kern w:val="0"/>
        </w:rPr>
        <w:t>Профсоюзные конфедерации и членство в профсоюзах</w:t>
      </w:r>
    </w:p>
    <w:p w:rsidR="00000000" w:rsidRDefault="00000000">
      <w:pPr>
        <w:rPr>
          <w:b/>
          <w:bCs/>
          <w:u w:val="single"/>
        </w:rPr>
      </w:pPr>
    </w:p>
    <w:p w:rsidR="00000000" w:rsidRDefault="00000000">
      <w:r>
        <w:t>310.</w:t>
      </w:r>
      <w:r>
        <w:tab/>
        <w:t>Чешско-Моравская конфедерация профсоюзов.  Крупнейшим профобъединением в ЧСФР была Чехословацкая конфедерация профсоюзов (ЧСКОС).  После разделения ЧСФР она стала называться Чешско-Моравской конфедерацией профсоюзов (ЧМКОС).  В настоящее время эта конфедерация объединяет 30 профсоюзов.  В 1999 году профсоюзы, входящие в ЧМКОС, имели в общей сложности свыше 1,3 млн. членов.</w:t>
      </w:r>
    </w:p>
    <w:p w:rsidR="00000000" w:rsidRDefault="00000000"/>
    <w:p w:rsidR="00000000" w:rsidRDefault="00000000">
      <w:r>
        <w:t>311.</w:t>
      </w:r>
      <w:r>
        <w:tab/>
        <w:t>Крупнейшим профсоюзом является профсоюз "Ково", который в 1999 году насчитывал свыше 410 000 членов.  Чешско-Моравский профсоюз работников просвещения имеет более 130 000 членов.  Другие крупные профсоюзы  </w:t>
      </w:r>
      <w:r>
        <w:noBreakHyphen/>
        <w:t xml:space="preserve"> Союз работников горнодобывающей промышленности, геологии и нефтяной промышленности (90 000 членов), Профсоюз СТАВБА ЧР (почти 80 000 членов), Профсоюз работников здравоохранения и социального обеспечения ЧР и Профсоюз работников государственных учреждений (оба </w:t>
      </w:r>
      <w:r>
        <w:noBreakHyphen/>
        <w:t xml:space="preserve"> свыше 65 000 членов) и Профсоюз работников лесной и деревообрабатывающей промышленности и водного хозяйства (почти 65 000 членов).  При этом наименьшими по числу членов профсоюзами являются Союз работников компаний ЧР (примерно 400 членов), Профсоюз моряков (примерно 550 членов) и другие профсоюзы, членский состав которых составляет менее 2 000 человек:  Профсоюз работников авиации, Профсоюз работников радиосвязи, Профсоюз работников обрабатывающей промышленности и специальных организаций в сфере культуры и профсоюз "Проект".</w:t>
      </w:r>
    </w:p>
    <w:p w:rsidR="00000000" w:rsidRDefault="00000000"/>
    <w:p w:rsidR="00000000" w:rsidRDefault="00000000">
      <w:r>
        <w:t>312.</w:t>
      </w:r>
      <w:r>
        <w:tab/>
        <w:t>Другие профсоюзные конфедерации:</w:t>
      </w:r>
    </w:p>
    <w:p w:rsidR="00000000" w:rsidRDefault="00000000"/>
    <w:p w:rsidR="00000000" w:rsidRDefault="00000000">
      <w:r>
        <w:tab/>
        <w:t>а)</w:t>
      </w:r>
      <w:r>
        <w:tab/>
        <w:t>Конфедерация искусств и культуры.  В состав этого профсоюзного объединения входят театральные, кинематографические, библиографические, музыкальные и творческие союзы.  По последним данным, он насчитывает в общей сложности около 120 000 членов;</w:t>
      </w:r>
    </w:p>
    <w:p w:rsidR="00000000" w:rsidRDefault="00000000"/>
    <w:p w:rsidR="00000000" w:rsidRDefault="00000000">
      <w:r>
        <w:tab/>
      </w:r>
      <w:r>
        <w:rPr>
          <w:lang w:val="en-US"/>
        </w:rPr>
        <w:t>b</w:t>
      </w:r>
      <w:r>
        <w:t>)</w:t>
      </w:r>
      <w:r>
        <w:tab/>
        <w:t>Профсоюзное объединение Богемии, Моравии и Силезии.  В 1996 году, по данным профсоюза, он насчитывал 80 000 членов.  Треть его членов зарегистрированы непосредственно в центральном представительном органе в качестве индивидуальных членов, не связанных с участвующими организациями.  В настоящее время профсоюз насчитывает 60 000 членов;</w:t>
      </w:r>
    </w:p>
    <w:p w:rsidR="00000000" w:rsidRDefault="00000000"/>
    <w:p w:rsidR="00000000" w:rsidRDefault="00000000">
      <w:r>
        <w:tab/>
      </w:r>
      <w:r>
        <w:rPr>
          <w:lang w:val="en-US"/>
        </w:rPr>
        <w:t>c</w:t>
      </w:r>
      <w:r>
        <w:t>)</w:t>
      </w:r>
      <w:r>
        <w:tab/>
        <w:t>Объединение независимых профсоюзов, в состав которых входит в общей сложности 220 000 членов.  Членами этой конфедерации являются:  Союз работников сельского хозяйства и пищевой промышленности (приблизительно 95 000 членов), Союз железнодорожников (72 000 активных членов), Чешский союз энергетиков северо-запада, Союз работников частных предприятий и Союз работников стекольной промышленности;</w:t>
      </w:r>
    </w:p>
    <w:p w:rsidR="00000000" w:rsidRDefault="00000000"/>
    <w:p w:rsidR="00000000" w:rsidRDefault="00000000">
      <w:r>
        <w:tab/>
      </w:r>
      <w:r>
        <w:rPr>
          <w:lang w:val="en-US"/>
        </w:rPr>
        <w:t>d</w:t>
      </w:r>
      <w:r>
        <w:t>)</w:t>
      </w:r>
      <w:r>
        <w:tab/>
        <w:t>Коалиция христианских профсоюзов.  Эта конфедерация насчитывает порядка 10 500 членов, главным образом из Моравии;  она объединяет членов без различия отраслевой или профессиональной принадлежности, пенсионеров и инвалидов.  В настоящее время имеются секции транспорта, образования, государственного управления и местного управления и машиностроения и женская секция.</w:t>
      </w:r>
    </w:p>
    <w:p w:rsidR="00000000" w:rsidRDefault="00000000"/>
    <w:p w:rsidR="00000000" w:rsidRDefault="00000000">
      <w:r>
        <w:t>313.</w:t>
      </w:r>
      <w:r>
        <w:tab/>
        <w:t>Некоторые профсоюзные объединения независимы и не связаны с какой-либо профсоюзной организацией, например Объединенный клуб врачей, Профсоюз судебных работников и Профсоюз работников правосудия.  Однако эти профсоюзные группы не публикуют данных о своем членском составе, и поэтому невозможно точно определить, скольких людей они представляют.</w:t>
      </w:r>
    </w:p>
    <w:p w:rsidR="00000000" w:rsidRDefault="00000000"/>
    <w:p w:rsidR="00000000" w:rsidRDefault="00000000">
      <w:r>
        <w:t>314.</w:t>
      </w:r>
      <w:r>
        <w:tab/>
        <w:t>В ЧР очень трудно определить точную долю членов профсоюза в общем трудоспособном населении, поскольку независимые профсоюзные организации не публикуют данных об общем числе своих членов.</w:t>
      </w:r>
    </w:p>
    <w:p w:rsidR="00000000" w:rsidRDefault="00000000"/>
    <w:p w:rsidR="00000000" w:rsidRDefault="00000000">
      <w:r>
        <w:t>315.</w:t>
      </w:r>
      <w:r>
        <w:tab/>
        <w:t>Экономически активное население ЧР включает всех лиц старше 15 лет.  Из всего экономически активного населения, т.е. занятых в народном хозяйстве и безработных, выделяется экономически активное население, занятое в гражданских отраслях, т.е. занятые в гражданских отраслях и безработные.  В число занятых входят самозанятые.  В 1998 году общее число экономически активного населения составило 5 201 000 человек.  Несмотря на указанные выше сложности в определении общего числа членов профсоюзов, по имеющимся данным, примерно 33% всего экономически активного населения Чешской Республики являются членами профсоюзов.</w:t>
      </w:r>
    </w:p>
    <w:p w:rsidR="00000000" w:rsidRDefault="00000000"/>
    <w:p w:rsidR="00000000" w:rsidRDefault="00000000">
      <w:r>
        <w:t>316.</w:t>
      </w:r>
      <w:r>
        <w:tab/>
        <w:t>Чешская Республика является государством - участником Конвенций МОТ № 87 о свободе ассоциации и защите права на организацию</w:t>
      </w:r>
      <w:r>
        <w:rPr>
          <w:rStyle w:val="FootnoteReference"/>
        </w:rPr>
        <w:footnoteReference w:id="188"/>
      </w:r>
      <w:r>
        <w:t xml:space="preserve"> 1948 года и № 98 о праве на организацию и на ведение коллективных переговоров</w:t>
      </w:r>
      <w:r>
        <w:rPr>
          <w:rStyle w:val="FootnoteReference"/>
        </w:rPr>
        <w:footnoteReference w:id="189"/>
      </w:r>
      <w:r>
        <w:t xml:space="preserve"> 1949 года.  Правительство представляет регулярные доклады об осуществлении этих конвенций.  Чешская Республика также является государством - участником Международного пакта о гражданских и политических правах (см. вводную часть настоящего доклада).</w:t>
      </w:r>
    </w:p>
    <w:p w:rsidR="00000000" w:rsidRDefault="00000000"/>
    <w:p w:rsidR="00000000" w:rsidRDefault="00000000">
      <w:pPr>
        <w:pStyle w:val="14"/>
        <w:rPr>
          <w:bCs/>
          <w:u w:val="none"/>
        </w:rPr>
      </w:pPr>
      <w:r>
        <w:rPr>
          <w:bCs/>
          <w:u w:val="none"/>
        </w:rPr>
        <w:t>Статья 9</w:t>
      </w:r>
    </w:p>
    <w:p w:rsidR="00000000" w:rsidRDefault="00000000">
      <w:pPr>
        <w:pStyle w:val="14"/>
        <w:rPr>
          <w:bCs/>
        </w:rPr>
      </w:pPr>
    </w:p>
    <w:p w:rsidR="00000000" w:rsidRDefault="00000000">
      <w:r>
        <w:t>317.</w:t>
      </w:r>
      <w:r>
        <w:tab/>
        <w:t>Статья 30 Хартии гласит:</w:t>
      </w:r>
    </w:p>
    <w:p w:rsidR="00000000" w:rsidRDefault="00000000"/>
    <w:p w:rsidR="00000000" w:rsidRDefault="00000000">
      <w:pPr>
        <w:ind w:left="567" w:hanging="567"/>
      </w:pPr>
      <w:r>
        <w:tab/>
        <w:t>"1)</w:t>
      </w:r>
      <w:r>
        <w:tab/>
        <w:t>Граждане имеют право на соразмерное материальное обеспечение в старости, при нетрудоспособности, а также в случае потери кормильца.</w:t>
      </w:r>
    </w:p>
    <w:p w:rsidR="00000000" w:rsidRDefault="00000000">
      <w:pPr>
        <w:ind w:left="567" w:hanging="567"/>
      </w:pPr>
    </w:p>
    <w:p w:rsidR="00000000" w:rsidRDefault="00000000">
      <w:pPr>
        <w:ind w:left="567" w:hanging="567"/>
      </w:pPr>
      <w:r>
        <w:tab/>
        <w:t>2)</w:t>
      </w:r>
      <w:r>
        <w:tab/>
        <w:t>Каждый, кто материально нуждается, имеет право на помощь, необходимую для обеспечения основных условий существования.</w:t>
      </w:r>
    </w:p>
    <w:p w:rsidR="00000000" w:rsidRDefault="00000000">
      <w:pPr>
        <w:ind w:left="567" w:hanging="567"/>
      </w:pPr>
    </w:p>
    <w:p w:rsidR="00000000" w:rsidRDefault="00000000">
      <w:pPr>
        <w:ind w:left="567" w:hanging="567"/>
      </w:pPr>
      <w:r>
        <w:tab/>
        <w:t>3)</w:t>
      </w:r>
      <w:r>
        <w:tab/>
        <w:t>Подробные положения устанавливаются законом".</w:t>
      </w:r>
    </w:p>
    <w:p w:rsidR="00000000" w:rsidRDefault="00000000">
      <w:pPr>
        <w:ind w:left="567" w:hanging="567"/>
      </w:pPr>
    </w:p>
    <w:p w:rsidR="00000000" w:rsidRDefault="00000000">
      <w:r>
        <w:t>318.</w:t>
      </w:r>
      <w:r>
        <w:tab/>
        <w:t>Деятельность системы социального обеспечения Чешской Республики регулируется рядом нормативных актов и финансовых и организационных мер, цель которых заключается в обеспечении основных социальных прав каждого гражданина, находящегося в затруднительном финансовом и социальном положении.  Социальное обеспечение строится на отчислениях по социальному страхованию или на оказании социальной помощи.</w:t>
      </w:r>
    </w:p>
    <w:p w:rsidR="00000000" w:rsidRDefault="00000000"/>
    <w:p w:rsidR="00000000" w:rsidRDefault="00000000">
      <w:r>
        <w:br w:type="page"/>
        <w:t>319.</w:t>
      </w:r>
      <w:r>
        <w:tab/>
        <w:t>Деятельность системы социального обеспечения регулируется законом о социальном обеспечении</w:t>
      </w:r>
      <w:r>
        <w:rPr>
          <w:rStyle w:val="FootnoteReference"/>
        </w:rPr>
        <w:footnoteReference w:id="190"/>
      </w:r>
      <w:r>
        <w:t>, законом о государственной социальной помощи</w:t>
      </w:r>
      <w:r>
        <w:rPr>
          <w:rStyle w:val="FootnoteReference"/>
        </w:rPr>
        <w:footnoteReference w:id="191"/>
      </w:r>
      <w:r>
        <w:t>, законом о социально нуждающихся лицах</w:t>
      </w:r>
      <w:r>
        <w:rPr>
          <w:rStyle w:val="FootnoteReference"/>
        </w:rPr>
        <w:footnoteReference w:id="192"/>
      </w:r>
      <w:r>
        <w:t>, законом о пенсионном страховании</w:t>
      </w:r>
      <w:r>
        <w:rPr>
          <w:rStyle w:val="FootnoteReference"/>
        </w:rPr>
        <w:footnoteReference w:id="193"/>
      </w:r>
      <w:r>
        <w:t>, законом о медицинском страховании работников по найму</w:t>
      </w:r>
      <w:r>
        <w:rPr>
          <w:rStyle w:val="FootnoteReference"/>
        </w:rPr>
        <w:footnoteReference w:id="194"/>
      </w:r>
      <w:r>
        <w:t>, законом об организации и осуществлении социального страхования</w:t>
      </w:r>
      <w:r>
        <w:rPr>
          <w:rStyle w:val="FootnoteReference"/>
        </w:rPr>
        <w:footnoteReference w:id="195"/>
      </w:r>
      <w:r>
        <w:t>, законом об отчислениях по социальному обеспечению и государственному страхованию по безработице</w:t>
      </w:r>
      <w:r>
        <w:rPr>
          <w:rStyle w:val="FootnoteReference"/>
        </w:rPr>
        <w:footnoteReference w:id="196"/>
      </w:r>
      <w:r>
        <w:t>, законом о дополнительном пенсионном обеспечении с участием государства</w:t>
      </w:r>
      <w:r>
        <w:rPr>
          <w:rStyle w:val="FootnoteReference"/>
        </w:rPr>
        <w:footnoteReference w:id="197"/>
      </w:r>
      <w:r>
        <w:t xml:space="preserve"> и другими законами.  Система социального обеспечения имеет три основных составляющих, каждая из которых имеет особую важность.  Это:</w:t>
      </w:r>
    </w:p>
    <w:p w:rsidR="00000000" w:rsidRDefault="00000000"/>
    <w:p w:rsidR="00000000" w:rsidRDefault="00000000">
      <w:r>
        <w:tab/>
        <w:t>а)</w:t>
      </w:r>
      <w:r>
        <w:tab/>
        <w:t>социальное страхование (пенсионное и по болезни);</w:t>
      </w:r>
    </w:p>
    <w:p w:rsidR="00000000" w:rsidRDefault="00000000"/>
    <w:p w:rsidR="00000000" w:rsidRDefault="00000000">
      <w:r>
        <w:tab/>
      </w:r>
      <w:r>
        <w:rPr>
          <w:lang w:val="en-US"/>
        </w:rPr>
        <w:t>b</w:t>
      </w:r>
      <w:r>
        <w:t>)</w:t>
      </w:r>
      <w:r>
        <w:tab/>
        <w:t>государственная социальная поддержка;</w:t>
      </w:r>
    </w:p>
    <w:p w:rsidR="00000000" w:rsidRDefault="00000000"/>
    <w:p w:rsidR="00000000" w:rsidRDefault="00000000">
      <w:r>
        <w:tab/>
        <w:t>с)</w:t>
      </w:r>
      <w:r>
        <w:tab/>
        <w:t>социальная помощь.</w:t>
      </w:r>
    </w:p>
    <w:p w:rsidR="00000000" w:rsidRDefault="00000000"/>
    <w:p w:rsidR="00000000" w:rsidRDefault="00000000">
      <w:r>
        <w:t>320.</w:t>
      </w:r>
      <w:r>
        <w:tab/>
        <w:t>Хартия предусматривает, что закон регулирует вопросы, касающиеся права на социальное обеспечение.  Закон о социальном обеспечении, статья 1, гарантирует это право всем гражданам.  Пособия по социальному обеспечению выплачиваются государством и не облагаются налогом.  Отчисления по социальному страхованию и расходы социального страхования включены в государственный бюджет.</w:t>
      </w:r>
    </w:p>
    <w:p w:rsidR="00000000" w:rsidRDefault="00000000"/>
    <w:p w:rsidR="00000000" w:rsidRDefault="00000000">
      <w:r>
        <w:t>321.</w:t>
      </w:r>
      <w:r>
        <w:tab/>
        <w:t>Чешская Республика связана положениями Конвенций МОТ № 102 о социальном обеспечении (минимальные нормы) (ратифицирована без частей об оплате за производственные травмы и по безработице) и МОТ № 128 о пособиях по инвалидности, по старости и по случаю потери кормильца (ратифицирована только часть, касающаяся пенсий по старости).  В 1999 году Чешская Республика представила Комитету экспертов МОТ подробный доклад об осуществлении обеих конвенций.</w:t>
      </w:r>
    </w:p>
    <w:p w:rsidR="00000000" w:rsidRDefault="00000000"/>
    <w:p w:rsidR="00000000" w:rsidRDefault="00000000">
      <w:pPr>
        <w:pStyle w:val="Heading1"/>
        <w:jc w:val="center"/>
        <w:rPr>
          <w:bCs/>
        </w:rPr>
      </w:pPr>
      <w:r>
        <w:rPr>
          <w:bCs/>
        </w:rPr>
        <w:t>Расходы на социальное обеспечение</w:t>
      </w:r>
    </w:p>
    <w:p w:rsidR="00000000" w:rsidRDefault="00000000">
      <w:pPr>
        <w:pStyle w:val="FootnoteText"/>
        <w:spacing w:line="288" w:lineRule="auto"/>
      </w:pP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3048"/>
        <w:gridCol w:w="941"/>
        <w:gridCol w:w="941"/>
        <w:gridCol w:w="941"/>
        <w:gridCol w:w="941"/>
        <w:gridCol w:w="941"/>
        <w:gridCol w:w="941"/>
        <w:gridCol w:w="941"/>
      </w:tblGrid>
      <w:tr w:rsidR="00000000">
        <w:tblPrEx>
          <w:tblCellMar>
            <w:top w:w="0" w:type="dxa"/>
            <w:bottom w:w="0" w:type="dxa"/>
          </w:tblCellMar>
        </w:tblPrEx>
        <w:tc>
          <w:tcPr>
            <w:tcW w:w="3048" w:type="dxa"/>
            <w:tcBorders>
              <w:bottom w:val="single" w:sz="4" w:space="0" w:color="auto"/>
            </w:tcBorders>
          </w:tcPr>
          <w:p w:rsidR="00000000" w:rsidRDefault="00000000">
            <w:pPr>
              <w:rPr>
                <w:sz w:val="22"/>
              </w:rPr>
            </w:pPr>
          </w:p>
        </w:tc>
        <w:tc>
          <w:tcPr>
            <w:tcW w:w="941" w:type="dxa"/>
            <w:tcBorders>
              <w:bottom w:val="single" w:sz="4" w:space="0" w:color="auto"/>
            </w:tcBorders>
          </w:tcPr>
          <w:p w:rsidR="00000000" w:rsidRDefault="00000000">
            <w:pPr>
              <w:pStyle w:val="10"/>
              <w:rPr>
                <w:b w:val="0"/>
                <w:sz w:val="22"/>
              </w:rPr>
            </w:pPr>
            <w:r>
              <w:rPr>
                <w:b w:val="0"/>
                <w:sz w:val="22"/>
              </w:rPr>
              <w:t>1990</w:t>
            </w:r>
          </w:p>
        </w:tc>
        <w:tc>
          <w:tcPr>
            <w:tcW w:w="941" w:type="dxa"/>
            <w:tcBorders>
              <w:bottom w:val="single" w:sz="4" w:space="0" w:color="auto"/>
            </w:tcBorders>
          </w:tcPr>
          <w:p w:rsidR="00000000" w:rsidRDefault="00000000">
            <w:pPr>
              <w:pStyle w:val="10"/>
              <w:rPr>
                <w:b w:val="0"/>
                <w:sz w:val="22"/>
              </w:rPr>
            </w:pPr>
            <w:r>
              <w:rPr>
                <w:b w:val="0"/>
                <w:sz w:val="22"/>
              </w:rPr>
              <w:t>1993</w:t>
            </w:r>
          </w:p>
        </w:tc>
        <w:tc>
          <w:tcPr>
            <w:tcW w:w="941" w:type="dxa"/>
            <w:tcBorders>
              <w:bottom w:val="single" w:sz="4" w:space="0" w:color="auto"/>
            </w:tcBorders>
          </w:tcPr>
          <w:p w:rsidR="00000000" w:rsidRDefault="00000000">
            <w:pPr>
              <w:jc w:val="center"/>
              <w:rPr>
                <w:sz w:val="22"/>
              </w:rPr>
            </w:pPr>
            <w:r>
              <w:rPr>
                <w:sz w:val="22"/>
              </w:rPr>
              <w:t>1994</w:t>
            </w:r>
          </w:p>
        </w:tc>
        <w:tc>
          <w:tcPr>
            <w:tcW w:w="941" w:type="dxa"/>
            <w:tcBorders>
              <w:bottom w:val="single" w:sz="4" w:space="0" w:color="auto"/>
            </w:tcBorders>
          </w:tcPr>
          <w:p w:rsidR="00000000" w:rsidRDefault="00000000">
            <w:pPr>
              <w:jc w:val="center"/>
              <w:rPr>
                <w:sz w:val="22"/>
              </w:rPr>
            </w:pPr>
            <w:r>
              <w:rPr>
                <w:sz w:val="22"/>
              </w:rPr>
              <w:t>1995</w:t>
            </w:r>
          </w:p>
        </w:tc>
        <w:tc>
          <w:tcPr>
            <w:tcW w:w="941" w:type="dxa"/>
            <w:tcBorders>
              <w:bottom w:val="single" w:sz="4" w:space="0" w:color="auto"/>
            </w:tcBorders>
          </w:tcPr>
          <w:p w:rsidR="00000000" w:rsidRDefault="00000000">
            <w:pPr>
              <w:jc w:val="center"/>
              <w:rPr>
                <w:sz w:val="22"/>
              </w:rPr>
            </w:pPr>
            <w:r>
              <w:rPr>
                <w:sz w:val="22"/>
              </w:rPr>
              <w:t>1996</w:t>
            </w:r>
          </w:p>
        </w:tc>
        <w:tc>
          <w:tcPr>
            <w:tcW w:w="941" w:type="dxa"/>
            <w:tcBorders>
              <w:bottom w:val="single" w:sz="4" w:space="0" w:color="auto"/>
            </w:tcBorders>
          </w:tcPr>
          <w:p w:rsidR="00000000" w:rsidRDefault="00000000">
            <w:pPr>
              <w:jc w:val="center"/>
              <w:rPr>
                <w:sz w:val="22"/>
              </w:rPr>
            </w:pPr>
            <w:r>
              <w:rPr>
                <w:sz w:val="22"/>
              </w:rPr>
              <w:t>1997</w:t>
            </w:r>
          </w:p>
        </w:tc>
        <w:tc>
          <w:tcPr>
            <w:tcW w:w="941" w:type="dxa"/>
            <w:tcBorders>
              <w:bottom w:val="single" w:sz="4" w:space="0" w:color="auto"/>
            </w:tcBorders>
          </w:tcPr>
          <w:p w:rsidR="00000000" w:rsidRDefault="00000000">
            <w:pPr>
              <w:jc w:val="center"/>
              <w:rPr>
                <w:sz w:val="22"/>
              </w:rPr>
            </w:pPr>
            <w:r>
              <w:rPr>
                <w:sz w:val="22"/>
              </w:rPr>
              <w:t>1998</w:t>
            </w:r>
          </w:p>
        </w:tc>
      </w:tr>
      <w:tr w:rsidR="00000000">
        <w:tblPrEx>
          <w:tblCellMar>
            <w:top w:w="0" w:type="dxa"/>
            <w:bottom w:w="0" w:type="dxa"/>
          </w:tblCellMar>
        </w:tblPrEx>
        <w:tc>
          <w:tcPr>
            <w:tcW w:w="3048" w:type="dxa"/>
            <w:tcBorders>
              <w:bottom w:val="nil"/>
            </w:tcBorders>
          </w:tcPr>
          <w:p w:rsidR="00000000" w:rsidRDefault="00000000">
            <w:pPr>
              <w:rPr>
                <w:sz w:val="22"/>
              </w:rPr>
            </w:pPr>
            <w:r>
              <w:rPr>
                <w:sz w:val="22"/>
              </w:rPr>
              <w:t>Пособия по медицинскому страхованию</w:t>
            </w:r>
          </w:p>
          <w:p w:rsidR="00000000" w:rsidRDefault="00000000">
            <w:pPr>
              <w:rPr>
                <w:sz w:val="22"/>
              </w:rPr>
            </w:pPr>
            <w:r>
              <w:rPr>
                <w:sz w:val="22"/>
              </w:rPr>
              <w:tab/>
              <w:t>(млн. чешских крон)</w:t>
            </w:r>
          </w:p>
        </w:tc>
        <w:tc>
          <w:tcPr>
            <w:tcW w:w="941" w:type="dxa"/>
            <w:tcBorders>
              <w:bottom w:val="nil"/>
            </w:tcBorders>
          </w:tcPr>
          <w:p w:rsidR="00000000" w:rsidRDefault="00000000">
            <w:pPr>
              <w:tabs>
                <w:tab w:val="clear" w:pos="567"/>
              </w:tabs>
              <w:ind w:left="-213" w:right="191"/>
              <w:jc w:val="right"/>
              <w:rPr>
                <w:sz w:val="22"/>
              </w:rPr>
            </w:pPr>
            <w:r>
              <w:rPr>
                <w:sz w:val="22"/>
              </w:rPr>
              <w:t>21 193</w:t>
            </w:r>
          </w:p>
        </w:tc>
        <w:tc>
          <w:tcPr>
            <w:tcW w:w="941" w:type="dxa"/>
            <w:tcBorders>
              <w:bottom w:val="nil"/>
            </w:tcBorders>
          </w:tcPr>
          <w:p w:rsidR="00000000" w:rsidRDefault="00000000">
            <w:pPr>
              <w:tabs>
                <w:tab w:val="clear" w:pos="567"/>
              </w:tabs>
              <w:ind w:left="-213" w:right="191"/>
              <w:jc w:val="right"/>
              <w:rPr>
                <w:sz w:val="22"/>
              </w:rPr>
            </w:pPr>
            <w:r>
              <w:rPr>
                <w:sz w:val="22"/>
              </w:rPr>
              <w:t>26 543</w:t>
            </w:r>
          </w:p>
        </w:tc>
        <w:tc>
          <w:tcPr>
            <w:tcW w:w="941" w:type="dxa"/>
            <w:tcBorders>
              <w:bottom w:val="nil"/>
            </w:tcBorders>
          </w:tcPr>
          <w:p w:rsidR="00000000" w:rsidRDefault="00000000">
            <w:pPr>
              <w:tabs>
                <w:tab w:val="clear" w:pos="567"/>
              </w:tabs>
              <w:ind w:left="-213" w:right="191"/>
              <w:jc w:val="right"/>
              <w:rPr>
                <w:sz w:val="22"/>
              </w:rPr>
            </w:pPr>
            <w:r>
              <w:rPr>
                <w:sz w:val="22"/>
              </w:rPr>
              <w:t>34 246</w:t>
            </w:r>
          </w:p>
        </w:tc>
        <w:tc>
          <w:tcPr>
            <w:tcW w:w="941" w:type="dxa"/>
            <w:tcBorders>
              <w:bottom w:val="nil"/>
            </w:tcBorders>
          </w:tcPr>
          <w:p w:rsidR="00000000" w:rsidRDefault="00000000">
            <w:pPr>
              <w:tabs>
                <w:tab w:val="clear" w:pos="567"/>
              </w:tabs>
              <w:ind w:left="-213" w:right="191"/>
              <w:jc w:val="right"/>
              <w:rPr>
                <w:sz w:val="22"/>
              </w:rPr>
            </w:pPr>
            <w:r>
              <w:rPr>
                <w:sz w:val="22"/>
              </w:rPr>
              <w:t>35 661</w:t>
            </w:r>
          </w:p>
        </w:tc>
        <w:tc>
          <w:tcPr>
            <w:tcW w:w="941" w:type="dxa"/>
            <w:tcBorders>
              <w:bottom w:val="nil"/>
            </w:tcBorders>
          </w:tcPr>
          <w:p w:rsidR="00000000" w:rsidRDefault="00000000">
            <w:pPr>
              <w:tabs>
                <w:tab w:val="clear" w:pos="567"/>
              </w:tabs>
              <w:ind w:left="-213" w:right="191"/>
              <w:jc w:val="right"/>
              <w:rPr>
                <w:sz w:val="22"/>
              </w:rPr>
            </w:pPr>
            <w:r>
              <w:rPr>
                <w:sz w:val="22"/>
              </w:rPr>
              <w:t>21 483</w:t>
            </w:r>
          </w:p>
        </w:tc>
        <w:tc>
          <w:tcPr>
            <w:tcW w:w="941" w:type="dxa"/>
            <w:tcBorders>
              <w:bottom w:val="nil"/>
            </w:tcBorders>
          </w:tcPr>
          <w:p w:rsidR="00000000" w:rsidRDefault="00000000">
            <w:pPr>
              <w:tabs>
                <w:tab w:val="clear" w:pos="567"/>
              </w:tabs>
              <w:ind w:left="-213" w:right="191"/>
              <w:jc w:val="right"/>
              <w:rPr>
                <w:sz w:val="22"/>
              </w:rPr>
            </w:pPr>
            <w:r>
              <w:rPr>
                <w:sz w:val="22"/>
              </w:rPr>
              <w:t>19 797</w:t>
            </w:r>
          </w:p>
        </w:tc>
        <w:tc>
          <w:tcPr>
            <w:tcW w:w="941" w:type="dxa"/>
            <w:tcBorders>
              <w:bottom w:val="nil"/>
            </w:tcBorders>
          </w:tcPr>
          <w:p w:rsidR="00000000" w:rsidRDefault="00000000">
            <w:pPr>
              <w:tabs>
                <w:tab w:val="clear" w:pos="567"/>
              </w:tabs>
              <w:ind w:left="-213" w:right="191"/>
              <w:jc w:val="right"/>
              <w:rPr>
                <w:sz w:val="22"/>
              </w:rPr>
            </w:pPr>
            <w:r>
              <w:rPr>
                <w:sz w:val="22"/>
              </w:rPr>
              <w:t>18 533</w:t>
            </w:r>
          </w:p>
        </w:tc>
      </w:tr>
      <w:tr w:rsidR="00000000">
        <w:tblPrEx>
          <w:tblCellMar>
            <w:top w:w="0" w:type="dxa"/>
            <w:bottom w:w="0" w:type="dxa"/>
          </w:tblCellMar>
        </w:tblPrEx>
        <w:tc>
          <w:tcPr>
            <w:tcW w:w="3048" w:type="dxa"/>
            <w:tcBorders>
              <w:top w:val="nil"/>
              <w:bottom w:val="nil"/>
            </w:tcBorders>
          </w:tcPr>
          <w:p w:rsidR="00000000" w:rsidRDefault="00000000">
            <w:pPr>
              <w:rPr>
                <w:sz w:val="22"/>
              </w:rPr>
            </w:pPr>
            <w:r>
              <w:rPr>
                <w:sz w:val="22"/>
              </w:rPr>
              <w:t>в том числе по болезни</w:t>
            </w:r>
          </w:p>
        </w:tc>
        <w:tc>
          <w:tcPr>
            <w:tcW w:w="941" w:type="dxa"/>
            <w:tcBorders>
              <w:top w:val="nil"/>
              <w:bottom w:val="nil"/>
            </w:tcBorders>
          </w:tcPr>
          <w:p w:rsidR="00000000" w:rsidRDefault="00000000">
            <w:pPr>
              <w:tabs>
                <w:tab w:val="clear" w:pos="567"/>
              </w:tabs>
              <w:ind w:left="-213" w:right="191"/>
              <w:jc w:val="right"/>
              <w:rPr>
                <w:sz w:val="22"/>
              </w:rPr>
            </w:pPr>
            <w:r>
              <w:rPr>
                <w:sz w:val="22"/>
              </w:rPr>
              <w:t>6 899</w:t>
            </w:r>
          </w:p>
        </w:tc>
        <w:tc>
          <w:tcPr>
            <w:tcW w:w="941" w:type="dxa"/>
            <w:tcBorders>
              <w:top w:val="nil"/>
              <w:bottom w:val="nil"/>
            </w:tcBorders>
          </w:tcPr>
          <w:p w:rsidR="00000000" w:rsidRDefault="00000000">
            <w:pPr>
              <w:tabs>
                <w:tab w:val="clear" w:pos="567"/>
              </w:tabs>
              <w:ind w:left="-213" w:right="191"/>
              <w:jc w:val="right"/>
              <w:rPr>
                <w:sz w:val="22"/>
              </w:rPr>
            </w:pPr>
            <w:r>
              <w:rPr>
                <w:sz w:val="22"/>
              </w:rPr>
              <w:t>9 665</w:t>
            </w:r>
          </w:p>
        </w:tc>
        <w:tc>
          <w:tcPr>
            <w:tcW w:w="941" w:type="dxa"/>
            <w:tcBorders>
              <w:top w:val="nil"/>
              <w:bottom w:val="nil"/>
            </w:tcBorders>
          </w:tcPr>
          <w:p w:rsidR="00000000" w:rsidRDefault="00000000">
            <w:pPr>
              <w:tabs>
                <w:tab w:val="clear" w:pos="567"/>
              </w:tabs>
              <w:ind w:left="-213" w:right="191"/>
              <w:jc w:val="right"/>
              <w:rPr>
                <w:sz w:val="22"/>
              </w:rPr>
            </w:pPr>
            <w:r>
              <w:rPr>
                <w:sz w:val="22"/>
              </w:rPr>
              <w:t>13 589</w:t>
            </w:r>
          </w:p>
        </w:tc>
        <w:tc>
          <w:tcPr>
            <w:tcW w:w="941" w:type="dxa"/>
            <w:tcBorders>
              <w:top w:val="nil"/>
              <w:bottom w:val="nil"/>
            </w:tcBorders>
          </w:tcPr>
          <w:p w:rsidR="00000000" w:rsidRDefault="00000000">
            <w:pPr>
              <w:tabs>
                <w:tab w:val="clear" w:pos="567"/>
              </w:tabs>
              <w:ind w:left="-213" w:right="191"/>
              <w:jc w:val="right"/>
              <w:rPr>
                <w:sz w:val="22"/>
              </w:rPr>
            </w:pPr>
            <w:r>
              <w:rPr>
                <w:sz w:val="22"/>
              </w:rPr>
              <w:t>15 416</w:t>
            </w:r>
          </w:p>
        </w:tc>
        <w:tc>
          <w:tcPr>
            <w:tcW w:w="941" w:type="dxa"/>
            <w:tcBorders>
              <w:top w:val="nil"/>
              <w:bottom w:val="nil"/>
            </w:tcBorders>
          </w:tcPr>
          <w:p w:rsidR="00000000" w:rsidRDefault="00000000">
            <w:pPr>
              <w:tabs>
                <w:tab w:val="clear" w:pos="567"/>
              </w:tabs>
              <w:ind w:left="-213" w:right="191"/>
              <w:jc w:val="right"/>
              <w:rPr>
                <w:sz w:val="22"/>
              </w:rPr>
            </w:pPr>
            <w:r>
              <w:rPr>
                <w:sz w:val="22"/>
              </w:rPr>
              <w:t>17 663</w:t>
            </w:r>
          </w:p>
        </w:tc>
        <w:tc>
          <w:tcPr>
            <w:tcW w:w="941" w:type="dxa"/>
            <w:tcBorders>
              <w:top w:val="nil"/>
              <w:bottom w:val="nil"/>
            </w:tcBorders>
          </w:tcPr>
          <w:p w:rsidR="00000000" w:rsidRDefault="00000000">
            <w:pPr>
              <w:tabs>
                <w:tab w:val="clear" w:pos="567"/>
              </w:tabs>
              <w:ind w:left="-213" w:right="191"/>
              <w:jc w:val="right"/>
              <w:rPr>
                <w:sz w:val="22"/>
              </w:rPr>
            </w:pPr>
            <w:r>
              <w:rPr>
                <w:sz w:val="22"/>
              </w:rPr>
              <w:t>16 959</w:t>
            </w:r>
          </w:p>
        </w:tc>
        <w:tc>
          <w:tcPr>
            <w:tcW w:w="941" w:type="dxa"/>
            <w:tcBorders>
              <w:top w:val="nil"/>
              <w:bottom w:val="nil"/>
            </w:tcBorders>
          </w:tcPr>
          <w:p w:rsidR="00000000" w:rsidRDefault="00000000">
            <w:pPr>
              <w:tabs>
                <w:tab w:val="clear" w:pos="567"/>
              </w:tabs>
              <w:ind w:left="-213" w:right="191"/>
              <w:jc w:val="right"/>
              <w:rPr>
                <w:sz w:val="22"/>
              </w:rPr>
            </w:pPr>
            <w:r>
              <w:rPr>
                <w:sz w:val="22"/>
              </w:rPr>
              <w:t>15 733</w:t>
            </w:r>
          </w:p>
        </w:tc>
      </w:tr>
      <w:tr w:rsidR="00000000">
        <w:tblPrEx>
          <w:tblCellMar>
            <w:top w:w="0" w:type="dxa"/>
            <w:bottom w:w="0" w:type="dxa"/>
          </w:tblCellMar>
        </w:tblPrEx>
        <w:tc>
          <w:tcPr>
            <w:tcW w:w="3048" w:type="dxa"/>
            <w:tcBorders>
              <w:top w:val="nil"/>
              <w:bottom w:val="nil"/>
            </w:tcBorders>
          </w:tcPr>
          <w:p w:rsidR="00000000" w:rsidRDefault="00000000">
            <w:pPr>
              <w:rPr>
                <w:sz w:val="22"/>
              </w:rPr>
            </w:pPr>
            <w:r>
              <w:rPr>
                <w:sz w:val="22"/>
              </w:rPr>
              <w:t xml:space="preserve">   пособия на детей</w:t>
            </w:r>
            <w:r>
              <w:rPr>
                <w:sz w:val="22"/>
                <w:vertAlign w:val="superscript"/>
              </w:rPr>
              <w:t>а</w:t>
            </w:r>
          </w:p>
        </w:tc>
        <w:tc>
          <w:tcPr>
            <w:tcW w:w="941" w:type="dxa"/>
            <w:tcBorders>
              <w:top w:val="nil"/>
              <w:bottom w:val="nil"/>
            </w:tcBorders>
          </w:tcPr>
          <w:p w:rsidR="00000000" w:rsidRDefault="00000000">
            <w:pPr>
              <w:tabs>
                <w:tab w:val="clear" w:pos="567"/>
              </w:tabs>
              <w:ind w:left="-213" w:right="191"/>
              <w:jc w:val="right"/>
              <w:rPr>
                <w:sz w:val="22"/>
              </w:rPr>
            </w:pPr>
            <w:r>
              <w:rPr>
                <w:sz w:val="22"/>
              </w:rPr>
              <w:t>10 191</w:t>
            </w:r>
          </w:p>
        </w:tc>
        <w:tc>
          <w:tcPr>
            <w:tcW w:w="941" w:type="dxa"/>
            <w:tcBorders>
              <w:top w:val="nil"/>
              <w:bottom w:val="nil"/>
            </w:tcBorders>
          </w:tcPr>
          <w:p w:rsidR="00000000" w:rsidRDefault="00000000">
            <w:pPr>
              <w:tabs>
                <w:tab w:val="clear" w:pos="567"/>
              </w:tabs>
              <w:ind w:left="-213" w:right="191"/>
              <w:jc w:val="right"/>
              <w:rPr>
                <w:sz w:val="22"/>
              </w:rPr>
            </w:pPr>
            <w:r>
              <w:rPr>
                <w:sz w:val="22"/>
              </w:rPr>
              <w:t>9 615</w:t>
            </w:r>
          </w:p>
        </w:tc>
        <w:tc>
          <w:tcPr>
            <w:tcW w:w="941" w:type="dxa"/>
            <w:tcBorders>
              <w:top w:val="nil"/>
              <w:bottom w:val="nil"/>
            </w:tcBorders>
          </w:tcPr>
          <w:p w:rsidR="00000000" w:rsidRDefault="00000000">
            <w:pPr>
              <w:tabs>
                <w:tab w:val="clear" w:pos="567"/>
              </w:tabs>
              <w:ind w:left="-213" w:right="191"/>
              <w:jc w:val="right"/>
              <w:rPr>
                <w:sz w:val="22"/>
              </w:rPr>
            </w:pPr>
            <w:r>
              <w:rPr>
                <w:sz w:val="22"/>
              </w:rPr>
              <w:t>12 324</w:t>
            </w:r>
          </w:p>
        </w:tc>
        <w:tc>
          <w:tcPr>
            <w:tcW w:w="941" w:type="dxa"/>
            <w:tcBorders>
              <w:top w:val="nil"/>
              <w:bottom w:val="nil"/>
            </w:tcBorders>
          </w:tcPr>
          <w:p w:rsidR="00000000" w:rsidRDefault="00000000">
            <w:pPr>
              <w:tabs>
                <w:tab w:val="clear" w:pos="567"/>
              </w:tabs>
              <w:ind w:left="-213" w:right="191"/>
              <w:jc w:val="right"/>
              <w:rPr>
                <w:sz w:val="22"/>
              </w:rPr>
            </w:pPr>
            <w:r>
              <w:rPr>
                <w:sz w:val="22"/>
              </w:rPr>
              <w:t>12 200</w:t>
            </w:r>
          </w:p>
        </w:tc>
        <w:tc>
          <w:tcPr>
            <w:tcW w:w="941" w:type="dxa"/>
            <w:tcBorders>
              <w:top w:val="nil"/>
              <w:bottom w:val="nil"/>
            </w:tcBorders>
          </w:tcPr>
          <w:p w:rsidR="00000000" w:rsidRDefault="00000000">
            <w:pPr>
              <w:tabs>
                <w:tab w:val="clear" w:pos="567"/>
              </w:tabs>
              <w:ind w:left="-213" w:right="191"/>
              <w:jc w:val="right"/>
              <w:rPr>
                <w:sz w:val="22"/>
              </w:rPr>
            </w:pPr>
            <w:r>
              <w:rPr>
                <w:sz w:val="22"/>
              </w:rPr>
              <w:t>1 070</w:t>
            </w:r>
          </w:p>
        </w:tc>
        <w:tc>
          <w:tcPr>
            <w:tcW w:w="941" w:type="dxa"/>
            <w:tcBorders>
              <w:top w:val="nil"/>
              <w:bottom w:val="nil"/>
            </w:tcBorders>
          </w:tcPr>
          <w:p w:rsidR="00000000" w:rsidRDefault="00000000">
            <w:pPr>
              <w:tabs>
                <w:tab w:val="clear" w:pos="567"/>
              </w:tabs>
              <w:ind w:left="-213" w:right="191"/>
              <w:jc w:val="right"/>
              <w:rPr>
                <w:sz w:val="22"/>
              </w:rPr>
            </w:pPr>
            <w:r>
              <w:rPr>
                <w:sz w:val="22"/>
              </w:rPr>
              <w:t>2</w:t>
            </w:r>
          </w:p>
        </w:tc>
        <w:tc>
          <w:tcPr>
            <w:tcW w:w="941" w:type="dxa"/>
            <w:tcBorders>
              <w:top w:val="nil"/>
              <w:bottom w:val="nil"/>
            </w:tcBorders>
          </w:tcPr>
          <w:p w:rsidR="00000000" w:rsidRDefault="00000000">
            <w:pPr>
              <w:tabs>
                <w:tab w:val="clear" w:pos="567"/>
              </w:tabs>
              <w:ind w:left="-213" w:right="191"/>
              <w:jc w:val="right"/>
              <w:rPr>
                <w:sz w:val="22"/>
              </w:rPr>
            </w:pPr>
            <w:r>
              <w:rPr>
                <w:sz w:val="22"/>
              </w:rPr>
              <w:t>-</w:t>
            </w:r>
          </w:p>
        </w:tc>
      </w:tr>
      <w:tr w:rsidR="00000000">
        <w:tblPrEx>
          <w:tblCellMar>
            <w:top w:w="0" w:type="dxa"/>
            <w:bottom w:w="0" w:type="dxa"/>
          </w:tblCellMar>
        </w:tblPrEx>
        <w:tc>
          <w:tcPr>
            <w:tcW w:w="3048" w:type="dxa"/>
            <w:tcBorders>
              <w:top w:val="nil"/>
              <w:bottom w:val="nil"/>
            </w:tcBorders>
          </w:tcPr>
          <w:p w:rsidR="00000000" w:rsidRDefault="00000000">
            <w:pPr>
              <w:rPr>
                <w:sz w:val="22"/>
              </w:rPr>
            </w:pPr>
            <w:r>
              <w:rPr>
                <w:sz w:val="22"/>
              </w:rPr>
              <w:t>Государственные пособия по социальной помощи</w:t>
            </w:r>
          </w:p>
          <w:p w:rsidR="00000000" w:rsidRDefault="00000000">
            <w:pPr>
              <w:rPr>
                <w:sz w:val="22"/>
              </w:rPr>
            </w:pPr>
            <w:r>
              <w:rPr>
                <w:sz w:val="22"/>
              </w:rPr>
              <w:tab/>
              <w:t>(млн. чешских крон)</w:t>
            </w:r>
          </w:p>
        </w:tc>
        <w:tc>
          <w:tcPr>
            <w:tcW w:w="941" w:type="dxa"/>
            <w:tcBorders>
              <w:top w:val="nil"/>
              <w:bottom w:val="nil"/>
            </w:tcBorders>
          </w:tcPr>
          <w:p w:rsidR="00000000" w:rsidRDefault="00000000">
            <w:pPr>
              <w:tabs>
                <w:tab w:val="clear" w:pos="567"/>
              </w:tabs>
              <w:ind w:left="-213" w:right="191"/>
              <w:jc w:val="right"/>
              <w:rPr>
                <w:sz w:val="22"/>
              </w:rPr>
            </w:pPr>
            <w:r>
              <w:rPr>
                <w:sz w:val="22"/>
              </w:rPr>
              <w:t>-</w:t>
            </w:r>
          </w:p>
        </w:tc>
        <w:tc>
          <w:tcPr>
            <w:tcW w:w="941" w:type="dxa"/>
            <w:tcBorders>
              <w:top w:val="nil"/>
              <w:bottom w:val="nil"/>
            </w:tcBorders>
          </w:tcPr>
          <w:p w:rsidR="00000000" w:rsidRDefault="00000000">
            <w:pPr>
              <w:tabs>
                <w:tab w:val="clear" w:pos="567"/>
              </w:tabs>
              <w:ind w:left="-213" w:right="191"/>
              <w:jc w:val="right"/>
              <w:rPr>
                <w:sz w:val="22"/>
              </w:rPr>
            </w:pPr>
            <w:r>
              <w:rPr>
                <w:sz w:val="22"/>
              </w:rPr>
              <w:t>-</w:t>
            </w:r>
          </w:p>
        </w:tc>
        <w:tc>
          <w:tcPr>
            <w:tcW w:w="941" w:type="dxa"/>
            <w:tcBorders>
              <w:top w:val="nil"/>
              <w:bottom w:val="nil"/>
            </w:tcBorders>
          </w:tcPr>
          <w:p w:rsidR="00000000" w:rsidRDefault="00000000">
            <w:pPr>
              <w:tabs>
                <w:tab w:val="clear" w:pos="567"/>
              </w:tabs>
              <w:ind w:left="-213" w:right="191"/>
              <w:jc w:val="right"/>
              <w:rPr>
                <w:sz w:val="22"/>
              </w:rPr>
            </w:pPr>
            <w:r>
              <w:rPr>
                <w:sz w:val="22"/>
              </w:rPr>
              <w:t>-</w:t>
            </w:r>
          </w:p>
        </w:tc>
        <w:tc>
          <w:tcPr>
            <w:tcW w:w="941" w:type="dxa"/>
            <w:tcBorders>
              <w:top w:val="nil"/>
              <w:bottom w:val="nil"/>
            </w:tcBorders>
          </w:tcPr>
          <w:p w:rsidR="00000000" w:rsidRDefault="00000000">
            <w:pPr>
              <w:tabs>
                <w:tab w:val="clear" w:pos="567"/>
              </w:tabs>
              <w:ind w:left="-213" w:right="191"/>
              <w:jc w:val="right"/>
              <w:rPr>
                <w:sz w:val="22"/>
              </w:rPr>
            </w:pPr>
            <w:r>
              <w:rPr>
                <w:sz w:val="22"/>
              </w:rPr>
              <w:t>-</w:t>
            </w:r>
          </w:p>
        </w:tc>
        <w:tc>
          <w:tcPr>
            <w:tcW w:w="941" w:type="dxa"/>
            <w:tcBorders>
              <w:top w:val="nil"/>
              <w:bottom w:val="nil"/>
            </w:tcBorders>
          </w:tcPr>
          <w:p w:rsidR="00000000" w:rsidRDefault="00000000">
            <w:pPr>
              <w:tabs>
                <w:tab w:val="clear" w:pos="567"/>
              </w:tabs>
              <w:ind w:left="-213" w:right="191"/>
              <w:jc w:val="right"/>
              <w:rPr>
                <w:sz w:val="22"/>
              </w:rPr>
            </w:pPr>
            <w:r>
              <w:rPr>
                <w:sz w:val="22"/>
              </w:rPr>
              <w:t>26 692</w:t>
            </w:r>
          </w:p>
        </w:tc>
        <w:tc>
          <w:tcPr>
            <w:tcW w:w="941" w:type="dxa"/>
            <w:tcBorders>
              <w:top w:val="nil"/>
              <w:bottom w:val="nil"/>
            </w:tcBorders>
          </w:tcPr>
          <w:p w:rsidR="00000000" w:rsidRDefault="00000000">
            <w:pPr>
              <w:tabs>
                <w:tab w:val="clear" w:pos="567"/>
              </w:tabs>
              <w:ind w:left="-213" w:right="191"/>
              <w:jc w:val="right"/>
              <w:rPr>
                <w:sz w:val="22"/>
              </w:rPr>
            </w:pPr>
            <w:r>
              <w:rPr>
                <w:sz w:val="22"/>
              </w:rPr>
              <w:t>29 237</w:t>
            </w:r>
          </w:p>
        </w:tc>
        <w:tc>
          <w:tcPr>
            <w:tcW w:w="941" w:type="dxa"/>
            <w:tcBorders>
              <w:top w:val="nil"/>
              <w:bottom w:val="nil"/>
            </w:tcBorders>
          </w:tcPr>
          <w:p w:rsidR="00000000" w:rsidRDefault="00000000">
            <w:pPr>
              <w:tabs>
                <w:tab w:val="clear" w:pos="567"/>
              </w:tabs>
              <w:ind w:left="-213" w:right="191"/>
              <w:jc w:val="right"/>
              <w:rPr>
                <w:sz w:val="22"/>
              </w:rPr>
            </w:pPr>
            <w:r>
              <w:rPr>
                <w:sz w:val="22"/>
              </w:rPr>
              <w:t>29 637</w:t>
            </w:r>
          </w:p>
        </w:tc>
      </w:tr>
      <w:tr w:rsidR="00000000">
        <w:tblPrEx>
          <w:tblCellMar>
            <w:top w:w="0" w:type="dxa"/>
            <w:bottom w:w="0" w:type="dxa"/>
          </w:tblCellMar>
        </w:tblPrEx>
        <w:tc>
          <w:tcPr>
            <w:tcW w:w="3048" w:type="dxa"/>
            <w:tcBorders>
              <w:top w:val="nil"/>
              <w:bottom w:val="nil"/>
            </w:tcBorders>
          </w:tcPr>
          <w:p w:rsidR="00000000" w:rsidRDefault="00000000">
            <w:pPr>
              <w:rPr>
                <w:sz w:val="22"/>
              </w:rPr>
            </w:pPr>
            <w:r>
              <w:rPr>
                <w:sz w:val="22"/>
              </w:rPr>
              <w:t>в том числе пособия на детей</w:t>
            </w:r>
            <w:r>
              <w:rPr>
                <w:sz w:val="22"/>
                <w:vertAlign w:val="superscript"/>
              </w:rPr>
              <w:t>а</w:t>
            </w:r>
          </w:p>
        </w:tc>
        <w:tc>
          <w:tcPr>
            <w:tcW w:w="941" w:type="dxa"/>
            <w:tcBorders>
              <w:top w:val="nil"/>
              <w:bottom w:val="nil"/>
            </w:tcBorders>
          </w:tcPr>
          <w:p w:rsidR="00000000" w:rsidRDefault="00000000">
            <w:pPr>
              <w:tabs>
                <w:tab w:val="clear" w:pos="567"/>
              </w:tabs>
              <w:ind w:left="-213" w:right="191"/>
              <w:jc w:val="right"/>
              <w:rPr>
                <w:sz w:val="22"/>
              </w:rPr>
            </w:pPr>
            <w:r>
              <w:rPr>
                <w:sz w:val="22"/>
              </w:rPr>
              <w:t>-</w:t>
            </w:r>
          </w:p>
        </w:tc>
        <w:tc>
          <w:tcPr>
            <w:tcW w:w="941" w:type="dxa"/>
            <w:tcBorders>
              <w:top w:val="nil"/>
              <w:bottom w:val="nil"/>
            </w:tcBorders>
          </w:tcPr>
          <w:p w:rsidR="00000000" w:rsidRDefault="00000000">
            <w:pPr>
              <w:tabs>
                <w:tab w:val="clear" w:pos="567"/>
              </w:tabs>
              <w:ind w:left="-213" w:right="191"/>
              <w:jc w:val="right"/>
              <w:rPr>
                <w:sz w:val="22"/>
              </w:rPr>
            </w:pPr>
            <w:r>
              <w:rPr>
                <w:sz w:val="22"/>
              </w:rPr>
              <w:t>-</w:t>
            </w:r>
          </w:p>
        </w:tc>
        <w:tc>
          <w:tcPr>
            <w:tcW w:w="941" w:type="dxa"/>
            <w:tcBorders>
              <w:top w:val="nil"/>
              <w:bottom w:val="nil"/>
            </w:tcBorders>
          </w:tcPr>
          <w:p w:rsidR="00000000" w:rsidRDefault="00000000">
            <w:pPr>
              <w:tabs>
                <w:tab w:val="clear" w:pos="567"/>
              </w:tabs>
              <w:ind w:left="-213" w:right="191"/>
              <w:jc w:val="right"/>
              <w:rPr>
                <w:sz w:val="22"/>
              </w:rPr>
            </w:pPr>
            <w:r>
              <w:rPr>
                <w:sz w:val="22"/>
              </w:rPr>
              <w:t>-</w:t>
            </w:r>
          </w:p>
        </w:tc>
        <w:tc>
          <w:tcPr>
            <w:tcW w:w="941" w:type="dxa"/>
            <w:tcBorders>
              <w:top w:val="nil"/>
              <w:bottom w:val="nil"/>
            </w:tcBorders>
          </w:tcPr>
          <w:p w:rsidR="00000000" w:rsidRDefault="00000000">
            <w:pPr>
              <w:tabs>
                <w:tab w:val="clear" w:pos="567"/>
              </w:tabs>
              <w:ind w:left="-213" w:right="191"/>
              <w:jc w:val="right"/>
              <w:rPr>
                <w:sz w:val="22"/>
              </w:rPr>
            </w:pPr>
            <w:r>
              <w:rPr>
                <w:sz w:val="22"/>
              </w:rPr>
              <w:t>-</w:t>
            </w:r>
          </w:p>
        </w:tc>
        <w:tc>
          <w:tcPr>
            <w:tcW w:w="941" w:type="dxa"/>
            <w:tcBorders>
              <w:top w:val="nil"/>
              <w:bottom w:val="nil"/>
            </w:tcBorders>
          </w:tcPr>
          <w:p w:rsidR="00000000" w:rsidRDefault="00000000">
            <w:pPr>
              <w:tabs>
                <w:tab w:val="clear" w:pos="567"/>
              </w:tabs>
              <w:ind w:left="-213" w:right="191"/>
              <w:jc w:val="right"/>
              <w:rPr>
                <w:sz w:val="22"/>
              </w:rPr>
            </w:pPr>
            <w:r>
              <w:rPr>
                <w:sz w:val="22"/>
              </w:rPr>
              <w:t>11 124</w:t>
            </w:r>
          </w:p>
        </w:tc>
        <w:tc>
          <w:tcPr>
            <w:tcW w:w="941" w:type="dxa"/>
            <w:tcBorders>
              <w:top w:val="nil"/>
              <w:bottom w:val="nil"/>
            </w:tcBorders>
          </w:tcPr>
          <w:p w:rsidR="00000000" w:rsidRDefault="00000000">
            <w:pPr>
              <w:tabs>
                <w:tab w:val="clear" w:pos="567"/>
              </w:tabs>
              <w:ind w:left="-213" w:right="191"/>
              <w:jc w:val="right"/>
              <w:rPr>
                <w:sz w:val="22"/>
              </w:rPr>
            </w:pPr>
            <w:r>
              <w:rPr>
                <w:sz w:val="22"/>
              </w:rPr>
              <w:t>12 495</w:t>
            </w:r>
          </w:p>
        </w:tc>
        <w:tc>
          <w:tcPr>
            <w:tcW w:w="941" w:type="dxa"/>
            <w:tcBorders>
              <w:top w:val="nil"/>
              <w:bottom w:val="nil"/>
            </w:tcBorders>
          </w:tcPr>
          <w:p w:rsidR="00000000" w:rsidRDefault="00000000">
            <w:pPr>
              <w:tabs>
                <w:tab w:val="clear" w:pos="567"/>
              </w:tabs>
              <w:ind w:left="-213" w:right="191"/>
              <w:jc w:val="right"/>
              <w:rPr>
                <w:sz w:val="22"/>
              </w:rPr>
            </w:pPr>
            <w:r>
              <w:rPr>
                <w:sz w:val="22"/>
              </w:rPr>
              <w:t>11 493</w:t>
            </w:r>
          </w:p>
        </w:tc>
      </w:tr>
      <w:tr w:rsidR="00000000">
        <w:tblPrEx>
          <w:tblCellMar>
            <w:top w:w="0" w:type="dxa"/>
            <w:bottom w:w="0" w:type="dxa"/>
          </w:tblCellMar>
        </w:tblPrEx>
        <w:tc>
          <w:tcPr>
            <w:tcW w:w="3048" w:type="dxa"/>
            <w:tcBorders>
              <w:top w:val="nil"/>
              <w:bottom w:val="nil"/>
            </w:tcBorders>
          </w:tcPr>
          <w:p w:rsidR="00000000" w:rsidRDefault="00000000">
            <w:pPr>
              <w:rPr>
                <w:sz w:val="22"/>
              </w:rPr>
            </w:pPr>
            <w:r>
              <w:rPr>
                <w:sz w:val="22"/>
              </w:rPr>
              <w:t>Пенсионные пособия</w:t>
            </w:r>
          </w:p>
          <w:p w:rsidR="00000000" w:rsidRDefault="00000000">
            <w:pPr>
              <w:rPr>
                <w:sz w:val="22"/>
              </w:rPr>
            </w:pPr>
            <w:r>
              <w:rPr>
                <w:sz w:val="22"/>
              </w:rPr>
              <w:tab/>
              <w:t>(млн. чешских крон)</w:t>
            </w:r>
            <w:r>
              <w:rPr>
                <w:sz w:val="22"/>
                <w:vertAlign w:val="superscript"/>
                <w:lang w:val="en-US"/>
              </w:rPr>
              <w:t>b</w:t>
            </w:r>
          </w:p>
        </w:tc>
        <w:tc>
          <w:tcPr>
            <w:tcW w:w="941" w:type="dxa"/>
            <w:tcBorders>
              <w:top w:val="nil"/>
              <w:bottom w:val="nil"/>
            </w:tcBorders>
          </w:tcPr>
          <w:p w:rsidR="00000000" w:rsidRDefault="00000000">
            <w:pPr>
              <w:tabs>
                <w:tab w:val="clear" w:pos="567"/>
              </w:tabs>
              <w:ind w:left="-213" w:right="191"/>
              <w:jc w:val="right"/>
              <w:rPr>
                <w:sz w:val="22"/>
              </w:rPr>
            </w:pPr>
            <w:r>
              <w:rPr>
                <w:sz w:val="22"/>
              </w:rPr>
              <w:t>45 527</w:t>
            </w:r>
          </w:p>
        </w:tc>
        <w:tc>
          <w:tcPr>
            <w:tcW w:w="941" w:type="dxa"/>
            <w:tcBorders>
              <w:top w:val="nil"/>
              <w:bottom w:val="nil"/>
            </w:tcBorders>
          </w:tcPr>
          <w:p w:rsidR="00000000" w:rsidRDefault="00000000">
            <w:pPr>
              <w:tabs>
                <w:tab w:val="clear" w:pos="567"/>
              </w:tabs>
              <w:ind w:left="-213" w:right="191"/>
              <w:jc w:val="right"/>
              <w:rPr>
                <w:sz w:val="22"/>
              </w:rPr>
            </w:pPr>
            <w:r>
              <w:rPr>
                <w:sz w:val="22"/>
              </w:rPr>
              <w:t>73 635</w:t>
            </w:r>
          </w:p>
        </w:tc>
        <w:tc>
          <w:tcPr>
            <w:tcW w:w="941" w:type="dxa"/>
            <w:tcBorders>
              <w:top w:val="nil"/>
              <w:bottom w:val="nil"/>
            </w:tcBorders>
          </w:tcPr>
          <w:p w:rsidR="00000000" w:rsidRDefault="00000000">
            <w:pPr>
              <w:tabs>
                <w:tab w:val="clear" w:pos="567"/>
              </w:tabs>
              <w:ind w:left="-213" w:right="191"/>
              <w:jc w:val="right"/>
              <w:rPr>
                <w:sz w:val="22"/>
              </w:rPr>
            </w:pPr>
            <w:r>
              <w:rPr>
                <w:sz w:val="22"/>
              </w:rPr>
              <w:t>84 232</w:t>
            </w:r>
          </w:p>
        </w:tc>
        <w:tc>
          <w:tcPr>
            <w:tcW w:w="941" w:type="dxa"/>
            <w:tcBorders>
              <w:top w:val="nil"/>
              <w:bottom w:val="nil"/>
            </w:tcBorders>
          </w:tcPr>
          <w:p w:rsidR="00000000" w:rsidRDefault="00000000">
            <w:pPr>
              <w:tabs>
                <w:tab w:val="clear" w:pos="567"/>
              </w:tabs>
              <w:ind w:left="-213" w:right="191"/>
              <w:jc w:val="right"/>
              <w:rPr>
                <w:sz w:val="22"/>
              </w:rPr>
            </w:pPr>
            <w:r>
              <w:rPr>
                <w:sz w:val="22"/>
              </w:rPr>
              <w:t>105 788</w:t>
            </w:r>
          </w:p>
        </w:tc>
        <w:tc>
          <w:tcPr>
            <w:tcW w:w="941" w:type="dxa"/>
            <w:tcBorders>
              <w:top w:val="nil"/>
              <w:bottom w:val="nil"/>
            </w:tcBorders>
          </w:tcPr>
          <w:p w:rsidR="00000000" w:rsidRDefault="00000000">
            <w:pPr>
              <w:tabs>
                <w:tab w:val="clear" w:pos="567"/>
              </w:tabs>
              <w:ind w:left="-213" w:right="191"/>
              <w:jc w:val="right"/>
              <w:rPr>
                <w:sz w:val="22"/>
              </w:rPr>
            </w:pPr>
            <w:r>
              <w:rPr>
                <w:sz w:val="22"/>
              </w:rPr>
              <w:t>125 561</w:t>
            </w:r>
          </w:p>
        </w:tc>
        <w:tc>
          <w:tcPr>
            <w:tcW w:w="941" w:type="dxa"/>
            <w:tcBorders>
              <w:top w:val="nil"/>
              <w:bottom w:val="nil"/>
            </w:tcBorders>
          </w:tcPr>
          <w:p w:rsidR="00000000" w:rsidRDefault="00000000">
            <w:pPr>
              <w:tabs>
                <w:tab w:val="clear" w:pos="567"/>
              </w:tabs>
              <w:ind w:left="-213" w:right="191"/>
              <w:jc w:val="right"/>
              <w:rPr>
                <w:sz w:val="22"/>
              </w:rPr>
            </w:pPr>
            <w:r>
              <w:rPr>
                <w:sz w:val="22"/>
              </w:rPr>
              <w:t>145 109</w:t>
            </w:r>
          </w:p>
        </w:tc>
        <w:tc>
          <w:tcPr>
            <w:tcW w:w="941" w:type="dxa"/>
            <w:tcBorders>
              <w:top w:val="nil"/>
              <w:bottom w:val="nil"/>
            </w:tcBorders>
          </w:tcPr>
          <w:p w:rsidR="00000000" w:rsidRDefault="00000000">
            <w:pPr>
              <w:tabs>
                <w:tab w:val="clear" w:pos="567"/>
              </w:tabs>
              <w:ind w:left="-213" w:right="191"/>
              <w:jc w:val="right"/>
              <w:rPr>
                <w:sz w:val="22"/>
              </w:rPr>
            </w:pPr>
            <w:r>
              <w:rPr>
                <w:sz w:val="22"/>
              </w:rPr>
              <w:t>161 805</w:t>
            </w:r>
          </w:p>
        </w:tc>
      </w:tr>
      <w:tr w:rsidR="00000000">
        <w:tblPrEx>
          <w:tblCellMar>
            <w:top w:w="0" w:type="dxa"/>
            <w:bottom w:w="0" w:type="dxa"/>
          </w:tblCellMar>
        </w:tblPrEx>
        <w:tc>
          <w:tcPr>
            <w:tcW w:w="3048" w:type="dxa"/>
            <w:tcBorders>
              <w:top w:val="nil"/>
            </w:tcBorders>
          </w:tcPr>
          <w:p w:rsidR="00000000" w:rsidRDefault="00000000">
            <w:pPr>
              <w:rPr>
                <w:sz w:val="22"/>
              </w:rPr>
            </w:pPr>
            <w:r>
              <w:rPr>
                <w:sz w:val="22"/>
              </w:rPr>
              <w:t>Число выплачиваемых пенсий</w:t>
            </w:r>
          </w:p>
        </w:tc>
        <w:tc>
          <w:tcPr>
            <w:tcW w:w="941" w:type="dxa"/>
            <w:tcBorders>
              <w:top w:val="nil"/>
            </w:tcBorders>
          </w:tcPr>
          <w:p w:rsidR="00000000" w:rsidRDefault="00000000">
            <w:pPr>
              <w:tabs>
                <w:tab w:val="clear" w:pos="567"/>
              </w:tabs>
              <w:ind w:left="-213" w:right="191"/>
              <w:jc w:val="right"/>
              <w:rPr>
                <w:sz w:val="22"/>
              </w:rPr>
            </w:pPr>
            <w:r>
              <w:rPr>
                <w:sz w:val="22"/>
              </w:rPr>
              <w:t>2 952</w:t>
            </w:r>
          </w:p>
        </w:tc>
        <w:tc>
          <w:tcPr>
            <w:tcW w:w="941" w:type="dxa"/>
            <w:tcBorders>
              <w:top w:val="nil"/>
            </w:tcBorders>
          </w:tcPr>
          <w:p w:rsidR="00000000" w:rsidRDefault="00000000">
            <w:pPr>
              <w:tabs>
                <w:tab w:val="clear" w:pos="567"/>
              </w:tabs>
              <w:ind w:left="-213" w:right="191"/>
              <w:jc w:val="right"/>
              <w:rPr>
                <w:sz w:val="22"/>
              </w:rPr>
            </w:pPr>
            <w:r>
              <w:rPr>
                <w:sz w:val="22"/>
              </w:rPr>
              <w:t>3 052</w:t>
            </w:r>
          </w:p>
        </w:tc>
        <w:tc>
          <w:tcPr>
            <w:tcW w:w="941" w:type="dxa"/>
            <w:tcBorders>
              <w:top w:val="nil"/>
            </w:tcBorders>
          </w:tcPr>
          <w:p w:rsidR="00000000" w:rsidRDefault="00000000">
            <w:pPr>
              <w:tabs>
                <w:tab w:val="clear" w:pos="567"/>
              </w:tabs>
              <w:ind w:left="-213" w:right="191"/>
              <w:jc w:val="right"/>
              <w:rPr>
                <w:sz w:val="22"/>
              </w:rPr>
            </w:pPr>
            <w:r>
              <w:rPr>
                <w:sz w:val="22"/>
              </w:rPr>
              <w:t>3 051</w:t>
            </w:r>
          </w:p>
        </w:tc>
        <w:tc>
          <w:tcPr>
            <w:tcW w:w="941" w:type="dxa"/>
            <w:tcBorders>
              <w:top w:val="nil"/>
            </w:tcBorders>
          </w:tcPr>
          <w:p w:rsidR="00000000" w:rsidRDefault="00000000">
            <w:pPr>
              <w:tabs>
                <w:tab w:val="clear" w:pos="567"/>
              </w:tabs>
              <w:ind w:left="-213" w:right="191"/>
              <w:jc w:val="right"/>
              <w:rPr>
                <w:sz w:val="22"/>
              </w:rPr>
            </w:pPr>
            <w:r>
              <w:rPr>
                <w:sz w:val="22"/>
              </w:rPr>
              <w:t>3 057</w:t>
            </w:r>
          </w:p>
        </w:tc>
        <w:tc>
          <w:tcPr>
            <w:tcW w:w="941" w:type="dxa"/>
            <w:tcBorders>
              <w:top w:val="nil"/>
            </w:tcBorders>
          </w:tcPr>
          <w:p w:rsidR="00000000" w:rsidRDefault="00000000">
            <w:pPr>
              <w:tabs>
                <w:tab w:val="clear" w:pos="567"/>
              </w:tabs>
              <w:ind w:left="-213" w:right="191"/>
              <w:jc w:val="right"/>
              <w:rPr>
                <w:sz w:val="22"/>
              </w:rPr>
            </w:pPr>
            <w:r>
              <w:rPr>
                <w:sz w:val="22"/>
              </w:rPr>
              <w:t>3 052</w:t>
            </w:r>
          </w:p>
        </w:tc>
        <w:tc>
          <w:tcPr>
            <w:tcW w:w="941" w:type="dxa"/>
            <w:tcBorders>
              <w:top w:val="nil"/>
            </w:tcBorders>
          </w:tcPr>
          <w:p w:rsidR="00000000" w:rsidRDefault="00000000">
            <w:pPr>
              <w:tabs>
                <w:tab w:val="clear" w:pos="567"/>
              </w:tabs>
              <w:ind w:left="-213" w:right="191"/>
              <w:jc w:val="right"/>
              <w:rPr>
                <w:sz w:val="22"/>
              </w:rPr>
            </w:pPr>
            <w:r>
              <w:rPr>
                <w:sz w:val="22"/>
              </w:rPr>
              <w:t>3 088</w:t>
            </w:r>
          </w:p>
        </w:tc>
        <w:tc>
          <w:tcPr>
            <w:tcW w:w="941" w:type="dxa"/>
            <w:tcBorders>
              <w:top w:val="nil"/>
            </w:tcBorders>
          </w:tcPr>
          <w:p w:rsidR="00000000" w:rsidRDefault="00000000">
            <w:pPr>
              <w:tabs>
                <w:tab w:val="clear" w:pos="567"/>
              </w:tabs>
              <w:ind w:left="-213" w:right="191"/>
              <w:jc w:val="right"/>
              <w:rPr>
                <w:sz w:val="22"/>
              </w:rPr>
            </w:pPr>
            <w:r>
              <w:rPr>
                <w:sz w:val="22"/>
              </w:rPr>
              <w:t>3 174</w:t>
            </w:r>
          </w:p>
        </w:tc>
      </w:tr>
    </w:tbl>
    <w:p w:rsidR="00000000" w:rsidRDefault="00000000">
      <w:pPr>
        <w:rPr>
          <w:b/>
          <w:bCs/>
        </w:rPr>
      </w:pPr>
    </w:p>
    <w:p w:rsidR="00000000" w:rsidRDefault="00000000">
      <w:pPr>
        <w:rPr>
          <w:lang w:val="en-US"/>
        </w:rPr>
      </w:pPr>
      <w:r>
        <w:tab/>
      </w:r>
      <w:r>
        <w:rPr>
          <w:u w:val="single"/>
        </w:rPr>
        <w:t>Источник</w:t>
      </w:r>
      <w:r>
        <w:rPr>
          <w:lang w:val="en-US"/>
        </w:rPr>
        <w:t>:</w:t>
      </w:r>
      <w:r>
        <w:rPr>
          <w:lang w:val="en-US"/>
        </w:rPr>
        <w:tab/>
        <w:t>Statistical Yearbook of the CR, 1999.</w:t>
      </w:r>
    </w:p>
    <w:p w:rsidR="00000000" w:rsidRDefault="00000000">
      <w:pPr>
        <w:pStyle w:val="FootnoteText"/>
        <w:spacing w:line="288" w:lineRule="auto"/>
        <w:rPr>
          <w:lang w:val="en-US"/>
        </w:rPr>
      </w:pPr>
    </w:p>
    <w:p w:rsidR="00000000" w:rsidRDefault="00000000">
      <w:pPr>
        <w:spacing w:line="240" w:lineRule="auto"/>
      </w:pPr>
      <w:r>
        <w:rPr>
          <w:lang w:val="en-US"/>
        </w:rPr>
        <w:tab/>
      </w:r>
      <w:r>
        <w:rPr>
          <w:b/>
          <w:bCs/>
          <w:vertAlign w:val="superscript"/>
        </w:rPr>
        <w:t>а</w:t>
      </w:r>
      <w:r>
        <w:tab/>
        <w:t xml:space="preserve">В 1995 году был принят закон № 118/1995 </w:t>
      </w:r>
      <w:r>
        <w:rPr>
          <w:lang w:val="en-US"/>
        </w:rPr>
        <w:t>Coll</w:t>
      </w:r>
      <w:r>
        <w:t>. о внесении изменений и дополнений в некоторые законы в связи с принятием закона о государственной социальной помощи.  Выплаты, не имеющие страхового характера (единовременное пособие на рождение ребенка, пособие на ребенка, выплаты в связи с рождением ребенка, выплаты для родителя и единовременные выплаты в связи со смертью) были переведены из категории страхования по болезни в категорию государственных пособий по социальной помощи.</w:t>
      </w:r>
    </w:p>
    <w:p w:rsidR="00000000" w:rsidRDefault="00000000"/>
    <w:p w:rsidR="00000000" w:rsidRDefault="00000000">
      <w:pPr>
        <w:spacing w:line="240" w:lineRule="auto"/>
      </w:pPr>
      <w:r>
        <w:tab/>
      </w:r>
      <w:r>
        <w:rPr>
          <w:b/>
          <w:bCs/>
          <w:vertAlign w:val="superscript"/>
          <w:lang w:val="en-US"/>
        </w:rPr>
        <w:t>b</w:t>
      </w:r>
      <w:r>
        <w:tab/>
        <w:t>Без дополнительного пенсионного страхования и отчислений на пенсионное обеспечение членов сельскохозяйственных кооперативов.</w:t>
      </w:r>
    </w:p>
    <w:p w:rsidR="00000000" w:rsidRDefault="00000000">
      <w:pPr>
        <w:rPr>
          <w:lang w:val="en-US"/>
        </w:rPr>
      </w:pPr>
    </w:p>
    <w:p w:rsidR="00000000" w:rsidRDefault="00000000">
      <w:pPr>
        <w:pStyle w:val="10"/>
        <w:rPr>
          <w:bCs/>
        </w:rPr>
      </w:pPr>
      <w:r>
        <w:rPr>
          <w:bCs/>
        </w:rPr>
        <w:br w:type="page"/>
        <w:t>Доля расходов на социальное страхование в валовом внутреннем продукте (в %)</w:t>
      </w:r>
    </w:p>
    <w:p w:rsidR="00000000" w:rsidRDefault="00000000">
      <w:pPr>
        <w:jc w:val="center"/>
      </w:pP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3048"/>
        <w:gridCol w:w="941"/>
        <w:gridCol w:w="941"/>
        <w:gridCol w:w="941"/>
        <w:gridCol w:w="941"/>
        <w:gridCol w:w="941"/>
        <w:gridCol w:w="941"/>
        <w:gridCol w:w="941"/>
      </w:tblGrid>
      <w:tr w:rsidR="00000000">
        <w:tblPrEx>
          <w:tblCellMar>
            <w:top w:w="0" w:type="dxa"/>
            <w:bottom w:w="0" w:type="dxa"/>
          </w:tblCellMar>
        </w:tblPrEx>
        <w:tc>
          <w:tcPr>
            <w:tcW w:w="3048" w:type="dxa"/>
            <w:tcBorders>
              <w:bottom w:val="single" w:sz="4" w:space="0" w:color="auto"/>
            </w:tcBorders>
          </w:tcPr>
          <w:p w:rsidR="00000000" w:rsidRDefault="00000000">
            <w:pPr>
              <w:rPr>
                <w:sz w:val="22"/>
              </w:rPr>
            </w:pPr>
          </w:p>
        </w:tc>
        <w:tc>
          <w:tcPr>
            <w:tcW w:w="941" w:type="dxa"/>
            <w:tcBorders>
              <w:bottom w:val="single" w:sz="4" w:space="0" w:color="auto"/>
            </w:tcBorders>
          </w:tcPr>
          <w:p w:rsidR="00000000" w:rsidRDefault="00000000">
            <w:pPr>
              <w:pStyle w:val="10"/>
              <w:rPr>
                <w:b w:val="0"/>
                <w:sz w:val="22"/>
              </w:rPr>
            </w:pPr>
            <w:r>
              <w:rPr>
                <w:b w:val="0"/>
                <w:sz w:val="22"/>
              </w:rPr>
              <w:t>1990</w:t>
            </w:r>
          </w:p>
        </w:tc>
        <w:tc>
          <w:tcPr>
            <w:tcW w:w="941" w:type="dxa"/>
            <w:tcBorders>
              <w:bottom w:val="single" w:sz="4" w:space="0" w:color="auto"/>
            </w:tcBorders>
          </w:tcPr>
          <w:p w:rsidR="00000000" w:rsidRDefault="00000000">
            <w:pPr>
              <w:pStyle w:val="10"/>
              <w:rPr>
                <w:b w:val="0"/>
                <w:sz w:val="22"/>
              </w:rPr>
            </w:pPr>
            <w:r>
              <w:rPr>
                <w:b w:val="0"/>
                <w:sz w:val="22"/>
              </w:rPr>
              <w:t>1993</w:t>
            </w:r>
          </w:p>
        </w:tc>
        <w:tc>
          <w:tcPr>
            <w:tcW w:w="941" w:type="dxa"/>
            <w:tcBorders>
              <w:bottom w:val="single" w:sz="4" w:space="0" w:color="auto"/>
            </w:tcBorders>
          </w:tcPr>
          <w:p w:rsidR="00000000" w:rsidRDefault="00000000">
            <w:pPr>
              <w:jc w:val="center"/>
              <w:rPr>
                <w:sz w:val="22"/>
              </w:rPr>
            </w:pPr>
            <w:r>
              <w:rPr>
                <w:sz w:val="22"/>
              </w:rPr>
              <w:t>1994</w:t>
            </w:r>
          </w:p>
        </w:tc>
        <w:tc>
          <w:tcPr>
            <w:tcW w:w="941" w:type="dxa"/>
            <w:tcBorders>
              <w:bottom w:val="single" w:sz="4" w:space="0" w:color="auto"/>
            </w:tcBorders>
          </w:tcPr>
          <w:p w:rsidR="00000000" w:rsidRDefault="00000000">
            <w:pPr>
              <w:jc w:val="center"/>
              <w:rPr>
                <w:sz w:val="22"/>
              </w:rPr>
            </w:pPr>
            <w:r>
              <w:rPr>
                <w:sz w:val="22"/>
              </w:rPr>
              <w:t>1995</w:t>
            </w:r>
          </w:p>
        </w:tc>
        <w:tc>
          <w:tcPr>
            <w:tcW w:w="941" w:type="dxa"/>
            <w:tcBorders>
              <w:bottom w:val="single" w:sz="4" w:space="0" w:color="auto"/>
            </w:tcBorders>
          </w:tcPr>
          <w:p w:rsidR="00000000" w:rsidRDefault="00000000">
            <w:pPr>
              <w:jc w:val="center"/>
              <w:rPr>
                <w:sz w:val="22"/>
              </w:rPr>
            </w:pPr>
            <w:r>
              <w:rPr>
                <w:sz w:val="22"/>
              </w:rPr>
              <w:t>1996</w:t>
            </w:r>
          </w:p>
        </w:tc>
        <w:tc>
          <w:tcPr>
            <w:tcW w:w="941" w:type="dxa"/>
            <w:tcBorders>
              <w:bottom w:val="single" w:sz="4" w:space="0" w:color="auto"/>
            </w:tcBorders>
          </w:tcPr>
          <w:p w:rsidR="00000000" w:rsidRDefault="00000000">
            <w:pPr>
              <w:jc w:val="center"/>
              <w:rPr>
                <w:sz w:val="22"/>
              </w:rPr>
            </w:pPr>
            <w:r>
              <w:rPr>
                <w:sz w:val="22"/>
              </w:rPr>
              <w:t>1997</w:t>
            </w:r>
          </w:p>
        </w:tc>
        <w:tc>
          <w:tcPr>
            <w:tcW w:w="941" w:type="dxa"/>
            <w:tcBorders>
              <w:bottom w:val="single" w:sz="4" w:space="0" w:color="auto"/>
            </w:tcBorders>
          </w:tcPr>
          <w:p w:rsidR="00000000" w:rsidRDefault="00000000">
            <w:pPr>
              <w:jc w:val="center"/>
              <w:rPr>
                <w:sz w:val="22"/>
              </w:rPr>
            </w:pPr>
            <w:r>
              <w:rPr>
                <w:sz w:val="22"/>
              </w:rPr>
              <w:t>1998</w:t>
            </w:r>
          </w:p>
        </w:tc>
      </w:tr>
      <w:tr w:rsidR="00000000">
        <w:tblPrEx>
          <w:tblCellMar>
            <w:top w:w="0" w:type="dxa"/>
            <w:bottom w:w="0" w:type="dxa"/>
          </w:tblCellMar>
        </w:tblPrEx>
        <w:tc>
          <w:tcPr>
            <w:tcW w:w="3048" w:type="dxa"/>
            <w:tcBorders>
              <w:bottom w:val="nil"/>
            </w:tcBorders>
          </w:tcPr>
          <w:p w:rsidR="00000000" w:rsidRDefault="00000000">
            <w:pPr>
              <w:rPr>
                <w:sz w:val="22"/>
              </w:rPr>
            </w:pPr>
            <w:r>
              <w:rPr>
                <w:sz w:val="22"/>
              </w:rPr>
              <w:t>Валовой внутренний продукт (млрд. чешских крон) в текущих ценах</w:t>
            </w:r>
          </w:p>
        </w:tc>
        <w:tc>
          <w:tcPr>
            <w:tcW w:w="941" w:type="dxa"/>
            <w:tcBorders>
              <w:bottom w:val="nil"/>
            </w:tcBorders>
          </w:tcPr>
          <w:p w:rsidR="00000000" w:rsidRDefault="00000000">
            <w:pPr>
              <w:tabs>
                <w:tab w:val="clear" w:pos="567"/>
              </w:tabs>
              <w:ind w:left="-354" w:right="191"/>
              <w:jc w:val="right"/>
              <w:rPr>
                <w:sz w:val="22"/>
              </w:rPr>
            </w:pPr>
            <w:r>
              <w:rPr>
                <w:sz w:val="22"/>
              </w:rPr>
              <w:t>626,2</w:t>
            </w:r>
          </w:p>
        </w:tc>
        <w:tc>
          <w:tcPr>
            <w:tcW w:w="941" w:type="dxa"/>
            <w:tcBorders>
              <w:bottom w:val="nil"/>
            </w:tcBorders>
          </w:tcPr>
          <w:p w:rsidR="00000000" w:rsidRDefault="00000000">
            <w:pPr>
              <w:tabs>
                <w:tab w:val="clear" w:pos="567"/>
              </w:tabs>
              <w:ind w:left="-354" w:right="191"/>
              <w:jc w:val="right"/>
              <w:rPr>
                <w:sz w:val="22"/>
              </w:rPr>
            </w:pPr>
            <w:r>
              <w:rPr>
                <w:sz w:val="22"/>
              </w:rPr>
              <w:t>1 020,3</w:t>
            </w:r>
          </w:p>
        </w:tc>
        <w:tc>
          <w:tcPr>
            <w:tcW w:w="941" w:type="dxa"/>
            <w:tcBorders>
              <w:bottom w:val="nil"/>
            </w:tcBorders>
          </w:tcPr>
          <w:p w:rsidR="00000000" w:rsidRDefault="00000000">
            <w:pPr>
              <w:tabs>
                <w:tab w:val="clear" w:pos="567"/>
              </w:tabs>
              <w:ind w:left="-354" w:right="191"/>
              <w:jc w:val="right"/>
              <w:rPr>
                <w:sz w:val="22"/>
              </w:rPr>
            </w:pPr>
            <w:r>
              <w:rPr>
                <w:sz w:val="22"/>
              </w:rPr>
              <w:t>1 182,8</w:t>
            </w:r>
          </w:p>
        </w:tc>
        <w:tc>
          <w:tcPr>
            <w:tcW w:w="941" w:type="dxa"/>
            <w:tcBorders>
              <w:bottom w:val="nil"/>
            </w:tcBorders>
          </w:tcPr>
          <w:p w:rsidR="00000000" w:rsidRDefault="00000000">
            <w:pPr>
              <w:tabs>
                <w:tab w:val="clear" w:pos="567"/>
              </w:tabs>
              <w:ind w:left="-354" w:right="191"/>
              <w:jc w:val="right"/>
              <w:rPr>
                <w:sz w:val="22"/>
              </w:rPr>
            </w:pPr>
            <w:r>
              <w:rPr>
                <w:sz w:val="22"/>
              </w:rPr>
              <w:t>1 381,1</w:t>
            </w:r>
          </w:p>
        </w:tc>
        <w:tc>
          <w:tcPr>
            <w:tcW w:w="941" w:type="dxa"/>
            <w:tcBorders>
              <w:bottom w:val="nil"/>
            </w:tcBorders>
          </w:tcPr>
          <w:p w:rsidR="00000000" w:rsidRDefault="00000000">
            <w:pPr>
              <w:tabs>
                <w:tab w:val="clear" w:pos="567"/>
              </w:tabs>
              <w:ind w:left="-354" w:right="191"/>
              <w:jc w:val="right"/>
              <w:rPr>
                <w:sz w:val="22"/>
              </w:rPr>
            </w:pPr>
            <w:r>
              <w:rPr>
                <w:sz w:val="22"/>
              </w:rPr>
              <w:t>1 572,3</w:t>
            </w:r>
          </w:p>
        </w:tc>
        <w:tc>
          <w:tcPr>
            <w:tcW w:w="941" w:type="dxa"/>
            <w:tcBorders>
              <w:bottom w:val="nil"/>
            </w:tcBorders>
          </w:tcPr>
          <w:p w:rsidR="00000000" w:rsidRDefault="00000000">
            <w:pPr>
              <w:tabs>
                <w:tab w:val="clear" w:pos="567"/>
              </w:tabs>
              <w:ind w:left="-354" w:right="191"/>
              <w:jc w:val="right"/>
              <w:rPr>
                <w:sz w:val="22"/>
              </w:rPr>
            </w:pPr>
            <w:r>
              <w:rPr>
                <w:sz w:val="22"/>
              </w:rPr>
              <w:t>1 680,0</w:t>
            </w:r>
          </w:p>
        </w:tc>
        <w:tc>
          <w:tcPr>
            <w:tcW w:w="941" w:type="dxa"/>
            <w:tcBorders>
              <w:bottom w:val="nil"/>
            </w:tcBorders>
          </w:tcPr>
          <w:p w:rsidR="00000000" w:rsidRDefault="00000000">
            <w:pPr>
              <w:tabs>
                <w:tab w:val="clear" w:pos="567"/>
              </w:tabs>
              <w:ind w:left="-354" w:right="191"/>
              <w:jc w:val="right"/>
              <w:rPr>
                <w:sz w:val="22"/>
              </w:rPr>
            </w:pPr>
            <w:r>
              <w:rPr>
                <w:sz w:val="22"/>
              </w:rPr>
              <w:t>1 820,7</w:t>
            </w:r>
          </w:p>
        </w:tc>
      </w:tr>
      <w:tr w:rsidR="00000000">
        <w:tblPrEx>
          <w:tblCellMar>
            <w:top w:w="0" w:type="dxa"/>
            <w:bottom w:w="0" w:type="dxa"/>
          </w:tblCellMar>
        </w:tblPrEx>
        <w:tc>
          <w:tcPr>
            <w:tcW w:w="3048" w:type="dxa"/>
            <w:tcBorders>
              <w:top w:val="nil"/>
              <w:bottom w:val="nil"/>
            </w:tcBorders>
          </w:tcPr>
          <w:p w:rsidR="00000000" w:rsidRDefault="00000000">
            <w:pPr>
              <w:rPr>
                <w:sz w:val="22"/>
              </w:rPr>
            </w:pPr>
            <w:r>
              <w:rPr>
                <w:sz w:val="22"/>
              </w:rPr>
              <w:t>Общие социальные трансферты из государственного бюджета</w:t>
            </w:r>
          </w:p>
        </w:tc>
        <w:tc>
          <w:tcPr>
            <w:tcW w:w="941" w:type="dxa"/>
            <w:tcBorders>
              <w:top w:val="nil"/>
              <w:bottom w:val="nil"/>
            </w:tcBorders>
          </w:tcPr>
          <w:p w:rsidR="00000000" w:rsidRDefault="00000000">
            <w:pPr>
              <w:tabs>
                <w:tab w:val="clear" w:pos="567"/>
              </w:tabs>
              <w:ind w:left="-354" w:right="191"/>
              <w:jc w:val="right"/>
              <w:rPr>
                <w:sz w:val="22"/>
              </w:rPr>
            </w:pPr>
            <w:r>
              <w:rPr>
                <w:sz w:val="22"/>
              </w:rPr>
              <w:t>-</w:t>
            </w:r>
          </w:p>
        </w:tc>
        <w:tc>
          <w:tcPr>
            <w:tcW w:w="941" w:type="dxa"/>
            <w:tcBorders>
              <w:top w:val="nil"/>
              <w:bottom w:val="nil"/>
            </w:tcBorders>
          </w:tcPr>
          <w:p w:rsidR="00000000" w:rsidRDefault="00000000">
            <w:pPr>
              <w:tabs>
                <w:tab w:val="clear" w:pos="567"/>
              </w:tabs>
              <w:ind w:left="-354" w:right="191"/>
              <w:jc w:val="right"/>
              <w:rPr>
                <w:sz w:val="22"/>
              </w:rPr>
            </w:pPr>
            <w:r>
              <w:rPr>
                <w:sz w:val="22"/>
              </w:rPr>
              <w:t>11,6</w:t>
            </w:r>
          </w:p>
        </w:tc>
        <w:tc>
          <w:tcPr>
            <w:tcW w:w="941" w:type="dxa"/>
            <w:tcBorders>
              <w:top w:val="nil"/>
              <w:bottom w:val="nil"/>
            </w:tcBorders>
          </w:tcPr>
          <w:p w:rsidR="00000000" w:rsidRDefault="00000000">
            <w:pPr>
              <w:tabs>
                <w:tab w:val="clear" w:pos="567"/>
              </w:tabs>
              <w:ind w:left="-354" w:right="191"/>
              <w:jc w:val="right"/>
              <w:rPr>
                <w:sz w:val="22"/>
              </w:rPr>
            </w:pPr>
            <w:r>
              <w:rPr>
                <w:sz w:val="22"/>
              </w:rPr>
              <w:t>11,6</w:t>
            </w:r>
          </w:p>
        </w:tc>
        <w:tc>
          <w:tcPr>
            <w:tcW w:w="941" w:type="dxa"/>
            <w:tcBorders>
              <w:top w:val="nil"/>
              <w:bottom w:val="nil"/>
            </w:tcBorders>
          </w:tcPr>
          <w:p w:rsidR="00000000" w:rsidRDefault="00000000">
            <w:pPr>
              <w:tabs>
                <w:tab w:val="clear" w:pos="567"/>
              </w:tabs>
              <w:ind w:left="-354" w:right="191"/>
              <w:jc w:val="right"/>
              <w:rPr>
                <w:sz w:val="22"/>
              </w:rPr>
            </w:pPr>
            <w:r>
              <w:rPr>
                <w:sz w:val="22"/>
              </w:rPr>
              <w:t>11,3</w:t>
            </w:r>
          </w:p>
        </w:tc>
        <w:tc>
          <w:tcPr>
            <w:tcW w:w="941" w:type="dxa"/>
            <w:tcBorders>
              <w:top w:val="nil"/>
              <w:bottom w:val="nil"/>
            </w:tcBorders>
          </w:tcPr>
          <w:p w:rsidR="00000000" w:rsidRDefault="00000000">
            <w:pPr>
              <w:tabs>
                <w:tab w:val="clear" w:pos="567"/>
              </w:tabs>
              <w:ind w:left="-354" w:right="191"/>
              <w:jc w:val="right"/>
              <w:rPr>
                <w:sz w:val="22"/>
              </w:rPr>
            </w:pPr>
            <w:r>
              <w:rPr>
                <w:sz w:val="22"/>
              </w:rPr>
              <w:t>9,8</w:t>
            </w:r>
          </w:p>
        </w:tc>
        <w:tc>
          <w:tcPr>
            <w:tcW w:w="941" w:type="dxa"/>
            <w:tcBorders>
              <w:top w:val="nil"/>
              <w:bottom w:val="nil"/>
            </w:tcBorders>
          </w:tcPr>
          <w:p w:rsidR="00000000" w:rsidRDefault="00000000">
            <w:pPr>
              <w:tabs>
                <w:tab w:val="clear" w:pos="567"/>
              </w:tabs>
              <w:ind w:left="-354" w:right="191"/>
              <w:jc w:val="right"/>
              <w:rPr>
                <w:sz w:val="22"/>
              </w:rPr>
            </w:pPr>
            <w:r>
              <w:rPr>
                <w:sz w:val="22"/>
              </w:rPr>
              <w:t>12,3</w:t>
            </w:r>
          </w:p>
        </w:tc>
        <w:tc>
          <w:tcPr>
            <w:tcW w:w="941" w:type="dxa"/>
            <w:tcBorders>
              <w:top w:val="nil"/>
              <w:bottom w:val="nil"/>
            </w:tcBorders>
          </w:tcPr>
          <w:p w:rsidR="00000000" w:rsidRDefault="00000000">
            <w:pPr>
              <w:tabs>
                <w:tab w:val="clear" w:pos="567"/>
              </w:tabs>
              <w:ind w:left="-354" w:right="191"/>
              <w:jc w:val="right"/>
              <w:rPr>
                <w:sz w:val="22"/>
              </w:rPr>
            </w:pPr>
            <w:r>
              <w:rPr>
                <w:sz w:val="22"/>
              </w:rPr>
              <w:t>12,2</w:t>
            </w:r>
          </w:p>
        </w:tc>
      </w:tr>
      <w:tr w:rsidR="00000000">
        <w:tblPrEx>
          <w:tblCellMar>
            <w:top w:w="0" w:type="dxa"/>
            <w:bottom w:w="0" w:type="dxa"/>
          </w:tblCellMar>
        </w:tblPrEx>
        <w:tc>
          <w:tcPr>
            <w:tcW w:w="3048" w:type="dxa"/>
            <w:tcBorders>
              <w:top w:val="nil"/>
              <w:bottom w:val="nil"/>
            </w:tcBorders>
          </w:tcPr>
          <w:p w:rsidR="00000000" w:rsidRDefault="00000000">
            <w:pPr>
              <w:rPr>
                <w:sz w:val="22"/>
              </w:rPr>
            </w:pPr>
            <w:r>
              <w:rPr>
                <w:sz w:val="22"/>
              </w:rPr>
              <w:t>Пособия по медицинскому страхованию</w:t>
            </w:r>
            <w:r>
              <w:rPr>
                <w:b/>
                <w:bCs/>
                <w:sz w:val="22"/>
                <w:vertAlign w:val="superscript"/>
              </w:rPr>
              <w:t>а</w:t>
            </w:r>
          </w:p>
        </w:tc>
        <w:tc>
          <w:tcPr>
            <w:tcW w:w="941" w:type="dxa"/>
            <w:tcBorders>
              <w:top w:val="nil"/>
              <w:bottom w:val="nil"/>
            </w:tcBorders>
          </w:tcPr>
          <w:p w:rsidR="00000000" w:rsidRDefault="00000000">
            <w:pPr>
              <w:tabs>
                <w:tab w:val="clear" w:pos="567"/>
              </w:tabs>
              <w:ind w:left="-354" w:right="191"/>
              <w:jc w:val="right"/>
              <w:rPr>
                <w:sz w:val="22"/>
              </w:rPr>
            </w:pPr>
            <w:r>
              <w:rPr>
                <w:sz w:val="22"/>
              </w:rPr>
              <w:t>3,4</w:t>
            </w:r>
          </w:p>
        </w:tc>
        <w:tc>
          <w:tcPr>
            <w:tcW w:w="941" w:type="dxa"/>
            <w:tcBorders>
              <w:top w:val="nil"/>
              <w:bottom w:val="nil"/>
            </w:tcBorders>
          </w:tcPr>
          <w:p w:rsidR="00000000" w:rsidRDefault="00000000">
            <w:pPr>
              <w:tabs>
                <w:tab w:val="clear" w:pos="567"/>
              </w:tabs>
              <w:ind w:left="-354" w:right="191"/>
              <w:jc w:val="right"/>
              <w:rPr>
                <w:sz w:val="22"/>
              </w:rPr>
            </w:pPr>
            <w:r>
              <w:rPr>
                <w:sz w:val="22"/>
              </w:rPr>
              <w:t>2,6</w:t>
            </w:r>
          </w:p>
        </w:tc>
        <w:tc>
          <w:tcPr>
            <w:tcW w:w="941" w:type="dxa"/>
            <w:tcBorders>
              <w:top w:val="nil"/>
              <w:bottom w:val="nil"/>
            </w:tcBorders>
          </w:tcPr>
          <w:p w:rsidR="00000000" w:rsidRDefault="00000000">
            <w:pPr>
              <w:tabs>
                <w:tab w:val="clear" w:pos="567"/>
              </w:tabs>
              <w:ind w:left="-354" w:right="191"/>
              <w:jc w:val="right"/>
              <w:rPr>
                <w:sz w:val="22"/>
              </w:rPr>
            </w:pPr>
            <w:r>
              <w:rPr>
                <w:sz w:val="22"/>
              </w:rPr>
              <w:t>2,9</w:t>
            </w:r>
          </w:p>
        </w:tc>
        <w:tc>
          <w:tcPr>
            <w:tcW w:w="941" w:type="dxa"/>
            <w:tcBorders>
              <w:top w:val="nil"/>
              <w:bottom w:val="nil"/>
            </w:tcBorders>
          </w:tcPr>
          <w:p w:rsidR="00000000" w:rsidRDefault="00000000">
            <w:pPr>
              <w:tabs>
                <w:tab w:val="clear" w:pos="567"/>
              </w:tabs>
              <w:ind w:left="-354" w:right="191"/>
              <w:jc w:val="right"/>
              <w:rPr>
                <w:sz w:val="22"/>
              </w:rPr>
            </w:pPr>
            <w:r>
              <w:rPr>
                <w:sz w:val="22"/>
              </w:rPr>
              <w:t>2,6</w:t>
            </w:r>
          </w:p>
        </w:tc>
        <w:tc>
          <w:tcPr>
            <w:tcW w:w="941" w:type="dxa"/>
            <w:tcBorders>
              <w:top w:val="nil"/>
              <w:bottom w:val="nil"/>
            </w:tcBorders>
          </w:tcPr>
          <w:p w:rsidR="00000000" w:rsidRDefault="00000000">
            <w:pPr>
              <w:tabs>
                <w:tab w:val="clear" w:pos="567"/>
              </w:tabs>
              <w:ind w:left="-354" w:right="191"/>
              <w:jc w:val="right"/>
              <w:rPr>
                <w:sz w:val="22"/>
              </w:rPr>
            </w:pPr>
            <w:r>
              <w:rPr>
                <w:sz w:val="22"/>
              </w:rPr>
              <w:t>1,4</w:t>
            </w:r>
          </w:p>
        </w:tc>
        <w:tc>
          <w:tcPr>
            <w:tcW w:w="941" w:type="dxa"/>
            <w:tcBorders>
              <w:top w:val="nil"/>
              <w:bottom w:val="nil"/>
            </w:tcBorders>
          </w:tcPr>
          <w:p w:rsidR="00000000" w:rsidRDefault="00000000">
            <w:pPr>
              <w:tabs>
                <w:tab w:val="clear" w:pos="567"/>
              </w:tabs>
              <w:ind w:left="-354" w:right="191"/>
              <w:jc w:val="right"/>
              <w:rPr>
                <w:sz w:val="22"/>
              </w:rPr>
            </w:pPr>
            <w:r>
              <w:rPr>
                <w:sz w:val="22"/>
              </w:rPr>
              <w:t>1,2</w:t>
            </w:r>
          </w:p>
        </w:tc>
        <w:tc>
          <w:tcPr>
            <w:tcW w:w="941" w:type="dxa"/>
            <w:tcBorders>
              <w:top w:val="nil"/>
              <w:bottom w:val="nil"/>
            </w:tcBorders>
          </w:tcPr>
          <w:p w:rsidR="00000000" w:rsidRDefault="00000000">
            <w:pPr>
              <w:tabs>
                <w:tab w:val="clear" w:pos="567"/>
              </w:tabs>
              <w:ind w:left="-354" w:right="191"/>
              <w:jc w:val="right"/>
              <w:rPr>
                <w:sz w:val="22"/>
              </w:rPr>
            </w:pPr>
            <w:r>
              <w:rPr>
                <w:sz w:val="22"/>
              </w:rPr>
              <w:t>1,0</w:t>
            </w:r>
          </w:p>
        </w:tc>
      </w:tr>
      <w:tr w:rsidR="00000000">
        <w:tblPrEx>
          <w:tblCellMar>
            <w:top w:w="0" w:type="dxa"/>
            <w:bottom w:w="0" w:type="dxa"/>
          </w:tblCellMar>
        </w:tblPrEx>
        <w:tc>
          <w:tcPr>
            <w:tcW w:w="3048" w:type="dxa"/>
            <w:tcBorders>
              <w:top w:val="nil"/>
              <w:bottom w:val="nil"/>
            </w:tcBorders>
          </w:tcPr>
          <w:p w:rsidR="00000000" w:rsidRDefault="00000000">
            <w:pPr>
              <w:rPr>
                <w:sz w:val="22"/>
              </w:rPr>
            </w:pPr>
            <w:r>
              <w:rPr>
                <w:sz w:val="22"/>
              </w:rPr>
              <w:t>Государственные пособия по социальной помощи</w:t>
            </w:r>
          </w:p>
        </w:tc>
        <w:tc>
          <w:tcPr>
            <w:tcW w:w="941" w:type="dxa"/>
            <w:tcBorders>
              <w:top w:val="nil"/>
              <w:bottom w:val="nil"/>
            </w:tcBorders>
          </w:tcPr>
          <w:p w:rsidR="00000000" w:rsidRDefault="00000000">
            <w:pPr>
              <w:tabs>
                <w:tab w:val="clear" w:pos="567"/>
              </w:tabs>
              <w:ind w:left="-354" w:right="191"/>
              <w:jc w:val="right"/>
              <w:rPr>
                <w:sz w:val="22"/>
              </w:rPr>
            </w:pPr>
            <w:r>
              <w:rPr>
                <w:sz w:val="22"/>
              </w:rPr>
              <w:t>-</w:t>
            </w:r>
          </w:p>
        </w:tc>
        <w:tc>
          <w:tcPr>
            <w:tcW w:w="941" w:type="dxa"/>
            <w:tcBorders>
              <w:top w:val="nil"/>
              <w:bottom w:val="nil"/>
            </w:tcBorders>
          </w:tcPr>
          <w:p w:rsidR="00000000" w:rsidRDefault="00000000">
            <w:pPr>
              <w:tabs>
                <w:tab w:val="clear" w:pos="567"/>
              </w:tabs>
              <w:ind w:left="-354" w:right="191"/>
              <w:jc w:val="right"/>
              <w:rPr>
                <w:sz w:val="22"/>
              </w:rPr>
            </w:pPr>
            <w:r>
              <w:rPr>
                <w:sz w:val="22"/>
              </w:rPr>
              <w:t>-</w:t>
            </w:r>
          </w:p>
        </w:tc>
        <w:tc>
          <w:tcPr>
            <w:tcW w:w="941" w:type="dxa"/>
            <w:tcBorders>
              <w:top w:val="nil"/>
              <w:bottom w:val="nil"/>
            </w:tcBorders>
          </w:tcPr>
          <w:p w:rsidR="00000000" w:rsidRDefault="00000000">
            <w:pPr>
              <w:tabs>
                <w:tab w:val="clear" w:pos="567"/>
              </w:tabs>
              <w:ind w:left="-354" w:right="191"/>
              <w:jc w:val="right"/>
              <w:rPr>
                <w:sz w:val="22"/>
              </w:rPr>
            </w:pPr>
            <w:r>
              <w:rPr>
                <w:sz w:val="22"/>
              </w:rPr>
              <w:t>-</w:t>
            </w:r>
          </w:p>
        </w:tc>
        <w:tc>
          <w:tcPr>
            <w:tcW w:w="941" w:type="dxa"/>
            <w:tcBorders>
              <w:top w:val="nil"/>
              <w:bottom w:val="nil"/>
            </w:tcBorders>
          </w:tcPr>
          <w:p w:rsidR="00000000" w:rsidRDefault="00000000">
            <w:pPr>
              <w:tabs>
                <w:tab w:val="clear" w:pos="567"/>
              </w:tabs>
              <w:ind w:left="-354" w:right="191"/>
              <w:jc w:val="right"/>
              <w:rPr>
                <w:sz w:val="22"/>
              </w:rPr>
            </w:pPr>
            <w:r>
              <w:rPr>
                <w:sz w:val="22"/>
              </w:rPr>
              <w:t>-</w:t>
            </w:r>
          </w:p>
        </w:tc>
        <w:tc>
          <w:tcPr>
            <w:tcW w:w="941" w:type="dxa"/>
            <w:tcBorders>
              <w:top w:val="nil"/>
              <w:bottom w:val="nil"/>
            </w:tcBorders>
          </w:tcPr>
          <w:p w:rsidR="00000000" w:rsidRDefault="00000000">
            <w:pPr>
              <w:tabs>
                <w:tab w:val="clear" w:pos="567"/>
              </w:tabs>
              <w:ind w:left="-354" w:right="191"/>
              <w:jc w:val="right"/>
              <w:rPr>
                <w:sz w:val="22"/>
              </w:rPr>
            </w:pPr>
            <w:r>
              <w:rPr>
                <w:sz w:val="22"/>
              </w:rPr>
              <w:t>1,7</w:t>
            </w:r>
          </w:p>
        </w:tc>
        <w:tc>
          <w:tcPr>
            <w:tcW w:w="941" w:type="dxa"/>
            <w:tcBorders>
              <w:top w:val="nil"/>
              <w:bottom w:val="nil"/>
            </w:tcBorders>
          </w:tcPr>
          <w:p w:rsidR="00000000" w:rsidRDefault="00000000">
            <w:pPr>
              <w:tabs>
                <w:tab w:val="clear" w:pos="567"/>
              </w:tabs>
              <w:ind w:left="-354" w:right="191"/>
              <w:jc w:val="right"/>
              <w:rPr>
                <w:sz w:val="22"/>
              </w:rPr>
            </w:pPr>
            <w:r>
              <w:rPr>
                <w:sz w:val="22"/>
              </w:rPr>
              <w:t>1,7</w:t>
            </w:r>
          </w:p>
        </w:tc>
        <w:tc>
          <w:tcPr>
            <w:tcW w:w="941" w:type="dxa"/>
            <w:tcBorders>
              <w:top w:val="nil"/>
              <w:bottom w:val="nil"/>
            </w:tcBorders>
          </w:tcPr>
          <w:p w:rsidR="00000000" w:rsidRDefault="00000000">
            <w:pPr>
              <w:tabs>
                <w:tab w:val="clear" w:pos="567"/>
              </w:tabs>
              <w:ind w:left="-354" w:right="191"/>
              <w:jc w:val="right"/>
              <w:rPr>
                <w:sz w:val="22"/>
              </w:rPr>
            </w:pPr>
            <w:r>
              <w:rPr>
                <w:sz w:val="22"/>
              </w:rPr>
              <w:t>1,6</w:t>
            </w:r>
          </w:p>
        </w:tc>
      </w:tr>
      <w:tr w:rsidR="00000000">
        <w:tblPrEx>
          <w:tblCellMar>
            <w:top w:w="0" w:type="dxa"/>
            <w:bottom w:w="0" w:type="dxa"/>
          </w:tblCellMar>
        </w:tblPrEx>
        <w:tc>
          <w:tcPr>
            <w:tcW w:w="3048" w:type="dxa"/>
            <w:tcBorders>
              <w:top w:val="nil"/>
            </w:tcBorders>
          </w:tcPr>
          <w:p w:rsidR="00000000" w:rsidRDefault="00000000">
            <w:pPr>
              <w:rPr>
                <w:b/>
                <w:bCs/>
                <w:sz w:val="22"/>
              </w:rPr>
            </w:pPr>
            <w:r>
              <w:rPr>
                <w:sz w:val="22"/>
              </w:rPr>
              <w:t>Пособия по пенсионному обеспечению</w:t>
            </w:r>
          </w:p>
        </w:tc>
        <w:tc>
          <w:tcPr>
            <w:tcW w:w="941" w:type="dxa"/>
            <w:tcBorders>
              <w:top w:val="nil"/>
            </w:tcBorders>
          </w:tcPr>
          <w:p w:rsidR="00000000" w:rsidRDefault="00000000">
            <w:pPr>
              <w:tabs>
                <w:tab w:val="clear" w:pos="567"/>
              </w:tabs>
              <w:ind w:left="-354" w:right="191"/>
              <w:jc w:val="right"/>
              <w:rPr>
                <w:sz w:val="22"/>
                <w:lang w:val="en-US"/>
              </w:rPr>
            </w:pPr>
            <w:r>
              <w:rPr>
                <w:sz w:val="22"/>
                <w:lang w:val="en-US"/>
              </w:rPr>
              <w:t>7,3</w:t>
            </w:r>
          </w:p>
        </w:tc>
        <w:tc>
          <w:tcPr>
            <w:tcW w:w="941" w:type="dxa"/>
            <w:tcBorders>
              <w:top w:val="nil"/>
            </w:tcBorders>
          </w:tcPr>
          <w:p w:rsidR="00000000" w:rsidRDefault="00000000">
            <w:pPr>
              <w:tabs>
                <w:tab w:val="clear" w:pos="567"/>
              </w:tabs>
              <w:ind w:left="-354" w:right="191"/>
              <w:jc w:val="right"/>
              <w:rPr>
                <w:sz w:val="22"/>
                <w:lang w:val="en-US"/>
              </w:rPr>
            </w:pPr>
            <w:r>
              <w:rPr>
                <w:sz w:val="22"/>
                <w:lang w:val="en-US"/>
              </w:rPr>
              <w:t>7,2</w:t>
            </w:r>
          </w:p>
        </w:tc>
        <w:tc>
          <w:tcPr>
            <w:tcW w:w="941" w:type="dxa"/>
            <w:tcBorders>
              <w:top w:val="nil"/>
            </w:tcBorders>
          </w:tcPr>
          <w:p w:rsidR="00000000" w:rsidRDefault="00000000">
            <w:pPr>
              <w:tabs>
                <w:tab w:val="clear" w:pos="567"/>
              </w:tabs>
              <w:ind w:left="-354" w:right="191"/>
              <w:jc w:val="right"/>
              <w:rPr>
                <w:sz w:val="22"/>
                <w:lang w:val="en-US"/>
              </w:rPr>
            </w:pPr>
            <w:r>
              <w:rPr>
                <w:sz w:val="22"/>
                <w:lang w:val="en-US"/>
              </w:rPr>
              <w:t>7,1</w:t>
            </w:r>
          </w:p>
        </w:tc>
        <w:tc>
          <w:tcPr>
            <w:tcW w:w="941" w:type="dxa"/>
            <w:tcBorders>
              <w:top w:val="nil"/>
            </w:tcBorders>
          </w:tcPr>
          <w:p w:rsidR="00000000" w:rsidRDefault="00000000">
            <w:pPr>
              <w:tabs>
                <w:tab w:val="clear" w:pos="567"/>
              </w:tabs>
              <w:ind w:left="-354" w:right="191"/>
              <w:jc w:val="right"/>
              <w:rPr>
                <w:sz w:val="22"/>
                <w:lang w:val="en-US"/>
              </w:rPr>
            </w:pPr>
            <w:r>
              <w:rPr>
                <w:sz w:val="22"/>
                <w:lang w:val="en-US"/>
              </w:rPr>
              <w:t>7,7</w:t>
            </w:r>
          </w:p>
        </w:tc>
        <w:tc>
          <w:tcPr>
            <w:tcW w:w="941" w:type="dxa"/>
            <w:tcBorders>
              <w:top w:val="nil"/>
            </w:tcBorders>
          </w:tcPr>
          <w:p w:rsidR="00000000" w:rsidRDefault="00000000">
            <w:pPr>
              <w:tabs>
                <w:tab w:val="clear" w:pos="567"/>
              </w:tabs>
              <w:ind w:left="-354" w:right="191"/>
              <w:jc w:val="right"/>
              <w:rPr>
                <w:sz w:val="22"/>
                <w:lang w:val="en-US"/>
              </w:rPr>
            </w:pPr>
            <w:r>
              <w:rPr>
                <w:sz w:val="22"/>
                <w:lang w:val="en-US"/>
              </w:rPr>
              <w:t>8,0</w:t>
            </w:r>
          </w:p>
        </w:tc>
        <w:tc>
          <w:tcPr>
            <w:tcW w:w="941" w:type="dxa"/>
            <w:tcBorders>
              <w:top w:val="nil"/>
            </w:tcBorders>
          </w:tcPr>
          <w:p w:rsidR="00000000" w:rsidRDefault="00000000">
            <w:pPr>
              <w:tabs>
                <w:tab w:val="clear" w:pos="567"/>
              </w:tabs>
              <w:ind w:left="-354" w:right="191"/>
              <w:jc w:val="right"/>
              <w:rPr>
                <w:sz w:val="22"/>
                <w:lang w:val="en-US"/>
              </w:rPr>
            </w:pPr>
            <w:r>
              <w:rPr>
                <w:sz w:val="22"/>
                <w:lang w:val="en-US"/>
              </w:rPr>
              <w:t>8,6</w:t>
            </w:r>
          </w:p>
        </w:tc>
        <w:tc>
          <w:tcPr>
            <w:tcW w:w="941" w:type="dxa"/>
            <w:tcBorders>
              <w:top w:val="nil"/>
            </w:tcBorders>
          </w:tcPr>
          <w:p w:rsidR="00000000" w:rsidRDefault="00000000">
            <w:pPr>
              <w:tabs>
                <w:tab w:val="clear" w:pos="567"/>
              </w:tabs>
              <w:ind w:left="-354" w:right="191"/>
              <w:jc w:val="right"/>
              <w:rPr>
                <w:sz w:val="22"/>
                <w:lang w:val="en-US"/>
              </w:rPr>
            </w:pPr>
            <w:r>
              <w:rPr>
                <w:sz w:val="22"/>
                <w:lang w:val="en-US"/>
              </w:rPr>
              <w:t>8,8</w:t>
            </w:r>
          </w:p>
        </w:tc>
      </w:tr>
    </w:tbl>
    <w:p w:rsidR="00000000" w:rsidRDefault="00000000">
      <w:pPr>
        <w:pStyle w:val="FootnoteText"/>
        <w:spacing w:line="288" w:lineRule="auto"/>
        <w:rPr>
          <w:lang w:val="en-US"/>
        </w:rPr>
      </w:pPr>
    </w:p>
    <w:p w:rsidR="00000000" w:rsidRDefault="00000000">
      <w:pPr>
        <w:spacing w:line="240" w:lineRule="auto"/>
        <w:rPr>
          <w:lang w:val="en-US"/>
        </w:rPr>
      </w:pPr>
      <w:r>
        <w:rPr>
          <w:lang w:val="en-US"/>
        </w:rPr>
        <w:tab/>
      </w:r>
      <w:r>
        <w:rPr>
          <w:u w:val="single"/>
        </w:rPr>
        <w:t>Источник</w:t>
      </w:r>
      <w:r>
        <w:rPr>
          <w:lang w:val="en-US"/>
        </w:rPr>
        <w:t>:  Ministry of Finance of the CR.</w:t>
      </w:r>
    </w:p>
    <w:p w:rsidR="00000000" w:rsidRDefault="00000000">
      <w:pPr>
        <w:pStyle w:val="FootnoteText"/>
        <w:rPr>
          <w:lang w:val="en-US"/>
        </w:rPr>
      </w:pPr>
    </w:p>
    <w:p w:rsidR="00000000" w:rsidRDefault="00000000">
      <w:pPr>
        <w:spacing w:line="240" w:lineRule="auto"/>
      </w:pPr>
      <w:r>
        <w:rPr>
          <w:lang w:val="en-US"/>
        </w:rPr>
        <w:tab/>
      </w:r>
      <w:r>
        <w:rPr>
          <w:b/>
          <w:bCs/>
          <w:vertAlign w:val="superscript"/>
        </w:rPr>
        <w:t>а</w:t>
      </w:r>
      <w:r>
        <w:tab/>
        <w:t>Система пособий по медицинскому страхованию состоит из следующих:  пособий по болезни, пособий по уходу за членом семьи, пособий в связи с беременностью и родами, а также компенсационных пособий по случаю беременности и родов.  Эти пособия выплачиваются работникам, членам производственных кооперативов и сельскохозяйственных кооперативов.  Самозанятые не охватываются системой выплат по уходу за членом семьи или компенсационных пособий по беременности и родам.  Лица, поступающие на работу, не получают пособий по уходу за членом семьи, компенсационного пособия по беременности и родам или пособия по болезни.  Снижение доли этих выплат с 1995 года отражает изменение законодательства, о котором говорилось в примечании</w:t>
      </w:r>
      <w:r>
        <w:rPr>
          <w:b/>
          <w:bCs/>
          <w:vertAlign w:val="superscript"/>
        </w:rPr>
        <w:t>а</w:t>
      </w:r>
      <w:r>
        <w:t xml:space="preserve"> и предыдущей таблице.</w:t>
      </w:r>
    </w:p>
    <w:p w:rsidR="00000000" w:rsidRDefault="00000000"/>
    <w:p w:rsidR="00000000" w:rsidRDefault="00000000">
      <w:pPr>
        <w:pStyle w:val="Heading1"/>
        <w:rPr>
          <w:bCs/>
          <w:kern w:val="0"/>
        </w:rPr>
      </w:pPr>
      <w:r>
        <w:rPr>
          <w:bCs/>
          <w:kern w:val="0"/>
        </w:rPr>
        <w:t>Социальное страхование</w:t>
      </w:r>
    </w:p>
    <w:p w:rsidR="00000000" w:rsidRDefault="00000000">
      <w:pPr>
        <w:pStyle w:val="Heading6"/>
        <w:rPr>
          <w:bCs/>
        </w:rPr>
      </w:pPr>
    </w:p>
    <w:p w:rsidR="00000000" w:rsidRDefault="00000000">
      <w:r>
        <w:t>322.</w:t>
      </w:r>
      <w:r>
        <w:tab/>
        <w:t xml:space="preserve">Организации и граждане выплачивают так называемые отчисления по социальному страхованию (пенсионные отчисления и отчисления в счет страхования по болезни), а также отчисления по государственному страхованию по безработице (включая материальное обеспечение лиц, ищущих работу).  </w:t>
      </w:r>
    </w:p>
    <w:p w:rsidR="00000000" w:rsidRDefault="00000000"/>
    <w:p w:rsidR="00000000" w:rsidRDefault="00000000">
      <w:pPr>
        <w:pStyle w:val="Heading6"/>
        <w:rPr>
          <w:b w:val="0"/>
          <w:i/>
          <w:iCs/>
          <w:u w:val="none"/>
        </w:rPr>
      </w:pPr>
      <w:r>
        <w:rPr>
          <w:b w:val="0"/>
          <w:i/>
          <w:iCs/>
          <w:u w:val="none"/>
        </w:rPr>
        <w:t>Пенсионное страхование</w:t>
      </w:r>
    </w:p>
    <w:p w:rsidR="00000000" w:rsidRDefault="00000000">
      <w:pPr>
        <w:pStyle w:val="Heading6"/>
        <w:rPr>
          <w:bCs/>
        </w:rPr>
      </w:pPr>
    </w:p>
    <w:p w:rsidR="00000000" w:rsidRDefault="00000000">
      <w:r>
        <w:t>323.</w:t>
      </w:r>
      <w:r>
        <w:tab/>
        <w:t xml:space="preserve">Пенсионное обеспечение работников основано на основной системе обязательного гарантируемого государством страхования, которое имеет давние традиции в Чешской Республике, а также на добровольном дополнительном индивидуальном страховании, которое обеспечивается не предприятиями, а самими работниками.  Закон о пенсионном обеспечении регламентирует пенсии по старости, инвалидности и потере кормильца.  </w:t>
      </w:r>
    </w:p>
    <w:p w:rsidR="00000000" w:rsidRDefault="00000000"/>
    <w:p w:rsidR="00000000" w:rsidRDefault="00000000">
      <w:r>
        <w:t>324.</w:t>
      </w:r>
      <w:r>
        <w:tab/>
        <w:t>Система обязательного страхования соединяет принципы солидарности и личного вклада.  Отчисления по социальному обеспечению, производимые работниками, предназначены для покрытия расходов на выплату пенсий по старости и нетрудоспособности (полной и частичной) и пенсий по случаю потери кормильца, для вдов, вдовцов и сирот), а также выплат по медицинскому страхованию и страхованию по безработице, когда государство гарантирует достаточную текущую ликвидность системы.  Суммы выплачиваемой пенсии рассчитываются таким образом, чтобы обеспечить соблюдение как принципа страхования (т.е. сумма выплат зависит от отчислений, произведенных по данному получателю выплат), так и необходимой солидарности по отношению к получателям пособий с низкими доходами.</w:t>
      </w:r>
    </w:p>
    <w:p w:rsidR="00000000" w:rsidRDefault="00000000"/>
    <w:p w:rsidR="00000000" w:rsidRDefault="00000000">
      <w:r>
        <w:t>325.</w:t>
      </w:r>
      <w:r>
        <w:tab/>
        <w:t>Закон о пенсионном страховании регулирует порядок назначения и сумму пенсий всех видов.  В соответствии со статьей 4 закона о пенсионном страховании выплачиваются следующие пенсии:  по старости, по полной нетрудоспособности, по частичной нетрудоспособности, для вдов и вдовцов, а также для сирот.</w:t>
      </w:r>
    </w:p>
    <w:p w:rsidR="00000000" w:rsidRDefault="00000000"/>
    <w:p w:rsidR="00000000" w:rsidRDefault="00000000">
      <w:r>
        <w:t>326.</w:t>
      </w:r>
      <w:r>
        <w:tab/>
        <w:t>Основная опора пенсионной системы - ее обязательность для всех лиц, работающих по найму в Чешской Республике.  Пенсионное обеспечение - одна из форм социального обеспечения;  его цель заключается в недопущении нищеты в жизненных ситуациях, предусмотренных системой, а также в реализации принципа гражданской солидарности.  Система пенсионного обеспечения финансируется за счет текущих отчислений, выплачиваемых работодателями, работниками и самозанятыми.</w:t>
      </w:r>
    </w:p>
    <w:p w:rsidR="00000000" w:rsidRDefault="00000000"/>
    <w:p w:rsidR="00000000" w:rsidRDefault="00000000">
      <w:r>
        <w:t>327.</w:t>
      </w:r>
      <w:r>
        <w:tab/>
        <w:t>В период с 1 января 1996 года по 31 декабря 2006 года возраст ухода на пенсию постепенно повышался до уровня, который обычно принят в пенсионных системах западноевропейских стран:  62 года для мужчин и 57 лет - 61 год для женщин (с 1 января 2007 года)</w:t>
      </w:r>
      <w:r>
        <w:rPr>
          <w:rStyle w:val="FootnoteReference"/>
        </w:rPr>
        <w:footnoteReference w:id="198"/>
      </w:r>
      <w:r>
        <w:t>.  Женщины, воспитывающие детей, получают льготу:  за каждого ребенка возраст ухода на пенсию снижается на один год, однако он не может составлять менее 57 лет.  Как можно видеть, с принятием нового законодательства разница в возрасте ухода на пенсию между мужчинами и женщинами уменьшается в результате постепенного увеличения пенсионного возраста для женщин.</w:t>
      </w:r>
    </w:p>
    <w:p w:rsidR="00000000" w:rsidRDefault="00000000"/>
    <w:p w:rsidR="00000000" w:rsidRDefault="00000000">
      <w:r>
        <w:t>328.</w:t>
      </w:r>
      <w:r>
        <w:tab/>
        <w:t xml:space="preserve">Основное пенсионное страхование обеспечивает каждого гражданина пенсионного возраста или гражданина, имеющего стойкую нетрудоспособность, пенсионным пособием.  Государство периодически корректирует размер пенсий в соответствии с ростом потребительских цен, а также в известной мере, в соответствии с ростом реальной заработной платы. </w:t>
      </w:r>
    </w:p>
    <w:p w:rsidR="00000000" w:rsidRDefault="00000000"/>
    <w:p w:rsidR="00000000" w:rsidRDefault="00000000">
      <w:r>
        <w:t>329.</w:t>
      </w:r>
      <w:r>
        <w:tab/>
        <w:t>С 1994 года негосударственные пенсионные фонды предлагают добровольное личное дополнительное пенсионное страхование.  Эта система также получает финансовую поддержку государства, которое способствует участию работников в такой системе дополнительного страхования.  Она была создана в соответствии с законом о дополнительном пенсионном обеспечении с участием государства</w:t>
      </w:r>
      <w:r>
        <w:rPr>
          <w:rStyle w:val="FootnoteReference"/>
        </w:rPr>
        <w:footnoteReference w:id="199"/>
      </w:r>
      <w:r>
        <w:t xml:space="preserve">.  Таким образом государство поддерживает граждан в осуществлении ими своей личной ответственности за обеспечение себя в старости необходимыми средствами.  С 1 января 2000 года входит в силу поправка к закону о дополнительном пенсионном обеспечении, предусматривающая изменение условий страхования, особенно в плане повышения важности долгосрочных накоплений (в отличие от краткосрочных вкладов) и ужесточения правил управления отдельными фондами и государственного контроля над ними.  С 1 января 2000 года отчисления по дополнительному пенсионному страхованию в некоторых случаях освобождаются от налогов на физических лиц.  Однако суммы отчислений граждан в эти фонды не гарантируются законом.  </w:t>
      </w:r>
    </w:p>
    <w:p w:rsidR="00000000" w:rsidRDefault="00000000"/>
    <w:p w:rsidR="00000000" w:rsidRDefault="00000000">
      <w:r>
        <w:t>330.</w:t>
      </w:r>
      <w:r>
        <w:tab/>
        <w:t>Согласно статье 67 закона о пенсионном обеспечении правительство своим постановлением увеличивает "выплачиваемые пенсии во всех тех случаях, когда совокупный индекс потребительских цен вырастает не менее чем на 5% с календарного месяца, непосредственно предшествовавшего месяцу последнего повышения этих пенсий;  однако правительство своим постановлением повышает выплачиваемые пенсии во всех тех случаях, когда совокупный индекс потребительских цен увеличивается не менее чем на 10% с календарного месяца, указанного в части предложения до точки с запятой".  Если пенсии не повышаются в течение календарного года, они повышаются при первом увеличении после этого года, причем не только в соответствии с ростом индекса потребительских цен, но и с учетом роста реальной заработной платы.  Согласно статье 107 закона правительство также своим постановлением устанавливает размер общей базовой суммы, из которой производятся пенсионные отчисления в календарный год, и долю общих отчислений по всем видам пенсий.</w:t>
      </w:r>
    </w:p>
    <w:p w:rsidR="00000000" w:rsidRDefault="00000000"/>
    <w:p w:rsidR="00000000" w:rsidRDefault="00000000">
      <w:r>
        <w:t>331.</w:t>
      </w:r>
      <w:r>
        <w:tab/>
        <w:t>С начала 1996 года, когда был введен в действие закон о пенсионном обеспечении, пенсии повышались четыре раза</w:t>
      </w:r>
      <w:r>
        <w:rPr>
          <w:rStyle w:val="FootnoteReference"/>
        </w:rPr>
        <w:footnoteReference w:id="200"/>
      </w:r>
      <w:r>
        <w:t xml:space="preserve"> и была установлена общая базовая сумма для производства пенсионных отчислений на 1995, 1996, 1997 и 1998 годы.  Общая база расчетов на 1998 год будет применяться с 1 января 2000 года.  В соответствии со статьей 67 закона о пенсионном обеспечении увеличение пенсий будет производиться таким образом, чтобы вместе со средней пенсией по старости оно соответствовало по меньшей мере 70% роста индекса потребительских цен.</w:t>
      </w:r>
    </w:p>
    <w:p w:rsidR="00000000" w:rsidRDefault="00000000"/>
    <w:p w:rsidR="00000000" w:rsidRDefault="00000000">
      <w:pPr>
        <w:jc w:val="center"/>
      </w:pPr>
      <w:r>
        <w:rPr>
          <w:b/>
          <w:bCs/>
        </w:rPr>
        <w:t>Выплачиваемые пенсии</w:t>
      </w:r>
      <w:r>
        <w:t xml:space="preserve"> </w:t>
      </w:r>
      <w:r>
        <w:rPr>
          <w:b/>
          <w:bCs/>
        </w:rPr>
        <w:t>(на 31 декабря каждого года)</w:t>
      </w:r>
    </w:p>
    <w:p w:rsidR="00000000" w:rsidRDefault="00000000">
      <w:pPr>
        <w:pStyle w:val="FootnoteText"/>
        <w:spacing w:line="288" w:lineRule="auto"/>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113"/>
        <w:gridCol w:w="748"/>
        <w:gridCol w:w="613"/>
        <w:gridCol w:w="604"/>
        <w:gridCol w:w="576"/>
        <w:gridCol w:w="588"/>
        <w:gridCol w:w="653"/>
        <w:gridCol w:w="653"/>
        <w:gridCol w:w="653"/>
        <w:gridCol w:w="653"/>
        <w:gridCol w:w="654"/>
        <w:gridCol w:w="576"/>
        <w:gridCol w:w="561"/>
      </w:tblGrid>
      <w:tr w:rsidR="00000000">
        <w:tblPrEx>
          <w:tblCellMar>
            <w:top w:w="0" w:type="dxa"/>
            <w:bottom w:w="0" w:type="dxa"/>
          </w:tblCellMar>
        </w:tblPrEx>
        <w:trPr>
          <w:cantSplit/>
        </w:trPr>
        <w:tc>
          <w:tcPr>
            <w:tcW w:w="2113" w:type="dxa"/>
          </w:tcPr>
          <w:p w:rsidR="00000000" w:rsidRDefault="00000000">
            <w:pPr>
              <w:spacing w:line="240" w:lineRule="auto"/>
              <w:rPr>
                <w:sz w:val="20"/>
              </w:rPr>
            </w:pPr>
          </w:p>
        </w:tc>
        <w:tc>
          <w:tcPr>
            <w:tcW w:w="3782" w:type="dxa"/>
            <w:gridSpan w:val="6"/>
          </w:tcPr>
          <w:p w:rsidR="00000000" w:rsidRDefault="00000000">
            <w:pPr>
              <w:spacing w:line="240" w:lineRule="auto"/>
              <w:jc w:val="center"/>
              <w:rPr>
                <w:sz w:val="20"/>
              </w:rPr>
            </w:pPr>
            <w:r>
              <w:rPr>
                <w:sz w:val="20"/>
              </w:rPr>
              <w:t>Число выплачиваемых пенсий (тыс.)</w:t>
            </w:r>
          </w:p>
        </w:tc>
        <w:tc>
          <w:tcPr>
            <w:tcW w:w="3750" w:type="dxa"/>
            <w:gridSpan w:val="6"/>
          </w:tcPr>
          <w:p w:rsidR="00000000" w:rsidRDefault="00000000">
            <w:pPr>
              <w:spacing w:line="240" w:lineRule="auto"/>
              <w:jc w:val="center"/>
              <w:rPr>
                <w:sz w:val="20"/>
              </w:rPr>
            </w:pPr>
            <w:r>
              <w:rPr>
                <w:sz w:val="20"/>
              </w:rPr>
              <w:t>Средняя сумма пенсии (чешских крон)</w:t>
            </w:r>
          </w:p>
        </w:tc>
      </w:tr>
      <w:tr w:rsidR="00000000">
        <w:tblPrEx>
          <w:tblCellMar>
            <w:top w:w="0" w:type="dxa"/>
            <w:bottom w:w="0" w:type="dxa"/>
          </w:tblCellMar>
        </w:tblPrEx>
        <w:tc>
          <w:tcPr>
            <w:tcW w:w="2113" w:type="dxa"/>
          </w:tcPr>
          <w:p w:rsidR="00000000" w:rsidRDefault="00000000">
            <w:pPr>
              <w:spacing w:line="240" w:lineRule="auto"/>
              <w:rPr>
                <w:sz w:val="20"/>
              </w:rPr>
            </w:pPr>
          </w:p>
        </w:tc>
        <w:tc>
          <w:tcPr>
            <w:tcW w:w="748" w:type="dxa"/>
          </w:tcPr>
          <w:p w:rsidR="00000000" w:rsidRDefault="00000000">
            <w:pPr>
              <w:spacing w:line="240" w:lineRule="auto"/>
              <w:jc w:val="right"/>
              <w:rPr>
                <w:sz w:val="20"/>
              </w:rPr>
            </w:pPr>
            <w:r>
              <w:rPr>
                <w:sz w:val="20"/>
              </w:rPr>
              <w:t>1993</w:t>
            </w:r>
          </w:p>
        </w:tc>
        <w:tc>
          <w:tcPr>
            <w:tcW w:w="613" w:type="dxa"/>
          </w:tcPr>
          <w:p w:rsidR="00000000" w:rsidRDefault="00000000">
            <w:pPr>
              <w:spacing w:line="240" w:lineRule="auto"/>
              <w:jc w:val="right"/>
              <w:rPr>
                <w:sz w:val="20"/>
              </w:rPr>
            </w:pPr>
            <w:r>
              <w:rPr>
                <w:sz w:val="20"/>
              </w:rPr>
              <w:t>1994</w:t>
            </w:r>
          </w:p>
        </w:tc>
        <w:tc>
          <w:tcPr>
            <w:tcW w:w="604" w:type="dxa"/>
          </w:tcPr>
          <w:p w:rsidR="00000000" w:rsidRDefault="00000000">
            <w:pPr>
              <w:spacing w:line="240" w:lineRule="auto"/>
              <w:jc w:val="right"/>
              <w:rPr>
                <w:sz w:val="20"/>
              </w:rPr>
            </w:pPr>
            <w:r>
              <w:rPr>
                <w:sz w:val="20"/>
              </w:rPr>
              <w:t>1995</w:t>
            </w:r>
          </w:p>
        </w:tc>
        <w:tc>
          <w:tcPr>
            <w:tcW w:w="576" w:type="dxa"/>
          </w:tcPr>
          <w:p w:rsidR="00000000" w:rsidRDefault="00000000">
            <w:pPr>
              <w:spacing w:line="240" w:lineRule="auto"/>
              <w:jc w:val="right"/>
              <w:rPr>
                <w:sz w:val="20"/>
              </w:rPr>
            </w:pPr>
            <w:r>
              <w:rPr>
                <w:sz w:val="20"/>
              </w:rPr>
              <w:t>1996</w:t>
            </w:r>
          </w:p>
        </w:tc>
        <w:tc>
          <w:tcPr>
            <w:tcW w:w="588" w:type="dxa"/>
          </w:tcPr>
          <w:p w:rsidR="00000000" w:rsidRDefault="00000000">
            <w:pPr>
              <w:spacing w:line="240" w:lineRule="auto"/>
              <w:jc w:val="right"/>
              <w:rPr>
                <w:sz w:val="20"/>
              </w:rPr>
            </w:pPr>
            <w:r>
              <w:rPr>
                <w:sz w:val="20"/>
              </w:rPr>
              <w:t>1997</w:t>
            </w:r>
          </w:p>
        </w:tc>
        <w:tc>
          <w:tcPr>
            <w:tcW w:w="653" w:type="dxa"/>
          </w:tcPr>
          <w:p w:rsidR="00000000" w:rsidRDefault="00000000">
            <w:pPr>
              <w:spacing w:line="240" w:lineRule="auto"/>
              <w:jc w:val="right"/>
              <w:rPr>
                <w:sz w:val="20"/>
              </w:rPr>
            </w:pPr>
            <w:r>
              <w:rPr>
                <w:sz w:val="20"/>
              </w:rPr>
              <w:t>1998</w:t>
            </w:r>
          </w:p>
        </w:tc>
        <w:tc>
          <w:tcPr>
            <w:tcW w:w="653" w:type="dxa"/>
          </w:tcPr>
          <w:p w:rsidR="00000000" w:rsidRDefault="00000000">
            <w:pPr>
              <w:spacing w:line="240" w:lineRule="auto"/>
              <w:jc w:val="right"/>
              <w:rPr>
                <w:sz w:val="20"/>
              </w:rPr>
            </w:pPr>
            <w:r>
              <w:rPr>
                <w:sz w:val="20"/>
              </w:rPr>
              <w:t>1993</w:t>
            </w:r>
          </w:p>
        </w:tc>
        <w:tc>
          <w:tcPr>
            <w:tcW w:w="653" w:type="dxa"/>
          </w:tcPr>
          <w:p w:rsidR="00000000" w:rsidRDefault="00000000">
            <w:pPr>
              <w:spacing w:line="240" w:lineRule="auto"/>
              <w:jc w:val="right"/>
              <w:rPr>
                <w:sz w:val="20"/>
              </w:rPr>
            </w:pPr>
            <w:r>
              <w:rPr>
                <w:sz w:val="20"/>
              </w:rPr>
              <w:t>1994</w:t>
            </w:r>
          </w:p>
        </w:tc>
        <w:tc>
          <w:tcPr>
            <w:tcW w:w="653" w:type="dxa"/>
          </w:tcPr>
          <w:p w:rsidR="00000000" w:rsidRDefault="00000000">
            <w:pPr>
              <w:spacing w:line="240" w:lineRule="auto"/>
              <w:jc w:val="right"/>
              <w:rPr>
                <w:sz w:val="20"/>
              </w:rPr>
            </w:pPr>
            <w:r>
              <w:rPr>
                <w:sz w:val="20"/>
              </w:rPr>
              <w:t>1995</w:t>
            </w:r>
          </w:p>
        </w:tc>
        <w:tc>
          <w:tcPr>
            <w:tcW w:w="654" w:type="dxa"/>
          </w:tcPr>
          <w:p w:rsidR="00000000" w:rsidRDefault="00000000">
            <w:pPr>
              <w:spacing w:line="240" w:lineRule="auto"/>
              <w:jc w:val="right"/>
              <w:rPr>
                <w:sz w:val="20"/>
              </w:rPr>
            </w:pPr>
            <w:r>
              <w:rPr>
                <w:sz w:val="20"/>
              </w:rPr>
              <w:t>1996</w:t>
            </w:r>
          </w:p>
        </w:tc>
        <w:tc>
          <w:tcPr>
            <w:tcW w:w="576" w:type="dxa"/>
          </w:tcPr>
          <w:p w:rsidR="00000000" w:rsidRDefault="00000000">
            <w:pPr>
              <w:spacing w:line="240" w:lineRule="auto"/>
              <w:jc w:val="right"/>
              <w:rPr>
                <w:sz w:val="20"/>
              </w:rPr>
            </w:pPr>
            <w:r>
              <w:rPr>
                <w:sz w:val="20"/>
              </w:rPr>
              <w:t>1997</w:t>
            </w:r>
          </w:p>
        </w:tc>
        <w:tc>
          <w:tcPr>
            <w:tcW w:w="561" w:type="dxa"/>
          </w:tcPr>
          <w:p w:rsidR="00000000" w:rsidRDefault="00000000">
            <w:pPr>
              <w:tabs>
                <w:tab w:val="clear" w:pos="567"/>
              </w:tabs>
              <w:spacing w:line="240" w:lineRule="auto"/>
              <w:ind w:left="-108"/>
              <w:jc w:val="right"/>
              <w:rPr>
                <w:sz w:val="20"/>
              </w:rPr>
            </w:pPr>
            <w:r>
              <w:rPr>
                <w:sz w:val="20"/>
              </w:rPr>
              <w:t>1998</w:t>
            </w:r>
          </w:p>
        </w:tc>
      </w:tr>
      <w:tr w:rsidR="00000000">
        <w:tblPrEx>
          <w:tblCellMar>
            <w:top w:w="0" w:type="dxa"/>
            <w:bottom w:w="0" w:type="dxa"/>
          </w:tblCellMar>
        </w:tblPrEx>
        <w:tc>
          <w:tcPr>
            <w:tcW w:w="2113" w:type="dxa"/>
          </w:tcPr>
          <w:p w:rsidR="00000000" w:rsidRDefault="00000000">
            <w:pPr>
              <w:spacing w:line="240" w:lineRule="auto"/>
              <w:rPr>
                <w:sz w:val="20"/>
              </w:rPr>
            </w:pPr>
            <w:r>
              <w:rPr>
                <w:sz w:val="20"/>
              </w:rPr>
              <w:t>Всего</w:t>
            </w:r>
          </w:p>
        </w:tc>
        <w:tc>
          <w:tcPr>
            <w:tcW w:w="748" w:type="dxa"/>
          </w:tcPr>
          <w:p w:rsidR="00000000" w:rsidRDefault="00000000">
            <w:pPr>
              <w:spacing w:line="240" w:lineRule="auto"/>
              <w:jc w:val="right"/>
              <w:rPr>
                <w:sz w:val="20"/>
              </w:rPr>
            </w:pPr>
            <w:r>
              <w:rPr>
                <w:sz w:val="20"/>
              </w:rPr>
              <w:t>3 052</w:t>
            </w:r>
          </w:p>
        </w:tc>
        <w:tc>
          <w:tcPr>
            <w:tcW w:w="613" w:type="dxa"/>
          </w:tcPr>
          <w:p w:rsidR="00000000" w:rsidRDefault="00000000">
            <w:pPr>
              <w:spacing w:line="240" w:lineRule="auto"/>
              <w:jc w:val="right"/>
              <w:rPr>
                <w:sz w:val="20"/>
              </w:rPr>
            </w:pPr>
            <w:r>
              <w:rPr>
                <w:sz w:val="20"/>
              </w:rPr>
              <w:t>3 051</w:t>
            </w:r>
          </w:p>
        </w:tc>
        <w:tc>
          <w:tcPr>
            <w:tcW w:w="604" w:type="dxa"/>
          </w:tcPr>
          <w:p w:rsidR="00000000" w:rsidRDefault="00000000">
            <w:pPr>
              <w:spacing w:line="240" w:lineRule="auto"/>
              <w:jc w:val="right"/>
              <w:rPr>
                <w:sz w:val="20"/>
              </w:rPr>
            </w:pPr>
            <w:r>
              <w:rPr>
                <w:sz w:val="20"/>
              </w:rPr>
              <w:t>3 057</w:t>
            </w:r>
          </w:p>
        </w:tc>
        <w:tc>
          <w:tcPr>
            <w:tcW w:w="576" w:type="dxa"/>
          </w:tcPr>
          <w:p w:rsidR="00000000" w:rsidRDefault="00000000">
            <w:pPr>
              <w:spacing w:line="240" w:lineRule="auto"/>
              <w:jc w:val="right"/>
              <w:rPr>
                <w:sz w:val="20"/>
              </w:rPr>
            </w:pPr>
            <w:r>
              <w:rPr>
                <w:sz w:val="20"/>
              </w:rPr>
              <w:t>3 052</w:t>
            </w:r>
          </w:p>
        </w:tc>
        <w:tc>
          <w:tcPr>
            <w:tcW w:w="588" w:type="dxa"/>
          </w:tcPr>
          <w:p w:rsidR="00000000" w:rsidRDefault="00000000">
            <w:pPr>
              <w:spacing w:line="240" w:lineRule="auto"/>
              <w:jc w:val="right"/>
              <w:rPr>
                <w:sz w:val="20"/>
              </w:rPr>
            </w:pPr>
            <w:r>
              <w:rPr>
                <w:sz w:val="20"/>
              </w:rPr>
              <w:t>3 088</w:t>
            </w:r>
          </w:p>
        </w:tc>
        <w:tc>
          <w:tcPr>
            <w:tcW w:w="653" w:type="dxa"/>
          </w:tcPr>
          <w:p w:rsidR="00000000" w:rsidRDefault="00000000">
            <w:pPr>
              <w:spacing w:line="240" w:lineRule="auto"/>
              <w:jc w:val="right"/>
              <w:rPr>
                <w:sz w:val="20"/>
              </w:rPr>
            </w:pPr>
            <w:r>
              <w:rPr>
                <w:sz w:val="20"/>
              </w:rPr>
              <w:t>3 147</w:t>
            </w:r>
          </w:p>
        </w:tc>
        <w:tc>
          <w:tcPr>
            <w:tcW w:w="653" w:type="dxa"/>
          </w:tcPr>
          <w:p w:rsidR="00000000" w:rsidRDefault="00000000">
            <w:pPr>
              <w:spacing w:line="240" w:lineRule="auto"/>
              <w:jc w:val="right"/>
              <w:rPr>
                <w:sz w:val="20"/>
              </w:rPr>
            </w:pPr>
            <w:r>
              <w:rPr>
                <w:sz w:val="20"/>
              </w:rPr>
              <w:t>2 684</w:t>
            </w:r>
          </w:p>
        </w:tc>
        <w:tc>
          <w:tcPr>
            <w:tcW w:w="653" w:type="dxa"/>
          </w:tcPr>
          <w:p w:rsidR="00000000" w:rsidRDefault="00000000">
            <w:pPr>
              <w:spacing w:line="240" w:lineRule="auto"/>
              <w:jc w:val="right"/>
              <w:rPr>
                <w:sz w:val="20"/>
              </w:rPr>
            </w:pPr>
            <w:r>
              <w:rPr>
                <w:sz w:val="20"/>
              </w:rPr>
              <w:t>3 248</w:t>
            </w:r>
          </w:p>
        </w:tc>
        <w:tc>
          <w:tcPr>
            <w:tcW w:w="653" w:type="dxa"/>
          </w:tcPr>
          <w:p w:rsidR="00000000" w:rsidRDefault="00000000">
            <w:pPr>
              <w:spacing w:line="240" w:lineRule="auto"/>
              <w:jc w:val="right"/>
              <w:rPr>
                <w:sz w:val="20"/>
              </w:rPr>
            </w:pPr>
            <w:r>
              <w:rPr>
                <w:sz w:val="20"/>
              </w:rPr>
              <w:t>3 655</w:t>
            </w:r>
          </w:p>
        </w:tc>
        <w:tc>
          <w:tcPr>
            <w:tcW w:w="654" w:type="dxa"/>
          </w:tcPr>
          <w:p w:rsidR="00000000" w:rsidRDefault="00000000">
            <w:pPr>
              <w:spacing w:line="240" w:lineRule="auto"/>
              <w:jc w:val="right"/>
              <w:rPr>
                <w:sz w:val="20"/>
              </w:rPr>
            </w:pPr>
            <w:r>
              <w:rPr>
                <w:sz w:val="20"/>
              </w:rPr>
              <w:t>4 498</w:t>
            </w:r>
          </w:p>
        </w:tc>
        <w:tc>
          <w:tcPr>
            <w:tcW w:w="576" w:type="dxa"/>
          </w:tcPr>
          <w:p w:rsidR="00000000" w:rsidRDefault="00000000">
            <w:pPr>
              <w:spacing w:line="240" w:lineRule="auto"/>
              <w:jc w:val="right"/>
              <w:rPr>
                <w:sz w:val="20"/>
              </w:rPr>
            </w:pPr>
            <w:r>
              <w:rPr>
                <w:sz w:val="20"/>
              </w:rPr>
              <w:t>5 022</w:t>
            </w:r>
          </w:p>
        </w:tc>
        <w:tc>
          <w:tcPr>
            <w:tcW w:w="561" w:type="dxa"/>
          </w:tcPr>
          <w:p w:rsidR="00000000" w:rsidRDefault="00000000">
            <w:pPr>
              <w:tabs>
                <w:tab w:val="clear" w:pos="567"/>
              </w:tabs>
              <w:spacing w:line="240" w:lineRule="auto"/>
              <w:ind w:left="-108"/>
              <w:jc w:val="right"/>
              <w:rPr>
                <w:sz w:val="20"/>
              </w:rPr>
            </w:pPr>
            <w:r>
              <w:rPr>
                <w:sz w:val="20"/>
              </w:rPr>
              <w:t>5 450</w:t>
            </w:r>
          </w:p>
        </w:tc>
      </w:tr>
      <w:tr w:rsidR="00000000">
        <w:tblPrEx>
          <w:tblCellMar>
            <w:top w:w="0" w:type="dxa"/>
            <w:bottom w:w="0" w:type="dxa"/>
          </w:tblCellMar>
        </w:tblPrEx>
        <w:tc>
          <w:tcPr>
            <w:tcW w:w="2113" w:type="dxa"/>
          </w:tcPr>
          <w:p w:rsidR="00000000" w:rsidRDefault="00000000">
            <w:pPr>
              <w:spacing w:line="240" w:lineRule="auto"/>
              <w:rPr>
                <w:sz w:val="20"/>
              </w:rPr>
            </w:pPr>
            <w:r>
              <w:rPr>
                <w:sz w:val="20"/>
              </w:rPr>
              <w:t>Полные по старости</w:t>
            </w:r>
          </w:p>
        </w:tc>
        <w:tc>
          <w:tcPr>
            <w:tcW w:w="748" w:type="dxa"/>
          </w:tcPr>
          <w:p w:rsidR="00000000" w:rsidRDefault="00000000">
            <w:pPr>
              <w:spacing w:line="240" w:lineRule="auto"/>
              <w:jc w:val="right"/>
              <w:rPr>
                <w:sz w:val="20"/>
              </w:rPr>
            </w:pPr>
            <w:r>
              <w:rPr>
                <w:sz w:val="20"/>
              </w:rPr>
              <w:t>1 772</w:t>
            </w:r>
          </w:p>
        </w:tc>
        <w:tc>
          <w:tcPr>
            <w:tcW w:w="613" w:type="dxa"/>
          </w:tcPr>
          <w:p w:rsidR="00000000" w:rsidRDefault="00000000">
            <w:pPr>
              <w:spacing w:line="240" w:lineRule="auto"/>
              <w:jc w:val="right"/>
              <w:rPr>
                <w:sz w:val="20"/>
              </w:rPr>
            </w:pPr>
            <w:r>
              <w:rPr>
                <w:sz w:val="20"/>
              </w:rPr>
              <w:t>1 770</w:t>
            </w:r>
          </w:p>
        </w:tc>
        <w:tc>
          <w:tcPr>
            <w:tcW w:w="604" w:type="dxa"/>
          </w:tcPr>
          <w:p w:rsidR="00000000" w:rsidRDefault="00000000">
            <w:pPr>
              <w:spacing w:line="240" w:lineRule="auto"/>
              <w:jc w:val="right"/>
              <w:rPr>
                <w:sz w:val="20"/>
              </w:rPr>
            </w:pPr>
            <w:r>
              <w:rPr>
                <w:sz w:val="20"/>
              </w:rPr>
              <w:t>1 772</w:t>
            </w:r>
          </w:p>
        </w:tc>
        <w:tc>
          <w:tcPr>
            <w:tcW w:w="576" w:type="dxa"/>
          </w:tcPr>
          <w:p w:rsidR="00000000" w:rsidRDefault="00000000">
            <w:pPr>
              <w:spacing w:line="240" w:lineRule="auto"/>
              <w:jc w:val="right"/>
              <w:rPr>
                <w:sz w:val="20"/>
              </w:rPr>
            </w:pPr>
            <w:r>
              <w:rPr>
                <w:sz w:val="20"/>
              </w:rPr>
              <w:t>1 769</w:t>
            </w:r>
          </w:p>
        </w:tc>
        <w:tc>
          <w:tcPr>
            <w:tcW w:w="588" w:type="dxa"/>
          </w:tcPr>
          <w:p w:rsidR="00000000" w:rsidRDefault="00000000">
            <w:pPr>
              <w:spacing w:line="240" w:lineRule="auto"/>
              <w:jc w:val="right"/>
              <w:rPr>
                <w:sz w:val="20"/>
              </w:rPr>
            </w:pPr>
            <w:r>
              <w:rPr>
                <w:sz w:val="20"/>
              </w:rPr>
              <w:t>1 777</w:t>
            </w:r>
          </w:p>
        </w:tc>
        <w:tc>
          <w:tcPr>
            <w:tcW w:w="653" w:type="dxa"/>
          </w:tcPr>
          <w:p w:rsidR="00000000" w:rsidRDefault="00000000">
            <w:pPr>
              <w:spacing w:line="240" w:lineRule="auto"/>
              <w:jc w:val="right"/>
              <w:rPr>
                <w:sz w:val="20"/>
              </w:rPr>
            </w:pPr>
            <w:r>
              <w:rPr>
                <w:sz w:val="20"/>
              </w:rPr>
              <w:t>1 827</w:t>
            </w:r>
          </w:p>
        </w:tc>
        <w:tc>
          <w:tcPr>
            <w:tcW w:w="653" w:type="dxa"/>
          </w:tcPr>
          <w:p w:rsidR="00000000" w:rsidRDefault="00000000">
            <w:pPr>
              <w:spacing w:line="240" w:lineRule="auto"/>
              <w:jc w:val="right"/>
              <w:rPr>
                <w:sz w:val="20"/>
              </w:rPr>
            </w:pPr>
            <w:r>
              <w:rPr>
                <w:sz w:val="20"/>
              </w:rPr>
              <w:t>2 806</w:t>
            </w:r>
          </w:p>
        </w:tc>
        <w:tc>
          <w:tcPr>
            <w:tcW w:w="653" w:type="dxa"/>
          </w:tcPr>
          <w:p w:rsidR="00000000" w:rsidRDefault="00000000">
            <w:pPr>
              <w:spacing w:line="240" w:lineRule="auto"/>
              <w:jc w:val="right"/>
              <w:rPr>
                <w:sz w:val="20"/>
              </w:rPr>
            </w:pPr>
            <w:r>
              <w:rPr>
                <w:sz w:val="20"/>
              </w:rPr>
              <w:t>3 373</w:t>
            </w:r>
          </w:p>
        </w:tc>
        <w:tc>
          <w:tcPr>
            <w:tcW w:w="653" w:type="dxa"/>
          </w:tcPr>
          <w:p w:rsidR="00000000" w:rsidRDefault="00000000">
            <w:pPr>
              <w:spacing w:line="240" w:lineRule="auto"/>
              <w:jc w:val="right"/>
              <w:rPr>
                <w:sz w:val="20"/>
              </w:rPr>
            </w:pPr>
            <w:r>
              <w:rPr>
                <w:sz w:val="20"/>
              </w:rPr>
              <w:t>3 782</w:t>
            </w:r>
          </w:p>
        </w:tc>
        <w:tc>
          <w:tcPr>
            <w:tcW w:w="654" w:type="dxa"/>
          </w:tcPr>
          <w:p w:rsidR="00000000" w:rsidRDefault="00000000">
            <w:pPr>
              <w:spacing w:line="240" w:lineRule="auto"/>
              <w:jc w:val="right"/>
              <w:rPr>
                <w:sz w:val="20"/>
              </w:rPr>
            </w:pPr>
            <w:r>
              <w:rPr>
                <w:sz w:val="20"/>
              </w:rPr>
              <w:t>4 609</w:t>
            </w:r>
          </w:p>
        </w:tc>
        <w:tc>
          <w:tcPr>
            <w:tcW w:w="576" w:type="dxa"/>
          </w:tcPr>
          <w:p w:rsidR="00000000" w:rsidRDefault="00000000">
            <w:pPr>
              <w:spacing w:line="240" w:lineRule="auto"/>
              <w:jc w:val="right"/>
              <w:rPr>
                <w:sz w:val="20"/>
              </w:rPr>
            </w:pPr>
            <w:r>
              <w:rPr>
                <w:sz w:val="20"/>
              </w:rPr>
              <w:t>5 150</w:t>
            </w:r>
          </w:p>
        </w:tc>
        <w:tc>
          <w:tcPr>
            <w:tcW w:w="561" w:type="dxa"/>
          </w:tcPr>
          <w:p w:rsidR="00000000" w:rsidRDefault="00000000">
            <w:pPr>
              <w:tabs>
                <w:tab w:val="clear" w:pos="567"/>
              </w:tabs>
              <w:spacing w:line="240" w:lineRule="auto"/>
              <w:ind w:left="-108"/>
              <w:jc w:val="right"/>
              <w:rPr>
                <w:sz w:val="20"/>
              </w:rPr>
            </w:pPr>
            <w:r>
              <w:rPr>
                <w:sz w:val="20"/>
              </w:rPr>
              <w:t>5 579</w:t>
            </w:r>
          </w:p>
        </w:tc>
      </w:tr>
      <w:tr w:rsidR="00000000">
        <w:tblPrEx>
          <w:tblCellMar>
            <w:top w:w="0" w:type="dxa"/>
            <w:bottom w:w="0" w:type="dxa"/>
          </w:tblCellMar>
        </w:tblPrEx>
        <w:tc>
          <w:tcPr>
            <w:tcW w:w="2113" w:type="dxa"/>
          </w:tcPr>
          <w:p w:rsidR="00000000" w:rsidRDefault="00000000">
            <w:pPr>
              <w:spacing w:line="240" w:lineRule="auto"/>
              <w:rPr>
                <w:sz w:val="20"/>
              </w:rPr>
            </w:pPr>
            <w:r>
              <w:rPr>
                <w:sz w:val="20"/>
              </w:rPr>
              <w:t>Частичные по старости</w:t>
            </w:r>
          </w:p>
        </w:tc>
        <w:tc>
          <w:tcPr>
            <w:tcW w:w="748" w:type="dxa"/>
          </w:tcPr>
          <w:p w:rsidR="00000000" w:rsidRDefault="00000000">
            <w:pPr>
              <w:spacing w:line="240" w:lineRule="auto"/>
              <w:jc w:val="right"/>
              <w:rPr>
                <w:sz w:val="20"/>
              </w:rPr>
            </w:pPr>
            <w:r>
              <w:rPr>
                <w:sz w:val="20"/>
              </w:rPr>
              <w:t>43</w:t>
            </w:r>
          </w:p>
        </w:tc>
        <w:tc>
          <w:tcPr>
            <w:tcW w:w="613" w:type="dxa"/>
          </w:tcPr>
          <w:p w:rsidR="00000000" w:rsidRDefault="00000000">
            <w:pPr>
              <w:spacing w:line="240" w:lineRule="auto"/>
              <w:jc w:val="right"/>
              <w:rPr>
                <w:sz w:val="20"/>
              </w:rPr>
            </w:pPr>
            <w:r>
              <w:rPr>
                <w:sz w:val="20"/>
              </w:rPr>
              <w:t>41</w:t>
            </w:r>
          </w:p>
        </w:tc>
        <w:tc>
          <w:tcPr>
            <w:tcW w:w="604" w:type="dxa"/>
          </w:tcPr>
          <w:p w:rsidR="00000000" w:rsidRDefault="00000000">
            <w:pPr>
              <w:spacing w:line="240" w:lineRule="auto"/>
              <w:jc w:val="right"/>
              <w:rPr>
                <w:sz w:val="20"/>
              </w:rPr>
            </w:pPr>
            <w:r>
              <w:rPr>
                <w:sz w:val="20"/>
              </w:rPr>
              <w:t>40</w:t>
            </w:r>
          </w:p>
        </w:tc>
        <w:tc>
          <w:tcPr>
            <w:tcW w:w="576" w:type="dxa"/>
          </w:tcPr>
          <w:p w:rsidR="00000000" w:rsidRDefault="00000000">
            <w:pPr>
              <w:spacing w:line="240" w:lineRule="auto"/>
              <w:jc w:val="right"/>
              <w:rPr>
                <w:sz w:val="20"/>
              </w:rPr>
            </w:pPr>
            <w:r>
              <w:rPr>
                <w:sz w:val="20"/>
              </w:rPr>
              <w:t>37</w:t>
            </w:r>
          </w:p>
        </w:tc>
        <w:tc>
          <w:tcPr>
            <w:tcW w:w="588" w:type="dxa"/>
          </w:tcPr>
          <w:p w:rsidR="00000000" w:rsidRDefault="00000000">
            <w:pPr>
              <w:spacing w:line="240" w:lineRule="auto"/>
              <w:jc w:val="right"/>
              <w:rPr>
                <w:sz w:val="20"/>
              </w:rPr>
            </w:pPr>
            <w:r>
              <w:rPr>
                <w:sz w:val="20"/>
              </w:rPr>
              <w:t>36</w:t>
            </w:r>
          </w:p>
        </w:tc>
        <w:tc>
          <w:tcPr>
            <w:tcW w:w="653" w:type="dxa"/>
          </w:tcPr>
          <w:p w:rsidR="00000000" w:rsidRDefault="00000000">
            <w:pPr>
              <w:spacing w:line="240" w:lineRule="auto"/>
              <w:jc w:val="right"/>
              <w:rPr>
                <w:sz w:val="20"/>
              </w:rPr>
            </w:pPr>
            <w:r>
              <w:rPr>
                <w:sz w:val="20"/>
              </w:rPr>
              <w:t>32</w:t>
            </w:r>
          </w:p>
        </w:tc>
        <w:tc>
          <w:tcPr>
            <w:tcW w:w="653" w:type="dxa"/>
          </w:tcPr>
          <w:p w:rsidR="00000000" w:rsidRDefault="00000000">
            <w:pPr>
              <w:spacing w:line="240" w:lineRule="auto"/>
              <w:jc w:val="right"/>
              <w:rPr>
                <w:sz w:val="20"/>
              </w:rPr>
            </w:pPr>
            <w:r>
              <w:rPr>
                <w:sz w:val="20"/>
              </w:rPr>
              <w:t>1 722</w:t>
            </w:r>
          </w:p>
        </w:tc>
        <w:tc>
          <w:tcPr>
            <w:tcW w:w="653" w:type="dxa"/>
          </w:tcPr>
          <w:p w:rsidR="00000000" w:rsidRDefault="00000000">
            <w:pPr>
              <w:spacing w:line="240" w:lineRule="auto"/>
              <w:jc w:val="right"/>
              <w:rPr>
                <w:sz w:val="20"/>
              </w:rPr>
            </w:pPr>
            <w:r>
              <w:rPr>
                <w:sz w:val="20"/>
              </w:rPr>
              <w:t>2 160</w:t>
            </w:r>
          </w:p>
        </w:tc>
        <w:tc>
          <w:tcPr>
            <w:tcW w:w="653" w:type="dxa"/>
          </w:tcPr>
          <w:p w:rsidR="00000000" w:rsidRDefault="00000000">
            <w:pPr>
              <w:spacing w:line="240" w:lineRule="auto"/>
              <w:jc w:val="right"/>
              <w:rPr>
                <w:sz w:val="20"/>
              </w:rPr>
            </w:pPr>
            <w:r>
              <w:rPr>
                <w:sz w:val="20"/>
              </w:rPr>
              <w:t>2 410</w:t>
            </w:r>
          </w:p>
        </w:tc>
        <w:tc>
          <w:tcPr>
            <w:tcW w:w="654" w:type="dxa"/>
          </w:tcPr>
          <w:p w:rsidR="00000000" w:rsidRDefault="00000000">
            <w:pPr>
              <w:spacing w:line="240" w:lineRule="auto"/>
              <w:jc w:val="right"/>
              <w:rPr>
                <w:sz w:val="20"/>
              </w:rPr>
            </w:pPr>
            <w:r>
              <w:rPr>
                <w:sz w:val="20"/>
              </w:rPr>
              <w:t>2 987</w:t>
            </w:r>
          </w:p>
        </w:tc>
        <w:tc>
          <w:tcPr>
            <w:tcW w:w="576" w:type="dxa"/>
          </w:tcPr>
          <w:p w:rsidR="00000000" w:rsidRDefault="00000000">
            <w:pPr>
              <w:spacing w:line="240" w:lineRule="auto"/>
              <w:jc w:val="right"/>
              <w:rPr>
                <w:sz w:val="20"/>
              </w:rPr>
            </w:pPr>
            <w:r>
              <w:rPr>
                <w:sz w:val="20"/>
              </w:rPr>
              <w:t>3 283</w:t>
            </w:r>
          </w:p>
        </w:tc>
        <w:tc>
          <w:tcPr>
            <w:tcW w:w="561" w:type="dxa"/>
          </w:tcPr>
          <w:p w:rsidR="00000000" w:rsidRDefault="00000000">
            <w:pPr>
              <w:tabs>
                <w:tab w:val="clear" w:pos="567"/>
              </w:tabs>
              <w:spacing w:line="240" w:lineRule="auto"/>
              <w:ind w:left="-108"/>
              <w:jc w:val="right"/>
              <w:rPr>
                <w:sz w:val="20"/>
              </w:rPr>
            </w:pPr>
            <w:r>
              <w:rPr>
                <w:sz w:val="20"/>
              </w:rPr>
              <w:t>3 445</w:t>
            </w:r>
          </w:p>
        </w:tc>
      </w:tr>
      <w:tr w:rsidR="00000000">
        <w:tblPrEx>
          <w:tblCellMar>
            <w:top w:w="0" w:type="dxa"/>
            <w:bottom w:w="0" w:type="dxa"/>
          </w:tblCellMar>
        </w:tblPrEx>
        <w:tc>
          <w:tcPr>
            <w:tcW w:w="2113" w:type="dxa"/>
          </w:tcPr>
          <w:p w:rsidR="00000000" w:rsidRDefault="00000000">
            <w:pPr>
              <w:spacing w:line="240" w:lineRule="auto"/>
              <w:rPr>
                <w:sz w:val="20"/>
              </w:rPr>
            </w:pPr>
            <w:r>
              <w:rPr>
                <w:sz w:val="20"/>
              </w:rPr>
              <w:t>В связи с полной нетрудоспособностью</w:t>
            </w:r>
          </w:p>
        </w:tc>
        <w:tc>
          <w:tcPr>
            <w:tcW w:w="748" w:type="dxa"/>
          </w:tcPr>
          <w:p w:rsidR="00000000" w:rsidRDefault="00000000">
            <w:pPr>
              <w:spacing w:line="240" w:lineRule="auto"/>
              <w:jc w:val="right"/>
              <w:rPr>
                <w:sz w:val="20"/>
              </w:rPr>
            </w:pPr>
            <w:r>
              <w:rPr>
                <w:sz w:val="20"/>
              </w:rPr>
              <w:t>398</w:t>
            </w:r>
          </w:p>
        </w:tc>
        <w:tc>
          <w:tcPr>
            <w:tcW w:w="613" w:type="dxa"/>
          </w:tcPr>
          <w:p w:rsidR="00000000" w:rsidRDefault="00000000">
            <w:pPr>
              <w:spacing w:line="240" w:lineRule="auto"/>
              <w:jc w:val="right"/>
              <w:rPr>
                <w:sz w:val="20"/>
              </w:rPr>
            </w:pPr>
            <w:r>
              <w:rPr>
                <w:sz w:val="20"/>
              </w:rPr>
              <w:t>410</w:t>
            </w:r>
          </w:p>
        </w:tc>
        <w:tc>
          <w:tcPr>
            <w:tcW w:w="604" w:type="dxa"/>
          </w:tcPr>
          <w:p w:rsidR="00000000" w:rsidRDefault="00000000">
            <w:pPr>
              <w:spacing w:line="240" w:lineRule="auto"/>
              <w:jc w:val="right"/>
              <w:rPr>
                <w:sz w:val="20"/>
              </w:rPr>
            </w:pPr>
            <w:r>
              <w:rPr>
                <w:sz w:val="20"/>
              </w:rPr>
              <w:t>420</w:t>
            </w:r>
          </w:p>
        </w:tc>
        <w:tc>
          <w:tcPr>
            <w:tcW w:w="576" w:type="dxa"/>
          </w:tcPr>
          <w:p w:rsidR="00000000" w:rsidRDefault="00000000">
            <w:pPr>
              <w:spacing w:line="240" w:lineRule="auto"/>
              <w:jc w:val="right"/>
              <w:rPr>
                <w:sz w:val="20"/>
              </w:rPr>
            </w:pPr>
            <w:r>
              <w:rPr>
                <w:sz w:val="20"/>
              </w:rPr>
              <w:t>408</w:t>
            </w:r>
          </w:p>
        </w:tc>
        <w:tc>
          <w:tcPr>
            <w:tcW w:w="588" w:type="dxa"/>
          </w:tcPr>
          <w:p w:rsidR="00000000" w:rsidRDefault="00000000">
            <w:pPr>
              <w:spacing w:line="240" w:lineRule="auto"/>
              <w:jc w:val="right"/>
              <w:rPr>
                <w:sz w:val="20"/>
              </w:rPr>
            </w:pPr>
            <w:r>
              <w:rPr>
                <w:sz w:val="20"/>
              </w:rPr>
              <w:t>398</w:t>
            </w:r>
          </w:p>
        </w:tc>
        <w:tc>
          <w:tcPr>
            <w:tcW w:w="653" w:type="dxa"/>
          </w:tcPr>
          <w:p w:rsidR="00000000" w:rsidRDefault="00000000">
            <w:pPr>
              <w:spacing w:line="240" w:lineRule="auto"/>
              <w:jc w:val="right"/>
              <w:rPr>
                <w:sz w:val="20"/>
              </w:rPr>
            </w:pPr>
            <w:r>
              <w:rPr>
                <w:sz w:val="20"/>
              </w:rPr>
              <w:t>392</w:t>
            </w:r>
          </w:p>
        </w:tc>
        <w:tc>
          <w:tcPr>
            <w:tcW w:w="653" w:type="dxa"/>
          </w:tcPr>
          <w:p w:rsidR="00000000" w:rsidRDefault="00000000">
            <w:pPr>
              <w:spacing w:line="240" w:lineRule="auto"/>
              <w:jc w:val="right"/>
              <w:rPr>
                <w:sz w:val="20"/>
              </w:rPr>
            </w:pPr>
            <w:r>
              <w:rPr>
                <w:sz w:val="20"/>
              </w:rPr>
              <w:t>2 677</w:t>
            </w:r>
          </w:p>
        </w:tc>
        <w:tc>
          <w:tcPr>
            <w:tcW w:w="653" w:type="dxa"/>
          </w:tcPr>
          <w:p w:rsidR="00000000" w:rsidRDefault="00000000">
            <w:pPr>
              <w:spacing w:line="240" w:lineRule="auto"/>
              <w:jc w:val="right"/>
              <w:rPr>
                <w:sz w:val="20"/>
              </w:rPr>
            </w:pPr>
            <w:r>
              <w:rPr>
                <w:sz w:val="20"/>
              </w:rPr>
              <w:t>3 222</w:t>
            </w:r>
          </w:p>
        </w:tc>
        <w:tc>
          <w:tcPr>
            <w:tcW w:w="653" w:type="dxa"/>
          </w:tcPr>
          <w:p w:rsidR="00000000" w:rsidRDefault="00000000">
            <w:pPr>
              <w:spacing w:line="240" w:lineRule="auto"/>
              <w:jc w:val="right"/>
              <w:rPr>
                <w:sz w:val="20"/>
              </w:rPr>
            </w:pPr>
            <w:r>
              <w:rPr>
                <w:sz w:val="20"/>
              </w:rPr>
              <w:t>3 614</w:t>
            </w:r>
          </w:p>
        </w:tc>
        <w:tc>
          <w:tcPr>
            <w:tcW w:w="654" w:type="dxa"/>
          </w:tcPr>
          <w:p w:rsidR="00000000" w:rsidRDefault="00000000">
            <w:pPr>
              <w:spacing w:line="240" w:lineRule="auto"/>
              <w:jc w:val="right"/>
              <w:rPr>
                <w:sz w:val="20"/>
              </w:rPr>
            </w:pPr>
            <w:r>
              <w:rPr>
                <w:sz w:val="20"/>
              </w:rPr>
              <w:t>4 456</w:t>
            </w:r>
          </w:p>
        </w:tc>
        <w:tc>
          <w:tcPr>
            <w:tcW w:w="576" w:type="dxa"/>
          </w:tcPr>
          <w:p w:rsidR="00000000" w:rsidRDefault="00000000">
            <w:pPr>
              <w:spacing w:line="240" w:lineRule="auto"/>
              <w:jc w:val="right"/>
              <w:rPr>
                <w:sz w:val="20"/>
              </w:rPr>
            </w:pPr>
            <w:r>
              <w:rPr>
                <w:sz w:val="20"/>
              </w:rPr>
              <w:t>4 987</w:t>
            </w:r>
          </w:p>
        </w:tc>
        <w:tc>
          <w:tcPr>
            <w:tcW w:w="561" w:type="dxa"/>
          </w:tcPr>
          <w:p w:rsidR="00000000" w:rsidRDefault="00000000">
            <w:pPr>
              <w:tabs>
                <w:tab w:val="clear" w:pos="567"/>
              </w:tabs>
              <w:spacing w:line="240" w:lineRule="auto"/>
              <w:ind w:left="-108"/>
              <w:jc w:val="right"/>
              <w:rPr>
                <w:sz w:val="20"/>
              </w:rPr>
            </w:pPr>
            <w:r>
              <w:rPr>
                <w:sz w:val="20"/>
              </w:rPr>
              <w:t>5 399</w:t>
            </w:r>
          </w:p>
        </w:tc>
      </w:tr>
      <w:tr w:rsidR="00000000">
        <w:tblPrEx>
          <w:tblCellMar>
            <w:top w:w="0" w:type="dxa"/>
            <w:bottom w:w="0" w:type="dxa"/>
          </w:tblCellMar>
        </w:tblPrEx>
        <w:tc>
          <w:tcPr>
            <w:tcW w:w="2113" w:type="dxa"/>
          </w:tcPr>
          <w:p w:rsidR="00000000" w:rsidRDefault="00000000">
            <w:pPr>
              <w:spacing w:line="240" w:lineRule="auto"/>
              <w:rPr>
                <w:sz w:val="20"/>
              </w:rPr>
            </w:pPr>
            <w:r>
              <w:rPr>
                <w:sz w:val="20"/>
              </w:rPr>
              <w:t>В связи с частичной нетрудоспособностью</w:t>
            </w:r>
          </w:p>
        </w:tc>
        <w:tc>
          <w:tcPr>
            <w:tcW w:w="748" w:type="dxa"/>
          </w:tcPr>
          <w:p w:rsidR="00000000" w:rsidRDefault="00000000">
            <w:pPr>
              <w:spacing w:line="240" w:lineRule="auto"/>
              <w:jc w:val="right"/>
              <w:rPr>
                <w:sz w:val="20"/>
              </w:rPr>
            </w:pPr>
            <w:r>
              <w:rPr>
                <w:sz w:val="20"/>
              </w:rPr>
              <w:t>119</w:t>
            </w:r>
          </w:p>
        </w:tc>
        <w:tc>
          <w:tcPr>
            <w:tcW w:w="613" w:type="dxa"/>
          </w:tcPr>
          <w:p w:rsidR="00000000" w:rsidRDefault="00000000">
            <w:pPr>
              <w:spacing w:line="240" w:lineRule="auto"/>
              <w:jc w:val="right"/>
              <w:rPr>
                <w:sz w:val="20"/>
              </w:rPr>
            </w:pPr>
            <w:r>
              <w:rPr>
                <w:sz w:val="20"/>
              </w:rPr>
              <w:t>117</w:t>
            </w:r>
          </w:p>
        </w:tc>
        <w:tc>
          <w:tcPr>
            <w:tcW w:w="604" w:type="dxa"/>
          </w:tcPr>
          <w:p w:rsidR="00000000" w:rsidRDefault="00000000">
            <w:pPr>
              <w:spacing w:line="240" w:lineRule="auto"/>
              <w:jc w:val="right"/>
              <w:rPr>
                <w:sz w:val="20"/>
              </w:rPr>
            </w:pPr>
            <w:r>
              <w:rPr>
                <w:sz w:val="20"/>
              </w:rPr>
              <w:t>117</w:t>
            </w:r>
          </w:p>
        </w:tc>
        <w:tc>
          <w:tcPr>
            <w:tcW w:w="576" w:type="dxa"/>
          </w:tcPr>
          <w:p w:rsidR="00000000" w:rsidRDefault="00000000">
            <w:pPr>
              <w:spacing w:line="240" w:lineRule="auto"/>
              <w:jc w:val="right"/>
              <w:rPr>
                <w:sz w:val="20"/>
              </w:rPr>
            </w:pPr>
            <w:r>
              <w:rPr>
                <w:sz w:val="20"/>
              </w:rPr>
              <w:t>124</w:t>
            </w:r>
          </w:p>
        </w:tc>
        <w:tc>
          <w:tcPr>
            <w:tcW w:w="588" w:type="dxa"/>
          </w:tcPr>
          <w:p w:rsidR="00000000" w:rsidRDefault="00000000">
            <w:pPr>
              <w:spacing w:line="240" w:lineRule="auto"/>
              <w:jc w:val="right"/>
              <w:rPr>
                <w:sz w:val="20"/>
              </w:rPr>
            </w:pPr>
            <w:r>
              <w:rPr>
                <w:sz w:val="20"/>
              </w:rPr>
              <w:t>128</w:t>
            </w:r>
          </w:p>
        </w:tc>
        <w:tc>
          <w:tcPr>
            <w:tcW w:w="653" w:type="dxa"/>
          </w:tcPr>
          <w:p w:rsidR="00000000" w:rsidRDefault="00000000">
            <w:pPr>
              <w:spacing w:line="240" w:lineRule="auto"/>
              <w:jc w:val="right"/>
              <w:rPr>
                <w:sz w:val="20"/>
              </w:rPr>
            </w:pPr>
            <w:r>
              <w:rPr>
                <w:sz w:val="20"/>
              </w:rPr>
              <w:t>145</w:t>
            </w:r>
          </w:p>
        </w:tc>
        <w:tc>
          <w:tcPr>
            <w:tcW w:w="653" w:type="dxa"/>
          </w:tcPr>
          <w:p w:rsidR="00000000" w:rsidRDefault="00000000">
            <w:pPr>
              <w:spacing w:line="240" w:lineRule="auto"/>
              <w:jc w:val="right"/>
              <w:rPr>
                <w:sz w:val="20"/>
              </w:rPr>
            </w:pPr>
            <w:r>
              <w:rPr>
                <w:sz w:val="20"/>
              </w:rPr>
              <w:t>1 474</w:t>
            </w:r>
          </w:p>
        </w:tc>
        <w:tc>
          <w:tcPr>
            <w:tcW w:w="653" w:type="dxa"/>
          </w:tcPr>
          <w:p w:rsidR="00000000" w:rsidRDefault="00000000">
            <w:pPr>
              <w:spacing w:line="240" w:lineRule="auto"/>
              <w:jc w:val="right"/>
              <w:rPr>
                <w:sz w:val="20"/>
              </w:rPr>
            </w:pPr>
            <w:r>
              <w:rPr>
                <w:sz w:val="20"/>
              </w:rPr>
              <w:t>1 967</w:t>
            </w:r>
          </w:p>
        </w:tc>
        <w:tc>
          <w:tcPr>
            <w:tcW w:w="653" w:type="dxa"/>
          </w:tcPr>
          <w:p w:rsidR="00000000" w:rsidRDefault="00000000">
            <w:pPr>
              <w:spacing w:line="240" w:lineRule="auto"/>
              <w:jc w:val="right"/>
              <w:rPr>
                <w:sz w:val="20"/>
              </w:rPr>
            </w:pPr>
            <w:r>
              <w:rPr>
                <w:sz w:val="20"/>
              </w:rPr>
              <w:t>2 311</w:t>
            </w:r>
          </w:p>
        </w:tc>
        <w:tc>
          <w:tcPr>
            <w:tcW w:w="654" w:type="dxa"/>
          </w:tcPr>
          <w:p w:rsidR="00000000" w:rsidRDefault="00000000">
            <w:pPr>
              <w:spacing w:line="240" w:lineRule="auto"/>
              <w:jc w:val="right"/>
              <w:rPr>
                <w:sz w:val="20"/>
              </w:rPr>
            </w:pPr>
            <w:r>
              <w:rPr>
                <w:sz w:val="20"/>
              </w:rPr>
              <w:t>2 934</w:t>
            </w:r>
          </w:p>
        </w:tc>
        <w:tc>
          <w:tcPr>
            <w:tcW w:w="576" w:type="dxa"/>
          </w:tcPr>
          <w:p w:rsidR="00000000" w:rsidRDefault="00000000">
            <w:pPr>
              <w:spacing w:line="240" w:lineRule="auto"/>
              <w:jc w:val="right"/>
              <w:rPr>
                <w:sz w:val="20"/>
              </w:rPr>
            </w:pPr>
            <w:r>
              <w:rPr>
                <w:sz w:val="20"/>
              </w:rPr>
              <w:t>3 338</w:t>
            </w:r>
          </w:p>
        </w:tc>
        <w:tc>
          <w:tcPr>
            <w:tcW w:w="561" w:type="dxa"/>
          </w:tcPr>
          <w:p w:rsidR="00000000" w:rsidRDefault="00000000">
            <w:pPr>
              <w:tabs>
                <w:tab w:val="clear" w:pos="567"/>
              </w:tabs>
              <w:spacing w:line="240" w:lineRule="auto"/>
              <w:ind w:left="-108"/>
              <w:jc w:val="right"/>
              <w:rPr>
                <w:sz w:val="20"/>
              </w:rPr>
            </w:pPr>
            <w:r>
              <w:rPr>
                <w:sz w:val="20"/>
              </w:rPr>
              <w:t>3 593</w:t>
            </w:r>
          </w:p>
        </w:tc>
      </w:tr>
      <w:tr w:rsidR="00000000">
        <w:tblPrEx>
          <w:tblCellMar>
            <w:top w:w="0" w:type="dxa"/>
            <w:bottom w:w="0" w:type="dxa"/>
          </w:tblCellMar>
        </w:tblPrEx>
        <w:tc>
          <w:tcPr>
            <w:tcW w:w="2113" w:type="dxa"/>
          </w:tcPr>
          <w:p w:rsidR="00000000" w:rsidRDefault="00000000">
            <w:pPr>
              <w:spacing w:line="240" w:lineRule="auto"/>
              <w:rPr>
                <w:sz w:val="20"/>
              </w:rPr>
            </w:pPr>
            <w:r>
              <w:rPr>
                <w:sz w:val="20"/>
              </w:rPr>
              <w:t>Для вдов</w:t>
            </w:r>
          </w:p>
        </w:tc>
        <w:tc>
          <w:tcPr>
            <w:tcW w:w="748" w:type="dxa"/>
          </w:tcPr>
          <w:p w:rsidR="00000000" w:rsidRDefault="00000000">
            <w:pPr>
              <w:spacing w:line="240" w:lineRule="auto"/>
              <w:jc w:val="right"/>
              <w:rPr>
                <w:sz w:val="20"/>
              </w:rPr>
            </w:pPr>
            <w:r>
              <w:rPr>
                <w:sz w:val="20"/>
              </w:rPr>
              <w:t>631</w:t>
            </w:r>
          </w:p>
        </w:tc>
        <w:tc>
          <w:tcPr>
            <w:tcW w:w="613" w:type="dxa"/>
          </w:tcPr>
          <w:p w:rsidR="00000000" w:rsidRDefault="00000000">
            <w:pPr>
              <w:spacing w:line="240" w:lineRule="auto"/>
              <w:jc w:val="right"/>
              <w:rPr>
                <w:sz w:val="20"/>
              </w:rPr>
            </w:pPr>
            <w:r>
              <w:rPr>
                <w:sz w:val="20"/>
              </w:rPr>
              <w:t>627</w:t>
            </w:r>
          </w:p>
        </w:tc>
        <w:tc>
          <w:tcPr>
            <w:tcW w:w="604" w:type="dxa"/>
          </w:tcPr>
          <w:p w:rsidR="00000000" w:rsidRDefault="00000000">
            <w:pPr>
              <w:spacing w:line="240" w:lineRule="auto"/>
              <w:jc w:val="right"/>
              <w:rPr>
                <w:sz w:val="20"/>
              </w:rPr>
            </w:pPr>
            <w:r>
              <w:rPr>
                <w:sz w:val="20"/>
              </w:rPr>
              <w:t>624</w:t>
            </w:r>
          </w:p>
        </w:tc>
        <w:tc>
          <w:tcPr>
            <w:tcW w:w="576" w:type="dxa"/>
          </w:tcPr>
          <w:p w:rsidR="00000000" w:rsidRDefault="00000000">
            <w:pPr>
              <w:spacing w:line="240" w:lineRule="auto"/>
              <w:jc w:val="right"/>
              <w:rPr>
                <w:sz w:val="20"/>
              </w:rPr>
            </w:pPr>
            <w:r>
              <w:rPr>
                <w:sz w:val="20"/>
              </w:rPr>
              <w:t>625</w:t>
            </w:r>
          </w:p>
        </w:tc>
        <w:tc>
          <w:tcPr>
            <w:tcW w:w="588" w:type="dxa"/>
          </w:tcPr>
          <w:p w:rsidR="00000000" w:rsidRDefault="00000000">
            <w:pPr>
              <w:spacing w:line="240" w:lineRule="auto"/>
              <w:jc w:val="right"/>
              <w:rPr>
                <w:sz w:val="20"/>
              </w:rPr>
            </w:pPr>
            <w:r>
              <w:rPr>
                <w:sz w:val="20"/>
              </w:rPr>
              <w:t>629</w:t>
            </w:r>
          </w:p>
        </w:tc>
        <w:tc>
          <w:tcPr>
            <w:tcW w:w="653" w:type="dxa"/>
          </w:tcPr>
          <w:p w:rsidR="00000000" w:rsidRDefault="00000000">
            <w:pPr>
              <w:spacing w:line="240" w:lineRule="auto"/>
              <w:jc w:val="right"/>
              <w:rPr>
                <w:sz w:val="20"/>
              </w:rPr>
            </w:pPr>
            <w:r>
              <w:rPr>
                <w:sz w:val="20"/>
              </w:rPr>
              <w:t>627</w:t>
            </w:r>
          </w:p>
        </w:tc>
        <w:tc>
          <w:tcPr>
            <w:tcW w:w="653" w:type="dxa"/>
          </w:tcPr>
          <w:p w:rsidR="00000000" w:rsidRDefault="00000000">
            <w:pPr>
              <w:spacing w:line="240" w:lineRule="auto"/>
              <w:jc w:val="right"/>
              <w:rPr>
                <w:sz w:val="20"/>
              </w:rPr>
            </w:pPr>
            <w:r>
              <w:rPr>
                <w:sz w:val="20"/>
              </w:rPr>
              <w:t>1 949</w:t>
            </w:r>
          </w:p>
        </w:tc>
        <w:tc>
          <w:tcPr>
            <w:tcW w:w="653" w:type="dxa"/>
          </w:tcPr>
          <w:p w:rsidR="00000000" w:rsidRDefault="00000000">
            <w:pPr>
              <w:spacing w:line="240" w:lineRule="auto"/>
              <w:jc w:val="right"/>
              <w:rPr>
                <w:sz w:val="20"/>
              </w:rPr>
            </w:pPr>
            <w:r>
              <w:rPr>
                <w:sz w:val="20"/>
              </w:rPr>
              <w:t>2 474</w:t>
            </w:r>
          </w:p>
        </w:tc>
        <w:tc>
          <w:tcPr>
            <w:tcW w:w="653" w:type="dxa"/>
          </w:tcPr>
          <w:p w:rsidR="00000000" w:rsidRDefault="00000000">
            <w:pPr>
              <w:spacing w:line="240" w:lineRule="auto"/>
              <w:jc w:val="right"/>
              <w:rPr>
                <w:sz w:val="20"/>
              </w:rPr>
            </w:pPr>
            <w:r>
              <w:rPr>
                <w:sz w:val="20"/>
              </w:rPr>
              <w:t>2 806</w:t>
            </w:r>
          </w:p>
        </w:tc>
        <w:tc>
          <w:tcPr>
            <w:tcW w:w="654" w:type="dxa"/>
          </w:tcPr>
          <w:p w:rsidR="00000000" w:rsidRDefault="00000000">
            <w:pPr>
              <w:spacing w:line="240" w:lineRule="auto"/>
              <w:jc w:val="right"/>
              <w:rPr>
                <w:sz w:val="20"/>
              </w:rPr>
            </w:pPr>
            <w:r>
              <w:rPr>
                <w:sz w:val="20"/>
              </w:rPr>
              <w:t>3 494</w:t>
            </w:r>
          </w:p>
        </w:tc>
        <w:tc>
          <w:tcPr>
            <w:tcW w:w="576" w:type="dxa"/>
          </w:tcPr>
          <w:p w:rsidR="00000000" w:rsidRDefault="00000000">
            <w:pPr>
              <w:spacing w:line="240" w:lineRule="auto"/>
              <w:jc w:val="right"/>
              <w:rPr>
                <w:sz w:val="20"/>
              </w:rPr>
            </w:pPr>
            <w:r>
              <w:rPr>
                <w:sz w:val="20"/>
              </w:rPr>
              <w:t>3 878</w:t>
            </w:r>
          </w:p>
        </w:tc>
        <w:tc>
          <w:tcPr>
            <w:tcW w:w="561" w:type="dxa"/>
          </w:tcPr>
          <w:p w:rsidR="00000000" w:rsidRDefault="00000000">
            <w:pPr>
              <w:tabs>
                <w:tab w:val="clear" w:pos="567"/>
              </w:tabs>
              <w:spacing w:line="240" w:lineRule="auto"/>
              <w:ind w:left="-108"/>
              <w:jc w:val="right"/>
              <w:rPr>
                <w:sz w:val="20"/>
              </w:rPr>
            </w:pPr>
            <w:r>
              <w:rPr>
                <w:sz w:val="20"/>
              </w:rPr>
              <w:t>4 150</w:t>
            </w:r>
          </w:p>
        </w:tc>
      </w:tr>
      <w:tr w:rsidR="00000000">
        <w:tblPrEx>
          <w:tblCellMar>
            <w:top w:w="0" w:type="dxa"/>
            <w:bottom w:w="0" w:type="dxa"/>
          </w:tblCellMar>
        </w:tblPrEx>
        <w:tc>
          <w:tcPr>
            <w:tcW w:w="2113" w:type="dxa"/>
          </w:tcPr>
          <w:p w:rsidR="00000000" w:rsidRDefault="00000000">
            <w:pPr>
              <w:spacing w:line="240" w:lineRule="auto"/>
              <w:rPr>
                <w:sz w:val="20"/>
              </w:rPr>
            </w:pPr>
            <w:r>
              <w:rPr>
                <w:sz w:val="20"/>
              </w:rPr>
              <w:t>Для вдовцов</w:t>
            </w:r>
          </w:p>
        </w:tc>
        <w:tc>
          <w:tcPr>
            <w:tcW w:w="748" w:type="dxa"/>
          </w:tcPr>
          <w:p w:rsidR="00000000" w:rsidRDefault="00000000">
            <w:pPr>
              <w:spacing w:line="240" w:lineRule="auto"/>
              <w:jc w:val="right"/>
              <w:rPr>
                <w:sz w:val="20"/>
              </w:rPr>
            </w:pPr>
            <w:r>
              <w:rPr>
                <w:sz w:val="20"/>
              </w:rPr>
              <w:t>5</w:t>
            </w:r>
          </w:p>
        </w:tc>
        <w:tc>
          <w:tcPr>
            <w:tcW w:w="613" w:type="dxa"/>
          </w:tcPr>
          <w:p w:rsidR="00000000" w:rsidRDefault="00000000">
            <w:pPr>
              <w:spacing w:line="240" w:lineRule="auto"/>
              <w:jc w:val="right"/>
              <w:rPr>
                <w:sz w:val="20"/>
              </w:rPr>
            </w:pPr>
            <w:r>
              <w:rPr>
                <w:sz w:val="20"/>
              </w:rPr>
              <w:t>5</w:t>
            </w:r>
          </w:p>
        </w:tc>
        <w:tc>
          <w:tcPr>
            <w:tcW w:w="604" w:type="dxa"/>
          </w:tcPr>
          <w:p w:rsidR="00000000" w:rsidRDefault="00000000">
            <w:pPr>
              <w:spacing w:line="240" w:lineRule="auto"/>
              <w:jc w:val="right"/>
              <w:rPr>
                <w:sz w:val="20"/>
              </w:rPr>
            </w:pPr>
            <w:r>
              <w:rPr>
                <w:sz w:val="20"/>
              </w:rPr>
              <w:t>5</w:t>
            </w:r>
          </w:p>
        </w:tc>
        <w:tc>
          <w:tcPr>
            <w:tcW w:w="576" w:type="dxa"/>
          </w:tcPr>
          <w:p w:rsidR="00000000" w:rsidRDefault="00000000">
            <w:pPr>
              <w:spacing w:line="240" w:lineRule="auto"/>
              <w:jc w:val="right"/>
              <w:rPr>
                <w:sz w:val="20"/>
              </w:rPr>
            </w:pPr>
            <w:r>
              <w:rPr>
                <w:sz w:val="20"/>
              </w:rPr>
              <w:t>31</w:t>
            </w:r>
          </w:p>
        </w:tc>
        <w:tc>
          <w:tcPr>
            <w:tcW w:w="588" w:type="dxa"/>
          </w:tcPr>
          <w:p w:rsidR="00000000" w:rsidRDefault="00000000">
            <w:pPr>
              <w:spacing w:line="240" w:lineRule="auto"/>
              <w:jc w:val="right"/>
              <w:rPr>
                <w:sz w:val="20"/>
              </w:rPr>
            </w:pPr>
            <w:r>
              <w:rPr>
                <w:sz w:val="20"/>
              </w:rPr>
              <w:t>51</w:t>
            </w:r>
          </w:p>
        </w:tc>
        <w:tc>
          <w:tcPr>
            <w:tcW w:w="653" w:type="dxa"/>
          </w:tcPr>
          <w:p w:rsidR="00000000" w:rsidRDefault="00000000">
            <w:pPr>
              <w:spacing w:line="240" w:lineRule="auto"/>
              <w:jc w:val="right"/>
              <w:rPr>
                <w:sz w:val="20"/>
              </w:rPr>
            </w:pPr>
            <w:r>
              <w:rPr>
                <w:sz w:val="20"/>
              </w:rPr>
              <w:t>68</w:t>
            </w:r>
          </w:p>
        </w:tc>
        <w:tc>
          <w:tcPr>
            <w:tcW w:w="653" w:type="dxa"/>
          </w:tcPr>
          <w:p w:rsidR="00000000" w:rsidRDefault="00000000">
            <w:pPr>
              <w:spacing w:line="240" w:lineRule="auto"/>
              <w:jc w:val="right"/>
              <w:rPr>
                <w:sz w:val="20"/>
              </w:rPr>
            </w:pPr>
            <w:r>
              <w:rPr>
                <w:sz w:val="20"/>
              </w:rPr>
              <w:t>929</w:t>
            </w:r>
          </w:p>
        </w:tc>
        <w:tc>
          <w:tcPr>
            <w:tcW w:w="653" w:type="dxa"/>
          </w:tcPr>
          <w:p w:rsidR="00000000" w:rsidRDefault="00000000">
            <w:pPr>
              <w:spacing w:line="240" w:lineRule="auto"/>
              <w:jc w:val="right"/>
              <w:rPr>
                <w:sz w:val="20"/>
              </w:rPr>
            </w:pPr>
            <w:r>
              <w:rPr>
                <w:sz w:val="20"/>
              </w:rPr>
              <w:t>1 419</w:t>
            </w:r>
          </w:p>
        </w:tc>
        <w:tc>
          <w:tcPr>
            <w:tcW w:w="653" w:type="dxa"/>
          </w:tcPr>
          <w:p w:rsidR="00000000" w:rsidRDefault="00000000">
            <w:pPr>
              <w:spacing w:line="240" w:lineRule="auto"/>
              <w:jc w:val="right"/>
              <w:rPr>
                <w:sz w:val="20"/>
              </w:rPr>
            </w:pPr>
            <w:r>
              <w:rPr>
                <w:sz w:val="20"/>
              </w:rPr>
              <w:t>1 780</w:t>
            </w:r>
          </w:p>
        </w:tc>
        <w:tc>
          <w:tcPr>
            <w:tcW w:w="654" w:type="dxa"/>
          </w:tcPr>
          <w:p w:rsidR="00000000" w:rsidRDefault="00000000">
            <w:pPr>
              <w:spacing w:line="240" w:lineRule="auto"/>
              <w:jc w:val="right"/>
              <w:rPr>
                <w:sz w:val="20"/>
              </w:rPr>
            </w:pPr>
            <w:r>
              <w:rPr>
                <w:sz w:val="20"/>
              </w:rPr>
              <w:t>2 388</w:t>
            </w:r>
          </w:p>
        </w:tc>
        <w:tc>
          <w:tcPr>
            <w:tcW w:w="576" w:type="dxa"/>
          </w:tcPr>
          <w:p w:rsidR="00000000" w:rsidRDefault="00000000">
            <w:pPr>
              <w:spacing w:line="240" w:lineRule="auto"/>
              <w:jc w:val="right"/>
              <w:rPr>
                <w:sz w:val="20"/>
              </w:rPr>
            </w:pPr>
            <w:r>
              <w:rPr>
                <w:sz w:val="20"/>
              </w:rPr>
              <w:t>2 804</w:t>
            </w:r>
          </w:p>
        </w:tc>
        <w:tc>
          <w:tcPr>
            <w:tcW w:w="561" w:type="dxa"/>
          </w:tcPr>
          <w:p w:rsidR="00000000" w:rsidRDefault="00000000">
            <w:pPr>
              <w:tabs>
                <w:tab w:val="clear" w:pos="567"/>
              </w:tabs>
              <w:spacing w:line="240" w:lineRule="auto"/>
              <w:ind w:left="-108"/>
              <w:jc w:val="right"/>
              <w:rPr>
                <w:sz w:val="20"/>
              </w:rPr>
            </w:pPr>
            <w:r>
              <w:rPr>
                <w:sz w:val="20"/>
              </w:rPr>
              <w:t>3 042</w:t>
            </w:r>
          </w:p>
        </w:tc>
      </w:tr>
      <w:tr w:rsidR="00000000">
        <w:tblPrEx>
          <w:tblCellMar>
            <w:top w:w="0" w:type="dxa"/>
            <w:bottom w:w="0" w:type="dxa"/>
          </w:tblCellMar>
        </w:tblPrEx>
        <w:tc>
          <w:tcPr>
            <w:tcW w:w="2113" w:type="dxa"/>
          </w:tcPr>
          <w:p w:rsidR="00000000" w:rsidRDefault="00000000">
            <w:pPr>
              <w:spacing w:line="240" w:lineRule="auto"/>
              <w:rPr>
                <w:sz w:val="20"/>
              </w:rPr>
            </w:pPr>
            <w:r>
              <w:rPr>
                <w:sz w:val="20"/>
              </w:rPr>
              <w:t>Для сирот</w:t>
            </w:r>
          </w:p>
        </w:tc>
        <w:tc>
          <w:tcPr>
            <w:tcW w:w="748" w:type="dxa"/>
          </w:tcPr>
          <w:p w:rsidR="00000000" w:rsidRDefault="00000000">
            <w:pPr>
              <w:spacing w:line="240" w:lineRule="auto"/>
              <w:jc w:val="right"/>
              <w:rPr>
                <w:sz w:val="20"/>
              </w:rPr>
            </w:pPr>
            <w:r>
              <w:rPr>
                <w:sz w:val="20"/>
              </w:rPr>
              <w:t>60</w:t>
            </w:r>
          </w:p>
        </w:tc>
        <w:tc>
          <w:tcPr>
            <w:tcW w:w="613" w:type="dxa"/>
          </w:tcPr>
          <w:p w:rsidR="00000000" w:rsidRDefault="00000000">
            <w:pPr>
              <w:spacing w:line="240" w:lineRule="auto"/>
              <w:jc w:val="right"/>
              <w:rPr>
                <w:sz w:val="20"/>
              </w:rPr>
            </w:pPr>
            <w:r>
              <w:rPr>
                <w:sz w:val="20"/>
              </w:rPr>
              <w:t>60</w:t>
            </w:r>
          </w:p>
        </w:tc>
        <w:tc>
          <w:tcPr>
            <w:tcW w:w="604" w:type="dxa"/>
          </w:tcPr>
          <w:p w:rsidR="00000000" w:rsidRDefault="00000000">
            <w:pPr>
              <w:spacing w:line="240" w:lineRule="auto"/>
              <w:jc w:val="right"/>
              <w:rPr>
                <w:sz w:val="20"/>
              </w:rPr>
            </w:pPr>
            <w:r>
              <w:rPr>
                <w:sz w:val="20"/>
              </w:rPr>
              <w:t>62</w:t>
            </w:r>
          </w:p>
        </w:tc>
        <w:tc>
          <w:tcPr>
            <w:tcW w:w="576" w:type="dxa"/>
          </w:tcPr>
          <w:p w:rsidR="00000000" w:rsidRDefault="00000000">
            <w:pPr>
              <w:spacing w:line="240" w:lineRule="auto"/>
              <w:jc w:val="right"/>
              <w:rPr>
                <w:sz w:val="20"/>
              </w:rPr>
            </w:pPr>
            <w:r>
              <w:rPr>
                <w:sz w:val="20"/>
              </w:rPr>
              <w:t>58</w:t>
            </w:r>
          </w:p>
        </w:tc>
        <w:tc>
          <w:tcPr>
            <w:tcW w:w="588" w:type="dxa"/>
          </w:tcPr>
          <w:p w:rsidR="00000000" w:rsidRDefault="00000000">
            <w:pPr>
              <w:spacing w:line="240" w:lineRule="auto"/>
              <w:jc w:val="right"/>
              <w:rPr>
                <w:sz w:val="20"/>
              </w:rPr>
            </w:pPr>
            <w:r>
              <w:rPr>
                <w:sz w:val="20"/>
              </w:rPr>
              <w:t>59</w:t>
            </w:r>
          </w:p>
        </w:tc>
        <w:tc>
          <w:tcPr>
            <w:tcW w:w="653" w:type="dxa"/>
          </w:tcPr>
          <w:p w:rsidR="00000000" w:rsidRDefault="00000000">
            <w:pPr>
              <w:spacing w:line="240" w:lineRule="auto"/>
              <w:jc w:val="right"/>
              <w:rPr>
                <w:sz w:val="20"/>
              </w:rPr>
            </w:pPr>
            <w:r>
              <w:rPr>
                <w:sz w:val="20"/>
              </w:rPr>
              <w:t>57</w:t>
            </w:r>
          </w:p>
        </w:tc>
        <w:tc>
          <w:tcPr>
            <w:tcW w:w="653" w:type="dxa"/>
          </w:tcPr>
          <w:p w:rsidR="00000000" w:rsidRDefault="00000000">
            <w:pPr>
              <w:spacing w:line="240" w:lineRule="auto"/>
              <w:jc w:val="right"/>
              <w:rPr>
                <w:sz w:val="20"/>
              </w:rPr>
            </w:pPr>
            <w:r>
              <w:rPr>
                <w:sz w:val="20"/>
              </w:rPr>
              <w:t>888</w:t>
            </w:r>
          </w:p>
        </w:tc>
        <w:tc>
          <w:tcPr>
            <w:tcW w:w="653" w:type="dxa"/>
          </w:tcPr>
          <w:p w:rsidR="00000000" w:rsidRDefault="00000000">
            <w:pPr>
              <w:spacing w:line="240" w:lineRule="auto"/>
              <w:jc w:val="right"/>
              <w:rPr>
                <w:sz w:val="20"/>
              </w:rPr>
            </w:pPr>
            <w:r>
              <w:rPr>
                <w:sz w:val="20"/>
              </w:rPr>
              <w:t>1 338</w:t>
            </w:r>
          </w:p>
        </w:tc>
        <w:tc>
          <w:tcPr>
            <w:tcW w:w="653" w:type="dxa"/>
          </w:tcPr>
          <w:p w:rsidR="00000000" w:rsidRDefault="00000000">
            <w:pPr>
              <w:spacing w:line="240" w:lineRule="auto"/>
              <w:jc w:val="right"/>
              <w:rPr>
                <w:sz w:val="20"/>
              </w:rPr>
            </w:pPr>
            <w:r>
              <w:rPr>
                <w:sz w:val="20"/>
              </w:rPr>
              <w:t>1 636</w:t>
            </w:r>
          </w:p>
        </w:tc>
        <w:tc>
          <w:tcPr>
            <w:tcW w:w="654" w:type="dxa"/>
          </w:tcPr>
          <w:p w:rsidR="00000000" w:rsidRDefault="00000000">
            <w:pPr>
              <w:spacing w:line="240" w:lineRule="auto"/>
              <w:jc w:val="right"/>
              <w:rPr>
                <w:sz w:val="20"/>
              </w:rPr>
            </w:pPr>
            <w:r>
              <w:rPr>
                <w:sz w:val="20"/>
              </w:rPr>
              <w:t>2 181</w:t>
            </w:r>
          </w:p>
        </w:tc>
        <w:tc>
          <w:tcPr>
            <w:tcW w:w="576" w:type="dxa"/>
          </w:tcPr>
          <w:p w:rsidR="00000000" w:rsidRDefault="00000000">
            <w:pPr>
              <w:spacing w:line="240" w:lineRule="auto"/>
              <w:jc w:val="right"/>
              <w:rPr>
                <w:sz w:val="20"/>
              </w:rPr>
            </w:pPr>
            <w:r>
              <w:rPr>
                <w:sz w:val="20"/>
              </w:rPr>
              <w:t>2 546</w:t>
            </w:r>
          </w:p>
        </w:tc>
        <w:tc>
          <w:tcPr>
            <w:tcW w:w="561" w:type="dxa"/>
          </w:tcPr>
          <w:p w:rsidR="00000000" w:rsidRDefault="00000000">
            <w:pPr>
              <w:tabs>
                <w:tab w:val="clear" w:pos="567"/>
              </w:tabs>
              <w:spacing w:line="240" w:lineRule="auto"/>
              <w:ind w:left="-108"/>
              <w:jc w:val="right"/>
              <w:rPr>
                <w:sz w:val="20"/>
              </w:rPr>
            </w:pPr>
            <w:r>
              <w:rPr>
                <w:sz w:val="20"/>
              </w:rPr>
              <w:t>2 761</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Чешское статистическое управление, 1999 год.</w:t>
      </w:r>
    </w:p>
    <w:p w:rsidR="00000000" w:rsidRDefault="00000000">
      <w:pPr>
        <w:pStyle w:val="FootnoteText"/>
        <w:spacing w:line="288" w:lineRule="auto"/>
      </w:pPr>
    </w:p>
    <w:p w:rsidR="00000000" w:rsidRDefault="00000000">
      <w:pPr>
        <w:pStyle w:val="Heading3"/>
        <w:rPr>
          <w:iCs/>
        </w:rPr>
      </w:pPr>
      <w:r>
        <w:rPr>
          <w:iCs/>
        </w:rPr>
        <w:t>Страхование по болезни</w:t>
      </w:r>
    </w:p>
    <w:p w:rsidR="00000000" w:rsidRDefault="00000000">
      <w:pPr>
        <w:keepNext/>
        <w:rPr>
          <w:bCs/>
          <w:u w:val="single"/>
        </w:rPr>
      </w:pPr>
    </w:p>
    <w:p w:rsidR="00000000" w:rsidRDefault="00000000">
      <w:r>
        <w:t>332.</w:t>
      </w:r>
      <w:r>
        <w:tab/>
        <w:t xml:space="preserve">Система страхования по болезни, как и система пенсионного страхования, поддерживается в финансовом плане доходами, поступающими в государственный бюджет в виде отчислений по социальному страхованию, с той разницей, что такие поступления по социальному страхованию не фиксируются отдельно в отдельном счете государственного бюджета.  Специальный закон предусматривает, кто и в какой сумме должен производить отчисления по страхованию по болезни в рамках отчислений по </w:t>
      </w:r>
    </w:p>
    <w:p w:rsidR="00000000" w:rsidRDefault="00000000">
      <w:r>
        <w:br w:type="page"/>
        <w:t>социальному страхованию</w:t>
      </w:r>
      <w:r>
        <w:rPr>
          <w:rStyle w:val="FootnoteReference"/>
        </w:rPr>
        <w:footnoteReference w:id="201"/>
      </w:r>
      <w:r>
        <w:t xml:space="preserve">.  Расходы на медицинское обслуживание покрываются за счет отчислений по медицинскому страхованию.  Об этом говорится в той части раздела по статье 12 Пакта, которая посвящена базовому здравоохранению и его финансированию.  </w:t>
      </w:r>
    </w:p>
    <w:p w:rsidR="00000000" w:rsidRDefault="00000000"/>
    <w:p w:rsidR="00000000" w:rsidRDefault="00000000">
      <w:r>
        <w:t>333.</w:t>
      </w:r>
      <w:r>
        <w:tab/>
        <w:t>В плане социального страхования семей и домохозяйств некоторые важные пособия выплачиваются из системы страхования по болезни (в соответствии с законом о страховании по болезни).</w:t>
      </w:r>
    </w:p>
    <w:p w:rsidR="00000000" w:rsidRDefault="00000000"/>
    <w:p w:rsidR="00000000" w:rsidRDefault="00000000">
      <w:r>
        <w:t>334.</w:t>
      </w:r>
      <w:r>
        <w:tab/>
        <w:t>Пособие по болезни выплачивается работнику, который в соответствии с некоторыми особыми нормативными актами</w:t>
      </w:r>
      <w:r>
        <w:rPr>
          <w:rStyle w:val="FootnoteReference"/>
        </w:rPr>
        <w:footnoteReference w:id="202"/>
      </w:r>
      <w:r>
        <w:t xml:space="preserve"> признается временно неспособным к выполнению своих текущих производственных заданий (в течение так называемого периода нетрудоспособности) вследствие болезни или травмы, беременности и родов.  Пособие по болезни выплачивается женщине, которая признается неспособной к выполнению производственных обязанностей в связи с беременностью и родами, если она не имеет права на финансовое содействие по случаю беременности и родов.  Застрахованным работникам выплачиваются пособия.  Пособие по болезни выплачивается в соответствии со статьей 15 закона о страховании по болезни с первого календарного дня нетрудоспособности до прекращения нетрудоспособности или до признания частичной или полной нетрудоспособности, обычно не более чем в течение года.  Пособие по болезни также выплачивается работнику в течение карантинного периода, предписанного в соответствии с нормативными положениями о мерах против заразных заболеваний.  Сумма страхового пособия по болезни устанавливается на основе совокупного необлагаемого налогом дохода, обычно в календарный квартал, предшествующий началу выплаты пособия.</w:t>
      </w:r>
      <w:r>
        <w:rPr>
          <w:lang w:val="en-US"/>
        </w:rPr>
        <w:t xml:space="preserve">  </w:t>
      </w:r>
      <w:r>
        <w:t xml:space="preserve">Сумма пособия по болезни за календарный день составляет 69% зачитываемого до пенсии дневного заработка, однако первые три дня оплачиваются лишь </w:t>
      </w:r>
    </w:p>
    <w:p w:rsidR="00000000" w:rsidRDefault="00000000">
      <w:r>
        <w:br w:type="page"/>
        <w:t>в размере 50% этой суммы.  При этом зачитываемый для пенсии заработок в размере до 360 чешских крон берется в полной сумме, заработок в размере 360-540 чешских крон - в сумме 60%, а более заработок выше этих сумм не учитывается</w:t>
      </w:r>
      <w:r>
        <w:rPr>
          <w:rStyle w:val="FootnoteReference"/>
        </w:rPr>
        <w:footnoteReference w:id="203"/>
      </w:r>
      <w:r>
        <w:t>.  С 1 января 2000 года эти суммы повышены, соответственно, до 400 чешских крон и 400</w:t>
      </w:r>
      <w:r>
        <w:noBreakHyphen/>
        <w:t>590 чешских крон.  С</w:t>
      </w:r>
      <w:r>
        <w:rPr>
          <w:lang w:val="en-US"/>
        </w:rPr>
        <w:t> </w:t>
      </w:r>
      <w:r>
        <w:t>той же даты выплаты пособий по болезни будут ежегодно увеличиваться правительством в соответствии с ростом средних заработков.</w:t>
      </w:r>
    </w:p>
    <w:p w:rsidR="00000000" w:rsidRDefault="00000000"/>
    <w:p w:rsidR="00000000" w:rsidRDefault="00000000">
      <w:r>
        <w:t>335.</w:t>
      </w:r>
      <w:r>
        <w:tab/>
        <w:t>Пособие по уходу за членами семьи выплачивается работающему члену семьи, который ухаживает за больным ребенком в возрасте до десяти лет или за ребенком в возрасте десяти лет, обучающимся в учебном заведении, которое было закрыто, либо помещенным в карантин, а также в тех случаях, когда лицо, которое обычно ухаживает за ребенком, заболело или находится в карантине.  Оно также выплачивается любому работнику, который ухаживает за другим членом семьи, если тому по состоянию здоровья требуется уход.  "Член семьи" в этих случаях означает больное лицо, живущее в том же домохозяйстве, что и работник.  Это ограничение не распространяется на родителей детей в возрасте до десяти лет.  Такое пособие выплачивается на протяжении максимум 9 дней, или 16 дней для одиноких родителей.  Сумма помощи рассчитывается по той же схеме, что и пособие по болезни.</w:t>
      </w:r>
    </w:p>
    <w:p w:rsidR="00000000" w:rsidRDefault="00000000"/>
    <w:p w:rsidR="00000000" w:rsidRDefault="00000000">
      <w:r>
        <w:t>336.</w:t>
      </w:r>
      <w:r>
        <w:tab/>
        <w:t>Компенсационное пособие по беременности и родам выплачивается в тех случаях, когда беременная работница или мать маленького ребенка переводится на другую менее оплачиваемую работу по причине состояния здоровья или по причинам, связанным с уходом за маленьким ребенком.</w:t>
      </w:r>
    </w:p>
    <w:p w:rsidR="00000000" w:rsidRDefault="00000000"/>
    <w:p w:rsidR="00000000" w:rsidRDefault="00000000">
      <w:r>
        <w:t>337.</w:t>
      </w:r>
      <w:r>
        <w:tab/>
        <w:t>Финансовая помощь по беременности и родам (пособие по беременности и родам) выплачивается в период беременности и родов в течение 28 недель отпуска по беременности и родам начиная с 6 до 8 недель до планируемой даты родов или в течение 37 недель для одиноких женщин.  Финансовая помощь также выплачивается работнику-мужчине, если тот удовлетворяет предусмотренным законом условиям, например, если он ухаживает за ребенком, мать которого умерла.  Финансовая помощь по случаю беременности и родов рассчитывается по той же схеме, что и пособие по болезни, с тем условием, что базовая сумма оценки определяется с даты начала отпуска по беременности и родам и сумма финансовой помощи в календарный день определяется как 69% зачитываемого ежедневного заработка за весь период выплаты пособия.</w:t>
      </w:r>
    </w:p>
    <w:p w:rsidR="00000000" w:rsidRDefault="00000000"/>
    <w:p w:rsidR="00000000" w:rsidRDefault="00000000">
      <w:r>
        <w:br w:type="page"/>
        <w:t>338.</w:t>
      </w:r>
      <w:r>
        <w:tab/>
        <w:t>Ссылаемся далее на подробные доклады об осуществлении Конвенции МОТ:</w:t>
      </w:r>
    </w:p>
    <w:p w:rsidR="00000000" w:rsidRDefault="00000000"/>
    <w:p w:rsidR="00000000" w:rsidRDefault="00000000">
      <w:r>
        <w:tab/>
        <w:t>№ 130 - о медицинской помощи и пособиях по болезни;</w:t>
      </w:r>
    </w:p>
    <w:p w:rsidR="00000000" w:rsidRDefault="00000000">
      <w:r>
        <w:tab/>
        <w:t>№ 12 - о возмещении при несчастных случаях в сельском хозяйстве (1921 год);</w:t>
      </w:r>
    </w:p>
    <w:p w:rsidR="00000000" w:rsidRDefault="00000000">
      <w:r>
        <w:tab/>
        <w:t>№ 17 - о возмещении трудящимся (несчастные случаи) (1925 год);</w:t>
      </w:r>
    </w:p>
    <w:p w:rsidR="00000000" w:rsidRDefault="00000000">
      <w:r>
        <w:tab/>
        <w:t>№ 42 - о возмещении в случае профессиональных заболеваний (1934 год).</w:t>
      </w:r>
    </w:p>
    <w:p w:rsidR="00000000" w:rsidRDefault="00000000"/>
    <w:p w:rsidR="00000000" w:rsidRDefault="00000000">
      <w:r>
        <w:t>339.</w:t>
      </w:r>
      <w:r>
        <w:tab/>
        <w:t>Пособия по безработице служат для материального обеспечения лиц, ищущих работу, и выплачиваются в соответствии с законом о занятости</w:t>
      </w:r>
      <w:r>
        <w:rPr>
          <w:rStyle w:val="FootnoteReference"/>
        </w:rPr>
        <w:footnoteReference w:id="204"/>
      </w:r>
      <w:r>
        <w:t>.  Сумма и условия выплаты пособия по безработице подробнее охарактеризованы в разделе по статье 6 Пакта.  Мы также ссылаемся на доклады об осуществлении Конвенции МОТ № 122 о политике в области занятости.</w:t>
      </w:r>
    </w:p>
    <w:p w:rsidR="00000000" w:rsidRDefault="00000000"/>
    <w:p w:rsidR="00000000" w:rsidRDefault="00000000">
      <w:pPr>
        <w:pStyle w:val="Heading6"/>
        <w:rPr>
          <w:bCs/>
          <w:u w:val="none"/>
        </w:rPr>
      </w:pPr>
      <w:r>
        <w:rPr>
          <w:bCs/>
          <w:u w:val="none"/>
        </w:rPr>
        <w:t>Государственная социальная поддержка</w:t>
      </w:r>
    </w:p>
    <w:p w:rsidR="00000000" w:rsidRDefault="00000000">
      <w:pPr>
        <w:pStyle w:val="Heading6"/>
        <w:rPr>
          <w:bCs/>
        </w:rPr>
      </w:pPr>
    </w:p>
    <w:p w:rsidR="00000000" w:rsidRDefault="00000000">
      <w:r>
        <w:t>340.</w:t>
      </w:r>
      <w:r>
        <w:tab/>
        <w:t>Государственная социальная поддержка заключается в финансовых трансфертах из государственного бюджета, основывающихся на принципах солидарности бездетных детей с семьями, ухаживающими за детьми, и на принципе поддержки семей с низкими доходами семьями с высокими доходами.  Цель системы государственных социальных пособий заключается в оказании материальной помощи, прежде всего семьям с детьми, в ситуациях, когда они не могут самостоятельно решить свои проблемы или когда государство заинтересовано в оказании такой помощи.  Эти пособия предоставляются в случаях, когда доход семей относительно снижается или их расходы возрастают.</w:t>
      </w:r>
    </w:p>
    <w:p w:rsidR="00000000" w:rsidRDefault="00000000"/>
    <w:p w:rsidR="00000000" w:rsidRDefault="00000000">
      <w:r>
        <w:t>341.</w:t>
      </w:r>
      <w:r>
        <w:tab/>
        <w:t>В отличие от социального страхования государственная социальная поддержка не основана на накопительной системе.  Расходы на государственную социальную поддержку оплачиваются государством.  Оказывая социальную поддержку, государство несет часть расходов на удовлетворение основных жизненных потребностей детей и семей, а также предоставляет ее в некоторых других неблагоприятных ситуациях.  В конкретных случаях поддержка предоставляется в зависимости от уровня доходов.</w:t>
      </w:r>
    </w:p>
    <w:p w:rsidR="00000000" w:rsidRDefault="00000000"/>
    <w:p w:rsidR="00000000" w:rsidRDefault="00000000">
      <w:r>
        <w:t>342.</w:t>
      </w:r>
      <w:r>
        <w:tab/>
        <w:t>В соответствии с законом о государственной социальной поддержке</w:t>
      </w:r>
      <w:r>
        <w:rPr>
          <w:rStyle w:val="FootnoteReference"/>
        </w:rPr>
        <w:footnoteReference w:id="205"/>
      </w:r>
      <w:r>
        <w:t xml:space="preserve"> (статья 2) выплачиваются следующие государственные социальные пособия:</w:t>
      </w:r>
    </w:p>
    <w:p w:rsidR="00000000" w:rsidRDefault="00000000"/>
    <w:p w:rsidR="00000000" w:rsidRDefault="00000000">
      <w:r>
        <w:tab/>
        <w:t>а)</w:t>
      </w:r>
      <w:r>
        <w:tab/>
        <w:t>пособия, выплачиваемые в зависимости от размера доходов:  пособие на детей, дополнительное социальное пособие, дотация на жилье, дотация на транспорт;</w:t>
      </w:r>
    </w:p>
    <w:p w:rsidR="00000000" w:rsidRDefault="00000000"/>
    <w:p w:rsidR="00000000" w:rsidRDefault="00000000">
      <w:r>
        <w:tab/>
      </w:r>
      <w:r>
        <w:rPr>
          <w:lang w:val="en-US"/>
        </w:rPr>
        <w:t>b</w:t>
      </w:r>
      <w:r>
        <w:t>)</w:t>
      </w:r>
      <w:r>
        <w:tab/>
        <w:t>прочие пособия:  родительское пособие, пособие для опекуна или попечителя, пособие для приемной семьи (пособие для удовлетворения потребностей приемного ребенка, компенсация приемным родителям, единовременное пособие за принятие ребенка на воспитание и дотация на приобретение транспортного средства), пособие по случаю рождения ребенка и пособие в связи со смертью кормильца.</w:t>
      </w:r>
    </w:p>
    <w:p w:rsidR="00000000" w:rsidRDefault="00000000"/>
    <w:p w:rsidR="00000000" w:rsidRDefault="00000000">
      <w:r>
        <w:t>343.</w:t>
      </w:r>
      <w:r>
        <w:tab/>
        <w:t>Помимо пособий, выплачиваемых в соответствии с законом о государственной социальной поддержке, с 1 июля 1997 года введены два других социальных пособия;  они предоставляются в течение ограниченного периода времени в зависимости от размера доходов:  дотации на рост расходов на отопление (максимум до 30 июня 2000 года) и дотации на рост квартирной платы (максимум до 31 декабря 2000 года).  Подробнее об этих пособиях говорится в других разделах настоящего доклада.</w:t>
      </w:r>
    </w:p>
    <w:p w:rsidR="00000000" w:rsidRDefault="00000000"/>
    <w:p w:rsidR="00000000" w:rsidRDefault="00000000">
      <w:r>
        <w:t>344.</w:t>
      </w:r>
      <w:r>
        <w:tab/>
        <w:t>В статье 3, пункт 1 закона о государственной социальной поддержке (о круге получателей пособий) предусмотрено следующее:  "Государственная социальная поддержка предоставляется с соблюдением предусмотренных ниже условий только физическим лицам ("лицам"), зарегистрированным, как и совместно оцениваемые с ними лица, для цели постоянного жительства в Чешской Республике</w:t>
      </w:r>
      <w:r>
        <w:rPr>
          <w:rStyle w:val="FootnoteReference"/>
        </w:rPr>
        <w:footnoteReference w:id="206"/>
      </w:r>
      <w:r>
        <w:t xml:space="preserve"> в соответствии </w:t>
      </w:r>
    </w:p>
    <w:p w:rsidR="00000000" w:rsidRDefault="00000000">
      <w:r>
        <w:br w:type="page"/>
        <w:t>с особыми распоряжениями"</w:t>
      </w:r>
      <w:r>
        <w:rPr>
          <w:rStyle w:val="FootnoteReference"/>
        </w:rPr>
        <w:footnoteReference w:id="207"/>
      </w:r>
      <w:r>
        <w:t>.  Однако регистрации для постоянного жительства или долгосрочного проживания как условия возникновения права на такую поддержку не требуется, согласно пункту 2 того же положения применительно к несовершеннолетним детям, помещенным в приемные семьи или в детские учреждения в Чешской Республике.  Однако в соответствии с пунктом 3 статьи 3 закона с 1998 года</w:t>
      </w:r>
      <w:r>
        <w:rPr>
          <w:rStyle w:val="FootnoteReference"/>
        </w:rPr>
        <w:footnoteReference w:id="208"/>
      </w:r>
      <w:r>
        <w:t xml:space="preserve"> при наличии оснований "районное бюро, на территории которого находится место жительства данного лица, может не учитывать требование постоянного места жительства, если лицо, ходатайствовавшее о представлении постоянного вида на жительство в Чешской Республике, окажется в ситуации, угрожающей удовлетворению его минимальных потребностей или минимальных потребностей его детей".  Кроме того, в пункте 5 статьи 74 закона</w:t>
      </w:r>
      <w:r>
        <w:rPr>
          <w:rStyle w:val="FootnoteReference"/>
        </w:rPr>
        <w:footnoteReference w:id="209"/>
      </w:r>
      <w:r>
        <w:t xml:space="preserve"> предусмотрено, что "в необходимых случаях министерство труда и социальных дел может не требовать соблюдения требования постоянного жительства".  Эти же положения касаются и совместно оцениваемых лиц.</w:t>
      </w:r>
    </w:p>
    <w:p w:rsidR="00000000" w:rsidRDefault="00000000"/>
    <w:p w:rsidR="00000000" w:rsidRDefault="00000000">
      <w:r>
        <w:t>345.</w:t>
      </w:r>
      <w:r>
        <w:tab/>
        <w:t xml:space="preserve">Однако в силу формулировки в пункте 1 статьи 3 указанного закона в отчетный период (в особенности до принятия поправок к закону в 1996 и 1998 годах) имели место случаи, в которых лица, имеющие право на получение пособия в соответствии с особыми нормативными актами, удовлетворяли условиям регистрации для постоянного жительства, однако совместно оцениваемое лицо не отвечало таким условиям.  Многие получившие отказ лица, ходатайствовавшие о выплате социальных пособий, не знали о том, что это требование может не учитываться в соответствии с указанной выше </w:t>
      </w:r>
    </w:p>
    <w:p w:rsidR="00000000" w:rsidRDefault="00000000">
      <w:pPr>
        <w:rPr>
          <w:lang w:val="en-US"/>
        </w:rPr>
      </w:pPr>
      <w:r>
        <w:br w:type="page"/>
        <w:t>процедурой.  Исходя из этого, министерство труда и социальных дел готовит общую поправку к закону о государственной социальной поддержке.  Условие предоставления таких пособий будет заключаться в постоянном жительстве, а в постоянном проживании всех совместно оцениваемых лиц.  Ожидается, что эта поправка войдет в силу в 2002 году</w:t>
      </w:r>
      <w:r>
        <w:rPr>
          <w:rStyle w:val="FootnoteReference"/>
        </w:rPr>
        <w:footnoteReference w:id="210"/>
      </w:r>
      <w:r>
        <w:t>.</w:t>
      </w:r>
    </w:p>
    <w:p w:rsidR="00000000" w:rsidRDefault="00000000">
      <w:pPr>
        <w:rPr>
          <w:lang w:val="en-US"/>
        </w:rPr>
      </w:pPr>
    </w:p>
    <w:p w:rsidR="00000000" w:rsidRDefault="00000000">
      <w:r>
        <w:t>346.</w:t>
      </w:r>
      <w:r>
        <w:tab/>
        <w:t>Право на государственную социальную поддержку и сумма такого пособия определяются на основе так называемого прожиточного минимума, устанавливаемого законом о минимальном уровне жизни</w:t>
      </w:r>
      <w:r>
        <w:rPr>
          <w:rStyle w:val="FootnoteReference"/>
        </w:rPr>
        <w:footnoteReference w:id="211"/>
      </w:r>
      <w:r>
        <w:t xml:space="preserve">, статья 3.  Подробнее о прожиточном минимуме говорится ниже в разделе о социальной помощи.  </w:t>
      </w:r>
    </w:p>
    <w:p w:rsidR="00000000" w:rsidRDefault="00000000"/>
    <w:p w:rsidR="00000000" w:rsidRDefault="00000000">
      <w:pPr>
        <w:pStyle w:val="Heading1"/>
        <w:spacing w:line="240" w:lineRule="auto"/>
        <w:jc w:val="center"/>
        <w:rPr>
          <w:b w:val="0"/>
        </w:rPr>
      </w:pPr>
      <w:r>
        <w:rPr>
          <w:bCs/>
        </w:rPr>
        <w:t xml:space="preserve">Пособие по государственной социальной поддержке </w:t>
      </w:r>
      <w:r>
        <w:rPr>
          <w:b w:val="0"/>
        </w:rPr>
        <w:t>(млн. чешских крон)</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819"/>
        <w:gridCol w:w="1437"/>
        <w:gridCol w:w="1438"/>
        <w:gridCol w:w="1438"/>
        <w:gridCol w:w="1438"/>
      </w:tblGrid>
      <w:tr w:rsidR="00000000">
        <w:tblPrEx>
          <w:tblCellMar>
            <w:top w:w="0" w:type="dxa"/>
            <w:bottom w:w="0" w:type="dxa"/>
          </w:tblCellMar>
        </w:tblPrEx>
        <w:trPr>
          <w:tblHeader/>
        </w:trPr>
        <w:tc>
          <w:tcPr>
            <w:tcW w:w="3820" w:type="dxa"/>
            <w:tcBorders>
              <w:top w:val="single" w:sz="4" w:space="0" w:color="auto"/>
              <w:bottom w:val="single" w:sz="4" w:space="0" w:color="auto"/>
            </w:tcBorders>
          </w:tcPr>
          <w:p w:rsidR="00000000" w:rsidRDefault="00000000">
            <w:pPr>
              <w:spacing w:line="240" w:lineRule="auto"/>
              <w:jc w:val="center"/>
            </w:pPr>
          </w:p>
        </w:tc>
        <w:tc>
          <w:tcPr>
            <w:tcW w:w="1437" w:type="dxa"/>
            <w:tcBorders>
              <w:top w:val="single" w:sz="4" w:space="0" w:color="auto"/>
              <w:bottom w:val="single" w:sz="4" w:space="0" w:color="auto"/>
            </w:tcBorders>
          </w:tcPr>
          <w:p w:rsidR="00000000" w:rsidRDefault="00000000">
            <w:pPr>
              <w:spacing w:line="240" w:lineRule="auto"/>
              <w:jc w:val="center"/>
            </w:pPr>
            <w:r>
              <w:t>1995</w:t>
            </w:r>
            <w:r>
              <w:rPr>
                <w:b/>
                <w:bCs/>
                <w:vertAlign w:val="superscript"/>
              </w:rPr>
              <w:t>а</w:t>
            </w:r>
          </w:p>
        </w:tc>
        <w:tc>
          <w:tcPr>
            <w:tcW w:w="1438" w:type="dxa"/>
            <w:tcBorders>
              <w:top w:val="single" w:sz="4" w:space="0" w:color="auto"/>
              <w:bottom w:val="single" w:sz="4" w:space="0" w:color="auto"/>
            </w:tcBorders>
          </w:tcPr>
          <w:p w:rsidR="00000000" w:rsidRDefault="00000000">
            <w:pPr>
              <w:pStyle w:val="FootnoteText"/>
              <w:jc w:val="center"/>
            </w:pPr>
            <w:r>
              <w:t>1996</w:t>
            </w:r>
          </w:p>
        </w:tc>
        <w:tc>
          <w:tcPr>
            <w:tcW w:w="1438" w:type="dxa"/>
            <w:tcBorders>
              <w:top w:val="single" w:sz="4" w:space="0" w:color="auto"/>
              <w:bottom w:val="single" w:sz="4" w:space="0" w:color="auto"/>
            </w:tcBorders>
          </w:tcPr>
          <w:p w:rsidR="00000000" w:rsidRDefault="00000000">
            <w:pPr>
              <w:spacing w:line="240" w:lineRule="auto"/>
              <w:jc w:val="center"/>
            </w:pPr>
            <w:r>
              <w:t>1997</w:t>
            </w:r>
          </w:p>
        </w:tc>
        <w:tc>
          <w:tcPr>
            <w:tcW w:w="1438" w:type="dxa"/>
            <w:tcBorders>
              <w:top w:val="single" w:sz="4" w:space="0" w:color="auto"/>
              <w:bottom w:val="single" w:sz="4" w:space="0" w:color="auto"/>
            </w:tcBorders>
          </w:tcPr>
          <w:p w:rsidR="00000000" w:rsidRDefault="00000000">
            <w:pPr>
              <w:spacing w:line="240" w:lineRule="auto"/>
              <w:jc w:val="center"/>
            </w:pPr>
            <w:r>
              <w:t>1998</w:t>
            </w:r>
          </w:p>
        </w:tc>
      </w:tr>
      <w:tr w:rsidR="00000000">
        <w:tblPrEx>
          <w:tblCellMar>
            <w:top w:w="0" w:type="dxa"/>
            <w:bottom w:w="0" w:type="dxa"/>
          </w:tblCellMar>
        </w:tblPrEx>
        <w:tc>
          <w:tcPr>
            <w:tcW w:w="3820" w:type="dxa"/>
            <w:tcBorders>
              <w:top w:val="single" w:sz="4" w:space="0" w:color="auto"/>
            </w:tcBorders>
          </w:tcPr>
          <w:p w:rsidR="00000000" w:rsidRDefault="00000000">
            <w:pPr>
              <w:pStyle w:val="Heading1"/>
              <w:spacing w:line="240" w:lineRule="auto"/>
              <w:rPr>
                <w:b w:val="0"/>
                <w:bCs/>
              </w:rPr>
            </w:pPr>
            <w:r>
              <w:rPr>
                <w:b w:val="0"/>
                <w:bCs/>
              </w:rPr>
              <w:t>Всего</w:t>
            </w:r>
          </w:p>
        </w:tc>
        <w:tc>
          <w:tcPr>
            <w:tcW w:w="1437" w:type="dxa"/>
            <w:tcBorders>
              <w:top w:val="single" w:sz="4" w:space="0" w:color="auto"/>
            </w:tcBorders>
          </w:tcPr>
          <w:p w:rsidR="00000000" w:rsidRDefault="00000000">
            <w:pPr>
              <w:pStyle w:val="Heading1"/>
              <w:tabs>
                <w:tab w:val="clear" w:pos="1134"/>
              </w:tabs>
              <w:spacing w:line="240" w:lineRule="auto"/>
              <w:ind w:right="362"/>
              <w:jc w:val="right"/>
              <w:rPr>
                <w:b w:val="0"/>
                <w:bCs/>
              </w:rPr>
            </w:pPr>
            <w:r>
              <w:rPr>
                <w:b w:val="0"/>
                <w:bCs/>
              </w:rPr>
              <w:t>1 195</w:t>
            </w:r>
          </w:p>
        </w:tc>
        <w:tc>
          <w:tcPr>
            <w:tcW w:w="1438" w:type="dxa"/>
            <w:tcBorders>
              <w:top w:val="single" w:sz="4" w:space="0" w:color="auto"/>
            </w:tcBorders>
          </w:tcPr>
          <w:p w:rsidR="00000000" w:rsidRDefault="00000000">
            <w:pPr>
              <w:pStyle w:val="Heading1"/>
              <w:tabs>
                <w:tab w:val="clear" w:pos="1134"/>
              </w:tabs>
              <w:spacing w:line="240" w:lineRule="auto"/>
              <w:ind w:right="362"/>
              <w:jc w:val="right"/>
              <w:rPr>
                <w:b w:val="0"/>
                <w:bCs/>
              </w:rPr>
            </w:pPr>
            <w:r>
              <w:rPr>
                <w:b w:val="0"/>
                <w:bCs/>
              </w:rPr>
              <w:t>26 692</w:t>
            </w:r>
          </w:p>
        </w:tc>
        <w:tc>
          <w:tcPr>
            <w:tcW w:w="1438" w:type="dxa"/>
            <w:tcBorders>
              <w:top w:val="single" w:sz="4" w:space="0" w:color="auto"/>
            </w:tcBorders>
          </w:tcPr>
          <w:p w:rsidR="00000000" w:rsidRDefault="00000000">
            <w:pPr>
              <w:pStyle w:val="Heading1"/>
              <w:tabs>
                <w:tab w:val="clear" w:pos="1134"/>
              </w:tabs>
              <w:spacing w:line="240" w:lineRule="auto"/>
              <w:ind w:right="362"/>
              <w:jc w:val="right"/>
              <w:rPr>
                <w:b w:val="0"/>
                <w:bCs/>
              </w:rPr>
            </w:pPr>
            <w:r>
              <w:rPr>
                <w:b w:val="0"/>
                <w:bCs/>
              </w:rPr>
              <w:t xml:space="preserve">29 </w:t>
            </w:r>
            <w:r>
              <w:rPr>
                <w:b w:val="0"/>
                <w:bCs/>
                <w:lang w:val="en-US"/>
              </w:rPr>
              <w:t>237</w:t>
            </w:r>
          </w:p>
        </w:tc>
        <w:tc>
          <w:tcPr>
            <w:tcW w:w="1438" w:type="dxa"/>
            <w:tcBorders>
              <w:top w:val="single" w:sz="4" w:space="0" w:color="auto"/>
            </w:tcBorders>
          </w:tcPr>
          <w:p w:rsidR="00000000" w:rsidRDefault="00000000">
            <w:pPr>
              <w:pStyle w:val="Heading1"/>
              <w:tabs>
                <w:tab w:val="clear" w:pos="1134"/>
              </w:tabs>
              <w:spacing w:line="240" w:lineRule="auto"/>
              <w:ind w:right="362"/>
              <w:jc w:val="right"/>
              <w:rPr>
                <w:b w:val="0"/>
                <w:bCs/>
                <w:lang w:val="en-US"/>
              </w:rPr>
            </w:pPr>
            <w:r>
              <w:rPr>
                <w:b w:val="0"/>
                <w:bCs/>
                <w:lang w:val="en-US"/>
              </w:rPr>
              <w:t>29 637</w:t>
            </w:r>
          </w:p>
        </w:tc>
      </w:tr>
      <w:tr w:rsidR="00000000">
        <w:tblPrEx>
          <w:tblCellMar>
            <w:top w:w="0" w:type="dxa"/>
            <w:bottom w:w="0" w:type="dxa"/>
          </w:tblCellMar>
        </w:tblPrEx>
        <w:tc>
          <w:tcPr>
            <w:tcW w:w="3820" w:type="dxa"/>
          </w:tcPr>
          <w:p w:rsidR="00000000" w:rsidRDefault="00000000">
            <w:pPr>
              <w:spacing w:line="240" w:lineRule="auto"/>
            </w:pPr>
            <w:r>
              <w:t>В том числе:  пособия на рождение ребенка</w:t>
            </w:r>
          </w:p>
        </w:tc>
        <w:tc>
          <w:tcPr>
            <w:tcW w:w="1437" w:type="dxa"/>
          </w:tcPr>
          <w:p w:rsidR="00000000" w:rsidRDefault="00000000">
            <w:pPr>
              <w:tabs>
                <w:tab w:val="clear" w:pos="1134"/>
              </w:tabs>
              <w:spacing w:line="240" w:lineRule="auto"/>
              <w:ind w:right="362"/>
              <w:jc w:val="right"/>
            </w:pPr>
            <w:r>
              <w:t>75</w:t>
            </w:r>
          </w:p>
        </w:tc>
        <w:tc>
          <w:tcPr>
            <w:tcW w:w="1438" w:type="dxa"/>
          </w:tcPr>
          <w:p w:rsidR="00000000" w:rsidRDefault="00000000">
            <w:pPr>
              <w:tabs>
                <w:tab w:val="clear" w:pos="1134"/>
              </w:tabs>
              <w:spacing w:line="240" w:lineRule="auto"/>
              <w:ind w:right="362"/>
              <w:jc w:val="right"/>
            </w:pPr>
            <w:r>
              <w:t>483</w:t>
            </w:r>
          </w:p>
        </w:tc>
        <w:tc>
          <w:tcPr>
            <w:tcW w:w="1438" w:type="dxa"/>
          </w:tcPr>
          <w:p w:rsidR="00000000" w:rsidRDefault="00000000">
            <w:pPr>
              <w:tabs>
                <w:tab w:val="clear" w:pos="1134"/>
              </w:tabs>
              <w:spacing w:line="240" w:lineRule="auto"/>
              <w:ind w:right="362"/>
              <w:jc w:val="right"/>
            </w:pPr>
            <w:r>
              <w:t>525</w:t>
            </w:r>
          </w:p>
        </w:tc>
        <w:tc>
          <w:tcPr>
            <w:tcW w:w="1438" w:type="dxa"/>
          </w:tcPr>
          <w:p w:rsidR="00000000" w:rsidRDefault="00000000">
            <w:pPr>
              <w:tabs>
                <w:tab w:val="clear" w:pos="1134"/>
              </w:tabs>
              <w:spacing w:line="240" w:lineRule="auto"/>
              <w:ind w:right="362"/>
              <w:jc w:val="right"/>
            </w:pPr>
            <w:r>
              <w:t>563</w:t>
            </w:r>
          </w:p>
        </w:tc>
      </w:tr>
      <w:tr w:rsidR="00000000">
        <w:tblPrEx>
          <w:tblCellMar>
            <w:top w:w="0" w:type="dxa"/>
            <w:bottom w:w="0" w:type="dxa"/>
          </w:tblCellMar>
        </w:tblPrEx>
        <w:tc>
          <w:tcPr>
            <w:tcW w:w="3820" w:type="dxa"/>
          </w:tcPr>
          <w:p w:rsidR="00000000" w:rsidRDefault="00000000">
            <w:pPr>
              <w:spacing w:line="240" w:lineRule="auto"/>
            </w:pPr>
            <w:r>
              <w:t xml:space="preserve">Пособие в связи с потерей кормильца </w:t>
            </w:r>
          </w:p>
        </w:tc>
        <w:tc>
          <w:tcPr>
            <w:tcW w:w="1437" w:type="dxa"/>
          </w:tcPr>
          <w:p w:rsidR="00000000" w:rsidRDefault="00000000">
            <w:pPr>
              <w:tabs>
                <w:tab w:val="clear" w:pos="1134"/>
              </w:tabs>
              <w:spacing w:line="240" w:lineRule="auto"/>
              <w:ind w:right="362"/>
              <w:jc w:val="right"/>
            </w:pPr>
            <w:r>
              <w:t>62</w:t>
            </w:r>
          </w:p>
        </w:tc>
        <w:tc>
          <w:tcPr>
            <w:tcW w:w="1438" w:type="dxa"/>
          </w:tcPr>
          <w:p w:rsidR="00000000" w:rsidRDefault="00000000">
            <w:pPr>
              <w:tabs>
                <w:tab w:val="clear" w:pos="1134"/>
              </w:tabs>
              <w:spacing w:line="240" w:lineRule="auto"/>
              <w:ind w:right="362"/>
              <w:jc w:val="right"/>
            </w:pPr>
            <w:r>
              <w:t>347</w:t>
            </w:r>
          </w:p>
        </w:tc>
        <w:tc>
          <w:tcPr>
            <w:tcW w:w="1438" w:type="dxa"/>
          </w:tcPr>
          <w:p w:rsidR="00000000" w:rsidRDefault="00000000">
            <w:pPr>
              <w:tabs>
                <w:tab w:val="clear" w:pos="1134"/>
              </w:tabs>
              <w:spacing w:line="240" w:lineRule="auto"/>
              <w:ind w:right="362"/>
              <w:jc w:val="right"/>
            </w:pPr>
            <w:r>
              <w:t>331</w:t>
            </w:r>
          </w:p>
        </w:tc>
        <w:tc>
          <w:tcPr>
            <w:tcW w:w="1438" w:type="dxa"/>
          </w:tcPr>
          <w:p w:rsidR="00000000" w:rsidRDefault="00000000">
            <w:pPr>
              <w:tabs>
                <w:tab w:val="clear" w:pos="1134"/>
              </w:tabs>
              <w:spacing w:line="240" w:lineRule="auto"/>
              <w:ind w:right="362"/>
              <w:jc w:val="right"/>
            </w:pPr>
            <w:r>
              <w:t>519</w:t>
            </w:r>
          </w:p>
        </w:tc>
      </w:tr>
      <w:tr w:rsidR="00000000">
        <w:tblPrEx>
          <w:tblCellMar>
            <w:top w:w="0" w:type="dxa"/>
            <w:bottom w:w="0" w:type="dxa"/>
          </w:tblCellMar>
        </w:tblPrEx>
        <w:tc>
          <w:tcPr>
            <w:tcW w:w="3820" w:type="dxa"/>
          </w:tcPr>
          <w:p w:rsidR="00000000" w:rsidRDefault="00000000">
            <w:pPr>
              <w:spacing w:line="240" w:lineRule="auto"/>
            </w:pPr>
            <w:r>
              <w:t>Пособие на детей</w:t>
            </w:r>
          </w:p>
        </w:tc>
        <w:tc>
          <w:tcPr>
            <w:tcW w:w="1437" w:type="dxa"/>
          </w:tcPr>
          <w:p w:rsidR="00000000" w:rsidRDefault="00000000">
            <w:pPr>
              <w:tabs>
                <w:tab w:val="clear" w:pos="1134"/>
              </w:tabs>
              <w:spacing w:line="240" w:lineRule="auto"/>
              <w:ind w:right="362"/>
              <w:jc w:val="right"/>
            </w:pPr>
            <w:r>
              <w:t>-</w:t>
            </w:r>
          </w:p>
        </w:tc>
        <w:tc>
          <w:tcPr>
            <w:tcW w:w="1438" w:type="dxa"/>
          </w:tcPr>
          <w:p w:rsidR="00000000" w:rsidRDefault="00000000">
            <w:pPr>
              <w:tabs>
                <w:tab w:val="clear" w:pos="1134"/>
              </w:tabs>
              <w:spacing w:line="240" w:lineRule="auto"/>
              <w:ind w:right="362"/>
              <w:jc w:val="right"/>
            </w:pPr>
            <w:r>
              <w:t>11 124</w:t>
            </w:r>
          </w:p>
        </w:tc>
        <w:tc>
          <w:tcPr>
            <w:tcW w:w="1438" w:type="dxa"/>
          </w:tcPr>
          <w:p w:rsidR="00000000" w:rsidRDefault="00000000">
            <w:pPr>
              <w:tabs>
                <w:tab w:val="clear" w:pos="1134"/>
              </w:tabs>
              <w:spacing w:line="240" w:lineRule="auto"/>
              <w:ind w:right="362"/>
              <w:jc w:val="right"/>
            </w:pPr>
            <w:r>
              <w:t>12 495</w:t>
            </w:r>
          </w:p>
        </w:tc>
        <w:tc>
          <w:tcPr>
            <w:tcW w:w="1438" w:type="dxa"/>
          </w:tcPr>
          <w:p w:rsidR="00000000" w:rsidRDefault="00000000">
            <w:pPr>
              <w:tabs>
                <w:tab w:val="clear" w:pos="1134"/>
              </w:tabs>
              <w:spacing w:line="240" w:lineRule="auto"/>
              <w:ind w:right="362"/>
              <w:jc w:val="right"/>
            </w:pPr>
            <w:r>
              <w:t>11 493</w:t>
            </w:r>
          </w:p>
        </w:tc>
      </w:tr>
      <w:tr w:rsidR="00000000">
        <w:tblPrEx>
          <w:tblCellMar>
            <w:top w:w="0" w:type="dxa"/>
            <w:bottom w:w="0" w:type="dxa"/>
          </w:tblCellMar>
        </w:tblPrEx>
        <w:tc>
          <w:tcPr>
            <w:tcW w:w="3820" w:type="dxa"/>
          </w:tcPr>
          <w:p w:rsidR="00000000" w:rsidRDefault="00000000">
            <w:pPr>
              <w:spacing w:line="240" w:lineRule="auto"/>
            </w:pPr>
            <w:r>
              <w:t>Пособие для приемной семьи</w:t>
            </w:r>
          </w:p>
        </w:tc>
        <w:tc>
          <w:tcPr>
            <w:tcW w:w="1437" w:type="dxa"/>
          </w:tcPr>
          <w:p w:rsidR="00000000" w:rsidRDefault="00000000">
            <w:pPr>
              <w:tabs>
                <w:tab w:val="clear" w:pos="1134"/>
              </w:tabs>
              <w:spacing w:line="240" w:lineRule="auto"/>
              <w:ind w:right="362"/>
              <w:jc w:val="right"/>
            </w:pPr>
            <w:r>
              <w:t>20</w:t>
            </w:r>
          </w:p>
        </w:tc>
        <w:tc>
          <w:tcPr>
            <w:tcW w:w="1438" w:type="dxa"/>
          </w:tcPr>
          <w:p w:rsidR="00000000" w:rsidRDefault="00000000">
            <w:pPr>
              <w:tabs>
                <w:tab w:val="clear" w:pos="1134"/>
              </w:tabs>
              <w:spacing w:line="240" w:lineRule="auto"/>
              <w:ind w:right="362"/>
              <w:jc w:val="right"/>
            </w:pPr>
            <w:r>
              <w:t>144</w:t>
            </w:r>
          </w:p>
        </w:tc>
        <w:tc>
          <w:tcPr>
            <w:tcW w:w="1438" w:type="dxa"/>
          </w:tcPr>
          <w:p w:rsidR="00000000" w:rsidRDefault="00000000">
            <w:pPr>
              <w:tabs>
                <w:tab w:val="clear" w:pos="1134"/>
              </w:tabs>
              <w:spacing w:line="240" w:lineRule="auto"/>
              <w:ind w:right="362"/>
              <w:jc w:val="right"/>
            </w:pPr>
            <w:r>
              <w:t>153</w:t>
            </w:r>
          </w:p>
        </w:tc>
        <w:tc>
          <w:tcPr>
            <w:tcW w:w="1438" w:type="dxa"/>
          </w:tcPr>
          <w:p w:rsidR="00000000" w:rsidRDefault="00000000">
            <w:pPr>
              <w:tabs>
                <w:tab w:val="clear" w:pos="1134"/>
              </w:tabs>
              <w:spacing w:line="240" w:lineRule="auto"/>
              <w:ind w:right="362"/>
              <w:jc w:val="right"/>
            </w:pPr>
            <w:r>
              <w:t>233</w:t>
            </w:r>
          </w:p>
        </w:tc>
      </w:tr>
      <w:tr w:rsidR="00000000">
        <w:tblPrEx>
          <w:tblCellMar>
            <w:top w:w="0" w:type="dxa"/>
            <w:bottom w:w="0" w:type="dxa"/>
          </w:tblCellMar>
        </w:tblPrEx>
        <w:tc>
          <w:tcPr>
            <w:tcW w:w="3820" w:type="dxa"/>
          </w:tcPr>
          <w:p w:rsidR="00000000" w:rsidRDefault="00000000">
            <w:pPr>
              <w:spacing w:line="240" w:lineRule="auto"/>
            </w:pPr>
            <w:r>
              <w:t>Пособие для опекуна</w:t>
            </w:r>
          </w:p>
        </w:tc>
        <w:tc>
          <w:tcPr>
            <w:tcW w:w="1437" w:type="dxa"/>
          </w:tcPr>
          <w:p w:rsidR="00000000" w:rsidRDefault="00000000">
            <w:pPr>
              <w:tabs>
                <w:tab w:val="clear" w:pos="1134"/>
              </w:tabs>
              <w:spacing w:line="240" w:lineRule="auto"/>
              <w:ind w:right="362"/>
              <w:jc w:val="right"/>
            </w:pPr>
            <w:r>
              <w:t>5</w:t>
            </w:r>
          </w:p>
        </w:tc>
        <w:tc>
          <w:tcPr>
            <w:tcW w:w="1438" w:type="dxa"/>
          </w:tcPr>
          <w:p w:rsidR="00000000" w:rsidRDefault="00000000">
            <w:pPr>
              <w:tabs>
                <w:tab w:val="clear" w:pos="1134"/>
              </w:tabs>
              <w:spacing w:line="240" w:lineRule="auto"/>
              <w:ind w:right="362"/>
              <w:jc w:val="right"/>
            </w:pPr>
            <w:r>
              <w:t>33</w:t>
            </w:r>
          </w:p>
        </w:tc>
        <w:tc>
          <w:tcPr>
            <w:tcW w:w="1438" w:type="dxa"/>
          </w:tcPr>
          <w:p w:rsidR="00000000" w:rsidRDefault="00000000">
            <w:pPr>
              <w:tabs>
                <w:tab w:val="clear" w:pos="1134"/>
              </w:tabs>
              <w:spacing w:line="240" w:lineRule="auto"/>
              <w:ind w:right="362"/>
              <w:jc w:val="right"/>
            </w:pPr>
            <w:r>
              <w:t>25</w:t>
            </w:r>
          </w:p>
        </w:tc>
        <w:tc>
          <w:tcPr>
            <w:tcW w:w="1438" w:type="dxa"/>
          </w:tcPr>
          <w:p w:rsidR="00000000" w:rsidRDefault="00000000">
            <w:pPr>
              <w:tabs>
                <w:tab w:val="clear" w:pos="1134"/>
              </w:tabs>
              <w:spacing w:line="240" w:lineRule="auto"/>
              <w:ind w:right="362"/>
              <w:jc w:val="right"/>
            </w:pPr>
            <w:r>
              <w:t>23</w:t>
            </w:r>
          </w:p>
        </w:tc>
      </w:tr>
      <w:tr w:rsidR="00000000">
        <w:tblPrEx>
          <w:tblCellMar>
            <w:top w:w="0" w:type="dxa"/>
            <w:bottom w:w="0" w:type="dxa"/>
          </w:tblCellMar>
        </w:tblPrEx>
        <w:tc>
          <w:tcPr>
            <w:tcW w:w="3820" w:type="dxa"/>
          </w:tcPr>
          <w:p w:rsidR="00000000" w:rsidRDefault="00000000">
            <w:pPr>
              <w:spacing w:line="240" w:lineRule="auto"/>
            </w:pPr>
            <w:r>
              <w:t>Пособие для родителей</w:t>
            </w:r>
          </w:p>
        </w:tc>
        <w:tc>
          <w:tcPr>
            <w:tcW w:w="1437" w:type="dxa"/>
          </w:tcPr>
          <w:p w:rsidR="00000000" w:rsidRDefault="00000000">
            <w:pPr>
              <w:tabs>
                <w:tab w:val="clear" w:pos="1134"/>
              </w:tabs>
              <w:spacing w:line="240" w:lineRule="auto"/>
              <w:ind w:right="362"/>
              <w:jc w:val="right"/>
            </w:pPr>
            <w:r>
              <w:t>1 033</w:t>
            </w:r>
          </w:p>
        </w:tc>
        <w:tc>
          <w:tcPr>
            <w:tcW w:w="1438" w:type="dxa"/>
          </w:tcPr>
          <w:p w:rsidR="00000000" w:rsidRDefault="00000000">
            <w:pPr>
              <w:tabs>
                <w:tab w:val="clear" w:pos="1134"/>
              </w:tabs>
              <w:spacing w:line="240" w:lineRule="auto"/>
              <w:ind w:right="362"/>
              <w:jc w:val="right"/>
            </w:pPr>
            <w:r>
              <w:t>7 354</w:t>
            </w:r>
          </w:p>
        </w:tc>
        <w:tc>
          <w:tcPr>
            <w:tcW w:w="1438" w:type="dxa"/>
          </w:tcPr>
          <w:p w:rsidR="00000000" w:rsidRDefault="00000000">
            <w:pPr>
              <w:tabs>
                <w:tab w:val="clear" w:pos="1134"/>
              </w:tabs>
              <w:spacing w:line="240" w:lineRule="auto"/>
              <w:ind w:right="362"/>
              <w:jc w:val="right"/>
            </w:pPr>
            <w:r>
              <w:t>7 612</w:t>
            </w:r>
          </w:p>
        </w:tc>
        <w:tc>
          <w:tcPr>
            <w:tcW w:w="1438" w:type="dxa"/>
          </w:tcPr>
          <w:p w:rsidR="00000000" w:rsidRDefault="00000000">
            <w:pPr>
              <w:tabs>
                <w:tab w:val="clear" w:pos="1134"/>
              </w:tabs>
              <w:spacing w:line="240" w:lineRule="auto"/>
              <w:ind w:right="362"/>
              <w:jc w:val="right"/>
            </w:pPr>
            <w:r>
              <w:t>7 780</w:t>
            </w:r>
          </w:p>
        </w:tc>
      </w:tr>
      <w:tr w:rsidR="00000000">
        <w:tblPrEx>
          <w:tblCellMar>
            <w:top w:w="0" w:type="dxa"/>
            <w:bottom w:w="0" w:type="dxa"/>
          </w:tblCellMar>
        </w:tblPrEx>
        <w:tc>
          <w:tcPr>
            <w:tcW w:w="3820" w:type="dxa"/>
          </w:tcPr>
          <w:p w:rsidR="00000000" w:rsidRDefault="00000000">
            <w:pPr>
              <w:pStyle w:val="a0"/>
              <w:keepNext/>
              <w:widowControl/>
              <w:tabs>
                <w:tab w:val="left" w:pos="567"/>
                <w:tab w:val="left" w:pos="1134"/>
                <w:tab w:val="left" w:pos="1701"/>
                <w:tab w:val="left" w:pos="2268"/>
                <w:tab w:val="left" w:pos="6237"/>
              </w:tabs>
              <w:rPr>
                <w:rFonts w:ascii="Times New Roman" w:hAnsi="Times New Roman"/>
                <w:snapToGrid/>
                <w:lang w:eastAsia="en-US"/>
              </w:rPr>
            </w:pPr>
            <w:r>
              <w:rPr>
                <w:rFonts w:ascii="Times New Roman" w:hAnsi="Times New Roman"/>
                <w:snapToGrid/>
                <w:lang w:eastAsia="en-US"/>
              </w:rPr>
              <w:t>Дополнительное социальное пособие</w:t>
            </w:r>
          </w:p>
        </w:tc>
        <w:tc>
          <w:tcPr>
            <w:tcW w:w="1437" w:type="dxa"/>
          </w:tcPr>
          <w:p w:rsidR="00000000" w:rsidRDefault="00000000">
            <w:pPr>
              <w:tabs>
                <w:tab w:val="clear" w:pos="1134"/>
              </w:tabs>
              <w:spacing w:line="240" w:lineRule="auto"/>
              <w:ind w:right="362"/>
              <w:jc w:val="right"/>
            </w:pPr>
            <w:r>
              <w:t>-</w:t>
            </w:r>
          </w:p>
        </w:tc>
        <w:tc>
          <w:tcPr>
            <w:tcW w:w="1438" w:type="dxa"/>
          </w:tcPr>
          <w:p w:rsidR="00000000" w:rsidRDefault="00000000">
            <w:pPr>
              <w:tabs>
                <w:tab w:val="clear" w:pos="1134"/>
              </w:tabs>
              <w:spacing w:line="240" w:lineRule="auto"/>
              <w:ind w:right="362"/>
              <w:jc w:val="right"/>
            </w:pPr>
            <w:r>
              <w:t>5 691</w:t>
            </w:r>
          </w:p>
        </w:tc>
        <w:tc>
          <w:tcPr>
            <w:tcW w:w="1438" w:type="dxa"/>
          </w:tcPr>
          <w:p w:rsidR="00000000" w:rsidRDefault="00000000">
            <w:pPr>
              <w:tabs>
                <w:tab w:val="clear" w:pos="1134"/>
              </w:tabs>
              <w:spacing w:line="240" w:lineRule="auto"/>
              <w:ind w:right="362"/>
              <w:jc w:val="right"/>
            </w:pPr>
            <w:r>
              <w:t>6 224</w:t>
            </w:r>
          </w:p>
        </w:tc>
        <w:tc>
          <w:tcPr>
            <w:tcW w:w="1438" w:type="dxa"/>
          </w:tcPr>
          <w:p w:rsidR="00000000" w:rsidRDefault="00000000">
            <w:pPr>
              <w:tabs>
                <w:tab w:val="clear" w:pos="1134"/>
              </w:tabs>
              <w:spacing w:line="240" w:lineRule="auto"/>
              <w:ind w:right="362"/>
              <w:jc w:val="right"/>
            </w:pPr>
            <w:r>
              <w:t>6 273</w:t>
            </w:r>
          </w:p>
        </w:tc>
      </w:tr>
      <w:tr w:rsidR="00000000">
        <w:tblPrEx>
          <w:tblCellMar>
            <w:top w:w="0" w:type="dxa"/>
            <w:bottom w:w="0" w:type="dxa"/>
          </w:tblCellMar>
        </w:tblPrEx>
        <w:tc>
          <w:tcPr>
            <w:tcW w:w="3820" w:type="dxa"/>
          </w:tcPr>
          <w:p w:rsidR="00000000" w:rsidRDefault="00000000">
            <w:pPr>
              <w:spacing w:line="240" w:lineRule="auto"/>
            </w:pPr>
            <w:r>
              <w:t>Дотация на жилье</w:t>
            </w:r>
          </w:p>
        </w:tc>
        <w:tc>
          <w:tcPr>
            <w:tcW w:w="1437" w:type="dxa"/>
          </w:tcPr>
          <w:p w:rsidR="00000000" w:rsidRDefault="00000000">
            <w:pPr>
              <w:tabs>
                <w:tab w:val="clear" w:pos="1134"/>
              </w:tabs>
              <w:spacing w:line="240" w:lineRule="auto"/>
              <w:ind w:right="362"/>
              <w:jc w:val="right"/>
            </w:pPr>
            <w:r>
              <w:t>-</w:t>
            </w:r>
          </w:p>
        </w:tc>
        <w:tc>
          <w:tcPr>
            <w:tcW w:w="1438" w:type="dxa"/>
          </w:tcPr>
          <w:p w:rsidR="00000000" w:rsidRDefault="00000000">
            <w:pPr>
              <w:tabs>
                <w:tab w:val="clear" w:pos="1134"/>
              </w:tabs>
              <w:spacing w:line="240" w:lineRule="auto"/>
              <w:ind w:right="362"/>
              <w:jc w:val="right"/>
            </w:pPr>
            <w:r>
              <w:t>677</w:t>
            </w:r>
          </w:p>
        </w:tc>
        <w:tc>
          <w:tcPr>
            <w:tcW w:w="1438" w:type="dxa"/>
          </w:tcPr>
          <w:p w:rsidR="00000000" w:rsidRDefault="00000000">
            <w:pPr>
              <w:tabs>
                <w:tab w:val="clear" w:pos="1134"/>
              </w:tabs>
              <w:spacing w:line="240" w:lineRule="auto"/>
              <w:ind w:right="362"/>
              <w:jc w:val="right"/>
            </w:pPr>
            <w:r>
              <w:t>813</w:t>
            </w:r>
          </w:p>
        </w:tc>
        <w:tc>
          <w:tcPr>
            <w:tcW w:w="1438" w:type="dxa"/>
          </w:tcPr>
          <w:p w:rsidR="00000000" w:rsidRDefault="00000000">
            <w:pPr>
              <w:tabs>
                <w:tab w:val="clear" w:pos="1134"/>
              </w:tabs>
              <w:spacing w:line="240" w:lineRule="auto"/>
              <w:ind w:right="362"/>
              <w:jc w:val="right"/>
            </w:pPr>
            <w:r>
              <w:t>1 367</w:t>
            </w:r>
          </w:p>
        </w:tc>
      </w:tr>
      <w:tr w:rsidR="00000000">
        <w:tblPrEx>
          <w:tblCellMar>
            <w:top w:w="0" w:type="dxa"/>
            <w:bottom w:w="0" w:type="dxa"/>
          </w:tblCellMar>
        </w:tblPrEx>
        <w:tc>
          <w:tcPr>
            <w:tcW w:w="3820" w:type="dxa"/>
          </w:tcPr>
          <w:p w:rsidR="00000000" w:rsidRDefault="00000000">
            <w:pPr>
              <w:spacing w:line="240" w:lineRule="auto"/>
            </w:pPr>
            <w:r>
              <w:t>Дотация на транспорт</w:t>
            </w:r>
          </w:p>
        </w:tc>
        <w:tc>
          <w:tcPr>
            <w:tcW w:w="1437" w:type="dxa"/>
          </w:tcPr>
          <w:p w:rsidR="00000000" w:rsidRDefault="00000000">
            <w:pPr>
              <w:tabs>
                <w:tab w:val="clear" w:pos="1134"/>
              </w:tabs>
              <w:spacing w:line="240" w:lineRule="auto"/>
              <w:ind w:right="362"/>
              <w:jc w:val="right"/>
            </w:pPr>
            <w:r>
              <w:t>-</w:t>
            </w:r>
          </w:p>
        </w:tc>
        <w:tc>
          <w:tcPr>
            <w:tcW w:w="1438" w:type="dxa"/>
          </w:tcPr>
          <w:p w:rsidR="00000000" w:rsidRDefault="00000000">
            <w:pPr>
              <w:tabs>
                <w:tab w:val="clear" w:pos="1134"/>
              </w:tabs>
              <w:spacing w:line="240" w:lineRule="auto"/>
              <w:ind w:right="362"/>
              <w:jc w:val="right"/>
            </w:pPr>
            <w:r>
              <w:t>839</w:t>
            </w:r>
          </w:p>
        </w:tc>
        <w:tc>
          <w:tcPr>
            <w:tcW w:w="1438" w:type="dxa"/>
          </w:tcPr>
          <w:p w:rsidR="00000000" w:rsidRDefault="00000000">
            <w:pPr>
              <w:tabs>
                <w:tab w:val="clear" w:pos="1134"/>
              </w:tabs>
              <w:spacing w:line="240" w:lineRule="auto"/>
              <w:ind w:right="362"/>
              <w:jc w:val="right"/>
            </w:pPr>
            <w:r>
              <w:t>938</w:t>
            </w:r>
          </w:p>
        </w:tc>
        <w:tc>
          <w:tcPr>
            <w:tcW w:w="1438" w:type="dxa"/>
          </w:tcPr>
          <w:p w:rsidR="00000000" w:rsidRDefault="00000000">
            <w:pPr>
              <w:tabs>
                <w:tab w:val="clear" w:pos="1134"/>
              </w:tabs>
              <w:spacing w:line="240" w:lineRule="auto"/>
              <w:ind w:right="362"/>
              <w:jc w:val="right"/>
            </w:pPr>
            <w:r>
              <w:t>946</w:t>
            </w:r>
          </w:p>
        </w:tc>
      </w:tr>
      <w:tr w:rsidR="00000000">
        <w:tblPrEx>
          <w:tblCellMar>
            <w:top w:w="0" w:type="dxa"/>
            <w:bottom w:w="0" w:type="dxa"/>
          </w:tblCellMar>
        </w:tblPrEx>
        <w:tc>
          <w:tcPr>
            <w:tcW w:w="3820" w:type="dxa"/>
          </w:tcPr>
          <w:p w:rsidR="00000000" w:rsidRDefault="00000000">
            <w:pPr>
              <w:spacing w:line="240" w:lineRule="auto"/>
            </w:pPr>
            <w:r>
              <w:t>Отдельные пособия (дотации на отопление и квартирную плату)</w:t>
            </w:r>
            <w:r>
              <w:rPr>
                <w:b/>
                <w:bCs/>
                <w:vertAlign w:val="superscript"/>
              </w:rPr>
              <w:t>b</w:t>
            </w:r>
          </w:p>
        </w:tc>
        <w:tc>
          <w:tcPr>
            <w:tcW w:w="1437" w:type="dxa"/>
          </w:tcPr>
          <w:p w:rsidR="00000000" w:rsidRDefault="00000000">
            <w:pPr>
              <w:tabs>
                <w:tab w:val="clear" w:pos="1134"/>
              </w:tabs>
              <w:spacing w:line="240" w:lineRule="auto"/>
              <w:ind w:right="362"/>
              <w:jc w:val="right"/>
            </w:pPr>
            <w:r>
              <w:t>-</w:t>
            </w:r>
          </w:p>
        </w:tc>
        <w:tc>
          <w:tcPr>
            <w:tcW w:w="1438" w:type="dxa"/>
          </w:tcPr>
          <w:p w:rsidR="00000000" w:rsidRDefault="00000000">
            <w:pPr>
              <w:tabs>
                <w:tab w:val="clear" w:pos="1134"/>
              </w:tabs>
              <w:spacing w:line="240" w:lineRule="auto"/>
              <w:ind w:right="362"/>
              <w:jc w:val="right"/>
            </w:pPr>
          </w:p>
        </w:tc>
        <w:tc>
          <w:tcPr>
            <w:tcW w:w="1438" w:type="dxa"/>
          </w:tcPr>
          <w:p w:rsidR="00000000" w:rsidRDefault="00000000">
            <w:pPr>
              <w:tabs>
                <w:tab w:val="clear" w:pos="1134"/>
              </w:tabs>
              <w:spacing w:line="240" w:lineRule="auto"/>
              <w:ind w:right="362"/>
              <w:jc w:val="right"/>
              <w:rPr>
                <w:lang w:val="en-US"/>
              </w:rPr>
            </w:pPr>
            <w:r>
              <w:rPr>
                <w:lang w:val="en-US"/>
              </w:rPr>
              <w:t>116</w:t>
            </w:r>
          </w:p>
        </w:tc>
        <w:tc>
          <w:tcPr>
            <w:tcW w:w="1438" w:type="dxa"/>
          </w:tcPr>
          <w:p w:rsidR="00000000" w:rsidRDefault="00000000">
            <w:pPr>
              <w:tabs>
                <w:tab w:val="clear" w:pos="1134"/>
              </w:tabs>
              <w:spacing w:line="240" w:lineRule="auto"/>
              <w:ind w:right="362"/>
              <w:jc w:val="right"/>
              <w:rPr>
                <w:lang w:val="en-US"/>
              </w:rPr>
            </w:pPr>
            <w:r>
              <w:rPr>
                <w:lang w:val="en-US"/>
              </w:rPr>
              <w:t>440</w:t>
            </w:r>
          </w:p>
        </w:tc>
      </w:tr>
    </w:tbl>
    <w:p w:rsidR="00000000" w:rsidRDefault="00000000">
      <w:pPr>
        <w:spacing w:line="240" w:lineRule="auto"/>
        <w:rPr>
          <w:lang w:val="en-US"/>
        </w:rPr>
      </w:pPr>
    </w:p>
    <w:p w:rsidR="00000000" w:rsidRDefault="00000000">
      <w:pPr>
        <w:pStyle w:val="FootnoteText"/>
        <w:rPr>
          <w:lang w:val="en-US"/>
        </w:rPr>
      </w:pPr>
      <w:r>
        <w:rPr>
          <w:lang w:val="en-US"/>
        </w:rPr>
        <w:tab/>
      </w:r>
      <w:r>
        <w:rPr>
          <w:u w:val="single"/>
        </w:rPr>
        <w:t>Источник</w:t>
      </w:r>
      <w:r>
        <w:rPr>
          <w:lang w:val="en-US"/>
        </w:rPr>
        <w:t>:  Statistical Yearbook of the CR, 1999.</w:t>
      </w:r>
    </w:p>
    <w:p w:rsidR="00000000" w:rsidRDefault="00000000">
      <w:pPr>
        <w:pStyle w:val="FootnoteText"/>
        <w:rPr>
          <w:b/>
          <w:bCs/>
          <w:vertAlign w:val="superscript"/>
          <w:lang w:val="en-US"/>
        </w:rPr>
      </w:pPr>
    </w:p>
    <w:p w:rsidR="00000000" w:rsidRDefault="00000000">
      <w:pPr>
        <w:pStyle w:val="FootnoteText"/>
      </w:pPr>
      <w:r>
        <w:rPr>
          <w:b/>
          <w:bCs/>
          <w:vertAlign w:val="superscript"/>
          <w:lang w:val="en-US"/>
        </w:rPr>
        <w:tab/>
        <w:t>a</w:t>
      </w:r>
      <w:r>
        <w:tab/>
        <w:t>Выплачивались с 1 октября 1995 года, когда был введен в действие закон о государственной социальной поддержке.</w:t>
      </w:r>
    </w:p>
    <w:p w:rsidR="00000000" w:rsidRDefault="00000000">
      <w:pPr>
        <w:pStyle w:val="FootnoteText"/>
      </w:pPr>
    </w:p>
    <w:p w:rsidR="00000000" w:rsidRDefault="00000000">
      <w:pPr>
        <w:pStyle w:val="FootnoteText"/>
      </w:pPr>
      <w:r>
        <w:rPr>
          <w:b/>
          <w:bCs/>
          <w:vertAlign w:val="superscript"/>
          <w:lang w:val="en-US"/>
        </w:rPr>
        <w:tab/>
      </w:r>
      <w:r>
        <w:rPr>
          <w:b/>
          <w:bCs/>
          <w:vertAlign w:val="superscript"/>
        </w:rPr>
        <w:t>b</w:t>
      </w:r>
      <w:r>
        <w:rPr>
          <w:b/>
          <w:bCs/>
          <w:vertAlign w:val="superscript"/>
        </w:rPr>
        <w:tab/>
      </w:r>
      <w:r>
        <w:t>С 1 июля 1997 года в соответствии с законом № 75/1997 о социальных дотациях на рост расходов на отопление, с поправками, внесенными принятыми позднее нормативными актами, стали выплачиваться, так называемые отдельные пособия, например пособия для компенсации роста цен на отопление и дотация на квартирную плату, которые рассчитываются примерно таким же образом, что и пособия по государственной социальной поддержке.  Право на получение таких дотаций регламентируется отдельным законом, поскольку она конкретно предназначена для выравнивания цен и будет выплачиваться только в течение трехлетнего переходного периода.</w:t>
      </w:r>
    </w:p>
    <w:p w:rsidR="00000000" w:rsidRDefault="00000000">
      <w:pPr>
        <w:pStyle w:val="FootnoteText"/>
        <w:spacing w:line="288" w:lineRule="auto"/>
      </w:pPr>
    </w:p>
    <w:p w:rsidR="00000000" w:rsidRDefault="00000000">
      <w:r>
        <w:t>347.</w:t>
      </w:r>
      <w:r>
        <w:tab/>
        <w:t xml:space="preserve">В плане социального обеспечения наиболее крупными выплатами, производимыми через систему государственной социальной поддержки, являются выплаты для семей с детьми:  </w:t>
      </w:r>
    </w:p>
    <w:p w:rsidR="00000000" w:rsidRDefault="00000000">
      <w:pPr>
        <w:pStyle w:val="1"/>
      </w:pPr>
    </w:p>
    <w:p w:rsidR="00000000" w:rsidRDefault="00000000">
      <w:r>
        <w:tab/>
        <w:t>а)</w:t>
      </w:r>
      <w:r>
        <w:tab/>
      </w:r>
      <w:r>
        <w:rPr>
          <w:u w:val="single"/>
        </w:rPr>
        <w:t>Пособие на детей</w:t>
      </w:r>
      <w:r>
        <w:t>:  выплачивается с 1 января 1996 года в рамках государственной социальной помощи в качестве выплаты для семей с детьми, помогающей покрыть расходы, связанные с воспитанием детей и обеспечением семьи питанием.  Семьи с доходом менее трехкратного семейного прожиточного минимума, имеют право на дотацию на детей.  Сумма дотации зависит от возраста ребенка и от суммы общего дохода семьи и рассчитывается с учетом прожиточного минимума, необходимого для обеспечения минимальных прожиточных нужд и других основных потребностей ребенка;</w:t>
      </w:r>
    </w:p>
    <w:p w:rsidR="00000000" w:rsidRDefault="00000000"/>
    <w:p w:rsidR="00000000" w:rsidRDefault="00000000">
      <w:r>
        <w:tab/>
        <w:t>b)</w:t>
      </w:r>
      <w:r>
        <w:tab/>
      </w:r>
      <w:r>
        <w:rPr>
          <w:u w:val="single"/>
        </w:rPr>
        <w:t>Пособие для родителей</w:t>
      </w:r>
      <w:r>
        <w:t>:  оно предназначено для покрытия расходов родителей (матери или отца), остающегося дома для того, чтобы лично воспитывать ребенка до достижения тем четырех лет, или семи лет в случае ребенка со стойкой инвалидностью.  Сумма дотации рассчитывается как 110% прожиточного минимума для родителя, ухаживающего за ребенком.  Родитель, получающий пособие, может работать в течение ограниченного времени, однако при этом не должен прерываться круглосуточный уход за ребенком;</w:t>
      </w:r>
    </w:p>
    <w:p w:rsidR="00000000" w:rsidRDefault="00000000"/>
    <w:p w:rsidR="00000000" w:rsidRDefault="00000000">
      <w:r>
        <w:tab/>
        <w:t>с)</w:t>
      </w:r>
      <w:r>
        <w:tab/>
      </w:r>
      <w:r>
        <w:rPr>
          <w:u w:val="single"/>
        </w:rPr>
        <w:t>Дополнительное социальное пособие</w:t>
      </w:r>
      <w:r>
        <w:t xml:space="preserve">:  это пособие выплачивается семьям с низкими доходами в целях покрытия части расходов, связанных с обеспечением потребностей их детей.  Право на пособие возникает в том случае, если родитель ухаживает за ребенком, а семейный доход не превышает 160% прожиточного минимума семьи.  </w:t>
      </w:r>
    </w:p>
    <w:p w:rsidR="00000000" w:rsidRDefault="00000000"/>
    <w:p w:rsidR="00000000" w:rsidRDefault="00000000">
      <w:pPr>
        <w:pStyle w:val="Heading2"/>
        <w:rPr>
          <w:b/>
          <w:bCs/>
          <w:u w:val="none"/>
        </w:rPr>
      </w:pPr>
      <w:r>
        <w:rPr>
          <w:b/>
          <w:bCs/>
          <w:u w:val="none"/>
        </w:rPr>
        <w:t>Социальная помощь</w:t>
      </w:r>
    </w:p>
    <w:p w:rsidR="00000000" w:rsidRDefault="00000000">
      <w:pPr>
        <w:pStyle w:val="Heading2"/>
      </w:pPr>
    </w:p>
    <w:p w:rsidR="00000000" w:rsidRDefault="00000000">
      <w:r>
        <w:t>348.</w:t>
      </w:r>
      <w:r>
        <w:tab/>
        <w:t>Социальная помощь нацелена на оказание помощи людям, находящимся в стесненном материальном положении или сталкивающимся с социальными трудностями.  В соответствии с законом о социально нуждающихся лицах</w:t>
      </w:r>
      <w:r>
        <w:rPr>
          <w:rStyle w:val="FootnoteReference"/>
        </w:rPr>
        <w:footnoteReference w:id="212"/>
      </w:r>
      <w:r>
        <w:t>, статья 1:  "Гражданин считается социально нуждающимся, если его доход не достигает сумм прожиточного минимума, установленного специальным законом</w:t>
      </w:r>
      <w:r>
        <w:rPr>
          <w:rStyle w:val="FootnoteReference"/>
        </w:rPr>
        <w:footnoteReference w:id="213"/>
      </w:r>
      <w:r>
        <w:t>, и он не может увеличить свой доходов в силу своего возраста, состояния здоровья или других серьезных обстоятельств, своими силами, прежде всего своим трудом".</w:t>
      </w:r>
    </w:p>
    <w:p w:rsidR="00000000" w:rsidRDefault="00000000"/>
    <w:p w:rsidR="00000000" w:rsidRDefault="00000000">
      <w:r>
        <w:t>349.</w:t>
      </w:r>
      <w:r>
        <w:tab/>
        <w:t>В соответствии с законом прожиточный минимум - это общественно признанный минимальный уровень доходов, ниже которого человек живет в материальной нужде.  Согласно пункту 2 статьи 2 о прожиточном минимуме:  "Граждане, которые имеют доход ниже прожиточного минимума и не могут самостоятельно, прежде всего своим трудом, увеличить такой доход в силу своего возраста, состояния здоровья и других серьезных причин, получают содействие;  метод и форма предоставления содействия, прочие условия и размер помощи устанавливаются специальными нормативными актами".  Прожиточный минимум - это критерий, главная функция которого заключается в оценке достаточности дохода для целей социальной защиты гражданина или семьи.  Содействие представляется в виде пособия по социальной помощи на основе закона о социально нуждающихся лицах;  оно дополняет недостаточный доход гражданина и его семьи, обычно в сумме прожиточного минимума.  Однако оно также может предоставляться свыше прожиточного минимума, если по результатам оценки социально- экономического положения данного домохозяйства признается, что оно имеет оправданно более высокие основные прожиточные потребности, связанные, например, с врачебной диетой, более высокими расходами на проживание и т.п.</w:t>
      </w:r>
    </w:p>
    <w:p w:rsidR="00000000" w:rsidRDefault="00000000"/>
    <w:p w:rsidR="00000000" w:rsidRDefault="00000000">
      <w:r>
        <w:t>350.</w:t>
      </w:r>
      <w:r>
        <w:tab/>
        <w:t>Прожиточный минимум гражданина или граждан, доход которых оценивается совместно</w:t>
      </w:r>
      <w:r>
        <w:rPr>
          <w:rStyle w:val="FootnoteReference"/>
        </w:rPr>
        <w:footnoteReference w:id="214"/>
      </w:r>
      <w:r>
        <w:t>, определяется как сумма всех доходов, установленных в законе о прожиточном минимуме</w:t>
      </w:r>
      <w:r>
        <w:rPr>
          <w:rStyle w:val="FootnoteReference"/>
        </w:rPr>
        <w:footnoteReference w:id="215"/>
      </w:r>
      <w:r>
        <w:t>, необходимых для удовлетворения потребностей в питании и других основных личных потребностей и для покрытия необходимых расходов домохозяйства.  Прожиточный минимум в Чешской Республике имеет две части.  Первая часть - основные личные потребности отдельных совместно оцениваемых лиц, живущих в домохозяйстве.  Личные потребности включают в себя главным образом продукты питания, одежду, обувь и другие промышленные товары краткосрочного потребления, услуги и личное развитие.  Суммы прожиточного минимума, определяемые для обеспечения личных потребностей, дифференцируются по возрасту в случае детей-иждивенцев, а также индивидуально для взрослых.  Вторая часть прожиточного минимума - необходимые средства для оплаты общих расходов домохозяйств (главным образом жилищно-коммунальных расходов), дифференцирующиеся в зависимости от числа лиц, живущих в домохозяйстве.  Общая сумма прожиточного минимума является суммой всех частей личных потребностей индивидуальных членов домохозяйства плюс часть совместных потребностей.</w:t>
      </w:r>
    </w:p>
    <w:p w:rsidR="00000000" w:rsidRDefault="00000000"/>
    <w:p w:rsidR="00000000" w:rsidRDefault="00000000">
      <w:r>
        <w:t>351.</w:t>
      </w:r>
      <w:r>
        <w:tab/>
        <w:t>Прожиточный минимум периодически корректируется нормативными актами правительства, когда совокупный индекс потребительских цен возрастает по меньшей мере на 5% по сравнению с предыдущим уровнем.  Последний раз правительство произвело корректировку своим постановлением, в котором сумма прожиточного минимума была увеличена с 1 апреля 1998 года</w:t>
      </w:r>
      <w:r>
        <w:rPr>
          <w:rStyle w:val="FootnoteReference"/>
        </w:rPr>
        <w:footnoteReference w:id="216"/>
      </w:r>
      <w:r>
        <w:t>.  После первого установления прожиточного минимума в 1991 году он корректировался семь раз.</w:t>
      </w:r>
    </w:p>
    <w:p w:rsidR="00000000" w:rsidRDefault="00000000"/>
    <w:p w:rsidR="00000000" w:rsidRDefault="00000000">
      <w:r>
        <w:br w:type="page"/>
        <w:t>352.</w:t>
      </w:r>
      <w:r>
        <w:tab/>
        <w:t>В Чешской Республике прожиточный минимум служит не только для оценки недостаточности доходов.  После принятия закона о социальной поддержке в 1996 году он используется в качестве официальной черты бедности, а также в качестве технического инструмента оценки общего уровня доходов (прежде всего семей с детьми), с помощью которого определяется наличие права на основные социальные пособия для домохозяйств и их сумма.  Пособия по социальной поддержке, связанные с прожиточным минимумом, устанавливаются из такого расчета, чтобы стимулировать трудовую деятельность, прежде всего для более крупных домохозяйств.  Расходы на государственную социальную поддержку в 1998 году составили 29,6 млрд. чешских крон (1,63% ВВП), что в 6,4 раза превышает расходы на социальную помощь - третью опору социального обеспечения (4,65 млрд. чешских крон, или 0,25% ВВП), - предназначенную непосредственно для защиты от материальной нужды (что составляло непосредственную цель введения концепции прожиточного минимума в качестве компонента системы социальной защиты).</w:t>
      </w:r>
    </w:p>
    <w:p w:rsidR="00000000" w:rsidRDefault="00000000"/>
    <w:p w:rsidR="00000000" w:rsidRDefault="00000000">
      <w:pPr>
        <w:pStyle w:val="10"/>
        <w:tabs>
          <w:tab w:val="left" w:pos="567"/>
          <w:tab w:val="left" w:pos="1134"/>
          <w:tab w:val="left" w:pos="1701"/>
          <w:tab w:val="left" w:pos="2268"/>
          <w:tab w:val="left" w:pos="6237"/>
        </w:tabs>
        <w:rPr>
          <w:bCs/>
        </w:rPr>
      </w:pPr>
      <w:r>
        <w:rPr>
          <w:bCs/>
        </w:rPr>
        <w:t>Отношение семейного прожиточного минимума к средней зарплате</w:t>
      </w:r>
    </w:p>
    <w:p w:rsidR="00000000" w:rsidRDefault="00000000">
      <w:pPr>
        <w:pStyle w:val="10"/>
        <w:tabs>
          <w:tab w:val="left" w:pos="567"/>
          <w:tab w:val="left" w:pos="1134"/>
          <w:tab w:val="left" w:pos="1701"/>
          <w:tab w:val="left" w:pos="2268"/>
          <w:tab w:val="left" w:pos="6237"/>
        </w:tabs>
        <w:rPr>
          <w:bCs/>
        </w:rPr>
      </w:pPr>
      <w:r>
        <w:rPr>
          <w:bCs/>
        </w:rPr>
        <w:t>(по валовой номинальной сумме)</w:t>
      </w:r>
    </w:p>
    <w:p w:rsidR="00000000" w:rsidRDefault="00000000"/>
    <w:tbl>
      <w:tblPr>
        <w:tblW w:w="9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2"/>
        <w:gridCol w:w="1265"/>
        <w:gridCol w:w="1142"/>
        <w:gridCol w:w="1388"/>
        <w:gridCol w:w="1266"/>
      </w:tblGrid>
      <w:tr w:rsidR="00000000">
        <w:tblPrEx>
          <w:tblCellMar>
            <w:top w:w="0" w:type="dxa"/>
            <w:bottom w:w="0" w:type="dxa"/>
          </w:tblCellMar>
        </w:tblPrEx>
        <w:trPr>
          <w:cantSplit/>
        </w:trPr>
        <w:tc>
          <w:tcPr>
            <w:tcW w:w="4222" w:type="dxa"/>
          </w:tcPr>
          <w:p w:rsidR="00000000" w:rsidRDefault="00000000"/>
        </w:tc>
        <w:tc>
          <w:tcPr>
            <w:tcW w:w="2407" w:type="dxa"/>
            <w:gridSpan w:val="2"/>
          </w:tcPr>
          <w:p w:rsidR="00000000" w:rsidRDefault="00000000">
            <w:pPr>
              <w:pStyle w:val="16"/>
              <w:spacing w:line="216" w:lineRule="auto"/>
            </w:pPr>
            <w:r>
              <w:t>Прожиточный минимум (в чешских кронах)</w:t>
            </w:r>
          </w:p>
        </w:tc>
        <w:tc>
          <w:tcPr>
            <w:tcW w:w="2654" w:type="dxa"/>
            <w:gridSpan w:val="2"/>
          </w:tcPr>
          <w:p w:rsidR="00000000" w:rsidRDefault="00000000">
            <w:pPr>
              <w:spacing w:line="216" w:lineRule="auto"/>
              <w:jc w:val="center"/>
            </w:pPr>
            <w:r>
              <w:t>Отношение прожиточного минимума к заработной плате (в %)</w:t>
            </w:r>
          </w:p>
        </w:tc>
      </w:tr>
      <w:tr w:rsidR="00000000">
        <w:tblPrEx>
          <w:tblCellMar>
            <w:top w:w="0" w:type="dxa"/>
            <w:bottom w:w="0" w:type="dxa"/>
          </w:tblCellMar>
        </w:tblPrEx>
        <w:tc>
          <w:tcPr>
            <w:tcW w:w="4222" w:type="dxa"/>
          </w:tcPr>
          <w:p w:rsidR="00000000" w:rsidRDefault="00000000"/>
        </w:tc>
        <w:tc>
          <w:tcPr>
            <w:tcW w:w="1265" w:type="dxa"/>
          </w:tcPr>
          <w:p w:rsidR="00000000" w:rsidRDefault="00000000">
            <w:pPr>
              <w:tabs>
                <w:tab w:val="clear" w:pos="1134"/>
                <w:tab w:val="left" w:pos="827"/>
              </w:tabs>
              <w:jc w:val="center"/>
            </w:pPr>
            <w:r>
              <w:t>1997</w:t>
            </w:r>
          </w:p>
        </w:tc>
        <w:tc>
          <w:tcPr>
            <w:tcW w:w="1142" w:type="dxa"/>
          </w:tcPr>
          <w:p w:rsidR="00000000" w:rsidRDefault="00000000">
            <w:pPr>
              <w:tabs>
                <w:tab w:val="clear" w:pos="1134"/>
                <w:tab w:val="left" w:pos="827"/>
              </w:tabs>
              <w:jc w:val="center"/>
            </w:pPr>
            <w:r>
              <w:t>1998</w:t>
            </w:r>
          </w:p>
        </w:tc>
        <w:tc>
          <w:tcPr>
            <w:tcW w:w="1388" w:type="dxa"/>
          </w:tcPr>
          <w:p w:rsidR="00000000" w:rsidRDefault="00000000">
            <w:pPr>
              <w:tabs>
                <w:tab w:val="clear" w:pos="1134"/>
                <w:tab w:val="left" w:pos="827"/>
              </w:tabs>
              <w:jc w:val="center"/>
            </w:pPr>
            <w:r>
              <w:t>1997</w:t>
            </w:r>
          </w:p>
        </w:tc>
        <w:tc>
          <w:tcPr>
            <w:tcW w:w="1266" w:type="dxa"/>
          </w:tcPr>
          <w:p w:rsidR="00000000" w:rsidRDefault="00000000">
            <w:pPr>
              <w:tabs>
                <w:tab w:val="clear" w:pos="1134"/>
                <w:tab w:val="left" w:pos="827"/>
              </w:tabs>
              <w:jc w:val="center"/>
            </w:pPr>
            <w:r>
              <w:t>1998</w:t>
            </w:r>
          </w:p>
        </w:tc>
      </w:tr>
      <w:tr w:rsidR="00000000">
        <w:tblPrEx>
          <w:tblCellMar>
            <w:top w:w="0" w:type="dxa"/>
            <w:bottom w:w="0" w:type="dxa"/>
          </w:tblCellMar>
        </w:tblPrEx>
        <w:tc>
          <w:tcPr>
            <w:tcW w:w="4222" w:type="dxa"/>
          </w:tcPr>
          <w:p w:rsidR="00000000" w:rsidRDefault="00000000">
            <w:pPr>
              <w:rPr>
                <w:sz w:val="22"/>
              </w:rPr>
            </w:pPr>
            <w:r>
              <w:rPr>
                <w:sz w:val="22"/>
              </w:rPr>
              <w:t>1 взрослый</w:t>
            </w:r>
          </w:p>
        </w:tc>
        <w:tc>
          <w:tcPr>
            <w:tcW w:w="1265" w:type="dxa"/>
          </w:tcPr>
          <w:p w:rsidR="00000000" w:rsidRDefault="00000000">
            <w:pPr>
              <w:tabs>
                <w:tab w:val="clear" w:pos="1134"/>
              </w:tabs>
              <w:ind w:right="222"/>
              <w:jc w:val="right"/>
            </w:pPr>
            <w:r>
              <w:rPr>
                <w:lang w:val="en-US"/>
              </w:rPr>
              <w:t>2 965</w:t>
            </w:r>
          </w:p>
        </w:tc>
        <w:tc>
          <w:tcPr>
            <w:tcW w:w="1142" w:type="dxa"/>
          </w:tcPr>
          <w:p w:rsidR="00000000" w:rsidRDefault="00000000">
            <w:pPr>
              <w:tabs>
                <w:tab w:val="clear" w:pos="1134"/>
              </w:tabs>
              <w:ind w:right="178"/>
              <w:jc w:val="right"/>
              <w:rPr>
                <w:lang w:val="en-US"/>
              </w:rPr>
            </w:pPr>
            <w:r>
              <w:t xml:space="preserve">3 </w:t>
            </w:r>
            <w:r>
              <w:rPr>
                <w:lang w:val="en-US"/>
              </w:rPr>
              <w:t>333</w:t>
            </w:r>
          </w:p>
        </w:tc>
        <w:tc>
          <w:tcPr>
            <w:tcW w:w="1388" w:type="dxa"/>
          </w:tcPr>
          <w:p w:rsidR="00000000" w:rsidRDefault="00000000">
            <w:pPr>
              <w:tabs>
                <w:tab w:val="clear" w:pos="1134"/>
              </w:tabs>
              <w:ind w:right="229"/>
              <w:jc w:val="right"/>
              <w:rPr>
                <w:lang w:val="en-US"/>
              </w:rPr>
            </w:pPr>
            <w:r>
              <w:rPr>
                <w:lang w:val="en-US"/>
              </w:rPr>
              <w:t>2</w:t>
            </w:r>
            <w:r>
              <w:t>7</w:t>
            </w:r>
            <w:r>
              <w:rPr>
                <w:lang w:val="en-US"/>
              </w:rPr>
              <w:t>,7</w:t>
            </w:r>
          </w:p>
        </w:tc>
        <w:tc>
          <w:tcPr>
            <w:tcW w:w="1266" w:type="dxa"/>
          </w:tcPr>
          <w:p w:rsidR="00000000" w:rsidRDefault="00000000">
            <w:pPr>
              <w:tabs>
                <w:tab w:val="clear" w:pos="567"/>
                <w:tab w:val="clear" w:pos="1134"/>
              </w:tabs>
              <w:ind w:right="230"/>
              <w:jc w:val="right"/>
              <w:rPr>
                <w:lang w:val="en-US"/>
              </w:rPr>
            </w:pPr>
            <w:r>
              <w:rPr>
                <w:lang w:val="en-US"/>
              </w:rPr>
              <w:t>28,5</w:t>
            </w:r>
          </w:p>
        </w:tc>
      </w:tr>
      <w:tr w:rsidR="00000000">
        <w:tblPrEx>
          <w:tblCellMar>
            <w:top w:w="0" w:type="dxa"/>
            <w:bottom w:w="0" w:type="dxa"/>
          </w:tblCellMar>
        </w:tblPrEx>
        <w:tc>
          <w:tcPr>
            <w:tcW w:w="4222" w:type="dxa"/>
          </w:tcPr>
          <w:p w:rsidR="00000000" w:rsidRDefault="00000000">
            <w:pPr>
              <w:rPr>
                <w:sz w:val="22"/>
              </w:rPr>
            </w:pPr>
            <w:r>
              <w:rPr>
                <w:sz w:val="22"/>
              </w:rPr>
              <w:t>2 взрослых</w:t>
            </w:r>
          </w:p>
        </w:tc>
        <w:tc>
          <w:tcPr>
            <w:tcW w:w="1265" w:type="dxa"/>
          </w:tcPr>
          <w:p w:rsidR="00000000" w:rsidRDefault="00000000">
            <w:pPr>
              <w:tabs>
                <w:tab w:val="clear" w:pos="1134"/>
              </w:tabs>
              <w:ind w:right="222"/>
              <w:jc w:val="right"/>
            </w:pPr>
            <w:r>
              <w:t>5 240</w:t>
            </w:r>
          </w:p>
        </w:tc>
        <w:tc>
          <w:tcPr>
            <w:tcW w:w="1142" w:type="dxa"/>
          </w:tcPr>
          <w:p w:rsidR="00000000" w:rsidRDefault="00000000">
            <w:pPr>
              <w:tabs>
                <w:tab w:val="clear" w:pos="1134"/>
              </w:tabs>
              <w:ind w:right="178"/>
              <w:jc w:val="right"/>
            </w:pPr>
            <w:r>
              <w:t>5 813</w:t>
            </w:r>
          </w:p>
        </w:tc>
        <w:tc>
          <w:tcPr>
            <w:tcW w:w="1388" w:type="dxa"/>
          </w:tcPr>
          <w:p w:rsidR="00000000" w:rsidRDefault="00000000">
            <w:pPr>
              <w:tabs>
                <w:tab w:val="clear" w:pos="1134"/>
              </w:tabs>
              <w:ind w:right="229"/>
              <w:jc w:val="right"/>
            </w:pPr>
            <w:r>
              <w:t>49,0</w:t>
            </w:r>
          </w:p>
        </w:tc>
        <w:tc>
          <w:tcPr>
            <w:tcW w:w="1266" w:type="dxa"/>
          </w:tcPr>
          <w:p w:rsidR="00000000" w:rsidRDefault="00000000">
            <w:pPr>
              <w:tabs>
                <w:tab w:val="clear" w:pos="567"/>
                <w:tab w:val="clear" w:pos="1134"/>
              </w:tabs>
              <w:ind w:right="230"/>
              <w:jc w:val="right"/>
            </w:pPr>
            <w:r>
              <w:t>49,7</w:t>
            </w:r>
          </w:p>
        </w:tc>
      </w:tr>
      <w:tr w:rsidR="00000000">
        <w:tblPrEx>
          <w:tblCellMar>
            <w:top w:w="0" w:type="dxa"/>
            <w:bottom w:w="0" w:type="dxa"/>
          </w:tblCellMar>
        </w:tblPrEx>
        <w:tc>
          <w:tcPr>
            <w:tcW w:w="4222" w:type="dxa"/>
          </w:tcPr>
          <w:p w:rsidR="00000000" w:rsidRDefault="00000000">
            <w:pPr>
              <w:rPr>
                <w:sz w:val="22"/>
              </w:rPr>
            </w:pPr>
            <w:r>
              <w:rPr>
                <w:sz w:val="22"/>
              </w:rPr>
              <w:t>1 взрослый и 1 ребенок (в возрасте 5 лет)</w:t>
            </w:r>
          </w:p>
        </w:tc>
        <w:tc>
          <w:tcPr>
            <w:tcW w:w="1265" w:type="dxa"/>
          </w:tcPr>
          <w:p w:rsidR="00000000" w:rsidRDefault="00000000">
            <w:pPr>
              <w:tabs>
                <w:tab w:val="clear" w:pos="1134"/>
              </w:tabs>
              <w:ind w:right="222"/>
              <w:jc w:val="right"/>
            </w:pPr>
            <w:r>
              <w:t>4 715</w:t>
            </w:r>
          </w:p>
        </w:tc>
        <w:tc>
          <w:tcPr>
            <w:tcW w:w="1142" w:type="dxa"/>
          </w:tcPr>
          <w:p w:rsidR="00000000" w:rsidRDefault="00000000">
            <w:pPr>
              <w:tabs>
                <w:tab w:val="clear" w:pos="1134"/>
              </w:tabs>
              <w:ind w:right="178"/>
              <w:jc w:val="right"/>
            </w:pPr>
            <w:r>
              <w:t>5 250</w:t>
            </w:r>
          </w:p>
        </w:tc>
        <w:tc>
          <w:tcPr>
            <w:tcW w:w="1388" w:type="dxa"/>
          </w:tcPr>
          <w:p w:rsidR="00000000" w:rsidRDefault="00000000">
            <w:pPr>
              <w:tabs>
                <w:tab w:val="clear" w:pos="1134"/>
              </w:tabs>
              <w:ind w:right="229"/>
              <w:jc w:val="right"/>
            </w:pPr>
            <w:r>
              <w:t>44,1</w:t>
            </w:r>
          </w:p>
        </w:tc>
        <w:tc>
          <w:tcPr>
            <w:tcW w:w="1266" w:type="dxa"/>
          </w:tcPr>
          <w:p w:rsidR="00000000" w:rsidRDefault="00000000">
            <w:pPr>
              <w:tabs>
                <w:tab w:val="clear" w:pos="567"/>
                <w:tab w:val="clear" w:pos="1134"/>
              </w:tabs>
              <w:ind w:right="230"/>
              <w:jc w:val="right"/>
            </w:pPr>
            <w:r>
              <w:t>44,9</w:t>
            </w:r>
          </w:p>
        </w:tc>
      </w:tr>
      <w:tr w:rsidR="00000000">
        <w:tblPrEx>
          <w:tblCellMar>
            <w:top w:w="0" w:type="dxa"/>
            <w:bottom w:w="0" w:type="dxa"/>
          </w:tblCellMar>
        </w:tblPrEx>
        <w:tc>
          <w:tcPr>
            <w:tcW w:w="4222" w:type="dxa"/>
          </w:tcPr>
          <w:p w:rsidR="00000000" w:rsidRDefault="00000000">
            <w:pPr>
              <w:rPr>
                <w:sz w:val="22"/>
              </w:rPr>
            </w:pPr>
            <w:r>
              <w:rPr>
                <w:sz w:val="22"/>
              </w:rPr>
              <w:t>2 взрослых и 1 ребенок (в возрасте 5 лет)</w:t>
            </w:r>
          </w:p>
        </w:tc>
        <w:tc>
          <w:tcPr>
            <w:tcW w:w="1265" w:type="dxa"/>
          </w:tcPr>
          <w:p w:rsidR="00000000" w:rsidRDefault="00000000">
            <w:pPr>
              <w:tabs>
                <w:tab w:val="clear" w:pos="1134"/>
              </w:tabs>
              <w:ind w:right="222"/>
              <w:jc w:val="right"/>
            </w:pPr>
            <w:r>
              <w:t>6 995</w:t>
            </w:r>
          </w:p>
        </w:tc>
        <w:tc>
          <w:tcPr>
            <w:tcW w:w="1142" w:type="dxa"/>
          </w:tcPr>
          <w:p w:rsidR="00000000" w:rsidRDefault="00000000">
            <w:pPr>
              <w:tabs>
                <w:tab w:val="clear" w:pos="1134"/>
              </w:tabs>
              <w:ind w:right="178"/>
              <w:jc w:val="right"/>
            </w:pPr>
            <w:r>
              <w:t>7 740</w:t>
            </w:r>
          </w:p>
        </w:tc>
        <w:tc>
          <w:tcPr>
            <w:tcW w:w="1388" w:type="dxa"/>
          </w:tcPr>
          <w:p w:rsidR="00000000" w:rsidRDefault="00000000">
            <w:pPr>
              <w:tabs>
                <w:tab w:val="clear" w:pos="1134"/>
              </w:tabs>
              <w:ind w:right="229"/>
              <w:jc w:val="right"/>
            </w:pPr>
            <w:r>
              <w:t>65,4</w:t>
            </w:r>
          </w:p>
        </w:tc>
        <w:tc>
          <w:tcPr>
            <w:tcW w:w="1266" w:type="dxa"/>
          </w:tcPr>
          <w:p w:rsidR="00000000" w:rsidRDefault="00000000">
            <w:pPr>
              <w:tabs>
                <w:tab w:val="clear" w:pos="567"/>
                <w:tab w:val="clear" w:pos="1134"/>
              </w:tabs>
              <w:ind w:right="230"/>
              <w:jc w:val="right"/>
            </w:pPr>
            <w:r>
              <w:t>66,2</w:t>
            </w:r>
          </w:p>
        </w:tc>
      </w:tr>
      <w:tr w:rsidR="00000000">
        <w:tblPrEx>
          <w:tblCellMar>
            <w:top w:w="0" w:type="dxa"/>
            <w:bottom w:w="0" w:type="dxa"/>
          </w:tblCellMar>
        </w:tblPrEx>
        <w:tc>
          <w:tcPr>
            <w:tcW w:w="4222" w:type="dxa"/>
          </w:tcPr>
          <w:p w:rsidR="00000000" w:rsidRDefault="00000000">
            <w:pPr>
              <w:rPr>
                <w:sz w:val="22"/>
              </w:rPr>
            </w:pPr>
            <w:r>
              <w:rPr>
                <w:sz w:val="22"/>
              </w:rPr>
              <w:t>2 взрослых и 2 детей (в возрасте 8 и</w:t>
            </w:r>
            <w:r>
              <w:rPr>
                <w:sz w:val="22"/>
                <w:lang w:val="en-US"/>
              </w:rPr>
              <w:t> </w:t>
            </w:r>
            <w:r>
              <w:rPr>
                <w:sz w:val="22"/>
              </w:rPr>
              <w:t>12</w:t>
            </w:r>
            <w:r>
              <w:rPr>
                <w:sz w:val="22"/>
                <w:lang w:val="en-US"/>
              </w:rPr>
              <w:t> </w:t>
            </w:r>
            <w:r>
              <w:rPr>
                <w:sz w:val="22"/>
              </w:rPr>
              <w:t>лет)</w:t>
            </w:r>
          </w:p>
        </w:tc>
        <w:tc>
          <w:tcPr>
            <w:tcW w:w="1265" w:type="dxa"/>
          </w:tcPr>
          <w:p w:rsidR="00000000" w:rsidRDefault="00000000">
            <w:pPr>
              <w:tabs>
                <w:tab w:val="clear" w:pos="1134"/>
              </w:tabs>
              <w:ind w:right="222"/>
              <w:jc w:val="right"/>
            </w:pPr>
            <w:r>
              <w:t>9 045</w:t>
            </w:r>
          </w:p>
        </w:tc>
        <w:tc>
          <w:tcPr>
            <w:tcW w:w="1142" w:type="dxa"/>
          </w:tcPr>
          <w:p w:rsidR="00000000" w:rsidRDefault="00000000">
            <w:pPr>
              <w:tabs>
                <w:tab w:val="clear" w:pos="1134"/>
              </w:tabs>
              <w:ind w:right="178"/>
              <w:jc w:val="right"/>
            </w:pPr>
            <w:r>
              <w:t>9 930</w:t>
            </w:r>
          </w:p>
        </w:tc>
        <w:tc>
          <w:tcPr>
            <w:tcW w:w="1388" w:type="dxa"/>
          </w:tcPr>
          <w:p w:rsidR="00000000" w:rsidRDefault="00000000">
            <w:pPr>
              <w:tabs>
                <w:tab w:val="clear" w:pos="1134"/>
              </w:tabs>
              <w:ind w:right="229"/>
              <w:jc w:val="right"/>
            </w:pPr>
            <w:r>
              <w:t>84,6</w:t>
            </w:r>
          </w:p>
        </w:tc>
        <w:tc>
          <w:tcPr>
            <w:tcW w:w="1266" w:type="dxa"/>
          </w:tcPr>
          <w:p w:rsidR="00000000" w:rsidRDefault="00000000">
            <w:pPr>
              <w:tabs>
                <w:tab w:val="clear" w:pos="567"/>
                <w:tab w:val="clear" w:pos="1134"/>
              </w:tabs>
              <w:ind w:right="230"/>
              <w:jc w:val="right"/>
            </w:pPr>
            <w:r>
              <w:t>84,9</w:t>
            </w:r>
          </w:p>
        </w:tc>
      </w:tr>
      <w:tr w:rsidR="00000000">
        <w:tblPrEx>
          <w:tblCellMar>
            <w:top w:w="0" w:type="dxa"/>
            <w:bottom w:w="0" w:type="dxa"/>
          </w:tblCellMar>
        </w:tblPrEx>
        <w:tc>
          <w:tcPr>
            <w:tcW w:w="4222" w:type="dxa"/>
          </w:tcPr>
          <w:p w:rsidR="00000000" w:rsidRDefault="00000000">
            <w:pPr>
              <w:rPr>
                <w:sz w:val="22"/>
              </w:rPr>
            </w:pPr>
            <w:r>
              <w:rPr>
                <w:sz w:val="22"/>
              </w:rPr>
              <w:t xml:space="preserve">2 взрослых и 3 детей (в возрасте 5, 8 </w:t>
            </w:r>
          </w:p>
          <w:p w:rsidR="00000000" w:rsidRDefault="00000000">
            <w:pPr>
              <w:rPr>
                <w:sz w:val="22"/>
              </w:rPr>
            </w:pPr>
            <w:r>
              <w:rPr>
                <w:sz w:val="22"/>
              </w:rPr>
              <w:t>и 12 лет)</w:t>
            </w:r>
          </w:p>
        </w:tc>
        <w:tc>
          <w:tcPr>
            <w:tcW w:w="1265" w:type="dxa"/>
          </w:tcPr>
          <w:p w:rsidR="00000000" w:rsidRDefault="00000000">
            <w:pPr>
              <w:tabs>
                <w:tab w:val="clear" w:pos="1134"/>
              </w:tabs>
              <w:ind w:right="222"/>
              <w:jc w:val="right"/>
            </w:pPr>
            <w:r>
              <w:t>10 695</w:t>
            </w:r>
          </w:p>
        </w:tc>
        <w:tc>
          <w:tcPr>
            <w:tcW w:w="1142" w:type="dxa"/>
          </w:tcPr>
          <w:p w:rsidR="00000000" w:rsidRDefault="00000000">
            <w:pPr>
              <w:tabs>
                <w:tab w:val="clear" w:pos="1134"/>
              </w:tabs>
              <w:ind w:right="178"/>
              <w:jc w:val="right"/>
            </w:pPr>
            <w:r>
              <w:t>11 718</w:t>
            </w:r>
          </w:p>
        </w:tc>
        <w:tc>
          <w:tcPr>
            <w:tcW w:w="1388" w:type="dxa"/>
          </w:tcPr>
          <w:p w:rsidR="00000000" w:rsidRDefault="00000000">
            <w:pPr>
              <w:tabs>
                <w:tab w:val="clear" w:pos="1134"/>
              </w:tabs>
              <w:ind w:right="229"/>
              <w:jc w:val="right"/>
            </w:pPr>
            <w:r>
              <w:t>100,0</w:t>
            </w:r>
          </w:p>
        </w:tc>
        <w:tc>
          <w:tcPr>
            <w:tcW w:w="1266" w:type="dxa"/>
          </w:tcPr>
          <w:p w:rsidR="00000000" w:rsidRDefault="00000000">
            <w:pPr>
              <w:tabs>
                <w:tab w:val="clear" w:pos="567"/>
                <w:tab w:val="clear" w:pos="1134"/>
              </w:tabs>
              <w:ind w:right="230"/>
              <w:jc w:val="right"/>
            </w:pPr>
            <w:r>
              <w:t>100,2</w:t>
            </w:r>
          </w:p>
        </w:tc>
      </w:tr>
    </w:tbl>
    <w:p w:rsidR="00000000" w:rsidRDefault="00000000">
      <w:pPr>
        <w:pStyle w:val="FootnoteText"/>
        <w:spacing w:line="288" w:lineRule="auto"/>
      </w:pPr>
    </w:p>
    <w:p w:rsidR="00000000" w:rsidRDefault="00000000">
      <w:pPr>
        <w:pStyle w:val="FootnoteText"/>
      </w:pPr>
      <w:r>
        <w:tab/>
      </w:r>
      <w:r>
        <w:rPr>
          <w:u w:val="single"/>
        </w:rPr>
        <w:t>Примечание</w:t>
      </w:r>
      <w:r>
        <w:t xml:space="preserve">:  Средняя валовая номинальная заработная плата в 1997 году составляла 10 691 чешскую крону, а в 1998 году - 11 693 чешских кроны.  В расчетах среднего прожиточного минимума учитывается корректировка его компонентов, произведенная в течение года.  </w:t>
      </w:r>
    </w:p>
    <w:p w:rsidR="00000000" w:rsidRDefault="00000000">
      <w:pPr>
        <w:pStyle w:val="FootnoteText"/>
        <w:spacing w:line="288" w:lineRule="auto"/>
      </w:pPr>
    </w:p>
    <w:p w:rsidR="00000000" w:rsidRDefault="00000000">
      <w:pPr>
        <w:pStyle w:val="FootnoteText"/>
        <w:spacing w:line="288" w:lineRule="auto"/>
      </w:pPr>
      <w:r>
        <w:t>353.</w:t>
      </w:r>
      <w:r>
        <w:tab/>
        <w:t xml:space="preserve">Оценка масштабов нищеты, определяемая по распределению доходов домохозяйств, проведенная по методике ОЭСР, показывает, что в Чешской Республике масштабы нищеты сравнительно невелики.  Доля бедных домохозяйств с доходом до 50% медианного дохода, рассчитанного по микропереписи 1999 года, составила только 3,61%.  </w:t>
      </w:r>
    </w:p>
    <w:p w:rsidR="00000000" w:rsidRDefault="00000000">
      <w:pPr>
        <w:pStyle w:val="FootnoteText"/>
        <w:spacing w:line="288" w:lineRule="auto"/>
      </w:pPr>
      <w:r>
        <w:br w:type="page"/>
        <w:t xml:space="preserve">Важную роль в этой связи играют системы пенсионного обеспечения и государственной социальной поддержки, благодаря которым фактические доходы большинства пенсионеров и семей с детьми превышают уровень, обычно признаваемый в Европе.  </w:t>
      </w:r>
    </w:p>
    <w:p w:rsidR="00000000" w:rsidRDefault="00000000">
      <w:pPr>
        <w:pStyle w:val="FootnoteText"/>
        <w:spacing w:line="288" w:lineRule="auto"/>
      </w:pPr>
    </w:p>
    <w:p w:rsidR="00000000" w:rsidRDefault="00000000">
      <w:pPr>
        <w:pStyle w:val="FootnoteText"/>
        <w:spacing w:line="288" w:lineRule="auto"/>
      </w:pPr>
      <w:r>
        <w:t>354.</w:t>
      </w:r>
      <w:r>
        <w:tab/>
        <w:t>В 1996 году в Чешской Республике 2,1% домохозяйств имели доходы до 40% среднего дохода, 5,4% домохозяйств - до 50% и 11,6% домохозяйств - до 60% среднего дохода.  По отношению к прожиточному минимуму в том же году 2,1% домохозяйств имели доходы ниже прожиточного минимума и 18% домохозяйств имели доходы ниже 160% прожиточного минимума.  В общей сложности 70,6% домохозяйств имели доходы, равные трехкратному прожиточному минимуму, и лишь 29,4% домохозяйств имели доходы, превышавшие трехкратный прожиточный минимум.  Типичные характерные черты бедных домохозяйств - большое число неработающих членов, а также то, что глава домохозяйства имеет лишь начальное образование или ремесленную специальность.</w:t>
      </w:r>
    </w:p>
    <w:p w:rsidR="00000000" w:rsidRDefault="00000000"/>
    <w:p w:rsidR="00000000" w:rsidRDefault="00000000">
      <w:r>
        <w:t>355.</w:t>
      </w:r>
      <w:r>
        <w:tab/>
        <w:t>Цель пособия по социальной помощи заключается главным образом в преодолении трудной жизненной ситуации.  Это может быть тяжелая инвалидность, долгосрочная безработица члена семьи или заметное снижение уровня жизни, стихийные бедствия и другие обстоятельства.  Согласно статье 4 закона о социально нуждающихся лицах:  "Гражданин, который признается социально нуждающимся, в соответствии с настоящим Законом получает однократное или ежемесячное денежное или предоставляемое в натурально-вещественной форме пособие для удовлетворения потребностей в продуктах питания и других основных прожиточных потребностей" либо оплаты расходов, выросших в результате непредвиденной ситуации.  "Учитывается то обстоятельство, осуществил ли гражданин для целей удовлетворения своих прожиточных потребностей (прожиточных потребностей детей-иждивенцев) свое право на пособие по болезни (уходу) или пенсионное пособие либо пособие по государственной социальной поддержке, за исключением пособий, предоставленных на единовременной основе, равно как и пособий на питание либо дотаций на питание в соответствии с Законом о семье".</w:t>
      </w:r>
    </w:p>
    <w:p w:rsidR="00000000" w:rsidRDefault="00000000"/>
    <w:p w:rsidR="00000000" w:rsidRDefault="00000000">
      <w:r>
        <w:t>356.</w:t>
      </w:r>
      <w:r>
        <w:tab/>
        <w:t xml:space="preserve">Гражданин, доход которого оценивается совместно с другими лицами (например, в рамках домохозяйства) получает единовременное или ежемесячное пособие, дополняющее доход всех совместно оцениваемых лиц.  Основные пособия в соответствии с законом о социальной помощи являются следующими:  </w:t>
      </w:r>
    </w:p>
    <w:p w:rsidR="00000000" w:rsidRDefault="00000000"/>
    <w:p w:rsidR="00000000" w:rsidRDefault="00000000">
      <w:r>
        <w:tab/>
        <w:t>а)</w:t>
      </w:r>
      <w:r>
        <w:tab/>
        <w:t>пособие на содержание ребенка (статья 5 закона о социальной помощи - ежемесячное пособие в сумме максимум прожиточного минимума, выплачиваемое, в частности, в тех случаях, когда обязанное лицо не выполняет обязанностей по выплате алиментов на содержание ребенка, так называемое авансирование алиментов);</w:t>
      </w:r>
    </w:p>
    <w:p w:rsidR="00000000" w:rsidRDefault="00000000"/>
    <w:p w:rsidR="00000000" w:rsidRDefault="00000000">
      <w:r>
        <w:tab/>
      </w:r>
      <w:r>
        <w:rPr>
          <w:lang w:val="en-US"/>
        </w:rPr>
        <w:t>b</w:t>
      </w:r>
      <w:r>
        <w:t>)</w:t>
      </w:r>
      <w:r>
        <w:tab/>
        <w:t>пособия по социальной помощи, предоставляемые  в исключительных случаях (пункт а) статьи 8 указанного закона);</w:t>
      </w:r>
    </w:p>
    <w:p w:rsidR="00000000" w:rsidRDefault="00000000"/>
    <w:p w:rsidR="00000000" w:rsidRDefault="00000000">
      <w:r>
        <w:tab/>
        <w:t>с)</w:t>
      </w:r>
      <w:r>
        <w:tab/>
        <w:t>прочие денежные выплаты, предназначенные в первую очередь для инвалидов</w:t>
      </w:r>
      <w:r>
        <w:rPr>
          <w:rStyle w:val="FootnoteReference"/>
        </w:rPr>
        <w:footnoteReference w:id="217"/>
      </w:r>
      <w:r>
        <w:t>.</w:t>
      </w:r>
    </w:p>
    <w:p w:rsidR="00000000" w:rsidRDefault="00000000"/>
    <w:p w:rsidR="00000000" w:rsidRDefault="00000000">
      <w:r>
        <w:t>357.</w:t>
      </w:r>
      <w:r>
        <w:tab/>
        <w:t>В соответствии со статьей 73 закона о социальном обеспечении в рамках социальной помощи предоставляются следующие выплаты и льготы:  денежные пособия, пособия в материально-вещественной форме, образовательная и консультативная помощь, социальная юридическая защита, трудовая реабилитация, социальная помощь в специальных учреждениях, помощь в других учреждениях социальной помощи, обслуживание на дому, обеспечение питанием, культурная помощь и помощь в проведении досуга, особые льготы для некоторых групп граждан с тяжелой инвалидностью и беспроцентные ссуды.  Юридического права на льготы по социальной помощи не предусмотрено.  Выплаты и льготы обычно назначаются после изучения социальной нуждаемости заявителя или его семьи (социальная нуждаемость определяется для целей оплаты за обслуживание на дому).</w:t>
      </w:r>
    </w:p>
    <w:p w:rsidR="00000000" w:rsidRDefault="00000000"/>
    <w:p w:rsidR="00000000" w:rsidRDefault="00000000">
      <w:r>
        <w:t>358.</w:t>
      </w:r>
      <w:r>
        <w:tab/>
        <w:t xml:space="preserve">Помимо государства, социальные услуги могут предоставлять общественные организации и граждане.  Государство может возмещать им часть расходов на оказание таких услуг. </w:t>
      </w:r>
    </w:p>
    <w:p w:rsidR="00000000" w:rsidRDefault="00000000"/>
    <w:p w:rsidR="00000000" w:rsidRDefault="00000000">
      <w:r>
        <w:t>359.</w:t>
      </w:r>
      <w:r>
        <w:tab/>
        <w:t>Пособия по социальному попечению, предназначенные для покрытия однократных чрезвычайных расходов, предоставляют по выбору получателя пособия либо в виде единовременного денежного пособия, либо в виде пособия, предоставляемого в материально-вещественной форме.  Единовременные пособия могут предоставляться в сумме до  15 000 чешских крон.  Пособия, предоставляемые в материально-вещественной форме, могут предоставляться в сумме до 8 000 чешских крон, а в исключительных случаях - до 15 000 чешских крон.  Кроме того, предоставляются следующие пособия:  пособие для приобретения основных предметов для ребенка, пособие, выплачиваемое при вступлении в брак ребенка, жившего в приемной семье, денежная субсидия в счет возмещения расходов на использование квартиры осиротевшего ребенка-иждивенца и субсидия на цели отдыха детей пенсионера.  Семьи с детьми могут также получать беспроцентные ссуды.  Однако они не имеют автоматического права на получение беспроцентной ссуды:  такая ссуда предоставляется районным бюро в зависимости от финансовых возможностей и от того, сможет ли семья возвратить ссуду.</w:t>
      </w:r>
    </w:p>
    <w:p w:rsidR="00000000" w:rsidRDefault="00000000"/>
    <w:p w:rsidR="00000000" w:rsidRDefault="00000000">
      <w:pPr>
        <w:jc w:val="center"/>
      </w:pPr>
      <w:r>
        <w:rPr>
          <w:b/>
          <w:bCs/>
        </w:rPr>
        <w:t>Расходы на услуги по социальной помощи (в млн. чешских крон)</w:t>
      </w:r>
    </w:p>
    <w:p w:rsidR="00000000" w:rsidRDefault="00000000">
      <w:pPr>
        <w:pStyle w:val="1"/>
      </w:pPr>
    </w:p>
    <w:tbl>
      <w:tblPr>
        <w:tblW w:w="9765" w:type="dxa"/>
        <w:tblInd w:w="51" w:type="dxa"/>
        <w:tblBorders>
          <w:top w:val="single" w:sz="4" w:space="0" w:color="auto"/>
          <w:left w:val="single" w:sz="4" w:space="0" w:color="auto"/>
          <w:bottom w:val="single" w:sz="4" w:space="0" w:color="auto"/>
          <w:right w:val="single" w:sz="4" w:space="0" w:color="auto"/>
          <w:insideV w:val="single" w:sz="4" w:space="0" w:color="auto"/>
        </w:tblBorders>
        <w:tblCellMar>
          <w:left w:w="56" w:type="dxa"/>
          <w:right w:w="56" w:type="dxa"/>
        </w:tblCellMar>
        <w:tblLook w:val="0000" w:firstRow="0" w:lastRow="0" w:firstColumn="0" w:lastColumn="0" w:noHBand="0" w:noVBand="0"/>
      </w:tblPr>
      <w:tblGrid>
        <w:gridCol w:w="4150"/>
        <w:gridCol w:w="1123"/>
        <w:gridCol w:w="1123"/>
        <w:gridCol w:w="1123"/>
        <w:gridCol w:w="1123"/>
        <w:gridCol w:w="1123"/>
      </w:tblGrid>
      <w:tr w:rsidR="00000000">
        <w:tblPrEx>
          <w:tblCellMar>
            <w:top w:w="0" w:type="dxa"/>
            <w:bottom w:w="0" w:type="dxa"/>
          </w:tblCellMar>
        </w:tblPrEx>
        <w:tc>
          <w:tcPr>
            <w:tcW w:w="4149" w:type="dxa"/>
            <w:tcBorders>
              <w:top w:val="single" w:sz="4" w:space="0" w:color="auto"/>
              <w:bottom w:val="single" w:sz="4" w:space="0" w:color="auto"/>
            </w:tcBorders>
          </w:tcPr>
          <w:p w:rsidR="00000000" w:rsidRDefault="00000000">
            <w:pPr>
              <w:spacing w:line="240" w:lineRule="auto"/>
            </w:pPr>
          </w:p>
        </w:tc>
        <w:tc>
          <w:tcPr>
            <w:tcW w:w="1123" w:type="dxa"/>
            <w:tcBorders>
              <w:top w:val="single" w:sz="4" w:space="0" w:color="auto"/>
              <w:bottom w:val="single" w:sz="4" w:space="0" w:color="auto"/>
            </w:tcBorders>
          </w:tcPr>
          <w:p w:rsidR="00000000" w:rsidRDefault="00000000">
            <w:pPr>
              <w:pStyle w:val="10"/>
              <w:spacing w:line="240" w:lineRule="auto"/>
              <w:rPr>
                <w:b w:val="0"/>
              </w:rPr>
            </w:pPr>
            <w:r>
              <w:rPr>
                <w:b w:val="0"/>
              </w:rPr>
              <w:t>1991</w:t>
            </w:r>
          </w:p>
        </w:tc>
        <w:tc>
          <w:tcPr>
            <w:tcW w:w="1123" w:type="dxa"/>
            <w:tcBorders>
              <w:top w:val="single" w:sz="4" w:space="0" w:color="auto"/>
              <w:bottom w:val="single" w:sz="4" w:space="0" w:color="auto"/>
            </w:tcBorders>
          </w:tcPr>
          <w:p w:rsidR="00000000" w:rsidRDefault="00000000">
            <w:pPr>
              <w:spacing w:line="240" w:lineRule="auto"/>
              <w:jc w:val="center"/>
            </w:pPr>
            <w:r>
              <w:t>1995</w:t>
            </w:r>
          </w:p>
        </w:tc>
        <w:tc>
          <w:tcPr>
            <w:tcW w:w="1123" w:type="dxa"/>
            <w:tcBorders>
              <w:top w:val="single" w:sz="4" w:space="0" w:color="auto"/>
              <w:bottom w:val="single" w:sz="4" w:space="0" w:color="auto"/>
            </w:tcBorders>
          </w:tcPr>
          <w:p w:rsidR="00000000" w:rsidRDefault="00000000">
            <w:pPr>
              <w:spacing w:line="240" w:lineRule="auto"/>
              <w:jc w:val="center"/>
            </w:pPr>
            <w:r>
              <w:t>1996</w:t>
            </w:r>
          </w:p>
        </w:tc>
        <w:tc>
          <w:tcPr>
            <w:tcW w:w="1123" w:type="dxa"/>
            <w:tcBorders>
              <w:top w:val="single" w:sz="4" w:space="0" w:color="auto"/>
              <w:bottom w:val="single" w:sz="4" w:space="0" w:color="auto"/>
            </w:tcBorders>
          </w:tcPr>
          <w:p w:rsidR="00000000" w:rsidRDefault="00000000">
            <w:pPr>
              <w:spacing w:line="240" w:lineRule="auto"/>
              <w:jc w:val="center"/>
            </w:pPr>
            <w:r>
              <w:t>1997</w:t>
            </w:r>
          </w:p>
        </w:tc>
        <w:tc>
          <w:tcPr>
            <w:tcW w:w="1123" w:type="dxa"/>
            <w:tcBorders>
              <w:top w:val="single" w:sz="4" w:space="0" w:color="auto"/>
              <w:bottom w:val="single" w:sz="4" w:space="0" w:color="auto"/>
            </w:tcBorders>
          </w:tcPr>
          <w:p w:rsidR="00000000" w:rsidRDefault="00000000">
            <w:pPr>
              <w:spacing w:line="240" w:lineRule="auto"/>
              <w:jc w:val="center"/>
            </w:pPr>
            <w:r>
              <w:t>1998</w:t>
            </w:r>
          </w:p>
        </w:tc>
      </w:tr>
      <w:tr w:rsidR="00000000">
        <w:tblPrEx>
          <w:tblCellMar>
            <w:top w:w="0" w:type="dxa"/>
            <w:bottom w:w="0" w:type="dxa"/>
          </w:tblCellMar>
        </w:tblPrEx>
        <w:tc>
          <w:tcPr>
            <w:tcW w:w="4149" w:type="dxa"/>
            <w:tcBorders>
              <w:top w:val="single" w:sz="4" w:space="0" w:color="auto"/>
            </w:tcBorders>
          </w:tcPr>
          <w:p w:rsidR="00000000" w:rsidRDefault="00000000">
            <w:pPr>
              <w:pStyle w:val="Heading1"/>
              <w:spacing w:line="240" w:lineRule="auto"/>
              <w:rPr>
                <w:b w:val="0"/>
              </w:rPr>
            </w:pPr>
            <w:r>
              <w:rPr>
                <w:b w:val="0"/>
              </w:rPr>
              <w:t>Всего</w:t>
            </w:r>
          </w:p>
        </w:tc>
        <w:tc>
          <w:tcPr>
            <w:tcW w:w="1123" w:type="dxa"/>
            <w:tcBorders>
              <w:top w:val="single" w:sz="4" w:space="0" w:color="auto"/>
            </w:tcBorders>
          </w:tcPr>
          <w:p w:rsidR="00000000" w:rsidRDefault="00000000">
            <w:pPr>
              <w:tabs>
                <w:tab w:val="clear" w:pos="567"/>
                <w:tab w:val="clear" w:pos="1134"/>
              </w:tabs>
              <w:spacing w:line="240" w:lineRule="auto"/>
              <w:ind w:right="250"/>
              <w:jc w:val="right"/>
              <w:rPr>
                <w:lang w:val="en-US"/>
              </w:rPr>
            </w:pPr>
            <w:r>
              <w:rPr>
                <w:lang w:val="en-US"/>
              </w:rPr>
              <w:t>1 351</w:t>
            </w:r>
          </w:p>
        </w:tc>
        <w:tc>
          <w:tcPr>
            <w:tcW w:w="1123" w:type="dxa"/>
            <w:tcBorders>
              <w:top w:val="single" w:sz="4" w:space="0" w:color="auto"/>
            </w:tcBorders>
          </w:tcPr>
          <w:p w:rsidR="00000000" w:rsidRDefault="00000000">
            <w:pPr>
              <w:tabs>
                <w:tab w:val="clear" w:pos="567"/>
                <w:tab w:val="clear" w:pos="1134"/>
              </w:tabs>
              <w:spacing w:line="240" w:lineRule="auto"/>
              <w:ind w:right="250"/>
              <w:jc w:val="right"/>
              <w:rPr>
                <w:lang w:val="en-US"/>
              </w:rPr>
            </w:pPr>
            <w:r>
              <w:rPr>
                <w:lang w:val="en-US"/>
              </w:rPr>
              <w:t>4 112</w:t>
            </w:r>
          </w:p>
        </w:tc>
        <w:tc>
          <w:tcPr>
            <w:tcW w:w="1123" w:type="dxa"/>
            <w:tcBorders>
              <w:top w:val="single" w:sz="4" w:space="0" w:color="auto"/>
            </w:tcBorders>
          </w:tcPr>
          <w:p w:rsidR="00000000" w:rsidRDefault="00000000">
            <w:pPr>
              <w:tabs>
                <w:tab w:val="clear" w:pos="567"/>
                <w:tab w:val="clear" w:pos="1134"/>
              </w:tabs>
              <w:spacing w:line="240" w:lineRule="auto"/>
              <w:ind w:right="250"/>
              <w:jc w:val="right"/>
              <w:rPr>
                <w:lang w:val="en-US"/>
              </w:rPr>
            </w:pPr>
            <w:r>
              <w:rPr>
                <w:lang w:val="en-US"/>
              </w:rPr>
              <w:t>4 171</w:t>
            </w:r>
          </w:p>
        </w:tc>
        <w:tc>
          <w:tcPr>
            <w:tcW w:w="1123" w:type="dxa"/>
            <w:tcBorders>
              <w:top w:val="single" w:sz="4" w:space="0" w:color="auto"/>
            </w:tcBorders>
          </w:tcPr>
          <w:p w:rsidR="00000000" w:rsidRDefault="00000000">
            <w:pPr>
              <w:tabs>
                <w:tab w:val="clear" w:pos="567"/>
                <w:tab w:val="clear" w:pos="1134"/>
              </w:tabs>
              <w:spacing w:line="240" w:lineRule="auto"/>
              <w:ind w:right="250"/>
              <w:jc w:val="right"/>
              <w:rPr>
                <w:lang w:val="en-US"/>
              </w:rPr>
            </w:pPr>
            <w:r>
              <w:rPr>
                <w:lang w:val="en-US"/>
              </w:rPr>
              <w:t>5 188</w:t>
            </w:r>
          </w:p>
        </w:tc>
        <w:tc>
          <w:tcPr>
            <w:tcW w:w="1123" w:type="dxa"/>
            <w:tcBorders>
              <w:top w:val="single" w:sz="4" w:space="0" w:color="auto"/>
            </w:tcBorders>
          </w:tcPr>
          <w:p w:rsidR="00000000" w:rsidRDefault="00000000">
            <w:pPr>
              <w:tabs>
                <w:tab w:val="clear" w:pos="567"/>
                <w:tab w:val="clear" w:pos="1134"/>
              </w:tabs>
              <w:spacing w:line="240" w:lineRule="auto"/>
              <w:ind w:right="250"/>
              <w:jc w:val="right"/>
              <w:rPr>
                <w:lang w:val="en-US"/>
              </w:rPr>
            </w:pPr>
            <w:r>
              <w:rPr>
                <w:lang w:val="en-US"/>
              </w:rPr>
              <w:t>6 644</w:t>
            </w:r>
          </w:p>
        </w:tc>
      </w:tr>
      <w:tr w:rsidR="00000000">
        <w:tblPrEx>
          <w:tblCellMar>
            <w:top w:w="0" w:type="dxa"/>
            <w:bottom w:w="0" w:type="dxa"/>
          </w:tblCellMar>
        </w:tblPrEx>
        <w:tc>
          <w:tcPr>
            <w:tcW w:w="4149" w:type="dxa"/>
          </w:tcPr>
          <w:p w:rsidR="00000000" w:rsidRDefault="00000000">
            <w:pPr>
              <w:spacing w:line="240" w:lineRule="auto"/>
            </w:pPr>
            <w:r>
              <w:t>В том числе, попечение:</w:t>
            </w:r>
          </w:p>
        </w:tc>
        <w:tc>
          <w:tcPr>
            <w:tcW w:w="1123" w:type="dxa"/>
          </w:tcPr>
          <w:p w:rsidR="00000000" w:rsidRDefault="00000000">
            <w:pPr>
              <w:tabs>
                <w:tab w:val="clear" w:pos="567"/>
                <w:tab w:val="clear" w:pos="1134"/>
              </w:tabs>
              <w:spacing w:line="240" w:lineRule="auto"/>
              <w:ind w:right="250"/>
              <w:jc w:val="right"/>
            </w:pPr>
          </w:p>
        </w:tc>
        <w:tc>
          <w:tcPr>
            <w:tcW w:w="1123" w:type="dxa"/>
          </w:tcPr>
          <w:p w:rsidR="00000000" w:rsidRDefault="00000000">
            <w:pPr>
              <w:tabs>
                <w:tab w:val="clear" w:pos="567"/>
                <w:tab w:val="clear" w:pos="1134"/>
              </w:tabs>
              <w:spacing w:line="240" w:lineRule="auto"/>
              <w:ind w:right="250"/>
              <w:jc w:val="right"/>
            </w:pPr>
          </w:p>
        </w:tc>
        <w:tc>
          <w:tcPr>
            <w:tcW w:w="1123" w:type="dxa"/>
          </w:tcPr>
          <w:p w:rsidR="00000000" w:rsidRDefault="00000000">
            <w:pPr>
              <w:tabs>
                <w:tab w:val="clear" w:pos="567"/>
                <w:tab w:val="clear" w:pos="1134"/>
              </w:tabs>
              <w:spacing w:line="240" w:lineRule="auto"/>
              <w:ind w:right="250"/>
              <w:jc w:val="right"/>
            </w:pPr>
          </w:p>
        </w:tc>
        <w:tc>
          <w:tcPr>
            <w:tcW w:w="1123" w:type="dxa"/>
          </w:tcPr>
          <w:p w:rsidR="00000000" w:rsidRDefault="00000000">
            <w:pPr>
              <w:tabs>
                <w:tab w:val="clear" w:pos="567"/>
                <w:tab w:val="clear" w:pos="1134"/>
              </w:tabs>
              <w:spacing w:line="240" w:lineRule="auto"/>
              <w:ind w:right="250"/>
              <w:jc w:val="right"/>
            </w:pPr>
          </w:p>
        </w:tc>
        <w:tc>
          <w:tcPr>
            <w:tcW w:w="1123" w:type="dxa"/>
          </w:tcPr>
          <w:p w:rsidR="00000000" w:rsidRDefault="00000000">
            <w:pPr>
              <w:tabs>
                <w:tab w:val="clear" w:pos="567"/>
                <w:tab w:val="clear" w:pos="1134"/>
              </w:tabs>
              <w:spacing w:line="240" w:lineRule="auto"/>
              <w:ind w:right="250"/>
              <w:jc w:val="right"/>
            </w:pPr>
          </w:p>
        </w:tc>
      </w:tr>
      <w:tr w:rsidR="00000000">
        <w:tblPrEx>
          <w:tblCellMar>
            <w:top w:w="0" w:type="dxa"/>
            <w:bottom w:w="0" w:type="dxa"/>
          </w:tblCellMar>
        </w:tblPrEx>
        <w:tc>
          <w:tcPr>
            <w:tcW w:w="4149" w:type="dxa"/>
          </w:tcPr>
          <w:p w:rsidR="00000000" w:rsidRDefault="00000000">
            <w:pPr>
              <w:spacing w:line="240" w:lineRule="auto"/>
            </w:pPr>
            <w:r>
              <w:rPr>
                <w:lang w:val="en-US"/>
              </w:rPr>
              <w:tab/>
            </w:r>
            <w:r>
              <w:t>за престарелыми</w:t>
            </w:r>
          </w:p>
        </w:tc>
        <w:tc>
          <w:tcPr>
            <w:tcW w:w="1123" w:type="dxa"/>
          </w:tcPr>
          <w:p w:rsidR="00000000" w:rsidRDefault="00000000">
            <w:pPr>
              <w:tabs>
                <w:tab w:val="clear" w:pos="567"/>
                <w:tab w:val="clear" w:pos="1134"/>
              </w:tabs>
              <w:spacing w:line="240" w:lineRule="auto"/>
              <w:ind w:right="250"/>
              <w:jc w:val="right"/>
              <w:rPr>
                <w:lang w:val="en-US"/>
              </w:rPr>
            </w:pPr>
            <w:r>
              <w:rPr>
                <w:lang w:val="en-US"/>
              </w:rPr>
              <w:t>717</w:t>
            </w:r>
          </w:p>
        </w:tc>
        <w:tc>
          <w:tcPr>
            <w:tcW w:w="1123" w:type="dxa"/>
          </w:tcPr>
          <w:p w:rsidR="00000000" w:rsidRDefault="00000000">
            <w:pPr>
              <w:tabs>
                <w:tab w:val="clear" w:pos="567"/>
                <w:tab w:val="clear" w:pos="1134"/>
              </w:tabs>
              <w:spacing w:line="240" w:lineRule="auto"/>
              <w:ind w:right="250"/>
              <w:jc w:val="right"/>
              <w:rPr>
                <w:lang w:val="en-US"/>
              </w:rPr>
            </w:pPr>
            <w:r>
              <w:rPr>
                <w:lang w:val="en-US"/>
              </w:rPr>
              <w:t>697</w:t>
            </w:r>
          </w:p>
        </w:tc>
        <w:tc>
          <w:tcPr>
            <w:tcW w:w="1123" w:type="dxa"/>
          </w:tcPr>
          <w:p w:rsidR="00000000" w:rsidRDefault="00000000">
            <w:pPr>
              <w:tabs>
                <w:tab w:val="clear" w:pos="567"/>
                <w:tab w:val="clear" w:pos="1134"/>
              </w:tabs>
              <w:spacing w:line="240" w:lineRule="auto"/>
              <w:ind w:right="250"/>
              <w:jc w:val="right"/>
              <w:rPr>
                <w:lang w:val="en-US"/>
              </w:rPr>
            </w:pPr>
            <w:r>
              <w:rPr>
                <w:lang w:val="en-US"/>
              </w:rPr>
              <w:t>622</w:t>
            </w:r>
          </w:p>
        </w:tc>
        <w:tc>
          <w:tcPr>
            <w:tcW w:w="1123" w:type="dxa"/>
          </w:tcPr>
          <w:p w:rsidR="00000000" w:rsidRDefault="00000000">
            <w:pPr>
              <w:tabs>
                <w:tab w:val="clear" w:pos="567"/>
                <w:tab w:val="clear" w:pos="1134"/>
              </w:tabs>
              <w:spacing w:line="240" w:lineRule="auto"/>
              <w:ind w:right="250"/>
              <w:jc w:val="right"/>
              <w:rPr>
                <w:lang w:val="en-US"/>
              </w:rPr>
            </w:pPr>
            <w:r>
              <w:rPr>
                <w:lang w:val="en-US"/>
              </w:rPr>
              <w:t>591</w:t>
            </w:r>
          </w:p>
        </w:tc>
        <w:tc>
          <w:tcPr>
            <w:tcW w:w="1123" w:type="dxa"/>
          </w:tcPr>
          <w:p w:rsidR="00000000" w:rsidRDefault="00000000">
            <w:pPr>
              <w:tabs>
                <w:tab w:val="clear" w:pos="567"/>
                <w:tab w:val="clear" w:pos="1134"/>
              </w:tabs>
              <w:spacing w:line="240" w:lineRule="auto"/>
              <w:ind w:right="250"/>
              <w:jc w:val="right"/>
              <w:rPr>
                <w:lang w:val="en-US"/>
              </w:rPr>
            </w:pPr>
            <w:r>
              <w:rPr>
                <w:lang w:val="en-US"/>
              </w:rPr>
              <w:t>743</w:t>
            </w:r>
          </w:p>
        </w:tc>
      </w:tr>
      <w:tr w:rsidR="00000000">
        <w:tblPrEx>
          <w:tblCellMar>
            <w:top w:w="0" w:type="dxa"/>
            <w:bottom w:w="0" w:type="dxa"/>
          </w:tblCellMar>
        </w:tblPrEx>
        <w:tc>
          <w:tcPr>
            <w:tcW w:w="4149" w:type="dxa"/>
          </w:tcPr>
          <w:p w:rsidR="00000000" w:rsidRDefault="00000000">
            <w:pPr>
              <w:spacing w:line="240" w:lineRule="auto"/>
              <w:ind w:left="567" w:hanging="567"/>
            </w:pPr>
            <w:r>
              <w:rPr>
                <w:lang w:val="en-US"/>
              </w:rPr>
              <w:tab/>
            </w:r>
            <w:r>
              <w:t>за инвалидами и лицами с тяжкой инвалидностью</w:t>
            </w:r>
          </w:p>
        </w:tc>
        <w:tc>
          <w:tcPr>
            <w:tcW w:w="1123" w:type="dxa"/>
          </w:tcPr>
          <w:p w:rsidR="00000000" w:rsidRDefault="00000000">
            <w:pPr>
              <w:tabs>
                <w:tab w:val="clear" w:pos="567"/>
                <w:tab w:val="clear" w:pos="1134"/>
              </w:tabs>
              <w:spacing w:line="240" w:lineRule="auto"/>
              <w:ind w:right="250"/>
              <w:jc w:val="right"/>
            </w:pPr>
            <w:r>
              <w:t>217</w:t>
            </w:r>
          </w:p>
        </w:tc>
        <w:tc>
          <w:tcPr>
            <w:tcW w:w="1123" w:type="dxa"/>
          </w:tcPr>
          <w:p w:rsidR="00000000" w:rsidRDefault="00000000">
            <w:pPr>
              <w:tabs>
                <w:tab w:val="clear" w:pos="567"/>
                <w:tab w:val="clear" w:pos="1134"/>
              </w:tabs>
              <w:spacing w:line="240" w:lineRule="auto"/>
              <w:ind w:right="250"/>
              <w:jc w:val="right"/>
            </w:pPr>
            <w:r>
              <w:t>851</w:t>
            </w:r>
          </w:p>
        </w:tc>
        <w:tc>
          <w:tcPr>
            <w:tcW w:w="1123" w:type="dxa"/>
          </w:tcPr>
          <w:p w:rsidR="00000000" w:rsidRDefault="00000000">
            <w:pPr>
              <w:tabs>
                <w:tab w:val="clear" w:pos="567"/>
                <w:tab w:val="clear" w:pos="1134"/>
              </w:tabs>
              <w:spacing w:line="240" w:lineRule="auto"/>
              <w:ind w:right="250"/>
              <w:jc w:val="right"/>
            </w:pPr>
            <w:r>
              <w:t>1 407</w:t>
            </w:r>
          </w:p>
        </w:tc>
        <w:tc>
          <w:tcPr>
            <w:tcW w:w="1123" w:type="dxa"/>
          </w:tcPr>
          <w:p w:rsidR="00000000" w:rsidRDefault="00000000">
            <w:pPr>
              <w:tabs>
                <w:tab w:val="clear" w:pos="567"/>
                <w:tab w:val="clear" w:pos="1134"/>
              </w:tabs>
              <w:spacing w:line="240" w:lineRule="auto"/>
              <w:ind w:right="250"/>
              <w:jc w:val="right"/>
            </w:pPr>
            <w:r>
              <w:t>1 621</w:t>
            </w:r>
          </w:p>
        </w:tc>
        <w:tc>
          <w:tcPr>
            <w:tcW w:w="1123" w:type="dxa"/>
          </w:tcPr>
          <w:p w:rsidR="00000000" w:rsidRDefault="00000000">
            <w:pPr>
              <w:tabs>
                <w:tab w:val="clear" w:pos="567"/>
                <w:tab w:val="clear" w:pos="1134"/>
              </w:tabs>
              <w:spacing w:line="240" w:lineRule="auto"/>
              <w:ind w:right="250"/>
              <w:jc w:val="right"/>
            </w:pPr>
            <w:r>
              <w:t>1 519</w:t>
            </w:r>
          </w:p>
        </w:tc>
      </w:tr>
      <w:tr w:rsidR="00000000">
        <w:tblPrEx>
          <w:tblCellMar>
            <w:top w:w="0" w:type="dxa"/>
            <w:bottom w:w="0" w:type="dxa"/>
          </w:tblCellMar>
        </w:tblPrEx>
        <w:trPr>
          <w:trHeight w:val="197"/>
        </w:trPr>
        <w:tc>
          <w:tcPr>
            <w:tcW w:w="4149" w:type="dxa"/>
          </w:tcPr>
          <w:p w:rsidR="00000000" w:rsidRDefault="00000000">
            <w:pPr>
              <w:spacing w:line="240" w:lineRule="auto"/>
            </w:pPr>
            <w:r>
              <w:tab/>
              <w:t>за семьей с детьми</w:t>
            </w:r>
          </w:p>
        </w:tc>
        <w:tc>
          <w:tcPr>
            <w:tcW w:w="1123" w:type="dxa"/>
          </w:tcPr>
          <w:p w:rsidR="00000000" w:rsidRDefault="00000000">
            <w:pPr>
              <w:tabs>
                <w:tab w:val="clear" w:pos="567"/>
                <w:tab w:val="clear" w:pos="1134"/>
              </w:tabs>
              <w:spacing w:line="240" w:lineRule="auto"/>
              <w:ind w:right="250"/>
              <w:jc w:val="right"/>
            </w:pPr>
            <w:r>
              <w:t>390</w:t>
            </w:r>
          </w:p>
        </w:tc>
        <w:tc>
          <w:tcPr>
            <w:tcW w:w="1123" w:type="dxa"/>
          </w:tcPr>
          <w:p w:rsidR="00000000" w:rsidRDefault="00000000">
            <w:pPr>
              <w:tabs>
                <w:tab w:val="clear" w:pos="567"/>
                <w:tab w:val="clear" w:pos="1134"/>
              </w:tabs>
              <w:spacing w:line="240" w:lineRule="auto"/>
              <w:ind w:right="250"/>
              <w:jc w:val="right"/>
            </w:pPr>
            <w:r>
              <w:t>1 853</w:t>
            </w:r>
          </w:p>
        </w:tc>
        <w:tc>
          <w:tcPr>
            <w:tcW w:w="1123" w:type="dxa"/>
          </w:tcPr>
          <w:p w:rsidR="00000000" w:rsidRDefault="00000000">
            <w:pPr>
              <w:tabs>
                <w:tab w:val="clear" w:pos="567"/>
                <w:tab w:val="clear" w:pos="1134"/>
              </w:tabs>
              <w:spacing w:line="240" w:lineRule="auto"/>
              <w:ind w:right="250"/>
              <w:jc w:val="right"/>
            </w:pPr>
            <w:r>
              <w:t>1 388</w:t>
            </w:r>
          </w:p>
        </w:tc>
        <w:tc>
          <w:tcPr>
            <w:tcW w:w="1123" w:type="dxa"/>
          </w:tcPr>
          <w:p w:rsidR="00000000" w:rsidRDefault="00000000">
            <w:pPr>
              <w:tabs>
                <w:tab w:val="clear" w:pos="567"/>
                <w:tab w:val="clear" w:pos="1134"/>
              </w:tabs>
              <w:spacing w:line="240" w:lineRule="auto"/>
              <w:ind w:right="250"/>
              <w:jc w:val="right"/>
            </w:pPr>
            <w:r>
              <w:t>1 604</w:t>
            </w:r>
          </w:p>
        </w:tc>
        <w:tc>
          <w:tcPr>
            <w:tcW w:w="1123" w:type="dxa"/>
          </w:tcPr>
          <w:p w:rsidR="00000000" w:rsidRDefault="00000000">
            <w:pPr>
              <w:tabs>
                <w:tab w:val="clear" w:pos="567"/>
                <w:tab w:val="clear" w:pos="1134"/>
              </w:tabs>
              <w:spacing w:line="240" w:lineRule="auto"/>
              <w:ind w:right="250"/>
              <w:jc w:val="right"/>
            </w:pPr>
            <w:r>
              <w:t>2 317</w:t>
            </w:r>
          </w:p>
        </w:tc>
      </w:tr>
      <w:tr w:rsidR="00000000">
        <w:tblPrEx>
          <w:tblCellMar>
            <w:top w:w="0" w:type="dxa"/>
            <w:bottom w:w="0" w:type="dxa"/>
          </w:tblCellMar>
        </w:tblPrEx>
        <w:tc>
          <w:tcPr>
            <w:tcW w:w="4149" w:type="dxa"/>
          </w:tcPr>
          <w:p w:rsidR="00000000" w:rsidRDefault="00000000">
            <w:pPr>
              <w:spacing w:line="240" w:lineRule="auto"/>
              <w:ind w:left="567" w:hanging="567"/>
            </w:pPr>
            <w:r>
              <w:tab/>
              <w:t>за людьми, вытесненными с рынка труда</w:t>
            </w:r>
          </w:p>
        </w:tc>
        <w:tc>
          <w:tcPr>
            <w:tcW w:w="1123" w:type="dxa"/>
          </w:tcPr>
          <w:p w:rsidR="00000000" w:rsidRDefault="00000000">
            <w:pPr>
              <w:tabs>
                <w:tab w:val="clear" w:pos="567"/>
                <w:tab w:val="clear" w:pos="1134"/>
              </w:tabs>
              <w:spacing w:line="240" w:lineRule="auto"/>
              <w:ind w:right="250"/>
              <w:jc w:val="right"/>
              <w:rPr>
                <w:lang w:val="en-US"/>
              </w:rPr>
            </w:pPr>
            <w:r>
              <w:rPr>
                <w:lang w:val="en-US"/>
              </w:rPr>
              <w:t>12</w:t>
            </w:r>
          </w:p>
        </w:tc>
        <w:tc>
          <w:tcPr>
            <w:tcW w:w="1123" w:type="dxa"/>
          </w:tcPr>
          <w:p w:rsidR="00000000" w:rsidRDefault="00000000">
            <w:pPr>
              <w:tabs>
                <w:tab w:val="clear" w:pos="567"/>
                <w:tab w:val="clear" w:pos="1134"/>
              </w:tabs>
              <w:spacing w:line="240" w:lineRule="auto"/>
              <w:ind w:right="250"/>
              <w:jc w:val="right"/>
              <w:rPr>
                <w:lang w:val="en-US"/>
              </w:rPr>
            </w:pPr>
            <w:r>
              <w:rPr>
                <w:lang w:val="en-US"/>
              </w:rPr>
              <w:t>704</w:t>
            </w:r>
          </w:p>
        </w:tc>
        <w:tc>
          <w:tcPr>
            <w:tcW w:w="1123" w:type="dxa"/>
          </w:tcPr>
          <w:p w:rsidR="00000000" w:rsidRDefault="00000000">
            <w:pPr>
              <w:tabs>
                <w:tab w:val="clear" w:pos="567"/>
                <w:tab w:val="clear" w:pos="1134"/>
              </w:tabs>
              <w:spacing w:line="240" w:lineRule="auto"/>
              <w:ind w:right="250"/>
              <w:jc w:val="right"/>
              <w:rPr>
                <w:lang w:val="en-US"/>
              </w:rPr>
            </w:pPr>
            <w:r>
              <w:rPr>
                <w:lang w:val="en-US"/>
              </w:rPr>
              <w:t>748</w:t>
            </w:r>
          </w:p>
        </w:tc>
        <w:tc>
          <w:tcPr>
            <w:tcW w:w="1123" w:type="dxa"/>
          </w:tcPr>
          <w:p w:rsidR="00000000" w:rsidRDefault="00000000">
            <w:pPr>
              <w:tabs>
                <w:tab w:val="clear" w:pos="567"/>
                <w:tab w:val="clear" w:pos="1134"/>
              </w:tabs>
              <w:spacing w:line="240" w:lineRule="auto"/>
              <w:ind w:right="250"/>
              <w:jc w:val="right"/>
              <w:rPr>
                <w:lang w:val="en-US"/>
              </w:rPr>
            </w:pPr>
            <w:r>
              <w:rPr>
                <w:lang w:val="en-US"/>
              </w:rPr>
              <w:t>1 358</w:t>
            </w:r>
          </w:p>
        </w:tc>
        <w:tc>
          <w:tcPr>
            <w:tcW w:w="1123" w:type="dxa"/>
          </w:tcPr>
          <w:p w:rsidR="00000000" w:rsidRDefault="00000000">
            <w:pPr>
              <w:tabs>
                <w:tab w:val="clear" w:pos="567"/>
                <w:tab w:val="clear" w:pos="1134"/>
              </w:tabs>
              <w:spacing w:line="240" w:lineRule="auto"/>
              <w:ind w:right="250"/>
              <w:jc w:val="right"/>
              <w:rPr>
                <w:lang w:val="en-US"/>
              </w:rPr>
            </w:pPr>
            <w:r>
              <w:rPr>
                <w:lang w:val="en-US"/>
              </w:rPr>
              <w:t>2 056</w:t>
            </w:r>
          </w:p>
        </w:tc>
      </w:tr>
      <w:tr w:rsidR="00000000">
        <w:tblPrEx>
          <w:tblCellMar>
            <w:top w:w="0" w:type="dxa"/>
            <w:bottom w:w="0" w:type="dxa"/>
          </w:tblCellMar>
        </w:tblPrEx>
        <w:tc>
          <w:tcPr>
            <w:tcW w:w="4149" w:type="dxa"/>
          </w:tcPr>
          <w:p w:rsidR="00000000" w:rsidRDefault="00000000">
            <w:pPr>
              <w:spacing w:line="240" w:lineRule="auto"/>
              <w:ind w:left="567" w:hanging="567"/>
            </w:pPr>
            <w:r>
              <w:rPr>
                <w:lang w:val="en-US"/>
              </w:rPr>
              <w:tab/>
            </w:r>
            <w:r>
              <w:t>за социально не адаптированными лицами</w:t>
            </w:r>
          </w:p>
        </w:tc>
        <w:tc>
          <w:tcPr>
            <w:tcW w:w="1123" w:type="dxa"/>
          </w:tcPr>
          <w:p w:rsidR="00000000" w:rsidRDefault="00000000">
            <w:pPr>
              <w:tabs>
                <w:tab w:val="clear" w:pos="567"/>
                <w:tab w:val="clear" w:pos="1134"/>
              </w:tabs>
              <w:spacing w:line="240" w:lineRule="auto"/>
              <w:ind w:right="250"/>
              <w:jc w:val="right"/>
            </w:pPr>
            <w:r>
              <w:t>14</w:t>
            </w:r>
          </w:p>
        </w:tc>
        <w:tc>
          <w:tcPr>
            <w:tcW w:w="1123" w:type="dxa"/>
          </w:tcPr>
          <w:p w:rsidR="00000000" w:rsidRDefault="00000000">
            <w:pPr>
              <w:tabs>
                <w:tab w:val="clear" w:pos="567"/>
                <w:tab w:val="clear" w:pos="1134"/>
              </w:tabs>
              <w:spacing w:line="240" w:lineRule="auto"/>
              <w:ind w:right="250"/>
              <w:jc w:val="right"/>
            </w:pPr>
            <w:r>
              <w:t>8</w:t>
            </w:r>
          </w:p>
        </w:tc>
        <w:tc>
          <w:tcPr>
            <w:tcW w:w="1123" w:type="dxa"/>
          </w:tcPr>
          <w:p w:rsidR="00000000" w:rsidRDefault="00000000">
            <w:pPr>
              <w:tabs>
                <w:tab w:val="clear" w:pos="567"/>
                <w:tab w:val="clear" w:pos="1134"/>
              </w:tabs>
              <w:spacing w:line="240" w:lineRule="auto"/>
              <w:ind w:right="250"/>
              <w:jc w:val="right"/>
            </w:pPr>
            <w:r>
              <w:t>10</w:t>
            </w:r>
          </w:p>
        </w:tc>
        <w:tc>
          <w:tcPr>
            <w:tcW w:w="1123" w:type="dxa"/>
          </w:tcPr>
          <w:p w:rsidR="00000000" w:rsidRDefault="00000000">
            <w:pPr>
              <w:tabs>
                <w:tab w:val="clear" w:pos="567"/>
                <w:tab w:val="clear" w:pos="1134"/>
              </w:tabs>
              <w:spacing w:line="240" w:lineRule="auto"/>
              <w:ind w:right="250"/>
              <w:jc w:val="right"/>
            </w:pPr>
            <w:r>
              <w:t>14</w:t>
            </w:r>
          </w:p>
        </w:tc>
        <w:tc>
          <w:tcPr>
            <w:tcW w:w="1123" w:type="dxa"/>
          </w:tcPr>
          <w:p w:rsidR="00000000" w:rsidRDefault="00000000">
            <w:pPr>
              <w:tabs>
                <w:tab w:val="clear" w:pos="567"/>
                <w:tab w:val="clear" w:pos="1134"/>
              </w:tabs>
              <w:spacing w:line="240" w:lineRule="auto"/>
              <w:ind w:right="250"/>
              <w:jc w:val="right"/>
            </w:pPr>
            <w:r>
              <w:t>9</w:t>
            </w:r>
          </w:p>
        </w:tc>
      </w:tr>
      <w:tr w:rsidR="00000000">
        <w:tblPrEx>
          <w:tblCellMar>
            <w:top w:w="0" w:type="dxa"/>
            <w:bottom w:w="0" w:type="dxa"/>
          </w:tblCellMar>
        </w:tblPrEx>
        <w:tc>
          <w:tcPr>
            <w:tcW w:w="4149" w:type="dxa"/>
          </w:tcPr>
          <w:p w:rsidR="00000000" w:rsidRDefault="00000000">
            <w:pPr>
              <w:spacing w:line="240" w:lineRule="auto"/>
            </w:pPr>
            <w:r>
              <w:t>Услуги по попечению на дому (в общине)</w:t>
            </w:r>
          </w:p>
        </w:tc>
        <w:tc>
          <w:tcPr>
            <w:tcW w:w="1123" w:type="dxa"/>
          </w:tcPr>
          <w:p w:rsidR="00000000" w:rsidRDefault="00000000">
            <w:pPr>
              <w:tabs>
                <w:tab w:val="clear" w:pos="567"/>
                <w:tab w:val="clear" w:pos="1134"/>
              </w:tabs>
              <w:spacing w:line="240" w:lineRule="auto"/>
              <w:ind w:right="250"/>
              <w:jc w:val="right"/>
            </w:pPr>
            <w:r>
              <w:t>186</w:t>
            </w:r>
          </w:p>
        </w:tc>
        <w:tc>
          <w:tcPr>
            <w:tcW w:w="1123" w:type="dxa"/>
          </w:tcPr>
          <w:p w:rsidR="00000000" w:rsidRDefault="00000000">
            <w:pPr>
              <w:tabs>
                <w:tab w:val="clear" w:pos="567"/>
                <w:tab w:val="clear" w:pos="1134"/>
              </w:tabs>
              <w:spacing w:line="240" w:lineRule="auto"/>
              <w:ind w:right="250"/>
              <w:jc w:val="right"/>
            </w:pPr>
            <w:r>
              <w:t>640</w:t>
            </w:r>
          </w:p>
        </w:tc>
        <w:tc>
          <w:tcPr>
            <w:tcW w:w="1123" w:type="dxa"/>
          </w:tcPr>
          <w:p w:rsidR="00000000" w:rsidRDefault="00000000">
            <w:pPr>
              <w:tabs>
                <w:tab w:val="clear" w:pos="567"/>
                <w:tab w:val="clear" w:pos="1134"/>
              </w:tabs>
              <w:spacing w:line="240" w:lineRule="auto"/>
              <w:ind w:right="250"/>
              <w:jc w:val="right"/>
            </w:pPr>
            <w:r>
              <w:t>761</w:t>
            </w:r>
          </w:p>
        </w:tc>
        <w:tc>
          <w:tcPr>
            <w:tcW w:w="1123" w:type="dxa"/>
          </w:tcPr>
          <w:p w:rsidR="00000000" w:rsidRDefault="00000000">
            <w:pPr>
              <w:tabs>
                <w:tab w:val="clear" w:pos="567"/>
                <w:tab w:val="clear" w:pos="1134"/>
              </w:tabs>
              <w:spacing w:line="240" w:lineRule="auto"/>
              <w:ind w:right="250"/>
              <w:jc w:val="right"/>
            </w:pPr>
            <w:r>
              <w:t>733</w:t>
            </w:r>
          </w:p>
        </w:tc>
        <w:tc>
          <w:tcPr>
            <w:tcW w:w="1123" w:type="dxa"/>
          </w:tcPr>
          <w:p w:rsidR="00000000" w:rsidRDefault="00000000">
            <w:pPr>
              <w:tabs>
                <w:tab w:val="clear" w:pos="567"/>
                <w:tab w:val="clear" w:pos="1134"/>
              </w:tabs>
              <w:spacing w:line="240" w:lineRule="auto"/>
              <w:ind w:right="250"/>
              <w:jc w:val="right"/>
            </w:pPr>
            <w:r>
              <w:t>783</w:t>
            </w:r>
          </w:p>
        </w:tc>
      </w:tr>
      <w:tr w:rsidR="00000000">
        <w:tblPrEx>
          <w:tblCellMar>
            <w:top w:w="0" w:type="dxa"/>
            <w:bottom w:w="0" w:type="dxa"/>
          </w:tblCellMar>
        </w:tblPrEx>
        <w:tc>
          <w:tcPr>
            <w:tcW w:w="4149" w:type="dxa"/>
          </w:tcPr>
          <w:p w:rsidR="00000000" w:rsidRDefault="00000000">
            <w:pPr>
              <w:spacing w:line="240" w:lineRule="auto"/>
            </w:pPr>
            <w:r>
              <w:t>Услуги по попечению в специальных учреждениях</w:t>
            </w:r>
          </w:p>
        </w:tc>
        <w:tc>
          <w:tcPr>
            <w:tcW w:w="1123" w:type="dxa"/>
          </w:tcPr>
          <w:p w:rsidR="00000000" w:rsidRDefault="00000000">
            <w:pPr>
              <w:tabs>
                <w:tab w:val="clear" w:pos="567"/>
                <w:tab w:val="clear" w:pos="1134"/>
              </w:tabs>
              <w:spacing w:line="240" w:lineRule="auto"/>
              <w:ind w:right="250"/>
              <w:jc w:val="right"/>
              <w:rPr>
                <w:lang w:val="en-US"/>
              </w:rPr>
            </w:pPr>
            <w:r>
              <w:rPr>
                <w:lang w:val="en-US"/>
              </w:rPr>
              <w:t>1 852</w:t>
            </w:r>
          </w:p>
        </w:tc>
        <w:tc>
          <w:tcPr>
            <w:tcW w:w="1123" w:type="dxa"/>
          </w:tcPr>
          <w:p w:rsidR="00000000" w:rsidRDefault="00000000">
            <w:pPr>
              <w:tabs>
                <w:tab w:val="clear" w:pos="567"/>
                <w:tab w:val="clear" w:pos="1134"/>
              </w:tabs>
              <w:spacing w:line="240" w:lineRule="auto"/>
              <w:ind w:right="250"/>
              <w:jc w:val="right"/>
              <w:rPr>
                <w:lang w:val="en-US"/>
              </w:rPr>
            </w:pPr>
            <w:r>
              <w:rPr>
                <w:lang w:val="en-US"/>
              </w:rPr>
              <w:t>4 703</w:t>
            </w:r>
          </w:p>
        </w:tc>
        <w:tc>
          <w:tcPr>
            <w:tcW w:w="1123" w:type="dxa"/>
          </w:tcPr>
          <w:p w:rsidR="00000000" w:rsidRDefault="00000000">
            <w:pPr>
              <w:tabs>
                <w:tab w:val="clear" w:pos="567"/>
                <w:tab w:val="clear" w:pos="1134"/>
              </w:tabs>
              <w:spacing w:line="240" w:lineRule="auto"/>
              <w:ind w:right="250"/>
              <w:jc w:val="right"/>
              <w:rPr>
                <w:lang w:val="en-US"/>
              </w:rPr>
            </w:pPr>
            <w:r>
              <w:rPr>
                <w:lang w:val="en-US"/>
              </w:rPr>
              <w:t>5 252</w:t>
            </w:r>
          </w:p>
        </w:tc>
        <w:tc>
          <w:tcPr>
            <w:tcW w:w="1123" w:type="dxa"/>
          </w:tcPr>
          <w:p w:rsidR="00000000" w:rsidRDefault="00000000">
            <w:pPr>
              <w:tabs>
                <w:tab w:val="clear" w:pos="567"/>
                <w:tab w:val="clear" w:pos="1134"/>
              </w:tabs>
              <w:spacing w:line="240" w:lineRule="auto"/>
              <w:ind w:right="250"/>
              <w:jc w:val="right"/>
              <w:rPr>
                <w:lang w:val="en-US"/>
              </w:rPr>
            </w:pPr>
            <w:r>
              <w:rPr>
                <w:lang w:val="en-US"/>
              </w:rPr>
              <w:t>5 479</w:t>
            </w:r>
          </w:p>
        </w:tc>
        <w:tc>
          <w:tcPr>
            <w:tcW w:w="1123" w:type="dxa"/>
          </w:tcPr>
          <w:p w:rsidR="00000000" w:rsidRDefault="00000000">
            <w:pPr>
              <w:tabs>
                <w:tab w:val="clear" w:pos="567"/>
                <w:tab w:val="clear" w:pos="1134"/>
              </w:tabs>
              <w:spacing w:line="240" w:lineRule="auto"/>
              <w:ind w:right="250"/>
              <w:jc w:val="right"/>
              <w:rPr>
                <w:lang w:val="en-US"/>
              </w:rPr>
            </w:pPr>
            <w:r>
              <w:rPr>
                <w:lang w:val="en-US"/>
              </w:rPr>
              <w:t>5 998</w:t>
            </w:r>
          </w:p>
        </w:tc>
      </w:tr>
    </w:tbl>
    <w:p w:rsidR="00000000" w:rsidRDefault="00000000"/>
    <w:p w:rsidR="00000000" w:rsidRDefault="00000000">
      <w:pPr>
        <w:spacing w:line="240" w:lineRule="auto"/>
      </w:pPr>
      <w:r>
        <w:tab/>
      </w:r>
      <w:r>
        <w:rPr>
          <w:u w:val="single"/>
        </w:rPr>
        <w:t>Источник</w:t>
      </w:r>
      <w:r>
        <w:t xml:space="preserve">:  Министерство труда и социальных дел;  </w:t>
      </w:r>
      <w:r>
        <w:rPr>
          <w:lang w:val="en-US"/>
        </w:rPr>
        <w:t>Statistical</w:t>
      </w:r>
      <w:r>
        <w:t xml:space="preserve"> </w:t>
      </w:r>
      <w:r>
        <w:rPr>
          <w:lang w:val="en-US"/>
        </w:rPr>
        <w:t>Yearbook</w:t>
      </w:r>
      <w:r>
        <w:t xml:space="preserve"> </w:t>
      </w:r>
      <w:r>
        <w:rPr>
          <w:lang w:val="en-US"/>
        </w:rPr>
        <w:t>of</w:t>
      </w:r>
      <w:r>
        <w:t xml:space="preserve"> </w:t>
      </w:r>
      <w:r>
        <w:rPr>
          <w:lang w:val="en-US"/>
        </w:rPr>
        <w:t>the</w:t>
      </w:r>
      <w:r>
        <w:t xml:space="preserve"> </w:t>
      </w:r>
      <w:r>
        <w:rPr>
          <w:lang w:val="en-US"/>
        </w:rPr>
        <w:t>CR</w:t>
      </w:r>
      <w:r>
        <w:t>, 1999.</w:t>
      </w:r>
    </w:p>
    <w:p w:rsidR="00000000" w:rsidRDefault="00000000"/>
    <w:p w:rsidR="00000000" w:rsidRDefault="00000000">
      <w:r>
        <w:t>360.</w:t>
      </w:r>
      <w:r>
        <w:tab/>
        <w:t>Ныне существующая система социальной помощи</w:t>
      </w:r>
      <w:r>
        <w:rPr>
          <w:rStyle w:val="FootnoteReference"/>
        </w:rPr>
        <w:footnoteReference w:id="218"/>
      </w:r>
      <w:r>
        <w:t xml:space="preserve"> подразделяется на два элемента:  пособия по социальной помощи и услуги социальной помощи.  Она призвана удовлетворить потребности граждан, оказавшихся по разным причинам в стесненных материальных обстоятельствах, прежде всего граждан, удовлетворяющих условиям, установленным в законе о социально нуждающихся лицах.  В ситуациях, в которых граждане не удовлетворяют этим условиям, они могут в соответствии с пунктом а) статьи 8 закона получать пособия и услуги в необходимом размере и объеме, если имеется серьезная угроза их здоровью.  Несовершеннолетний, не имеющий постоянного вида на жительство в Чешской Республике, может получать пособия и услуги лишь в случае опасности серьезного повреждения здоровья, а также в ситуациях угрозы его надлежащему воспитанию.</w:t>
      </w:r>
    </w:p>
    <w:p w:rsidR="00000000" w:rsidRDefault="00000000"/>
    <w:p w:rsidR="00000000" w:rsidRDefault="00000000">
      <w:r>
        <w:t>361.</w:t>
      </w:r>
      <w:r>
        <w:tab/>
        <w:t>Система социальной помощи нуждается в трансформации.  Изменения в системе должны обеспечить, чтобы при оказании помощи нуждающимся гражданам проводилась более четкая дифференциация размеров и формы помощи в соответствии с усилиями получателя помощи по решению своих проблем своими силами, в том числе с использованием своего имущества.  Кроме того, должны быть установлены четкие и осуществимые требования, касающиеся активных действий гражданина по решению своих социальных проблем и сотрудничества с соответствующим ведомством, при одновременном предоставлении более благоприятных условий за период, когда получатель помощи получает содействие от других систем социальной защиты (например, пособие по страхованию по болезни, пособие по безработице), однако пособия, выплачиваемые из этих систем, не позволяют удовлетворить его прожиточные потребности и потребности его семьи, по крайней мере в размере прожиточного минимума;  необходимо также проводить дифференциацию помощи в зависимости от продолжительности материальной нуждаемости.  Что касается социальных услуг, то параллельно со снижением некоторых традиционно предоставлявшихся услуг необходимо разработать новые виды услуг.  Мы считаем крайне важным деинституционализацию как в сфере образования детей, так и в сфере социального попечения за инвалидами.  Основным принципом должна стать поддержка использования своих способностей самими индивидами и семьями.</w:t>
      </w:r>
    </w:p>
    <w:p w:rsidR="00000000" w:rsidRDefault="00000000">
      <w:pPr>
        <w:spacing w:line="240" w:lineRule="auto"/>
      </w:pPr>
    </w:p>
    <w:p w:rsidR="00000000" w:rsidRDefault="00000000">
      <w:pPr>
        <w:pStyle w:val="14"/>
        <w:spacing w:line="240" w:lineRule="auto"/>
        <w:rPr>
          <w:bCs/>
          <w:u w:val="none"/>
        </w:rPr>
      </w:pPr>
      <w:r>
        <w:rPr>
          <w:bCs/>
          <w:u w:val="none"/>
        </w:rPr>
        <w:t>Статья 10</w:t>
      </w:r>
    </w:p>
    <w:p w:rsidR="00000000" w:rsidRDefault="00000000">
      <w:pPr>
        <w:pStyle w:val="14"/>
        <w:spacing w:line="240" w:lineRule="auto"/>
        <w:rPr>
          <w:bCs/>
          <w:u w:val="none"/>
        </w:rPr>
      </w:pPr>
    </w:p>
    <w:p w:rsidR="00000000" w:rsidRDefault="00000000">
      <w:pPr>
        <w:pStyle w:val="Heading2"/>
        <w:spacing w:line="240" w:lineRule="auto"/>
        <w:rPr>
          <w:b/>
          <w:bCs/>
          <w:u w:val="none"/>
        </w:rPr>
      </w:pPr>
      <w:r>
        <w:rPr>
          <w:b/>
          <w:bCs/>
          <w:u w:val="none"/>
        </w:rPr>
        <w:t>Пункт 1</w:t>
      </w:r>
    </w:p>
    <w:p w:rsidR="00000000" w:rsidRDefault="00000000">
      <w:pPr>
        <w:pStyle w:val="Heading2"/>
        <w:spacing w:line="240" w:lineRule="auto"/>
      </w:pPr>
    </w:p>
    <w:p w:rsidR="00000000" w:rsidRDefault="00000000">
      <w:r>
        <w:t>362.</w:t>
      </w:r>
      <w:r>
        <w:tab/>
        <w:t>Основные принципы защиты семьи и оказания помощи семье содержатся в статье 32 Хартии:</w:t>
      </w:r>
    </w:p>
    <w:p w:rsidR="00000000" w:rsidRDefault="00000000"/>
    <w:p w:rsidR="00000000" w:rsidRDefault="00000000">
      <w:pPr>
        <w:ind w:left="567" w:hanging="567"/>
      </w:pPr>
      <w:r>
        <w:tab/>
        <w:t>"1)</w:t>
      </w:r>
      <w:r>
        <w:tab/>
        <w:t>Родительские права и семья защищаются законом.  Особая защита предоставляется детям и подросткам.</w:t>
      </w:r>
    </w:p>
    <w:p w:rsidR="00000000" w:rsidRDefault="00000000">
      <w:pPr>
        <w:ind w:left="567" w:hanging="567"/>
      </w:pPr>
    </w:p>
    <w:p w:rsidR="00000000" w:rsidRDefault="00000000">
      <w:pPr>
        <w:ind w:left="567" w:hanging="567"/>
      </w:pPr>
      <w:r>
        <w:tab/>
        <w:t>2)</w:t>
      </w:r>
      <w:r>
        <w:tab/>
        <w:t>Беременным женщинам гарантируется особый уход, защита в сфере трудовых отношений и приемлемые условия труда.</w:t>
      </w:r>
    </w:p>
    <w:p w:rsidR="00000000" w:rsidRDefault="00000000">
      <w:pPr>
        <w:ind w:left="567" w:hanging="567"/>
      </w:pPr>
    </w:p>
    <w:p w:rsidR="00000000" w:rsidRDefault="00000000">
      <w:pPr>
        <w:ind w:left="567" w:hanging="567"/>
      </w:pPr>
      <w:r>
        <w:tab/>
        <w:t>3)</w:t>
      </w:r>
      <w:r>
        <w:tab/>
        <w:t>Дети, рожденные как в браке, так и вне брака, пользуются равными правами.</w:t>
      </w:r>
    </w:p>
    <w:p w:rsidR="00000000" w:rsidRDefault="00000000">
      <w:pPr>
        <w:ind w:left="567" w:hanging="567"/>
      </w:pPr>
    </w:p>
    <w:p w:rsidR="00000000" w:rsidRDefault="00000000">
      <w:pPr>
        <w:ind w:left="567" w:hanging="567"/>
      </w:pPr>
      <w:r>
        <w:tab/>
        <w:t>4)</w:t>
      </w:r>
      <w:r>
        <w:tab/>
        <w:t>Родители имеют право обеспечивать уход за детьми и воспитывать детей;  дети имеют право на воспитание и уход со стороны своих родителей.  Права родителей могут быть ограничены, и несовершеннолетние дети могут быть отобраны у своих родителей против воли последних лишь по решению суда на основе закона.</w:t>
      </w:r>
    </w:p>
    <w:p w:rsidR="00000000" w:rsidRDefault="00000000">
      <w:pPr>
        <w:ind w:left="567" w:hanging="567"/>
      </w:pPr>
    </w:p>
    <w:p w:rsidR="00000000" w:rsidRDefault="00000000">
      <w:pPr>
        <w:ind w:left="567" w:hanging="567"/>
      </w:pPr>
      <w:r>
        <w:tab/>
        <w:t>5)</w:t>
      </w:r>
      <w:r>
        <w:tab/>
        <w:t>Родители, воспитывающие детей, имеют право на помощь со стороны государства.</w:t>
      </w:r>
    </w:p>
    <w:p w:rsidR="00000000" w:rsidRDefault="00000000">
      <w:pPr>
        <w:ind w:left="567" w:hanging="567"/>
      </w:pPr>
    </w:p>
    <w:p w:rsidR="00000000" w:rsidRDefault="00000000">
      <w:pPr>
        <w:ind w:left="567" w:hanging="567"/>
        <w:rPr>
          <w:i/>
          <w:iCs/>
        </w:rPr>
      </w:pPr>
      <w:r>
        <w:tab/>
        <w:t>6)</w:t>
      </w:r>
      <w:r>
        <w:tab/>
        <w:t>Более подробные положения устанавливаются законодательством".</w:t>
      </w:r>
    </w:p>
    <w:p w:rsidR="00000000" w:rsidRDefault="00000000">
      <w:pPr>
        <w:ind w:left="567" w:hanging="567"/>
        <w:rPr>
          <w:i/>
          <w:iCs/>
        </w:rPr>
      </w:pPr>
    </w:p>
    <w:p w:rsidR="00000000" w:rsidRDefault="00000000">
      <w:r>
        <w:t>363.</w:t>
      </w:r>
      <w:r>
        <w:tab/>
        <w:t xml:space="preserve">В Чешской Республике семья понимается как пара в составе женщины и мужчины (обычно состоящих в браке) и их детей.  Таким образом, семейные отношения означают отношения между родителями и братьями и сестрами.  Однако некоторые правовые нормы (особенно касающиеся социального обеспечения) используют концепцию хозяйства вместо базового понятия семьи (мужчина, женщина и дети).  Хозяйство означает группу лиц, живущих в одной квартире и совместно ведущих домашнее хозяйство (жилищная или экономическая единица).  В Чешской Республике хозяйство в большинстве случаев означает непосредственную семью, однако оно может также включать и других лиц.  </w:t>
      </w:r>
    </w:p>
    <w:p w:rsidR="00000000" w:rsidRDefault="00000000"/>
    <w:p w:rsidR="00000000" w:rsidRDefault="00000000">
      <w:r>
        <w:t>364.</w:t>
      </w:r>
      <w:r>
        <w:tab/>
        <w:t>Защита семьи, а также права и обязанности ее членов регулируются Законом о семье и соответствующими подзаконными актами.  Закон о семье регулирует вопросы, касающиеся заключения брака, взаимоотношений между супругами, развода, взаимоотношений между родителями и детьми, социально</w:t>
      </w:r>
      <w:r>
        <w:noBreakHyphen/>
        <w:t>правовой защиты детей, установления происхождения детей, усыновления, опеки и попечительства и алиментных обязательств.  Он гарантирует, что выбор партнера по браку является личным вопросом и что брак, основная цель которого заключается в создании семьи и надлежащем воспитании детей, заключается между женихом и невестой на основе добровольного решения обоих создать гармоничную, прочную и постоянную семейную единицу.  Многоженство запрещено.  Согласно закону о семье допускается как гражданский, так и религиозный брак.</w:t>
      </w:r>
    </w:p>
    <w:p w:rsidR="00000000" w:rsidRDefault="00000000"/>
    <w:p w:rsidR="00000000" w:rsidRDefault="00000000">
      <w:r>
        <w:br w:type="page"/>
        <w:t>365.</w:t>
      </w:r>
      <w:r>
        <w:tab/>
        <w:t>Закон о семье предусматривает, что несовершеннолетние лица, т.е. лица, не достигшие 18</w:t>
      </w:r>
      <w:r>
        <w:noBreakHyphen/>
        <w:t>летнего возраста, не могут вступать в брак.  В исключительных случаях, если это соответствует социальной цели брака, суд может, руководствуясь серьезными причинами, допустить вступление в брак несовершеннолетнего лица, не достигшего 16</w:t>
      </w:r>
      <w:r>
        <w:noBreakHyphen/>
        <w:t>летнего возраста.  Без такого разрешения брак считается недействительным.  Запрещается также вступление в брак лиц, лишенных дееспособности.</w:t>
      </w:r>
    </w:p>
    <w:p w:rsidR="00000000" w:rsidRDefault="00000000"/>
    <w:p w:rsidR="00000000" w:rsidRDefault="00000000">
      <w:r>
        <w:t>366.</w:t>
      </w:r>
      <w:r>
        <w:tab/>
        <w:t>Равный правовой статус супругов опирается, в частности, на понятие совместной собственности супругов</w:t>
      </w:r>
      <w:r>
        <w:rPr>
          <w:rStyle w:val="FootnoteReference"/>
        </w:rPr>
        <w:footnoteReference w:id="219"/>
      </w:r>
      <w:r>
        <w:t>.  Такая собственность включает любое имущество, приобретенное одним из супругов во время нахождения в браке, за исключением имущества, приобретенного в виде наследства или подарка, и имущества, которое по своему характеру служит для удовлетворения личных потребностей или осуществления профессиональной деятельности одного из супругов.</w:t>
      </w:r>
    </w:p>
    <w:p w:rsidR="00000000" w:rsidRDefault="00000000"/>
    <w:p w:rsidR="00000000" w:rsidRDefault="00000000">
      <w:r>
        <w:t>367.</w:t>
      </w:r>
      <w:r>
        <w:tab/>
        <w:t>Во время нахождения в браке супруги имеют равные права и обязанности.  Оба супруга должны заботиться об удовлетворении потребностей семьи в соответствии с их способностями и возможностями.  Они совместно решают семейные вопросы.  Закон о семье также предусматривает совместное несение алиментных обязательств.  Размер алиментных обязательств устанавливается таким образом, чтобы материальный и культурный уровень обоих супругов был в целом равен.</w:t>
      </w:r>
    </w:p>
    <w:p w:rsidR="00000000" w:rsidRDefault="00000000"/>
    <w:p w:rsidR="00000000" w:rsidRDefault="00000000">
      <w:r>
        <w:t>368.</w:t>
      </w:r>
      <w:r>
        <w:tab/>
        <w:t>Родители играют решающую роль в воспитании детей, и поэтому оба родителя имеют права и обязанности.  Родители имеют право и должны представлять интересы своих несовершеннолетних детей и решать вопросы, возникающие в их повседневной жизни.  Однако, если этого требуют интересы ребенка, суд может передать ребенка на воспитание иного лица, помимо родителей.</w:t>
      </w:r>
    </w:p>
    <w:p w:rsidR="00000000" w:rsidRDefault="00000000"/>
    <w:p w:rsidR="00000000" w:rsidRDefault="00000000">
      <w:r>
        <w:t>369.</w:t>
      </w:r>
      <w:r>
        <w:tab/>
        <w:t>Недавно принятая поправка к Закону о семье 1998 года предусматривает значительные изменения в существовавшей ранее ситуации.  Эта поправка касается, в частности, правового регулирования взаимоотношений между супругами и порядка развода (статьи 24</w:t>
      </w:r>
      <w:r>
        <w:noBreakHyphen/>
        <w:t>29 закона).  Была также расширена сфера охвата концепции родительской ответственности, и были усилены правовые нормы, регулирующие усыновление детей и установление опеки над ними.</w:t>
      </w:r>
    </w:p>
    <w:p w:rsidR="00000000" w:rsidRDefault="00000000"/>
    <w:p w:rsidR="00000000" w:rsidRDefault="00000000">
      <w:r>
        <w:t>370.</w:t>
      </w:r>
      <w:r>
        <w:tab/>
        <w:t>Закон с внесенными в него поправками допускает развод по взаимному согласию обоих супругов.  Закон также предусматривает, что суд может прекратить брак, если брачный союз претерпел столь глубокие и необратимые изменения, что нет никаких оснований рассчитывать на воссоединение супругов, принимая во внимание причины разрыва.  Существовавший ранее объективный принцип развода сохранился в общих нормах, регулирующих развод, и претерпел лишь редакционные поправки.  Разрыв определяется как глубокая и постоянная несовместимость, когда нет оснований рассчитывать на возобновление супружеского союза.  Суду необходимо определить объективную ситуацию, т.е. является ли разрыв действительно глубоким и постоянным</w:t>
      </w:r>
      <w:r>
        <w:rPr>
          <w:rStyle w:val="FootnoteReference"/>
        </w:rPr>
        <w:footnoteReference w:id="220"/>
      </w:r>
      <w:r>
        <w:t>.</w:t>
      </w:r>
    </w:p>
    <w:p w:rsidR="00000000" w:rsidRDefault="00000000"/>
    <w:p w:rsidR="00000000" w:rsidRDefault="00000000">
      <w:r>
        <w:t>371.</w:t>
      </w:r>
      <w:r>
        <w:tab/>
        <w:t>При наличии у супругов несовершеннолетних детей брак не может быть расторгнут, если это будет противоречить интересам детей вследствие причин особого характера.  В отличие от первоначальной формулировки закона это позволяет усилить защиту несовершеннолетних детей и сохраняет непрерывный характер совместного принятия решений в отношении ребенка.  Новая норма также позволяет судам, когда для этого имеются соответствующие основания и когда это отвечает интересам ребенка, принимать решение о том, что ребенок будет воспитываться поочередно или совместно обоими родителями.</w:t>
      </w:r>
    </w:p>
    <w:p w:rsidR="00000000" w:rsidRDefault="00000000"/>
    <w:p w:rsidR="00000000" w:rsidRDefault="00000000">
      <w:r>
        <w:t>372.</w:t>
      </w:r>
      <w:r>
        <w:tab/>
        <w:t>Если брак длился по меньшей мере один год, супруги не проживали совместно как минимум шесть месяцев и второй супруг присоединяется к заявлению о разводе, то считается, что условия для развода выполнены.  В этом случае суд не устанавливает причину разрыва и прекращает действие брака по получении письменных согласий, определяющих урегулирование имущественных отношений после развода, права и обязанности в отношении совместного имущества и любых алиментных обязанностей, а также по получении имеющего юридическую силу судебного решения, одобряющего соглашение об уходе за несовершеннолетними детьми после развода.  Новым элементом, по сравнению с первоначальным законом, является предоставляемая супругам возможность осуществлять всеобъемлющее регулирование расторжения брака и своих будущих взаимоотношений на основе согласия, которая в максимальной степени ограничивает конфликтную ситуацию между разводящимися супругами, в особенности если они также являются родителями несовершеннолетнего ребенка.</w:t>
      </w:r>
    </w:p>
    <w:p w:rsidR="00000000" w:rsidRDefault="00000000"/>
    <w:p w:rsidR="00000000" w:rsidRDefault="00000000">
      <w:r>
        <w:t>373.</w:t>
      </w:r>
      <w:r>
        <w:tab/>
        <w:t>Брак не может быть расторгнут, если один из супругов не согласен на развод и не способствовал развалу брачных отношений путем нарушения брачных обязанностей или если развод нанесет ему серьезный ущерб, при условии, что чрезвычайные обстоятельства свидетельствуют в пользу сохранения брака.  Чрезвычайные обстоятельства включают возраст, экономическую зависимость или состояние здоровья.  Эта норма не означает учреждения принципа вины, а предусматривает защиту интересов того супруга, которому расторжение брака в данном конкретном случае нанесет значительный ущерб.</w:t>
      </w:r>
    </w:p>
    <w:p w:rsidR="00000000" w:rsidRDefault="00000000"/>
    <w:p w:rsidR="00000000" w:rsidRDefault="00000000">
      <w:r>
        <w:t>374.</w:t>
      </w:r>
      <w:r>
        <w:tab/>
        <w:t xml:space="preserve">Пока что не прошло достаточно времени для того, чтобы поправки к Закону о семье привели к каким-либо последствиям, в том что касается числа разводов.  Число разводов является более или менее стабильным так же, как и тот факт, что более часто на развод подают женщины.  В настоящее время наблюдается снижение доли разводов между супругами, имеющими несовершеннолетних детей. </w:t>
      </w:r>
    </w:p>
    <w:p w:rsidR="00000000" w:rsidRDefault="00000000"/>
    <w:p w:rsidR="00000000" w:rsidRDefault="00000000">
      <w:pPr>
        <w:pStyle w:val="Heading1"/>
        <w:jc w:val="center"/>
        <w:rPr>
          <w:bCs/>
        </w:rPr>
      </w:pPr>
      <w:r>
        <w:rPr>
          <w:bCs/>
        </w:rPr>
        <w:t>Разводы</w:t>
      </w:r>
    </w:p>
    <w:p w:rsidR="00000000" w:rsidRDefault="00000000"/>
    <w:tbl>
      <w:tblPr>
        <w:tblW w:w="9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
        <w:gridCol w:w="1891"/>
        <w:gridCol w:w="1683"/>
        <w:gridCol w:w="1360"/>
        <w:gridCol w:w="1258"/>
        <w:gridCol w:w="748"/>
        <w:gridCol w:w="2057"/>
      </w:tblGrid>
      <w:tr w:rsidR="00000000">
        <w:tblPrEx>
          <w:tblCellMar>
            <w:top w:w="0" w:type="dxa"/>
            <w:bottom w:w="0" w:type="dxa"/>
          </w:tblCellMar>
        </w:tblPrEx>
        <w:trPr>
          <w:cantSplit/>
        </w:trPr>
        <w:tc>
          <w:tcPr>
            <w:tcW w:w="597" w:type="dxa"/>
            <w:vMerge w:val="restart"/>
            <w:tcBorders>
              <w:left w:val="single" w:sz="4" w:space="0" w:color="auto"/>
              <w:right w:val="single" w:sz="4" w:space="0" w:color="auto"/>
            </w:tcBorders>
            <w:tcMar>
              <w:left w:w="57" w:type="dxa"/>
              <w:right w:w="57" w:type="dxa"/>
            </w:tcMar>
            <w:vAlign w:val="center"/>
          </w:tcPr>
          <w:p w:rsidR="00000000" w:rsidRDefault="00000000">
            <w:pPr>
              <w:pStyle w:val="16"/>
              <w:spacing w:line="240" w:lineRule="auto"/>
              <w:rPr>
                <w:sz w:val="22"/>
              </w:rPr>
            </w:pPr>
            <w:r>
              <w:rPr>
                <w:sz w:val="22"/>
              </w:rPr>
              <w:t>Год</w:t>
            </w:r>
          </w:p>
        </w:tc>
        <w:tc>
          <w:tcPr>
            <w:tcW w:w="1891" w:type="dxa"/>
            <w:vMerge w:val="restart"/>
            <w:tcBorders>
              <w:left w:val="single" w:sz="4" w:space="0" w:color="auto"/>
              <w:right w:val="single" w:sz="4" w:space="0" w:color="auto"/>
            </w:tcBorders>
            <w:tcMar>
              <w:left w:w="57" w:type="dxa"/>
              <w:right w:w="57" w:type="dxa"/>
            </w:tcMar>
            <w:vAlign w:val="center"/>
          </w:tcPr>
          <w:p w:rsidR="00000000" w:rsidRDefault="00000000">
            <w:pPr>
              <w:pStyle w:val="FootnoteText"/>
              <w:jc w:val="center"/>
              <w:rPr>
                <w:sz w:val="22"/>
              </w:rPr>
            </w:pPr>
            <w:r>
              <w:rPr>
                <w:sz w:val="22"/>
              </w:rPr>
              <w:t>Число ходатайств о расторжении брака</w:t>
            </w:r>
          </w:p>
        </w:tc>
        <w:tc>
          <w:tcPr>
            <w:tcW w:w="1683" w:type="dxa"/>
            <w:vMerge w:val="restart"/>
            <w:tcBorders>
              <w:left w:val="single" w:sz="4" w:space="0" w:color="auto"/>
              <w:right w:val="single" w:sz="4" w:space="0" w:color="auto"/>
            </w:tcBorders>
            <w:tcMar>
              <w:left w:w="57" w:type="dxa"/>
              <w:right w:w="57" w:type="dxa"/>
            </w:tcMar>
            <w:vAlign w:val="center"/>
          </w:tcPr>
          <w:p w:rsidR="00000000" w:rsidRDefault="00000000">
            <w:pPr>
              <w:spacing w:line="240" w:lineRule="auto"/>
              <w:jc w:val="center"/>
              <w:rPr>
                <w:sz w:val="22"/>
              </w:rPr>
            </w:pPr>
            <w:r>
              <w:rPr>
                <w:sz w:val="22"/>
              </w:rPr>
              <w:t>Утвержденные ходатайства о расторжении брака</w:t>
            </w:r>
          </w:p>
          <w:p w:rsidR="00000000" w:rsidRDefault="00000000">
            <w:pPr>
              <w:spacing w:line="240" w:lineRule="auto"/>
              <w:jc w:val="center"/>
              <w:rPr>
                <w:sz w:val="22"/>
              </w:rPr>
            </w:pPr>
            <w:r>
              <w:rPr>
                <w:sz w:val="22"/>
              </w:rPr>
              <w:t>(в %)</w:t>
            </w:r>
          </w:p>
        </w:tc>
        <w:tc>
          <w:tcPr>
            <w:tcW w:w="2618" w:type="dxa"/>
            <w:gridSpan w:val="2"/>
            <w:tcBorders>
              <w:left w:val="single" w:sz="4" w:space="0" w:color="auto"/>
              <w:bottom w:val="single" w:sz="4" w:space="0" w:color="auto"/>
              <w:right w:val="single" w:sz="4" w:space="0" w:color="auto"/>
            </w:tcBorders>
            <w:tcMar>
              <w:left w:w="57" w:type="dxa"/>
              <w:right w:w="57" w:type="dxa"/>
            </w:tcMar>
            <w:vAlign w:val="center"/>
          </w:tcPr>
          <w:p w:rsidR="00000000" w:rsidRDefault="00000000">
            <w:pPr>
              <w:spacing w:line="240" w:lineRule="auto"/>
              <w:jc w:val="center"/>
              <w:rPr>
                <w:sz w:val="22"/>
              </w:rPr>
            </w:pPr>
            <w:r>
              <w:rPr>
                <w:sz w:val="22"/>
              </w:rPr>
              <w:t>Сторона, обратившаяся с ходатайством</w:t>
            </w:r>
          </w:p>
        </w:tc>
        <w:tc>
          <w:tcPr>
            <w:tcW w:w="2805" w:type="dxa"/>
            <w:gridSpan w:val="2"/>
            <w:tcBorders>
              <w:left w:val="single" w:sz="4" w:space="0" w:color="auto"/>
              <w:bottom w:val="single" w:sz="4" w:space="0" w:color="auto"/>
              <w:right w:val="single" w:sz="4" w:space="0" w:color="auto"/>
            </w:tcBorders>
            <w:vAlign w:val="center"/>
          </w:tcPr>
          <w:p w:rsidR="00000000" w:rsidRDefault="00000000">
            <w:pPr>
              <w:spacing w:line="240" w:lineRule="auto"/>
              <w:jc w:val="center"/>
              <w:rPr>
                <w:sz w:val="22"/>
              </w:rPr>
            </w:pPr>
            <w:r>
              <w:rPr>
                <w:sz w:val="22"/>
              </w:rPr>
              <w:t>Расторгнутые браки при наличии несовершеннолетних детей</w:t>
            </w:r>
          </w:p>
        </w:tc>
      </w:tr>
      <w:tr w:rsidR="00000000">
        <w:tblPrEx>
          <w:tblCellMar>
            <w:top w:w="0" w:type="dxa"/>
            <w:bottom w:w="0" w:type="dxa"/>
          </w:tblCellMar>
        </w:tblPrEx>
        <w:trPr>
          <w:cantSplit/>
        </w:trPr>
        <w:tc>
          <w:tcPr>
            <w:tcW w:w="597" w:type="dxa"/>
            <w:vMerge/>
            <w:tcBorders>
              <w:left w:val="single" w:sz="4" w:space="0" w:color="auto"/>
              <w:bottom w:val="single" w:sz="4" w:space="0" w:color="auto"/>
              <w:right w:val="single" w:sz="4" w:space="0" w:color="auto"/>
            </w:tcBorders>
            <w:tcMar>
              <w:left w:w="57" w:type="dxa"/>
              <w:right w:w="57" w:type="dxa"/>
            </w:tcMar>
          </w:tcPr>
          <w:p w:rsidR="00000000" w:rsidRDefault="00000000">
            <w:pPr>
              <w:spacing w:line="240" w:lineRule="auto"/>
              <w:jc w:val="center"/>
              <w:rPr>
                <w:sz w:val="22"/>
              </w:rPr>
            </w:pPr>
          </w:p>
        </w:tc>
        <w:tc>
          <w:tcPr>
            <w:tcW w:w="1891" w:type="dxa"/>
            <w:vMerge/>
            <w:tcBorders>
              <w:left w:val="single" w:sz="4" w:space="0" w:color="auto"/>
              <w:bottom w:val="single" w:sz="4" w:space="0" w:color="auto"/>
              <w:right w:val="single" w:sz="4" w:space="0" w:color="auto"/>
            </w:tcBorders>
            <w:tcMar>
              <w:left w:w="57" w:type="dxa"/>
              <w:right w:w="57" w:type="dxa"/>
            </w:tcMar>
          </w:tcPr>
          <w:p w:rsidR="00000000" w:rsidRDefault="00000000">
            <w:pPr>
              <w:spacing w:line="240" w:lineRule="auto"/>
              <w:jc w:val="center"/>
              <w:rPr>
                <w:sz w:val="22"/>
              </w:rPr>
            </w:pPr>
          </w:p>
        </w:tc>
        <w:tc>
          <w:tcPr>
            <w:tcW w:w="1683" w:type="dxa"/>
            <w:vMerge/>
            <w:tcBorders>
              <w:left w:val="single" w:sz="4" w:space="0" w:color="auto"/>
              <w:bottom w:val="single" w:sz="4" w:space="0" w:color="auto"/>
              <w:right w:val="single" w:sz="4" w:space="0" w:color="auto"/>
            </w:tcBorders>
            <w:tcMar>
              <w:left w:w="57" w:type="dxa"/>
              <w:right w:w="57" w:type="dxa"/>
            </w:tcMar>
            <w:vAlign w:val="center"/>
          </w:tcPr>
          <w:p w:rsidR="00000000" w:rsidRDefault="00000000">
            <w:pPr>
              <w:spacing w:line="240" w:lineRule="auto"/>
              <w:jc w:val="center"/>
              <w:rPr>
                <w:sz w:val="22"/>
              </w:rPr>
            </w:pPr>
          </w:p>
        </w:tc>
        <w:tc>
          <w:tcPr>
            <w:tcW w:w="136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spacing w:line="240" w:lineRule="auto"/>
              <w:jc w:val="center"/>
              <w:rPr>
                <w:sz w:val="22"/>
              </w:rPr>
            </w:pPr>
            <w:r>
              <w:rPr>
                <w:sz w:val="22"/>
              </w:rPr>
              <w:t>Мужчина</w:t>
            </w:r>
          </w:p>
        </w:tc>
        <w:tc>
          <w:tcPr>
            <w:tcW w:w="12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 w:val="22"/>
              </w:rPr>
            </w:pPr>
            <w:r>
              <w:rPr>
                <w:sz w:val="22"/>
              </w:rPr>
              <w:t>Женщина</w:t>
            </w:r>
          </w:p>
        </w:tc>
        <w:tc>
          <w:tcPr>
            <w:tcW w:w="74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spacing w:line="240" w:lineRule="auto"/>
              <w:jc w:val="center"/>
              <w:rPr>
                <w:sz w:val="22"/>
              </w:rPr>
            </w:pPr>
            <w:r>
              <w:rPr>
                <w:sz w:val="22"/>
              </w:rPr>
              <w:t>Всего</w:t>
            </w:r>
          </w:p>
        </w:tc>
        <w:tc>
          <w:tcPr>
            <w:tcW w:w="2057"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spacing w:line="240" w:lineRule="auto"/>
              <w:rPr>
                <w:sz w:val="22"/>
              </w:rPr>
            </w:pPr>
            <w:r>
              <w:rPr>
                <w:sz w:val="22"/>
              </w:rPr>
              <w:t>Процент от общего количества разводов</w:t>
            </w:r>
          </w:p>
        </w:tc>
      </w:tr>
      <w:tr w:rsidR="00000000">
        <w:tblPrEx>
          <w:tblCellMar>
            <w:top w:w="0" w:type="dxa"/>
            <w:bottom w:w="0" w:type="dxa"/>
          </w:tblCellMar>
        </w:tblPrEx>
        <w:tc>
          <w:tcPr>
            <w:tcW w:w="597" w:type="dxa"/>
            <w:tcBorders>
              <w:top w:val="single" w:sz="4" w:space="0" w:color="auto"/>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1994</w:t>
            </w:r>
          </w:p>
        </w:tc>
        <w:tc>
          <w:tcPr>
            <w:tcW w:w="1891" w:type="dxa"/>
            <w:tcBorders>
              <w:top w:val="single" w:sz="4" w:space="0" w:color="auto"/>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38 614</w:t>
            </w:r>
          </w:p>
        </w:tc>
        <w:tc>
          <w:tcPr>
            <w:tcW w:w="1683" w:type="dxa"/>
            <w:tcBorders>
              <w:top w:val="single" w:sz="4" w:space="0" w:color="auto"/>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80,1</w:t>
            </w:r>
          </w:p>
        </w:tc>
        <w:tc>
          <w:tcPr>
            <w:tcW w:w="1360" w:type="dxa"/>
            <w:tcBorders>
              <w:top w:val="single" w:sz="4" w:space="0" w:color="auto"/>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12 321</w:t>
            </w:r>
          </w:p>
        </w:tc>
        <w:tc>
          <w:tcPr>
            <w:tcW w:w="1258" w:type="dxa"/>
            <w:tcBorders>
              <w:top w:val="single" w:sz="4" w:space="0" w:color="auto"/>
              <w:left w:val="single" w:sz="4" w:space="0" w:color="auto"/>
              <w:bottom w:val="nil"/>
              <w:right w:val="single" w:sz="4" w:space="0" w:color="auto"/>
            </w:tcBorders>
          </w:tcPr>
          <w:p w:rsidR="00000000" w:rsidRDefault="00000000">
            <w:pPr>
              <w:jc w:val="center"/>
              <w:rPr>
                <w:sz w:val="22"/>
              </w:rPr>
            </w:pPr>
            <w:r>
              <w:rPr>
                <w:sz w:val="22"/>
              </w:rPr>
              <w:t>26 267</w:t>
            </w:r>
          </w:p>
        </w:tc>
        <w:tc>
          <w:tcPr>
            <w:tcW w:w="748" w:type="dxa"/>
            <w:tcBorders>
              <w:top w:val="single" w:sz="4" w:space="0" w:color="auto"/>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22 289</w:t>
            </w:r>
          </w:p>
        </w:tc>
        <w:tc>
          <w:tcPr>
            <w:tcW w:w="2057" w:type="dxa"/>
            <w:tcBorders>
              <w:top w:val="single" w:sz="4" w:space="0" w:color="auto"/>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72,0</w:t>
            </w:r>
          </w:p>
        </w:tc>
      </w:tr>
      <w:tr w:rsidR="00000000">
        <w:tblPrEx>
          <w:tblCellMar>
            <w:top w:w="0" w:type="dxa"/>
            <w:bottom w:w="0" w:type="dxa"/>
          </w:tblCellMar>
        </w:tblPrEx>
        <w:tc>
          <w:tcPr>
            <w:tcW w:w="597"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1995</w:t>
            </w:r>
          </w:p>
        </w:tc>
        <w:tc>
          <w:tcPr>
            <w:tcW w:w="1891"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38 766</w:t>
            </w:r>
          </w:p>
        </w:tc>
        <w:tc>
          <w:tcPr>
            <w:tcW w:w="1683"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80,3</w:t>
            </w:r>
          </w:p>
        </w:tc>
        <w:tc>
          <w:tcPr>
            <w:tcW w:w="1360"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12 400</w:t>
            </w:r>
          </w:p>
        </w:tc>
        <w:tc>
          <w:tcPr>
            <w:tcW w:w="1258" w:type="dxa"/>
            <w:tcBorders>
              <w:top w:val="nil"/>
              <w:left w:val="single" w:sz="4" w:space="0" w:color="auto"/>
              <w:bottom w:val="nil"/>
              <w:right w:val="single" w:sz="4" w:space="0" w:color="auto"/>
            </w:tcBorders>
          </w:tcPr>
          <w:p w:rsidR="00000000" w:rsidRDefault="00000000">
            <w:pPr>
              <w:jc w:val="center"/>
              <w:rPr>
                <w:sz w:val="22"/>
              </w:rPr>
            </w:pPr>
            <w:r>
              <w:rPr>
                <w:sz w:val="22"/>
              </w:rPr>
              <w:t>26 362</w:t>
            </w:r>
          </w:p>
        </w:tc>
        <w:tc>
          <w:tcPr>
            <w:tcW w:w="748"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22 108</w:t>
            </w:r>
          </w:p>
        </w:tc>
        <w:tc>
          <w:tcPr>
            <w:tcW w:w="2057"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71,0</w:t>
            </w:r>
          </w:p>
        </w:tc>
      </w:tr>
      <w:tr w:rsidR="00000000">
        <w:tblPrEx>
          <w:tblCellMar>
            <w:top w:w="0" w:type="dxa"/>
            <w:bottom w:w="0" w:type="dxa"/>
          </w:tblCellMar>
        </w:tblPrEx>
        <w:tc>
          <w:tcPr>
            <w:tcW w:w="597"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1996</w:t>
            </w:r>
          </w:p>
        </w:tc>
        <w:tc>
          <w:tcPr>
            <w:tcW w:w="1891"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40 451</w:t>
            </w:r>
          </w:p>
        </w:tc>
        <w:tc>
          <w:tcPr>
            <w:tcW w:w="1683"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81,9</w:t>
            </w:r>
          </w:p>
        </w:tc>
        <w:tc>
          <w:tcPr>
            <w:tcW w:w="1360"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13 201</w:t>
            </w:r>
          </w:p>
        </w:tc>
        <w:tc>
          <w:tcPr>
            <w:tcW w:w="1258" w:type="dxa"/>
            <w:tcBorders>
              <w:top w:val="nil"/>
              <w:left w:val="single" w:sz="4" w:space="0" w:color="auto"/>
              <w:bottom w:val="nil"/>
              <w:right w:val="single" w:sz="4" w:space="0" w:color="auto"/>
            </w:tcBorders>
          </w:tcPr>
          <w:p w:rsidR="00000000" w:rsidRDefault="00000000">
            <w:pPr>
              <w:jc w:val="center"/>
              <w:rPr>
                <w:sz w:val="22"/>
              </w:rPr>
            </w:pPr>
            <w:r>
              <w:rPr>
                <w:sz w:val="22"/>
              </w:rPr>
              <w:t>27 249</w:t>
            </w:r>
          </w:p>
        </w:tc>
        <w:tc>
          <w:tcPr>
            <w:tcW w:w="748"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23 438</w:t>
            </w:r>
          </w:p>
        </w:tc>
        <w:tc>
          <w:tcPr>
            <w:tcW w:w="2057"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70,8</w:t>
            </w:r>
          </w:p>
        </w:tc>
      </w:tr>
      <w:tr w:rsidR="00000000">
        <w:tblPrEx>
          <w:tblCellMar>
            <w:top w:w="0" w:type="dxa"/>
            <w:bottom w:w="0" w:type="dxa"/>
          </w:tblCellMar>
        </w:tblPrEx>
        <w:tc>
          <w:tcPr>
            <w:tcW w:w="597"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1997</w:t>
            </w:r>
          </w:p>
        </w:tc>
        <w:tc>
          <w:tcPr>
            <w:tcW w:w="1891"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39 592</w:t>
            </w:r>
          </w:p>
        </w:tc>
        <w:tc>
          <w:tcPr>
            <w:tcW w:w="1683"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82,0</w:t>
            </w:r>
          </w:p>
        </w:tc>
        <w:tc>
          <w:tcPr>
            <w:tcW w:w="1360"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12 450</w:t>
            </w:r>
          </w:p>
        </w:tc>
        <w:tc>
          <w:tcPr>
            <w:tcW w:w="1258" w:type="dxa"/>
            <w:tcBorders>
              <w:top w:val="nil"/>
              <w:left w:val="single" w:sz="4" w:space="0" w:color="auto"/>
              <w:bottom w:val="nil"/>
              <w:right w:val="single" w:sz="4" w:space="0" w:color="auto"/>
            </w:tcBorders>
          </w:tcPr>
          <w:p w:rsidR="00000000" w:rsidRDefault="00000000">
            <w:pPr>
              <w:jc w:val="center"/>
              <w:rPr>
                <w:sz w:val="22"/>
              </w:rPr>
            </w:pPr>
            <w:r>
              <w:rPr>
                <w:sz w:val="22"/>
              </w:rPr>
              <w:t>27 141</w:t>
            </w:r>
          </w:p>
        </w:tc>
        <w:tc>
          <w:tcPr>
            <w:tcW w:w="748"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22 603</w:t>
            </w:r>
          </w:p>
        </w:tc>
        <w:tc>
          <w:tcPr>
            <w:tcW w:w="2057" w:type="dxa"/>
            <w:tcBorders>
              <w:top w:val="nil"/>
              <w:left w:val="single" w:sz="4" w:space="0" w:color="auto"/>
              <w:bottom w:val="nil"/>
              <w:right w:val="single" w:sz="4" w:space="0" w:color="auto"/>
            </w:tcBorders>
            <w:tcMar>
              <w:left w:w="57" w:type="dxa"/>
              <w:right w:w="57" w:type="dxa"/>
            </w:tcMar>
          </w:tcPr>
          <w:p w:rsidR="00000000" w:rsidRDefault="00000000">
            <w:pPr>
              <w:jc w:val="center"/>
              <w:rPr>
                <w:sz w:val="22"/>
              </w:rPr>
            </w:pPr>
            <w:r>
              <w:rPr>
                <w:sz w:val="22"/>
              </w:rPr>
              <w:t>69,6</w:t>
            </w:r>
          </w:p>
        </w:tc>
      </w:tr>
      <w:tr w:rsidR="00000000">
        <w:tblPrEx>
          <w:tblCellMar>
            <w:top w:w="0" w:type="dxa"/>
            <w:bottom w:w="0" w:type="dxa"/>
          </w:tblCellMar>
        </w:tblPrEx>
        <w:tc>
          <w:tcPr>
            <w:tcW w:w="597" w:type="dxa"/>
            <w:tcBorders>
              <w:top w:val="nil"/>
              <w:left w:val="single" w:sz="4" w:space="0" w:color="auto"/>
              <w:bottom w:val="single" w:sz="4" w:space="0" w:color="auto"/>
              <w:right w:val="single" w:sz="4" w:space="0" w:color="auto"/>
            </w:tcBorders>
            <w:tcMar>
              <w:left w:w="57" w:type="dxa"/>
              <w:right w:w="57" w:type="dxa"/>
            </w:tcMar>
          </w:tcPr>
          <w:p w:rsidR="00000000" w:rsidRDefault="00000000">
            <w:pPr>
              <w:jc w:val="center"/>
              <w:rPr>
                <w:sz w:val="22"/>
              </w:rPr>
            </w:pPr>
            <w:r>
              <w:rPr>
                <w:sz w:val="22"/>
              </w:rPr>
              <w:t>1998</w:t>
            </w:r>
          </w:p>
        </w:tc>
        <w:tc>
          <w:tcPr>
            <w:tcW w:w="1891" w:type="dxa"/>
            <w:tcBorders>
              <w:top w:val="nil"/>
              <w:left w:val="single" w:sz="4" w:space="0" w:color="auto"/>
              <w:bottom w:val="single" w:sz="4" w:space="0" w:color="auto"/>
              <w:right w:val="single" w:sz="4" w:space="0" w:color="auto"/>
            </w:tcBorders>
            <w:tcMar>
              <w:left w:w="57" w:type="dxa"/>
              <w:right w:w="57" w:type="dxa"/>
            </w:tcMar>
          </w:tcPr>
          <w:p w:rsidR="00000000" w:rsidRDefault="00000000">
            <w:pPr>
              <w:jc w:val="center"/>
              <w:rPr>
                <w:sz w:val="22"/>
              </w:rPr>
            </w:pPr>
            <w:r>
              <w:rPr>
                <w:sz w:val="22"/>
              </w:rPr>
              <w:t>39 616</w:t>
            </w:r>
          </w:p>
        </w:tc>
        <w:tc>
          <w:tcPr>
            <w:tcW w:w="1683" w:type="dxa"/>
            <w:tcBorders>
              <w:top w:val="nil"/>
              <w:left w:val="single" w:sz="4" w:space="0" w:color="auto"/>
              <w:bottom w:val="single" w:sz="4" w:space="0" w:color="auto"/>
              <w:right w:val="single" w:sz="4" w:space="0" w:color="auto"/>
            </w:tcBorders>
            <w:tcMar>
              <w:left w:w="57" w:type="dxa"/>
              <w:right w:w="57" w:type="dxa"/>
            </w:tcMar>
          </w:tcPr>
          <w:p w:rsidR="00000000" w:rsidRDefault="00000000">
            <w:pPr>
              <w:jc w:val="center"/>
              <w:rPr>
                <w:sz w:val="22"/>
              </w:rPr>
            </w:pPr>
            <w:r>
              <w:rPr>
                <w:sz w:val="22"/>
              </w:rPr>
              <w:t>81,7</w:t>
            </w:r>
          </w:p>
        </w:tc>
        <w:tc>
          <w:tcPr>
            <w:tcW w:w="1360" w:type="dxa"/>
            <w:tcBorders>
              <w:top w:val="nil"/>
              <w:left w:val="single" w:sz="4" w:space="0" w:color="auto"/>
              <w:bottom w:val="single" w:sz="4" w:space="0" w:color="auto"/>
              <w:right w:val="single" w:sz="4" w:space="0" w:color="auto"/>
            </w:tcBorders>
            <w:tcMar>
              <w:left w:w="57" w:type="dxa"/>
              <w:right w:w="57" w:type="dxa"/>
            </w:tcMar>
          </w:tcPr>
          <w:p w:rsidR="00000000" w:rsidRDefault="00000000">
            <w:pPr>
              <w:jc w:val="center"/>
              <w:rPr>
                <w:sz w:val="22"/>
              </w:rPr>
            </w:pPr>
            <w:r>
              <w:rPr>
                <w:sz w:val="22"/>
              </w:rPr>
              <w:t>12 405</w:t>
            </w:r>
          </w:p>
        </w:tc>
        <w:tc>
          <w:tcPr>
            <w:tcW w:w="1258" w:type="dxa"/>
            <w:tcBorders>
              <w:top w:val="nil"/>
              <w:left w:val="single" w:sz="4" w:space="0" w:color="auto"/>
              <w:bottom w:val="single" w:sz="4" w:space="0" w:color="auto"/>
              <w:right w:val="single" w:sz="4" w:space="0" w:color="auto"/>
            </w:tcBorders>
          </w:tcPr>
          <w:p w:rsidR="00000000" w:rsidRDefault="00000000">
            <w:pPr>
              <w:jc w:val="center"/>
              <w:rPr>
                <w:sz w:val="22"/>
              </w:rPr>
            </w:pPr>
            <w:r>
              <w:rPr>
                <w:sz w:val="22"/>
              </w:rPr>
              <w:t>27 211</w:t>
            </w:r>
          </w:p>
        </w:tc>
        <w:tc>
          <w:tcPr>
            <w:tcW w:w="748" w:type="dxa"/>
            <w:tcBorders>
              <w:top w:val="nil"/>
              <w:left w:val="single" w:sz="4" w:space="0" w:color="auto"/>
              <w:bottom w:val="single" w:sz="4" w:space="0" w:color="auto"/>
              <w:right w:val="single" w:sz="4" w:space="0" w:color="auto"/>
            </w:tcBorders>
            <w:tcMar>
              <w:left w:w="57" w:type="dxa"/>
              <w:right w:w="57" w:type="dxa"/>
            </w:tcMar>
          </w:tcPr>
          <w:p w:rsidR="00000000" w:rsidRDefault="00000000">
            <w:pPr>
              <w:jc w:val="center"/>
              <w:rPr>
                <w:sz w:val="22"/>
              </w:rPr>
            </w:pPr>
            <w:r>
              <w:rPr>
                <w:sz w:val="22"/>
              </w:rPr>
              <w:t>21 636</w:t>
            </w:r>
          </w:p>
        </w:tc>
        <w:tc>
          <w:tcPr>
            <w:tcW w:w="2057" w:type="dxa"/>
            <w:tcBorders>
              <w:top w:val="nil"/>
              <w:left w:val="single" w:sz="4" w:space="0" w:color="auto"/>
              <w:bottom w:val="single" w:sz="4" w:space="0" w:color="auto"/>
              <w:right w:val="single" w:sz="4" w:space="0" w:color="auto"/>
            </w:tcBorders>
            <w:tcMar>
              <w:left w:w="57" w:type="dxa"/>
              <w:right w:w="57" w:type="dxa"/>
            </w:tcMar>
          </w:tcPr>
          <w:p w:rsidR="00000000" w:rsidRDefault="00000000">
            <w:pPr>
              <w:jc w:val="center"/>
              <w:rPr>
                <w:sz w:val="22"/>
              </w:rPr>
            </w:pPr>
            <w:r>
              <w:rPr>
                <w:sz w:val="22"/>
              </w:rPr>
              <w:t>66,9</w:t>
            </w:r>
          </w:p>
        </w:tc>
      </w:tr>
    </w:tbl>
    <w:p w:rsidR="00000000" w:rsidRDefault="00000000"/>
    <w:p w:rsidR="00000000" w:rsidRDefault="00000000"/>
    <w:p w:rsidR="00000000" w:rsidRDefault="00000000">
      <w:r>
        <w:t>375.</w:t>
      </w:r>
      <w:r>
        <w:tab/>
        <w:t xml:space="preserve">Поправка к Закону о семье также содержит новые нормы усыновления детей.  Для усыновления требуется согласие биологических родителей.  Такое согласие не является обязательным, если родители последовательно не проявляли реального интереса к ребенку в течение шести месяцев или не проявляли интереса к ребенку в течение двух месяцев после рождения, хотя не существовало никаких серьезных обстоятельств, препятствовавших им сделать это. </w:t>
      </w:r>
    </w:p>
    <w:p w:rsidR="00000000" w:rsidRDefault="00000000"/>
    <w:p w:rsidR="00000000" w:rsidRDefault="00000000">
      <w:r>
        <w:t>376.</w:t>
      </w:r>
      <w:r>
        <w:tab/>
        <w:t>Помощь семьям, имеющим детей, также регулируется положениями о социальном обеспечении, и в частности Законом о социальном обеспечении</w:t>
      </w:r>
      <w:r>
        <w:rPr>
          <w:rStyle w:val="FootnoteReference"/>
        </w:rPr>
        <w:footnoteReference w:id="221"/>
      </w:r>
      <w:r>
        <w:t xml:space="preserve"> и Законом о компетенции органов власти Чешской Республики в области социального обеспечения</w:t>
      </w:r>
      <w:r>
        <w:rPr>
          <w:rStyle w:val="FootnoteReference"/>
        </w:rPr>
        <w:footnoteReference w:id="222"/>
      </w:r>
      <w:r>
        <w:t>.  Согласно статье 74 Закона о социальном обеспечении соответствующие государственные органы предоставляют социальные пособия и услуги для удовлетворения основополагающих потребностей находящихся на иждивении детей, их родителей, матерей</w:t>
      </w:r>
      <w:r>
        <w:noBreakHyphen/>
        <w:t xml:space="preserve"> (отцов</w:t>
      </w:r>
      <w:r>
        <w:noBreakHyphen/>
        <w:t>) одиночек, беременных женщин и других граждан.  Эти органы в сотрудничестве с другими организациями путем консультативных услуг и просветительской деятельности осуществляют подготовку детей и молодежи к вступлению в брак и ответственному выполнению родительских обязанностей, помогают создавать благоприятные отношения в семьях, находящихся на грани разрыва, и способствуют преодолению последствий таких разрывов.</w:t>
      </w:r>
    </w:p>
    <w:p w:rsidR="00000000" w:rsidRDefault="00000000"/>
    <w:p w:rsidR="00000000" w:rsidRDefault="00000000">
      <w:pPr>
        <w:jc w:val="center"/>
      </w:pPr>
      <w:r>
        <w:rPr>
          <w:b/>
          <w:bCs/>
        </w:rPr>
        <w:t>Материальная помощь семьям, имеющим детей (в млн. чешских крон)</w:t>
      </w:r>
    </w:p>
    <w:p w:rsidR="00000000" w:rsidRDefault="00000000"/>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3"/>
        <w:gridCol w:w="935"/>
        <w:gridCol w:w="935"/>
        <w:gridCol w:w="935"/>
        <w:gridCol w:w="797"/>
        <w:gridCol w:w="810"/>
      </w:tblGrid>
      <w:tr w:rsidR="00000000">
        <w:tblPrEx>
          <w:tblCellMar>
            <w:top w:w="0" w:type="dxa"/>
            <w:bottom w:w="0" w:type="dxa"/>
          </w:tblCellMar>
        </w:tblPrEx>
        <w:tc>
          <w:tcPr>
            <w:tcW w:w="5293" w:type="dxa"/>
            <w:tcBorders>
              <w:left w:val="single" w:sz="4" w:space="0" w:color="auto"/>
              <w:bottom w:val="single" w:sz="4" w:space="0" w:color="auto"/>
              <w:right w:val="single" w:sz="4" w:space="0" w:color="auto"/>
            </w:tcBorders>
            <w:tcMar>
              <w:left w:w="57" w:type="dxa"/>
              <w:right w:w="57" w:type="dxa"/>
            </w:tcMar>
            <w:vAlign w:val="center"/>
          </w:tcPr>
          <w:p w:rsidR="00000000" w:rsidRDefault="00000000">
            <w:pPr>
              <w:jc w:val="center"/>
              <w:rPr>
                <w:b/>
                <w:bCs/>
              </w:rPr>
            </w:pPr>
          </w:p>
        </w:tc>
        <w:tc>
          <w:tcPr>
            <w:tcW w:w="935" w:type="dxa"/>
            <w:tcBorders>
              <w:left w:val="single" w:sz="4" w:space="0" w:color="auto"/>
              <w:bottom w:val="single" w:sz="4" w:space="0" w:color="auto"/>
              <w:right w:val="single" w:sz="4" w:space="0" w:color="auto"/>
            </w:tcBorders>
            <w:tcMar>
              <w:left w:w="57" w:type="dxa"/>
              <w:right w:w="57" w:type="dxa"/>
            </w:tcMar>
          </w:tcPr>
          <w:p w:rsidR="00000000" w:rsidRDefault="00000000">
            <w:pPr>
              <w:jc w:val="center"/>
              <w:rPr>
                <w:b/>
                <w:bCs/>
              </w:rPr>
            </w:pPr>
            <w:r>
              <w:rPr>
                <w:b/>
                <w:bCs/>
              </w:rPr>
              <w:t>1990</w:t>
            </w:r>
          </w:p>
        </w:tc>
        <w:tc>
          <w:tcPr>
            <w:tcW w:w="935" w:type="dxa"/>
            <w:tcBorders>
              <w:left w:val="single" w:sz="4" w:space="0" w:color="auto"/>
              <w:bottom w:val="single" w:sz="4" w:space="0" w:color="auto"/>
              <w:right w:val="single" w:sz="4" w:space="0" w:color="auto"/>
            </w:tcBorders>
            <w:tcMar>
              <w:left w:w="57" w:type="dxa"/>
              <w:right w:w="57" w:type="dxa"/>
            </w:tcMar>
            <w:vAlign w:val="center"/>
          </w:tcPr>
          <w:p w:rsidR="00000000" w:rsidRDefault="00000000">
            <w:pPr>
              <w:jc w:val="center"/>
              <w:rPr>
                <w:b/>
                <w:bCs/>
              </w:rPr>
            </w:pPr>
            <w:r>
              <w:rPr>
                <w:b/>
                <w:bCs/>
              </w:rPr>
              <w:t>1995</w:t>
            </w:r>
          </w:p>
        </w:tc>
        <w:tc>
          <w:tcPr>
            <w:tcW w:w="935" w:type="dxa"/>
            <w:tcBorders>
              <w:left w:val="single" w:sz="4" w:space="0" w:color="auto"/>
              <w:bottom w:val="single" w:sz="4" w:space="0" w:color="auto"/>
              <w:right w:val="single" w:sz="4" w:space="0" w:color="auto"/>
            </w:tcBorders>
            <w:tcMar>
              <w:left w:w="57" w:type="dxa"/>
              <w:right w:w="57" w:type="dxa"/>
            </w:tcMar>
            <w:vAlign w:val="center"/>
          </w:tcPr>
          <w:p w:rsidR="00000000" w:rsidRDefault="00000000">
            <w:pPr>
              <w:jc w:val="center"/>
              <w:rPr>
                <w:b/>
                <w:bCs/>
              </w:rPr>
            </w:pPr>
            <w:r>
              <w:rPr>
                <w:b/>
                <w:bCs/>
              </w:rPr>
              <w:t>1996</w:t>
            </w:r>
          </w:p>
        </w:tc>
        <w:tc>
          <w:tcPr>
            <w:tcW w:w="797" w:type="dxa"/>
            <w:tcBorders>
              <w:left w:val="single" w:sz="4" w:space="0" w:color="auto"/>
              <w:bottom w:val="single" w:sz="4" w:space="0" w:color="auto"/>
              <w:right w:val="single" w:sz="4" w:space="0" w:color="auto"/>
            </w:tcBorders>
            <w:tcMar>
              <w:left w:w="57" w:type="dxa"/>
              <w:right w:w="57" w:type="dxa"/>
            </w:tcMar>
            <w:vAlign w:val="center"/>
          </w:tcPr>
          <w:p w:rsidR="00000000" w:rsidRDefault="00000000">
            <w:pPr>
              <w:jc w:val="center"/>
              <w:rPr>
                <w:b/>
                <w:bCs/>
              </w:rPr>
            </w:pPr>
            <w:r>
              <w:rPr>
                <w:b/>
                <w:bCs/>
              </w:rPr>
              <w:t>1997</w:t>
            </w:r>
          </w:p>
        </w:tc>
        <w:tc>
          <w:tcPr>
            <w:tcW w:w="810" w:type="dxa"/>
            <w:tcBorders>
              <w:left w:val="single" w:sz="4" w:space="0" w:color="auto"/>
              <w:bottom w:val="single" w:sz="4" w:space="0" w:color="auto"/>
              <w:right w:val="single" w:sz="4" w:space="0" w:color="auto"/>
            </w:tcBorders>
            <w:tcMar>
              <w:left w:w="57" w:type="dxa"/>
              <w:right w:w="57" w:type="dxa"/>
            </w:tcMar>
            <w:vAlign w:val="center"/>
          </w:tcPr>
          <w:p w:rsidR="00000000" w:rsidRDefault="00000000">
            <w:pPr>
              <w:jc w:val="center"/>
              <w:rPr>
                <w:b/>
                <w:bCs/>
              </w:rPr>
            </w:pPr>
            <w:r>
              <w:rPr>
                <w:b/>
                <w:bCs/>
              </w:rPr>
              <w:t>1998</w:t>
            </w:r>
          </w:p>
        </w:tc>
      </w:tr>
      <w:tr w:rsidR="00000000">
        <w:tblPrEx>
          <w:tblCellMar>
            <w:top w:w="0" w:type="dxa"/>
            <w:bottom w:w="0" w:type="dxa"/>
          </w:tblCellMar>
        </w:tblPrEx>
        <w:tc>
          <w:tcPr>
            <w:tcW w:w="5293" w:type="dxa"/>
            <w:tcBorders>
              <w:top w:val="single" w:sz="4" w:space="0" w:color="auto"/>
              <w:left w:val="single" w:sz="4" w:space="0" w:color="auto"/>
              <w:bottom w:val="nil"/>
              <w:right w:val="single" w:sz="4" w:space="0" w:color="auto"/>
            </w:tcBorders>
            <w:tcMar>
              <w:left w:w="57" w:type="dxa"/>
              <w:right w:w="57" w:type="dxa"/>
            </w:tcMar>
          </w:tcPr>
          <w:p w:rsidR="00000000" w:rsidRDefault="00000000">
            <w:pPr>
              <w:pStyle w:val="FootnoteText"/>
              <w:spacing w:line="288" w:lineRule="auto"/>
            </w:pPr>
            <w:r>
              <w:t>Прямая финансовая помощь</w:t>
            </w:r>
          </w:p>
          <w:p w:rsidR="00000000" w:rsidRDefault="00000000">
            <w:pPr>
              <w:rPr>
                <w:sz w:val="16"/>
              </w:rPr>
            </w:pPr>
          </w:p>
        </w:tc>
        <w:tc>
          <w:tcPr>
            <w:tcW w:w="935" w:type="dxa"/>
            <w:tcBorders>
              <w:top w:val="single" w:sz="4" w:space="0" w:color="auto"/>
              <w:left w:val="single" w:sz="4" w:space="0" w:color="auto"/>
              <w:bottom w:val="nil"/>
              <w:right w:val="single" w:sz="4" w:space="0" w:color="auto"/>
            </w:tcBorders>
            <w:tcMar>
              <w:left w:w="57" w:type="dxa"/>
              <w:right w:w="57" w:type="dxa"/>
            </w:tcMar>
          </w:tcPr>
          <w:p w:rsidR="00000000" w:rsidRDefault="00000000">
            <w:pPr>
              <w:jc w:val="right"/>
            </w:pPr>
            <w:r>
              <w:t>17 360</w:t>
            </w:r>
          </w:p>
        </w:tc>
        <w:tc>
          <w:tcPr>
            <w:tcW w:w="935" w:type="dxa"/>
            <w:tcBorders>
              <w:top w:val="single" w:sz="4" w:space="0" w:color="auto"/>
              <w:left w:val="single" w:sz="4" w:space="0" w:color="auto"/>
              <w:bottom w:val="nil"/>
              <w:right w:val="single" w:sz="4" w:space="0" w:color="auto"/>
            </w:tcBorders>
            <w:tcMar>
              <w:left w:w="57" w:type="dxa"/>
              <w:right w:w="57" w:type="dxa"/>
            </w:tcMar>
          </w:tcPr>
          <w:p w:rsidR="00000000" w:rsidRDefault="00000000">
            <w:pPr>
              <w:jc w:val="right"/>
            </w:pPr>
            <w:r>
              <w:t>29 662</w:t>
            </w:r>
          </w:p>
        </w:tc>
        <w:tc>
          <w:tcPr>
            <w:tcW w:w="935" w:type="dxa"/>
            <w:tcBorders>
              <w:top w:val="single" w:sz="4" w:space="0" w:color="auto"/>
              <w:left w:val="single" w:sz="4" w:space="0" w:color="auto"/>
              <w:bottom w:val="nil"/>
              <w:right w:val="single" w:sz="4" w:space="0" w:color="auto"/>
            </w:tcBorders>
            <w:tcMar>
              <w:left w:w="57" w:type="dxa"/>
              <w:right w:w="57" w:type="dxa"/>
            </w:tcMar>
          </w:tcPr>
          <w:p w:rsidR="00000000" w:rsidRDefault="00000000">
            <w:pPr>
              <w:jc w:val="right"/>
            </w:pPr>
            <w:r>
              <w:t>32 260</w:t>
            </w:r>
          </w:p>
        </w:tc>
        <w:tc>
          <w:tcPr>
            <w:tcW w:w="797" w:type="dxa"/>
            <w:tcBorders>
              <w:top w:val="single" w:sz="4" w:space="0" w:color="auto"/>
              <w:left w:val="single" w:sz="4" w:space="0" w:color="auto"/>
              <w:bottom w:val="nil"/>
              <w:right w:val="single" w:sz="4" w:space="0" w:color="auto"/>
            </w:tcBorders>
            <w:tcMar>
              <w:left w:w="57" w:type="dxa"/>
              <w:right w:w="57" w:type="dxa"/>
            </w:tcMar>
          </w:tcPr>
          <w:p w:rsidR="00000000" w:rsidRDefault="00000000">
            <w:pPr>
              <w:jc w:val="right"/>
            </w:pPr>
            <w:r>
              <w:t>33 481</w:t>
            </w:r>
          </w:p>
        </w:tc>
        <w:tc>
          <w:tcPr>
            <w:tcW w:w="810" w:type="dxa"/>
            <w:tcBorders>
              <w:top w:val="single" w:sz="4" w:space="0" w:color="auto"/>
              <w:left w:val="single" w:sz="4" w:space="0" w:color="auto"/>
              <w:bottom w:val="nil"/>
              <w:right w:val="single" w:sz="4" w:space="0" w:color="auto"/>
            </w:tcBorders>
            <w:tcMar>
              <w:left w:w="57" w:type="dxa"/>
              <w:right w:w="57" w:type="dxa"/>
            </w:tcMar>
          </w:tcPr>
          <w:p w:rsidR="00000000" w:rsidRDefault="00000000">
            <w:pPr>
              <w:jc w:val="right"/>
            </w:pPr>
            <w:r>
              <w:t>34 348</w:t>
            </w:r>
          </w:p>
        </w:tc>
      </w:tr>
      <w:tr w:rsidR="00000000">
        <w:tblPrEx>
          <w:tblCellMar>
            <w:top w:w="0" w:type="dxa"/>
            <w:bottom w:w="0" w:type="dxa"/>
          </w:tblCellMar>
        </w:tblPrEx>
        <w:tc>
          <w:tcPr>
            <w:tcW w:w="5293" w:type="dxa"/>
            <w:tcBorders>
              <w:top w:val="nil"/>
              <w:left w:val="single" w:sz="4" w:space="0" w:color="auto"/>
              <w:bottom w:val="nil"/>
              <w:right w:val="single" w:sz="4" w:space="0" w:color="auto"/>
            </w:tcBorders>
            <w:tcMar>
              <w:left w:w="57" w:type="dxa"/>
              <w:right w:w="57" w:type="dxa"/>
            </w:tcMar>
          </w:tcPr>
          <w:p w:rsidR="00000000" w:rsidRDefault="00000000">
            <w:pPr>
              <w:rPr>
                <w:b/>
                <w:bCs/>
                <w:vertAlign w:val="superscript"/>
              </w:rPr>
            </w:pPr>
            <w:r>
              <w:t>в том числе:  пособия на детей</w:t>
            </w:r>
            <w:r>
              <w:rPr>
                <w:b/>
                <w:bCs/>
                <w:vertAlign w:val="superscript"/>
              </w:rPr>
              <w:t>а</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10 481</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12 770</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12 193</w:t>
            </w:r>
          </w:p>
        </w:tc>
        <w:tc>
          <w:tcPr>
            <w:tcW w:w="797" w:type="dxa"/>
            <w:tcBorders>
              <w:top w:val="nil"/>
              <w:left w:val="single" w:sz="4" w:space="0" w:color="auto"/>
              <w:bottom w:val="nil"/>
              <w:right w:val="single" w:sz="4" w:space="0" w:color="auto"/>
            </w:tcBorders>
            <w:tcMar>
              <w:left w:w="57" w:type="dxa"/>
              <w:right w:w="57" w:type="dxa"/>
            </w:tcMar>
          </w:tcPr>
          <w:p w:rsidR="00000000" w:rsidRDefault="00000000">
            <w:pPr>
              <w:jc w:val="right"/>
            </w:pPr>
            <w:r>
              <w:t>12 497</w:t>
            </w:r>
          </w:p>
        </w:tc>
        <w:tc>
          <w:tcPr>
            <w:tcW w:w="810" w:type="dxa"/>
            <w:tcBorders>
              <w:top w:val="nil"/>
              <w:left w:val="single" w:sz="4" w:space="0" w:color="auto"/>
              <w:bottom w:val="nil"/>
              <w:right w:val="single" w:sz="4" w:space="0" w:color="auto"/>
            </w:tcBorders>
            <w:tcMar>
              <w:left w:w="57" w:type="dxa"/>
              <w:right w:w="57" w:type="dxa"/>
            </w:tcMar>
          </w:tcPr>
          <w:p w:rsidR="00000000" w:rsidRDefault="00000000">
            <w:pPr>
              <w:jc w:val="right"/>
            </w:pPr>
            <w:r>
              <w:t>11 493</w:t>
            </w:r>
          </w:p>
        </w:tc>
      </w:tr>
      <w:tr w:rsidR="00000000">
        <w:tblPrEx>
          <w:tblCellMar>
            <w:top w:w="0" w:type="dxa"/>
            <w:bottom w:w="0" w:type="dxa"/>
          </w:tblCellMar>
        </w:tblPrEx>
        <w:tc>
          <w:tcPr>
            <w:tcW w:w="5293" w:type="dxa"/>
            <w:tcBorders>
              <w:top w:val="nil"/>
              <w:left w:val="single" w:sz="4" w:space="0" w:color="auto"/>
              <w:bottom w:val="nil"/>
              <w:right w:val="single" w:sz="4" w:space="0" w:color="auto"/>
            </w:tcBorders>
            <w:tcMar>
              <w:left w:w="57" w:type="dxa"/>
              <w:right w:w="57" w:type="dxa"/>
            </w:tcMar>
          </w:tcPr>
          <w:p w:rsidR="00000000" w:rsidRDefault="00000000">
            <w:pPr>
              <w:pStyle w:val="FootnoteText"/>
              <w:tabs>
                <w:tab w:val="clear" w:pos="567"/>
                <w:tab w:val="left" w:pos="284"/>
              </w:tabs>
              <w:spacing w:line="288" w:lineRule="auto"/>
            </w:pPr>
            <w:r>
              <w:tab/>
              <w:t>Пособия по беременности и родам</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1 349</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1 722</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1 811</w:t>
            </w:r>
          </w:p>
        </w:tc>
        <w:tc>
          <w:tcPr>
            <w:tcW w:w="797" w:type="dxa"/>
            <w:tcBorders>
              <w:top w:val="nil"/>
              <w:left w:val="single" w:sz="4" w:space="0" w:color="auto"/>
              <w:bottom w:val="nil"/>
              <w:right w:val="single" w:sz="4" w:space="0" w:color="auto"/>
            </w:tcBorders>
            <w:tcMar>
              <w:left w:w="57" w:type="dxa"/>
              <w:right w:w="57" w:type="dxa"/>
            </w:tcMar>
          </w:tcPr>
          <w:p w:rsidR="00000000" w:rsidRDefault="00000000">
            <w:pPr>
              <w:jc w:val="right"/>
            </w:pPr>
            <w:r>
              <w:t>1 963</w:t>
            </w:r>
          </w:p>
        </w:tc>
        <w:tc>
          <w:tcPr>
            <w:tcW w:w="810" w:type="dxa"/>
            <w:tcBorders>
              <w:top w:val="nil"/>
              <w:left w:val="single" w:sz="4" w:space="0" w:color="auto"/>
              <w:bottom w:val="nil"/>
              <w:right w:val="single" w:sz="4" w:space="0" w:color="auto"/>
            </w:tcBorders>
            <w:tcMar>
              <w:left w:w="57" w:type="dxa"/>
              <w:right w:w="57" w:type="dxa"/>
            </w:tcMar>
          </w:tcPr>
          <w:p w:rsidR="00000000" w:rsidRDefault="00000000">
            <w:pPr>
              <w:jc w:val="right"/>
            </w:pPr>
            <w:r>
              <w:t>2 028</w:t>
            </w:r>
          </w:p>
        </w:tc>
      </w:tr>
      <w:tr w:rsidR="00000000">
        <w:tblPrEx>
          <w:tblCellMar>
            <w:top w:w="0" w:type="dxa"/>
            <w:bottom w:w="0" w:type="dxa"/>
          </w:tblCellMar>
        </w:tblPrEx>
        <w:tc>
          <w:tcPr>
            <w:tcW w:w="5293"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left" w:pos="284"/>
              </w:tabs>
            </w:pPr>
            <w:r>
              <w:tab/>
              <w:t>Пособия родителям</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1 504</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5 824</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7 357</w:t>
            </w:r>
          </w:p>
        </w:tc>
        <w:tc>
          <w:tcPr>
            <w:tcW w:w="797" w:type="dxa"/>
            <w:tcBorders>
              <w:top w:val="nil"/>
              <w:left w:val="single" w:sz="4" w:space="0" w:color="auto"/>
              <w:bottom w:val="nil"/>
              <w:right w:val="single" w:sz="4" w:space="0" w:color="auto"/>
            </w:tcBorders>
            <w:tcMar>
              <w:left w:w="57" w:type="dxa"/>
              <w:right w:w="57" w:type="dxa"/>
            </w:tcMar>
          </w:tcPr>
          <w:p w:rsidR="00000000" w:rsidRDefault="00000000">
            <w:pPr>
              <w:jc w:val="right"/>
            </w:pPr>
            <w:r>
              <w:t>7 612</w:t>
            </w:r>
          </w:p>
        </w:tc>
        <w:tc>
          <w:tcPr>
            <w:tcW w:w="810" w:type="dxa"/>
            <w:tcBorders>
              <w:top w:val="nil"/>
              <w:left w:val="single" w:sz="4" w:space="0" w:color="auto"/>
              <w:bottom w:val="nil"/>
              <w:right w:val="single" w:sz="4" w:space="0" w:color="auto"/>
            </w:tcBorders>
            <w:tcMar>
              <w:left w:w="57" w:type="dxa"/>
              <w:right w:w="57" w:type="dxa"/>
            </w:tcMar>
          </w:tcPr>
          <w:p w:rsidR="00000000" w:rsidRDefault="00000000">
            <w:pPr>
              <w:jc w:val="right"/>
            </w:pPr>
            <w:r>
              <w:t>7 781</w:t>
            </w:r>
          </w:p>
        </w:tc>
      </w:tr>
      <w:tr w:rsidR="00000000">
        <w:tblPrEx>
          <w:tblCellMar>
            <w:top w:w="0" w:type="dxa"/>
            <w:bottom w:w="0" w:type="dxa"/>
          </w:tblCellMar>
        </w:tblPrEx>
        <w:tc>
          <w:tcPr>
            <w:tcW w:w="5293"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left" w:pos="284"/>
              </w:tabs>
              <w:spacing w:line="240" w:lineRule="auto"/>
              <w:ind w:left="561" w:hanging="561"/>
            </w:pPr>
            <w:r>
              <w:tab/>
              <w:t>Единовременная выплата при рождении ребенка (помощь в случае рождения ребенка)</w:t>
            </w:r>
            <w:r>
              <w:rPr>
                <w:b/>
                <w:bCs/>
                <w:vertAlign w:val="superscript"/>
              </w:rPr>
              <w:t>b</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258</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428</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484</w:t>
            </w:r>
          </w:p>
        </w:tc>
        <w:tc>
          <w:tcPr>
            <w:tcW w:w="797" w:type="dxa"/>
            <w:tcBorders>
              <w:top w:val="nil"/>
              <w:left w:val="single" w:sz="4" w:space="0" w:color="auto"/>
              <w:bottom w:val="nil"/>
              <w:right w:val="single" w:sz="4" w:space="0" w:color="auto"/>
            </w:tcBorders>
            <w:tcMar>
              <w:left w:w="57" w:type="dxa"/>
              <w:right w:w="57" w:type="dxa"/>
            </w:tcMar>
          </w:tcPr>
          <w:p w:rsidR="00000000" w:rsidRDefault="00000000">
            <w:pPr>
              <w:jc w:val="right"/>
            </w:pPr>
            <w:r>
              <w:t>525</w:t>
            </w:r>
          </w:p>
        </w:tc>
        <w:tc>
          <w:tcPr>
            <w:tcW w:w="810" w:type="dxa"/>
            <w:tcBorders>
              <w:top w:val="nil"/>
              <w:left w:val="single" w:sz="4" w:space="0" w:color="auto"/>
              <w:bottom w:val="nil"/>
              <w:right w:val="single" w:sz="4" w:space="0" w:color="auto"/>
            </w:tcBorders>
            <w:tcMar>
              <w:left w:w="57" w:type="dxa"/>
              <w:right w:w="57" w:type="dxa"/>
            </w:tcMar>
          </w:tcPr>
          <w:p w:rsidR="00000000" w:rsidRDefault="00000000">
            <w:pPr>
              <w:jc w:val="right"/>
            </w:pPr>
            <w:r>
              <w:t>563</w:t>
            </w:r>
          </w:p>
        </w:tc>
      </w:tr>
      <w:tr w:rsidR="00000000">
        <w:tblPrEx>
          <w:tblCellMar>
            <w:top w:w="0" w:type="dxa"/>
            <w:bottom w:w="0" w:type="dxa"/>
          </w:tblCellMar>
        </w:tblPrEx>
        <w:tc>
          <w:tcPr>
            <w:tcW w:w="5293"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left" w:pos="284"/>
              </w:tabs>
              <w:spacing w:line="240" w:lineRule="auto"/>
              <w:ind w:left="561" w:hanging="561"/>
            </w:pPr>
            <w:r>
              <w:tab/>
              <w:t>Компенсационное пособие по беременности и родам</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 xml:space="preserve">21 </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18</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9</w:t>
            </w:r>
          </w:p>
        </w:tc>
        <w:tc>
          <w:tcPr>
            <w:tcW w:w="797" w:type="dxa"/>
            <w:tcBorders>
              <w:top w:val="nil"/>
              <w:left w:val="single" w:sz="4" w:space="0" w:color="auto"/>
              <w:bottom w:val="nil"/>
              <w:right w:val="single" w:sz="4" w:space="0" w:color="auto"/>
            </w:tcBorders>
            <w:tcMar>
              <w:left w:w="57" w:type="dxa"/>
              <w:right w:w="57" w:type="dxa"/>
            </w:tcMar>
          </w:tcPr>
          <w:p w:rsidR="00000000" w:rsidRDefault="00000000">
            <w:pPr>
              <w:jc w:val="right"/>
            </w:pPr>
            <w:r>
              <w:t>8</w:t>
            </w:r>
          </w:p>
        </w:tc>
        <w:tc>
          <w:tcPr>
            <w:tcW w:w="810" w:type="dxa"/>
            <w:tcBorders>
              <w:top w:val="nil"/>
              <w:left w:val="single" w:sz="4" w:space="0" w:color="auto"/>
              <w:bottom w:val="nil"/>
              <w:right w:val="single" w:sz="4" w:space="0" w:color="auto"/>
            </w:tcBorders>
            <w:tcMar>
              <w:left w:w="57" w:type="dxa"/>
              <w:right w:w="57" w:type="dxa"/>
            </w:tcMar>
          </w:tcPr>
          <w:p w:rsidR="00000000" w:rsidRDefault="00000000">
            <w:pPr>
              <w:jc w:val="right"/>
            </w:pPr>
            <w:r>
              <w:t>7</w:t>
            </w:r>
          </w:p>
        </w:tc>
      </w:tr>
      <w:tr w:rsidR="00000000">
        <w:tblPrEx>
          <w:tblCellMar>
            <w:top w:w="0" w:type="dxa"/>
            <w:bottom w:w="0" w:type="dxa"/>
          </w:tblCellMar>
        </w:tblPrEx>
        <w:tc>
          <w:tcPr>
            <w:tcW w:w="5293"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left" w:pos="284"/>
              </w:tabs>
              <w:ind w:left="561" w:hanging="561"/>
            </w:pPr>
            <w:r>
              <w:tab/>
              <w:t>Пособие, выплачиваемое лицу, осуществляющему уход за ребенком</w:t>
            </w:r>
            <w:r>
              <w:rPr>
                <w:b/>
                <w:bCs/>
                <w:vertAlign w:val="superscript"/>
              </w:rPr>
              <w:t>с</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71</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39</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33</w:t>
            </w:r>
          </w:p>
        </w:tc>
        <w:tc>
          <w:tcPr>
            <w:tcW w:w="797" w:type="dxa"/>
            <w:tcBorders>
              <w:top w:val="nil"/>
              <w:left w:val="single" w:sz="4" w:space="0" w:color="auto"/>
              <w:bottom w:val="nil"/>
              <w:right w:val="single" w:sz="4" w:space="0" w:color="auto"/>
            </w:tcBorders>
            <w:tcMar>
              <w:left w:w="57" w:type="dxa"/>
              <w:right w:w="57" w:type="dxa"/>
            </w:tcMar>
          </w:tcPr>
          <w:p w:rsidR="00000000" w:rsidRDefault="00000000">
            <w:pPr>
              <w:jc w:val="right"/>
            </w:pPr>
            <w:r>
              <w:t>25</w:t>
            </w:r>
          </w:p>
        </w:tc>
        <w:tc>
          <w:tcPr>
            <w:tcW w:w="810" w:type="dxa"/>
            <w:tcBorders>
              <w:top w:val="nil"/>
              <w:left w:val="single" w:sz="4" w:space="0" w:color="auto"/>
              <w:bottom w:val="nil"/>
              <w:right w:val="single" w:sz="4" w:space="0" w:color="auto"/>
            </w:tcBorders>
            <w:tcMar>
              <w:left w:w="57" w:type="dxa"/>
              <w:right w:w="57" w:type="dxa"/>
            </w:tcMar>
          </w:tcPr>
          <w:p w:rsidR="00000000" w:rsidRDefault="00000000">
            <w:pPr>
              <w:jc w:val="right"/>
            </w:pPr>
            <w:r>
              <w:t>23</w:t>
            </w:r>
          </w:p>
        </w:tc>
      </w:tr>
      <w:tr w:rsidR="00000000">
        <w:tblPrEx>
          <w:tblCellMar>
            <w:top w:w="0" w:type="dxa"/>
            <w:bottom w:w="0" w:type="dxa"/>
          </w:tblCellMar>
        </w:tblPrEx>
        <w:tc>
          <w:tcPr>
            <w:tcW w:w="5293"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left" w:pos="284"/>
              </w:tabs>
            </w:pPr>
            <w:r>
              <w:tab/>
              <w:t>Пособие по уходу за ребенком</w:t>
            </w:r>
            <w:r>
              <w:rPr>
                <w:b/>
                <w:bCs/>
                <w:vertAlign w:val="superscript"/>
              </w:rPr>
              <w:t>d</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55</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38</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37</w:t>
            </w:r>
          </w:p>
        </w:tc>
        <w:tc>
          <w:tcPr>
            <w:tcW w:w="797" w:type="dxa"/>
            <w:tcBorders>
              <w:top w:val="nil"/>
              <w:left w:val="single" w:sz="4" w:space="0" w:color="auto"/>
              <w:bottom w:val="nil"/>
              <w:right w:val="single" w:sz="4" w:space="0" w:color="auto"/>
            </w:tcBorders>
            <w:tcMar>
              <w:left w:w="57" w:type="dxa"/>
              <w:right w:w="57" w:type="dxa"/>
            </w:tcMar>
          </w:tcPr>
          <w:p w:rsidR="00000000" w:rsidRDefault="00000000">
            <w:pPr>
              <w:jc w:val="right"/>
            </w:pPr>
            <w:r>
              <w:t>40</w:t>
            </w:r>
          </w:p>
        </w:tc>
        <w:tc>
          <w:tcPr>
            <w:tcW w:w="810" w:type="dxa"/>
            <w:tcBorders>
              <w:top w:val="nil"/>
              <w:left w:val="single" w:sz="4" w:space="0" w:color="auto"/>
              <w:bottom w:val="nil"/>
              <w:right w:val="single" w:sz="4" w:space="0" w:color="auto"/>
            </w:tcBorders>
            <w:tcMar>
              <w:left w:w="57" w:type="dxa"/>
              <w:right w:w="57" w:type="dxa"/>
            </w:tcMar>
          </w:tcPr>
          <w:p w:rsidR="00000000" w:rsidRDefault="00000000">
            <w:pPr>
              <w:jc w:val="right"/>
            </w:pPr>
            <w:r>
              <w:t>54</w:t>
            </w:r>
          </w:p>
        </w:tc>
      </w:tr>
      <w:tr w:rsidR="00000000">
        <w:tblPrEx>
          <w:tblCellMar>
            <w:top w:w="0" w:type="dxa"/>
            <w:bottom w:w="0" w:type="dxa"/>
          </w:tblCellMar>
        </w:tblPrEx>
        <w:tc>
          <w:tcPr>
            <w:tcW w:w="5293"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left" w:pos="284"/>
              </w:tabs>
            </w:pPr>
            <w:r>
              <w:tab/>
              <w:t>Пособие опекунам</w:t>
            </w:r>
            <w:r>
              <w:rPr>
                <w:b/>
                <w:bCs/>
                <w:vertAlign w:val="superscript"/>
              </w:rPr>
              <w:t>е</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53</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111</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154</w:t>
            </w:r>
          </w:p>
        </w:tc>
        <w:tc>
          <w:tcPr>
            <w:tcW w:w="797" w:type="dxa"/>
            <w:tcBorders>
              <w:top w:val="nil"/>
              <w:left w:val="single" w:sz="4" w:space="0" w:color="auto"/>
              <w:bottom w:val="nil"/>
              <w:right w:val="single" w:sz="4" w:space="0" w:color="auto"/>
            </w:tcBorders>
            <w:tcMar>
              <w:left w:w="57" w:type="dxa"/>
              <w:right w:w="57" w:type="dxa"/>
            </w:tcMar>
          </w:tcPr>
          <w:p w:rsidR="00000000" w:rsidRDefault="00000000">
            <w:pPr>
              <w:jc w:val="right"/>
            </w:pPr>
            <w:r>
              <w:t>169</w:t>
            </w:r>
          </w:p>
        </w:tc>
        <w:tc>
          <w:tcPr>
            <w:tcW w:w="810" w:type="dxa"/>
            <w:tcBorders>
              <w:top w:val="nil"/>
              <w:left w:val="single" w:sz="4" w:space="0" w:color="auto"/>
              <w:bottom w:val="nil"/>
              <w:right w:val="single" w:sz="4" w:space="0" w:color="auto"/>
            </w:tcBorders>
            <w:tcMar>
              <w:left w:w="57" w:type="dxa"/>
              <w:right w:w="57" w:type="dxa"/>
            </w:tcMar>
          </w:tcPr>
          <w:p w:rsidR="00000000" w:rsidRDefault="00000000">
            <w:pPr>
              <w:jc w:val="right"/>
            </w:pPr>
            <w:r>
              <w:t>233</w:t>
            </w:r>
          </w:p>
        </w:tc>
      </w:tr>
      <w:tr w:rsidR="00000000">
        <w:tblPrEx>
          <w:tblCellMar>
            <w:top w:w="0" w:type="dxa"/>
            <w:bottom w:w="0" w:type="dxa"/>
          </w:tblCellMar>
        </w:tblPrEx>
        <w:tc>
          <w:tcPr>
            <w:tcW w:w="5293"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left" w:pos="284"/>
              </w:tabs>
              <w:spacing w:line="240" w:lineRule="auto"/>
              <w:ind w:left="561" w:hanging="561"/>
            </w:pPr>
            <w:r>
              <w:tab/>
              <w:t>Социальные пособия семьям с детьми, не имеющим средств к существованию, и беременным женщинам</w:t>
            </w:r>
            <w:r>
              <w:rPr>
                <w:b/>
                <w:bCs/>
                <w:vertAlign w:val="superscript"/>
              </w:rPr>
              <w:t>f</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98</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1 634</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1 402</w:t>
            </w:r>
          </w:p>
        </w:tc>
        <w:tc>
          <w:tcPr>
            <w:tcW w:w="797" w:type="dxa"/>
            <w:tcBorders>
              <w:top w:val="nil"/>
              <w:left w:val="single" w:sz="4" w:space="0" w:color="auto"/>
              <w:bottom w:val="nil"/>
              <w:right w:val="single" w:sz="4" w:space="0" w:color="auto"/>
            </w:tcBorders>
            <w:tcMar>
              <w:left w:w="57" w:type="dxa"/>
              <w:right w:w="57" w:type="dxa"/>
            </w:tcMar>
          </w:tcPr>
          <w:p w:rsidR="00000000" w:rsidRDefault="00000000">
            <w:pPr>
              <w:jc w:val="right"/>
            </w:pPr>
            <w:r>
              <w:t>1 617</w:t>
            </w:r>
          </w:p>
        </w:tc>
        <w:tc>
          <w:tcPr>
            <w:tcW w:w="810" w:type="dxa"/>
            <w:tcBorders>
              <w:top w:val="nil"/>
              <w:left w:val="single" w:sz="4" w:space="0" w:color="auto"/>
              <w:bottom w:val="nil"/>
              <w:right w:val="single" w:sz="4" w:space="0" w:color="auto"/>
            </w:tcBorders>
            <w:tcMar>
              <w:left w:w="57" w:type="dxa"/>
              <w:right w:w="57" w:type="dxa"/>
            </w:tcMar>
          </w:tcPr>
          <w:p w:rsidR="00000000" w:rsidRDefault="00000000">
            <w:pPr>
              <w:jc w:val="right"/>
            </w:pPr>
            <w:r>
              <w:t>2 322</w:t>
            </w:r>
          </w:p>
        </w:tc>
      </w:tr>
      <w:tr w:rsidR="00000000">
        <w:tblPrEx>
          <w:tblCellMar>
            <w:top w:w="0" w:type="dxa"/>
            <w:bottom w:w="0" w:type="dxa"/>
          </w:tblCellMar>
        </w:tblPrEx>
        <w:tc>
          <w:tcPr>
            <w:tcW w:w="5293"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left" w:pos="284"/>
              </w:tabs>
            </w:pPr>
            <w:r>
              <w:tab/>
              <w:t>Пособие по уходу за членом семьи</w:t>
            </w:r>
            <w:r>
              <w:rPr>
                <w:b/>
                <w:bCs/>
                <w:vertAlign w:val="superscript"/>
              </w:rPr>
              <w:t>g</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730</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894</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jc w:val="right"/>
            </w:pPr>
            <w:r>
              <w:t>927</w:t>
            </w:r>
          </w:p>
        </w:tc>
        <w:tc>
          <w:tcPr>
            <w:tcW w:w="797" w:type="dxa"/>
            <w:tcBorders>
              <w:top w:val="nil"/>
              <w:left w:val="single" w:sz="4" w:space="0" w:color="auto"/>
              <w:bottom w:val="nil"/>
              <w:right w:val="single" w:sz="4" w:space="0" w:color="auto"/>
            </w:tcBorders>
            <w:tcMar>
              <w:left w:w="57" w:type="dxa"/>
              <w:right w:w="57" w:type="dxa"/>
            </w:tcMar>
          </w:tcPr>
          <w:p w:rsidR="00000000" w:rsidRDefault="00000000">
            <w:pPr>
              <w:jc w:val="right"/>
            </w:pPr>
            <w:r>
              <w:t>864</w:t>
            </w:r>
          </w:p>
        </w:tc>
        <w:tc>
          <w:tcPr>
            <w:tcW w:w="810" w:type="dxa"/>
            <w:tcBorders>
              <w:top w:val="nil"/>
              <w:left w:val="single" w:sz="4" w:space="0" w:color="auto"/>
              <w:bottom w:val="nil"/>
              <w:right w:val="single" w:sz="4" w:space="0" w:color="auto"/>
            </w:tcBorders>
            <w:tcMar>
              <w:left w:w="57" w:type="dxa"/>
              <w:right w:w="57" w:type="dxa"/>
            </w:tcMar>
          </w:tcPr>
          <w:p w:rsidR="00000000" w:rsidRDefault="00000000">
            <w:pPr>
              <w:jc w:val="right"/>
            </w:pPr>
            <w:r>
              <w:t>766</w:t>
            </w:r>
          </w:p>
        </w:tc>
      </w:tr>
      <w:tr w:rsidR="00000000">
        <w:tblPrEx>
          <w:tblCellMar>
            <w:top w:w="0" w:type="dxa"/>
            <w:bottom w:w="0" w:type="dxa"/>
          </w:tblCellMar>
        </w:tblPrEx>
        <w:tc>
          <w:tcPr>
            <w:tcW w:w="5293" w:type="dxa"/>
            <w:tcBorders>
              <w:top w:val="nil"/>
              <w:left w:val="single" w:sz="4" w:space="0" w:color="auto"/>
              <w:bottom w:val="single" w:sz="4" w:space="0" w:color="auto"/>
              <w:right w:val="single" w:sz="4" w:space="0" w:color="auto"/>
            </w:tcBorders>
            <w:tcMar>
              <w:left w:w="57" w:type="dxa"/>
              <w:right w:w="57" w:type="dxa"/>
            </w:tcMar>
          </w:tcPr>
          <w:p w:rsidR="00000000" w:rsidRDefault="00000000">
            <w:pPr>
              <w:tabs>
                <w:tab w:val="clear" w:pos="567"/>
                <w:tab w:val="left" w:pos="284"/>
              </w:tabs>
            </w:pPr>
            <w:r>
              <w:tab/>
              <w:t>Дополнительное социальное пособие</w:t>
            </w:r>
            <w:r>
              <w:rPr>
                <w:b/>
                <w:bCs/>
                <w:vertAlign w:val="superscript"/>
              </w:rPr>
              <w:t>h</w:t>
            </w:r>
          </w:p>
        </w:tc>
        <w:tc>
          <w:tcPr>
            <w:tcW w:w="935" w:type="dxa"/>
            <w:tcBorders>
              <w:top w:val="nil"/>
              <w:left w:val="single" w:sz="4" w:space="0" w:color="auto"/>
              <w:bottom w:val="single" w:sz="4" w:space="0" w:color="auto"/>
              <w:right w:val="single" w:sz="4" w:space="0" w:color="auto"/>
            </w:tcBorders>
            <w:tcMar>
              <w:left w:w="57" w:type="dxa"/>
              <w:right w:w="57" w:type="dxa"/>
            </w:tcMar>
          </w:tcPr>
          <w:p w:rsidR="00000000" w:rsidRDefault="00000000">
            <w:pPr>
              <w:jc w:val="right"/>
            </w:pPr>
            <w:r>
              <w:t>2 340</w:t>
            </w:r>
          </w:p>
        </w:tc>
        <w:tc>
          <w:tcPr>
            <w:tcW w:w="935" w:type="dxa"/>
            <w:tcBorders>
              <w:top w:val="nil"/>
              <w:left w:val="single" w:sz="4" w:space="0" w:color="auto"/>
              <w:bottom w:val="single" w:sz="4" w:space="0" w:color="auto"/>
              <w:right w:val="single" w:sz="4" w:space="0" w:color="auto"/>
            </w:tcBorders>
            <w:tcMar>
              <w:left w:w="57" w:type="dxa"/>
              <w:right w:w="57" w:type="dxa"/>
            </w:tcMar>
          </w:tcPr>
          <w:p w:rsidR="00000000" w:rsidRDefault="00000000">
            <w:pPr>
              <w:jc w:val="right"/>
            </w:pPr>
            <w:r>
              <w:t>6 029</w:t>
            </w:r>
          </w:p>
        </w:tc>
        <w:tc>
          <w:tcPr>
            <w:tcW w:w="935" w:type="dxa"/>
            <w:tcBorders>
              <w:top w:val="nil"/>
              <w:left w:val="single" w:sz="4" w:space="0" w:color="auto"/>
              <w:bottom w:val="single" w:sz="4" w:space="0" w:color="auto"/>
              <w:right w:val="single" w:sz="4" w:space="0" w:color="auto"/>
            </w:tcBorders>
            <w:tcMar>
              <w:left w:w="57" w:type="dxa"/>
              <w:right w:w="57" w:type="dxa"/>
            </w:tcMar>
          </w:tcPr>
          <w:p w:rsidR="00000000" w:rsidRDefault="00000000">
            <w:pPr>
              <w:jc w:val="right"/>
            </w:pPr>
            <w:r>
              <w:t>6 243</w:t>
            </w:r>
          </w:p>
        </w:tc>
        <w:tc>
          <w:tcPr>
            <w:tcW w:w="797" w:type="dxa"/>
            <w:tcBorders>
              <w:top w:val="nil"/>
              <w:left w:val="single" w:sz="4" w:space="0" w:color="auto"/>
              <w:bottom w:val="single" w:sz="4" w:space="0" w:color="auto"/>
              <w:right w:val="single" w:sz="4" w:space="0" w:color="auto"/>
            </w:tcBorders>
            <w:tcMar>
              <w:left w:w="57" w:type="dxa"/>
              <w:right w:w="57" w:type="dxa"/>
            </w:tcMar>
          </w:tcPr>
          <w:p w:rsidR="00000000" w:rsidRDefault="00000000">
            <w:pPr>
              <w:jc w:val="right"/>
            </w:pPr>
            <w:r>
              <w:t>6 224</w:t>
            </w:r>
          </w:p>
        </w:tc>
        <w:tc>
          <w:tcPr>
            <w:tcW w:w="810" w:type="dxa"/>
            <w:tcBorders>
              <w:top w:val="nil"/>
              <w:left w:val="single" w:sz="4" w:space="0" w:color="auto"/>
              <w:bottom w:val="single" w:sz="4" w:space="0" w:color="auto"/>
              <w:right w:val="single" w:sz="4" w:space="0" w:color="auto"/>
            </w:tcBorders>
            <w:tcMar>
              <w:left w:w="57" w:type="dxa"/>
              <w:right w:w="57" w:type="dxa"/>
            </w:tcMar>
          </w:tcPr>
          <w:p w:rsidR="00000000" w:rsidRDefault="00000000">
            <w:pPr>
              <w:jc w:val="right"/>
            </w:pPr>
            <w:r>
              <w:t>6 273</w:t>
            </w:r>
          </w:p>
        </w:tc>
      </w:tr>
    </w:tbl>
    <w:p w:rsidR="00000000" w:rsidRDefault="00000000"/>
    <w:p w:rsidR="00000000" w:rsidRDefault="00000000">
      <w:pPr>
        <w:spacing w:line="240" w:lineRule="auto"/>
        <w:rPr>
          <w:lang w:val="en-US"/>
        </w:rPr>
      </w:pPr>
      <w:r>
        <w:rPr>
          <w:u w:val="single"/>
        </w:rPr>
        <w:t>Источник</w:t>
      </w:r>
      <w:r>
        <w:rPr>
          <w:lang w:val="en-US"/>
        </w:rPr>
        <w:t>:</w:t>
      </w:r>
      <w:r>
        <w:rPr>
          <w:lang w:val="en-US"/>
        </w:rPr>
        <w:tab/>
        <w:t xml:space="preserve"> Statistical Yearbook of the CR, 1999.</w:t>
      </w:r>
    </w:p>
    <w:p w:rsidR="00000000" w:rsidRDefault="00000000">
      <w:pPr>
        <w:pStyle w:val="FootnoteText"/>
        <w:rPr>
          <w:lang w:val="en-US"/>
        </w:rPr>
      </w:pPr>
    </w:p>
    <w:p w:rsidR="00000000" w:rsidRDefault="00000000">
      <w:pPr>
        <w:spacing w:line="240" w:lineRule="auto"/>
      </w:pPr>
      <w:r>
        <w:rPr>
          <w:b/>
          <w:bCs/>
          <w:vertAlign w:val="superscript"/>
        </w:rPr>
        <w:tab/>
      </w:r>
      <w:r>
        <w:rPr>
          <w:b/>
          <w:bCs/>
          <w:vertAlign w:val="superscript"/>
          <w:lang w:val="en-US"/>
        </w:rPr>
        <w:t>a</w:t>
      </w:r>
      <w:r>
        <w:tab/>
        <w:t>Включая пособие для родителей-пенсионеров, которое до 1995 года предоставлялось всем детям, родители которых получали пособия по болезни или пенсии, с момента рождения до завершения профессиональной подготовки, позволяющей получить работу;  размер пособия варьировался в зависимости от возраста ребенка.  По состоянию на 1 января 1996 года размер дополнительного пособия зависит от возраста ребенка и доходов семьи.  Дополнительные пособия предоставляются детям, живущим в семьях, доход которых ниже прожиточного уровня, умноженного на три.</w:t>
      </w:r>
    </w:p>
    <w:p w:rsidR="00000000" w:rsidRDefault="00000000">
      <w:pPr>
        <w:spacing w:line="240" w:lineRule="auto"/>
      </w:pPr>
    </w:p>
    <w:p w:rsidR="00000000" w:rsidRDefault="00000000">
      <w:pPr>
        <w:spacing w:line="240" w:lineRule="auto"/>
      </w:pPr>
      <w:r>
        <w:rPr>
          <w:b/>
          <w:bCs/>
          <w:vertAlign w:val="superscript"/>
        </w:rPr>
        <w:tab/>
      </w:r>
      <w:r>
        <w:rPr>
          <w:b/>
          <w:bCs/>
          <w:vertAlign w:val="superscript"/>
          <w:lang w:val="en-US"/>
        </w:rPr>
        <w:t>b</w:t>
      </w:r>
      <w:r>
        <w:tab/>
        <w:t>До 1 октября 1995 года пособие при рождении ребенка.  Это пособие предназначено для покрытия чрезвычайных расходов, связанных с рождением ребенка (четыре размера прожиточного уровня для удовлетворения личных потребностей ребенка;  размер доходов семьи не учитывается).</w:t>
      </w:r>
    </w:p>
    <w:p w:rsidR="00000000" w:rsidRDefault="00000000">
      <w:pPr>
        <w:spacing w:line="240" w:lineRule="auto"/>
      </w:pPr>
    </w:p>
    <w:p w:rsidR="00000000" w:rsidRDefault="00000000">
      <w:pPr>
        <w:spacing w:line="240" w:lineRule="auto"/>
      </w:pPr>
      <w:r>
        <w:rPr>
          <w:b/>
          <w:bCs/>
          <w:vertAlign w:val="superscript"/>
        </w:rPr>
        <w:tab/>
      </w:r>
      <w:r>
        <w:rPr>
          <w:b/>
          <w:bCs/>
          <w:vertAlign w:val="superscript"/>
          <w:lang w:val="en-US"/>
        </w:rPr>
        <w:t>c</w:t>
      </w:r>
      <w:r>
        <w:tab/>
        <w:t>Данное пособие предназначено для детей солдат, их жен или иных лиц, в отношении которых солдат в ходе обязательного срока военной службы, гражданской службы или военной подготовки имел алиментные обязательства, не зависимо от размера доходов этого лица.  Применительно к жене пособие выплачивается при условии осуществления ею ухода за ребенком вплоть до четырехлетнего возраста (а для детей-инвалидов вплоть до семилетнего возраста), наличия у нее инвалидности или наличия иной серьезной причины, не позволяющей ей работать.</w:t>
      </w:r>
    </w:p>
    <w:p w:rsidR="00000000" w:rsidRDefault="00000000">
      <w:pPr>
        <w:spacing w:line="240" w:lineRule="auto"/>
      </w:pPr>
    </w:p>
    <w:p w:rsidR="00000000" w:rsidRDefault="00000000">
      <w:pPr>
        <w:spacing w:line="240" w:lineRule="auto"/>
      </w:pPr>
      <w:r>
        <w:rPr>
          <w:b/>
          <w:bCs/>
          <w:vertAlign w:val="superscript"/>
        </w:rPr>
        <w:tab/>
      </w:r>
      <w:r>
        <w:rPr>
          <w:b/>
          <w:bCs/>
          <w:vertAlign w:val="superscript"/>
          <w:lang w:val="en-US"/>
        </w:rPr>
        <w:t>d</w:t>
      </w:r>
      <w:r>
        <w:tab/>
        <w:t>Предоставляется только тем детям, в интересах которых суд постановил выплачивать алименты (так называемые алиментные депозиты), в размере, соответствующем социальным потребностям.</w:t>
      </w:r>
    </w:p>
    <w:p w:rsidR="00000000" w:rsidRDefault="00000000">
      <w:pPr>
        <w:spacing w:line="240" w:lineRule="auto"/>
      </w:pPr>
    </w:p>
    <w:p w:rsidR="00000000" w:rsidRDefault="00000000">
      <w:pPr>
        <w:spacing w:line="240" w:lineRule="auto"/>
      </w:pPr>
      <w:r>
        <w:rPr>
          <w:b/>
          <w:bCs/>
          <w:vertAlign w:val="superscript"/>
        </w:rPr>
        <w:tab/>
      </w:r>
      <w:r>
        <w:rPr>
          <w:b/>
          <w:bCs/>
          <w:vertAlign w:val="superscript"/>
          <w:lang w:val="en-US"/>
        </w:rPr>
        <w:t>e</w:t>
      </w:r>
      <w:r>
        <w:tab/>
        <w:t>Пособие на оплату потребностей ребенка, бонус для приемного родителя, пособие при приеме ребенка на попечение и пособие на приобретение автомобиля.</w:t>
      </w:r>
    </w:p>
    <w:p w:rsidR="00000000" w:rsidRDefault="00000000">
      <w:pPr>
        <w:spacing w:line="240" w:lineRule="auto"/>
      </w:pPr>
    </w:p>
    <w:p w:rsidR="00000000" w:rsidRDefault="00000000">
      <w:pPr>
        <w:spacing w:line="240" w:lineRule="auto"/>
      </w:pPr>
      <w:r>
        <w:rPr>
          <w:b/>
          <w:bCs/>
          <w:vertAlign w:val="superscript"/>
        </w:rPr>
        <w:tab/>
      </w:r>
      <w:r>
        <w:rPr>
          <w:b/>
          <w:bCs/>
          <w:vertAlign w:val="superscript"/>
          <w:lang w:val="en-US"/>
        </w:rPr>
        <w:t>f</w:t>
      </w:r>
      <w:r>
        <w:tab/>
        <w:t>Выплачивается только в том случае, если их уровень доходов ниже прожиточного уровня и эти лица не могут повысить свой уровень доходов за счет своей собственной деятельности.</w:t>
      </w:r>
    </w:p>
    <w:p w:rsidR="00000000" w:rsidRDefault="00000000">
      <w:pPr>
        <w:spacing w:line="240" w:lineRule="auto"/>
      </w:pPr>
    </w:p>
    <w:p w:rsidR="00000000" w:rsidRDefault="00000000">
      <w:pPr>
        <w:spacing w:line="240" w:lineRule="auto"/>
      </w:pPr>
      <w:r>
        <w:rPr>
          <w:b/>
          <w:bCs/>
          <w:vertAlign w:val="superscript"/>
        </w:rPr>
        <w:tab/>
      </w:r>
      <w:r>
        <w:rPr>
          <w:b/>
          <w:bCs/>
          <w:vertAlign w:val="superscript"/>
          <w:lang w:val="en-US"/>
        </w:rPr>
        <w:t>g</w:t>
      </w:r>
      <w:r>
        <w:tab/>
        <w:t>Выплачивается одному из родителей, осуществляющему уход за больным ребенком, обычно в течение девяти календарных дней.</w:t>
      </w:r>
    </w:p>
    <w:p w:rsidR="00000000" w:rsidRDefault="00000000">
      <w:pPr>
        <w:spacing w:line="240" w:lineRule="auto"/>
      </w:pPr>
    </w:p>
    <w:p w:rsidR="00000000" w:rsidRDefault="00000000">
      <w:pPr>
        <w:spacing w:line="240" w:lineRule="auto"/>
      </w:pPr>
      <w:r>
        <w:rPr>
          <w:b/>
          <w:bCs/>
          <w:vertAlign w:val="superscript"/>
        </w:rPr>
        <w:tab/>
      </w:r>
      <w:r>
        <w:rPr>
          <w:b/>
          <w:bCs/>
          <w:vertAlign w:val="superscript"/>
          <w:lang w:val="en-US"/>
        </w:rPr>
        <w:t>h</w:t>
      </w:r>
      <w:r>
        <w:tab/>
        <w:t>Выплачивается семьям с низкими доходами в качестве пособия на покрытие расходов, связанных с удовлетворением потребностей детей.  Размер пособия зависит от возраста ребенка и доходов семьи.  Родитель имеет право на дополнительное материальное пособие, если он осуществляет уход за ребенком и доход семьи не превышает 1,6 прожиточного уровня.  До 1996 года дополнительного материального пособия не существовало, однако выплачивалось государственное уравнительное пособие, размер которого неоднократно изменялся.</w:t>
      </w:r>
    </w:p>
    <w:p w:rsidR="00000000" w:rsidRDefault="00000000"/>
    <w:p w:rsidR="00000000" w:rsidRDefault="00000000">
      <w:r>
        <w:t>Другие формы финансовой помощи семьям, имеющим детей, которые отражены в приводимой выше таблице, более подробно описываются в тексте доклада, в особенности в связи со статьей 9 Пакта.</w:t>
      </w:r>
    </w:p>
    <w:p w:rsidR="00000000" w:rsidRDefault="00000000"/>
    <w:p w:rsidR="00000000" w:rsidRDefault="00000000">
      <w:pPr>
        <w:pStyle w:val="Heading6"/>
        <w:rPr>
          <w:bCs/>
          <w:u w:val="none"/>
        </w:rPr>
      </w:pPr>
      <w:r>
        <w:rPr>
          <w:bCs/>
          <w:u w:val="none"/>
        </w:rPr>
        <w:t>Пункт 2</w:t>
      </w:r>
    </w:p>
    <w:p w:rsidR="00000000" w:rsidRDefault="00000000">
      <w:pPr>
        <w:pStyle w:val="Heading6"/>
        <w:rPr>
          <w:bCs/>
        </w:rPr>
      </w:pPr>
    </w:p>
    <w:p w:rsidR="00000000" w:rsidRDefault="00000000">
      <w:r>
        <w:t>377.</w:t>
      </w:r>
      <w:r>
        <w:tab/>
        <w:t>Правовые нормы, регулирующие защиту беременных женщин и матерей в сфере труда содержатся в статьях 153</w:t>
      </w:r>
      <w:r>
        <w:noBreakHyphen/>
        <w:t>161 Кодекса о труде:</w:t>
      </w:r>
    </w:p>
    <w:p w:rsidR="00000000" w:rsidRDefault="00000000"/>
    <w:p w:rsidR="00000000" w:rsidRDefault="00000000">
      <w:r>
        <w:tab/>
      </w:r>
      <w:r>
        <w:rPr>
          <w:lang w:val="en-US"/>
        </w:rPr>
        <w:t>a</w:t>
      </w:r>
      <w:r>
        <w:t>)</w:t>
      </w:r>
      <w:r>
        <w:tab/>
        <w:t>согласно статье 153 "если беременная женщина выполняет такой вид работы, который запрещено выполнять беременным женщинам или который, по заключению врачей, создает опасность для беременности</w:t>
      </w:r>
      <w:r>
        <w:rPr>
          <w:rStyle w:val="FootnoteReference"/>
        </w:rPr>
        <w:footnoteReference w:id="223"/>
      </w:r>
      <w:r>
        <w:t>, наниматель обязан временно перевести ее на другую работу, которая является подходящей для нее и на которой она может получать такой же заработок, что и на предыдущем месте работы.  Если беременная женщина, работающая в ночную смену, просит перевести ее в дневную смену, то наниматель обязан выполнить ее просьбу".  Это положение также применяется к матерям в течение девяти месяцев после родов.  Если женщина получает меньший заработок на работе, на которую она была переведена не по собственной вине, то она получает пособие, выплачиваемое в соответствии с нормами о страховании по болезни, с тем чтобы устранить эту разницу в заработке</w:t>
      </w:r>
      <w:r>
        <w:rPr>
          <w:rStyle w:val="FootnoteReference"/>
        </w:rPr>
        <w:footnoteReference w:id="224"/>
      </w:r>
      <w:r>
        <w:t>;</w:t>
      </w:r>
    </w:p>
    <w:p w:rsidR="00000000" w:rsidRDefault="00000000"/>
    <w:p w:rsidR="00000000" w:rsidRDefault="00000000">
      <w:r>
        <w:tab/>
      </w:r>
      <w:r>
        <w:rPr>
          <w:lang w:val="en-US"/>
        </w:rPr>
        <w:t>b</w:t>
      </w:r>
      <w:r>
        <w:t>)</w:t>
      </w:r>
      <w:r>
        <w:tab/>
        <w:t>согласно статье 155 Кодекса о труде беременные женщины и матери, осуществляющие уход за ребенком до достижения им трехлетнего возраста, пользуются усиленной защитой от увольнения по инициативе нанимателя;</w:t>
      </w:r>
    </w:p>
    <w:p w:rsidR="00000000" w:rsidRDefault="00000000"/>
    <w:p w:rsidR="00000000" w:rsidRDefault="00000000">
      <w:r>
        <w:tab/>
      </w:r>
      <w:r>
        <w:rPr>
          <w:lang w:val="en-US"/>
        </w:rPr>
        <w:t>c</w:t>
      </w:r>
      <w:r>
        <w:t>)</w:t>
      </w:r>
      <w:r>
        <w:tab/>
        <w:t>согласно статье 156 Кодекса наниматель, при распределении работников по сменам, должен учитывать потребности женщин, осуществляющих уход за детьми.  Он должен удовлетворять их просьбы о сокращении рабочего времени или иным образом корректировать установленное недельное рабочее время, если этому не препятствует серьезная производственная необходимость.  Наниматель не может также использовать труд беременных женщин и матерей, осуществляющих уход за детьми в возрасте до одного года, на сверхурочных работах.</w:t>
      </w:r>
    </w:p>
    <w:p w:rsidR="00000000" w:rsidRDefault="00000000">
      <w:pPr>
        <w:ind w:left="567" w:hanging="567"/>
      </w:pPr>
    </w:p>
    <w:p w:rsidR="00000000" w:rsidRDefault="00000000">
      <w:r>
        <w:t>378.</w:t>
      </w:r>
      <w:r>
        <w:tab/>
        <w:t>Действующие правовые нормы содержат определенные элементы, приводящие к неравенству в статусе работающих мужчин и женщин;  это положение будет исправлено путем принятия готовящейся в настоящее время поправки к Кодексу о труде, согласно которой работник, осуществляющий уход за детьми, будет защищен независимо от его пола.  В связи с согласованием правовой системы Чешской Республики с законодательством Сообщества Чешская Республика включает в свое трудовое законодательство директиву Совета ЕС № 96/34/</w:t>
      </w:r>
      <w:r>
        <w:rPr>
          <w:lang w:val="en-US"/>
        </w:rPr>
        <w:t>EEC</w:t>
      </w:r>
      <w:r>
        <w:t>, касающуюся рамочного соглашения, заключенного между ЮНИСЕФ</w:t>
      </w:r>
      <w:r>
        <w:rPr>
          <w:rStyle w:val="FootnoteReference"/>
        </w:rPr>
        <w:footnoteReference w:id="225"/>
      </w:r>
      <w:r>
        <w:t>, ЕИЦП</w:t>
      </w:r>
      <w:r>
        <w:rPr>
          <w:rStyle w:val="FootnoteReference"/>
        </w:rPr>
        <w:footnoteReference w:id="226"/>
      </w:r>
      <w:r>
        <w:t xml:space="preserve"> и ЕКПС</w:t>
      </w:r>
      <w:r>
        <w:rPr>
          <w:rStyle w:val="FootnoteReference"/>
        </w:rPr>
        <w:footnoteReference w:id="227"/>
      </w:r>
      <w:r>
        <w:t xml:space="preserve"> по вопросу об отпуске по уходу за ребенком, и директиву Совета ЕС № 92/85/</w:t>
      </w:r>
      <w:r>
        <w:rPr>
          <w:lang w:val="en-US"/>
        </w:rPr>
        <w:t>EEC</w:t>
      </w:r>
      <w:r>
        <w:t xml:space="preserve"> об осуществлении мер, направленных на совершенствование положений об охране здоровья на рабочем месте беременных женщин, женщин после родов и кормящих матерей.</w:t>
      </w:r>
    </w:p>
    <w:p w:rsidR="00000000" w:rsidRDefault="00000000"/>
    <w:p w:rsidR="00000000" w:rsidRDefault="00000000">
      <w:r>
        <w:t>379.</w:t>
      </w:r>
      <w:r>
        <w:tab/>
        <w:t>Положения о социальной защите беременных женщин и матерей содержатся также в нормах, касающихся страхования по болезни, социального обеспечения и государственных пособий.  Охват и масштабы мер по защите беременных женщин и матерей являются стабильными на протяжении длительного периода времени и в настоящее время не рассматривается вопрос о внесении в них каких</w:t>
      </w:r>
      <w:r>
        <w:noBreakHyphen/>
        <w:t>либо изменений.</w:t>
      </w:r>
    </w:p>
    <w:p w:rsidR="00000000" w:rsidRDefault="00000000"/>
    <w:p w:rsidR="00000000" w:rsidRDefault="00000000">
      <w:r>
        <w:t>380.</w:t>
      </w:r>
      <w:r>
        <w:tab/>
        <w:t>Согласно пункту 1 статьи 157 Кодекса о труде "женщина имеет право на отпуск по беременности и родам продолжительностью 28 недель в связи с родами и уходом за уже родившимся ребенком;  если женщина одновременно рождает двух или более детей или если речь идет об одинокой женщине, то она имеет право на отпуск по беременности и родам продолжительностью 37 недель".  В целях совершенствования охраны здоровья матери и ребенка, согласно пункту 2 этой статьи, наниматель обязан предоставить женщине дополнительный отпуск по беременности и родам до достижения ребенком трехлетнего возраста, если женщина обратится с такой просьбой.  Продолжительность такого отпуска определяется по желанию матери.</w:t>
      </w:r>
    </w:p>
    <w:p w:rsidR="00000000" w:rsidRDefault="00000000"/>
    <w:p w:rsidR="00000000" w:rsidRDefault="00000000">
      <w:r>
        <w:t>381.</w:t>
      </w:r>
      <w:r>
        <w:tab/>
        <w:t>В течение основного и дополнительного отпуска по беременности и родам женщина не имеет права на получение заработной платы.  Материальное обеспечение в течение этого периода определяется положениями медицинского страхования, которые предусматривают, в каких случаях, при каких условиях и в течение какого периода времени женщина имеет право на материальное пособие во время отпуска по беременности и родам (см. также текст, посвященный статье 9 Пакта).</w:t>
      </w:r>
    </w:p>
    <w:p w:rsidR="00000000" w:rsidRDefault="00000000"/>
    <w:p w:rsidR="00000000" w:rsidRDefault="00000000">
      <w:r>
        <w:t>382.</w:t>
      </w:r>
      <w:r>
        <w:tab/>
        <w:t>Обычно женщина выходит в отпуск по беременности и родам в начале шестой недели до ожидаемого срока родов.  Отпуск по беременности и родам не может быть короче 14 недель и ни при каких обстоятельствах не может быть прекращен или прерван до истечения шести недель после родов (статья 159 Кодекса о труде).</w:t>
      </w:r>
    </w:p>
    <w:p w:rsidR="00000000" w:rsidRDefault="00000000"/>
    <w:p w:rsidR="00000000" w:rsidRDefault="00000000">
      <w:r>
        <w:t>383.</w:t>
      </w:r>
      <w:r>
        <w:tab/>
        <w:t>Последнее увеличение размера пособий, произведенное в 1995 году согласно Закону о государственных пособиях</w:t>
      </w:r>
      <w:r>
        <w:rPr>
          <w:rStyle w:val="FootnoteReference"/>
        </w:rPr>
        <w:footnoteReference w:id="228"/>
      </w:r>
      <w:r>
        <w:t>, касалось государственного пособия, предназначенного для родителя, который осуществляет постоянный уход за ребенком (родительское пособие) до достижения им четырех лет (или до достижения им семи лет в случае наличия у ребенка постоянной инвалидности или длительной болезни) независимо от пола родителя.  Продолжительность выплаты этого пособия, которое ранее ограничивалось достижением ребенком трех лет, была увеличена на один год.  Эта мера носила единовременный характер и была направлена на сохранение или поддержание существующих демографических тенденций и снижение давления на рынке труда</w:t>
      </w:r>
      <w:r>
        <w:rPr>
          <w:rStyle w:val="FootnoteReference"/>
        </w:rPr>
        <w:footnoteReference w:id="229"/>
      </w:r>
      <w:r>
        <w:t>.</w:t>
      </w:r>
    </w:p>
    <w:p w:rsidR="00000000" w:rsidRDefault="00000000"/>
    <w:p w:rsidR="00000000" w:rsidRDefault="00000000">
      <w:r>
        <w:t>384.</w:t>
      </w:r>
      <w:r>
        <w:tab/>
        <w:t>Размер пособия определяется статьей 7 Закона о родительских пособиях</w:t>
      </w:r>
      <w:r>
        <w:rPr>
          <w:rStyle w:val="FootnoteReference"/>
        </w:rPr>
        <w:footnoteReference w:id="230"/>
      </w:r>
      <w:r>
        <w:t>.  Такое пособие всегда предоставляется на календарный месяц, не подлежит налогообложению и не выплачивается за границей.  Первоначальный размер ежемесячного пособия в 1990 году составлял 900 чешских крон и впоследствии в соответствии с поправками к Закону о родительских пособиях постепенно увеличивался:  в 1992 году до 1 200 чешских крон,  в 1993 году до 1 360 чешских крон и в 1994 году до 1 500 чешских крон;  в 1995 году размер месячного пособия составлял 1 740 чешских крон.  Однако по сравнению с заработной платой размер родительского пособия является относительно низким:  его фиксированный размер составляет не более 1,1 прожиточного уровня для удовлетворения личных потребностей родителя осуществляющего уход за ребенком (примерно половина средней заработной платы).  Если получатель имеет право на пособие лишь за часть календарного месяца, то размер пособия за календарный день составляет 58 чешских крон (в 1990 году первоначальный размер пособия составлял 30 чешских крон).  Помимо необходимости осуществления постоянного ухода, право на пособия также обусловлено постоянным проживаем в Чешской Республике и требованием о том, чтобы родитель в ходе периода ухода за ребенком не получал заработной платы, оклада, вознаграждения за какую-либо работу или иного дохода от работы по найму и не получал материальной помощи, предназначенной для лиц, ищущих работу.  Родитель, даже работающий по найму, имеет право на получение пособия, если он занят не более двух часов в день или его/ее чистый доход от работы по найму не превышает размера месячного прожиточного минимума для удовлетворения его личных потребностей.  Для родителей-одиночек может устанавливаться более высокий уровень дохода.</w:t>
      </w:r>
    </w:p>
    <w:p w:rsidR="00000000" w:rsidRDefault="00000000"/>
    <w:p w:rsidR="00000000" w:rsidRDefault="00000000">
      <w:r>
        <w:t>385.</w:t>
      </w:r>
      <w:r>
        <w:tab/>
        <w:t>Всеобщий доступ к здравоохранению в Чешской Республике обеспечивается в полной мере на равноправной основе.  Однако в рамках всеобъемлющей системы медицинского и социального обслуживания семьи, детей и женщин особое внимание уделяется женщинам и детям.  Услуги по охране здоровья в связи с беременностью и родами и в послеродовой период полностью покрываются за счет государственной системы медицинского страхования.</w:t>
      </w:r>
    </w:p>
    <w:p w:rsidR="00000000" w:rsidRDefault="00000000"/>
    <w:p w:rsidR="00000000" w:rsidRDefault="00000000">
      <w:r>
        <w:t>386.</w:t>
      </w:r>
      <w:r>
        <w:tab/>
        <w:t>Право свободно принимать решения в отношении числа детей и сроков деторождения зафиксировано в Законе об абортах</w:t>
      </w:r>
      <w:r>
        <w:rPr>
          <w:rStyle w:val="FootnoteReference"/>
        </w:rPr>
        <w:footnoteReference w:id="231"/>
      </w:r>
      <w:r>
        <w:t>, который является очень либеральным с точки зрения его доступности.  Опасения его оппонентов в отношении того, что он приведет к значительному увеличению числа абортов, на практике не подтвердились (см. также таблицы в связи с пунктом 2 а) статьи 12 Пакта).</w:t>
      </w:r>
    </w:p>
    <w:p w:rsidR="00000000" w:rsidRDefault="00000000"/>
    <w:p w:rsidR="00000000" w:rsidRDefault="00000000">
      <w:r>
        <w:t>387.</w:t>
      </w:r>
      <w:r>
        <w:tab/>
        <w:t>В настоящее время примерно 25% беременных женщин госпитализируются по меньшей мере за неделю до родов, в 43% случаев беременность квалифицируется медицинскими учреждениями как беременность с повышенным риском, и 11% женщин рожают путем кесарева сечения.  Смертность при рождении опустилась ниже 10 на 100 000 живорождений, что соответствует рекомендациям Всемирной организации здравоохранения для наиболее развитых стран (менее 15 случаев смерти женщин на 100 000 деторождений).</w:t>
      </w:r>
    </w:p>
    <w:p w:rsidR="00000000" w:rsidRDefault="00000000"/>
    <w:p w:rsidR="00000000" w:rsidRDefault="00000000">
      <w:r>
        <w:t>388.</w:t>
      </w:r>
      <w:r>
        <w:tab/>
        <w:t>В рамках программы борьбы с ВИЧ/СПИДом врачи рекомендуют всем беременным женщинам пройти анализ на антитела ВИЧ на добровольной основе и в условиях анонимности.  В 1996 году этой возможностью воспользовались 85% беременных женщин.  Инфицированность ВИЧ является низкой и составляет примерно 0,002%.  Все женщины с положительной реакцией на ВИЧ проходят профилактическое лечение с применением препарата А</w:t>
      </w:r>
      <w:r>
        <w:rPr>
          <w:lang w:val="fr-CA"/>
        </w:rPr>
        <w:t>Z</w:t>
      </w:r>
      <w:r>
        <w:t>Т.  Эти услуги в полной мере оплачиваются за счет государственных фондов медицинского страхования.</w:t>
      </w:r>
    </w:p>
    <w:p w:rsidR="00000000" w:rsidRDefault="00000000"/>
    <w:p w:rsidR="00000000" w:rsidRDefault="00000000">
      <w:pPr>
        <w:pStyle w:val="Heading2"/>
        <w:rPr>
          <w:b/>
          <w:bCs/>
          <w:u w:val="none"/>
        </w:rPr>
      </w:pPr>
      <w:r>
        <w:rPr>
          <w:b/>
          <w:bCs/>
          <w:u w:val="none"/>
        </w:rPr>
        <w:t>Пункт 3</w:t>
      </w:r>
    </w:p>
    <w:p w:rsidR="00000000" w:rsidRDefault="00000000">
      <w:pPr>
        <w:pStyle w:val="Heading2"/>
      </w:pPr>
    </w:p>
    <w:p w:rsidR="00000000" w:rsidRDefault="00000000">
      <w:r>
        <w:t>389.</w:t>
      </w:r>
      <w:r>
        <w:tab/>
        <w:t>Выполнение данной статьи подробно описывается в докладе Чешской Республики в связи с Международной конвенцией о правах ребенка</w:t>
      </w:r>
      <w:r>
        <w:rPr>
          <w:rStyle w:val="FootnoteReference"/>
        </w:rPr>
        <w:footnoteReference w:id="232"/>
      </w:r>
      <w:r>
        <w:t>.  Эта Конвенция вступила в силу в 1991 году.  Чешская Республика взяла на себя вытекающие из нее обязательства и согласно статье 44 Конвенции в 1996 году представила Комитету по правам ребенка первоначальный доклад об осуществлении Конвенции в период 1993</w:t>
      </w:r>
      <w:r>
        <w:noBreakHyphen/>
        <w:t>1994 годов.  В 1997 году были представлены ответы на дополнительные вопросы Комитета.  10 октября 1997 года на своей шестнадцатой сессии Комитет провел окончательную оценку доклада Чешской Республики.  В начале 2000 года Чешская Республика представила периодический доклад об осуществлении Конвенции о правах ребенка за полный пятилетний период 1995-1999 годов.  В этот доклад была включена информация за период с 1995 года по август 1997 года, поскольку информация за этот период, представленная Комитету в 1997 году, представляла собой лишь ответы на вопросы Комитета и, таким образом, носила неполный характер.</w:t>
      </w:r>
    </w:p>
    <w:p w:rsidR="00000000" w:rsidRDefault="00000000"/>
    <w:p w:rsidR="00000000" w:rsidRDefault="00000000">
      <w:r>
        <w:t>390.</w:t>
      </w:r>
      <w:r>
        <w:tab/>
        <w:t>Исходя из итогов состоявшейся в 1990 году Всемирной встречи на высшем уровне в интересах детей</w:t>
      </w:r>
      <w:r>
        <w:rPr>
          <w:rStyle w:val="FootnoteReference"/>
        </w:rPr>
        <w:footnoteReference w:id="233"/>
      </w:r>
      <w:r>
        <w:t xml:space="preserve"> и после проведения в 1995 году конференции, участники которой взяли на себя обязательство подготовить в каждой стране "Программу действий в интересах молодежи вплоть до 2000 года и далее", правительство Чешской Республики в 1999 году приняло важный документ о политике Чешской Республики в отношении молодежи, озаглавленный "Основные направления государственной политики в отношении молодого поколения Чешской Республики вплоть до 2002 года"</w:t>
      </w:r>
      <w:r>
        <w:rPr>
          <w:rStyle w:val="FootnoteReference"/>
        </w:rPr>
        <w:footnoteReference w:id="234"/>
      </w:r>
      <w:r>
        <w:t>.  В этом документе правительство взяло на себя обязательство обеспечивать здоровое развитие молодого поколения и создавать условия для его как можно более широкого участия в социальной, политической и экономической жизни Чешской Республики.  Правительство поручило руководителям соответствующих министерств и министру без портфеля обеспечить выполнение поставленных в этой концепции задач, подготовить министерские программы, связанные с поддержкой и защитой детей и молодежи, и выделить из своих бюджетов средства на осуществление этих программ.</w:t>
      </w:r>
    </w:p>
    <w:p w:rsidR="00000000" w:rsidRDefault="00000000"/>
    <w:p w:rsidR="00000000" w:rsidRDefault="00000000">
      <w:r>
        <w:t>391.</w:t>
      </w:r>
      <w:r>
        <w:tab/>
        <w:t>На базе этих Основных направлений правительство учредило Национальный комитет по вопросам детей, молодежи и семьи</w:t>
      </w:r>
      <w:r>
        <w:rPr>
          <w:rStyle w:val="FootnoteReference"/>
        </w:rPr>
        <w:footnoteReference w:id="235"/>
      </w:r>
      <w:r>
        <w:t>.  Комитет отвечает за подготовку основных направлений государственной политики в отношении молодого поколения после 2002 года.  Вопросы защиты прав ребенка в настоящее время относятся к компетенции Уполномоченного по правам человека.</w:t>
      </w:r>
    </w:p>
    <w:p w:rsidR="00000000" w:rsidRDefault="00000000"/>
    <w:p w:rsidR="00000000" w:rsidRDefault="00000000">
      <w:r>
        <w:t>392.</w:t>
      </w:r>
      <w:r>
        <w:tab/>
        <w:t>В свете положений Конвенции о правах ребенка, других международных документов и Хартии правительство в июле 1999 года обсудило проект закона о социальной правовой защите детей</w:t>
      </w:r>
      <w:r>
        <w:rPr>
          <w:rStyle w:val="FootnoteReference"/>
        </w:rPr>
        <w:footnoteReference w:id="236"/>
      </w:r>
      <w:r>
        <w:t>.  Этот закон был принят и вступил в силу 1 апреля 2000 года.  Цель этого закона заключается в укреплении защиты прав детей и их статуса применительно к принципам, содержащимся в международных документах, в частности в Конвенции о правах ребенка, и в учете новых социальных опасностей, угрожающих детям в результате различных негативных проявлений, таких, как насилие в отношении детей, различные виды зависимости (алкоголизм, наркотическая зависимость, пристрастие к азартным играм), порнография и сексуальная эксплуатация в коммерческих целях</w:t>
      </w:r>
      <w:r>
        <w:rPr>
          <w:rStyle w:val="FootnoteReference"/>
        </w:rPr>
        <w:footnoteReference w:id="237"/>
      </w:r>
      <w:r>
        <w:t>.</w:t>
      </w:r>
    </w:p>
    <w:p w:rsidR="00000000" w:rsidRDefault="00000000"/>
    <w:p w:rsidR="00000000" w:rsidRDefault="00000000">
      <w:r>
        <w:t>393.</w:t>
      </w:r>
      <w:r>
        <w:tab/>
        <w:t>В этом законе определяются категории детей, которым органы социальной правовой защиты должны уделять особое внимание, а также средства защиты таких детей.  Основным руководящим принципом является принцип предупреждения, а одним из важнейших средств в рамках этих усилий является профилактическая и консультативная деятельность.  Эта деятельность выполняется главным образом социальными департаментами, которые входят в состав областных и городских органов управления и органов управления Пражского округа.  В области общего предупреждения социальной патологии эта деятельность проводится социальными работниками на местах</w:t>
      </w:r>
      <w:r>
        <w:rPr>
          <w:rStyle w:val="FootnoteReference"/>
        </w:rPr>
        <w:footnoteReference w:id="238"/>
      </w:r>
      <w:r>
        <w:t>.  Министерство труда и социальных вопросов выделяет средства для оплаты труда этих работников и сотрудничающих неправительственных и некоммерческих организаций.</w:t>
      </w:r>
    </w:p>
    <w:p w:rsidR="00000000" w:rsidRDefault="00000000"/>
    <w:p w:rsidR="00000000" w:rsidRDefault="00000000">
      <w:r>
        <w:t>394.</w:t>
      </w:r>
      <w:r>
        <w:tab/>
        <w:t>Закон регулирует взаимное сотрудничество не только органов социально-правовой защиты детей, но также и других органов, действующих в интересах детей, таких, как школы, учреждения здравоохранения и иные аналогичные учреждения.</w:t>
      </w:r>
    </w:p>
    <w:p w:rsidR="00000000" w:rsidRDefault="00000000"/>
    <w:p w:rsidR="00000000" w:rsidRDefault="00000000">
      <w:r>
        <w:t>395.</w:t>
      </w:r>
      <w:r>
        <w:tab/>
        <w:t>Были определены четкие правила для организации усыновления и опеки (организация, процедуры, сотрудничество различных органов, консультирование в целях альтернативного семейного ухода).  Был пересмотрен порядок контроля за развитием детей, находящихся в детских учреждениях.  Этот закон также регулирует оказание помощи детям, которые не имеют постоянного или долгосрочного местожительства в Чешской Республике, и детей, находящихся без сопровождения в иностранном государстве, по смыслу резолюции Совета Европейского союза от 26 июня 1997 года о несопровождаемых несовершеннолетних лицах, являющихся гражданами третьих стран.</w:t>
      </w:r>
    </w:p>
    <w:p w:rsidR="00000000" w:rsidRDefault="00000000"/>
    <w:p w:rsidR="00000000" w:rsidRDefault="00000000">
      <w:r>
        <w:t>396.</w:t>
      </w:r>
      <w:r>
        <w:tab/>
        <w:t>Закон также регулирует организацию социально-правовой защиты:  специализированные консультации по уходу за детьми, социальные учреждения просвещения, учреждения для детей, нуждающихся в безотлагательной помощи, лагеря отдыха и учреждения по вопросам опеки.  Закон позволяет негосударственным органам выполнять ограниченный круг функций по социально-правовой защите при условии выполнения определенных требований.  Однако деятельность, существенным образом затрагивающая статус ребенка или отвечающих за него лиц, по</w:t>
      </w:r>
      <w:r>
        <w:noBreakHyphen/>
        <w:t>прежнему является прерогативой государственных органов.  Закон также предусматривает внесение поправок в другие правовые нормы, последним примером чего является поправка к Закону о правонарушениях</w:t>
      </w:r>
      <w:r>
        <w:rPr>
          <w:rStyle w:val="FootnoteReference"/>
        </w:rPr>
        <w:footnoteReference w:id="239"/>
      </w:r>
      <w:r>
        <w:t>, в котором предусматриваются новые элементы правонарушений и который обеспечивает более широкую защиту детей от жестокого обращения, отсутствия ухода и использования на тяжелых работах.</w:t>
      </w:r>
    </w:p>
    <w:p w:rsidR="00000000" w:rsidRDefault="00000000"/>
    <w:p w:rsidR="00000000" w:rsidRDefault="00000000">
      <w:pPr>
        <w:pStyle w:val="Heading6"/>
        <w:rPr>
          <w:b w:val="0"/>
          <w:i/>
          <w:iCs/>
          <w:u w:val="none"/>
        </w:rPr>
      </w:pPr>
      <w:r>
        <w:rPr>
          <w:b w:val="0"/>
          <w:i/>
          <w:iCs/>
          <w:u w:val="none"/>
        </w:rPr>
        <w:t>Работа детей и подростков по найму</w:t>
      </w:r>
    </w:p>
    <w:p w:rsidR="00000000" w:rsidRDefault="00000000">
      <w:pPr>
        <w:pStyle w:val="Heading6"/>
        <w:rPr>
          <w:bCs/>
        </w:rPr>
      </w:pPr>
    </w:p>
    <w:p w:rsidR="00000000" w:rsidRDefault="00000000">
      <w:r>
        <w:t>397.</w:t>
      </w:r>
      <w:r>
        <w:tab/>
        <w:t>Кодекс законов о труде</w:t>
      </w:r>
      <w:r>
        <w:rPr>
          <w:rStyle w:val="FootnoteReference"/>
        </w:rPr>
        <w:footnoteReference w:id="240"/>
      </w:r>
      <w:r>
        <w:t xml:space="preserve"> в статье 11 предусматривает, что способность физического лица иметь права и обязанности в связи с трудовыми отношениями и способность приобретать эти права и брать на себя обязанности по своей собственной инициативе приобретается в день достижения физическим лицом возраста 15 лет.  Наниматель не может договориться о выходе на работу до того дня, когда соответствующее лицо завершит курс обязательного образования.  По закону продолжительность обязательного образования составляет девять лет.  В нем также оговаривается дееспособность лица, завершающего обязательное образование в исправительной школе, до достижения возраста 15 лет.  Способность приобретать права и брать на себя обязанности в связи с трудовыми отношениями по своей собственной инициативе возникает в день завершения обязательного образования, но не ранее достижения возраста 15 лет.</w:t>
      </w:r>
    </w:p>
    <w:p w:rsidR="00000000" w:rsidRDefault="00000000"/>
    <w:p w:rsidR="00000000" w:rsidRDefault="00000000">
      <w:r>
        <w:t>398.</w:t>
      </w:r>
      <w:r>
        <w:tab/>
        <w:t>В статьях 163-168 части третьей Кодекс законов о труде регулирует условия найма подростков (т.е. лиц в возрасте от 15 до 18 лет).  Кодекс законов о труде также предусматривает, что наниматель должен запрашивать мнение юридического представителя несовершеннолетнего лица.  Наниматель не может привлекать подростков к сверхурочным работам и работам в ночное время.  В исключительных случаях подростки в возрасте старше 16 лет могут выполнять работу в ночное время продолжительностью не более чем один час, если это необходимо для их профессионального обучения.  Труд подростков не может использоваться для подземных работ в горнодобывающей промышленности или при строительстве тоннелей и шахт.  Подростки не могут использоваться на работах, которые, в свете их анатомических, физиологических и психологических возрастных характеристик, являются непропорциональными, опасными или наносящими ущерб их здоровью.</w:t>
      </w:r>
    </w:p>
    <w:p w:rsidR="00000000" w:rsidRDefault="00000000"/>
    <w:p w:rsidR="00000000" w:rsidRDefault="00000000">
      <w:r>
        <w:t>399.</w:t>
      </w:r>
      <w:r>
        <w:tab/>
        <w:t>Возрастное ограничение в 18 лет также применяется к заключению трудовых соглашений о работе по совместительству:  согласно Кодексу о труде такие трудовые соглашения не могут заключаться с несовершеннолетним лицом.  Возраст работника также должен приниматься во внимание при заключении соглашений о выполнении работ, не подпадающих под действие трудового соглашения.  Такие соглашения могут заключаться с подростками лишь в том случае, если они не ставят под угрозу их здоровое развитие или профессиональную подготовку.</w:t>
      </w:r>
    </w:p>
    <w:p w:rsidR="00000000" w:rsidRDefault="00000000"/>
    <w:p w:rsidR="00000000" w:rsidRDefault="00000000">
      <w:r>
        <w:t>400.</w:t>
      </w:r>
      <w:r>
        <w:tab/>
        <w:t>Согласно пункту 2 статьи 150 Кодекса законов о труде и по согласованию с министерством по вопросам образования, молодежи и спорта министерство здравоохранения приняло постановление</w:t>
      </w:r>
      <w:r>
        <w:rPr>
          <w:rStyle w:val="FootnoteReference"/>
        </w:rPr>
        <w:footnoteReference w:id="241"/>
      </w:r>
      <w:r>
        <w:t xml:space="preserve"> о порядке применения Кодекса законов о труде, в пункте 2 статьи 167 которого определяются работы и рабочие места, на которых запрещается использовать женщин вообще, беременных женщин, матерей до истечения девяти месяцев после родов и подростков, а также устанавливаются условия, при которых подростки могут в исключительных случаях выполнять такого рода работы в целях прохождения профессиональной подготовки.</w:t>
      </w:r>
    </w:p>
    <w:p w:rsidR="00000000" w:rsidRDefault="00000000"/>
    <w:p w:rsidR="00000000" w:rsidRDefault="00000000">
      <w:pPr>
        <w:pStyle w:val="Heading6"/>
        <w:rPr>
          <w:b w:val="0"/>
          <w:i/>
          <w:iCs/>
          <w:u w:val="none"/>
        </w:rPr>
      </w:pPr>
      <w:r>
        <w:rPr>
          <w:b w:val="0"/>
          <w:i/>
          <w:iCs/>
          <w:u w:val="none"/>
        </w:rPr>
        <w:t>Защита нравственного развития</w:t>
      </w:r>
    </w:p>
    <w:p w:rsidR="00000000" w:rsidRDefault="00000000">
      <w:pPr>
        <w:pStyle w:val="Heading6"/>
        <w:rPr>
          <w:bCs/>
        </w:rPr>
      </w:pPr>
    </w:p>
    <w:p w:rsidR="00000000" w:rsidRDefault="00000000">
      <w:r>
        <w:t>401.</w:t>
      </w:r>
      <w:r>
        <w:tab/>
        <w:t>В статье 5 Закона о радио- и телевещании</w:t>
      </w:r>
      <w:r>
        <w:rPr>
          <w:rStyle w:val="FootnoteReference"/>
        </w:rPr>
        <w:footnoteReference w:id="242"/>
      </w:r>
      <w:r>
        <w:t xml:space="preserve"> всем органам вещания запрещается передавать с 6 час. 00 мин. до 20 час. 00 мин. программы, которые могут угрожать психологическому или нравственному развитию детей и подростков.  Кроме того, в статье 6 содержится требование к органам вещания следить за тем, чтобы рекламные материалы не содержали рекламы, предназначенной для детей или в которой задействованы дети, если она поощряет поведение, которое ставит под угрозу здоровье и психологическое и нравственное развитие детей.  Доступ к соответствующей информации также обеспечивается Законом об определенных условиях производства, распространения и архивирования аудиовизуальной продукции</w:t>
      </w:r>
      <w:r>
        <w:rPr>
          <w:rStyle w:val="FootnoteReference"/>
        </w:rPr>
        <w:footnoteReference w:id="243"/>
      </w:r>
      <w:r>
        <w:t>.  Согласно статье 4 этого закона доступ к аудиовизуальной продукции, содержание которой может угрожать нравственному развитию подростков, ограничивается лицами, достигшими возраста 15 или 18 лет.</w:t>
      </w:r>
    </w:p>
    <w:p w:rsidR="00000000" w:rsidRDefault="00000000"/>
    <w:p w:rsidR="00000000" w:rsidRDefault="00000000">
      <w:r>
        <w:t>402.</w:t>
      </w:r>
      <w:r>
        <w:tab/>
        <w:t>Закон о регулировании рекламы</w:t>
      </w:r>
      <w:r>
        <w:rPr>
          <w:rStyle w:val="FootnoteReference"/>
        </w:rPr>
        <w:footnoteReference w:id="244"/>
      </w:r>
      <w:r>
        <w:t xml:space="preserve"> в статье 2 запрещает рекламу, которая нацелена на лиц в возрасте до 15 лет или в которой участвуют лица в возрасте до 15 лет, если она поощряет поведение, ставящее под угрозу здоровье или психологическое и нравственное развитие таких лиц.  Согласно статье 3 этого закона запрещается реклама табачных изделий в телевизионных программах, а в радиопрограммах она не может передаваться в период с 6 час. 00 мин. до 22 час. 00 мин., т.е. когда ее могут слушать дети и подростки.  Кроме того, согласно этому же разделу реклама табачных изделий не может быть нацелена на подростков, в частности путем использования элементов, средств или событий, которые главным образом нацелены на таких лиц, и в ней не могут принимать участие подростки.  Такая реклама не может также содержать призывы к курению.  Статья 4 запрещает аналогичную рекламу алкогольных напитков.</w:t>
      </w:r>
    </w:p>
    <w:p w:rsidR="00000000" w:rsidRDefault="00000000"/>
    <w:p w:rsidR="00000000" w:rsidRDefault="00000000">
      <w:r>
        <w:t>403.</w:t>
      </w:r>
      <w:r>
        <w:tab/>
        <w:t>Уголовный кодекс</w:t>
      </w:r>
      <w:r>
        <w:rPr>
          <w:rStyle w:val="FootnoteReference"/>
        </w:rPr>
        <w:footnoteReference w:id="245"/>
      </w:r>
      <w:r>
        <w:t xml:space="preserve"> защищает детей от порнографии.  Пункт 2 статьи 205 Кодекса (угроза нравственности) предусматривает следующее:</w:t>
      </w:r>
    </w:p>
    <w:p w:rsidR="00000000" w:rsidRDefault="00000000"/>
    <w:p w:rsidR="00000000" w:rsidRDefault="00000000">
      <w:r>
        <w:tab/>
        <w:t>а)</w:t>
      </w:r>
      <w:r>
        <w:tab/>
        <w:t>предложение, сдача в аренду или распространение письменных, аудио, видео или изобразительных порнографических изделий лицам в возрасте до 18 лет;  или</w:t>
      </w:r>
    </w:p>
    <w:p w:rsidR="00000000" w:rsidRDefault="00000000"/>
    <w:p w:rsidR="00000000" w:rsidRDefault="00000000">
      <w:r>
        <w:tab/>
        <w:t>b)</w:t>
      </w:r>
      <w:r>
        <w:tab/>
        <w:t>размещение письменных, аудио, видео или изобразительных порнографических изделий, в таком месте, которое доступно лицам в возрасте до 18 лет, карается лишением свободы сроком до одного года, штрафом или конфискацией таких изделий.</w:t>
      </w:r>
    </w:p>
    <w:p w:rsidR="00000000" w:rsidRDefault="00000000">
      <w:pPr>
        <w:ind w:left="1134" w:hanging="1134"/>
      </w:pPr>
    </w:p>
    <w:p w:rsidR="00000000" w:rsidRDefault="00000000">
      <w:r>
        <w:t>404.</w:t>
      </w:r>
      <w:r>
        <w:tab/>
        <w:t>На практике эти законодательные нормы зачастую обходятся.  Например, порнографические магазины и издания выставляются для продажи на улицах.  Об этом сообщают, в частности, учителя, социальные работники и работники системы здравоохранения, однако инспекционные органы пока что не уделяют этому достаточного внимания.</w:t>
      </w:r>
    </w:p>
    <w:p w:rsidR="00000000" w:rsidRDefault="00000000">
      <w:pPr>
        <w:spacing w:line="240" w:lineRule="auto"/>
        <w:rPr>
          <w:b/>
          <w:bCs/>
        </w:rPr>
      </w:pPr>
    </w:p>
    <w:p w:rsidR="00000000" w:rsidRDefault="00000000">
      <w:pPr>
        <w:pStyle w:val="14"/>
        <w:spacing w:line="240" w:lineRule="auto"/>
        <w:rPr>
          <w:bCs/>
          <w:u w:val="none"/>
        </w:rPr>
      </w:pPr>
      <w:r>
        <w:rPr>
          <w:bCs/>
          <w:u w:val="none"/>
        </w:rPr>
        <w:t>Статья 11</w:t>
      </w:r>
    </w:p>
    <w:p w:rsidR="00000000" w:rsidRDefault="00000000">
      <w:pPr>
        <w:pStyle w:val="14"/>
        <w:spacing w:line="240" w:lineRule="auto"/>
        <w:rPr>
          <w:bCs/>
          <w:u w:val="none"/>
        </w:rPr>
      </w:pPr>
    </w:p>
    <w:p w:rsidR="00000000" w:rsidRDefault="00000000">
      <w:pPr>
        <w:pStyle w:val="Heading2"/>
        <w:keepNext w:val="0"/>
        <w:spacing w:line="240" w:lineRule="auto"/>
        <w:rPr>
          <w:b/>
          <w:bCs/>
          <w:u w:val="none"/>
        </w:rPr>
      </w:pPr>
      <w:r>
        <w:rPr>
          <w:b/>
          <w:bCs/>
          <w:u w:val="none"/>
        </w:rPr>
        <w:t>Пункт 1</w:t>
      </w:r>
    </w:p>
    <w:p w:rsidR="00000000" w:rsidRDefault="00000000">
      <w:pPr>
        <w:pStyle w:val="Heading2"/>
        <w:keepNext w:val="0"/>
        <w:spacing w:line="240" w:lineRule="auto"/>
        <w:rPr>
          <w:b/>
          <w:bCs/>
          <w:u w:val="none"/>
        </w:rPr>
      </w:pPr>
    </w:p>
    <w:p w:rsidR="00000000" w:rsidRDefault="00000000">
      <w:r>
        <w:t>405.</w:t>
      </w:r>
      <w:r>
        <w:tab/>
        <w:t xml:space="preserve">Глава четвертая Хартии, которая посвящена экономическим, социальным и культурным правам, не предусматривает в своих статьях права на достаточный уровень жизни, достаточное питание, одежду, жилище и улучшение условий жизни.  Хартия косвенным образом гарантирует следующие права:  </w:t>
      </w:r>
    </w:p>
    <w:p w:rsidR="00000000" w:rsidRDefault="00000000"/>
    <w:p w:rsidR="00000000" w:rsidRDefault="00000000">
      <w:pPr>
        <w:ind w:left="567" w:hanging="567"/>
      </w:pPr>
      <w:r>
        <w:tab/>
        <w:t>Статья 26, пункт 2:  "Каждый имеет право приобретать средства к существованию путем трудовой деятельности.  Государство предоставляет адекватный уровень материального обеспечения тем гражданам, которые не способны, не по своей собственной вине, осуществлять это право;  соответствующие условия определяются законодательством".</w:t>
      </w:r>
    </w:p>
    <w:p w:rsidR="00000000" w:rsidRDefault="00000000">
      <w:pPr>
        <w:ind w:left="567" w:hanging="567"/>
      </w:pPr>
    </w:p>
    <w:p w:rsidR="00000000" w:rsidRDefault="00000000">
      <w:pPr>
        <w:ind w:left="567" w:hanging="567"/>
      </w:pPr>
      <w:r>
        <w:tab/>
        <w:t>Статья 30, пункты 1 и 2:  "Граждане имеют право на адекватное материальное обеспечение в старости и в период нетрудоспособности, а также в случае потери кормильца.  Каждое лицо, испытывающее материальную нужду, имеет право на такую помощь, которая необходима для обеспечения базового уровня жизни".</w:t>
      </w:r>
    </w:p>
    <w:p w:rsidR="00000000" w:rsidRDefault="00000000">
      <w:pPr>
        <w:ind w:left="567" w:hanging="567"/>
      </w:pPr>
    </w:p>
    <w:p w:rsidR="00000000" w:rsidRDefault="00000000">
      <w:pPr>
        <w:ind w:left="567" w:hanging="567"/>
      </w:pPr>
      <w:r>
        <w:tab/>
        <w:t>Статья 31:  "Каждый имеет право на охрану здоровья".</w:t>
      </w:r>
    </w:p>
    <w:p w:rsidR="00000000" w:rsidRDefault="00000000">
      <w:pPr>
        <w:ind w:left="567" w:hanging="567"/>
      </w:pPr>
    </w:p>
    <w:p w:rsidR="00000000" w:rsidRDefault="00000000">
      <w:pPr>
        <w:ind w:left="567" w:hanging="567"/>
      </w:pPr>
      <w:r>
        <w:tab/>
        <w:t>Статья 35:  "Каждый имеет право на благоприятную окружающую среду".</w:t>
      </w:r>
    </w:p>
    <w:p w:rsidR="00000000" w:rsidRDefault="00000000">
      <w:pPr>
        <w:ind w:left="567" w:hanging="567"/>
      </w:pPr>
    </w:p>
    <w:p w:rsidR="00000000" w:rsidRDefault="00000000">
      <w:pPr>
        <w:pStyle w:val="Heading7"/>
        <w:tabs>
          <w:tab w:val="left" w:pos="567"/>
          <w:tab w:val="left" w:pos="1134"/>
        </w:tabs>
        <w:ind w:left="0" w:firstLine="0"/>
        <w:rPr>
          <w:b w:val="0"/>
          <w:bCs w:val="0"/>
          <w:i/>
          <w:iCs/>
          <w:u w:val="none"/>
        </w:rPr>
      </w:pPr>
      <w:r>
        <w:rPr>
          <w:b w:val="0"/>
          <w:bCs w:val="0"/>
          <w:i/>
          <w:iCs/>
          <w:u w:val="none"/>
        </w:rPr>
        <w:t>Право на достаточный жизненный уровень</w:t>
      </w:r>
    </w:p>
    <w:p w:rsidR="00000000" w:rsidRDefault="00000000">
      <w:pPr>
        <w:pStyle w:val="Heading7"/>
        <w:ind w:left="0" w:firstLine="0"/>
      </w:pPr>
    </w:p>
    <w:p w:rsidR="00000000" w:rsidRDefault="00000000">
      <w:r>
        <w:t>406.</w:t>
      </w:r>
      <w:r>
        <w:tab/>
        <w:t>Основополагающим принципом является личная ответственность каждого за свой уровень жизни и уровень жизни своей семьи, при этом предусматривается, что государство должно создавать адекватные условия для создания возможности выполнять эту личную ответственность.  Когда эти условия недостаточны для обеспечения адекватного уровня жизни, принятого в стране, государство оказывает помощь гражданам и их семьям в рамках системы социального обеспечения (см. также текст, посвященный статьям 9 и 10 Пакта).</w:t>
      </w:r>
    </w:p>
    <w:p w:rsidR="00000000" w:rsidRDefault="00000000"/>
    <w:p w:rsidR="00000000" w:rsidRDefault="00000000">
      <w:r>
        <w:t>407.</w:t>
      </w:r>
      <w:r>
        <w:tab/>
        <w:t>Минимальный, признанный законом предельный уровень доходов граждан для обеспечения прожиточного минимума, удовлетворения личных потребностей и необходимых расходов домашнего хозяйства, представляет собой прожиточный уровень, который рассматривается как официальная черта нищеты.  Информация о хозяйствах и их доходах и расходах собирается лишь на основе выборочных обследований.  В них также содержатся данные о так называемых "хозяйствах с минимальными доходами", т.е. о хозяйствах, доходы которых не превышают 1,4 прожиточного уровня в семьях, имеющих детей, и 1,5 прожиточного уровня в семьях пенсионеров.  Эти данные могут использоваться для определения структуры расходов в неимущих хозяйствах, но не дают представления о доле таких хозяйств в общем числе хозяйств в Чешской Республике (в 1996 году доля хозяйств, чистые денежные доходы которых составляли менее 40% среднего дохода на душу населения, равнялась 2,1% от общего числа хозяйств).</w:t>
      </w:r>
    </w:p>
    <w:p w:rsidR="00000000" w:rsidRDefault="00000000"/>
    <w:p w:rsidR="00000000" w:rsidRDefault="00000000">
      <w:r>
        <w:t>408.</w:t>
      </w:r>
      <w:r>
        <w:tab/>
        <w:t>Что касается изменений в общих параметрах основных доходов хозяйств, то самым неблагоприятным годом со времени создания независимой Чешской Республики стал 1998 год.  Отставание роста доходов от темпов инфляции, рост расходов на предметы первой необходимости (на который невозможно оказать воздействие), неопределенность в отношении дальнейшего социального и экономического развития и создания финансовых резервов, рост безработицы и ограничение социальных выплат привели к значительному сокращению спроса хозяйств и сыграли определенную роль в сокращении объема производства в национальной экономике.  В 1999 году ситуация начала улучшаться, однако на зафиксированный реальный рост общего дохода домашних хозяйств значительно повлияло повышение покупательной способности их социальных доходов (скорректированный прожиточный уровень, пенсии, увеличение пособий по болезни, увеличение материальных пособий для лиц, ищущих работу, и т.д.), что отнюдь не является позитивным моментом с точки зрения дальнейшего экономического роста.  Положительное воздействие на увеличение реальных доходов оказало также снижение темпов инфляции.</w:t>
      </w:r>
    </w:p>
    <w:p w:rsidR="00000000" w:rsidRDefault="00000000">
      <w:pPr>
        <w:spacing w:line="240" w:lineRule="auto"/>
      </w:pPr>
    </w:p>
    <w:p w:rsidR="00000000" w:rsidRDefault="00000000">
      <w:pPr>
        <w:pStyle w:val="10"/>
        <w:tabs>
          <w:tab w:val="left" w:pos="567"/>
          <w:tab w:val="left" w:pos="1134"/>
          <w:tab w:val="left" w:pos="1701"/>
          <w:tab w:val="left" w:pos="2268"/>
          <w:tab w:val="left" w:pos="6237"/>
        </w:tabs>
        <w:spacing w:line="240" w:lineRule="auto"/>
        <w:rPr>
          <w:bCs/>
        </w:rPr>
      </w:pPr>
      <w:r>
        <w:rPr>
          <w:bCs/>
        </w:rPr>
        <w:t>Рост индексов потребительских цен на товары и услуги</w:t>
      </w:r>
    </w:p>
    <w:p w:rsidR="00000000" w:rsidRDefault="00000000">
      <w:pPr>
        <w:pStyle w:val="10"/>
        <w:tabs>
          <w:tab w:val="left" w:pos="567"/>
          <w:tab w:val="left" w:pos="1134"/>
          <w:tab w:val="left" w:pos="1701"/>
          <w:tab w:val="left" w:pos="2268"/>
          <w:tab w:val="left" w:pos="6237"/>
        </w:tabs>
        <w:spacing w:line="240" w:lineRule="auto"/>
        <w:rPr>
          <w:bCs/>
        </w:rPr>
      </w:pPr>
      <w:r>
        <w:rPr>
          <w:bCs/>
        </w:rPr>
        <w:t>(средний показатель за 1999 год = 100)</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1572"/>
        <w:gridCol w:w="1574"/>
        <w:gridCol w:w="1574"/>
        <w:gridCol w:w="1585"/>
        <w:gridCol w:w="1574"/>
        <w:gridCol w:w="1587"/>
      </w:tblGrid>
      <w:tr w:rsidR="00000000">
        <w:tblPrEx>
          <w:tblCellMar>
            <w:top w:w="0" w:type="dxa"/>
            <w:bottom w:w="0" w:type="dxa"/>
          </w:tblCellMar>
        </w:tblPrEx>
        <w:trPr>
          <w:cantSplit/>
        </w:trPr>
        <w:tc>
          <w:tcPr>
            <w:tcW w:w="1595" w:type="dxa"/>
            <w:vMerge w:val="restart"/>
            <w:tcBorders>
              <w:right w:val="single" w:sz="4" w:space="0" w:color="auto"/>
            </w:tcBorders>
          </w:tcPr>
          <w:p w:rsidR="00000000" w:rsidRDefault="00000000">
            <w:pPr>
              <w:spacing w:line="216" w:lineRule="auto"/>
            </w:pPr>
          </w:p>
        </w:tc>
        <w:tc>
          <w:tcPr>
            <w:tcW w:w="7976" w:type="dxa"/>
            <w:gridSpan w:val="5"/>
            <w:tcBorders>
              <w:left w:val="single" w:sz="4" w:space="0" w:color="auto"/>
            </w:tcBorders>
          </w:tcPr>
          <w:p w:rsidR="00000000" w:rsidRDefault="00000000">
            <w:pPr>
              <w:pStyle w:val="16"/>
              <w:spacing w:line="216" w:lineRule="auto"/>
            </w:pPr>
            <w:r>
              <w:t>Хозяйства</w:t>
            </w:r>
          </w:p>
        </w:tc>
      </w:tr>
      <w:tr w:rsidR="00000000">
        <w:tblPrEx>
          <w:tblCellMar>
            <w:top w:w="0" w:type="dxa"/>
            <w:bottom w:w="0" w:type="dxa"/>
          </w:tblCellMar>
        </w:tblPrEx>
        <w:trPr>
          <w:cantSplit/>
        </w:trPr>
        <w:tc>
          <w:tcPr>
            <w:tcW w:w="1595" w:type="dxa"/>
            <w:vMerge/>
            <w:tcBorders>
              <w:right w:val="single" w:sz="4" w:space="0" w:color="auto"/>
            </w:tcBorders>
          </w:tcPr>
          <w:p w:rsidR="00000000" w:rsidRDefault="00000000">
            <w:pPr>
              <w:spacing w:line="216" w:lineRule="auto"/>
            </w:pPr>
          </w:p>
        </w:tc>
        <w:tc>
          <w:tcPr>
            <w:tcW w:w="1595" w:type="dxa"/>
            <w:vMerge w:val="restart"/>
            <w:tcBorders>
              <w:left w:val="single" w:sz="4" w:space="0" w:color="auto"/>
              <w:right w:val="single" w:sz="4" w:space="0" w:color="auto"/>
            </w:tcBorders>
            <w:vAlign w:val="center"/>
          </w:tcPr>
          <w:p w:rsidR="00000000" w:rsidRDefault="00000000">
            <w:pPr>
              <w:pStyle w:val="16"/>
              <w:spacing w:line="216" w:lineRule="auto"/>
            </w:pPr>
            <w:r>
              <w:t>Всего</w:t>
            </w:r>
          </w:p>
        </w:tc>
        <w:tc>
          <w:tcPr>
            <w:tcW w:w="3190" w:type="dxa"/>
            <w:gridSpan w:val="2"/>
            <w:tcBorders>
              <w:left w:val="single" w:sz="4" w:space="0" w:color="auto"/>
              <w:right w:val="single" w:sz="4" w:space="0" w:color="auto"/>
            </w:tcBorders>
            <w:vAlign w:val="center"/>
          </w:tcPr>
          <w:p w:rsidR="00000000" w:rsidRDefault="00000000">
            <w:pPr>
              <w:pStyle w:val="16"/>
              <w:spacing w:line="216" w:lineRule="auto"/>
            </w:pPr>
            <w:r>
              <w:t>Лица, работающие по найму</w:t>
            </w:r>
          </w:p>
        </w:tc>
        <w:tc>
          <w:tcPr>
            <w:tcW w:w="3191" w:type="dxa"/>
            <w:gridSpan w:val="2"/>
            <w:tcBorders>
              <w:left w:val="single" w:sz="4" w:space="0" w:color="auto"/>
            </w:tcBorders>
            <w:vAlign w:val="center"/>
          </w:tcPr>
          <w:p w:rsidR="00000000" w:rsidRDefault="00000000">
            <w:pPr>
              <w:pStyle w:val="16"/>
              <w:spacing w:line="216" w:lineRule="auto"/>
            </w:pPr>
            <w:r>
              <w:t>Пенсионеры</w:t>
            </w:r>
          </w:p>
        </w:tc>
      </w:tr>
      <w:tr w:rsidR="00000000">
        <w:tblPrEx>
          <w:tblCellMar>
            <w:top w:w="0" w:type="dxa"/>
            <w:bottom w:w="0" w:type="dxa"/>
          </w:tblCellMar>
        </w:tblPrEx>
        <w:trPr>
          <w:cantSplit/>
        </w:trPr>
        <w:tc>
          <w:tcPr>
            <w:tcW w:w="1595" w:type="dxa"/>
            <w:vMerge/>
            <w:tcBorders>
              <w:bottom w:val="single" w:sz="4" w:space="0" w:color="auto"/>
              <w:right w:val="single" w:sz="4" w:space="0" w:color="auto"/>
            </w:tcBorders>
          </w:tcPr>
          <w:p w:rsidR="00000000" w:rsidRDefault="00000000">
            <w:pPr>
              <w:spacing w:line="216" w:lineRule="auto"/>
            </w:pPr>
          </w:p>
        </w:tc>
        <w:tc>
          <w:tcPr>
            <w:tcW w:w="1595" w:type="dxa"/>
            <w:vMerge/>
            <w:tcBorders>
              <w:left w:val="single" w:sz="4" w:space="0" w:color="auto"/>
              <w:bottom w:val="single" w:sz="4" w:space="0" w:color="auto"/>
              <w:right w:val="single" w:sz="4" w:space="0" w:color="auto"/>
            </w:tcBorders>
          </w:tcPr>
          <w:p w:rsidR="00000000" w:rsidRDefault="00000000">
            <w:pPr>
              <w:spacing w:line="216" w:lineRule="auto"/>
            </w:pPr>
          </w:p>
        </w:tc>
        <w:tc>
          <w:tcPr>
            <w:tcW w:w="1595" w:type="dxa"/>
            <w:tcBorders>
              <w:left w:val="single" w:sz="4" w:space="0" w:color="auto"/>
              <w:bottom w:val="single" w:sz="4" w:space="0" w:color="auto"/>
              <w:right w:val="single" w:sz="4" w:space="0" w:color="auto"/>
            </w:tcBorders>
            <w:vAlign w:val="center"/>
          </w:tcPr>
          <w:p w:rsidR="00000000" w:rsidRDefault="00000000">
            <w:pPr>
              <w:pStyle w:val="16"/>
              <w:spacing w:line="216" w:lineRule="auto"/>
            </w:pPr>
            <w:r>
              <w:t>Всего</w:t>
            </w:r>
          </w:p>
        </w:tc>
        <w:tc>
          <w:tcPr>
            <w:tcW w:w="1595" w:type="dxa"/>
            <w:tcBorders>
              <w:left w:val="single" w:sz="4" w:space="0" w:color="auto"/>
              <w:bottom w:val="single" w:sz="4" w:space="0" w:color="auto"/>
              <w:right w:val="single" w:sz="4" w:space="0" w:color="auto"/>
            </w:tcBorders>
            <w:vAlign w:val="center"/>
          </w:tcPr>
          <w:p w:rsidR="00000000" w:rsidRDefault="00000000">
            <w:pPr>
              <w:spacing w:line="216" w:lineRule="auto"/>
              <w:jc w:val="center"/>
              <w:rPr>
                <w:b/>
                <w:bCs/>
                <w:vertAlign w:val="superscript"/>
              </w:rPr>
            </w:pPr>
            <w:r>
              <w:t>С низкими доходами</w:t>
            </w:r>
            <w:r>
              <w:rPr>
                <w:b/>
                <w:bCs/>
                <w:vertAlign w:val="superscript"/>
              </w:rPr>
              <w:t>а</w:t>
            </w:r>
          </w:p>
        </w:tc>
        <w:tc>
          <w:tcPr>
            <w:tcW w:w="1595" w:type="dxa"/>
            <w:tcBorders>
              <w:left w:val="single" w:sz="4" w:space="0" w:color="auto"/>
              <w:bottom w:val="single" w:sz="4" w:space="0" w:color="auto"/>
              <w:right w:val="single" w:sz="4" w:space="0" w:color="auto"/>
            </w:tcBorders>
            <w:vAlign w:val="center"/>
          </w:tcPr>
          <w:p w:rsidR="00000000" w:rsidRDefault="00000000">
            <w:pPr>
              <w:spacing w:line="216" w:lineRule="auto"/>
              <w:jc w:val="center"/>
            </w:pPr>
            <w:r>
              <w:t>Всего</w:t>
            </w:r>
          </w:p>
        </w:tc>
        <w:tc>
          <w:tcPr>
            <w:tcW w:w="1596" w:type="dxa"/>
            <w:tcBorders>
              <w:left w:val="single" w:sz="4" w:space="0" w:color="auto"/>
              <w:bottom w:val="single" w:sz="4" w:space="0" w:color="auto"/>
            </w:tcBorders>
            <w:vAlign w:val="center"/>
          </w:tcPr>
          <w:p w:rsidR="00000000" w:rsidRDefault="00000000">
            <w:pPr>
              <w:spacing w:line="216" w:lineRule="auto"/>
              <w:jc w:val="center"/>
            </w:pPr>
            <w:r>
              <w:t>С низкими доходами</w:t>
            </w:r>
            <w:r>
              <w:rPr>
                <w:b/>
                <w:bCs/>
                <w:vertAlign w:val="superscript"/>
                <w:lang w:val="en-US"/>
              </w:rPr>
              <w:t>b</w:t>
            </w:r>
            <w:r>
              <w:t xml:space="preserve"> </w:t>
            </w:r>
          </w:p>
        </w:tc>
      </w:tr>
      <w:tr w:rsidR="00000000">
        <w:tblPrEx>
          <w:tblCellMar>
            <w:top w:w="0" w:type="dxa"/>
            <w:bottom w:w="0" w:type="dxa"/>
          </w:tblCellMar>
        </w:tblPrEx>
        <w:tc>
          <w:tcPr>
            <w:tcW w:w="1595" w:type="dxa"/>
            <w:tcBorders>
              <w:bottom w:val="nil"/>
              <w:right w:val="single" w:sz="4" w:space="0" w:color="auto"/>
            </w:tcBorders>
          </w:tcPr>
          <w:p w:rsidR="00000000" w:rsidRDefault="00000000">
            <w:pPr>
              <w:pStyle w:val="16"/>
            </w:pPr>
            <w:r>
              <w:t>1994</w:t>
            </w:r>
          </w:p>
        </w:tc>
        <w:tc>
          <w:tcPr>
            <w:tcW w:w="1595" w:type="dxa"/>
            <w:tcBorders>
              <w:left w:val="single" w:sz="4" w:space="0" w:color="auto"/>
              <w:bottom w:val="nil"/>
              <w:right w:val="single" w:sz="4" w:space="0" w:color="auto"/>
            </w:tcBorders>
          </w:tcPr>
          <w:p w:rsidR="00000000" w:rsidRDefault="00000000">
            <w:pPr>
              <w:jc w:val="center"/>
            </w:pPr>
            <w:r>
              <w:t>231,3</w:t>
            </w:r>
          </w:p>
        </w:tc>
        <w:tc>
          <w:tcPr>
            <w:tcW w:w="1595" w:type="dxa"/>
            <w:tcBorders>
              <w:left w:val="single" w:sz="4" w:space="0" w:color="auto"/>
              <w:bottom w:val="nil"/>
              <w:right w:val="single" w:sz="4" w:space="0" w:color="auto"/>
            </w:tcBorders>
          </w:tcPr>
          <w:p w:rsidR="00000000" w:rsidRDefault="00000000">
            <w:pPr>
              <w:jc w:val="center"/>
            </w:pPr>
            <w:r>
              <w:t>227,1</w:t>
            </w:r>
          </w:p>
        </w:tc>
        <w:tc>
          <w:tcPr>
            <w:tcW w:w="1595" w:type="dxa"/>
            <w:tcBorders>
              <w:left w:val="single" w:sz="4" w:space="0" w:color="auto"/>
              <w:bottom w:val="nil"/>
              <w:right w:val="single" w:sz="4" w:space="0" w:color="auto"/>
            </w:tcBorders>
          </w:tcPr>
          <w:p w:rsidR="00000000" w:rsidRDefault="00000000">
            <w:pPr>
              <w:jc w:val="center"/>
            </w:pPr>
            <w:r>
              <w:t>228,5</w:t>
            </w:r>
          </w:p>
        </w:tc>
        <w:tc>
          <w:tcPr>
            <w:tcW w:w="1595" w:type="dxa"/>
            <w:tcBorders>
              <w:left w:val="single" w:sz="4" w:space="0" w:color="auto"/>
              <w:bottom w:val="nil"/>
              <w:right w:val="single" w:sz="4" w:space="0" w:color="auto"/>
            </w:tcBorders>
          </w:tcPr>
          <w:p w:rsidR="00000000" w:rsidRDefault="00000000">
            <w:pPr>
              <w:jc w:val="center"/>
            </w:pPr>
            <w:r>
              <w:t>227,9</w:t>
            </w:r>
          </w:p>
        </w:tc>
        <w:tc>
          <w:tcPr>
            <w:tcW w:w="1596" w:type="dxa"/>
            <w:tcBorders>
              <w:left w:val="single" w:sz="4" w:space="0" w:color="auto"/>
              <w:bottom w:val="nil"/>
            </w:tcBorders>
          </w:tcPr>
          <w:p w:rsidR="00000000" w:rsidRDefault="00000000">
            <w:pPr>
              <w:jc w:val="center"/>
            </w:pPr>
            <w:r>
              <w:t>232,8</w:t>
            </w:r>
          </w:p>
        </w:tc>
      </w:tr>
      <w:tr w:rsidR="00000000">
        <w:tblPrEx>
          <w:tblCellMar>
            <w:top w:w="0" w:type="dxa"/>
            <w:bottom w:w="0" w:type="dxa"/>
          </w:tblCellMar>
        </w:tblPrEx>
        <w:tc>
          <w:tcPr>
            <w:tcW w:w="1595" w:type="dxa"/>
            <w:tcBorders>
              <w:top w:val="nil"/>
              <w:bottom w:val="nil"/>
              <w:right w:val="single" w:sz="4" w:space="0" w:color="auto"/>
            </w:tcBorders>
          </w:tcPr>
          <w:p w:rsidR="00000000" w:rsidRDefault="00000000">
            <w:pPr>
              <w:jc w:val="center"/>
            </w:pPr>
            <w:r>
              <w:t>1995</w:t>
            </w:r>
          </w:p>
        </w:tc>
        <w:tc>
          <w:tcPr>
            <w:tcW w:w="1595" w:type="dxa"/>
            <w:tcBorders>
              <w:top w:val="nil"/>
              <w:left w:val="single" w:sz="4" w:space="0" w:color="auto"/>
              <w:bottom w:val="nil"/>
              <w:right w:val="single" w:sz="4" w:space="0" w:color="auto"/>
            </w:tcBorders>
          </w:tcPr>
          <w:p w:rsidR="00000000" w:rsidRDefault="00000000">
            <w:pPr>
              <w:jc w:val="center"/>
            </w:pPr>
            <w:r>
              <w:t>252,5</w:t>
            </w:r>
          </w:p>
        </w:tc>
        <w:tc>
          <w:tcPr>
            <w:tcW w:w="1595" w:type="dxa"/>
            <w:tcBorders>
              <w:top w:val="nil"/>
              <w:left w:val="single" w:sz="4" w:space="0" w:color="auto"/>
              <w:bottom w:val="nil"/>
              <w:right w:val="single" w:sz="4" w:space="0" w:color="auto"/>
            </w:tcBorders>
          </w:tcPr>
          <w:p w:rsidR="00000000" w:rsidRDefault="00000000">
            <w:pPr>
              <w:jc w:val="center"/>
            </w:pPr>
            <w:r>
              <w:t>247,5</w:t>
            </w:r>
          </w:p>
        </w:tc>
        <w:tc>
          <w:tcPr>
            <w:tcW w:w="1595" w:type="dxa"/>
            <w:tcBorders>
              <w:top w:val="nil"/>
              <w:left w:val="single" w:sz="4" w:space="0" w:color="auto"/>
              <w:bottom w:val="nil"/>
              <w:right w:val="single" w:sz="4" w:space="0" w:color="auto"/>
            </w:tcBorders>
          </w:tcPr>
          <w:p w:rsidR="00000000" w:rsidRDefault="00000000">
            <w:pPr>
              <w:jc w:val="center"/>
            </w:pPr>
            <w:r>
              <w:t>250,9</w:t>
            </w:r>
          </w:p>
        </w:tc>
        <w:tc>
          <w:tcPr>
            <w:tcW w:w="1595" w:type="dxa"/>
            <w:tcBorders>
              <w:top w:val="nil"/>
              <w:left w:val="single" w:sz="4" w:space="0" w:color="auto"/>
              <w:bottom w:val="nil"/>
              <w:right w:val="single" w:sz="4" w:space="0" w:color="auto"/>
            </w:tcBorders>
          </w:tcPr>
          <w:p w:rsidR="00000000" w:rsidRDefault="00000000">
            <w:pPr>
              <w:jc w:val="center"/>
            </w:pPr>
            <w:r>
              <w:t>251,6</w:t>
            </w:r>
          </w:p>
        </w:tc>
        <w:tc>
          <w:tcPr>
            <w:tcW w:w="1596" w:type="dxa"/>
            <w:tcBorders>
              <w:top w:val="nil"/>
              <w:left w:val="single" w:sz="4" w:space="0" w:color="auto"/>
              <w:bottom w:val="nil"/>
            </w:tcBorders>
          </w:tcPr>
          <w:p w:rsidR="00000000" w:rsidRDefault="00000000">
            <w:pPr>
              <w:jc w:val="center"/>
            </w:pPr>
            <w:r>
              <w:t>257,2</w:t>
            </w:r>
          </w:p>
        </w:tc>
      </w:tr>
      <w:tr w:rsidR="00000000">
        <w:tblPrEx>
          <w:tblCellMar>
            <w:top w:w="0" w:type="dxa"/>
            <w:bottom w:w="0" w:type="dxa"/>
          </w:tblCellMar>
        </w:tblPrEx>
        <w:tc>
          <w:tcPr>
            <w:tcW w:w="1595" w:type="dxa"/>
            <w:tcBorders>
              <w:top w:val="nil"/>
              <w:bottom w:val="nil"/>
              <w:right w:val="single" w:sz="4" w:space="0" w:color="auto"/>
            </w:tcBorders>
          </w:tcPr>
          <w:p w:rsidR="00000000" w:rsidRDefault="00000000">
            <w:pPr>
              <w:jc w:val="center"/>
            </w:pPr>
            <w:r>
              <w:t>1996</w:t>
            </w:r>
          </w:p>
        </w:tc>
        <w:tc>
          <w:tcPr>
            <w:tcW w:w="1595" w:type="dxa"/>
            <w:tcBorders>
              <w:top w:val="nil"/>
              <w:left w:val="single" w:sz="4" w:space="0" w:color="auto"/>
              <w:bottom w:val="nil"/>
              <w:right w:val="single" w:sz="4" w:space="0" w:color="auto"/>
            </w:tcBorders>
          </w:tcPr>
          <w:p w:rsidR="00000000" w:rsidRDefault="00000000">
            <w:pPr>
              <w:jc w:val="center"/>
            </w:pPr>
            <w:r>
              <w:t>274,7</w:t>
            </w:r>
          </w:p>
        </w:tc>
        <w:tc>
          <w:tcPr>
            <w:tcW w:w="1595" w:type="dxa"/>
            <w:tcBorders>
              <w:top w:val="nil"/>
              <w:left w:val="single" w:sz="4" w:space="0" w:color="auto"/>
              <w:bottom w:val="nil"/>
              <w:right w:val="single" w:sz="4" w:space="0" w:color="auto"/>
            </w:tcBorders>
          </w:tcPr>
          <w:p w:rsidR="00000000" w:rsidRDefault="00000000">
            <w:pPr>
              <w:jc w:val="center"/>
            </w:pPr>
            <w:r>
              <w:t>269,0</w:t>
            </w:r>
          </w:p>
        </w:tc>
        <w:tc>
          <w:tcPr>
            <w:tcW w:w="1595" w:type="dxa"/>
            <w:tcBorders>
              <w:top w:val="nil"/>
              <w:left w:val="single" w:sz="4" w:space="0" w:color="auto"/>
              <w:bottom w:val="nil"/>
              <w:right w:val="single" w:sz="4" w:space="0" w:color="auto"/>
            </w:tcBorders>
          </w:tcPr>
          <w:p w:rsidR="00000000" w:rsidRDefault="00000000">
            <w:pPr>
              <w:jc w:val="center"/>
            </w:pPr>
            <w:r>
              <w:t>275,2</w:t>
            </w:r>
          </w:p>
        </w:tc>
        <w:tc>
          <w:tcPr>
            <w:tcW w:w="1595" w:type="dxa"/>
            <w:tcBorders>
              <w:top w:val="nil"/>
              <w:left w:val="single" w:sz="4" w:space="0" w:color="auto"/>
              <w:bottom w:val="nil"/>
              <w:right w:val="single" w:sz="4" w:space="0" w:color="auto"/>
            </w:tcBorders>
          </w:tcPr>
          <w:p w:rsidR="00000000" w:rsidRDefault="00000000">
            <w:pPr>
              <w:jc w:val="center"/>
            </w:pPr>
            <w:r>
              <w:t>275,3</w:t>
            </w:r>
          </w:p>
        </w:tc>
        <w:tc>
          <w:tcPr>
            <w:tcW w:w="1596" w:type="dxa"/>
            <w:tcBorders>
              <w:top w:val="nil"/>
              <w:left w:val="single" w:sz="4" w:space="0" w:color="auto"/>
              <w:bottom w:val="nil"/>
            </w:tcBorders>
          </w:tcPr>
          <w:p w:rsidR="00000000" w:rsidRDefault="00000000">
            <w:pPr>
              <w:jc w:val="center"/>
            </w:pPr>
            <w:r>
              <w:t>281,6</w:t>
            </w:r>
          </w:p>
        </w:tc>
      </w:tr>
      <w:tr w:rsidR="00000000">
        <w:tblPrEx>
          <w:tblCellMar>
            <w:top w:w="0" w:type="dxa"/>
            <w:bottom w:w="0" w:type="dxa"/>
          </w:tblCellMar>
        </w:tblPrEx>
        <w:tc>
          <w:tcPr>
            <w:tcW w:w="1595" w:type="dxa"/>
            <w:tcBorders>
              <w:top w:val="nil"/>
              <w:bottom w:val="nil"/>
              <w:right w:val="single" w:sz="4" w:space="0" w:color="auto"/>
            </w:tcBorders>
          </w:tcPr>
          <w:p w:rsidR="00000000" w:rsidRDefault="00000000">
            <w:pPr>
              <w:jc w:val="center"/>
            </w:pPr>
            <w:r>
              <w:t>1997</w:t>
            </w:r>
          </w:p>
        </w:tc>
        <w:tc>
          <w:tcPr>
            <w:tcW w:w="1595" w:type="dxa"/>
            <w:tcBorders>
              <w:top w:val="nil"/>
              <w:left w:val="single" w:sz="4" w:space="0" w:color="auto"/>
              <w:bottom w:val="nil"/>
              <w:right w:val="single" w:sz="4" w:space="0" w:color="auto"/>
            </w:tcBorders>
          </w:tcPr>
          <w:p w:rsidR="00000000" w:rsidRDefault="00000000">
            <w:pPr>
              <w:jc w:val="center"/>
            </w:pPr>
            <w:r>
              <w:t>297,9</w:t>
            </w:r>
          </w:p>
        </w:tc>
        <w:tc>
          <w:tcPr>
            <w:tcW w:w="1595" w:type="dxa"/>
            <w:tcBorders>
              <w:top w:val="nil"/>
              <w:left w:val="single" w:sz="4" w:space="0" w:color="auto"/>
              <w:bottom w:val="nil"/>
              <w:right w:val="single" w:sz="4" w:space="0" w:color="auto"/>
            </w:tcBorders>
          </w:tcPr>
          <w:p w:rsidR="00000000" w:rsidRDefault="00000000">
            <w:pPr>
              <w:jc w:val="center"/>
            </w:pPr>
            <w:r>
              <w:t>291,3</w:t>
            </w:r>
          </w:p>
        </w:tc>
        <w:tc>
          <w:tcPr>
            <w:tcW w:w="1595" w:type="dxa"/>
            <w:tcBorders>
              <w:top w:val="nil"/>
              <w:left w:val="single" w:sz="4" w:space="0" w:color="auto"/>
              <w:bottom w:val="nil"/>
              <w:right w:val="single" w:sz="4" w:space="0" w:color="auto"/>
            </w:tcBorders>
          </w:tcPr>
          <w:p w:rsidR="00000000" w:rsidRDefault="00000000">
            <w:pPr>
              <w:jc w:val="center"/>
            </w:pPr>
            <w:r>
              <w:t>300,0</w:t>
            </w:r>
          </w:p>
        </w:tc>
        <w:tc>
          <w:tcPr>
            <w:tcW w:w="1595" w:type="dxa"/>
            <w:tcBorders>
              <w:top w:val="nil"/>
              <w:left w:val="single" w:sz="4" w:space="0" w:color="auto"/>
              <w:bottom w:val="nil"/>
              <w:right w:val="single" w:sz="4" w:space="0" w:color="auto"/>
            </w:tcBorders>
          </w:tcPr>
          <w:p w:rsidR="00000000" w:rsidRDefault="00000000">
            <w:pPr>
              <w:jc w:val="center"/>
            </w:pPr>
            <w:r>
              <w:t>302,6</w:t>
            </w:r>
          </w:p>
        </w:tc>
        <w:tc>
          <w:tcPr>
            <w:tcW w:w="1596" w:type="dxa"/>
            <w:tcBorders>
              <w:top w:val="nil"/>
              <w:left w:val="single" w:sz="4" w:space="0" w:color="auto"/>
              <w:bottom w:val="nil"/>
            </w:tcBorders>
          </w:tcPr>
          <w:p w:rsidR="00000000" w:rsidRDefault="00000000">
            <w:pPr>
              <w:jc w:val="center"/>
            </w:pPr>
            <w:r>
              <w:t>309,8</w:t>
            </w:r>
          </w:p>
        </w:tc>
      </w:tr>
      <w:tr w:rsidR="00000000">
        <w:tblPrEx>
          <w:tblCellMar>
            <w:top w:w="0" w:type="dxa"/>
            <w:bottom w:w="0" w:type="dxa"/>
          </w:tblCellMar>
        </w:tblPrEx>
        <w:tc>
          <w:tcPr>
            <w:tcW w:w="1595" w:type="dxa"/>
            <w:tcBorders>
              <w:top w:val="nil"/>
              <w:right w:val="single" w:sz="4" w:space="0" w:color="auto"/>
            </w:tcBorders>
          </w:tcPr>
          <w:p w:rsidR="00000000" w:rsidRDefault="00000000">
            <w:pPr>
              <w:jc w:val="center"/>
            </w:pPr>
            <w:r>
              <w:t>1998</w:t>
            </w:r>
          </w:p>
        </w:tc>
        <w:tc>
          <w:tcPr>
            <w:tcW w:w="1595" w:type="dxa"/>
            <w:tcBorders>
              <w:top w:val="nil"/>
              <w:left w:val="single" w:sz="4" w:space="0" w:color="auto"/>
              <w:right w:val="single" w:sz="4" w:space="0" w:color="auto"/>
            </w:tcBorders>
          </w:tcPr>
          <w:p w:rsidR="00000000" w:rsidRDefault="00000000">
            <w:pPr>
              <w:jc w:val="center"/>
            </w:pPr>
            <w:r>
              <w:t>329,7</w:t>
            </w:r>
          </w:p>
        </w:tc>
        <w:tc>
          <w:tcPr>
            <w:tcW w:w="1595" w:type="dxa"/>
            <w:tcBorders>
              <w:top w:val="nil"/>
              <w:left w:val="single" w:sz="4" w:space="0" w:color="auto"/>
              <w:right w:val="single" w:sz="4" w:space="0" w:color="auto"/>
            </w:tcBorders>
          </w:tcPr>
          <w:p w:rsidR="00000000" w:rsidRDefault="00000000">
            <w:pPr>
              <w:jc w:val="center"/>
            </w:pPr>
            <w:r>
              <w:t>321,3</w:t>
            </w:r>
          </w:p>
        </w:tc>
        <w:tc>
          <w:tcPr>
            <w:tcW w:w="1595" w:type="dxa"/>
            <w:tcBorders>
              <w:top w:val="nil"/>
              <w:left w:val="single" w:sz="4" w:space="0" w:color="auto"/>
              <w:right w:val="single" w:sz="4" w:space="0" w:color="auto"/>
            </w:tcBorders>
          </w:tcPr>
          <w:p w:rsidR="00000000" w:rsidRDefault="00000000">
            <w:pPr>
              <w:jc w:val="center"/>
            </w:pPr>
            <w:r>
              <w:t>336,3</w:t>
            </w:r>
          </w:p>
        </w:tc>
        <w:tc>
          <w:tcPr>
            <w:tcW w:w="1595" w:type="dxa"/>
            <w:tcBorders>
              <w:top w:val="nil"/>
              <w:left w:val="single" w:sz="4" w:space="0" w:color="auto"/>
              <w:right w:val="single" w:sz="4" w:space="0" w:color="auto"/>
            </w:tcBorders>
          </w:tcPr>
          <w:p w:rsidR="00000000" w:rsidRDefault="00000000">
            <w:pPr>
              <w:jc w:val="center"/>
            </w:pPr>
            <w:r>
              <w:t>343,5</w:t>
            </w:r>
          </w:p>
        </w:tc>
        <w:tc>
          <w:tcPr>
            <w:tcW w:w="1596" w:type="dxa"/>
            <w:tcBorders>
              <w:top w:val="nil"/>
              <w:left w:val="single" w:sz="4" w:space="0" w:color="auto"/>
            </w:tcBorders>
          </w:tcPr>
          <w:p w:rsidR="00000000" w:rsidRDefault="00000000">
            <w:pPr>
              <w:jc w:val="center"/>
            </w:pPr>
            <w:r>
              <w:t>354,4</w:t>
            </w:r>
          </w:p>
        </w:tc>
      </w:tr>
    </w:tbl>
    <w:p w:rsidR="00000000" w:rsidRDefault="00000000"/>
    <w:p w:rsidR="00000000" w:rsidRDefault="00000000">
      <w:pPr>
        <w:spacing w:line="240" w:lineRule="auto"/>
      </w:pPr>
      <w:r>
        <w:tab/>
      </w:r>
      <w:r>
        <w:rPr>
          <w:b/>
          <w:bCs/>
          <w:vertAlign w:val="superscript"/>
        </w:rPr>
        <w:t>а</w:t>
      </w:r>
      <w:r>
        <w:tab/>
        <w:t>В 1994 году - хозяйства, чистые денежные доходы которых на человека в 1989 году составляли до 1 400 чешских крон в месяц;  в 1995-1998 годах - хозяйства, в которых чистые денежные доходы в 1993 году не превышали 1,2 прожиточного уровня.</w:t>
      </w:r>
    </w:p>
    <w:p w:rsidR="00000000" w:rsidRDefault="00000000">
      <w:pPr>
        <w:spacing w:line="240" w:lineRule="auto"/>
      </w:pPr>
    </w:p>
    <w:p w:rsidR="00000000" w:rsidRDefault="00000000">
      <w:pPr>
        <w:spacing w:line="240" w:lineRule="auto"/>
      </w:pPr>
      <w:r>
        <w:tab/>
      </w:r>
      <w:r>
        <w:rPr>
          <w:b/>
          <w:bCs/>
          <w:vertAlign w:val="superscript"/>
        </w:rPr>
        <w:t>b</w:t>
      </w:r>
      <w:r>
        <w:tab/>
        <w:t>В 1994 году - хозяйства, чистые денежные доходы которых на человека в 1989 году составляли до 1 200 чешских крон в месяц;  в 1995-1998 годах - хозяйства, в которых чистые ежемесячные доходы в 1993 году не превышали 1,2 минимальной пенсии после прибавления государственного компенсационного пособия.</w:t>
      </w:r>
    </w:p>
    <w:p w:rsidR="00000000" w:rsidRDefault="00000000">
      <w:pPr>
        <w:spacing w:line="240" w:lineRule="auto"/>
      </w:pPr>
    </w:p>
    <w:p w:rsidR="00000000" w:rsidRDefault="00000000">
      <w:pPr>
        <w:pStyle w:val="10"/>
        <w:spacing w:line="240" w:lineRule="auto"/>
        <w:rPr>
          <w:bCs/>
        </w:rPr>
      </w:pPr>
      <w:r>
        <w:rPr>
          <w:bCs/>
        </w:rPr>
        <w:t>Структура денежных доходов и расходов хозяйств с минимальными доходами в 1998 году (в расчете на члена хозяйства)</w:t>
      </w:r>
    </w:p>
    <w:p w:rsidR="00000000" w:rsidRDefault="00000000">
      <w:pPr>
        <w:spacing w:line="240" w:lineRule="auto"/>
      </w:pPr>
    </w:p>
    <w:tbl>
      <w:tblPr>
        <w:tblW w:w="9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7"/>
        <w:gridCol w:w="935"/>
        <w:gridCol w:w="1309"/>
        <w:gridCol w:w="1118"/>
        <w:gridCol w:w="1122"/>
        <w:gridCol w:w="1208"/>
      </w:tblGrid>
      <w:tr w:rsidR="00000000">
        <w:tblPrEx>
          <w:tblCellMar>
            <w:top w:w="0" w:type="dxa"/>
            <w:bottom w:w="0" w:type="dxa"/>
          </w:tblCellMar>
        </w:tblPrEx>
        <w:trPr>
          <w:cantSplit/>
          <w:tblHeader/>
        </w:trPr>
        <w:tc>
          <w:tcPr>
            <w:tcW w:w="3797" w:type="dxa"/>
            <w:vMerge w:val="restart"/>
            <w:tcBorders>
              <w:left w:val="single" w:sz="4" w:space="0" w:color="auto"/>
              <w:right w:val="single" w:sz="4" w:space="0" w:color="auto"/>
            </w:tcBorders>
            <w:tcMar>
              <w:left w:w="57" w:type="dxa"/>
              <w:right w:w="57" w:type="dxa"/>
            </w:tcMar>
            <w:vAlign w:val="center"/>
          </w:tcPr>
          <w:p w:rsidR="00000000" w:rsidRDefault="00000000">
            <w:pPr>
              <w:pStyle w:val="16"/>
              <w:spacing w:line="216" w:lineRule="auto"/>
            </w:pPr>
          </w:p>
        </w:tc>
        <w:tc>
          <w:tcPr>
            <w:tcW w:w="935" w:type="dxa"/>
            <w:vMerge w:val="restart"/>
            <w:tcBorders>
              <w:left w:val="single" w:sz="4" w:space="0" w:color="auto"/>
              <w:bottom w:val="dotted" w:sz="4" w:space="0" w:color="auto"/>
              <w:right w:val="single" w:sz="4" w:space="0" w:color="auto"/>
            </w:tcBorders>
            <w:tcMar>
              <w:left w:w="57" w:type="dxa"/>
              <w:right w:w="57" w:type="dxa"/>
            </w:tcMar>
            <w:vAlign w:val="center"/>
          </w:tcPr>
          <w:p w:rsidR="00000000" w:rsidRDefault="00000000">
            <w:pPr>
              <w:pStyle w:val="16"/>
              <w:spacing w:line="216" w:lineRule="auto"/>
              <w:jc w:val="left"/>
            </w:pPr>
            <w:r>
              <w:t>Семьи</w:t>
            </w:r>
          </w:p>
        </w:tc>
        <w:tc>
          <w:tcPr>
            <w:tcW w:w="2427" w:type="dxa"/>
            <w:gridSpan w:val="2"/>
            <w:tcBorders>
              <w:left w:val="single" w:sz="4" w:space="0" w:color="auto"/>
              <w:bottom w:val="single" w:sz="4" w:space="0" w:color="auto"/>
              <w:right w:val="single" w:sz="4" w:space="0" w:color="auto"/>
            </w:tcBorders>
            <w:tcMar>
              <w:left w:w="57" w:type="dxa"/>
              <w:right w:w="57" w:type="dxa"/>
            </w:tcMar>
            <w:vAlign w:val="center"/>
          </w:tcPr>
          <w:p w:rsidR="00000000" w:rsidRDefault="00000000">
            <w:pPr>
              <w:pStyle w:val="16"/>
              <w:spacing w:line="216" w:lineRule="auto"/>
            </w:pPr>
            <w:r>
              <w:t>Семьи с двумя родителями</w:t>
            </w:r>
          </w:p>
        </w:tc>
        <w:tc>
          <w:tcPr>
            <w:tcW w:w="1122" w:type="dxa"/>
            <w:vMerge w:val="restart"/>
            <w:tcBorders>
              <w:left w:val="single" w:sz="4" w:space="0" w:color="auto"/>
              <w:right w:val="single" w:sz="4" w:space="0" w:color="auto"/>
            </w:tcBorders>
            <w:tcMar>
              <w:left w:w="57" w:type="dxa"/>
              <w:right w:w="57" w:type="dxa"/>
            </w:tcMar>
            <w:vAlign w:val="center"/>
          </w:tcPr>
          <w:p w:rsidR="00000000" w:rsidRDefault="00000000">
            <w:pPr>
              <w:spacing w:line="216" w:lineRule="auto"/>
            </w:pPr>
            <w:r>
              <w:rPr>
                <w:spacing w:val="-2"/>
              </w:rPr>
              <w:t xml:space="preserve">Одинокие </w:t>
            </w:r>
            <w:r>
              <w:t>родители</w:t>
            </w:r>
          </w:p>
        </w:tc>
        <w:tc>
          <w:tcPr>
            <w:tcW w:w="1208" w:type="dxa"/>
            <w:vMerge w:val="restart"/>
            <w:tcBorders>
              <w:left w:val="single" w:sz="4" w:space="0" w:color="auto"/>
              <w:right w:val="single" w:sz="4" w:space="0" w:color="auto"/>
            </w:tcBorders>
            <w:tcMar>
              <w:left w:w="57" w:type="dxa"/>
              <w:right w:w="57" w:type="dxa"/>
            </w:tcMar>
            <w:tcFitText/>
            <w:vAlign w:val="center"/>
          </w:tcPr>
          <w:p w:rsidR="00000000" w:rsidRDefault="00000000">
            <w:pPr>
              <w:spacing w:line="216" w:lineRule="auto"/>
              <w:rPr>
                <w:spacing w:val="-18"/>
              </w:rPr>
            </w:pPr>
            <w:r>
              <w:rPr>
                <w:w w:val="83"/>
              </w:rPr>
              <w:t>Пенсионер</w:t>
            </w:r>
            <w:r>
              <w:rPr>
                <w:spacing w:val="14"/>
                <w:w w:val="83"/>
              </w:rPr>
              <w:t>ы</w:t>
            </w:r>
          </w:p>
        </w:tc>
      </w:tr>
      <w:tr w:rsidR="00000000">
        <w:tblPrEx>
          <w:tblCellMar>
            <w:top w:w="0" w:type="dxa"/>
            <w:bottom w:w="0" w:type="dxa"/>
          </w:tblCellMar>
        </w:tblPrEx>
        <w:trPr>
          <w:cantSplit/>
          <w:tblHeader/>
        </w:trPr>
        <w:tc>
          <w:tcPr>
            <w:tcW w:w="3797" w:type="dxa"/>
            <w:vMerge/>
            <w:tcBorders>
              <w:left w:val="single" w:sz="4" w:space="0" w:color="auto"/>
              <w:bottom w:val="single" w:sz="4" w:space="0" w:color="auto"/>
              <w:right w:val="single" w:sz="4" w:space="0" w:color="auto"/>
            </w:tcBorders>
            <w:tcMar>
              <w:left w:w="57" w:type="dxa"/>
              <w:right w:w="57" w:type="dxa"/>
            </w:tcMar>
            <w:vAlign w:val="center"/>
          </w:tcPr>
          <w:p w:rsidR="00000000" w:rsidRDefault="00000000">
            <w:pPr>
              <w:spacing w:line="216" w:lineRule="auto"/>
              <w:jc w:val="center"/>
            </w:pPr>
          </w:p>
        </w:tc>
        <w:tc>
          <w:tcPr>
            <w:tcW w:w="935" w:type="dxa"/>
            <w:vMerge/>
            <w:tcBorders>
              <w:left w:val="single" w:sz="4" w:space="0" w:color="auto"/>
              <w:bottom w:val="single" w:sz="4" w:space="0" w:color="auto"/>
              <w:right w:val="single" w:sz="4" w:space="0" w:color="auto"/>
            </w:tcBorders>
            <w:tcMar>
              <w:left w:w="57" w:type="dxa"/>
              <w:right w:w="57" w:type="dxa"/>
            </w:tcMar>
            <w:vAlign w:val="center"/>
          </w:tcPr>
          <w:p w:rsidR="00000000" w:rsidRDefault="00000000">
            <w:pPr>
              <w:spacing w:line="216" w:lineRule="auto"/>
              <w:jc w:val="center"/>
            </w:pPr>
          </w:p>
        </w:tc>
        <w:tc>
          <w:tcPr>
            <w:tcW w:w="130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pStyle w:val="16"/>
              <w:spacing w:line="216" w:lineRule="auto"/>
            </w:pPr>
            <w:r>
              <w:t>2 ребенка</w:t>
            </w:r>
          </w:p>
        </w:tc>
        <w:tc>
          <w:tcPr>
            <w:tcW w:w="11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spacing w:line="216" w:lineRule="auto"/>
              <w:jc w:val="center"/>
            </w:pPr>
            <w:r>
              <w:t>3 ребенка</w:t>
            </w:r>
          </w:p>
        </w:tc>
        <w:tc>
          <w:tcPr>
            <w:tcW w:w="1122" w:type="dxa"/>
            <w:vMerge/>
            <w:tcBorders>
              <w:left w:val="single" w:sz="4" w:space="0" w:color="auto"/>
              <w:bottom w:val="single" w:sz="4" w:space="0" w:color="auto"/>
              <w:right w:val="single" w:sz="4" w:space="0" w:color="auto"/>
            </w:tcBorders>
            <w:tcMar>
              <w:left w:w="57" w:type="dxa"/>
              <w:right w:w="57" w:type="dxa"/>
            </w:tcMar>
            <w:vAlign w:val="center"/>
          </w:tcPr>
          <w:p w:rsidR="00000000" w:rsidRDefault="00000000">
            <w:pPr>
              <w:spacing w:line="216" w:lineRule="auto"/>
              <w:jc w:val="center"/>
            </w:pPr>
          </w:p>
        </w:tc>
        <w:tc>
          <w:tcPr>
            <w:tcW w:w="1208" w:type="dxa"/>
            <w:vMerge/>
            <w:tcBorders>
              <w:left w:val="single" w:sz="4" w:space="0" w:color="auto"/>
              <w:bottom w:val="single" w:sz="4" w:space="0" w:color="auto"/>
              <w:right w:val="single" w:sz="4" w:space="0" w:color="auto"/>
            </w:tcBorders>
            <w:tcMar>
              <w:left w:w="57" w:type="dxa"/>
              <w:right w:w="57" w:type="dxa"/>
            </w:tcMar>
            <w:vAlign w:val="center"/>
          </w:tcPr>
          <w:p w:rsidR="00000000" w:rsidRDefault="00000000">
            <w:pPr>
              <w:spacing w:line="216" w:lineRule="auto"/>
              <w:jc w:val="center"/>
            </w:pPr>
          </w:p>
        </w:tc>
      </w:tr>
      <w:tr w:rsidR="00000000">
        <w:tblPrEx>
          <w:tblCellMar>
            <w:top w:w="0" w:type="dxa"/>
            <w:bottom w:w="0" w:type="dxa"/>
          </w:tblCellMar>
        </w:tblPrEx>
        <w:tc>
          <w:tcPr>
            <w:tcW w:w="3797" w:type="dxa"/>
            <w:tcBorders>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284" w:hanging="284"/>
            </w:pPr>
            <w:r>
              <w:t>Общий размер денежных доходов в чешских кронах,</w:t>
            </w:r>
          </w:p>
        </w:tc>
        <w:tc>
          <w:tcPr>
            <w:tcW w:w="935" w:type="dxa"/>
            <w:tcBorders>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40 168</w:t>
            </w:r>
          </w:p>
        </w:tc>
        <w:tc>
          <w:tcPr>
            <w:tcW w:w="1309" w:type="dxa"/>
            <w:tcBorders>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40 448</w:t>
            </w:r>
          </w:p>
        </w:tc>
        <w:tc>
          <w:tcPr>
            <w:tcW w:w="1118" w:type="dxa"/>
            <w:tcBorders>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38 317</w:t>
            </w:r>
          </w:p>
        </w:tc>
        <w:tc>
          <w:tcPr>
            <w:tcW w:w="1122" w:type="dxa"/>
            <w:tcBorders>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39 599</w:t>
            </w:r>
          </w:p>
        </w:tc>
        <w:tc>
          <w:tcPr>
            <w:tcW w:w="1208" w:type="dxa"/>
            <w:tcBorders>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52 058</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284" w:hanging="284"/>
            </w:pPr>
            <w:r>
              <w:t>в том числе в %:</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568" w:hanging="284"/>
            </w:pPr>
            <w:r>
              <w:t>работа по найму</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59,7</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71,7</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69,1</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38,9</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4,5</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568" w:hanging="284"/>
            </w:pPr>
            <w:r>
              <w:t>социальные выплаты</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33,0</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25,6</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29,0</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45,1</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94,8</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568" w:hanging="284"/>
            </w:pPr>
            <w:r>
              <w:t>прочие виды доходов</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pStyle w:val="FootnoteText"/>
              <w:tabs>
                <w:tab w:val="clear" w:pos="567"/>
                <w:tab w:val="clear" w:pos="1134"/>
              </w:tabs>
              <w:ind w:left="-253" w:right="82"/>
              <w:jc w:val="right"/>
            </w:pPr>
            <w:r>
              <w:t>7,3</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2,7</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1,9</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16,0</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0,7</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284" w:hanging="284"/>
            </w:pPr>
            <w:r>
              <w:t>Вклады, снятые со счетов в чешских кронах</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9 088</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8 885</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8 184</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8 980</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4 059</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284" w:hanging="284"/>
            </w:pPr>
            <w:r>
              <w:t>Общая сумма денежных расходов,</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41 554</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42 361</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39 432</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40 909</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52 350</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284" w:hanging="284"/>
            </w:pPr>
            <w:r>
              <w:t>в том числе в %:</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568" w:hanging="284"/>
            </w:pPr>
            <w:r>
              <w:t>продовольствие</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30,2</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29,4</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29,7</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31,8</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39,1</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567" w:hanging="283"/>
            </w:pPr>
            <w:r>
              <w:t>алкогольные напитки и табачные изделия</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2,7</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3,3</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2,5</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1,9</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1,9</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568" w:hanging="284"/>
            </w:pPr>
            <w:r>
              <w:t>одежда и обувь</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6,2</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6,2</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6,5</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6,4</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3,8</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568" w:hanging="284"/>
            </w:pPr>
            <w:r>
              <w:t>жилье</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19,0</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16,7</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16,0</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24,8</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28,7</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568" w:hanging="284"/>
            </w:pPr>
            <w:r>
              <w:t>хозяйственные расходы</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6,0</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6,2</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6,1</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5,3</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6,2</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568" w:hanging="284"/>
            </w:pPr>
            <w:r>
              <w:t>личные расходы и расходы на медицинское обслуживание</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5,3</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5,5</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4,6</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5,8</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5,1</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568" w:hanging="284"/>
            </w:pPr>
            <w:r>
              <w:t>транспорт и связь</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7,5</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8,1</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7,3</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5,5</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3,6</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568" w:hanging="284"/>
            </w:pPr>
            <w:r>
              <w:t>культурные мероприятия, образование, спорт</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7,9</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7,0</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9,9</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8,0</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4,7</w:t>
            </w:r>
          </w:p>
        </w:tc>
      </w:tr>
      <w:tr w:rsidR="00000000">
        <w:tblPrEx>
          <w:tblCellMar>
            <w:top w:w="0" w:type="dxa"/>
            <w:bottom w:w="0" w:type="dxa"/>
          </w:tblCellMar>
        </w:tblPrEx>
        <w:tc>
          <w:tcPr>
            <w:tcW w:w="3797" w:type="dxa"/>
            <w:tcBorders>
              <w:top w:val="nil"/>
              <w:left w:val="single" w:sz="4" w:space="0" w:color="auto"/>
              <w:bottom w:val="nil"/>
              <w:right w:val="single" w:sz="4" w:space="0" w:color="auto"/>
            </w:tcBorders>
            <w:tcMar>
              <w:left w:w="57" w:type="dxa"/>
              <w:right w:w="57" w:type="dxa"/>
            </w:tcMar>
          </w:tcPr>
          <w:p w:rsidR="00000000" w:rsidRDefault="00000000">
            <w:pPr>
              <w:tabs>
                <w:tab w:val="left" w:pos="284"/>
              </w:tabs>
              <w:spacing w:line="240" w:lineRule="auto"/>
              <w:ind w:left="568" w:hanging="284"/>
            </w:pPr>
            <w:r>
              <w:t>налоги, страхование, платежи</w:t>
            </w:r>
          </w:p>
        </w:tc>
        <w:tc>
          <w:tcPr>
            <w:tcW w:w="935"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15,2</w:t>
            </w:r>
          </w:p>
        </w:tc>
        <w:tc>
          <w:tcPr>
            <w:tcW w:w="1309"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17,6</w:t>
            </w:r>
          </w:p>
        </w:tc>
        <w:tc>
          <w:tcPr>
            <w:tcW w:w="111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17,4</w:t>
            </w:r>
          </w:p>
        </w:tc>
        <w:tc>
          <w:tcPr>
            <w:tcW w:w="1122"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pPr>
            <w:r>
              <w:t>10,5</w:t>
            </w:r>
          </w:p>
        </w:tc>
        <w:tc>
          <w:tcPr>
            <w:tcW w:w="1208" w:type="dxa"/>
            <w:tcBorders>
              <w:top w:val="nil"/>
              <w:left w:val="single" w:sz="4" w:space="0" w:color="auto"/>
              <w:bottom w:val="nil"/>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pPr>
            <w:r>
              <w:t>6,9</w:t>
            </w:r>
          </w:p>
        </w:tc>
      </w:tr>
      <w:tr w:rsidR="00000000">
        <w:tblPrEx>
          <w:tblCellMar>
            <w:top w:w="0" w:type="dxa"/>
            <w:bottom w:w="0" w:type="dxa"/>
          </w:tblCellMar>
        </w:tblPrEx>
        <w:tc>
          <w:tcPr>
            <w:tcW w:w="3797" w:type="dxa"/>
            <w:tcBorders>
              <w:top w:val="nil"/>
              <w:left w:val="single" w:sz="4" w:space="0" w:color="auto"/>
              <w:right w:val="single" w:sz="4" w:space="0" w:color="auto"/>
            </w:tcBorders>
            <w:tcMar>
              <w:left w:w="57" w:type="dxa"/>
              <w:right w:w="57" w:type="dxa"/>
            </w:tcMar>
          </w:tcPr>
          <w:p w:rsidR="00000000" w:rsidRDefault="00000000">
            <w:pPr>
              <w:tabs>
                <w:tab w:val="left" w:pos="284"/>
              </w:tabs>
              <w:spacing w:line="240" w:lineRule="auto"/>
              <w:ind w:left="284" w:hanging="284"/>
            </w:pPr>
            <w:r>
              <w:t>Вклады в чешских кронах</w:t>
            </w:r>
          </w:p>
        </w:tc>
        <w:tc>
          <w:tcPr>
            <w:tcW w:w="935" w:type="dxa"/>
            <w:tcBorders>
              <w:top w:val="nil"/>
              <w:left w:val="single" w:sz="4" w:space="0" w:color="auto"/>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rPr>
                <w:lang w:val="en-US"/>
              </w:rPr>
            </w:pPr>
            <w:r>
              <w:rPr>
                <w:lang w:val="en-US"/>
              </w:rPr>
              <w:t>7 644</w:t>
            </w:r>
          </w:p>
        </w:tc>
        <w:tc>
          <w:tcPr>
            <w:tcW w:w="1309" w:type="dxa"/>
            <w:tcBorders>
              <w:top w:val="nil"/>
              <w:left w:val="single" w:sz="4" w:space="0" w:color="auto"/>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rPr>
                <w:lang w:val="en-US"/>
              </w:rPr>
            </w:pPr>
            <w:r>
              <w:rPr>
                <w:lang w:val="en-US"/>
              </w:rPr>
              <w:t>6 841</w:t>
            </w:r>
          </w:p>
        </w:tc>
        <w:tc>
          <w:tcPr>
            <w:tcW w:w="1118" w:type="dxa"/>
            <w:tcBorders>
              <w:top w:val="nil"/>
              <w:left w:val="single" w:sz="4" w:space="0" w:color="auto"/>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rPr>
                <w:lang w:val="en-US"/>
              </w:rPr>
            </w:pPr>
            <w:r>
              <w:rPr>
                <w:lang w:val="en-US"/>
              </w:rPr>
              <w:t>6 866</w:t>
            </w:r>
          </w:p>
        </w:tc>
        <w:tc>
          <w:tcPr>
            <w:tcW w:w="1122" w:type="dxa"/>
            <w:tcBorders>
              <w:top w:val="nil"/>
              <w:left w:val="single" w:sz="4" w:space="0" w:color="auto"/>
              <w:right w:val="single" w:sz="4" w:space="0" w:color="auto"/>
            </w:tcBorders>
            <w:tcMar>
              <w:left w:w="57" w:type="dxa"/>
              <w:right w:w="57" w:type="dxa"/>
            </w:tcMar>
          </w:tcPr>
          <w:p w:rsidR="00000000" w:rsidRDefault="00000000">
            <w:pPr>
              <w:tabs>
                <w:tab w:val="clear" w:pos="567"/>
                <w:tab w:val="clear" w:pos="1134"/>
              </w:tabs>
              <w:spacing w:line="240" w:lineRule="auto"/>
              <w:ind w:left="-253" w:right="82"/>
              <w:jc w:val="right"/>
              <w:rPr>
                <w:lang w:val="en-US"/>
              </w:rPr>
            </w:pPr>
            <w:r>
              <w:rPr>
                <w:lang w:val="en-US"/>
              </w:rPr>
              <w:t>7 731</w:t>
            </w:r>
          </w:p>
        </w:tc>
        <w:tc>
          <w:tcPr>
            <w:tcW w:w="1208" w:type="dxa"/>
            <w:tcBorders>
              <w:top w:val="nil"/>
              <w:left w:val="single" w:sz="4" w:space="0" w:color="auto"/>
              <w:right w:val="single" w:sz="4" w:space="0" w:color="auto"/>
            </w:tcBorders>
            <w:tcMar>
              <w:left w:w="57" w:type="dxa"/>
              <w:right w:w="57" w:type="dxa"/>
            </w:tcMar>
          </w:tcPr>
          <w:p w:rsidR="00000000" w:rsidRDefault="00000000">
            <w:pPr>
              <w:tabs>
                <w:tab w:val="clear" w:pos="567"/>
                <w:tab w:val="clear" w:pos="1134"/>
                <w:tab w:val="clear" w:pos="1701"/>
              </w:tabs>
              <w:spacing w:line="240" w:lineRule="auto"/>
              <w:ind w:left="-253" w:right="82"/>
              <w:jc w:val="right"/>
              <w:rPr>
                <w:lang w:val="en-US"/>
              </w:rPr>
            </w:pPr>
            <w:r>
              <w:rPr>
                <w:lang w:val="en-US"/>
              </w:rPr>
              <w:t>3 434</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eastAsia="en-US"/>
        </w:rPr>
      </w:pPr>
    </w:p>
    <w:p w:rsidR="00000000" w:rsidRDefault="00000000">
      <w:pPr>
        <w:rPr>
          <w:lang w:val="en-US"/>
        </w:rPr>
      </w:pPr>
      <w:r>
        <w:tab/>
      </w:r>
      <w:r>
        <w:rPr>
          <w:u w:val="single"/>
        </w:rPr>
        <w:t>Источник</w:t>
      </w:r>
      <w:r>
        <w:rPr>
          <w:lang w:val="en-US"/>
        </w:rPr>
        <w:t>:  Strtistical Yearbook of the CR, 1999.</w:t>
      </w:r>
    </w:p>
    <w:p w:rsidR="00000000" w:rsidRDefault="00000000">
      <w:pPr>
        <w:rPr>
          <w:lang w:val="en-US"/>
        </w:rPr>
      </w:pPr>
    </w:p>
    <w:p w:rsidR="00000000" w:rsidRDefault="00000000">
      <w:r>
        <w:t>409.</w:t>
      </w:r>
      <w:r>
        <w:tab/>
        <w:t>Уровень жизни можно также измерить на основе наличия в хозяйстве товаров длительного пользования.</w:t>
      </w:r>
    </w:p>
    <w:p w:rsidR="00000000" w:rsidRDefault="00000000"/>
    <w:p w:rsidR="00000000" w:rsidRDefault="00000000">
      <w:pPr>
        <w:pStyle w:val="10"/>
        <w:rPr>
          <w:bCs/>
        </w:rPr>
      </w:pPr>
      <w:r>
        <w:rPr>
          <w:bCs/>
        </w:rPr>
        <w:t>Потребительские товары длительного пользования в домашних хозяйствах</w:t>
      </w:r>
    </w:p>
    <w:p w:rsidR="00000000" w:rsidRDefault="00000000">
      <w:pP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7"/>
        <w:gridCol w:w="807"/>
        <w:gridCol w:w="725"/>
        <w:gridCol w:w="725"/>
        <w:gridCol w:w="713"/>
        <w:gridCol w:w="696"/>
      </w:tblGrid>
      <w:tr w:rsidR="00000000">
        <w:tblPrEx>
          <w:tblCellMar>
            <w:top w:w="0" w:type="dxa"/>
            <w:bottom w:w="0" w:type="dxa"/>
          </w:tblCellMar>
        </w:tblPrEx>
        <w:trPr>
          <w:cantSplit/>
        </w:trPr>
        <w:tc>
          <w:tcPr>
            <w:tcW w:w="5797" w:type="dxa"/>
            <w:vMerge w:val="restart"/>
            <w:tcBorders>
              <w:left w:val="single" w:sz="4" w:space="0" w:color="auto"/>
              <w:right w:val="single" w:sz="4" w:space="0" w:color="auto"/>
            </w:tcBorders>
            <w:vAlign w:val="center"/>
          </w:tcPr>
          <w:p w:rsidR="00000000" w:rsidRDefault="00000000">
            <w:pPr>
              <w:jc w:val="center"/>
            </w:pPr>
          </w:p>
        </w:tc>
        <w:tc>
          <w:tcPr>
            <w:tcW w:w="3666" w:type="dxa"/>
            <w:gridSpan w:val="5"/>
            <w:tcBorders>
              <w:left w:val="single" w:sz="4" w:space="0" w:color="auto"/>
              <w:bottom w:val="single" w:sz="4" w:space="0" w:color="auto"/>
              <w:right w:val="single" w:sz="4" w:space="0" w:color="auto"/>
            </w:tcBorders>
            <w:vAlign w:val="center"/>
          </w:tcPr>
          <w:p w:rsidR="00000000" w:rsidRDefault="00000000">
            <w:pPr>
              <w:pStyle w:val="16"/>
              <w:spacing w:line="240" w:lineRule="auto"/>
            </w:pPr>
            <w:r>
              <w:t>Число товаров длительного пользования на 100 хозяйств</w:t>
            </w:r>
          </w:p>
        </w:tc>
      </w:tr>
      <w:tr w:rsidR="00000000">
        <w:tblPrEx>
          <w:tblCellMar>
            <w:top w:w="0" w:type="dxa"/>
            <w:bottom w:w="0" w:type="dxa"/>
          </w:tblCellMar>
        </w:tblPrEx>
        <w:trPr>
          <w:cantSplit/>
        </w:trPr>
        <w:tc>
          <w:tcPr>
            <w:tcW w:w="5797" w:type="dxa"/>
            <w:vMerge/>
            <w:tcBorders>
              <w:left w:val="single" w:sz="4" w:space="0" w:color="auto"/>
              <w:bottom w:val="single" w:sz="4" w:space="0" w:color="auto"/>
              <w:right w:val="single" w:sz="4" w:space="0" w:color="auto"/>
            </w:tcBorders>
            <w:vAlign w:val="center"/>
          </w:tcPr>
          <w:p w:rsidR="00000000" w:rsidRDefault="00000000">
            <w:pPr>
              <w:jc w:val="center"/>
            </w:pPr>
          </w:p>
        </w:tc>
        <w:tc>
          <w:tcPr>
            <w:tcW w:w="80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16"/>
            </w:pPr>
            <w:r>
              <w:t>1990</w:t>
            </w:r>
          </w:p>
        </w:tc>
        <w:tc>
          <w:tcPr>
            <w:tcW w:w="7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1994</w:t>
            </w:r>
          </w:p>
        </w:tc>
        <w:tc>
          <w:tcPr>
            <w:tcW w:w="7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1995</w:t>
            </w:r>
          </w:p>
        </w:tc>
        <w:tc>
          <w:tcPr>
            <w:tcW w:w="71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1996</w:t>
            </w:r>
          </w:p>
        </w:tc>
        <w:tc>
          <w:tcPr>
            <w:tcW w:w="6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1997</w:t>
            </w:r>
          </w:p>
        </w:tc>
      </w:tr>
      <w:tr w:rsidR="00000000">
        <w:tblPrEx>
          <w:tblCellMar>
            <w:top w:w="0" w:type="dxa"/>
            <w:bottom w:w="0" w:type="dxa"/>
          </w:tblCellMar>
        </w:tblPrEx>
        <w:tc>
          <w:tcPr>
            <w:tcW w:w="5797" w:type="dxa"/>
            <w:tcBorders>
              <w:left w:val="single" w:sz="4" w:space="0" w:color="auto"/>
              <w:bottom w:val="nil"/>
              <w:right w:val="single" w:sz="4" w:space="0" w:color="auto"/>
            </w:tcBorders>
          </w:tcPr>
          <w:p w:rsidR="00000000" w:rsidRDefault="00000000">
            <w:pPr>
              <w:tabs>
                <w:tab w:val="left" w:pos="284"/>
              </w:tabs>
              <w:spacing w:line="240" w:lineRule="auto"/>
              <w:ind w:left="284" w:hanging="284"/>
            </w:pPr>
            <w:r>
              <w:t>Электрическая стиральная машина (включая автоматические машины и приборы для отжимания белья)</w:t>
            </w:r>
          </w:p>
        </w:tc>
        <w:tc>
          <w:tcPr>
            <w:tcW w:w="807" w:type="dxa"/>
            <w:tcBorders>
              <w:left w:val="single" w:sz="4" w:space="0" w:color="auto"/>
              <w:bottom w:val="nil"/>
              <w:right w:val="single" w:sz="4" w:space="0" w:color="auto"/>
            </w:tcBorders>
          </w:tcPr>
          <w:p w:rsidR="00000000" w:rsidRDefault="00000000">
            <w:pPr>
              <w:tabs>
                <w:tab w:val="clear" w:pos="567"/>
              </w:tabs>
              <w:jc w:val="right"/>
            </w:pPr>
            <w:r>
              <w:t>156</w:t>
            </w:r>
          </w:p>
        </w:tc>
        <w:tc>
          <w:tcPr>
            <w:tcW w:w="725" w:type="dxa"/>
            <w:tcBorders>
              <w:left w:val="single" w:sz="4" w:space="0" w:color="auto"/>
              <w:bottom w:val="nil"/>
              <w:right w:val="single" w:sz="4" w:space="0" w:color="auto"/>
            </w:tcBorders>
          </w:tcPr>
          <w:p w:rsidR="00000000" w:rsidRDefault="00000000">
            <w:pPr>
              <w:jc w:val="right"/>
            </w:pPr>
            <w:r>
              <w:t>159</w:t>
            </w:r>
          </w:p>
        </w:tc>
        <w:tc>
          <w:tcPr>
            <w:tcW w:w="725" w:type="dxa"/>
            <w:tcBorders>
              <w:left w:val="single" w:sz="4" w:space="0" w:color="auto"/>
              <w:bottom w:val="nil"/>
              <w:right w:val="single" w:sz="4" w:space="0" w:color="auto"/>
            </w:tcBorders>
          </w:tcPr>
          <w:p w:rsidR="00000000" w:rsidRDefault="00000000">
            <w:pPr>
              <w:pStyle w:val="FootnoteText"/>
              <w:tabs>
                <w:tab w:val="clear" w:pos="1701"/>
                <w:tab w:val="clear" w:pos="2268"/>
              </w:tabs>
              <w:spacing w:line="288" w:lineRule="auto"/>
              <w:jc w:val="right"/>
            </w:pPr>
            <w:r>
              <w:t>159</w:t>
            </w:r>
          </w:p>
        </w:tc>
        <w:tc>
          <w:tcPr>
            <w:tcW w:w="713" w:type="dxa"/>
            <w:tcBorders>
              <w:left w:val="single" w:sz="4" w:space="0" w:color="auto"/>
              <w:bottom w:val="nil"/>
              <w:right w:val="single" w:sz="4" w:space="0" w:color="auto"/>
            </w:tcBorders>
          </w:tcPr>
          <w:p w:rsidR="00000000" w:rsidRDefault="00000000">
            <w:pPr>
              <w:jc w:val="right"/>
            </w:pPr>
            <w:r>
              <w:t>158</w:t>
            </w:r>
          </w:p>
        </w:tc>
        <w:tc>
          <w:tcPr>
            <w:tcW w:w="696" w:type="dxa"/>
            <w:tcBorders>
              <w:left w:val="single" w:sz="4" w:space="0" w:color="auto"/>
              <w:bottom w:val="nil"/>
              <w:right w:val="single" w:sz="4" w:space="0" w:color="auto"/>
            </w:tcBorders>
          </w:tcPr>
          <w:p w:rsidR="00000000" w:rsidRDefault="00000000">
            <w:pPr>
              <w:jc w:val="right"/>
            </w:pPr>
            <w:r>
              <w:t>159</w:t>
            </w:r>
          </w:p>
        </w:tc>
      </w:tr>
      <w:tr w:rsidR="00000000">
        <w:tblPrEx>
          <w:tblCellMar>
            <w:top w:w="0" w:type="dxa"/>
            <w:bottom w:w="0" w:type="dxa"/>
          </w:tblCellMar>
        </w:tblPrEx>
        <w:tc>
          <w:tcPr>
            <w:tcW w:w="5797" w:type="dxa"/>
            <w:tcBorders>
              <w:top w:val="nil"/>
              <w:left w:val="single" w:sz="4" w:space="0" w:color="auto"/>
              <w:bottom w:val="nil"/>
              <w:right w:val="single" w:sz="4" w:space="0" w:color="auto"/>
            </w:tcBorders>
          </w:tcPr>
          <w:p w:rsidR="00000000" w:rsidRDefault="00000000">
            <w:r>
              <w:t>Холодильник (включая морозильные камеры)</w:t>
            </w:r>
          </w:p>
        </w:tc>
        <w:tc>
          <w:tcPr>
            <w:tcW w:w="807" w:type="dxa"/>
            <w:tcBorders>
              <w:top w:val="nil"/>
              <w:left w:val="single" w:sz="4" w:space="0" w:color="auto"/>
              <w:bottom w:val="nil"/>
              <w:right w:val="single" w:sz="4" w:space="0" w:color="auto"/>
            </w:tcBorders>
          </w:tcPr>
          <w:p w:rsidR="00000000" w:rsidRDefault="00000000">
            <w:pPr>
              <w:tabs>
                <w:tab w:val="clear" w:pos="567"/>
              </w:tabs>
              <w:jc w:val="right"/>
            </w:pPr>
            <w:r>
              <w:t>118</w:t>
            </w:r>
          </w:p>
        </w:tc>
        <w:tc>
          <w:tcPr>
            <w:tcW w:w="725" w:type="dxa"/>
            <w:tcBorders>
              <w:top w:val="nil"/>
              <w:left w:val="single" w:sz="4" w:space="0" w:color="auto"/>
              <w:bottom w:val="nil"/>
              <w:right w:val="single" w:sz="4" w:space="0" w:color="auto"/>
            </w:tcBorders>
          </w:tcPr>
          <w:p w:rsidR="00000000" w:rsidRDefault="00000000">
            <w:pPr>
              <w:jc w:val="right"/>
            </w:pPr>
            <w:r>
              <w:t>129</w:t>
            </w:r>
          </w:p>
        </w:tc>
        <w:tc>
          <w:tcPr>
            <w:tcW w:w="725" w:type="dxa"/>
            <w:tcBorders>
              <w:top w:val="nil"/>
              <w:left w:val="single" w:sz="4" w:space="0" w:color="auto"/>
              <w:bottom w:val="nil"/>
              <w:right w:val="single" w:sz="4" w:space="0" w:color="auto"/>
            </w:tcBorders>
          </w:tcPr>
          <w:p w:rsidR="00000000" w:rsidRDefault="00000000">
            <w:pPr>
              <w:jc w:val="right"/>
            </w:pPr>
            <w:r>
              <w:t>134</w:t>
            </w:r>
          </w:p>
        </w:tc>
        <w:tc>
          <w:tcPr>
            <w:tcW w:w="713" w:type="dxa"/>
            <w:tcBorders>
              <w:top w:val="nil"/>
              <w:left w:val="single" w:sz="4" w:space="0" w:color="auto"/>
              <w:bottom w:val="nil"/>
              <w:right w:val="single" w:sz="4" w:space="0" w:color="auto"/>
            </w:tcBorders>
          </w:tcPr>
          <w:p w:rsidR="00000000" w:rsidRDefault="00000000">
            <w:pPr>
              <w:jc w:val="right"/>
            </w:pPr>
            <w:r>
              <w:t>137</w:t>
            </w:r>
          </w:p>
        </w:tc>
        <w:tc>
          <w:tcPr>
            <w:tcW w:w="696" w:type="dxa"/>
            <w:tcBorders>
              <w:top w:val="nil"/>
              <w:left w:val="single" w:sz="4" w:space="0" w:color="auto"/>
              <w:bottom w:val="nil"/>
              <w:right w:val="single" w:sz="4" w:space="0" w:color="auto"/>
            </w:tcBorders>
          </w:tcPr>
          <w:p w:rsidR="00000000" w:rsidRDefault="00000000">
            <w:pPr>
              <w:jc w:val="right"/>
            </w:pPr>
            <w:r>
              <w:t>141</w:t>
            </w:r>
          </w:p>
        </w:tc>
      </w:tr>
      <w:tr w:rsidR="00000000">
        <w:tblPrEx>
          <w:tblCellMar>
            <w:top w:w="0" w:type="dxa"/>
            <w:bottom w:w="0" w:type="dxa"/>
          </w:tblCellMar>
        </w:tblPrEx>
        <w:tc>
          <w:tcPr>
            <w:tcW w:w="5797" w:type="dxa"/>
            <w:tcBorders>
              <w:top w:val="nil"/>
              <w:left w:val="single" w:sz="4" w:space="0" w:color="auto"/>
              <w:bottom w:val="nil"/>
              <w:right w:val="single" w:sz="4" w:space="0" w:color="auto"/>
            </w:tcBorders>
          </w:tcPr>
          <w:p w:rsidR="00000000" w:rsidRDefault="00000000">
            <w:pPr>
              <w:tabs>
                <w:tab w:val="left" w:pos="284"/>
              </w:tabs>
              <w:spacing w:line="240" w:lineRule="auto"/>
              <w:ind w:left="284" w:hanging="284"/>
            </w:pPr>
            <w:r>
              <w:t>Радиоприемник (включая автомобильные радиоприемники)</w:t>
            </w:r>
          </w:p>
        </w:tc>
        <w:tc>
          <w:tcPr>
            <w:tcW w:w="807" w:type="dxa"/>
            <w:tcBorders>
              <w:top w:val="nil"/>
              <w:left w:val="single" w:sz="4" w:space="0" w:color="auto"/>
              <w:bottom w:val="nil"/>
              <w:right w:val="single" w:sz="4" w:space="0" w:color="auto"/>
            </w:tcBorders>
          </w:tcPr>
          <w:p w:rsidR="00000000" w:rsidRDefault="00000000">
            <w:pPr>
              <w:tabs>
                <w:tab w:val="clear" w:pos="567"/>
              </w:tabs>
              <w:jc w:val="right"/>
            </w:pPr>
            <w:r>
              <w:t>203</w:t>
            </w:r>
          </w:p>
        </w:tc>
        <w:tc>
          <w:tcPr>
            <w:tcW w:w="725" w:type="dxa"/>
            <w:tcBorders>
              <w:top w:val="nil"/>
              <w:left w:val="single" w:sz="4" w:space="0" w:color="auto"/>
              <w:bottom w:val="nil"/>
              <w:right w:val="single" w:sz="4" w:space="0" w:color="auto"/>
            </w:tcBorders>
          </w:tcPr>
          <w:p w:rsidR="00000000" w:rsidRDefault="00000000">
            <w:pPr>
              <w:jc w:val="right"/>
            </w:pPr>
            <w:r>
              <w:t>210</w:t>
            </w:r>
          </w:p>
        </w:tc>
        <w:tc>
          <w:tcPr>
            <w:tcW w:w="725" w:type="dxa"/>
            <w:tcBorders>
              <w:top w:val="nil"/>
              <w:left w:val="single" w:sz="4" w:space="0" w:color="auto"/>
              <w:bottom w:val="nil"/>
              <w:right w:val="single" w:sz="4" w:space="0" w:color="auto"/>
            </w:tcBorders>
          </w:tcPr>
          <w:p w:rsidR="00000000" w:rsidRDefault="00000000">
            <w:pPr>
              <w:jc w:val="right"/>
            </w:pPr>
            <w:r>
              <w:t>214</w:t>
            </w:r>
          </w:p>
        </w:tc>
        <w:tc>
          <w:tcPr>
            <w:tcW w:w="713" w:type="dxa"/>
            <w:tcBorders>
              <w:top w:val="nil"/>
              <w:left w:val="single" w:sz="4" w:space="0" w:color="auto"/>
              <w:bottom w:val="nil"/>
              <w:right w:val="single" w:sz="4" w:space="0" w:color="auto"/>
            </w:tcBorders>
          </w:tcPr>
          <w:p w:rsidR="00000000" w:rsidRDefault="00000000">
            <w:pPr>
              <w:jc w:val="right"/>
            </w:pPr>
            <w:r>
              <w:t>216</w:t>
            </w:r>
          </w:p>
        </w:tc>
        <w:tc>
          <w:tcPr>
            <w:tcW w:w="696" w:type="dxa"/>
            <w:tcBorders>
              <w:top w:val="nil"/>
              <w:left w:val="single" w:sz="4" w:space="0" w:color="auto"/>
              <w:bottom w:val="nil"/>
              <w:right w:val="single" w:sz="4" w:space="0" w:color="auto"/>
            </w:tcBorders>
          </w:tcPr>
          <w:p w:rsidR="00000000" w:rsidRDefault="00000000">
            <w:pPr>
              <w:jc w:val="right"/>
            </w:pPr>
            <w:r>
              <w:t>217</w:t>
            </w:r>
          </w:p>
        </w:tc>
      </w:tr>
      <w:tr w:rsidR="00000000">
        <w:tblPrEx>
          <w:tblCellMar>
            <w:top w:w="0" w:type="dxa"/>
            <w:bottom w:w="0" w:type="dxa"/>
          </w:tblCellMar>
        </w:tblPrEx>
        <w:tc>
          <w:tcPr>
            <w:tcW w:w="5797" w:type="dxa"/>
            <w:tcBorders>
              <w:top w:val="nil"/>
              <w:left w:val="single" w:sz="4" w:space="0" w:color="auto"/>
              <w:bottom w:val="nil"/>
              <w:right w:val="single" w:sz="4" w:space="0" w:color="auto"/>
            </w:tcBorders>
          </w:tcPr>
          <w:p w:rsidR="00000000" w:rsidRDefault="00000000">
            <w:r>
              <w:t>Телевизор</w:t>
            </w:r>
          </w:p>
        </w:tc>
        <w:tc>
          <w:tcPr>
            <w:tcW w:w="807" w:type="dxa"/>
            <w:tcBorders>
              <w:top w:val="nil"/>
              <w:left w:val="single" w:sz="4" w:space="0" w:color="auto"/>
              <w:bottom w:val="nil"/>
              <w:right w:val="single" w:sz="4" w:space="0" w:color="auto"/>
            </w:tcBorders>
          </w:tcPr>
          <w:p w:rsidR="00000000" w:rsidRDefault="00000000">
            <w:pPr>
              <w:tabs>
                <w:tab w:val="clear" w:pos="567"/>
              </w:tabs>
              <w:jc w:val="right"/>
            </w:pPr>
            <w:r>
              <w:t>132</w:t>
            </w:r>
          </w:p>
        </w:tc>
        <w:tc>
          <w:tcPr>
            <w:tcW w:w="725" w:type="dxa"/>
            <w:tcBorders>
              <w:top w:val="nil"/>
              <w:left w:val="single" w:sz="4" w:space="0" w:color="auto"/>
              <w:bottom w:val="nil"/>
              <w:right w:val="single" w:sz="4" w:space="0" w:color="auto"/>
            </w:tcBorders>
          </w:tcPr>
          <w:p w:rsidR="00000000" w:rsidRDefault="00000000">
            <w:pPr>
              <w:jc w:val="right"/>
            </w:pPr>
            <w:r>
              <w:t>140</w:t>
            </w:r>
          </w:p>
        </w:tc>
        <w:tc>
          <w:tcPr>
            <w:tcW w:w="725" w:type="dxa"/>
            <w:tcBorders>
              <w:top w:val="nil"/>
              <w:left w:val="single" w:sz="4" w:space="0" w:color="auto"/>
              <w:bottom w:val="nil"/>
              <w:right w:val="single" w:sz="4" w:space="0" w:color="auto"/>
            </w:tcBorders>
          </w:tcPr>
          <w:p w:rsidR="00000000" w:rsidRDefault="00000000">
            <w:pPr>
              <w:jc w:val="right"/>
            </w:pPr>
            <w:r>
              <w:t>142</w:t>
            </w:r>
          </w:p>
        </w:tc>
        <w:tc>
          <w:tcPr>
            <w:tcW w:w="713" w:type="dxa"/>
            <w:tcBorders>
              <w:top w:val="nil"/>
              <w:left w:val="single" w:sz="4" w:space="0" w:color="auto"/>
              <w:bottom w:val="nil"/>
              <w:right w:val="single" w:sz="4" w:space="0" w:color="auto"/>
            </w:tcBorders>
          </w:tcPr>
          <w:p w:rsidR="00000000" w:rsidRDefault="00000000">
            <w:pPr>
              <w:jc w:val="right"/>
            </w:pPr>
            <w:r>
              <w:t>143</w:t>
            </w:r>
          </w:p>
        </w:tc>
        <w:tc>
          <w:tcPr>
            <w:tcW w:w="696" w:type="dxa"/>
            <w:tcBorders>
              <w:top w:val="nil"/>
              <w:left w:val="single" w:sz="4" w:space="0" w:color="auto"/>
              <w:bottom w:val="nil"/>
              <w:right w:val="single" w:sz="4" w:space="0" w:color="auto"/>
            </w:tcBorders>
          </w:tcPr>
          <w:p w:rsidR="00000000" w:rsidRDefault="00000000">
            <w:pPr>
              <w:jc w:val="right"/>
            </w:pPr>
            <w:r>
              <w:t>144</w:t>
            </w:r>
          </w:p>
        </w:tc>
      </w:tr>
      <w:tr w:rsidR="00000000">
        <w:tblPrEx>
          <w:tblCellMar>
            <w:top w:w="0" w:type="dxa"/>
            <w:bottom w:w="0" w:type="dxa"/>
          </w:tblCellMar>
        </w:tblPrEx>
        <w:tc>
          <w:tcPr>
            <w:tcW w:w="5797" w:type="dxa"/>
            <w:tcBorders>
              <w:top w:val="nil"/>
              <w:left w:val="single" w:sz="4" w:space="0" w:color="auto"/>
              <w:bottom w:val="nil"/>
              <w:right w:val="single" w:sz="4" w:space="0" w:color="auto"/>
            </w:tcBorders>
          </w:tcPr>
          <w:p w:rsidR="00000000" w:rsidRDefault="00000000">
            <w:r>
              <w:t>Телефон</w:t>
            </w:r>
          </w:p>
        </w:tc>
        <w:tc>
          <w:tcPr>
            <w:tcW w:w="807" w:type="dxa"/>
            <w:tcBorders>
              <w:top w:val="nil"/>
              <w:left w:val="single" w:sz="4" w:space="0" w:color="auto"/>
              <w:bottom w:val="nil"/>
              <w:right w:val="single" w:sz="4" w:space="0" w:color="auto"/>
            </w:tcBorders>
          </w:tcPr>
          <w:p w:rsidR="00000000" w:rsidRDefault="00000000">
            <w:pPr>
              <w:tabs>
                <w:tab w:val="clear" w:pos="567"/>
              </w:tabs>
              <w:jc w:val="right"/>
            </w:pPr>
            <w:r>
              <w:t>-</w:t>
            </w:r>
          </w:p>
        </w:tc>
        <w:tc>
          <w:tcPr>
            <w:tcW w:w="725" w:type="dxa"/>
            <w:tcBorders>
              <w:top w:val="nil"/>
              <w:left w:val="single" w:sz="4" w:space="0" w:color="auto"/>
              <w:bottom w:val="nil"/>
              <w:right w:val="single" w:sz="4" w:space="0" w:color="auto"/>
            </w:tcBorders>
          </w:tcPr>
          <w:p w:rsidR="00000000" w:rsidRDefault="00000000">
            <w:pPr>
              <w:jc w:val="right"/>
            </w:pPr>
            <w:r>
              <w:t>35</w:t>
            </w:r>
          </w:p>
        </w:tc>
        <w:tc>
          <w:tcPr>
            <w:tcW w:w="725" w:type="dxa"/>
            <w:tcBorders>
              <w:top w:val="nil"/>
              <w:left w:val="single" w:sz="4" w:space="0" w:color="auto"/>
              <w:bottom w:val="nil"/>
              <w:right w:val="single" w:sz="4" w:space="0" w:color="auto"/>
            </w:tcBorders>
          </w:tcPr>
          <w:p w:rsidR="00000000" w:rsidRDefault="00000000">
            <w:pPr>
              <w:jc w:val="right"/>
            </w:pPr>
            <w:r>
              <w:t>38</w:t>
            </w:r>
          </w:p>
        </w:tc>
        <w:tc>
          <w:tcPr>
            <w:tcW w:w="713" w:type="dxa"/>
            <w:tcBorders>
              <w:top w:val="nil"/>
              <w:left w:val="single" w:sz="4" w:space="0" w:color="auto"/>
              <w:bottom w:val="nil"/>
              <w:right w:val="single" w:sz="4" w:space="0" w:color="auto"/>
            </w:tcBorders>
          </w:tcPr>
          <w:p w:rsidR="00000000" w:rsidRDefault="00000000">
            <w:pPr>
              <w:jc w:val="right"/>
            </w:pPr>
            <w:r>
              <w:t>47</w:t>
            </w:r>
          </w:p>
        </w:tc>
        <w:tc>
          <w:tcPr>
            <w:tcW w:w="696" w:type="dxa"/>
            <w:tcBorders>
              <w:top w:val="nil"/>
              <w:left w:val="single" w:sz="4" w:space="0" w:color="auto"/>
              <w:bottom w:val="nil"/>
              <w:right w:val="single" w:sz="4" w:space="0" w:color="auto"/>
            </w:tcBorders>
          </w:tcPr>
          <w:p w:rsidR="00000000" w:rsidRDefault="00000000">
            <w:pPr>
              <w:jc w:val="right"/>
            </w:pPr>
            <w:r>
              <w:t>59</w:t>
            </w:r>
          </w:p>
        </w:tc>
      </w:tr>
      <w:tr w:rsidR="00000000">
        <w:tblPrEx>
          <w:tblCellMar>
            <w:top w:w="0" w:type="dxa"/>
            <w:bottom w:w="0" w:type="dxa"/>
          </w:tblCellMar>
        </w:tblPrEx>
        <w:tc>
          <w:tcPr>
            <w:tcW w:w="5797" w:type="dxa"/>
            <w:tcBorders>
              <w:top w:val="nil"/>
              <w:left w:val="single" w:sz="4" w:space="0" w:color="auto"/>
              <w:bottom w:val="nil"/>
              <w:right w:val="single" w:sz="4" w:space="0" w:color="auto"/>
            </w:tcBorders>
          </w:tcPr>
          <w:p w:rsidR="00000000" w:rsidRDefault="00000000">
            <w:r>
              <w:t>Пассажирский автомобиль</w:t>
            </w:r>
          </w:p>
        </w:tc>
        <w:tc>
          <w:tcPr>
            <w:tcW w:w="807" w:type="dxa"/>
            <w:tcBorders>
              <w:top w:val="nil"/>
              <w:left w:val="single" w:sz="4" w:space="0" w:color="auto"/>
              <w:bottom w:val="nil"/>
              <w:right w:val="single" w:sz="4" w:space="0" w:color="auto"/>
            </w:tcBorders>
          </w:tcPr>
          <w:p w:rsidR="00000000" w:rsidRDefault="00000000">
            <w:pPr>
              <w:tabs>
                <w:tab w:val="clear" w:pos="567"/>
              </w:tabs>
              <w:jc w:val="right"/>
              <w:rPr>
                <w:lang w:val="en-US"/>
              </w:rPr>
            </w:pPr>
            <w:r>
              <w:rPr>
                <w:lang w:val="en-US"/>
              </w:rPr>
              <w:t>62</w:t>
            </w:r>
          </w:p>
        </w:tc>
        <w:tc>
          <w:tcPr>
            <w:tcW w:w="725" w:type="dxa"/>
            <w:tcBorders>
              <w:top w:val="nil"/>
              <w:left w:val="single" w:sz="4" w:space="0" w:color="auto"/>
              <w:bottom w:val="nil"/>
              <w:right w:val="single" w:sz="4" w:space="0" w:color="auto"/>
            </w:tcBorders>
          </w:tcPr>
          <w:p w:rsidR="00000000" w:rsidRDefault="00000000">
            <w:pPr>
              <w:jc w:val="right"/>
              <w:rPr>
                <w:lang w:val="en-US"/>
              </w:rPr>
            </w:pPr>
            <w:r>
              <w:rPr>
                <w:lang w:val="en-US"/>
              </w:rPr>
              <w:t>64</w:t>
            </w:r>
          </w:p>
        </w:tc>
        <w:tc>
          <w:tcPr>
            <w:tcW w:w="725" w:type="dxa"/>
            <w:tcBorders>
              <w:top w:val="nil"/>
              <w:left w:val="single" w:sz="4" w:space="0" w:color="auto"/>
              <w:bottom w:val="nil"/>
              <w:right w:val="single" w:sz="4" w:space="0" w:color="auto"/>
            </w:tcBorders>
          </w:tcPr>
          <w:p w:rsidR="00000000" w:rsidRDefault="00000000">
            <w:pPr>
              <w:jc w:val="right"/>
              <w:rPr>
                <w:lang w:val="en-US"/>
              </w:rPr>
            </w:pPr>
            <w:r>
              <w:rPr>
                <w:lang w:val="en-US"/>
              </w:rPr>
              <w:t>65</w:t>
            </w:r>
          </w:p>
        </w:tc>
        <w:tc>
          <w:tcPr>
            <w:tcW w:w="713" w:type="dxa"/>
            <w:tcBorders>
              <w:top w:val="nil"/>
              <w:left w:val="single" w:sz="4" w:space="0" w:color="auto"/>
              <w:bottom w:val="nil"/>
              <w:right w:val="single" w:sz="4" w:space="0" w:color="auto"/>
            </w:tcBorders>
          </w:tcPr>
          <w:p w:rsidR="00000000" w:rsidRDefault="00000000">
            <w:pPr>
              <w:jc w:val="right"/>
              <w:rPr>
                <w:lang w:val="en-US"/>
              </w:rPr>
            </w:pPr>
            <w:r>
              <w:rPr>
                <w:lang w:val="en-US"/>
              </w:rPr>
              <w:t>67</w:t>
            </w:r>
          </w:p>
        </w:tc>
        <w:tc>
          <w:tcPr>
            <w:tcW w:w="696" w:type="dxa"/>
            <w:tcBorders>
              <w:top w:val="nil"/>
              <w:left w:val="single" w:sz="4" w:space="0" w:color="auto"/>
              <w:bottom w:val="nil"/>
              <w:right w:val="single" w:sz="4" w:space="0" w:color="auto"/>
            </w:tcBorders>
          </w:tcPr>
          <w:p w:rsidR="00000000" w:rsidRDefault="00000000">
            <w:pPr>
              <w:jc w:val="right"/>
              <w:rPr>
                <w:lang w:val="en-US"/>
              </w:rPr>
            </w:pPr>
            <w:r>
              <w:rPr>
                <w:lang w:val="en-US"/>
              </w:rPr>
              <w:t>68</w:t>
            </w:r>
          </w:p>
        </w:tc>
      </w:tr>
      <w:tr w:rsidR="00000000">
        <w:tblPrEx>
          <w:tblCellMar>
            <w:top w:w="0" w:type="dxa"/>
            <w:bottom w:w="0" w:type="dxa"/>
          </w:tblCellMar>
        </w:tblPrEx>
        <w:tc>
          <w:tcPr>
            <w:tcW w:w="5797" w:type="dxa"/>
            <w:tcBorders>
              <w:top w:val="nil"/>
              <w:left w:val="single" w:sz="4" w:space="0" w:color="auto"/>
              <w:right w:val="single" w:sz="4" w:space="0" w:color="auto"/>
            </w:tcBorders>
          </w:tcPr>
          <w:p w:rsidR="00000000" w:rsidRDefault="00000000">
            <w:r>
              <w:t>Мотоцикл</w:t>
            </w:r>
          </w:p>
        </w:tc>
        <w:tc>
          <w:tcPr>
            <w:tcW w:w="807" w:type="dxa"/>
            <w:tcBorders>
              <w:top w:val="nil"/>
              <w:left w:val="single" w:sz="4" w:space="0" w:color="auto"/>
              <w:right w:val="single" w:sz="4" w:space="0" w:color="auto"/>
            </w:tcBorders>
          </w:tcPr>
          <w:p w:rsidR="00000000" w:rsidRDefault="00000000">
            <w:pPr>
              <w:tabs>
                <w:tab w:val="clear" w:pos="567"/>
              </w:tabs>
              <w:jc w:val="right"/>
            </w:pPr>
            <w:r>
              <w:t>30</w:t>
            </w:r>
          </w:p>
        </w:tc>
        <w:tc>
          <w:tcPr>
            <w:tcW w:w="725" w:type="dxa"/>
            <w:tcBorders>
              <w:top w:val="nil"/>
              <w:left w:val="single" w:sz="4" w:space="0" w:color="auto"/>
              <w:right w:val="single" w:sz="4" w:space="0" w:color="auto"/>
            </w:tcBorders>
          </w:tcPr>
          <w:p w:rsidR="00000000" w:rsidRDefault="00000000">
            <w:pPr>
              <w:jc w:val="right"/>
            </w:pPr>
            <w:r>
              <w:t>28</w:t>
            </w:r>
          </w:p>
        </w:tc>
        <w:tc>
          <w:tcPr>
            <w:tcW w:w="725" w:type="dxa"/>
            <w:tcBorders>
              <w:top w:val="nil"/>
              <w:left w:val="single" w:sz="4" w:space="0" w:color="auto"/>
              <w:right w:val="single" w:sz="4" w:space="0" w:color="auto"/>
            </w:tcBorders>
          </w:tcPr>
          <w:p w:rsidR="00000000" w:rsidRDefault="00000000">
            <w:pPr>
              <w:jc w:val="right"/>
            </w:pPr>
            <w:r>
              <w:t>27</w:t>
            </w:r>
          </w:p>
        </w:tc>
        <w:tc>
          <w:tcPr>
            <w:tcW w:w="713" w:type="dxa"/>
            <w:tcBorders>
              <w:top w:val="nil"/>
              <w:left w:val="single" w:sz="4" w:space="0" w:color="auto"/>
              <w:right w:val="single" w:sz="4" w:space="0" w:color="auto"/>
            </w:tcBorders>
          </w:tcPr>
          <w:p w:rsidR="00000000" w:rsidRDefault="00000000">
            <w:pPr>
              <w:jc w:val="right"/>
            </w:pPr>
            <w:r>
              <w:t>27</w:t>
            </w:r>
          </w:p>
        </w:tc>
        <w:tc>
          <w:tcPr>
            <w:tcW w:w="696" w:type="dxa"/>
            <w:tcBorders>
              <w:top w:val="nil"/>
              <w:left w:val="single" w:sz="4" w:space="0" w:color="auto"/>
              <w:right w:val="single" w:sz="4" w:space="0" w:color="auto"/>
            </w:tcBorders>
          </w:tcPr>
          <w:p w:rsidR="00000000" w:rsidRDefault="00000000">
            <w:pPr>
              <w:jc w:val="right"/>
            </w:pPr>
            <w:r>
              <w:t>27</w:t>
            </w:r>
          </w:p>
        </w:tc>
      </w:tr>
    </w:tbl>
    <w:p w:rsidR="00000000" w:rsidRDefault="00000000"/>
    <w:p w:rsidR="00000000" w:rsidRDefault="00000000">
      <w:r>
        <w:tab/>
      </w:r>
      <w:r>
        <w:rPr>
          <w:u w:val="single"/>
        </w:rPr>
        <w:t>Источник</w:t>
      </w:r>
      <w:r>
        <w:t>:  Чешское статистическое бюро, 1999 год.</w:t>
      </w:r>
    </w:p>
    <w:p w:rsidR="00000000" w:rsidRDefault="00000000"/>
    <w:p w:rsidR="00000000" w:rsidRDefault="00000000"/>
    <w:p w:rsidR="00000000" w:rsidRDefault="00000000">
      <w:r>
        <w:t>410.</w:t>
      </w:r>
      <w:r>
        <w:tab/>
        <w:t>Общий уровень жизни населения Чешской Республики можно квалифицировать как удовлетворительный, в особенности по сравнению с другими странами, осуществляющими с 1990 года после проведения политических изменений процесс перехода к рыночной экономике.  Чешская Республика не рассчитывает индекс материального качества жизни и в настоящее время не планирует подготавливать его.</w:t>
      </w:r>
    </w:p>
    <w:p w:rsidR="00000000" w:rsidRDefault="00000000"/>
    <w:p w:rsidR="00000000" w:rsidRDefault="00000000">
      <w:pPr>
        <w:pStyle w:val="Heading1"/>
        <w:rPr>
          <w:b w:val="0"/>
          <w:i/>
          <w:iCs/>
        </w:rPr>
      </w:pPr>
      <w:r>
        <w:rPr>
          <w:b w:val="0"/>
          <w:i/>
          <w:iCs/>
        </w:rPr>
        <w:t>Право на достаточное питание</w:t>
      </w:r>
    </w:p>
    <w:p w:rsidR="00000000" w:rsidRDefault="00000000">
      <w:pPr>
        <w:pStyle w:val="Heading1"/>
        <w:rPr>
          <w:bCs/>
        </w:rPr>
      </w:pPr>
    </w:p>
    <w:p w:rsidR="00000000" w:rsidRDefault="00000000">
      <w:r>
        <w:t>411.</w:t>
      </w:r>
      <w:r>
        <w:tab/>
        <w:t>В Чешской Республике не существует проблемы голода, а скорее наоборот, и в этой связи необходимо поддерживать позитивные изменения в структуре потребления продовольствия населением страны.</w:t>
      </w:r>
    </w:p>
    <w:p w:rsidR="00000000" w:rsidRDefault="00000000">
      <w:pPr>
        <w:rPr>
          <w:lang w:val="en-US"/>
        </w:rPr>
      </w:pPr>
    </w:p>
    <w:p w:rsidR="00000000" w:rsidRDefault="00000000">
      <w:r>
        <w:t>412.</w:t>
      </w:r>
      <w:r>
        <w:tab/>
        <w:t xml:space="preserve">Объем и структура потребления продовольствия в Чешской Республике соответствуют потреблению основных групп продовольственных товаров в большинстве стран Европейского союза.  По сравнению с ЕС в стране отмечается в целом более высокое потребление зерновых и более высокое по сравнению со средним показателем потребление яиц и свинины.  С другой стороны, Чешская Республика не достигла среднеевропейского показателя в области потребления свежих овощей из умеренных зон, цитрусовых, овощей, сыров и птицы. </w:t>
      </w:r>
    </w:p>
    <w:p w:rsidR="00000000" w:rsidRDefault="00000000"/>
    <w:p w:rsidR="00000000" w:rsidRDefault="00000000">
      <w:pPr>
        <w:pStyle w:val="Heading1"/>
        <w:jc w:val="center"/>
        <w:rPr>
          <w:bCs/>
        </w:rPr>
      </w:pPr>
      <w:r>
        <w:rPr>
          <w:bCs/>
        </w:rPr>
        <w:t>Потребление отдельных видов продовольствия</w:t>
      </w:r>
    </w:p>
    <w:p w:rsidR="00000000" w:rsidRDefault="000000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41"/>
        <w:gridCol w:w="1122"/>
        <w:gridCol w:w="751"/>
        <w:gridCol w:w="744"/>
        <w:gridCol w:w="1506"/>
      </w:tblGrid>
      <w:tr w:rsidR="00000000">
        <w:tblPrEx>
          <w:tblCellMar>
            <w:top w:w="0" w:type="dxa"/>
            <w:bottom w:w="0" w:type="dxa"/>
          </w:tblCellMar>
        </w:tblPrEx>
        <w:tc>
          <w:tcPr>
            <w:tcW w:w="2799" w:type="pct"/>
            <w:tcBorders>
              <w:left w:val="single" w:sz="4" w:space="0" w:color="auto"/>
              <w:bottom w:val="single" w:sz="4" w:space="0" w:color="auto"/>
              <w:right w:val="single" w:sz="4" w:space="0" w:color="auto"/>
            </w:tcBorders>
            <w:vAlign w:val="center"/>
          </w:tcPr>
          <w:p w:rsidR="00000000" w:rsidRDefault="00000000">
            <w:pPr>
              <w:pStyle w:val="FootnoteText"/>
              <w:spacing w:line="216" w:lineRule="auto"/>
              <w:jc w:val="center"/>
            </w:pPr>
            <w:r>
              <w:t>Виды продовольствия</w:t>
            </w:r>
          </w:p>
        </w:tc>
        <w:tc>
          <w:tcPr>
            <w:tcW w:w="599" w:type="pct"/>
            <w:tcBorders>
              <w:left w:val="single" w:sz="4" w:space="0" w:color="auto"/>
              <w:bottom w:val="single" w:sz="4" w:space="0" w:color="auto"/>
              <w:right w:val="single" w:sz="4" w:space="0" w:color="auto"/>
            </w:tcBorders>
            <w:vAlign w:val="center"/>
          </w:tcPr>
          <w:p w:rsidR="00000000" w:rsidRDefault="00000000">
            <w:pPr>
              <w:pStyle w:val="10"/>
              <w:spacing w:line="216" w:lineRule="auto"/>
              <w:rPr>
                <w:b w:val="0"/>
              </w:rPr>
            </w:pPr>
            <w:r>
              <w:rPr>
                <w:b w:val="0"/>
              </w:rPr>
              <w:t>Единица</w:t>
            </w:r>
          </w:p>
        </w:tc>
        <w:tc>
          <w:tcPr>
            <w:tcW w:w="401" w:type="pct"/>
            <w:tcBorders>
              <w:left w:val="single" w:sz="4" w:space="0" w:color="auto"/>
              <w:bottom w:val="single" w:sz="4" w:space="0" w:color="auto"/>
              <w:right w:val="single" w:sz="4" w:space="0" w:color="auto"/>
            </w:tcBorders>
            <w:vAlign w:val="center"/>
          </w:tcPr>
          <w:p w:rsidR="00000000" w:rsidRDefault="00000000">
            <w:pPr>
              <w:spacing w:line="216" w:lineRule="auto"/>
              <w:jc w:val="center"/>
            </w:pPr>
            <w:r>
              <w:t>1992</w:t>
            </w:r>
          </w:p>
        </w:tc>
        <w:tc>
          <w:tcPr>
            <w:tcW w:w="397" w:type="pct"/>
            <w:tcBorders>
              <w:left w:val="single" w:sz="4" w:space="0" w:color="auto"/>
              <w:bottom w:val="single" w:sz="4" w:space="0" w:color="auto"/>
              <w:right w:val="single" w:sz="4" w:space="0" w:color="auto"/>
            </w:tcBorders>
            <w:vAlign w:val="center"/>
          </w:tcPr>
          <w:p w:rsidR="00000000" w:rsidRDefault="00000000">
            <w:pPr>
              <w:spacing w:line="216" w:lineRule="auto"/>
              <w:jc w:val="center"/>
            </w:pPr>
            <w:r>
              <w:t>1997</w:t>
            </w:r>
          </w:p>
        </w:tc>
        <w:tc>
          <w:tcPr>
            <w:tcW w:w="804" w:type="pct"/>
            <w:tcBorders>
              <w:left w:val="single" w:sz="4" w:space="0" w:color="auto"/>
              <w:bottom w:val="single" w:sz="4" w:space="0" w:color="auto"/>
              <w:right w:val="single" w:sz="4" w:space="0" w:color="auto"/>
            </w:tcBorders>
            <w:vAlign w:val="center"/>
          </w:tcPr>
          <w:p w:rsidR="00000000" w:rsidRDefault="00000000">
            <w:pPr>
              <w:spacing w:line="216" w:lineRule="auto"/>
              <w:jc w:val="center"/>
            </w:pPr>
            <w:r>
              <w:t>Соотношение 97/92</w:t>
            </w:r>
          </w:p>
        </w:tc>
      </w:tr>
      <w:tr w:rsidR="00000000">
        <w:tblPrEx>
          <w:tblCellMar>
            <w:top w:w="0" w:type="dxa"/>
            <w:bottom w:w="0" w:type="dxa"/>
          </w:tblCellMar>
        </w:tblPrEx>
        <w:tc>
          <w:tcPr>
            <w:tcW w:w="2799" w:type="pct"/>
            <w:tcBorders>
              <w:left w:val="single" w:sz="4" w:space="0" w:color="auto"/>
              <w:bottom w:val="nil"/>
              <w:right w:val="single" w:sz="4" w:space="0" w:color="auto"/>
            </w:tcBorders>
          </w:tcPr>
          <w:p w:rsidR="00000000" w:rsidRDefault="00000000">
            <w:r>
              <w:t>Мясо, всего</w:t>
            </w:r>
          </w:p>
        </w:tc>
        <w:tc>
          <w:tcPr>
            <w:tcW w:w="599" w:type="pct"/>
            <w:tcBorders>
              <w:left w:val="single" w:sz="4" w:space="0" w:color="auto"/>
              <w:bottom w:val="nil"/>
              <w:right w:val="single" w:sz="4" w:space="0" w:color="auto"/>
            </w:tcBorders>
          </w:tcPr>
          <w:p w:rsidR="00000000" w:rsidRDefault="00000000">
            <w:pPr>
              <w:pStyle w:val="16"/>
            </w:pPr>
            <w:r>
              <w:t>кг</w:t>
            </w:r>
          </w:p>
        </w:tc>
        <w:tc>
          <w:tcPr>
            <w:tcW w:w="401" w:type="pct"/>
            <w:tcBorders>
              <w:left w:val="single" w:sz="4" w:space="0" w:color="auto"/>
              <w:bottom w:val="nil"/>
              <w:right w:val="single" w:sz="4" w:space="0" w:color="auto"/>
            </w:tcBorders>
          </w:tcPr>
          <w:p w:rsidR="00000000" w:rsidRDefault="00000000">
            <w:pPr>
              <w:tabs>
                <w:tab w:val="clear" w:pos="567"/>
                <w:tab w:val="clear" w:pos="1134"/>
              </w:tabs>
              <w:jc w:val="right"/>
            </w:pPr>
            <w:r>
              <w:t>86,6</w:t>
            </w:r>
          </w:p>
        </w:tc>
        <w:tc>
          <w:tcPr>
            <w:tcW w:w="397" w:type="pct"/>
            <w:tcBorders>
              <w:left w:val="single" w:sz="4" w:space="0" w:color="auto"/>
              <w:bottom w:val="nil"/>
              <w:right w:val="single" w:sz="4" w:space="0" w:color="auto"/>
            </w:tcBorders>
          </w:tcPr>
          <w:p w:rsidR="00000000" w:rsidRDefault="00000000">
            <w:pPr>
              <w:tabs>
                <w:tab w:val="clear" w:pos="567"/>
                <w:tab w:val="clear" w:pos="1134"/>
              </w:tabs>
              <w:jc w:val="right"/>
            </w:pPr>
            <w:r>
              <w:t>81,5</w:t>
            </w:r>
          </w:p>
        </w:tc>
        <w:tc>
          <w:tcPr>
            <w:tcW w:w="804" w:type="pct"/>
            <w:tcBorders>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94,1</w:t>
            </w:r>
          </w:p>
        </w:tc>
      </w:tr>
      <w:tr w:rsidR="00000000">
        <w:tblPrEx>
          <w:tblCellMar>
            <w:top w:w="0" w:type="dxa"/>
            <w:bottom w:w="0" w:type="dxa"/>
          </w:tblCellMar>
        </w:tblPrEx>
        <w:tc>
          <w:tcPr>
            <w:tcW w:w="2799" w:type="pct"/>
            <w:tcBorders>
              <w:top w:val="nil"/>
              <w:left w:val="single" w:sz="4" w:space="0" w:color="auto"/>
              <w:bottom w:val="nil"/>
              <w:right w:val="single" w:sz="4" w:space="0" w:color="auto"/>
            </w:tcBorders>
          </w:tcPr>
          <w:p w:rsidR="00000000" w:rsidRDefault="00000000">
            <w:r>
              <w:t>Рыба, всего</w:t>
            </w:r>
          </w:p>
        </w:tc>
        <w:tc>
          <w:tcPr>
            <w:tcW w:w="599" w:type="pct"/>
            <w:tcBorders>
              <w:top w:val="nil"/>
              <w:left w:val="single" w:sz="4" w:space="0" w:color="auto"/>
              <w:bottom w:val="nil"/>
              <w:right w:val="single" w:sz="4" w:space="0" w:color="auto"/>
            </w:tcBorders>
          </w:tcPr>
          <w:p w:rsidR="00000000" w:rsidRDefault="00000000">
            <w:pPr>
              <w:jc w:val="center"/>
            </w:pPr>
            <w:r>
              <w:t>кг</w:t>
            </w:r>
          </w:p>
        </w:tc>
        <w:tc>
          <w:tcPr>
            <w:tcW w:w="401" w:type="pct"/>
            <w:tcBorders>
              <w:top w:val="nil"/>
              <w:left w:val="single" w:sz="4" w:space="0" w:color="auto"/>
              <w:bottom w:val="nil"/>
              <w:right w:val="single" w:sz="4" w:space="0" w:color="auto"/>
            </w:tcBorders>
          </w:tcPr>
          <w:p w:rsidR="00000000" w:rsidRDefault="00000000">
            <w:pPr>
              <w:tabs>
                <w:tab w:val="clear" w:pos="567"/>
                <w:tab w:val="clear" w:pos="1134"/>
              </w:tabs>
              <w:jc w:val="right"/>
            </w:pPr>
            <w:r>
              <w:t>4,6</w:t>
            </w:r>
          </w:p>
        </w:tc>
        <w:tc>
          <w:tcPr>
            <w:tcW w:w="397" w:type="pct"/>
            <w:tcBorders>
              <w:top w:val="nil"/>
              <w:left w:val="single" w:sz="4" w:space="0" w:color="auto"/>
              <w:bottom w:val="nil"/>
              <w:right w:val="single" w:sz="4" w:space="0" w:color="auto"/>
            </w:tcBorders>
          </w:tcPr>
          <w:p w:rsidR="00000000" w:rsidRDefault="00000000">
            <w:pPr>
              <w:tabs>
                <w:tab w:val="clear" w:pos="567"/>
                <w:tab w:val="clear" w:pos="1134"/>
              </w:tabs>
              <w:jc w:val="right"/>
            </w:pPr>
            <w:r>
              <w:t>5,5</w:t>
            </w:r>
          </w:p>
        </w:tc>
        <w:tc>
          <w:tcPr>
            <w:tcW w:w="804" w:type="pct"/>
            <w:tcBorders>
              <w:top w:val="nil"/>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119,6</w:t>
            </w:r>
          </w:p>
        </w:tc>
      </w:tr>
      <w:tr w:rsidR="00000000">
        <w:tblPrEx>
          <w:tblCellMar>
            <w:top w:w="0" w:type="dxa"/>
            <w:bottom w:w="0" w:type="dxa"/>
          </w:tblCellMar>
        </w:tblPrEx>
        <w:tc>
          <w:tcPr>
            <w:tcW w:w="2799" w:type="pct"/>
            <w:tcBorders>
              <w:top w:val="nil"/>
              <w:left w:val="single" w:sz="4" w:space="0" w:color="auto"/>
              <w:bottom w:val="nil"/>
              <w:right w:val="single" w:sz="4" w:space="0" w:color="auto"/>
            </w:tcBorders>
          </w:tcPr>
          <w:p w:rsidR="00000000" w:rsidRDefault="00000000">
            <w:pPr>
              <w:pStyle w:val="FootnoteText"/>
              <w:tabs>
                <w:tab w:val="left" w:pos="284"/>
              </w:tabs>
              <w:ind w:left="284" w:hanging="284"/>
            </w:pPr>
            <w:r>
              <w:t>Молоко и молочные продукты (за исключением масла)</w:t>
            </w:r>
          </w:p>
        </w:tc>
        <w:tc>
          <w:tcPr>
            <w:tcW w:w="599" w:type="pct"/>
            <w:tcBorders>
              <w:top w:val="nil"/>
              <w:left w:val="single" w:sz="4" w:space="0" w:color="auto"/>
              <w:bottom w:val="nil"/>
              <w:right w:val="single" w:sz="4" w:space="0" w:color="auto"/>
            </w:tcBorders>
          </w:tcPr>
          <w:p w:rsidR="00000000" w:rsidRDefault="00000000">
            <w:pPr>
              <w:jc w:val="center"/>
            </w:pPr>
            <w:r>
              <w:t>литр</w:t>
            </w:r>
          </w:p>
        </w:tc>
        <w:tc>
          <w:tcPr>
            <w:tcW w:w="401" w:type="pct"/>
            <w:tcBorders>
              <w:top w:val="nil"/>
              <w:left w:val="single" w:sz="4" w:space="0" w:color="auto"/>
              <w:bottom w:val="nil"/>
              <w:right w:val="single" w:sz="4" w:space="0" w:color="auto"/>
            </w:tcBorders>
          </w:tcPr>
          <w:p w:rsidR="00000000" w:rsidRDefault="00000000">
            <w:pPr>
              <w:tabs>
                <w:tab w:val="clear" w:pos="567"/>
                <w:tab w:val="clear" w:pos="1134"/>
              </w:tabs>
              <w:jc w:val="right"/>
            </w:pPr>
            <w:r>
              <w:t>208,0</w:t>
            </w:r>
          </w:p>
        </w:tc>
        <w:tc>
          <w:tcPr>
            <w:tcW w:w="397" w:type="pct"/>
            <w:tcBorders>
              <w:top w:val="nil"/>
              <w:left w:val="single" w:sz="4" w:space="0" w:color="auto"/>
              <w:bottom w:val="nil"/>
              <w:right w:val="single" w:sz="4" w:space="0" w:color="auto"/>
            </w:tcBorders>
          </w:tcPr>
          <w:p w:rsidR="00000000" w:rsidRDefault="00000000">
            <w:pPr>
              <w:tabs>
                <w:tab w:val="clear" w:pos="567"/>
                <w:tab w:val="clear" w:pos="1134"/>
              </w:tabs>
              <w:jc w:val="right"/>
            </w:pPr>
            <w:r>
              <w:t>189,5</w:t>
            </w:r>
          </w:p>
        </w:tc>
        <w:tc>
          <w:tcPr>
            <w:tcW w:w="804" w:type="pct"/>
            <w:tcBorders>
              <w:top w:val="nil"/>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91,1</w:t>
            </w:r>
          </w:p>
        </w:tc>
      </w:tr>
      <w:tr w:rsidR="00000000">
        <w:tblPrEx>
          <w:tblCellMar>
            <w:top w:w="0" w:type="dxa"/>
            <w:bottom w:w="0" w:type="dxa"/>
          </w:tblCellMar>
        </w:tblPrEx>
        <w:tc>
          <w:tcPr>
            <w:tcW w:w="2799" w:type="pct"/>
            <w:tcBorders>
              <w:top w:val="nil"/>
              <w:left w:val="single" w:sz="4" w:space="0" w:color="auto"/>
              <w:bottom w:val="nil"/>
              <w:right w:val="single" w:sz="4" w:space="0" w:color="auto"/>
            </w:tcBorders>
          </w:tcPr>
          <w:p w:rsidR="00000000" w:rsidRDefault="00000000">
            <w:r>
              <w:t>Яйца</w:t>
            </w:r>
          </w:p>
        </w:tc>
        <w:tc>
          <w:tcPr>
            <w:tcW w:w="599" w:type="pct"/>
            <w:tcBorders>
              <w:top w:val="nil"/>
              <w:left w:val="single" w:sz="4" w:space="0" w:color="auto"/>
              <w:bottom w:val="nil"/>
              <w:right w:val="single" w:sz="4" w:space="0" w:color="auto"/>
            </w:tcBorders>
          </w:tcPr>
          <w:p w:rsidR="00000000" w:rsidRDefault="00000000">
            <w:pPr>
              <w:jc w:val="center"/>
            </w:pPr>
            <w:r>
              <w:t>штука</w:t>
            </w:r>
          </w:p>
        </w:tc>
        <w:tc>
          <w:tcPr>
            <w:tcW w:w="401" w:type="pct"/>
            <w:tcBorders>
              <w:top w:val="nil"/>
              <w:left w:val="single" w:sz="4" w:space="0" w:color="auto"/>
              <w:bottom w:val="nil"/>
              <w:right w:val="single" w:sz="4" w:space="0" w:color="auto"/>
            </w:tcBorders>
          </w:tcPr>
          <w:p w:rsidR="00000000" w:rsidRDefault="00000000">
            <w:pPr>
              <w:tabs>
                <w:tab w:val="clear" w:pos="567"/>
                <w:tab w:val="clear" w:pos="1134"/>
              </w:tabs>
              <w:jc w:val="right"/>
            </w:pPr>
            <w:r>
              <w:t>328,0</w:t>
            </w:r>
          </w:p>
        </w:tc>
        <w:tc>
          <w:tcPr>
            <w:tcW w:w="397" w:type="pct"/>
            <w:tcBorders>
              <w:top w:val="nil"/>
              <w:left w:val="single" w:sz="4" w:space="0" w:color="auto"/>
              <w:bottom w:val="nil"/>
              <w:right w:val="single" w:sz="4" w:space="0" w:color="auto"/>
            </w:tcBorders>
          </w:tcPr>
          <w:p w:rsidR="00000000" w:rsidRDefault="00000000">
            <w:pPr>
              <w:tabs>
                <w:tab w:val="clear" w:pos="567"/>
                <w:tab w:val="clear" w:pos="1134"/>
              </w:tabs>
              <w:jc w:val="right"/>
            </w:pPr>
            <w:r>
              <w:t>311,0</w:t>
            </w:r>
          </w:p>
        </w:tc>
        <w:tc>
          <w:tcPr>
            <w:tcW w:w="804" w:type="pct"/>
            <w:tcBorders>
              <w:top w:val="nil"/>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94,8</w:t>
            </w:r>
          </w:p>
        </w:tc>
      </w:tr>
      <w:tr w:rsidR="00000000">
        <w:tblPrEx>
          <w:tblCellMar>
            <w:top w:w="0" w:type="dxa"/>
            <w:bottom w:w="0" w:type="dxa"/>
          </w:tblCellMar>
        </w:tblPrEx>
        <w:tc>
          <w:tcPr>
            <w:tcW w:w="2799" w:type="pct"/>
            <w:tcBorders>
              <w:top w:val="nil"/>
              <w:left w:val="single" w:sz="4" w:space="0" w:color="auto"/>
              <w:bottom w:val="nil"/>
              <w:right w:val="single" w:sz="4" w:space="0" w:color="auto"/>
            </w:tcBorders>
          </w:tcPr>
          <w:p w:rsidR="00000000" w:rsidRDefault="00000000">
            <w:r>
              <w:t>Жиры, всего</w:t>
            </w:r>
          </w:p>
        </w:tc>
        <w:tc>
          <w:tcPr>
            <w:tcW w:w="599" w:type="pct"/>
            <w:tcBorders>
              <w:top w:val="nil"/>
              <w:left w:val="single" w:sz="4" w:space="0" w:color="auto"/>
              <w:bottom w:val="nil"/>
              <w:right w:val="single" w:sz="4" w:space="0" w:color="auto"/>
            </w:tcBorders>
          </w:tcPr>
          <w:p w:rsidR="00000000" w:rsidRDefault="00000000">
            <w:pPr>
              <w:jc w:val="center"/>
            </w:pPr>
            <w:r>
              <w:t>кг</w:t>
            </w:r>
          </w:p>
        </w:tc>
        <w:tc>
          <w:tcPr>
            <w:tcW w:w="401" w:type="pct"/>
            <w:tcBorders>
              <w:top w:val="nil"/>
              <w:left w:val="single" w:sz="4" w:space="0" w:color="auto"/>
              <w:bottom w:val="nil"/>
              <w:right w:val="single" w:sz="4" w:space="0" w:color="auto"/>
            </w:tcBorders>
          </w:tcPr>
          <w:p w:rsidR="00000000" w:rsidRDefault="00000000">
            <w:pPr>
              <w:tabs>
                <w:tab w:val="clear" w:pos="567"/>
                <w:tab w:val="clear" w:pos="1134"/>
              </w:tabs>
              <w:jc w:val="right"/>
            </w:pPr>
            <w:r>
              <w:t>26,4</w:t>
            </w:r>
          </w:p>
        </w:tc>
        <w:tc>
          <w:tcPr>
            <w:tcW w:w="397" w:type="pct"/>
            <w:tcBorders>
              <w:top w:val="nil"/>
              <w:left w:val="single" w:sz="4" w:space="0" w:color="auto"/>
              <w:bottom w:val="nil"/>
              <w:right w:val="single" w:sz="4" w:space="0" w:color="auto"/>
            </w:tcBorders>
          </w:tcPr>
          <w:p w:rsidR="00000000" w:rsidRDefault="00000000">
            <w:pPr>
              <w:tabs>
                <w:tab w:val="clear" w:pos="567"/>
                <w:tab w:val="clear" w:pos="1134"/>
              </w:tabs>
              <w:jc w:val="right"/>
            </w:pPr>
            <w:r>
              <w:t>25,5</w:t>
            </w:r>
          </w:p>
        </w:tc>
        <w:tc>
          <w:tcPr>
            <w:tcW w:w="804" w:type="pct"/>
            <w:tcBorders>
              <w:top w:val="nil"/>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96,6</w:t>
            </w:r>
          </w:p>
        </w:tc>
      </w:tr>
      <w:tr w:rsidR="00000000">
        <w:tblPrEx>
          <w:tblCellMar>
            <w:top w:w="0" w:type="dxa"/>
            <w:bottom w:w="0" w:type="dxa"/>
          </w:tblCellMar>
        </w:tblPrEx>
        <w:tc>
          <w:tcPr>
            <w:tcW w:w="2799" w:type="pct"/>
            <w:tcBorders>
              <w:top w:val="nil"/>
              <w:left w:val="single" w:sz="4" w:space="0" w:color="auto"/>
              <w:bottom w:val="nil"/>
              <w:right w:val="single" w:sz="4" w:space="0" w:color="auto"/>
            </w:tcBorders>
          </w:tcPr>
          <w:p w:rsidR="00000000" w:rsidRDefault="00000000">
            <w:pPr>
              <w:pStyle w:val="FootnoteText"/>
              <w:tabs>
                <w:tab w:val="left" w:pos="284"/>
              </w:tabs>
              <w:ind w:left="284"/>
            </w:pPr>
            <w:r>
              <w:t>в том числе пищевые жиры и масла овощного происхождения</w:t>
            </w:r>
          </w:p>
        </w:tc>
        <w:tc>
          <w:tcPr>
            <w:tcW w:w="599" w:type="pct"/>
            <w:tcBorders>
              <w:top w:val="nil"/>
              <w:left w:val="single" w:sz="4" w:space="0" w:color="auto"/>
              <w:bottom w:val="nil"/>
              <w:right w:val="single" w:sz="4" w:space="0" w:color="auto"/>
            </w:tcBorders>
          </w:tcPr>
          <w:p w:rsidR="00000000" w:rsidRDefault="00000000">
            <w:pPr>
              <w:jc w:val="center"/>
            </w:pPr>
            <w:r>
              <w:t>кг</w:t>
            </w:r>
          </w:p>
        </w:tc>
        <w:tc>
          <w:tcPr>
            <w:tcW w:w="401" w:type="pct"/>
            <w:tcBorders>
              <w:top w:val="nil"/>
              <w:left w:val="single" w:sz="4" w:space="0" w:color="auto"/>
              <w:bottom w:val="nil"/>
              <w:right w:val="single" w:sz="4" w:space="0" w:color="auto"/>
            </w:tcBorders>
          </w:tcPr>
          <w:p w:rsidR="00000000" w:rsidRDefault="00000000">
            <w:pPr>
              <w:tabs>
                <w:tab w:val="clear" w:pos="567"/>
                <w:tab w:val="clear" w:pos="1134"/>
              </w:tabs>
              <w:jc w:val="right"/>
            </w:pPr>
            <w:r>
              <w:t>13,8</w:t>
            </w:r>
          </w:p>
        </w:tc>
        <w:tc>
          <w:tcPr>
            <w:tcW w:w="397" w:type="pct"/>
            <w:tcBorders>
              <w:top w:val="nil"/>
              <w:left w:val="single" w:sz="4" w:space="0" w:color="auto"/>
              <w:bottom w:val="nil"/>
              <w:right w:val="single" w:sz="4" w:space="0" w:color="auto"/>
            </w:tcBorders>
          </w:tcPr>
          <w:p w:rsidR="00000000" w:rsidRDefault="00000000">
            <w:pPr>
              <w:tabs>
                <w:tab w:val="clear" w:pos="567"/>
                <w:tab w:val="clear" w:pos="1134"/>
              </w:tabs>
              <w:jc w:val="right"/>
            </w:pPr>
            <w:r>
              <w:t>16,2</w:t>
            </w:r>
          </w:p>
        </w:tc>
        <w:tc>
          <w:tcPr>
            <w:tcW w:w="804" w:type="pct"/>
            <w:tcBorders>
              <w:top w:val="nil"/>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117,4</w:t>
            </w:r>
          </w:p>
        </w:tc>
      </w:tr>
      <w:tr w:rsidR="00000000">
        <w:tblPrEx>
          <w:tblCellMar>
            <w:top w:w="0" w:type="dxa"/>
            <w:bottom w:w="0" w:type="dxa"/>
          </w:tblCellMar>
        </w:tblPrEx>
        <w:tc>
          <w:tcPr>
            <w:tcW w:w="2799" w:type="pct"/>
            <w:tcBorders>
              <w:top w:val="nil"/>
              <w:left w:val="single" w:sz="4" w:space="0" w:color="auto"/>
              <w:bottom w:val="nil"/>
              <w:right w:val="single" w:sz="4" w:space="0" w:color="auto"/>
            </w:tcBorders>
          </w:tcPr>
          <w:p w:rsidR="00000000" w:rsidRDefault="00000000">
            <w:r>
              <w:t>Рафинированный сахар</w:t>
            </w:r>
          </w:p>
        </w:tc>
        <w:tc>
          <w:tcPr>
            <w:tcW w:w="599" w:type="pct"/>
            <w:tcBorders>
              <w:top w:val="nil"/>
              <w:left w:val="single" w:sz="4" w:space="0" w:color="auto"/>
              <w:bottom w:val="nil"/>
              <w:right w:val="single" w:sz="4" w:space="0" w:color="auto"/>
            </w:tcBorders>
          </w:tcPr>
          <w:p w:rsidR="00000000" w:rsidRDefault="00000000">
            <w:pPr>
              <w:jc w:val="center"/>
            </w:pPr>
            <w:r>
              <w:t>кг</w:t>
            </w:r>
          </w:p>
        </w:tc>
        <w:tc>
          <w:tcPr>
            <w:tcW w:w="401" w:type="pct"/>
            <w:tcBorders>
              <w:top w:val="nil"/>
              <w:left w:val="single" w:sz="4" w:space="0" w:color="auto"/>
              <w:bottom w:val="nil"/>
              <w:right w:val="single" w:sz="4" w:space="0" w:color="auto"/>
            </w:tcBorders>
          </w:tcPr>
          <w:p w:rsidR="00000000" w:rsidRDefault="00000000">
            <w:pPr>
              <w:tabs>
                <w:tab w:val="clear" w:pos="567"/>
                <w:tab w:val="clear" w:pos="1134"/>
              </w:tabs>
              <w:jc w:val="right"/>
            </w:pPr>
            <w:r>
              <w:t>39,5</w:t>
            </w:r>
          </w:p>
        </w:tc>
        <w:tc>
          <w:tcPr>
            <w:tcW w:w="397" w:type="pct"/>
            <w:tcBorders>
              <w:top w:val="nil"/>
              <w:left w:val="single" w:sz="4" w:space="0" w:color="auto"/>
              <w:bottom w:val="nil"/>
              <w:right w:val="single" w:sz="4" w:space="0" w:color="auto"/>
            </w:tcBorders>
          </w:tcPr>
          <w:p w:rsidR="00000000" w:rsidRDefault="00000000">
            <w:pPr>
              <w:tabs>
                <w:tab w:val="clear" w:pos="567"/>
                <w:tab w:val="clear" w:pos="1134"/>
              </w:tabs>
              <w:jc w:val="right"/>
            </w:pPr>
            <w:r>
              <w:t>39,1</w:t>
            </w:r>
          </w:p>
        </w:tc>
        <w:tc>
          <w:tcPr>
            <w:tcW w:w="804" w:type="pct"/>
            <w:tcBorders>
              <w:top w:val="nil"/>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99,0</w:t>
            </w:r>
          </w:p>
        </w:tc>
      </w:tr>
      <w:tr w:rsidR="00000000">
        <w:tblPrEx>
          <w:tblCellMar>
            <w:top w:w="0" w:type="dxa"/>
            <w:bottom w:w="0" w:type="dxa"/>
          </w:tblCellMar>
        </w:tblPrEx>
        <w:tc>
          <w:tcPr>
            <w:tcW w:w="2799" w:type="pct"/>
            <w:tcBorders>
              <w:top w:val="nil"/>
              <w:left w:val="single" w:sz="4" w:space="0" w:color="auto"/>
              <w:bottom w:val="nil"/>
              <w:right w:val="single" w:sz="4" w:space="0" w:color="auto"/>
            </w:tcBorders>
          </w:tcPr>
          <w:p w:rsidR="00000000" w:rsidRDefault="00000000">
            <w:r>
              <w:t>Зерновые, включая рис</w:t>
            </w:r>
          </w:p>
        </w:tc>
        <w:tc>
          <w:tcPr>
            <w:tcW w:w="599" w:type="pct"/>
            <w:tcBorders>
              <w:top w:val="nil"/>
              <w:left w:val="single" w:sz="4" w:space="0" w:color="auto"/>
              <w:bottom w:val="nil"/>
              <w:right w:val="single" w:sz="4" w:space="0" w:color="auto"/>
            </w:tcBorders>
          </w:tcPr>
          <w:p w:rsidR="00000000" w:rsidRDefault="00000000">
            <w:pPr>
              <w:jc w:val="center"/>
            </w:pPr>
            <w:r>
              <w:t>кг</w:t>
            </w:r>
          </w:p>
        </w:tc>
        <w:tc>
          <w:tcPr>
            <w:tcW w:w="401" w:type="pct"/>
            <w:tcBorders>
              <w:top w:val="nil"/>
              <w:left w:val="single" w:sz="4" w:space="0" w:color="auto"/>
              <w:bottom w:val="nil"/>
              <w:right w:val="single" w:sz="4" w:space="0" w:color="auto"/>
            </w:tcBorders>
          </w:tcPr>
          <w:p w:rsidR="00000000" w:rsidRDefault="00000000">
            <w:pPr>
              <w:tabs>
                <w:tab w:val="clear" w:pos="567"/>
                <w:tab w:val="clear" w:pos="1134"/>
              </w:tabs>
              <w:jc w:val="right"/>
            </w:pPr>
            <w:r>
              <w:t>117,2</w:t>
            </w:r>
          </w:p>
        </w:tc>
        <w:tc>
          <w:tcPr>
            <w:tcW w:w="397" w:type="pct"/>
            <w:tcBorders>
              <w:top w:val="nil"/>
              <w:left w:val="single" w:sz="4" w:space="0" w:color="auto"/>
              <w:bottom w:val="nil"/>
              <w:right w:val="single" w:sz="4" w:space="0" w:color="auto"/>
            </w:tcBorders>
          </w:tcPr>
          <w:p w:rsidR="00000000" w:rsidRDefault="00000000">
            <w:pPr>
              <w:tabs>
                <w:tab w:val="clear" w:pos="567"/>
                <w:tab w:val="clear" w:pos="1134"/>
              </w:tabs>
              <w:jc w:val="right"/>
            </w:pPr>
            <w:r>
              <w:t>107,9</w:t>
            </w:r>
          </w:p>
        </w:tc>
        <w:tc>
          <w:tcPr>
            <w:tcW w:w="804" w:type="pct"/>
            <w:tcBorders>
              <w:top w:val="nil"/>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92,1</w:t>
            </w:r>
          </w:p>
        </w:tc>
      </w:tr>
      <w:tr w:rsidR="00000000">
        <w:tblPrEx>
          <w:tblCellMar>
            <w:top w:w="0" w:type="dxa"/>
            <w:bottom w:w="0" w:type="dxa"/>
          </w:tblCellMar>
        </w:tblPrEx>
        <w:tc>
          <w:tcPr>
            <w:tcW w:w="2799" w:type="pct"/>
            <w:tcBorders>
              <w:top w:val="nil"/>
              <w:left w:val="single" w:sz="4" w:space="0" w:color="auto"/>
              <w:bottom w:val="nil"/>
              <w:right w:val="single" w:sz="4" w:space="0" w:color="auto"/>
            </w:tcBorders>
          </w:tcPr>
          <w:p w:rsidR="00000000" w:rsidRDefault="00000000">
            <w:r>
              <w:t>Картофель</w:t>
            </w:r>
          </w:p>
        </w:tc>
        <w:tc>
          <w:tcPr>
            <w:tcW w:w="599" w:type="pct"/>
            <w:tcBorders>
              <w:top w:val="nil"/>
              <w:left w:val="single" w:sz="4" w:space="0" w:color="auto"/>
              <w:bottom w:val="nil"/>
              <w:right w:val="single" w:sz="4" w:space="0" w:color="auto"/>
            </w:tcBorders>
          </w:tcPr>
          <w:p w:rsidR="00000000" w:rsidRDefault="00000000">
            <w:pPr>
              <w:jc w:val="center"/>
            </w:pPr>
            <w:r>
              <w:t>кг</w:t>
            </w:r>
          </w:p>
        </w:tc>
        <w:tc>
          <w:tcPr>
            <w:tcW w:w="401" w:type="pct"/>
            <w:tcBorders>
              <w:top w:val="nil"/>
              <w:left w:val="single" w:sz="4" w:space="0" w:color="auto"/>
              <w:bottom w:val="nil"/>
              <w:right w:val="single" w:sz="4" w:space="0" w:color="auto"/>
            </w:tcBorders>
          </w:tcPr>
          <w:p w:rsidR="00000000" w:rsidRDefault="00000000">
            <w:pPr>
              <w:tabs>
                <w:tab w:val="clear" w:pos="567"/>
                <w:tab w:val="clear" w:pos="1134"/>
              </w:tabs>
              <w:jc w:val="right"/>
            </w:pPr>
            <w:r>
              <w:t>84,1</w:t>
            </w:r>
          </w:p>
        </w:tc>
        <w:tc>
          <w:tcPr>
            <w:tcW w:w="397" w:type="pct"/>
            <w:tcBorders>
              <w:top w:val="nil"/>
              <w:left w:val="single" w:sz="4" w:space="0" w:color="auto"/>
              <w:bottom w:val="nil"/>
              <w:right w:val="single" w:sz="4" w:space="0" w:color="auto"/>
            </w:tcBorders>
          </w:tcPr>
          <w:p w:rsidR="00000000" w:rsidRDefault="00000000">
            <w:pPr>
              <w:tabs>
                <w:tab w:val="clear" w:pos="567"/>
                <w:tab w:val="clear" w:pos="1134"/>
              </w:tabs>
              <w:jc w:val="right"/>
            </w:pPr>
            <w:r>
              <w:t>76,0</w:t>
            </w:r>
          </w:p>
        </w:tc>
        <w:tc>
          <w:tcPr>
            <w:tcW w:w="804" w:type="pct"/>
            <w:tcBorders>
              <w:top w:val="nil"/>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90,4</w:t>
            </w:r>
          </w:p>
        </w:tc>
      </w:tr>
      <w:tr w:rsidR="00000000">
        <w:tblPrEx>
          <w:tblCellMar>
            <w:top w:w="0" w:type="dxa"/>
            <w:bottom w:w="0" w:type="dxa"/>
          </w:tblCellMar>
        </w:tblPrEx>
        <w:tc>
          <w:tcPr>
            <w:tcW w:w="2799" w:type="pct"/>
            <w:tcBorders>
              <w:top w:val="nil"/>
              <w:left w:val="single" w:sz="4" w:space="0" w:color="auto"/>
              <w:bottom w:val="nil"/>
              <w:right w:val="single" w:sz="4" w:space="0" w:color="auto"/>
            </w:tcBorders>
          </w:tcPr>
          <w:p w:rsidR="00000000" w:rsidRDefault="00000000">
            <w:r>
              <w:t>Овощи</w:t>
            </w:r>
          </w:p>
        </w:tc>
        <w:tc>
          <w:tcPr>
            <w:tcW w:w="599" w:type="pct"/>
            <w:tcBorders>
              <w:top w:val="nil"/>
              <w:left w:val="single" w:sz="4" w:space="0" w:color="auto"/>
              <w:bottom w:val="nil"/>
              <w:right w:val="single" w:sz="4" w:space="0" w:color="auto"/>
            </w:tcBorders>
          </w:tcPr>
          <w:p w:rsidR="00000000" w:rsidRDefault="00000000">
            <w:pPr>
              <w:jc w:val="center"/>
            </w:pPr>
            <w:r>
              <w:t>кг</w:t>
            </w:r>
          </w:p>
        </w:tc>
        <w:tc>
          <w:tcPr>
            <w:tcW w:w="401" w:type="pct"/>
            <w:tcBorders>
              <w:top w:val="nil"/>
              <w:left w:val="single" w:sz="4" w:space="0" w:color="auto"/>
              <w:bottom w:val="nil"/>
              <w:right w:val="single" w:sz="4" w:space="0" w:color="auto"/>
            </w:tcBorders>
          </w:tcPr>
          <w:p w:rsidR="00000000" w:rsidRDefault="00000000">
            <w:pPr>
              <w:tabs>
                <w:tab w:val="clear" w:pos="567"/>
                <w:tab w:val="clear" w:pos="1134"/>
              </w:tabs>
              <w:jc w:val="right"/>
            </w:pPr>
            <w:r>
              <w:t>69,7</w:t>
            </w:r>
          </w:p>
        </w:tc>
        <w:tc>
          <w:tcPr>
            <w:tcW w:w="397" w:type="pct"/>
            <w:tcBorders>
              <w:top w:val="nil"/>
              <w:left w:val="single" w:sz="4" w:space="0" w:color="auto"/>
              <w:bottom w:val="nil"/>
              <w:right w:val="single" w:sz="4" w:space="0" w:color="auto"/>
            </w:tcBorders>
          </w:tcPr>
          <w:p w:rsidR="00000000" w:rsidRDefault="00000000">
            <w:pPr>
              <w:tabs>
                <w:tab w:val="clear" w:pos="567"/>
                <w:tab w:val="clear" w:pos="1134"/>
              </w:tabs>
              <w:jc w:val="right"/>
            </w:pPr>
            <w:r>
              <w:t>81,1</w:t>
            </w:r>
          </w:p>
        </w:tc>
        <w:tc>
          <w:tcPr>
            <w:tcW w:w="804" w:type="pct"/>
            <w:tcBorders>
              <w:top w:val="nil"/>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116,4</w:t>
            </w:r>
          </w:p>
        </w:tc>
      </w:tr>
      <w:tr w:rsidR="00000000">
        <w:tblPrEx>
          <w:tblCellMar>
            <w:top w:w="0" w:type="dxa"/>
            <w:bottom w:w="0" w:type="dxa"/>
          </w:tblCellMar>
        </w:tblPrEx>
        <w:tc>
          <w:tcPr>
            <w:tcW w:w="2799" w:type="pct"/>
            <w:tcBorders>
              <w:top w:val="nil"/>
              <w:left w:val="single" w:sz="4" w:space="0" w:color="auto"/>
              <w:bottom w:val="nil"/>
              <w:right w:val="single" w:sz="4" w:space="0" w:color="auto"/>
            </w:tcBorders>
          </w:tcPr>
          <w:p w:rsidR="00000000" w:rsidRDefault="00000000">
            <w:r>
              <w:t>Фрукты, всего</w:t>
            </w:r>
          </w:p>
        </w:tc>
        <w:tc>
          <w:tcPr>
            <w:tcW w:w="599" w:type="pct"/>
            <w:tcBorders>
              <w:top w:val="nil"/>
              <w:left w:val="single" w:sz="4" w:space="0" w:color="auto"/>
              <w:bottom w:val="nil"/>
              <w:right w:val="single" w:sz="4" w:space="0" w:color="auto"/>
            </w:tcBorders>
          </w:tcPr>
          <w:p w:rsidR="00000000" w:rsidRDefault="00000000">
            <w:pPr>
              <w:jc w:val="center"/>
            </w:pPr>
            <w:r>
              <w:t>кг</w:t>
            </w:r>
          </w:p>
        </w:tc>
        <w:tc>
          <w:tcPr>
            <w:tcW w:w="401" w:type="pct"/>
            <w:tcBorders>
              <w:top w:val="nil"/>
              <w:left w:val="single" w:sz="4" w:space="0" w:color="auto"/>
              <w:bottom w:val="nil"/>
              <w:right w:val="single" w:sz="4" w:space="0" w:color="auto"/>
            </w:tcBorders>
          </w:tcPr>
          <w:p w:rsidR="00000000" w:rsidRDefault="00000000">
            <w:pPr>
              <w:tabs>
                <w:tab w:val="clear" w:pos="567"/>
                <w:tab w:val="clear" w:pos="1134"/>
              </w:tabs>
              <w:jc w:val="right"/>
            </w:pPr>
            <w:r>
              <w:t>69,5</w:t>
            </w:r>
          </w:p>
        </w:tc>
        <w:tc>
          <w:tcPr>
            <w:tcW w:w="397" w:type="pct"/>
            <w:tcBorders>
              <w:top w:val="nil"/>
              <w:left w:val="single" w:sz="4" w:space="0" w:color="auto"/>
              <w:bottom w:val="nil"/>
              <w:right w:val="single" w:sz="4" w:space="0" w:color="auto"/>
            </w:tcBorders>
          </w:tcPr>
          <w:p w:rsidR="00000000" w:rsidRDefault="00000000">
            <w:pPr>
              <w:tabs>
                <w:tab w:val="clear" w:pos="567"/>
                <w:tab w:val="clear" w:pos="1134"/>
              </w:tabs>
              <w:jc w:val="right"/>
            </w:pPr>
            <w:r>
              <w:t>71,5</w:t>
            </w:r>
          </w:p>
        </w:tc>
        <w:tc>
          <w:tcPr>
            <w:tcW w:w="804" w:type="pct"/>
            <w:tcBorders>
              <w:top w:val="nil"/>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102,9</w:t>
            </w:r>
          </w:p>
        </w:tc>
      </w:tr>
      <w:tr w:rsidR="00000000">
        <w:tblPrEx>
          <w:tblCellMar>
            <w:top w:w="0" w:type="dxa"/>
            <w:bottom w:w="0" w:type="dxa"/>
          </w:tblCellMar>
        </w:tblPrEx>
        <w:tc>
          <w:tcPr>
            <w:tcW w:w="2799" w:type="pct"/>
            <w:tcBorders>
              <w:top w:val="nil"/>
              <w:left w:val="single" w:sz="4" w:space="0" w:color="auto"/>
              <w:bottom w:val="nil"/>
              <w:right w:val="single" w:sz="4" w:space="0" w:color="auto"/>
            </w:tcBorders>
          </w:tcPr>
          <w:p w:rsidR="00000000" w:rsidRDefault="00000000">
            <w:pPr>
              <w:pStyle w:val="FootnoteText"/>
              <w:tabs>
                <w:tab w:val="left" w:pos="284"/>
              </w:tabs>
              <w:ind w:firstLine="284"/>
            </w:pPr>
            <w:r>
              <w:t>в том числе из южных районов</w:t>
            </w:r>
          </w:p>
        </w:tc>
        <w:tc>
          <w:tcPr>
            <w:tcW w:w="599" w:type="pct"/>
            <w:tcBorders>
              <w:top w:val="nil"/>
              <w:left w:val="single" w:sz="4" w:space="0" w:color="auto"/>
              <w:bottom w:val="nil"/>
              <w:right w:val="single" w:sz="4" w:space="0" w:color="auto"/>
            </w:tcBorders>
          </w:tcPr>
          <w:p w:rsidR="00000000" w:rsidRDefault="00000000">
            <w:pPr>
              <w:jc w:val="center"/>
            </w:pPr>
            <w:r>
              <w:t>кг</w:t>
            </w:r>
          </w:p>
        </w:tc>
        <w:tc>
          <w:tcPr>
            <w:tcW w:w="401" w:type="pct"/>
            <w:tcBorders>
              <w:top w:val="nil"/>
              <w:left w:val="single" w:sz="4" w:space="0" w:color="auto"/>
              <w:bottom w:val="nil"/>
              <w:right w:val="single" w:sz="4" w:space="0" w:color="auto"/>
            </w:tcBorders>
          </w:tcPr>
          <w:p w:rsidR="00000000" w:rsidRDefault="00000000">
            <w:pPr>
              <w:tabs>
                <w:tab w:val="clear" w:pos="567"/>
                <w:tab w:val="clear" w:pos="1134"/>
              </w:tabs>
              <w:jc w:val="right"/>
            </w:pPr>
            <w:r>
              <w:t>22,5</w:t>
            </w:r>
          </w:p>
        </w:tc>
        <w:tc>
          <w:tcPr>
            <w:tcW w:w="397" w:type="pct"/>
            <w:tcBorders>
              <w:top w:val="nil"/>
              <w:left w:val="single" w:sz="4" w:space="0" w:color="auto"/>
              <w:bottom w:val="nil"/>
              <w:right w:val="single" w:sz="4" w:space="0" w:color="auto"/>
            </w:tcBorders>
          </w:tcPr>
          <w:p w:rsidR="00000000" w:rsidRDefault="00000000">
            <w:pPr>
              <w:tabs>
                <w:tab w:val="clear" w:pos="567"/>
                <w:tab w:val="clear" w:pos="1134"/>
              </w:tabs>
              <w:jc w:val="right"/>
            </w:pPr>
            <w:r>
              <w:t>30,7</w:t>
            </w:r>
          </w:p>
        </w:tc>
        <w:tc>
          <w:tcPr>
            <w:tcW w:w="804" w:type="pct"/>
            <w:tcBorders>
              <w:top w:val="nil"/>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136,4</w:t>
            </w:r>
          </w:p>
        </w:tc>
      </w:tr>
      <w:tr w:rsidR="00000000">
        <w:tblPrEx>
          <w:tblCellMar>
            <w:top w:w="0" w:type="dxa"/>
            <w:bottom w:w="0" w:type="dxa"/>
          </w:tblCellMar>
        </w:tblPrEx>
        <w:tc>
          <w:tcPr>
            <w:tcW w:w="2799" w:type="pct"/>
            <w:tcBorders>
              <w:top w:val="nil"/>
              <w:left w:val="single" w:sz="4" w:space="0" w:color="auto"/>
              <w:bottom w:val="nil"/>
              <w:right w:val="single" w:sz="4" w:space="0" w:color="auto"/>
            </w:tcBorders>
          </w:tcPr>
          <w:p w:rsidR="00000000" w:rsidRDefault="00000000">
            <w:r>
              <w:t>Алкогольные напитки в расчете на чистый спирт</w:t>
            </w:r>
          </w:p>
        </w:tc>
        <w:tc>
          <w:tcPr>
            <w:tcW w:w="599" w:type="pct"/>
            <w:tcBorders>
              <w:top w:val="nil"/>
              <w:left w:val="single" w:sz="4" w:space="0" w:color="auto"/>
              <w:bottom w:val="nil"/>
              <w:right w:val="single" w:sz="4" w:space="0" w:color="auto"/>
            </w:tcBorders>
          </w:tcPr>
          <w:p w:rsidR="00000000" w:rsidRDefault="00000000">
            <w:pPr>
              <w:jc w:val="center"/>
            </w:pPr>
            <w:r>
              <w:t>литр</w:t>
            </w:r>
          </w:p>
        </w:tc>
        <w:tc>
          <w:tcPr>
            <w:tcW w:w="401" w:type="pct"/>
            <w:tcBorders>
              <w:top w:val="nil"/>
              <w:left w:val="single" w:sz="4" w:space="0" w:color="auto"/>
              <w:bottom w:val="nil"/>
              <w:right w:val="single" w:sz="4" w:space="0" w:color="auto"/>
            </w:tcBorders>
          </w:tcPr>
          <w:p w:rsidR="00000000" w:rsidRDefault="00000000">
            <w:pPr>
              <w:tabs>
                <w:tab w:val="clear" w:pos="567"/>
                <w:tab w:val="clear" w:pos="1134"/>
              </w:tabs>
              <w:jc w:val="right"/>
            </w:pPr>
            <w:r>
              <w:t>9,4</w:t>
            </w:r>
          </w:p>
        </w:tc>
        <w:tc>
          <w:tcPr>
            <w:tcW w:w="397" w:type="pct"/>
            <w:tcBorders>
              <w:top w:val="nil"/>
              <w:left w:val="single" w:sz="4" w:space="0" w:color="auto"/>
              <w:bottom w:val="nil"/>
              <w:right w:val="single" w:sz="4" w:space="0" w:color="auto"/>
            </w:tcBorders>
          </w:tcPr>
          <w:p w:rsidR="00000000" w:rsidRDefault="00000000">
            <w:pPr>
              <w:tabs>
                <w:tab w:val="clear" w:pos="567"/>
                <w:tab w:val="clear" w:pos="1134"/>
              </w:tabs>
              <w:jc w:val="right"/>
            </w:pPr>
            <w:r>
              <w:t>9,8</w:t>
            </w:r>
          </w:p>
        </w:tc>
        <w:tc>
          <w:tcPr>
            <w:tcW w:w="804" w:type="pct"/>
            <w:tcBorders>
              <w:top w:val="nil"/>
              <w:left w:val="single" w:sz="4" w:space="0" w:color="auto"/>
              <w:bottom w:val="nil"/>
              <w:right w:val="single" w:sz="4" w:space="0" w:color="auto"/>
            </w:tcBorders>
          </w:tcPr>
          <w:p w:rsidR="00000000" w:rsidRDefault="00000000">
            <w:pPr>
              <w:tabs>
                <w:tab w:val="clear" w:pos="567"/>
                <w:tab w:val="clear" w:pos="1134"/>
                <w:tab w:val="clear" w:pos="1701"/>
              </w:tabs>
              <w:ind w:right="384"/>
              <w:jc w:val="right"/>
            </w:pPr>
            <w:r>
              <w:t>104,3</w:t>
            </w:r>
          </w:p>
        </w:tc>
      </w:tr>
      <w:tr w:rsidR="00000000">
        <w:tblPrEx>
          <w:tblCellMar>
            <w:top w:w="0" w:type="dxa"/>
            <w:bottom w:w="0" w:type="dxa"/>
          </w:tblCellMar>
        </w:tblPrEx>
        <w:tc>
          <w:tcPr>
            <w:tcW w:w="2799" w:type="pct"/>
            <w:tcBorders>
              <w:top w:val="nil"/>
            </w:tcBorders>
          </w:tcPr>
          <w:p w:rsidR="00000000" w:rsidRDefault="00000000">
            <w:r>
              <w:t>Безалкогольные напитки</w:t>
            </w:r>
          </w:p>
        </w:tc>
        <w:tc>
          <w:tcPr>
            <w:tcW w:w="599" w:type="pct"/>
            <w:tcBorders>
              <w:top w:val="nil"/>
            </w:tcBorders>
          </w:tcPr>
          <w:p w:rsidR="00000000" w:rsidRDefault="00000000">
            <w:pPr>
              <w:jc w:val="center"/>
            </w:pPr>
            <w:r>
              <w:t>литр</w:t>
            </w:r>
          </w:p>
        </w:tc>
        <w:tc>
          <w:tcPr>
            <w:tcW w:w="401" w:type="pct"/>
            <w:tcBorders>
              <w:top w:val="nil"/>
            </w:tcBorders>
          </w:tcPr>
          <w:p w:rsidR="00000000" w:rsidRDefault="00000000">
            <w:pPr>
              <w:tabs>
                <w:tab w:val="clear" w:pos="567"/>
                <w:tab w:val="clear" w:pos="1134"/>
              </w:tabs>
              <w:jc w:val="right"/>
            </w:pPr>
            <w:r>
              <w:t>11,3</w:t>
            </w:r>
          </w:p>
        </w:tc>
        <w:tc>
          <w:tcPr>
            <w:tcW w:w="397" w:type="pct"/>
            <w:tcBorders>
              <w:top w:val="nil"/>
            </w:tcBorders>
          </w:tcPr>
          <w:p w:rsidR="00000000" w:rsidRDefault="00000000">
            <w:pPr>
              <w:tabs>
                <w:tab w:val="clear" w:pos="567"/>
                <w:tab w:val="clear" w:pos="1134"/>
              </w:tabs>
              <w:jc w:val="right"/>
            </w:pPr>
            <w:r>
              <w:t>147,0</w:t>
            </w:r>
          </w:p>
        </w:tc>
        <w:tc>
          <w:tcPr>
            <w:tcW w:w="804" w:type="pct"/>
            <w:tcBorders>
              <w:top w:val="nil"/>
            </w:tcBorders>
          </w:tcPr>
          <w:p w:rsidR="00000000" w:rsidRDefault="00000000">
            <w:pPr>
              <w:tabs>
                <w:tab w:val="clear" w:pos="567"/>
                <w:tab w:val="clear" w:pos="1134"/>
                <w:tab w:val="clear" w:pos="1701"/>
              </w:tabs>
              <w:ind w:right="384"/>
              <w:jc w:val="right"/>
            </w:pPr>
            <w:r>
              <w:t>132,1</w:t>
            </w:r>
          </w:p>
        </w:tc>
      </w:tr>
    </w:tbl>
    <w:p w:rsidR="00000000" w:rsidRDefault="00000000"/>
    <w:p w:rsidR="00000000" w:rsidRDefault="00000000">
      <w:r>
        <w:tab/>
      </w:r>
      <w:r>
        <w:rPr>
          <w:u w:val="single"/>
        </w:rPr>
        <w:t>Источник</w:t>
      </w:r>
      <w:r>
        <w:t>:  Чешское статистическое управление, 1999 год</w:t>
      </w:r>
    </w:p>
    <w:p w:rsidR="00000000" w:rsidRDefault="00000000"/>
    <w:p w:rsidR="00000000" w:rsidRDefault="00000000">
      <w:r>
        <w:t>413.</w:t>
      </w:r>
      <w:r>
        <w:tab/>
        <w:t>Краткая оценка большинства важных количественных и качественных изменений в потреблении продовольствия, которые оказывают важное воздействие на питательную ценность потребляемой пищи, при сравнении 1989 и 1997 годов, позволяет прийти к следующим выводам:</w:t>
      </w:r>
    </w:p>
    <w:p w:rsidR="00000000" w:rsidRDefault="00000000"/>
    <w:p w:rsidR="00000000" w:rsidRDefault="00000000">
      <w:r>
        <w:tab/>
        <w:t>а)</w:t>
      </w:r>
      <w:r>
        <w:tab/>
        <w:t>потребление продуктов питания из южных районов увеличилось на 80%, тогда как потребление продовольствия из умеренных зон сократилось;  потребление мяса птицы возросло на 12%;  пищевых жиров и масел на 30%, овощей на 17% и бобовых культур на 50%;</w:t>
      </w:r>
    </w:p>
    <w:p w:rsidR="00000000" w:rsidRDefault="00000000"/>
    <w:p w:rsidR="00000000" w:rsidRDefault="00000000">
      <w:r>
        <w:tab/>
        <w:t>b)</w:t>
      </w:r>
      <w:r>
        <w:tab/>
        <w:t>потребление сливочного масла сократилось на 55%, молочных продуктов на 25%, говядины на 45% и было отмечено незначительное сокращение потребление сахара, зерновых, картофеля, рыбы, яиц и свинины.</w:t>
      </w:r>
    </w:p>
    <w:p w:rsidR="00000000" w:rsidRDefault="00000000"/>
    <w:p w:rsidR="00000000" w:rsidRDefault="00000000">
      <w:r>
        <w:t>414.</w:t>
      </w:r>
      <w:r>
        <w:tab/>
        <w:t>Министерство сельского хозяйства силами научно-исследовательских институтов проводит базовые оценки степени удовлетворения рекомендованных стандартов питания, которые подтверждают позитивные изменения в потреблении продовольствия и изменения в питательной ценности продуктов питания, потребляемых населением страны.  По сравнению с 1989 годом общая калорийность пищи сократилась, также как сократилось потребление животных жиров и белков;  потребление жиров, белков и витамина С растительного происхождения увеличилось, хотя еще и не достигло рекомендованного уровня.  В то же время сохраняются некоторые диспропорции, включая недостаточное потребление некоторых витаминов группы В и кальция (сокращение потребления молока и молочных продуктов).  Несмотря на позитивные изменения рекомендованные уровни потребления калорий, жиров и продуктов животного происхождения по</w:t>
      </w:r>
      <w:r>
        <w:noBreakHyphen/>
        <w:t>прежнему превышаются.</w:t>
      </w:r>
    </w:p>
    <w:p w:rsidR="00000000" w:rsidRDefault="00000000"/>
    <w:p w:rsidR="00000000" w:rsidRDefault="00000000">
      <w:r>
        <w:t>415.</w:t>
      </w:r>
      <w:r>
        <w:tab/>
        <w:t>Оценка качественных изменений в питании по сравнению с количественными изменениями в потреблении продовольствия, относится к компетенции министерства здравоохранения и включает просвещение и рекомендации в отношении наблюдаемых тенденций здорового питания и подготовку предложений для мер по устранению дефицита.  В целях проведения такой оценки министерство здравоохранения устанавливает рекомендуемые ежегодные рационы питания на душу населения.  Министерство здравоохранения считает, что отмеченные изменения в потреблении продовольствия носят позитивный характер, поскольку они соответствуют его рекомендациям (в частности снижение потребления жиров животного происхождения, увеличение потребления фруктов, овощей и т.д.).</w:t>
      </w:r>
    </w:p>
    <w:p w:rsidR="00000000" w:rsidRDefault="00000000"/>
    <w:p w:rsidR="00000000" w:rsidRDefault="00000000">
      <w:r>
        <w:t>416.</w:t>
      </w:r>
      <w:r>
        <w:tab/>
        <w:t>На основе разработанной правительством Национальной программы в области здравоохранения</w:t>
      </w:r>
      <w:r>
        <w:rPr>
          <w:rStyle w:val="FootnoteReference"/>
        </w:rPr>
        <w:footnoteReference w:id="246"/>
      </w:r>
      <w:r>
        <w:t xml:space="preserve"> с 1993 года министерство здравоохранения объявляет ежегодные торги для проектов оказания поддержки здравоохранению.  Для осуществления отобранных проектов выделяются финансовые взносы.  Тематическая направленность определяется приоритетными направлениями Конвенции и состоит из 13 тематических областей.</w:t>
      </w:r>
    </w:p>
    <w:p w:rsidR="00000000" w:rsidRDefault="00000000"/>
    <w:p w:rsidR="00000000" w:rsidRDefault="00000000">
      <w:r>
        <w:t>417.</w:t>
      </w:r>
      <w:r>
        <w:tab/>
        <w:t>Одна из тематических областей касается здорового питания.  Министерство оказывает поддержку проектам, направленным на поощрение основных принципов здорового питания, разнообразной и сбалансированной диеты и изменений в моделях питания.  Профилактическая деятельность и деятельность по изменению сложившихся стереотипов включает также более интенсивное распространение знаний по проблемам питания не только для общественности в целом, но и в особенности, для групп повышенного риска (дети дошкольного и школьного возраста, подростки, беременные женщины, кормящие матери и т.д.).  С 1993 по 1996 год по этой теме было осуществлено 43 проекта;  министерство здравоохранения выделило на их осуществление почти 9 млн. крон.  В 1997 году на осуществление 16 проектов было затрачено в общей сложности 1 798 000 чешских крон.  В 1998 году министерство здравоохранения одобрило 16 проектов в области здорового питания, пять проектов в области укрепления репродуктивного здоровья и 10 проектов оказания поддержки мерам по охране здоровья в школах.  В 1999 году министерство выделило на 15 принятых проектов 2 511 000 чешских крон.</w:t>
      </w:r>
    </w:p>
    <w:p w:rsidR="00000000" w:rsidRDefault="00000000"/>
    <w:p w:rsidR="00000000" w:rsidRDefault="00000000">
      <w:pPr>
        <w:pStyle w:val="Heading3"/>
        <w:rPr>
          <w:iCs/>
        </w:rPr>
      </w:pPr>
      <w:r>
        <w:rPr>
          <w:iCs/>
        </w:rPr>
        <w:t>Право на достаточное жилище</w:t>
      </w:r>
    </w:p>
    <w:p w:rsidR="00000000" w:rsidRDefault="00000000"/>
    <w:p w:rsidR="00000000" w:rsidRDefault="00000000">
      <w:r>
        <w:t>418.</w:t>
      </w:r>
      <w:r>
        <w:tab/>
        <w:t>В ходе переписи 1991 года в Чешской Республике было зафиксировано 3 705 681 постоянно занимаемое жилище и 4 051 583 домашних хозяйств.  Это свидетельствует о том, что в 1991 году примерно 343 000 хозяйств занимали квартиру совместно с другим хозяйством (как правило, с хозяйством родителей);  при этом в одной трети случаев речь шла о "добровольном сожительстве".  По оценкам министерства местного развития, примерно 300 000 из этих хозяйств предпочли бы иметь отдельное жилье.</w:t>
      </w:r>
    </w:p>
    <w:p w:rsidR="00000000" w:rsidRDefault="00000000"/>
    <w:p w:rsidR="00000000" w:rsidRDefault="00000000">
      <w:r>
        <w:t>419.</w:t>
      </w:r>
      <w:r>
        <w:tab/>
        <w:t xml:space="preserve">Концепция достаточного и надлежащего жилья не имеет четкого определения в чешской правовой системе;  однако можно сказать, что ненадлежащее жилье, которое не отвечает существующим культурным и социальным требованиям, означает проживание в квартире, не имеющей основных удобств (туалет, ванная) и приемлемого отопления.  Такое жилье включает квартиры, относящиеся к категориям </w:t>
      </w:r>
      <w:r>
        <w:rPr>
          <w:lang w:val="en-US"/>
        </w:rPr>
        <w:t>III</w:t>
      </w:r>
      <w:r>
        <w:t xml:space="preserve"> и </w:t>
      </w:r>
      <w:r>
        <w:rPr>
          <w:lang w:val="en-US"/>
        </w:rPr>
        <w:t>IV</w:t>
      </w:r>
      <w:r>
        <w:t>, определенным в постановлении министерства финансов об арендной плате за жилье и плате за услуги, оказываемые в связи с использованием жилья</w:t>
      </w:r>
      <w:r>
        <w:rPr>
          <w:rStyle w:val="FootnoteReference"/>
        </w:rPr>
        <w:footnoteReference w:id="247"/>
      </w:r>
      <w:r>
        <w:t xml:space="preserve">.  С этой точки зрения состояние жилищного фонда в Чешской Республике является хорошим – оно соответствует положению в развитых европейских странах.  Данные переписи свидетельствуют о том, что в 1991 году лишь 6% населения страны проживало в квартирах категорий </w:t>
      </w:r>
      <w:r>
        <w:rPr>
          <w:lang w:val="en-US"/>
        </w:rPr>
        <w:t>III</w:t>
      </w:r>
      <w:r>
        <w:t xml:space="preserve"> и </w:t>
      </w:r>
      <w:r>
        <w:rPr>
          <w:lang w:val="en-US"/>
        </w:rPr>
        <w:t>IV</w:t>
      </w:r>
      <w:r>
        <w:t>, т.е. в квартирах, не имеющих приемлемого отопления и основных удобств.</w:t>
      </w:r>
    </w:p>
    <w:p w:rsidR="00000000" w:rsidRDefault="00000000"/>
    <w:p w:rsidR="00000000" w:rsidRDefault="00000000">
      <w:pPr>
        <w:pStyle w:val="Heading1"/>
        <w:jc w:val="center"/>
        <w:rPr>
          <w:bCs/>
        </w:rPr>
      </w:pPr>
      <w:r>
        <w:rPr>
          <w:bCs/>
        </w:rPr>
        <w:t>Общий обзор оборудования квартир</w:t>
      </w:r>
    </w:p>
    <w:p w:rsidR="00000000" w:rsidRDefault="00000000"/>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963"/>
        <w:gridCol w:w="2422"/>
        <w:gridCol w:w="3100"/>
      </w:tblGrid>
      <w:tr w:rsidR="00000000">
        <w:tblPrEx>
          <w:tblCellMar>
            <w:top w:w="0" w:type="dxa"/>
            <w:bottom w:w="0" w:type="dxa"/>
          </w:tblCellMar>
        </w:tblPrEx>
        <w:tc>
          <w:tcPr>
            <w:tcW w:w="2089" w:type="pct"/>
            <w:vAlign w:val="center"/>
          </w:tcPr>
          <w:p w:rsidR="00000000" w:rsidRDefault="00000000">
            <w:pPr>
              <w:spacing w:line="216" w:lineRule="auto"/>
              <w:jc w:val="center"/>
            </w:pPr>
            <w:r>
              <w:t>Оборудование квартир</w:t>
            </w:r>
          </w:p>
        </w:tc>
        <w:tc>
          <w:tcPr>
            <w:tcW w:w="1277" w:type="pct"/>
            <w:vAlign w:val="center"/>
          </w:tcPr>
          <w:p w:rsidR="00000000" w:rsidRDefault="00000000">
            <w:pPr>
              <w:pStyle w:val="16"/>
              <w:spacing w:line="216" w:lineRule="auto"/>
            </w:pPr>
            <w:r>
              <w:t>Доля оборудованных таким образом квартир (%)</w:t>
            </w:r>
          </w:p>
        </w:tc>
        <w:tc>
          <w:tcPr>
            <w:tcW w:w="1634" w:type="pct"/>
            <w:vAlign w:val="center"/>
          </w:tcPr>
          <w:p w:rsidR="00000000" w:rsidRDefault="00000000">
            <w:pPr>
              <w:spacing w:line="216" w:lineRule="auto"/>
              <w:jc w:val="center"/>
            </w:pPr>
            <w:r>
              <w:t>Доля в городах с населением свыше 100 000 человек</w:t>
            </w:r>
          </w:p>
          <w:p w:rsidR="00000000" w:rsidRDefault="00000000">
            <w:pPr>
              <w:spacing w:line="216" w:lineRule="auto"/>
              <w:jc w:val="center"/>
            </w:pPr>
            <w:r>
              <w:t>(%)</w:t>
            </w:r>
          </w:p>
        </w:tc>
      </w:tr>
      <w:tr w:rsidR="00000000">
        <w:tblPrEx>
          <w:tblCellMar>
            <w:top w:w="0" w:type="dxa"/>
            <w:bottom w:w="0" w:type="dxa"/>
          </w:tblCellMar>
        </w:tblPrEx>
        <w:tc>
          <w:tcPr>
            <w:tcW w:w="2089" w:type="pct"/>
            <w:tcBorders>
              <w:bottom w:val="nil"/>
            </w:tcBorders>
          </w:tcPr>
          <w:p w:rsidR="00000000" w:rsidRDefault="00000000">
            <w:r>
              <w:t>Центральное газоснабжение</w:t>
            </w:r>
          </w:p>
        </w:tc>
        <w:tc>
          <w:tcPr>
            <w:tcW w:w="1277" w:type="pct"/>
            <w:tcBorders>
              <w:bottom w:val="nil"/>
            </w:tcBorders>
          </w:tcPr>
          <w:p w:rsidR="00000000" w:rsidRDefault="00000000">
            <w:pPr>
              <w:jc w:val="center"/>
            </w:pPr>
            <w:r>
              <w:t>50,0</w:t>
            </w:r>
          </w:p>
        </w:tc>
        <w:tc>
          <w:tcPr>
            <w:tcW w:w="1634" w:type="pct"/>
            <w:tcBorders>
              <w:bottom w:val="nil"/>
            </w:tcBorders>
          </w:tcPr>
          <w:p w:rsidR="00000000" w:rsidRDefault="00000000">
            <w:pPr>
              <w:jc w:val="center"/>
            </w:pPr>
            <w:r>
              <w:t>80,3</w:t>
            </w:r>
          </w:p>
        </w:tc>
      </w:tr>
      <w:tr w:rsidR="00000000">
        <w:tblPrEx>
          <w:tblCellMar>
            <w:top w:w="0" w:type="dxa"/>
            <w:bottom w:w="0" w:type="dxa"/>
          </w:tblCellMar>
        </w:tblPrEx>
        <w:tc>
          <w:tcPr>
            <w:tcW w:w="2089" w:type="pct"/>
            <w:tcBorders>
              <w:top w:val="nil"/>
              <w:bottom w:val="nil"/>
            </w:tcBorders>
          </w:tcPr>
          <w:p w:rsidR="00000000" w:rsidRDefault="00000000">
            <w:pPr>
              <w:tabs>
                <w:tab w:val="left" w:pos="284"/>
              </w:tabs>
              <w:spacing w:line="240" w:lineRule="auto"/>
              <w:ind w:left="284" w:hanging="284"/>
            </w:pPr>
            <w:r>
              <w:t>Оборудование квартиры системой трубопроводов</w:t>
            </w:r>
          </w:p>
        </w:tc>
        <w:tc>
          <w:tcPr>
            <w:tcW w:w="1277" w:type="pct"/>
            <w:tcBorders>
              <w:top w:val="nil"/>
              <w:bottom w:val="nil"/>
            </w:tcBorders>
          </w:tcPr>
          <w:p w:rsidR="00000000" w:rsidRDefault="00000000">
            <w:pPr>
              <w:pStyle w:val="16"/>
            </w:pPr>
            <w:r>
              <w:t>96,9</w:t>
            </w:r>
          </w:p>
        </w:tc>
        <w:tc>
          <w:tcPr>
            <w:tcW w:w="1634" w:type="pct"/>
            <w:tcBorders>
              <w:top w:val="nil"/>
              <w:bottom w:val="nil"/>
            </w:tcBorders>
          </w:tcPr>
          <w:p w:rsidR="00000000" w:rsidRDefault="00000000">
            <w:pPr>
              <w:jc w:val="center"/>
            </w:pPr>
            <w:r>
              <w:t>99,2</w:t>
            </w:r>
          </w:p>
        </w:tc>
      </w:tr>
      <w:tr w:rsidR="00000000">
        <w:tblPrEx>
          <w:tblCellMar>
            <w:top w:w="0" w:type="dxa"/>
            <w:bottom w:w="0" w:type="dxa"/>
          </w:tblCellMar>
        </w:tblPrEx>
        <w:tc>
          <w:tcPr>
            <w:tcW w:w="2089" w:type="pct"/>
            <w:tcBorders>
              <w:top w:val="nil"/>
              <w:bottom w:val="nil"/>
            </w:tcBorders>
          </w:tcPr>
          <w:p w:rsidR="00000000" w:rsidRDefault="00000000">
            <w:r>
              <w:t>Наличие в квартире туалета</w:t>
            </w:r>
          </w:p>
        </w:tc>
        <w:tc>
          <w:tcPr>
            <w:tcW w:w="1277" w:type="pct"/>
            <w:tcBorders>
              <w:top w:val="nil"/>
              <w:bottom w:val="nil"/>
            </w:tcBorders>
          </w:tcPr>
          <w:p w:rsidR="00000000" w:rsidRDefault="00000000">
            <w:pPr>
              <w:jc w:val="center"/>
            </w:pPr>
            <w:r>
              <w:t>91,5</w:t>
            </w:r>
          </w:p>
        </w:tc>
        <w:tc>
          <w:tcPr>
            <w:tcW w:w="1634" w:type="pct"/>
            <w:tcBorders>
              <w:top w:val="nil"/>
              <w:bottom w:val="nil"/>
            </w:tcBorders>
          </w:tcPr>
          <w:p w:rsidR="00000000" w:rsidRDefault="00000000">
            <w:pPr>
              <w:jc w:val="center"/>
            </w:pPr>
            <w:r>
              <w:t>96,0</w:t>
            </w:r>
          </w:p>
        </w:tc>
      </w:tr>
      <w:tr w:rsidR="00000000">
        <w:tblPrEx>
          <w:tblCellMar>
            <w:top w:w="0" w:type="dxa"/>
            <w:bottom w:w="0" w:type="dxa"/>
          </w:tblCellMar>
        </w:tblPrEx>
        <w:tc>
          <w:tcPr>
            <w:tcW w:w="2089" w:type="pct"/>
            <w:tcBorders>
              <w:top w:val="nil"/>
              <w:bottom w:val="nil"/>
            </w:tcBorders>
          </w:tcPr>
          <w:p w:rsidR="00000000" w:rsidRDefault="00000000">
            <w:r>
              <w:t>Ванная или душ</w:t>
            </w:r>
          </w:p>
        </w:tc>
        <w:tc>
          <w:tcPr>
            <w:tcW w:w="1277" w:type="pct"/>
            <w:tcBorders>
              <w:top w:val="nil"/>
              <w:bottom w:val="nil"/>
            </w:tcBorders>
          </w:tcPr>
          <w:p w:rsidR="00000000" w:rsidRDefault="00000000">
            <w:pPr>
              <w:jc w:val="center"/>
            </w:pPr>
            <w:r>
              <w:t>93,2</w:t>
            </w:r>
          </w:p>
        </w:tc>
        <w:tc>
          <w:tcPr>
            <w:tcW w:w="1634" w:type="pct"/>
            <w:tcBorders>
              <w:top w:val="nil"/>
              <w:bottom w:val="nil"/>
            </w:tcBorders>
          </w:tcPr>
          <w:p w:rsidR="00000000" w:rsidRDefault="00000000">
            <w:pPr>
              <w:jc w:val="center"/>
            </w:pPr>
            <w:r>
              <w:t>95,1</w:t>
            </w:r>
          </w:p>
        </w:tc>
      </w:tr>
      <w:tr w:rsidR="00000000">
        <w:tblPrEx>
          <w:tblCellMar>
            <w:top w:w="0" w:type="dxa"/>
            <w:bottom w:w="0" w:type="dxa"/>
          </w:tblCellMar>
        </w:tblPrEx>
        <w:tc>
          <w:tcPr>
            <w:tcW w:w="2089" w:type="pct"/>
            <w:tcBorders>
              <w:top w:val="nil"/>
              <w:bottom w:val="nil"/>
            </w:tcBorders>
          </w:tcPr>
          <w:p w:rsidR="00000000" w:rsidRDefault="00000000">
            <w:r>
              <w:t>Центральное отопление</w:t>
            </w:r>
          </w:p>
        </w:tc>
        <w:tc>
          <w:tcPr>
            <w:tcW w:w="1277" w:type="pct"/>
            <w:tcBorders>
              <w:top w:val="nil"/>
              <w:bottom w:val="nil"/>
            </w:tcBorders>
          </w:tcPr>
          <w:p w:rsidR="00000000" w:rsidRDefault="00000000">
            <w:pPr>
              <w:jc w:val="center"/>
            </w:pPr>
            <w:r>
              <w:t>59,0</w:t>
            </w:r>
          </w:p>
        </w:tc>
        <w:tc>
          <w:tcPr>
            <w:tcW w:w="1634" w:type="pct"/>
            <w:tcBorders>
              <w:top w:val="nil"/>
              <w:bottom w:val="nil"/>
            </w:tcBorders>
          </w:tcPr>
          <w:p w:rsidR="00000000" w:rsidRDefault="00000000">
            <w:pPr>
              <w:jc w:val="center"/>
            </w:pPr>
            <w:r>
              <w:t>65,1</w:t>
            </w:r>
          </w:p>
        </w:tc>
      </w:tr>
      <w:tr w:rsidR="00000000">
        <w:tblPrEx>
          <w:tblCellMar>
            <w:top w:w="0" w:type="dxa"/>
            <w:bottom w:w="0" w:type="dxa"/>
          </w:tblCellMar>
        </w:tblPrEx>
        <w:tc>
          <w:tcPr>
            <w:tcW w:w="2089" w:type="pct"/>
            <w:tcBorders>
              <w:top w:val="nil"/>
              <w:bottom w:val="nil"/>
            </w:tcBorders>
          </w:tcPr>
          <w:p w:rsidR="00000000" w:rsidRDefault="00000000">
            <w:pPr>
              <w:tabs>
                <w:tab w:val="left" w:pos="284"/>
              </w:tabs>
              <w:spacing w:line="240" w:lineRule="auto"/>
              <w:ind w:left="284" w:hanging="284"/>
            </w:pPr>
            <w:r>
              <w:t>Автономное отопление отдельной квартиры</w:t>
            </w:r>
          </w:p>
        </w:tc>
        <w:tc>
          <w:tcPr>
            <w:tcW w:w="1277" w:type="pct"/>
            <w:tcBorders>
              <w:top w:val="nil"/>
              <w:bottom w:val="nil"/>
            </w:tcBorders>
          </w:tcPr>
          <w:p w:rsidR="00000000" w:rsidRDefault="00000000">
            <w:pPr>
              <w:jc w:val="center"/>
            </w:pPr>
            <w:r>
              <w:t>18,6</w:t>
            </w:r>
          </w:p>
        </w:tc>
        <w:tc>
          <w:tcPr>
            <w:tcW w:w="1634" w:type="pct"/>
            <w:tcBorders>
              <w:top w:val="nil"/>
              <w:bottom w:val="nil"/>
            </w:tcBorders>
          </w:tcPr>
          <w:p w:rsidR="00000000" w:rsidRDefault="00000000">
            <w:pPr>
              <w:jc w:val="center"/>
            </w:pPr>
            <w:r>
              <w:t>11,2</w:t>
            </w:r>
          </w:p>
        </w:tc>
      </w:tr>
      <w:tr w:rsidR="00000000">
        <w:tblPrEx>
          <w:tblCellMar>
            <w:top w:w="0" w:type="dxa"/>
            <w:bottom w:w="0" w:type="dxa"/>
          </w:tblCellMar>
        </w:tblPrEx>
        <w:tc>
          <w:tcPr>
            <w:tcW w:w="2089" w:type="pct"/>
            <w:tcBorders>
              <w:top w:val="nil"/>
              <w:bottom w:val="nil"/>
            </w:tcBorders>
          </w:tcPr>
          <w:p w:rsidR="00000000" w:rsidRDefault="00000000">
            <w:pPr>
              <w:tabs>
                <w:tab w:val="left" w:pos="284"/>
              </w:tabs>
              <w:spacing w:line="240" w:lineRule="auto"/>
              <w:ind w:left="284" w:hanging="284"/>
            </w:pPr>
            <w:r>
              <w:t>Печь для сжигания ископаемого топлива</w:t>
            </w:r>
          </w:p>
        </w:tc>
        <w:tc>
          <w:tcPr>
            <w:tcW w:w="1277" w:type="pct"/>
            <w:tcBorders>
              <w:top w:val="nil"/>
              <w:bottom w:val="nil"/>
            </w:tcBorders>
          </w:tcPr>
          <w:p w:rsidR="00000000" w:rsidRDefault="00000000">
            <w:pPr>
              <w:jc w:val="center"/>
            </w:pPr>
            <w:r>
              <w:t>12,9</w:t>
            </w:r>
          </w:p>
        </w:tc>
        <w:tc>
          <w:tcPr>
            <w:tcW w:w="1634" w:type="pct"/>
            <w:tcBorders>
              <w:top w:val="nil"/>
              <w:bottom w:val="nil"/>
            </w:tcBorders>
          </w:tcPr>
          <w:p w:rsidR="00000000" w:rsidRDefault="00000000">
            <w:pPr>
              <w:jc w:val="center"/>
            </w:pPr>
            <w:r>
              <w:t>5,5</w:t>
            </w:r>
          </w:p>
        </w:tc>
      </w:tr>
      <w:tr w:rsidR="00000000">
        <w:tblPrEx>
          <w:tblCellMar>
            <w:top w:w="0" w:type="dxa"/>
            <w:bottom w:w="0" w:type="dxa"/>
          </w:tblCellMar>
        </w:tblPrEx>
        <w:tc>
          <w:tcPr>
            <w:tcW w:w="2089" w:type="pct"/>
            <w:tcBorders>
              <w:top w:val="nil"/>
            </w:tcBorders>
          </w:tcPr>
          <w:p w:rsidR="00000000" w:rsidRDefault="00000000">
            <w:pPr>
              <w:tabs>
                <w:tab w:val="left" w:pos="284"/>
              </w:tabs>
              <w:spacing w:line="240" w:lineRule="auto"/>
              <w:ind w:left="284" w:hanging="284"/>
            </w:pPr>
            <w:r>
              <w:t>Подсоединение к коммунальному канализационному коллектору</w:t>
            </w:r>
          </w:p>
        </w:tc>
        <w:tc>
          <w:tcPr>
            <w:tcW w:w="1277" w:type="pct"/>
            <w:tcBorders>
              <w:top w:val="nil"/>
            </w:tcBorders>
          </w:tcPr>
          <w:p w:rsidR="00000000" w:rsidRDefault="00000000">
            <w:pPr>
              <w:jc w:val="center"/>
            </w:pPr>
            <w:r>
              <w:t>68,1</w:t>
            </w:r>
          </w:p>
        </w:tc>
        <w:tc>
          <w:tcPr>
            <w:tcW w:w="1634" w:type="pct"/>
            <w:tcBorders>
              <w:top w:val="nil"/>
            </w:tcBorders>
          </w:tcPr>
          <w:p w:rsidR="00000000" w:rsidRDefault="00000000">
            <w:pPr>
              <w:jc w:val="center"/>
            </w:pPr>
            <w:r>
              <w:t>92,4</w:t>
            </w:r>
          </w:p>
        </w:tc>
      </w:tr>
    </w:tbl>
    <w:p w:rsidR="00000000" w:rsidRDefault="00000000"/>
    <w:p w:rsidR="00000000" w:rsidRDefault="00000000">
      <w:r>
        <w:tab/>
      </w:r>
      <w:r>
        <w:rPr>
          <w:u w:val="single"/>
        </w:rPr>
        <w:t>Источник</w:t>
      </w:r>
      <w:r>
        <w:t>:  Перепись населения, домов и квартир, 1991 год.</w:t>
      </w:r>
    </w:p>
    <w:p w:rsidR="00000000" w:rsidRDefault="00000000"/>
    <w:p w:rsidR="00000000" w:rsidRDefault="00000000">
      <w:r>
        <w:t>420.</w:t>
      </w:r>
      <w:r>
        <w:tab/>
        <w:t>Создание скваттерных поселений, незаконно используемых для жилья, является в Чешской Республике очень редким явлением и их число неизвестно.  Споры с лицами, незаконно занимающими некоторые жилые или нежилые здания, здания, остающиеся незанятыми в течение длительного времени, или квартиры без заключения надлежащего соглашения об их использовании, урегулируются на основе гражданского права между владельцем здания или квартиры и незаконным пользователем.</w:t>
      </w:r>
    </w:p>
    <w:p w:rsidR="00000000" w:rsidRDefault="00000000"/>
    <w:p w:rsidR="00000000" w:rsidRDefault="00000000">
      <w:r>
        <w:t>421.</w:t>
      </w:r>
      <w:r>
        <w:tab/>
        <w:t>По оценкам неправительственных организаций, в Чешской Республике имеется примерно 100 000 бездомных.  К их числу относятся лица, покинувшие учреждения социального обеспечения и изгнанные из своих семей, но также и лица, которые покинули свое местожительство по своему собственному решению.  Значительное число бездомных зависит от помощи благотворительных организаций, которые создают для них убежища.  Такое решение является неудовлетворительным в долгосрочной перспективе, однако до настоящего времени на уровне государственной администрации принималось мало мер, позволяющих помочь этой группе населения.</w:t>
      </w:r>
    </w:p>
    <w:p w:rsidR="00000000" w:rsidRDefault="00000000"/>
    <w:p w:rsidR="00000000" w:rsidRDefault="00000000">
      <w:r>
        <w:t>422.</w:t>
      </w:r>
      <w:r>
        <w:tab/>
        <w:t>Институт так называемого социального жилья в Чешской Республике не регулируется законом.  Жилье предоставляется малообеспеченным гражданам муниципалитетами, которые руководствуются принятыми ими самими нормами.  Муниципалитеты принимают заявления от граждан, ожидающих получения квартиры, т.е. заявления о заключении договора об аренде квартиры, предоставляемой главным образом по соображениям социального обеспечения (с регулируемой арендной платой).  Такие заявления обычно рассматриваются специально создаваемыми для этой цели "жилищными" комиссиями муниципальных органов власти.  Период ожидания различается в зависимости от места подачи заявления на квартиру и срочности отдельных дел.  Число заявлений о предоставлении квартиры с низкой, контролируемой арендной платой всегда превышает возможности муниципалитетов.  В исключительных, не требующих отлагательства случаях муниципалитеты также представляют, в соответствии с поправкой к Гражданскому кодексу 1992 года</w:t>
      </w:r>
      <w:r>
        <w:rPr>
          <w:rStyle w:val="FootnoteReference"/>
        </w:rPr>
        <w:footnoteReference w:id="248"/>
      </w:r>
      <w:r>
        <w:t xml:space="preserve">, помощь в предоставлении квартир, если арендодатель прекратил действие договора об аренде с согласия суда и суд постановил, что арендатор имеет право на квартиру или иное жилое помещение.  </w:t>
      </w:r>
    </w:p>
    <w:p w:rsidR="00000000" w:rsidRDefault="00000000"/>
    <w:p w:rsidR="00000000" w:rsidRDefault="00000000">
      <w:r>
        <w:t>423.</w:t>
      </w:r>
      <w:r>
        <w:tab/>
        <w:t>К проблемам, связанным с жилищным хозяйством, можно отнести наличие лишь небольшого числа "домов временного проживания" и недостаточных объектов, предназначенных для оказания социальной помощи в убежищах.  Убежищами в основном пользуются лица, которые не имеют достаточных финансовых средств или возможностей для преодоления серьезных изменений в своем укладе жизни своими собственными силами – потеря работы, сложные отношения в семье, например во время или после развода и т.д. – и не имеют возможности своевременно отреагировать на эти ситуации путем перемены жилья.  Убежища служат не только в качестве временного жилья, но также оказывают разносторонние социальные услуги, юридические консультации и поддержку в решении сложных и запутанных личных ситуаций.  Однако размещение какого-либо лица в убежище зачастую лишь откладывает решение его проблемы, поскольку за размещением в убежище лишь в немногих случаях следует предоставление жилья более постоянного характера.</w:t>
      </w:r>
    </w:p>
    <w:p w:rsidR="00000000" w:rsidRDefault="00000000"/>
    <w:p w:rsidR="00000000" w:rsidRDefault="00000000">
      <w:r>
        <w:br w:type="page"/>
        <w:t>424.</w:t>
      </w:r>
      <w:r>
        <w:tab/>
        <w:t>Убежища создаются неправительственными некоммерческими организациями, церковными приходами и муниципалитетами.  Средства на функционирование убежищ обычно поступают из нескольких источников (внутренних и иностранных):  из бюджета министерства труда и социальных вопросов, областных органов власти и муниципалитетов, благотворительных фондов и собственных средств отдельных лиц (например, отчислений от получателей помощи).  В 1992 году была создана Ассоциация представителей органов, осуществляющих управление убежищами.  Эта гражданская ассоциация объединяет различные виды убежищ в своего рода сеть, открывает возможности для обмена информацией и опытом и создает предпосылки для координации работы с государственными и законодательными органами на центральном и местном уровнях и с другими учреждениями.  Она создает информационные каналы, которые позволяют осуществлять постоянный контроль не только за вместительностью отдельных объектов и степенью их использования, но также и за оборачиваемостью лиц, пользующихся их услугами.  В середине 1999 года членами Ассоциации являлись 59 убежищ.  Эти убежища в основном предназначены для мужчин (39), 14 принимают женщин, 23 предоставляют кров для матерей с детьми и 1 может также размещать полные семьи (число убежищ с учетом структуры пользователей превышает 59, поскольку некоторые из них предназначены для представителей обоих полов, а некоторые - для женщин и матерей с детьми).</w:t>
      </w:r>
    </w:p>
    <w:p w:rsidR="00000000" w:rsidRDefault="00000000"/>
    <w:p w:rsidR="00000000" w:rsidRDefault="00000000">
      <w:r>
        <w:t>425.</w:t>
      </w:r>
      <w:r>
        <w:tab/>
        <w:t>"Дома временного проживания" представляют собой особый вид социального обслуживания (так называемые жилищные услуги для уязвимых групп).  Они предназначены для лиц, которые по различным причинам, и не только вследствие невозможности оплачивать доступное жилье, вынуждены жить в течение определенного периода времени в защищенных условиях, и, таким образом, оказывают более долгосрочную помощь в области жилья, чем убежища.  "Дома временного проживания" создаются, например, для молодых людей, освобожденных после достижения совершеннолетия (18</w:t>
      </w:r>
      <w:r>
        <w:noBreakHyphen/>
        <w:t>летнего возраста) из специальных учебных заведений, предназначенных для перевоспитания или изоляции от общества.  По состоянию на конец отчетного периода в Чешской Республике существовало 13 таких центров, и еще 4 центра аналогичного характера с аналогичной деятельностью;  несколько других центров должны быть введены в эксплуатацию и открыты в 2000 году.  Министерство труда и социальных дел оказывает финансовую поддержку их созданию и функционированию;  услуги по активной социальной деятельности относятся к числу приоритетных направлений деятельности, получающих субсидии со стороны министерства.</w:t>
      </w:r>
    </w:p>
    <w:p w:rsidR="00000000" w:rsidRDefault="00000000"/>
    <w:p w:rsidR="00000000" w:rsidRDefault="00000000">
      <w:r>
        <w:t>426.</w:t>
      </w:r>
      <w:r>
        <w:tab/>
        <w:t>Число лиц, расходы которых на жилье по отношению к доходам превышают их платежеспособность, невозможно определить, поскольку в Чешской Республике не установлена доля жилищных расходов от дохода хозяйства, которая не может быть превышена.  С учетом происходящего процесса преобразований предполагается, что жилищные расходы являются непропорционально высокими для хозяйств с доходом ниже 1,6 прожиточного уровня, и поэтому в соответствии с законодательством им выплачиваются жилищные субсидии</w:t>
      </w:r>
      <w:r>
        <w:rPr>
          <w:rStyle w:val="FootnoteReference"/>
        </w:rPr>
        <w:footnoteReference w:id="249"/>
      </w:r>
      <w:r>
        <w:t>.  Кроме того, хозяйства с доходами вплоть до 1,6 прожиточного уровня имеют право на две другие индивидуальные льготы:  пособие для компенсации повышения арендной платы</w:t>
      </w:r>
      <w:r>
        <w:rPr>
          <w:rStyle w:val="FootnoteReference"/>
        </w:rPr>
        <w:footnoteReference w:id="250"/>
      </w:r>
      <w:r>
        <w:t>, которое предназначено лишь для лиц, проживающих в квартирах с контролируемым размером арендной платы, и пособия для компенсации роста цен на топливо</w:t>
      </w:r>
      <w:r>
        <w:rPr>
          <w:rStyle w:val="FootnoteReference"/>
        </w:rPr>
        <w:footnoteReference w:id="251"/>
      </w:r>
      <w:r>
        <w:t>, которые предоставляются хозяйствам, проживающим в квартирах с неавтономным отоплением.  Максимальная допустимая доля расходов хозяйств по отношению к доходам (или чистая арендная плата) будет установлена в ближайшем будущем для нового целевого индивидуального пособия, которое будет введено в связи с переходом на новую систему установления</w:t>
      </w:r>
      <w:r>
        <w:rPr>
          <w:rStyle w:val="FootnoteReference"/>
        </w:rPr>
        <w:footnoteReference w:id="252"/>
      </w:r>
      <w:r>
        <w:t xml:space="preserve"> и корректировки арендной платы.</w:t>
      </w:r>
    </w:p>
    <w:p w:rsidR="00000000" w:rsidRDefault="00000000"/>
    <w:p w:rsidR="00000000" w:rsidRDefault="00000000">
      <w:pPr>
        <w:pStyle w:val="Heading1"/>
        <w:jc w:val="center"/>
        <w:rPr>
          <w:bCs/>
        </w:rPr>
      </w:pPr>
      <w:r>
        <w:rPr>
          <w:bCs/>
        </w:rPr>
        <w:t xml:space="preserve">Структура жилищного фонда </w:t>
      </w:r>
      <w:r>
        <w:rPr>
          <w:bCs/>
        </w:rPr>
        <w:noBreakHyphen/>
        <w:t xml:space="preserve"> основные секторы</w:t>
      </w:r>
    </w:p>
    <w:p w:rsidR="00000000" w:rsidRDefault="00000000"/>
    <w:tbl>
      <w:tblPr>
        <w:tblW w:w="0" w:type="auto"/>
        <w:jc w:val="center"/>
        <w:tblLook w:val="0000" w:firstRow="0" w:lastRow="0" w:firstColumn="0" w:lastColumn="0" w:noHBand="0" w:noVBand="0"/>
      </w:tblPr>
      <w:tblGrid>
        <w:gridCol w:w="3474"/>
        <w:gridCol w:w="3179"/>
      </w:tblGrid>
      <w:tr w:rsidR="00000000">
        <w:tblPrEx>
          <w:tblCellMar>
            <w:top w:w="0" w:type="dxa"/>
            <w:bottom w:w="0" w:type="dxa"/>
          </w:tblCellMar>
        </w:tblPrEx>
        <w:trPr>
          <w:jc w:val="center"/>
        </w:trPr>
        <w:tc>
          <w:tcPr>
            <w:tcW w:w="347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pPr>
            <w:r>
              <w:t>Жилищный сектор</w:t>
            </w:r>
          </w:p>
        </w:tc>
        <w:tc>
          <w:tcPr>
            <w:tcW w:w="3179" w:type="dxa"/>
            <w:tcBorders>
              <w:top w:val="single" w:sz="4" w:space="0" w:color="auto"/>
              <w:left w:val="single" w:sz="4" w:space="0" w:color="auto"/>
              <w:bottom w:val="single" w:sz="4" w:space="0" w:color="auto"/>
              <w:right w:val="single" w:sz="4" w:space="0" w:color="auto"/>
            </w:tcBorders>
          </w:tcPr>
          <w:p w:rsidR="00000000" w:rsidRDefault="00000000">
            <w:r>
              <w:t>Доля на рынке жилья (%)</w:t>
            </w:r>
          </w:p>
        </w:tc>
      </w:tr>
      <w:tr w:rsidR="00000000">
        <w:tblPrEx>
          <w:tblCellMar>
            <w:top w:w="0" w:type="dxa"/>
            <w:bottom w:w="0" w:type="dxa"/>
          </w:tblCellMar>
        </w:tblPrEx>
        <w:trPr>
          <w:jc w:val="center"/>
        </w:trPr>
        <w:tc>
          <w:tcPr>
            <w:tcW w:w="3474" w:type="dxa"/>
            <w:tcBorders>
              <w:top w:val="single" w:sz="4" w:space="0" w:color="auto"/>
              <w:left w:val="single" w:sz="4" w:space="0" w:color="auto"/>
              <w:right w:val="single" w:sz="4" w:space="0" w:color="auto"/>
            </w:tcBorders>
          </w:tcPr>
          <w:p w:rsidR="00000000" w:rsidRDefault="00000000">
            <w:r>
              <w:t>Частная собственность</w:t>
            </w:r>
          </w:p>
        </w:tc>
        <w:tc>
          <w:tcPr>
            <w:tcW w:w="3179" w:type="dxa"/>
            <w:tcBorders>
              <w:top w:val="single" w:sz="4" w:space="0" w:color="auto"/>
              <w:left w:val="single" w:sz="4" w:space="0" w:color="auto"/>
              <w:right w:val="single" w:sz="4" w:space="0" w:color="auto"/>
            </w:tcBorders>
          </w:tcPr>
          <w:p w:rsidR="00000000" w:rsidRDefault="00000000">
            <w:pPr>
              <w:ind w:right="1164"/>
              <w:jc w:val="right"/>
            </w:pPr>
            <w:r>
              <w:t>46,2</w:t>
            </w:r>
          </w:p>
        </w:tc>
      </w:tr>
      <w:tr w:rsidR="00000000">
        <w:tblPrEx>
          <w:tblCellMar>
            <w:top w:w="0" w:type="dxa"/>
            <w:bottom w:w="0" w:type="dxa"/>
          </w:tblCellMar>
        </w:tblPrEx>
        <w:trPr>
          <w:jc w:val="center"/>
        </w:trPr>
        <w:tc>
          <w:tcPr>
            <w:tcW w:w="3474" w:type="dxa"/>
            <w:tcBorders>
              <w:left w:val="single" w:sz="4" w:space="0" w:color="auto"/>
              <w:right w:val="single" w:sz="4" w:space="0" w:color="auto"/>
            </w:tcBorders>
          </w:tcPr>
          <w:p w:rsidR="00000000" w:rsidRDefault="00000000">
            <w:r>
              <w:t>Аренда</w:t>
            </w:r>
          </w:p>
        </w:tc>
        <w:tc>
          <w:tcPr>
            <w:tcW w:w="3179" w:type="dxa"/>
            <w:tcBorders>
              <w:left w:val="single" w:sz="4" w:space="0" w:color="auto"/>
              <w:right w:val="single" w:sz="4" w:space="0" w:color="auto"/>
            </w:tcBorders>
          </w:tcPr>
          <w:p w:rsidR="00000000" w:rsidRDefault="00000000">
            <w:pPr>
              <w:ind w:right="1164"/>
              <w:jc w:val="right"/>
            </w:pPr>
            <w:r>
              <w:t>30,9</w:t>
            </w:r>
          </w:p>
        </w:tc>
      </w:tr>
      <w:tr w:rsidR="00000000">
        <w:tblPrEx>
          <w:tblCellMar>
            <w:top w:w="0" w:type="dxa"/>
            <w:bottom w:w="0" w:type="dxa"/>
          </w:tblCellMar>
        </w:tblPrEx>
        <w:trPr>
          <w:jc w:val="center"/>
        </w:trPr>
        <w:tc>
          <w:tcPr>
            <w:tcW w:w="3474" w:type="dxa"/>
            <w:tcBorders>
              <w:left w:val="single" w:sz="4" w:space="0" w:color="auto"/>
              <w:right w:val="single" w:sz="4" w:space="0" w:color="auto"/>
            </w:tcBorders>
          </w:tcPr>
          <w:p w:rsidR="00000000" w:rsidRDefault="00000000">
            <w:r>
              <w:t>Кооперативное жилье</w:t>
            </w:r>
          </w:p>
        </w:tc>
        <w:tc>
          <w:tcPr>
            <w:tcW w:w="3179" w:type="dxa"/>
            <w:tcBorders>
              <w:left w:val="single" w:sz="4" w:space="0" w:color="auto"/>
              <w:right w:val="single" w:sz="4" w:space="0" w:color="auto"/>
            </w:tcBorders>
          </w:tcPr>
          <w:p w:rsidR="00000000" w:rsidRDefault="00000000">
            <w:pPr>
              <w:ind w:right="1164"/>
              <w:jc w:val="right"/>
            </w:pPr>
            <w:r>
              <w:t>19,0</w:t>
            </w:r>
          </w:p>
        </w:tc>
      </w:tr>
      <w:tr w:rsidR="00000000">
        <w:tblPrEx>
          <w:tblCellMar>
            <w:top w:w="0" w:type="dxa"/>
            <w:bottom w:w="0" w:type="dxa"/>
          </w:tblCellMar>
        </w:tblPrEx>
        <w:trPr>
          <w:jc w:val="center"/>
        </w:trPr>
        <w:tc>
          <w:tcPr>
            <w:tcW w:w="3474" w:type="dxa"/>
            <w:tcBorders>
              <w:left w:val="single" w:sz="4" w:space="0" w:color="auto"/>
              <w:bottom w:val="single" w:sz="4" w:space="0" w:color="auto"/>
              <w:right w:val="single" w:sz="4" w:space="0" w:color="auto"/>
            </w:tcBorders>
          </w:tcPr>
          <w:p w:rsidR="00000000" w:rsidRDefault="00000000">
            <w:r>
              <w:t>Прочее</w:t>
            </w:r>
          </w:p>
        </w:tc>
        <w:tc>
          <w:tcPr>
            <w:tcW w:w="3179" w:type="dxa"/>
            <w:tcBorders>
              <w:left w:val="single" w:sz="4" w:space="0" w:color="auto"/>
              <w:bottom w:val="single" w:sz="4" w:space="0" w:color="auto"/>
              <w:right w:val="single" w:sz="4" w:space="0" w:color="auto"/>
            </w:tcBorders>
          </w:tcPr>
          <w:p w:rsidR="00000000" w:rsidRDefault="00000000">
            <w:pPr>
              <w:ind w:right="1164"/>
              <w:jc w:val="right"/>
            </w:pPr>
            <w:r>
              <w:t>3,9</w:t>
            </w:r>
          </w:p>
        </w:tc>
      </w:tr>
      <w:tr w:rsidR="00000000">
        <w:tblPrEx>
          <w:tblCellMar>
            <w:top w:w="0" w:type="dxa"/>
            <w:bottom w:w="0" w:type="dxa"/>
          </w:tblCellMar>
        </w:tblPrEx>
        <w:trPr>
          <w:jc w:val="center"/>
        </w:trPr>
        <w:tc>
          <w:tcPr>
            <w:tcW w:w="3474" w:type="dxa"/>
            <w:tcBorders>
              <w:top w:val="single" w:sz="4" w:space="0" w:color="auto"/>
              <w:left w:val="single" w:sz="4" w:space="0" w:color="auto"/>
              <w:bottom w:val="single" w:sz="4" w:space="0" w:color="auto"/>
              <w:right w:val="single" w:sz="4" w:space="0" w:color="auto"/>
            </w:tcBorders>
          </w:tcPr>
          <w:p w:rsidR="00000000" w:rsidRDefault="00000000">
            <w:r>
              <w:t>Всего</w:t>
            </w:r>
          </w:p>
        </w:tc>
        <w:tc>
          <w:tcPr>
            <w:tcW w:w="3179" w:type="dxa"/>
            <w:tcBorders>
              <w:top w:val="single" w:sz="4" w:space="0" w:color="auto"/>
              <w:left w:val="single" w:sz="4" w:space="0" w:color="auto"/>
              <w:bottom w:val="single" w:sz="4" w:space="0" w:color="auto"/>
              <w:right w:val="single" w:sz="4" w:space="0" w:color="auto"/>
            </w:tcBorders>
          </w:tcPr>
          <w:p w:rsidR="00000000" w:rsidRDefault="00000000">
            <w:pPr>
              <w:ind w:right="1164"/>
              <w:jc w:val="right"/>
            </w:pPr>
            <w:r>
              <w:t>100,0</w:t>
            </w:r>
          </w:p>
        </w:tc>
      </w:tr>
    </w:tbl>
    <w:p w:rsidR="00000000" w:rsidRDefault="00000000">
      <w:pPr>
        <w:rPr>
          <w:i/>
          <w:iCs/>
        </w:rPr>
      </w:pPr>
    </w:p>
    <w:p w:rsidR="00000000" w:rsidRDefault="00000000">
      <w:r>
        <w:tab/>
      </w:r>
      <w:r>
        <w:rPr>
          <w:u w:val="single"/>
        </w:rPr>
        <w:t>Источник</w:t>
      </w:r>
      <w:r>
        <w:rPr>
          <w:i/>
          <w:iCs/>
        </w:rPr>
        <w:t xml:space="preserve">:  </w:t>
      </w:r>
      <w:r>
        <w:t>Оценки министерства местного развития Чешской Республики, 1999 год.</w:t>
      </w:r>
    </w:p>
    <w:p w:rsidR="00000000" w:rsidRDefault="00000000"/>
    <w:p w:rsidR="00000000" w:rsidRDefault="00000000">
      <w:r>
        <w:t>427.</w:t>
      </w:r>
      <w:r>
        <w:tab/>
        <w:t>По оценкам министерства местного развития, распределение хозяйств по различным видам жилья фактически идентично процентному распределению различных видов жилья на рынке жилья, т.е. структуре жилищного фонда, показанной в таблице:</w:t>
      </w:r>
    </w:p>
    <w:p w:rsidR="00000000" w:rsidRDefault="00000000"/>
    <w:p w:rsidR="00000000" w:rsidRDefault="00000000">
      <w:r>
        <w:tab/>
      </w:r>
      <w:r>
        <w:rPr>
          <w:lang w:val="en-US"/>
        </w:rPr>
        <w:t>a</w:t>
      </w:r>
      <w:r>
        <w:t>)</w:t>
      </w:r>
      <w:r>
        <w:tab/>
        <w:t>сектор жилья, находящегося в собственности, состоит главным образом из семейных домов, в которых проживают владельцы;  лишь небольшая часть сектора жилья, находящегося в собственности (примерно 5%), которая постоянно расширяется в процессе приватизации жилищного фонда, состоит из индивидуальных квартир, находящихся в собственности проживающих в них лиц;</w:t>
      </w:r>
    </w:p>
    <w:p w:rsidR="00000000" w:rsidRDefault="00000000"/>
    <w:p w:rsidR="00000000" w:rsidRDefault="00000000">
      <w:r>
        <w:tab/>
      </w:r>
      <w:r>
        <w:rPr>
          <w:lang w:val="en-US"/>
        </w:rPr>
        <w:t>b</w:t>
      </w:r>
      <w:r>
        <w:t>)</w:t>
      </w:r>
      <w:r>
        <w:tab/>
        <w:t>три четверти сектора арендуемого жилья приходится на долю муниципального жилищного фонда, т.е. бывшего государственного жилищного фонда.  Четверть приходится на долю многоквартирных сдаваемых в аренду зданий, находящихся в собственности физических лиц (главным образом домов, полученных в порядке реституции) и юридических лиц.  Однако вследствие неполной отмены регулирования арендной платы и нестандартных взаимосвязей между правами и обязанностями, в ущерб владельцев домов и квартир, в функционировании отдельных частей арендного сектора по</w:t>
      </w:r>
      <w:r>
        <w:noBreakHyphen/>
        <w:t>прежнему наблюдаются диспропорции, и оно не соответствует стандартному функционированию так называемых частного и государственного арендных секторов;</w:t>
      </w:r>
    </w:p>
    <w:p w:rsidR="00000000" w:rsidRDefault="00000000"/>
    <w:p w:rsidR="00000000" w:rsidRDefault="00000000">
      <w:r>
        <w:tab/>
      </w:r>
      <w:r>
        <w:rPr>
          <w:lang w:val="en-US"/>
        </w:rPr>
        <w:t>c</w:t>
      </w:r>
      <w:r>
        <w:t>)</w:t>
      </w:r>
      <w:r>
        <w:tab/>
        <w:t xml:space="preserve">кооперативный сектор состоит главным образом из квартир, расположенных в домах, принадлежащих кооперативам, созданным в период с 1960 по 1990 год;  этот сектор продолжает расширяться за счет создания новых кооперативов для целей выкупа домов у муниципальных органов. </w:t>
      </w:r>
    </w:p>
    <w:p w:rsidR="00000000" w:rsidRDefault="00000000"/>
    <w:p w:rsidR="00000000" w:rsidRDefault="00000000">
      <w:pPr>
        <w:pStyle w:val="Heading3"/>
        <w:rPr>
          <w:iCs/>
        </w:rPr>
      </w:pPr>
      <w:r>
        <w:rPr>
          <w:iCs/>
        </w:rPr>
        <w:t xml:space="preserve">Правовые основы права на жилье </w:t>
      </w:r>
    </w:p>
    <w:p w:rsidR="00000000" w:rsidRDefault="00000000">
      <w:pPr>
        <w:rPr>
          <w:u w:val="single"/>
        </w:rPr>
      </w:pPr>
    </w:p>
    <w:p w:rsidR="00000000" w:rsidRDefault="00000000">
      <w:r>
        <w:t>428.</w:t>
      </w:r>
      <w:r>
        <w:tab/>
        <w:t>За исключением статьи 11 Пакта, в чешской правовой системе, даже в Хартии, не содержится четкого определения права на жилье.  В Чешской Республике право на жилье понимается как декларативное, неимущественное право, отражающее решимость государства добиваться обеспечения равного доступа всех к безопасному и гарантированному жилью, а не как право каждого требовать от государства предоставления жилья.  Правительство Чешской Республики в рамках своей жилищной политики стремится улучшить положение на рынке жилья и добиться такого положения дел, при котором каждый может получить надлежащее жилье.</w:t>
      </w:r>
    </w:p>
    <w:p w:rsidR="00000000" w:rsidRDefault="00000000"/>
    <w:p w:rsidR="00000000" w:rsidRDefault="00000000">
      <w:r>
        <w:t>429.</w:t>
      </w:r>
      <w:r>
        <w:tab/>
        <w:t>Статья 12 Хартии гарантирует защиту неприкосновенности жилища:</w:t>
      </w:r>
    </w:p>
    <w:p w:rsidR="00000000" w:rsidRDefault="00000000"/>
    <w:p w:rsidR="00000000" w:rsidRDefault="00000000">
      <w:pPr>
        <w:pStyle w:val="BodyTextIndent"/>
      </w:pPr>
      <w:r>
        <w:tab/>
        <w:t>"1)</w:t>
      </w:r>
      <w:r>
        <w:tab/>
        <w:t xml:space="preserve">Жилище неприкосновенно.  Не разрешается проникать в жилище без согласия того, кто в нем проживает. </w:t>
      </w:r>
    </w:p>
    <w:p w:rsidR="00000000" w:rsidRDefault="00000000">
      <w:pPr>
        <w:ind w:left="567" w:hanging="567"/>
      </w:pPr>
    </w:p>
    <w:p w:rsidR="00000000" w:rsidRDefault="00000000">
      <w:pPr>
        <w:ind w:left="567" w:hanging="567"/>
      </w:pPr>
      <w:r>
        <w:tab/>
        <w:t>2)</w:t>
      </w:r>
      <w:r>
        <w:tab/>
        <w:t>Обыск жилища допускается только в целях уголовного производства по письменному мотивированному приказу судьи.  Порядок производства обыска жилища устанавливается законом.</w:t>
      </w:r>
    </w:p>
    <w:p w:rsidR="00000000" w:rsidRDefault="00000000"/>
    <w:p w:rsidR="00000000" w:rsidRDefault="00000000">
      <w:pPr>
        <w:ind w:left="567" w:hanging="567"/>
      </w:pPr>
      <w:r>
        <w:tab/>
        <w:t>3)</w:t>
      </w:r>
      <w:r>
        <w:tab/>
        <w:t>Иные исключения из принципа неприкосновенности жилища могут быть установлены законом, только когда это необходимо в демократическом обществе для защиты жизни или здоровья, прав и свобод других лиц или для предотвращения серьезной угрозы общественной безопасности и порядку.  Если жилище используется и для предпринимательской или иной хозяйственной деятельности, проникновение в него может быть разрешено законом и в случаях, когда это необходимо в целях осуществления задач публичного управления".</w:t>
      </w:r>
    </w:p>
    <w:p w:rsidR="00000000" w:rsidRDefault="00000000"/>
    <w:p w:rsidR="00000000" w:rsidRDefault="00000000">
      <w:r>
        <w:t>430.</w:t>
      </w:r>
      <w:r>
        <w:tab/>
        <w:t>Ниже приводятся основные правовые нормы и положения, применяемые к праву на жилье:</w:t>
      </w:r>
    </w:p>
    <w:p w:rsidR="00000000" w:rsidRDefault="00000000"/>
    <w:p w:rsidR="00000000" w:rsidRDefault="00000000">
      <w:pPr>
        <w:ind w:left="567"/>
      </w:pPr>
      <w:r>
        <w:t>в частности, статьи 685</w:t>
      </w:r>
      <w:r>
        <w:noBreakHyphen/>
        <w:t>719 Гражданского кодекса;</w:t>
      </w:r>
    </w:p>
    <w:p w:rsidR="00000000" w:rsidRDefault="00000000">
      <w:pPr>
        <w:ind w:left="567"/>
      </w:pPr>
    </w:p>
    <w:p w:rsidR="00000000" w:rsidRDefault="00000000">
      <w:pPr>
        <w:ind w:left="567"/>
      </w:pPr>
      <w:r>
        <w:t>Закон о внесении поправок, дополнений и изменений в Гражданский кодекс</w:t>
      </w:r>
      <w:r>
        <w:rPr>
          <w:rStyle w:val="FootnoteReference"/>
        </w:rPr>
        <w:footnoteReference w:id="253"/>
      </w:r>
      <w:r>
        <w:t>;</w:t>
      </w:r>
    </w:p>
    <w:p w:rsidR="00000000" w:rsidRDefault="00000000">
      <w:pPr>
        <w:ind w:left="567"/>
      </w:pPr>
    </w:p>
    <w:p w:rsidR="00000000" w:rsidRDefault="00000000">
      <w:pPr>
        <w:ind w:left="567"/>
      </w:pPr>
      <w:r>
        <w:t>Закон, регулирующий некоторые права совместной собственности на здания и некоторые права собственности на жилища и нежилые помещения и дополняющий некоторые законы (Закон о собственности на жилища)</w:t>
      </w:r>
      <w:r>
        <w:rPr>
          <w:rStyle w:val="FootnoteReference"/>
        </w:rPr>
        <w:footnoteReference w:id="254"/>
      </w:r>
      <w:r>
        <w:t>;</w:t>
      </w:r>
    </w:p>
    <w:p w:rsidR="00000000" w:rsidRDefault="00000000">
      <w:pPr>
        <w:ind w:left="567"/>
      </w:pPr>
    </w:p>
    <w:p w:rsidR="00000000" w:rsidRDefault="00000000">
      <w:pPr>
        <w:ind w:left="567"/>
      </w:pPr>
      <w:r>
        <w:t>в частности, статья 2 Закона о ценах</w:t>
      </w:r>
      <w:r>
        <w:rPr>
          <w:rStyle w:val="FootnoteReference"/>
        </w:rPr>
        <w:footnoteReference w:id="255"/>
      </w:r>
      <w:r>
        <w:t>;</w:t>
      </w:r>
    </w:p>
    <w:p w:rsidR="00000000" w:rsidRDefault="00000000">
      <w:pPr>
        <w:ind w:left="567"/>
      </w:pPr>
    </w:p>
    <w:p w:rsidR="00000000" w:rsidRDefault="00000000">
      <w:pPr>
        <w:spacing w:line="216" w:lineRule="auto"/>
        <w:ind w:left="567"/>
      </w:pPr>
      <w:r>
        <w:br w:type="page"/>
        <w:t>в частности, статьи 13</w:t>
      </w:r>
      <w:r>
        <w:noBreakHyphen/>
        <w:t>20 Закона о муниципалитетах</w:t>
      </w:r>
      <w:r>
        <w:rPr>
          <w:rStyle w:val="FootnoteReference"/>
        </w:rPr>
        <w:footnoteReference w:id="256"/>
      </w:r>
      <w:r>
        <w:t>;</w:t>
      </w:r>
    </w:p>
    <w:p w:rsidR="00000000" w:rsidRDefault="00000000">
      <w:pPr>
        <w:spacing w:line="216" w:lineRule="auto"/>
        <w:ind w:left="567"/>
      </w:pPr>
    </w:p>
    <w:p w:rsidR="00000000" w:rsidRDefault="00000000">
      <w:pPr>
        <w:spacing w:line="216" w:lineRule="auto"/>
        <w:ind w:left="567"/>
      </w:pPr>
      <w:r>
        <w:t>в частности, статьи 17</w:t>
      </w:r>
      <w:r>
        <w:noBreakHyphen/>
        <w:t>20 Закона о столичном городе Прага</w:t>
      </w:r>
      <w:r>
        <w:rPr>
          <w:rStyle w:val="FootnoteReference"/>
        </w:rPr>
        <w:footnoteReference w:id="257"/>
      </w:r>
      <w:r>
        <w:t>;</w:t>
      </w:r>
    </w:p>
    <w:p w:rsidR="00000000" w:rsidRDefault="00000000">
      <w:pPr>
        <w:spacing w:line="216" w:lineRule="auto"/>
        <w:ind w:left="567"/>
      </w:pPr>
    </w:p>
    <w:p w:rsidR="00000000" w:rsidRDefault="00000000">
      <w:pPr>
        <w:ind w:left="567"/>
      </w:pPr>
      <w:r>
        <w:t>постановление министерства финансов об арендной плате за жилье и о порядке предоставления услуг, оказываемых в связи с использованием жилья;</w:t>
      </w:r>
    </w:p>
    <w:p w:rsidR="00000000" w:rsidRDefault="00000000">
      <w:pPr>
        <w:ind w:left="567"/>
      </w:pPr>
    </w:p>
    <w:p w:rsidR="00000000" w:rsidRDefault="00000000">
      <w:pPr>
        <w:ind w:left="567"/>
      </w:pPr>
      <w:r>
        <w:t>постановление министерства финансов об арендной плате за жилище, создаваемое в кооперативных домах, и о рассмотрении услуг, предоставляемых в связи с использованием таких жилищ</w:t>
      </w:r>
      <w:r>
        <w:rPr>
          <w:rStyle w:val="FootnoteReference"/>
        </w:rPr>
        <w:footnoteReference w:id="258"/>
      </w:r>
      <w:r>
        <w:t>;</w:t>
      </w:r>
    </w:p>
    <w:p w:rsidR="00000000" w:rsidRDefault="00000000">
      <w:pPr>
        <w:ind w:left="567"/>
      </w:pPr>
    </w:p>
    <w:p w:rsidR="00000000" w:rsidRDefault="00000000">
      <w:pPr>
        <w:ind w:left="567"/>
      </w:pPr>
      <w:r>
        <w:t>в частности, статья 249а (несанкционированное нарушение права другого лица на дом, жилище или нежилое помещение) и статья 257 (нанесение ущерба имуществу другого лица) Уголовного кодекса</w:t>
      </w:r>
      <w:r>
        <w:rPr>
          <w:rStyle w:val="FootnoteReference"/>
        </w:rPr>
        <w:footnoteReference w:id="259"/>
      </w:r>
      <w:r>
        <w:t>.</w:t>
      </w:r>
    </w:p>
    <w:p w:rsidR="00000000" w:rsidRDefault="00000000">
      <w:pPr>
        <w:ind w:left="567"/>
      </w:pPr>
    </w:p>
    <w:p w:rsidR="00000000" w:rsidRDefault="00000000">
      <w:r>
        <w:t>431.</w:t>
      </w:r>
      <w:r>
        <w:tab/>
        <w:t>Эти нормы также обеспечивают защиту граждан от принудительного выселения, от дискриминации в области доступа к жилью и т.д., тем самым обеспечивая те аспекты права на жилье, которые имеют исковую силу.  Таким образом Чешская Республика обеспечивает декларативную основу права на жилье, но при этом она не считает необходимым или приемлемым предусматривать в этой области обязательства, имеющие характер правомочия, выполнение которых будет проблематичным.</w:t>
      </w:r>
    </w:p>
    <w:p w:rsidR="00000000" w:rsidRDefault="00000000"/>
    <w:p w:rsidR="00000000" w:rsidRDefault="00000000">
      <w:r>
        <w:t>432.</w:t>
      </w:r>
      <w:r>
        <w:tab/>
        <w:t>Правовые нормы, касающиеся использования, распределения, выделения, разделения, установления максимальных цен и экспроприации земель, включая положение о компенсации, а также правовые нормы, регулирующие районирование, включая проведение судебных разбирательств при участии общественности, содержатся в следующих законодательных актах:</w:t>
      </w:r>
    </w:p>
    <w:p w:rsidR="00000000" w:rsidRDefault="00000000"/>
    <w:p w:rsidR="00000000" w:rsidRDefault="00000000">
      <w:pPr>
        <w:ind w:left="567"/>
      </w:pPr>
      <w:r>
        <w:t>статьи 108</w:t>
      </w:r>
      <w:r>
        <w:noBreakHyphen/>
        <w:t>116 Закона о районировании и Строительный кодекс (Закон о строительстве) и связанные с ними законы и нормы, определяющие порядок осуществления</w:t>
      </w:r>
      <w:r>
        <w:rPr>
          <w:rStyle w:val="FootnoteReference"/>
        </w:rPr>
        <w:footnoteReference w:id="260"/>
      </w:r>
      <w:r>
        <w:t>;</w:t>
      </w:r>
    </w:p>
    <w:p w:rsidR="00000000" w:rsidRDefault="00000000">
      <w:pPr>
        <w:ind w:left="567"/>
      </w:pPr>
    </w:p>
    <w:p w:rsidR="00000000" w:rsidRDefault="00000000">
      <w:pPr>
        <w:ind w:left="567"/>
      </w:pPr>
      <w:r>
        <w:t>Закон о регистрации прав собственности и других основных прав на недвижимое имущество и постановление о порядке выполнения этого Закона</w:t>
      </w:r>
      <w:r>
        <w:rPr>
          <w:rStyle w:val="FootnoteReference"/>
        </w:rPr>
        <w:footnoteReference w:id="261"/>
      </w:r>
      <w:r>
        <w:t>;</w:t>
      </w:r>
    </w:p>
    <w:p w:rsidR="00000000" w:rsidRDefault="00000000">
      <w:pPr>
        <w:spacing w:line="216" w:lineRule="auto"/>
        <w:ind w:left="567"/>
      </w:pPr>
    </w:p>
    <w:p w:rsidR="00000000" w:rsidRDefault="00000000">
      <w:pPr>
        <w:spacing w:line="216" w:lineRule="auto"/>
        <w:ind w:left="567"/>
      </w:pPr>
      <w:r>
        <w:t>Закон о реестре недвижимого имущества</w:t>
      </w:r>
      <w:r>
        <w:rPr>
          <w:rStyle w:val="FootnoteReference"/>
        </w:rPr>
        <w:footnoteReference w:id="262"/>
      </w:r>
      <w:r>
        <w:t>;</w:t>
      </w:r>
    </w:p>
    <w:p w:rsidR="00000000" w:rsidRDefault="00000000">
      <w:pPr>
        <w:spacing w:line="216" w:lineRule="auto"/>
        <w:ind w:left="567"/>
      </w:pPr>
    </w:p>
    <w:p w:rsidR="00000000" w:rsidRDefault="00000000">
      <w:pPr>
        <w:ind w:left="567"/>
      </w:pPr>
      <w:r>
        <w:t>Закон о передаче права собственности государства на некоторые виды имущества другим юридическим или физическим лицам</w:t>
      </w:r>
      <w:r>
        <w:rPr>
          <w:rStyle w:val="FootnoteReference"/>
        </w:rPr>
        <w:footnoteReference w:id="263"/>
      </w:r>
      <w:r>
        <w:t>;</w:t>
      </w:r>
    </w:p>
    <w:p w:rsidR="00000000" w:rsidRDefault="00000000">
      <w:pPr>
        <w:ind w:left="567"/>
      </w:pPr>
    </w:p>
    <w:p w:rsidR="00000000" w:rsidRDefault="00000000">
      <w:pPr>
        <w:ind w:left="567"/>
      </w:pPr>
      <w:r>
        <w:t>Закон, регулирующий право собственности на землю и другое сельскохозяйственное имущество</w:t>
      </w:r>
      <w:r>
        <w:rPr>
          <w:rStyle w:val="FootnoteReference"/>
        </w:rPr>
        <w:footnoteReference w:id="264"/>
      </w:r>
      <w:r>
        <w:t>;</w:t>
      </w:r>
    </w:p>
    <w:p w:rsidR="00000000" w:rsidRDefault="00000000">
      <w:pPr>
        <w:spacing w:line="216" w:lineRule="auto"/>
        <w:ind w:left="567"/>
      </w:pPr>
    </w:p>
    <w:p w:rsidR="00000000" w:rsidRDefault="00000000">
      <w:pPr>
        <w:spacing w:line="216" w:lineRule="auto"/>
        <w:ind w:left="567"/>
      </w:pPr>
      <w:r>
        <w:t>Закон об условиях передачи государственной собственности другим лицам</w:t>
      </w:r>
      <w:r>
        <w:rPr>
          <w:rStyle w:val="FootnoteReference"/>
        </w:rPr>
        <w:footnoteReference w:id="265"/>
      </w:r>
      <w:r>
        <w:t>;</w:t>
      </w:r>
    </w:p>
    <w:p w:rsidR="00000000" w:rsidRDefault="00000000">
      <w:pPr>
        <w:spacing w:line="216" w:lineRule="auto"/>
        <w:ind w:left="567"/>
      </w:pPr>
    </w:p>
    <w:p w:rsidR="00000000" w:rsidRDefault="00000000">
      <w:pPr>
        <w:ind w:left="567"/>
      </w:pPr>
      <w:r>
        <w:t>Закон о передаче некоторых видов имущества из собственности Чешской Республики в собственность муниципалитетов</w:t>
      </w:r>
      <w:r>
        <w:rPr>
          <w:rStyle w:val="FootnoteReference"/>
        </w:rPr>
        <w:footnoteReference w:id="266"/>
      </w:r>
      <w:r>
        <w:t>;</w:t>
      </w:r>
    </w:p>
    <w:p w:rsidR="00000000" w:rsidRDefault="00000000">
      <w:pPr>
        <w:ind w:left="567"/>
      </w:pPr>
    </w:p>
    <w:p w:rsidR="00000000" w:rsidRDefault="00000000">
      <w:pPr>
        <w:ind w:left="567"/>
      </w:pPr>
      <w:r>
        <w:t>Закон, регулирующий отношения собственности и устанавливающий права собственности в кооперативах</w:t>
      </w:r>
      <w:r>
        <w:rPr>
          <w:rStyle w:val="FootnoteReference"/>
        </w:rPr>
        <w:footnoteReference w:id="267"/>
      </w:r>
      <w:r>
        <w:t>;</w:t>
      </w:r>
    </w:p>
    <w:p w:rsidR="00000000" w:rsidRDefault="00000000">
      <w:pPr>
        <w:ind w:left="567"/>
      </w:pPr>
    </w:p>
    <w:p w:rsidR="00000000" w:rsidRDefault="00000000">
      <w:pPr>
        <w:ind w:left="567"/>
      </w:pPr>
      <w:r>
        <w:t>Закон об оценке собственности</w:t>
      </w:r>
      <w:r>
        <w:rPr>
          <w:rStyle w:val="FootnoteReference"/>
        </w:rPr>
        <w:footnoteReference w:id="268"/>
      </w:r>
      <w:r>
        <w:t>.</w:t>
      </w:r>
    </w:p>
    <w:p w:rsidR="00000000" w:rsidRDefault="00000000"/>
    <w:p w:rsidR="00000000" w:rsidRDefault="00000000">
      <w:pPr>
        <w:rPr>
          <w:i/>
          <w:iCs/>
        </w:rPr>
      </w:pPr>
      <w:r>
        <w:t>433.</w:t>
      </w:r>
      <w:r>
        <w:tab/>
        <w:t>Взаимоотношения между владельцем дома или квартиры и арендатором, которые регулируются Гражданским кодексом, предусматривают защиту основных прав арендатора.  Арендатор может быть выселен из занимаемой им квартиры лишь на основе законного решения суда.  Согласно пункту 2 статьи 711 Гражданского кодекса, если суд утверждает уведомление о прекращении действия договора об аренде квартиры (по причинам, изложенным в пункте 1 статьи 711 Кодекса</w:t>
      </w:r>
      <w:r>
        <w:rPr>
          <w:rStyle w:val="FootnoteReference"/>
        </w:rPr>
        <w:footnoteReference w:id="269"/>
      </w:r>
      <w:r>
        <w:t>) "он определяет сроки прекращения действия договора об аренде с учетом периода уведомления.  Одновременно суд также постановляет, что арендатор обязан вывести свои вещи из квартиры не позднее чем через 15 дней после истечения периода уведомления.  Если арендатору предоставляется взамен другая квартира (или другое жилье), то суд постановляет, что арендатор обязан вывести свои вещи из квартиры в течение 15 дней с момента предоставления ему другой квартиры и, если предоставляемое взамен жилье является достаточным, в течение 15 дней с момента предоставления взамен другого жилья".</w:t>
      </w:r>
    </w:p>
    <w:p w:rsidR="00000000" w:rsidRDefault="00000000">
      <w:pPr>
        <w:rPr>
          <w:i/>
          <w:iCs/>
        </w:rPr>
      </w:pPr>
    </w:p>
    <w:p w:rsidR="00000000" w:rsidRDefault="00000000">
      <w:r>
        <w:t>434.</w:t>
      </w:r>
      <w:r>
        <w:tab/>
        <w:t xml:space="preserve">Суд должен вынести решение не только по вопросу о выселении по причинам, изложенным в статье 711 Гражданского кодекса и предоставлении взамен другого жилья, если это применимо, но также и о методе выселения:  он должен выдать исполнительный лист.  Методы выселения и освобождения квартиры регулируются Гражданским процессуальным кодексом. </w:t>
      </w:r>
    </w:p>
    <w:p w:rsidR="00000000" w:rsidRDefault="00000000"/>
    <w:p w:rsidR="00000000" w:rsidRDefault="00000000">
      <w:r>
        <w:t>435.</w:t>
      </w:r>
      <w:r>
        <w:tab/>
        <w:t>В настоящее время не имеется сведений о числе лиц, выселенных по решению суда в период с 1993 по 1999 год.  Можно сказать, что это число является очень небольшим ввиду сложности процесса, связанного с выселением и освобождением квартиры, а также ввиду того, что владелец квартиры, как правило, несет в этой связи большие расходы.  На практике процесс выселения в судебном порядке используется лишь в исключительных случаях.  Если какое-либо лицо незаконным образом занимает квартиру, то оно может быть выселено без предоставления другого жилья поскольку согласно закону, оно не является арендатором.</w:t>
      </w:r>
    </w:p>
    <w:p w:rsidR="00000000" w:rsidRDefault="00000000"/>
    <w:p w:rsidR="00000000" w:rsidRDefault="00000000">
      <w:r>
        <w:t>436.</w:t>
      </w:r>
      <w:r>
        <w:tab/>
        <w:t>Финансовая доступность жилья обеспечивается за счет принятия определенных мер, предусмотренных в правовых нормах, регулирующих предоставление различных пособий и льгот как в сфере спроса, так и в сфере предложения.  Ниже перечисляются наиболее важные из этих мер:</w:t>
      </w:r>
    </w:p>
    <w:p w:rsidR="00000000" w:rsidRDefault="00000000"/>
    <w:p w:rsidR="00000000" w:rsidRDefault="00000000">
      <w:pPr>
        <w:ind w:left="567"/>
      </w:pPr>
      <w:r>
        <w:t>Закон о государственной социальной помощи:  жилищные пособия (пункты 24</w:t>
      </w:r>
      <w:r>
        <w:noBreakHyphen/>
        <w:t>26)</w:t>
      </w:r>
      <w:r>
        <w:rPr>
          <w:rStyle w:val="FootnoteReference"/>
        </w:rPr>
        <w:footnoteReference w:id="270"/>
      </w:r>
      <w:r>
        <w:t>;</w:t>
      </w:r>
    </w:p>
    <w:p w:rsidR="00000000" w:rsidRDefault="00000000">
      <w:pPr>
        <w:ind w:left="567"/>
      </w:pPr>
    </w:p>
    <w:p w:rsidR="00000000" w:rsidRDefault="00000000">
      <w:pPr>
        <w:ind w:left="567"/>
      </w:pPr>
      <w:r>
        <w:t>Закон о пособиях для компенсации роста арендной платы и о внесении поправок в Закон о государственной социальной помощи:  социальные пособия в целях компенсации роста арендной платы (пункты 1-16);</w:t>
      </w:r>
    </w:p>
    <w:p w:rsidR="00000000" w:rsidRDefault="00000000"/>
    <w:p w:rsidR="00000000" w:rsidRDefault="00000000">
      <w:pPr>
        <w:spacing w:line="216" w:lineRule="auto"/>
      </w:pPr>
      <w:r>
        <w:tab/>
        <w:t xml:space="preserve">Закон о пособиях для компенсации роста цен на топливо;  </w:t>
      </w:r>
    </w:p>
    <w:p w:rsidR="00000000" w:rsidRDefault="00000000">
      <w:pPr>
        <w:spacing w:line="216" w:lineRule="auto"/>
      </w:pPr>
    </w:p>
    <w:p w:rsidR="00000000" w:rsidRDefault="00000000">
      <w:pPr>
        <w:spacing w:line="264" w:lineRule="auto"/>
        <w:ind w:left="567" w:hanging="567"/>
      </w:pPr>
      <w:r>
        <w:tab/>
        <w:t>Закон о подоходных налогах:  сокращение налоговой базы на размер процентных выплат за налоговый период по займам, полученным по жилищно-строительным счетам или по линии ипотеки, которые были выданы или использованы для финансирования потребностей в жилье (статья 15, пункт 10)</w:t>
      </w:r>
      <w:r>
        <w:rPr>
          <w:rStyle w:val="FootnoteReference"/>
        </w:rPr>
        <w:footnoteReference w:id="271"/>
      </w:r>
    </w:p>
    <w:p w:rsidR="00000000" w:rsidRDefault="00000000">
      <w:pPr>
        <w:spacing w:line="264" w:lineRule="auto"/>
        <w:ind w:left="567" w:hanging="567"/>
      </w:pPr>
    </w:p>
    <w:p w:rsidR="00000000" w:rsidRDefault="00000000">
      <w:pPr>
        <w:spacing w:line="264" w:lineRule="auto"/>
        <w:ind w:left="567" w:hanging="567"/>
      </w:pPr>
      <w:r>
        <w:tab/>
        <w:t>Закон о сберегательных счетах для строительства жилья и о государственной поддержке сберегательных счетов для строительства жилья</w:t>
      </w:r>
      <w:r>
        <w:rPr>
          <w:rStyle w:val="FootnoteReference"/>
        </w:rPr>
        <w:footnoteReference w:id="272"/>
      </w:r>
      <w:r>
        <w:t xml:space="preserve">;  </w:t>
      </w:r>
    </w:p>
    <w:p w:rsidR="00000000" w:rsidRDefault="00000000">
      <w:pPr>
        <w:spacing w:line="264" w:lineRule="auto"/>
        <w:ind w:left="567" w:hanging="567"/>
      </w:pPr>
    </w:p>
    <w:p w:rsidR="00000000" w:rsidRDefault="00000000">
      <w:pPr>
        <w:spacing w:line="264" w:lineRule="auto"/>
        <w:ind w:left="567" w:hanging="567"/>
      </w:pPr>
      <w:r>
        <w:tab/>
        <w:t>Постановление правительства об определении условий для государственной финансовой поддержки ипотечных займов для целей строительства жилья</w:t>
      </w:r>
      <w:r>
        <w:rPr>
          <w:rStyle w:val="FootnoteReference"/>
        </w:rPr>
        <w:footnoteReference w:id="273"/>
      </w:r>
      <w:r>
        <w:t>;</w:t>
      </w:r>
    </w:p>
    <w:p w:rsidR="00000000" w:rsidRDefault="00000000">
      <w:pPr>
        <w:spacing w:line="264" w:lineRule="auto"/>
        <w:ind w:left="567" w:hanging="567"/>
      </w:pPr>
    </w:p>
    <w:p w:rsidR="00000000" w:rsidRDefault="00000000">
      <w:pPr>
        <w:spacing w:line="264" w:lineRule="auto"/>
        <w:ind w:left="567" w:hanging="567"/>
      </w:pPr>
      <w:r>
        <w:tab/>
        <w:t>Постановление правительства о предоставлении беспроцентных займов для строительства жилья</w:t>
      </w:r>
      <w:r>
        <w:rPr>
          <w:rStyle w:val="FootnoteReference"/>
        </w:rPr>
        <w:footnoteReference w:id="274"/>
      </w:r>
      <w:r>
        <w:t>.</w:t>
      </w:r>
    </w:p>
    <w:p w:rsidR="00000000" w:rsidRDefault="00000000">
      <w:pPr>
        <w:ind w:left="567" w:hanging="567"/>
      </w:pPr>
    </w:p>
    <w:p w:rsidR="00000000" w:rsidRDefault="00000000">
      <w:r>
        <w:t>437.</w:t>
      </w:r>
      <w:r>
        <w:tab/>
        <w:t>Нормы регулирования в области строительства, начиная с планов районирования и экспроприации земли и кончая регулированием строительных процессов, соответствуют положению, существующему в странах Европейского союза.  Основным правовым актом в этой области является Закон о районировании и строительном кодексе (Закон о строительстве)</w:t>
      </w:r>
      <w:r>
        <w:rPr>
          <w:rStyle w:val="FootnoteReference"/>
        </w:rPr>
        <w:footnoteReference w:id="275"/>
      </w:r>
      <w:r>
        <w:t>.</w:t>
      </w:r>
    </w:p>
    <w:p w:rsidR="00000000" w:rsidRDefault="00000000"/>
    <w:p w:rsidR="00000000" w:rsidRDefault="00000000">
      <w:r>
        <w:t>438.</w:t>
      </w:r>
      <w:r>
        <w:tab/>
        <w:t>Пока что в Чешской Республике не существует законов, непосредственно ограничивающих спекуляцию квартирами или недвижимостью.  В борьбе против спекуляции могут использоваться лишь те средства, которые предусмотрены существующим законодательством.  Наличие спекуляции является следствием преобразования экономики и неадекватного правового регулирования жилищного рынка.</w:t>
      </w:r>
    </w:p>
    <w:p w:rsidR="00000000" w:rsidRDefault="00000000"/>
    <w:p w:rsidR="00000000" w:rsidRDefault="00000000">
      <w:r>
        <w:t>439.</w:t>
      </w:r>
      <w:r>
        <w:tab/>
        <w:t>Меры, касающиеся планов охраны окружающей среды и здоровья населения в ходе строительства жилья, содержатся главным образом в Законе о строительстве и связанных с ним постановлениях (об основах районирования и документации, касающейся районирования</w:t>
      </w:r>
      <w:r>
        <w:rPr>
          <w:rStyle w:val="FootnoteReference"/>
        </w:rPr>
        <w:footnoteReference w:id="276"/>
      </w:r>
      <w:r>
        <w:t>, об общих технических требований, предъявляемых к строительству</w:t>
      </w:r>
      <w:r>
        <w:rPr>
          <w:rStyle w:val="FootnoteReference"/>
        </w:rPr>
        <w:footnoteReference w:id="277"/>
      </w:r>
      <w:r>
        <w:t>).  В этой связи правительство или министерство местного развития, к компетенции которого относится жилищное строительство, подготавливают программы ремонта блочных многоквартирных домов в жилых районах и создания более благоприятных условий проживания в крупных микрорайонах.  Для того чтобы начать строительство, инвестор в соответствии с Законом об оценке последствий для окружающей среды</w:t>
      </w:r>
      <w:r>
        <w:rPr>
          <w:rStyle w:val="FootnoteReference"/>
        </w:rPr>
        <w:footnoteReference w:id="278"/>
      </w:r>
      <w:r>
        <w:t xml:space="preserve"> должен получить положительное заключение установленного образца от природоохранного органа в отношении последствий строительства для окружающей среды.</w:t>
      </w:r>
    </w:p>
    <w:p w:rsidR="00000000" w:rsidRDefault="00000000"/>
    <w:p w:rsidR="00000000" w:rsidRDefault="00000000">
      <w:r>
        <w:t>440.</w:t>
      </w:r>
      <w:r>
        <w:tab/>
        <w:t xml:space="preserve">Неправительственные некоммерческие организации также могут строить квартиры и предоставлять услуги, связанные с жильем.  Поддержка, оказываемая государством этим организациям, не носит автоматического характера:  вспомогательные средства инвестиционного и неинвестиционного характера предоставляются в виде грантов для отдельных проектов.  Таким образом, государство оказывает поддержку, в частности, строительству жилья для инвалидов и престарелых, т.е. жилья с социальным обслуживанием.  Кроме того, государство также выделяет прямые инвестиционные субсидии для строительства сдаваемых в аренду квартир и квартир с повышенным уровнем удобств, предназначенных для лиц с ограниченной способностью к самообслуживанию, в особенности для престарелых;  эти субсидии выделяются муниципалитетам, поскольку существующая правовая система не допускает их передачи, например, негосударственным организациям.  В настоящее время министерство местного </w:t>
      </w:r>
    </w:p>
    <w:p w:rsidR="00000000" w:rsidRDefault="00000000">
      <w:r>
        <w:br w:type="page"/>
        <w:t>развития подготавливает законопроект об обществах, занимающихся жилищным строительством, который позволит предоставлять такие субсидии негосударственным органам некоммерческого характера.</w:t>
      </w:r>
    </w:p>
    <w:p w:rsidR="00000000" w:rsidRDefault="00000000"/>
    <w:p w:rsidR="00000000" w:rsidRDefault="00000000">
      <w:pPr>
        <w:pStyle w:val="Heading1"/>
        <w:jc w:val="center"/>
        <w:rPr>
          <w:bCs/>
        </w:rPr>
      </w:pPr>
      <w:r>
        <w:rPr>
          <w:bCs/>
        </w:rPr>
        <w:t>Число жилищ, построенных в жилых и нежилых зданиях</w:t>
      </w:r>
    </w:p>
    <w:p w:rsidR="00000000" w:rsidRDefault="00000000"/>
    <w:tbl>
      <w:tblPr>
        <w:tblW w:w="9645" w:type="dxa"/>
        <w:tblLayout w:type="fixed"/>
        <w:tblLook w:val="0000" w:firstRow="0" w:lastRow="0" w:firstColumn="0" w:lastColumn="0" w:noHBand="0" w:noVBand="0"/>
      </w:tblPr>
      <w:tblGrid>
        <w:gridCol w:w="4035"/>
        <w:gridCol w:w="1496"/>
        <w:gridCol w:w="1496"/>
        <w:gridCol w:w="1309"/>
        <w:gridCol w:w="1309"/>
      </w:tblGrid>
      <w:tr w:rsidR="00000000">
        <w:tblPrEx>
          <w:tblCellMar>
            <w:top w:w="0" w:type="dxa"/>
            <w:bottom w:w="0" w:type="dxa"/>
          </w:tblCellMar>
        </w:tblPrEx>
        <w:trPr>
          <w:cantSplit/>
          <w:tblHeader/>
        </w:trPr>
        <w:tc>
          <w:tcPr>
            <w:tcW w:w="4035" w:type="dxa"/>
            <w:tcBorders>
              <w:top w:val="single" w:sz="4" w:space="0" w:color="auto"/>
              <w:left w:val="single" w:sz="4" w:space="0" w:color="auto"/>
              <w:right w:val="single" w:sz="4" w:space="0" w:color="auto"/>
            </w:tcBorders>
          </w:tcPr>
          <w:p w:rsidR="00000000" w:rsidRDefault="00000000">
            <w:pPr>
              <w:pStyle w:val="16"/>
            </w:pPr>
            <w:r>
              <w:t>Показатель</w:t>
            </w:r>
          </w:p>
        </w:tc>
        <w:tc>
          <w:tcPr>
            <w:tcW w:w="5610" w:type="dxa"/>
            <w:gridSpan w:val="4"/>
            <w:tcBorders>
              <w:top w:val="single" w:sz="4" w:space="0" w:color="auto"/>
              <w:left w:val="single" w:sz="4" w:space="0" w:color="auto"/>
              <w:bottom w:val="single" w:sz="4" w:space="0" w:color="auto"/>
              <w:right w:val="single" w:sz="4" w:space="0" w:color="auto"/>
            </w:tcBorders>
          </w:tcPr>
          <w:p w:rsidR="00000000" w:rsidRDefault="00000000">
            <w:pPr>
              <w:pStyle w:val="16"/>
            </w:pPr>
            <w:r>
              <w:t>Построенные жилища</w:t>
            </w:r>
          </w:p>
        </w:tc>
      </w:tr>
      <w:tr w:rsidR="00000000">
        <w:tblPrEx>
          <w:tblCellMar>
            <w:top w:w="0" w:type="dxa"/>
            <w:bottom w:w="0" w:type="dxa"/>
          </w:tblCellMar>
        </w:tblPrEx>
        <w:trPr>
          <w:tblHeader/>
        </w:trPr>
        <w:tc>
          <w:tcPr>
            <w:tcW w:w="4035" w:type="dxa"/>
            <w:tcBorders>
              <w:left w:val="single" w:sz="4" w:space="0" w:color="auto"/>
              <w:bottom w:val="single" w:sz="4" w:space="0" w:color="auto"/>
              <w:right w:val="single" w:sz="4" w:space="0" w:color="auto"/>
            </w:tcBorders>
          </w:tcPr>
          <w:p w:rsidR="00000000" w:rsidRDefault="00000000"/>
        </w:tc>
        <w:tc>
          <w:tcPr>
            <w:tcW w:w="1496" w:type="dxa"/>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c>
          <w:tcPr>
            <w:tcW w:w="4035" w:type="dxa"/>
            <w:tcBorders>
              <w:top w:val="single" w:sz="4" w:space="0" w:color="auto"/>
              <w:left w:val="single" w:sz="4" w:space="0" w:color="auto"/>
              <w:right w:val="single" w:sz="4" w:space="0" w:color="auto"/>
            </w:tcBorders>
          </w:tcPr>
          <w:p w:rsidR="00000000" w:rsidRDefault="00000000">
            <w:r>
              <w:t>Всего, в том числе:</w:t>
            </w:r>
          </w:p>
        </w:tc>
        <w:tc>
          <w:tcPr>
            <w:tcW w:w="1496" w:type="dxa"/>
            <w:tcBorders>
              <w:top w:val="single" w:sz="4" w:space="0" w:color="auto"/>
              <w:left w:val="single" w:sz="4" w:space="0" w:color="auto"/>
              <w:right w:val="single" w:sz="4" w:space="0" w:color="auto"/>
            </w:tcBorders>
          </w:tcPr>
          <w:p w:rsidR="00000000" w:rsidRDefault="00000000">
            <w:pPr>
              <w:tabs>
                <w:tab w:val="clear" w:pos="567"/>
                <w:tab w:val="left" w:pos="1014"/>
              </w:tabs>
              <w:ind w:right="266"/>
              <w:jc w:val="right"/>
            </w:pPr>
            <w:r>
              <w:t>12 662</w:t>
            </w:r>
          </w:p>
        </w:tc>
        <w:tc>
          <w:tcPr>
            <w:tcW w:w="1496" w:type="dxa"/>
            <w:tcBorders>
              <w:top w:val="single" w:sz="4" w:space="0" w:color="auto"/>
              <w:left w:val="single" w:sz="4" w:space="0" w:color="auto"/>
              <w:right w:val="single" w:sz="4" w:space="0" w:color="auto"/>
            </w:tcBorders>
          </w:tcPr>
          <w:p w:rsidR="00000000" w:rsidRDefault="00000000">
            <w:pPr>
              <w:tabs>
                <w:tab w:val="left" w:pos="1014"/>
              </w:tabs>
              <w:ind w:right="266"/>
              <w:jc w:val="right"/>
            </w:pPr>
            <w:r>
              <w:t>14 037</w:t>
            </w:r>
          </w:p>
        </w:tc>
        <w:tc>
          <w:tcPr>
            <w:tcW w:w="1309" w:type="dxa"/>
            <w:tcBorders>
              <w:top w:val="single" w:sz="4" w:space="0" w:color="auto"/>
              <w:left w:val="single" w:sz="4" w:space="0" w:color="auto"/>
              <w:right w:val="single" w:sz="4" w:space="0" w:color="auto"/>
            </w:tcBorders>
          </w:tcPr>
          <w:p w:rsidR="00000000" w:rsidRDefault="00000000">
            <w:pPr>
              <w:tabs>
                <w:tab w:val="clear" w:pos="1134"/>
                <w:tab w:val="left" w:pos="827"/>
              </w:tabs>
              <w:ind w:right="266"/>
              <w:jc w:val="right"/>
            </w:pPr>
            <w:r>
              <w:t>15 904</w:t>
            </w:r>
          </w:p>
        </w:tc>
        <w:tc>
          <w:tcPr>
            <w:tcW w:w="1309" w:type="dxa"/>
            <w:tcBorders>
              <w:top w:val="single" w:sz="4" w:space="0" w:color="auto"/>
              <w:left w:val="single" w:sz="4" w:space="0" w:color="auto"/>
              <w:right w:val="single" w:sz="4" w:space="0" w:color="auto"/>
            </w:tcBorders>
          </w:tcPr>
          <w:p w:rsidR="00000000" w:rsidRDefault="00000000">
            <w:pPr>
              <w:tabs>
                <w:tab w:val="clear" w:pos="1134"/>
              </w:tabs>
              <w:ind w:right="266"/>
              <w:jc w:val="right"/>
            </w:pPr>
            <w:r>
              <w:t>21 245</w:t>
            </w:r>
          </w:p>
        </w:tc>
      </w:tr>
      <w:tr w:rsidR="00000000">
        <w:tblPrEx>
          <w:tblCellMar>
            <w:top w:w="0" w:type="dxa"/>
            <w:bottom w:w="0" w:type="dxa"/>
          </w:tblCellMar>
        </w:tblPrEx>
        <w:tc>
          <w:tcPr>
            <w:tcW w:w="4035" w:type="dxa"/>
            <w:tcBorders>
              <w:left w:val="single" w:sz="4" w:space="0" w:color="auto"/>
              <w:right w:val="single" w:sz="4" w:space="0" w:color="auto"/>
            </w:tcBorders>
          </w:tcPr>
          <w:p w:rsidR="00000000" w:rsidRDefault="00000000">
            <w:r>
              <w:t>А.  Жилые здания, общее число</w:t>
            </w:r>
          </w:p>
        </w:tc>
        <w:tc>
          <w:tcPr>
            <w:tcW w:w="1496" w:type="dxa"/>
            <w:tcBorders>
              <w:left w:val="single" w:sz="4" w:space="0" w:color="auto"/>
              <w:right w:val="single" w:sz="4" w:space="0" w:color="auto"/>
            </w:tcBorders>
          </w:tcPr>
          <w:p w:rsidR="00000000" w:rsidRDefault="00000000">
            <w:pPr>
              <w:tabs>
                <w:tab w:val="clear" w:pos="567"/>
                <w:tab w:val="left" w:pos="1014"/>
              </w:tabs>
              <w:ind w:right="266"/>
              <w:jc w:val="right"/>
              <w:rPr>
                <w:lang w:val="en-US"/>
              </w:rPr>
            </w:pPr>
            <w:r>
              <w:rPr>
                <w:lang w:val="en-US"/>
              </w:rPr>
              <w:t>10 996</w:t>
            </w:r>
          </w:p>
        </w:tc>
        <w:tc>
          <w:tcPr>
            <w:tcW w:w="1496" w:type="dxa"/>
            <w:tcBorders>
              <w:left w:val="single" w:sz="4" w:space="0" w:color="auto"/>
              <w:right w:val="single" w:sz="4" w:space="0" w:color="auto"/>
            </w:tcBorders>
          </w:tcPr>
          <w:p w:rsidR="00000000" w:rsidRDefault="00000000">
            <w:pPr>
              <w:tabs>
                <w:tab w:val="left" w:pos="1014"/>
              </w:tabs>
              <w:ind w:right="266"/>
              <w:jc w:val="right"/>
              <w:rPr>
                <w:lang w:val="en-US"/>
              </w:rPr>
            </w:pPr>
            <w:r>
              <w:rPr>
                <w:lang w:val="en-US"/>
              </w:rPr>
              <w:t>12 593</w:t>
            </w:r>
          </w:p>
        </w:tc>
        <w:tc>
          <w:tcPr>
            <w:tcW w:w="1309" w:type="dxa"/>
            <w:tcBorders>
              <w:left w:val="single" w:sz="4" w:space="0" w:color="auto"/>
              <w:right w:val="single" w:sz="4" w:space="0" w:color="auto"/>
            </w:tcBorders>
          </w:tcPr>
          <w:p w:rsidR="00000000" w:rsidRDefault="00000000">
            <w:pPr>
              <w:tabs>
                <w:tab w:val="clear" w:pos="1134"/>
                <w:tab w:val="left" w:pos="827"/>
              </w:tabs>
              <w:ind w:right="266"/>
              <w:jc w:val="right"/>
              <w:rPr>
                <w:lang w:val="en-US"/>
              </w:rPr>
            </w:pPr>
            <w:r>
              <w:rPr>
                <w:lang w:val="en-US"/>
              </w:rPr>
              <w:t>15 159</w:t>
            </w:r>
          </w:p>
        </w:tc>
        <w:tc>
          <w:tcPr>
            <w:tcW w:w="1309" w:type="dxa"/>
            <w:tcBorders>
              <w:left w:val="single" w:sz="4" w:space="0" w:color="auto"/>
              <w:right w:val="single" w:sz="4" w:space="0" w:color="auto"/>
            </w:tcBorders>
          </w:tcPr>
          <w:p w:rsidR="00000000" w:rsidRDefault="00000000">
            <w:pPr>
              <w:tabs>
                <w:tab w:val="clear" w:pos="1134"/>
              </w:tabs>
              <w:ind w:right="266"/>
              <w:jc w:val="right"/>
              <w:rPr>
                <w:lang w:val="en-US"/>
              </w:rPr>
            </w:pPr>
            <w:r>
              <w:rPr>
                <w:lang w:val="en-US"/>
              </w:rPr>
              <w:t>20 027</w:t>
            </w:r>
          </w:p>
        </w:tc>
      </w:tr>
      <w:tr w:rsidR="00000000">
        <w:tblPrEx>
          <w:tblCellMar>
            <w:top w:w="0" w:type="dxa"/>
            <w:bottom w:w="0" w:type="dxa"/>
          </w:tblCellMar>
        </w:tblPrEx>
        <w:tc>
          <w:tcPr>
            <w:tcW w:w="4035" w:type="dxa"/>
            <w:tcBorders>
              <w:left w:val="single" w:sz="4" w:space="0" w:color="auto"/>
              <w:right w:val="single" w:sz="4" w:space="0" w:color="auto"/>
            </w:tcBorders>
          </w:tcPr>
          <w:p w:rsidR="00000000" w:rsidRDefault="00000000">
            <w:pPr>
              <w:pStyle w:val="FootnoteText"/>
              <w:tabs>
                <w:tab w:val="left" w:pos="374"/>
              </w:tabs>
              <w:spacing w:line="288" w:lineRule="auto"/>
            </w:pPr>
            <w:r>
              <w:tab/>
              <w:t>в том числе:  в семейных домах</w:t>
            </w:r>
          </w:p>
        </w:tc>
        <w:tc>
          <w:tcPr>
            <w:tcW w:w="1496" w:type="dxa"/>
            <w:tcBorders>
              <w:left w:val="single" w:sz="4" w:space="0" w:color="auto"/>
              <w:right w:val="single" w:sz="4" w:space="0" w:color="auto"/>
            </w:tcBorders>
          </w:tcPr>
          <w:p w:rsidR="00000000" w:rsidRDefault="00000000">
            <w:pPr>
              <w:tabs>
                <w:tab w:val="clear" w:pos="567"/>
                <w:tab w:val="left" w:pos="1014"/>
              </w:tabs>
              <w:ind w:right="266"/>
              <w:jc w:val="right"/>
            </w:pPr>
            <w:r>
              <w:t>5 430</w:t>
            </w:r>
          </w:p>
        </w:tc>
        <w:tc>
          <w:tcPr>
            <w:tcW w:w="1496" w:type="dxa"/>
            <w:tcBorders>
              <w:left w:val="single" w:sz="4" w:space="0" w:color="auto"/>
              <w:right w:val="single" w:sz="4" w:space="0" w:color="auto"/>
            </w:tcBorders>
          </w:tcPr>
          <w:p w:rsidR="00000000" w:rsidRDefault="00000000">
            <w:pPr>
              <w:tabs>
                <w:tab w:val="left" w:pos="1014"/>
              </w:tabs>
              <w:ind w:right="266"/>
              <w:jc w:val="right"/>
            </w:pPr>
            <w:r>
              <w:t>5 730</w:t>
            </w:r>
          </w:p>
        </w:tc>
        <w:tc>
          <w:tcPr>
            <w:tcW w:w="1309" w:type="dxa"/>
            <w:tcBorders>
              <w:left w:val="single" w:sz="4" w:space="0" w:color="auto"/>
              <w:right w:val="single" w:sz="4" w:space="0" w:color="auto"/>
            </w:tcBorders>
          </w:tcPr>
          <w:p w:rsidR="00000000" w:rsidRDefault="00000000">
            <w:pPr>
              <w:tabs>
                <w:tab w:val="clear" w:pos="1134"/>
                <w:tab w:val="left" w:pos="827"/>
              </w:tabs>
              <w:ind w:right="266"/>
              <w:jc w:val="right"/>
            </w:pPr>
            <w:r>
              <w:t>6 506</w:t>
            </w:r>
          </w:p>
        </w:tc>
        <w:tc>
          <w:tcPr>
            <w:tcW w:w="1309" w:type="dxa"/>
            <w:tcBorders>
              <w:left w:val="single" w:sz="4" w:space="0" w:color="auto"/>
              <w:right w:val="single" w:sz="4" w:space="0" w:color="auto"/>
            </w:tcBorders>
          </w:tcPr>
          <w:p w:rsidR="00000000" w:rsidRDefault="00000000">
            <w:pPr>
              <w:tabs>
                <w:tab w:val="clear" w:pos="1134"/>
              </w:tabs>
              <w:ind w:right="266"/>
              <w:jc w:val="right"/>
              <w:rPr>
                <w:lang w:val="en-US"/>
              </w:rPr>
            </w:pPr>
            <w:r>
              <w:rPr>
                <w:lang w:val="en-US"/>
              </w:rPr>
              <w:t>8 336</w:t>
            </w:r>
          </w:p>
        </w:tc>
      </w:tr>
      <w:tr w:rsidR="00000000">
        <w:tblPrEx>
          <w:tblCellMar>
            <w:top w:w="0" w:type="dxa"/>
            <w:bottom w:w="0" w:type="dxa"/>
          </w:tblCellMar>
        </w:tblPrEx>
        <w:tc>
          <w:tcPr>
            <w:tcW w:w="4035" w:type="dxa"/>
            <w:tcBorders>
              <w:left w:val="single" w:sz="4" w:space="0" w:color="auto"/>
              <w:right w:val="single" w:sz="4" w:space="0" w:color="auto"/>
            </w:tcBorders>
          </w:tcPr>
          <w:p w:rsidR="00000000" w:rsidRDefault="00000000">
            <w:pPr>
              <w:tabs>
                <w:tab w:val="left" w:pos="374"/>
              </w:tabs>
            </w:pPr>
            <w:r>
              <w:tab/>
              <w:t>в жилых домах</w:t>
            </w:r>
          </w:p>
        </w:tc>
        <w:tc>
          <w:tcPr>
            <w:tcW w:w="1496" w:type="dxa"/>
            <w:tcBorders>
              <w:left w:val="single" w:sz="4" w:space="0" w:color="auto"/>
              <w:right w:val="single" w:sz="4" w:space="0" w:color="auto"/>
            </w:tcBorders>
          </w:tcPr>
          <w:p w:rsidR="00000000" w:rsidRDefault="00000000">
            <w:pPr>
              <w:tabs>
                <w:tab w:val="clear" w:pos="567"/>
                <w:tab w:val="left" w:pos="1014"/>
              </w:tabs>
              <w:ind w:right="266"/>
              <w:jc w:val="right"/>
            </w:pPr>
            <w:r>
              <w:t>3 583</w:t>
            </w:r>
          </w:p>
        </w:tc>
        <w:tc>
          <w:tcPr>
            <w:tcW w:w="1496" w:type="dxa"/>
            <w:tcBorders>
              <w:left w:val="single" w:sz="4" w:space="0" w:color="auto"/>
              <w:right w:val="single" w:sz="4" w:space="0" w:color="auto"/>
            </w:tcBorders>
          </w:tcPr>
          <w:p w:rsidR="00000000" w:rsidRDefault="00000000">
            <w:pPr>
              <w:tabs>
                <w:tab w:val="left" w:pos="1014"/>
              </w:tabs>
              <w:ind w:right="266"/>
              <w:jc w:val="right"/>
            </w:pPr>
            <w:r>
              <w:t>4 080</w:t>
            </w:r>
          </w:p>
        </w:tc>
        <w:tc>
          <w:tcPr>
            <w:tcW w:w="1309" w:type="dxa"/>
            <w:tcBorders>
              <w:left w:val="single" w:sz="4" w:space="0" w:color="auto"/>
              <w:right w:val="single" w:sz="4" w:space="0" w:color="auto"/>
            </w:tcBorders>
          </w:tcPr>
          <w:p w:rsidR="00000000" w:rsidRDefault="00000000">
            <w:pPr>
              <w:tabs>
                <w:tab w:val="clear" w:pos="1134"/>
                <w:tab w:val="left" w:pos="827"/>
              </w:tabs>
              <w:ind w:right="266"/>
              <w:jc w:val="right"/>
            </w:pPr>
            <w:r>
              <w:t>4 578</w:t>
            </w:r>
          </w:p>
        </w:tc>
        <w:tc>
          <w:tcPr>
            <w:tcW w:w="1309" w:type="dxa"/>
            <w:tcBorders>
              <w:left w:val="single" w:sz="4" w:space="0" w:color="auto"/>
              <w:right w:val="single" w:sz="4" w:space="0" w:color="auto"/>
            </w:tcBorders>
          </w:tcPr>
          <w:p w:rsidR="00000000" w:rsidRDefault="00000000">
            <w:pPr>
              <w:tabs>
                <w:tab w:val="clear" w:pos="1134"/>
              </w:tabs>
              <w:ind w:right="266"/>
              <w:jc w:val="right"/>
            </w:pPr>
            <w:r>
              <w:t>6 827</w:t>
            </w:r>
          </w:p>
        </w:tc>
      </w:tr>
      <w:tr w:rsidR="00000000">
        <w:tblPrEx>
          <w:tblCellMar>
            <w:top w:w="0" w:type="dxa"/>
            <w:bottom w:w="0" w:type="dxa"/>
          </w:tblCellMar>
        </w:tblPrEx>
        <w:tc>
          <w:tcPr>
            <w:tcW w:w="4035" w:type="dxa"/>
            <w:tcBorders>
              <w:left w:val="single" w:sz="4" w:space="0" w:color="auto"/>
              <w:right w:val="single" w:sz="4" w:space="0" w:color="auto"/>
            </w:tcBorders>
          </w:tcPr>
          <w:p w:rsidR="00000000" w:rsidRDefault="00000000">
            <w:pPr>
              <w:tabs>
                <w:tab w:val="left" w:pos="374"/>
              </w:tabs>
              <w:rPr>
                <w:i/>
                <w:iCs/>
              </w:rPr>
            </w:pPr>
            <w:r>
              <w:tab/>
            </w:r>
            <w:r>
              <w:tab/>
            </w:r>
            <w:r>
              <w:rPr>
                <w:i/>
                <w:iCs/>
              </w:rPr>
              <w:t>Кооперативное жилье</w:t>
            </w:r>
          </w:p>
        </w:tc>
        <w:tc>
          <w:tcPr>
            <w:tcW w:w="1496" w:type="dxa"/>
            <w:tcBorders>
              <w:left w:val="single" w:sz="4" w:space="0" w:color="auto"/>
              <w:right w:val="single" w:sz="4" w:space="0" w:color="auto"/>
            </w:tcBorders>
          </w:tcPr>
          <w:p w:rsidR="00000000" w:rsidRDefault="00000000">
            <w:pPr>
              <w:tabs>
                <w:tab w:val="clear" w:pos="567"/>
                <w:tab w:val="left" w:pos="1014"/>
              </w:tabs>
              <w:ind w:right="266"/>
              <w:jc w:val="right"/>
            </w:pPr>
            <w:r>
              <w:t>1 176</w:t>
            </w:r>
          </w:p>
        </w:tc>
        <w:tc>
          <w:tcPr>
            <w:tcW w:w="1496" w:type="dxa"/>
            <w:tcBorders>
              <w:left w:val="single" w:sz="4" w:space="0" w:color="auto"/>
              <w:right w:val="single" w:sz="4" w:space="0" w:color="auto"/>
            </w:tcBorders>
          </w:tcPr>
          <w:p w:rsidR="00000000" w:rsidRDefault="00000000">
            <w:pPr>
              <w:tabs>
                <w:tab w:val="left" w:pos="1014"/>
              </w:tabs>
              <w:ind w:right="266"/>
              <w:jc w:val="right"/>
            </w:pPr>
            <w:r>
              <w:t>352</w:t>
            </w:r>
          </w:p>
        </w:tc>
        <w:tc>
          <w:tcPr>
            <w:tcW w:w="1309" w:type="dxa"/>
            <w:tcBorders>
              <w:left w:val="single" w:sz="4" w:space="0" w:color="auto"/>
              <w:right w:val="single" w:sz="4" w:space="0" w:color="auto"/>
            </w:tcBorders>
          </w:tcPr>
          <w:p w:rsidR="00000000" w:rsidRDefault="00000000">
            <w:pPr>
              <w:tabs>
                <w:tab w:val="clear" w:pos="1134"/>
                <w:tab w:val="left" w:pos="827"/>
              </w:tabs>
              <w:ind w:right="266"/>
              <w:jc w:val="right"/>
            </w:pPr>
            <w:r>
              <w:t>131</w:t>
            </w:r>
          </w:p>
        </w:tc>
        <w:tc>
          <w:tcPr>
            <w:tcW w:w="1309" w:type="dxa"/>
            <w:tcBorders>
              <w:left w:val="single" w:sz="4" w:space="0" w:color="auto"/>
              <w:right w:val="single" w:sz="4" w:space="0" w:color="auto"/>
            </w:tcBorders>
          </w:tcPr>
          <w:p w:rsidR="00000000" w:rsidRDefault="00000000">
            <w:pPr>
              <w:tabs>
                <w:tab w:val="clear" w:pos="1134"/>
              </w:tabs>
              <w:ind w:right="266"/>
              <w:jc w:val="right"/>
            </w:pPr>
            <w:r>
              <w:t>138</w:t>
            </w:r>
          </w:p>
        </w:tc>
      </w:tr>
      <w:tr w:rsidR="00000000">
        <w:tblPrEx>
          <w:tblCellMar>
            <w:top w:w="0" w:type="dxa"/>
            <w:bottom w:w="0" w:type="dxa"/>
          </w:tblCellMar>
        </w:tblPrEx>
        <w:tc>
          <w:tcPr>
            <w:tcW w:w="4035" w:type="dxa"/>
            <w:tcBorders>
              <w:left w:val="single" w:sz="4" w:space="0" w:color="auto"/>
              <w:right w:val="single" w:sz="4" w:space="0" w:color="auto"/>
            </w:tcBorders>
          </w:tcPr>
          <w:p w:rsidR="00000000" w:rsidRDefault="00000000">
            <w:pPr>
              <w:tabs>
                <w:tab w:val="left" w:pos="374"/>
              </w:tabs>
              <w:rPr>
                <w:i/>
                <w:iCs/>
              </w:rPr>
            </w:pPr>
            <w:r>
              <w:tab/>
            </w:r>
            <w:r>
              <w:tab/>
            </w:r>
            <w:r>
              <w:rPr>
                <w:i/>
                <w:iCs/>
              </w:rPr>
              <w:t>Муниципальное жилье</w:t>
            </w:r>
          </w:p>
        </w:tc>
        <w:tc>
          <w:tcPr>
            <w:tcW w:w="1496" w:type="dxa"/>
            <w:tcBorders>
              <w:left w:val="single" w:sz="4" w:space="0" w:color="auto"/>
              <w:right w:val="single" w:sz="4" w:space="0" w:color="auto"/>
            </w:tcBorders>
          </w:tcPr>
          <w:p w:rsidR="00000000" w:rsidRDefault="00000000">
            <w:pPr>
              <w:tabs>
                <w:tab w:val="clear" w:pos="567"/>
                <w:tab w:val="left" w:pos="1014"/>
              </w:tabs>
              <w:ind w:right="266"/>
              <w:jc w:val="right"/>
            </w:pPr>
            <w:r>
              <w:t>1 689</w:t>
            </w:r>
          </w:p>
        </w:tc>
        <w:tc>
          <w:tcPr>
            <w:tcW w:w="1496" w:type="dxa"/>
            <w:tcBorders>
              <w:left w:val="single" w:sz="4" w:space="0" w:color="auto"/>
              <w:right w:val="single" w:sz="4" w:space="0" w:color="auto"/>
            </w:tcBorders>
          </w:tcPr>
          <w:p w:rsidR="00000000" w:rsidRDefault="00000000">
            <w:pPr>
              <w:tabs>
                <w:tab w:val="left" w:pos="1014"/>
              </w:tabs>
              <w:ind w:right="266"/>
              <w:jc w:val="right"/>
            </w:pPr>
            <w:r>
              <w:t>2 727</w:t>
            </w:r>
          </w:p>
        </w:tc>
        <w:tc>
          <w:tcPr>
            <w:tcW w:w="1309" w:type="dxa"/>
            <w:tcBorders>
              <w:left w:val="single" w:sz="4" w:space="0" w:color="auto"/>
              <w:right w:val="single" w:sz="4" w:space="0" w:color="auto"/>
            </w:tcBorders>
          </w:tcPr>
          <w:p w:rsidR="00000000" w:rsidRDefault="00000000">
            <w:pPr>
              <w:tabs>
                <w:tab w:val="clear" w:pos="1134"/>
                <w:tab w:val="left" w:pos="827"/>
              </w:tabs>
              <w:ind w:right="266"/>
              <w:jc w:val="right"/>
            </w:pPr>
            <w:r>
              <w:t>2 835</w:t>
            </w:r>
          </w:p>
        </w:tc>
        <w:tc>
          <w:tcPr>
            <w:tcW w:w="1309" w:type="dxa"/>
            <w:tcBorders>
              <w:left w:val="single" w:sz="4" w:space="0" w:color="auto"/>
              <w:right w:val="single" w:sz="4" w:space="0" w:color="auto"/>
            </w:tcBorders>
          </w:tcPr>
          <w:p w:rsidR="00000000" w:rsidRDefault="00000000">
            <w:pPr>
              <w:tabs>
                <w:tab w:val="clear" w:pos="1134"/>
              </w:tabs>
              <w:ind w:right="266"/>
              <w:jc w:val="right"/>
            </w:pPr>
            <w:r>
              <w:t>3 216</w:t>
            </w:r>
          </w:p>
        </w:tc>
      </w:tr>
      <w:tr w:rsidR="00000000">
        <w:tblPrEx>
          <w:tblCellMar>
            <w:top w:w="0" w:type="dxa"/>
            <w:bottom w:w="0" w:type="dxa"/>
          </w:tblCellMar>
        </w:tblPrEx>
        <w:tc>
          <w:tcPr>
            <w:tcW w:w="4035" w:type="dxa"/>
            <w:tcBorders>
              <w:left w:val="single" w:sz="4" w:space="0" w:color="auto"/>
              <w:right w:val="single" w:sz="4" w:space="0" w:color="auto"/>
            </w:tcBorders>
          </w:tcPr>
          <w:p w:rsidR="00000000" w:rsidRDefault="00000000">
            <w:pPr>
              <w:tabs>
                <w:tab w:val="left" w:pos="374"/>
              </w:tabs>
              <w:rPr>
                <w:i/>
                <w:iCs/>
              </w:rPr>
            </w:pPr>
            <w:r>
              <w:tab/>
            </w:r>
            <w:r>
              <w:tab/>
            </w:r>
            <w:r>
              <w:rPr>
                <w:i/>
                <w:iCs/>
              </w:rPr>
              <w:t>Прочее</w:t>
            </w:r>
          </w:p>
        </w:tc>
        <w:tc>
          <w:tcPr>
            <w:tcW w:w="1496" w:type="dxa"/>
            <w:tcBorders>
              <w:left w:val="single" w:sz="4" w:space="0" w:color="auto"/>
              <w:right w:val="single" w:sz="4" w:space="0" w:color="auto"/>
            </w:tcBorders>
          </w:tcPr>
          <w:p w:rsidR="00000000" w:rsidRDefault="00000000">
            <w:pPr>
              <w:tabs>
                <w:tab w:val="clear" w:pos="567"/>
                <w:tab w:val="left" w:pos="1014"/>
              </w:tabs>
              <w:ind w:right="266"/>
              <w:jc w:val="right"/>
            </w:pPr>
            <w:r>
              <w:t>718</w:t>
            </w:r>
          </w:p>
        </w:tc>
        <w:tc>
          <w:tcPr>
            <w:tcW w:w="1496" w:type="dxa"/>
            <w:tcBorders>
              <w:left w:val="single" w:sz="4" w:space="0" w:color="auto"/>
              <w:right w:val="single" w:sz="4" w:space="0" w:color="auto"/>
            </w:tcBorders>
          </w:tcPr>
          <w:p w:rsidR="00000000" w:rsidRDefault="00000000">
            <w:pPr>
              <w:tabs>
                <w:tab w:val="left" w:pos="1014"/>
              </w:tabs>
              <w:ind w:right="266"/>
              <w:jc w:val="right"/>
            </w:pPr>
            <w:r>
              <w:t>1 001</w:t>
            </w:r>
          </w:p>
        </w:tc>
        <w:tc>
          <w:tcPr>
            <w:tcW w:w="1309" w:type="dxa"/>
            <w:tcBorders>
              <w:left w:val="single" w:sz="4" w:space="0" w:color="auto"/>
              <w:right w:val="single" w:sz="4" w:space="0" w:color="auto"/>
            </w:tcBorders>
          </w:tcPr>
          <w:p w:rsidR="00000000" w:rsidRDefault="00000000">
            <w:pPr>
              <w:tabs>
                <w:tab w:val="clear" w:pos="1134"/>
                <w:tab w:val="left" w:pos="827"/>
              </w:tabs>
              <w:ind w:right="266"/>
              <w:jc w:val="right"/>
            </w:pPr>
            <w:r>
              <w:t>1 612</w:t>
            </w:r>
          </w:p>
        </w:tc>
        <w:tc>
          <w:tcPr>
            <w:tcW w:w="1309" w:type="dxa"/>
            <w:tcBorders>
              <w:left w:val="single" w:sz="4" w:space="0" w:color="auto"/>
              <w:right w:val="single" w:sz="4" w:space="0" w:color="auto"/>
            </w:tcBorders>
          </w:tcPr>
          <w:p w:rsidR="00000000" w:rsidRDefault="00000000">
            <w:pPr>
              <w:tabs>
                <w:tab w:val="clear" w:pos="1134"/>
              </w:tabs>
              <w:ind w:right="266"/>
              <w:jc w:val="right"/>
            </w:pPr>
            <w:r>
              <w:t>3 473</w:t>
            </w:r>
          </w:p>
        </w:tc>
      </w:tr>
      <w:tr w:rsidR="00000000">
        <w:tblPrEx>
          <w:tblCellMar>
            <w:top w:w="0" w:type="dxa"/>
            <w:bottom w:w="0" w:type="dxa"/>
          </w:tblCellMar>
        </w:tblPrEx>
        <w:tc>
          <w:tcPr>
            <w:tcW w:w="4035" w:type="dxa"/>
            <w:tcBorders>
              <w:left w:val="single" w:sz="4" w:space="0" w:color="auto"/>
              <w:right w:val="single" w:sz="4" w:space="0" w:color="auto"/>
            </w:tcBorders>
          </w:tcPr>
          <w:p w:rsidR="00000000" w:rsidRDefault="00000000">
            <w:pPr>
              <w:tabs>
                <w:tab w:val="left" w:pos="374"/>
              </w:tabs>
            </w:pPr>
            <w:r>
              <w:tab/>
              <w:t>Во всех типах построек</w:t>
            </w:r>
          </w:p>
        </w:tc>
        <w:tc>
          <w:tcPr>
            <w:tcW w:w="1496" w:type="dxa"/>
            <w:tcBorders>
              <w:left w:val="single" w:sz="4" w:space="0" w:color="auto"/>
              <w:right w:val="single" w:sz="4" w:space="0" w:color="auto"/>
            </w:tcBorders>
          </w:tcPr>
          <w:p w:rsidR="00000000" w:rsidRDefault="00000000">
            <w:pPr>
              <w:tabs>
                <w:tab w:val="clear" w:pos="567"/>
                <w:tab w:val="left" w:pos="1014"/>
              </w:tabs>
              <w:ind w:right="266"/>
              <w:jc w:val="right"/>
            </w:pPr>
            <w:r>
              <w:t>1 983</w:t>
            </w:r>
          </w:p>
        </w:tc>
        <w:tc>
          <w:tcPr>
            <w:tcW w:w="1496" w:type="dxa"/>
            <w:tcBorders>
              <w:left w:val="single" w:sz="4" w:space="0" w:color="auto"/>
              <w:right w:val="single" w:sz="4" w:space="0" w:color="auto"/>
            </w:tcBorders>
          </w:tcPr>
          <w:p w:rsidR="00000000" w:rsidRDefault="00000000">
            <w:pPr>
              <w:tabs>
                <w:tab w:val="left" w:pos="1014"/>
              </w:tabs>
              <w:ind w:right="266"/>
              <w:jc w:val="right"/>
            </w:pPr>
            <w:r>
              <w:t>2 783</w:t>
            </w:r>
          </w:p>
        </w:tc>
        <w:tc>
          <w:tcPr>
            <w:tcW w:w="1309" w:type="dxa"/>
            <w:tcBorders>
              <w:left w:val="single" w:sz="4" w:space="0" w:color="auto"/>
              <w:right w:val="single" w:sz="4" w:space="0" w:color="auto"/>
            </w:tcBorders>
          </w:tcPr>
          <w:p w:rsidR="00000000" w:rsidRDefault="00000000">
            <w:pPr>
              <w:tabs>
                <w:tab w:val="clear" w:pos="1134"/>
                <w:tab w:val="left" w:pos="827"/>
              </w:tabs>
              <w:ind w:right="266"/>
              <w:jc w:val="right"/>
            </w:pPr>
            <w:r>
              <w:t>4 075</w:t>
            </w:r>
          </w:p>
        </w:tc>
        <w:tc>
          <w:tcPr>
            <w:tcW w:w="1309" w:type="dxa"/>
            <w:tcBorders>
              <w:left w:val="single" w:sz="4" w:space="0" w:color="auto"/>
              <w:right w:val="single" w:sz="4" w:space="0" w:color="auto"/>
            </w:tcBorders>
          </w:tcPr>
          <w:p w:rsidR="00000000" w:rsidRDefault="00000000">
            <w:pPr>
              <w:tabs>
                <w:tab w:val="clear" w:pos="1134"/>
              </w:tabs>
              <w:ind w:right="266"/>
              <w:jc w:val="right"/>
            </w:pPr>
            <w:r>
              <w:t>4 864</w:t>
            </w:r>
          </w:p>
        </w:tc>
      </w:tr>
      <w:tr w:rsidR="00000000">
        <w:tblPrEx>
          <w:tblCellMar>
            <w:top w:w="0" w:type="dxa"/>
            <w:bottom w:w="0" w:type="dxa"/>
          </w:tblCellMar>
        </w:tblPrEx>
        <w:tc>
          <w:tcPr>
            <w:tcW w:w="4035" w:type="dxa"/>
            <w:tcBorders>
              <w:left w:val="single" w:sz="4" w:space="0" w:color="auto"/>
              <w:right w:val="single" w:sz="4" w:space="0" w:color="auto"/>
            </w:tcBorders>
          </w:tcPr>
          <w:p w:rsidR="00000000" w:rsidRDefault="00000000">
            <w:pPr>
              <w:tabs>
                <w:tab w:val="left" w:pos="374"/>
              </w:tabs>
            </w:pPr>
            <w:r>
              <w:t>В.  В общинных домах по уходу</w:t>
            </w:r>
          </w:p>
        </w:tc>
        <w:tc>
          <w:tcPr>
            <w:tcW w:w="1496" w:type="dxa"/>
            <w:tcBorders>
              <w:left w:val="single" w:sz="4" w:space="0" w:color="auto"/>
              <w:right w:val="single" w:sz="4" w:space="0" w:color="auto"/>
            </w:tcBorders>
          </w:tcPr>
          <w:p w:rsidR="00000000" w:rsidRDefault="00000000">
            <w:pPr>
              <w:tabs>
                <w:tab w:val="clear" w:pos="567"/>
                <w:tab w:val="left" w:pos="1014"/>
              </w:tabs>
              <w:ind w:right="266"/>
              <w:jc w:val="right"/>
              <w:rPr>
                <w:lang w:val="en-US"/>
              </w:rPr>
            </w:pPr>
            <w:r>
              <w:rPr>
                <w:lang w:val="en-US"/>
              </w:rPr>
              <w:t>1 609</w:t>
            </w:r>
          </w:p>
        </w:tc>
        <w:tc>
          <w:tcPr>
            <w:tcW w:w="1496" w:type="dxa"/>
            <w:tcBorders>
              <w:left w:val="single" w:sz="4" w:space="0" w:color="auto"/>
              <w:right w:val="single" w:sz="4" w:space="0" w:color="auto"/>
            </w:tcBorders>
          </w:tcPr>
          <w:p w:rsidR="00000000" w:rsidRDefault="00000000">
            <w:pPr>
              <w:tabs>
                <w:tab w:val="left" w:pos="1014"/>
              </w:tabs>
              <w:ind w:right="266"/>
              <w:jc w:val="right"/>
              <w:rPr>
                <w:lang w:val="en-US"/>
              </w:rPr>
            </w:pPr>
            <w:r>
              <w:rPr>
                <w:lang w:val="en-US"/>
              </w:rPr>
              <w:t>1 300</w:t>
            </w:r>
          </w:p>
        </w:tc>
        <w:tc>
          <w:tcPr>
            <w:tcW w:w="1309" w:type="dxa"/>
            <w:tcBorders>
              <w:left w:val="single" w:sz="4" w:space="0" w:color="auto"/>
              <w:right w:val="single" w:sz="4" w:space="0" w:color="auto"/>
            </w:tcBorders>
          </w:tcPr>
          <w:p w:rsidR="00000000" w:rsidRDefault="00000000">
            <w:pPr>
              <w:tabs>
                <w:tab w:val="clear" w:pos="1134"/>
                <w:tab w:val="left" w:pos="827"/>
              </w:tabs>
              <w:ind w:right="266"/>
              <w:jc w:val="right"/>
              <w:rPr>
                <w:lang w:val="en-US"/>
              </w:rPr>
            </w:pPr>
            <w:r>
              <w:rPr>
                <w:lang w:val="en-US"/>
              </w:rPr>
              <w:t>613</w:t>
            </w:r>
          </w:p>
        </w:tc>
        <w:tc>
          <w:tcPr>
            <w:tcW w:w="1309" w:type="dxa"/>
            <w:tcBorders>
              <w:left w:val="single" w:sz="4" w:space="0" w:color="auto"/>
              <w:right w:val="single" w:sz="4" w:space="0" w:color="auto"/>
            </w:tcBorders>
          </w:tcPr>
          <w:p w:rsidR="00000000" w:rsidRDefault="00000000">
            <w:pPr>
              <w:tabs>
                <w:tab w:val="clear" w:pos="1134"/>
              </w:tabs>
              <w:ind w:right="266"/>
              <w:jc w:val="right"/>
              <w:rPr>
                <w:lang w:val="en-US"/>
              </w:rPr>
            </w:pPr>
            <w:r>
              <w:rPr>
                <w:lang w:val="en-US"/>
              </w:rPr>
              <w:t>811</w:t>
            </w:r>
          </w:p>
        </w:tc>
      </w:tr>
      <w:tr w:rsidR="00000000">
        <w:tblPrEx>
          <w:tblCellMar>
            <w:top w:w="0" w:type="dxa"/>
            <w:bottom w:w="0" w:type="dxa"/>
          </w:tblCellMar>
        </w:tblPrEx>
        <w:tc>
          <w:tcPr>
            <w:tcW w:w="4035" w:type="dxa"/>
            <w:tcBorders>
              <w:left w:val="single" w:sz="4" w:space="0" w:color="auto"/>
              <w:right w:val="single" w:sz="4" w:space="0" w:color="auto"/>
            </w:tcBorders>
          </w:tcPr>
          <w:p w:rsidR="00000000" w:rsidRDefault="00000000">
            <w:pPr>
              <w:tabs>
                <w:tab w:val="left" w:pos="374"/>
              </w:tabs>
            </w:pPr>
            <w:r>
              <w:t>С.  В нежилых зданиях</w:t>
            </w:r>
          </w:p>
        </w:tc>
        <w:tc>
          <w:tcPr>
            <w:tcW w:w="1496" w:type="dxa"/>
            <w:tcBorders>
              <w:left w:val="single" w:sz="4" w:space="0" w:color="auto"/>
              <w:right w:val="single" w:sz="4" w:space="0" w:color="auto"/>
            </w:tcBorders>
          </w:tcPr>
          <w:p w:rsidR="00000000" w:rsidRDefault="00000000">
            <w:pPr>
              <w:tabs>
                <w:tab w:val="clear" w:pos="567"/>
                <w:tab w:val="left" w:pos="1014"/>
              </w:tabs>
              <w:ind w:right="266"/>
              <w:jc w:val="right"/>
            </w:pPr>
            <w:r>
              <w:t>57</w:t>
            </w:r>
          </w:p>
        </w:tc>
        <w:tc>
          <w:tcPr>
            <w:tcW w:w="1496" w:type="dxa"/>
            <w:tcBorders>
              <w:left w:val="single" w:sz="4" w:space="0" w:color="auto"/>
              <w:right w:val="single" w:sz="4" w:space="0" w:color="auto"/>
            </w:tcBorders>
          </w:tcPr>
          <w:p w:rsidR="00000000" w:rsidRDefault="00000000">
            <w:pPr>
              <w:tabs>
                <w:tab w:val="left" w:pos="1014"/>
              </w:tabs>
              <w:ind w:right="266"/>
              <w:jc w:val="right"/>
            </w:pPr>
            <w:r>
              <w:t>144</w:t>
            </w:r>
          </w:p>
        </w:tc>
        <w:tc>
          <w:tcPr>
            <w:tcW w:w="1309" w:type="dxa"/>
            <w:tcBorders>
              <w:left w:val="single" w:sz="4" w:space="0" w:color="auto"/>
              <w:right w:val="single" w:sz="4" w:space="0" w:color="auto"/>
            </w:tcBorders>
          </w:tcPr>
          <w:p w:rsidR="00000000" w:rsidRDefault="00000000">
            <w:pPr>
              <w:tabs>
                <w:tab w:val="clear" w:pos="1134"/>
                <w:tab w:val="left" w:pos="827"/>
              </w:tabs>
              <w:ind w:right="266"/>
              <w:jc w:val="right"/>
            </w:pPr>
            <w:r>
              <w:t>132</w:t>
            </w:r>
          </w:p>
        </w:tc>
        <w:tc>
          <w:tcPr>
            <w:tcW w:w="1309" w:type="dxa"/>
            <w:tcBorders>
              <w:left w:val="single" w:sz="4" w:space="0" w:color="auto"/>
              <w:right w:val="single" w:sz="4" w:space="0" w:color="auto"/>
            </w:tcBorders>
          </w:tcPr>
          <w:p w:rsidR="00000000" w:rsidRDefault="00000000">
            <w:pPr>
              <w:tabs>
                <w:tab w:val="clear" w:pos="1134"/>
              </w:tabs>
              <w:ind w:right="266"/>
              <w:jc w:val="right"/>
            </w:pPr>
            <w:r>
              <w:t>407</w:t>
            </w:r>
          </w:p>
        </w:tc>
      </w:tr>
      <w:tr w:rsidR="00000000">
        <w:tblPrEx>
          <w:tblCellMar>
            <w:top w:w="0" w:type="dxa"/>
            <w:bottom w:w="0" w:type="dxa"/>
          </w:tblCellMar>
        </w:tblPrEx>
        <w:tc>
          <w:tcPr>
            <w:tcW w:w="4035" w:type="dxa"/>
            <w:tcBorders>
              <w:left w:val="single" w:sz="4" w:space="0" w:color="auto"/>
              <w:bottom w:val="single" w:sz="4" w:space="0" w:color="auto"/>
              <w:right w:val="single" w:sz="4" w:space="0" w:color="auto"/>
            </w:tcBorders>
          </w:tcPr>
          <w:p w:rsidR="00000000" w:rsidRDefault="00000000">
            <w:pPr>
              <w:tabs>
                <w:tab w:val="left" w:pos="374"/>
              </w:tabs>
            </w:pPr>
            <w:r>
              <w:t>В переоборудованных нежилых</w:t>
            </w:r>
          </w:p>
          <w:p w:rsidR="00000000" w:rsidRDefault="00000000">
            <w:pPr>
              <w:tabs>
                <w:tab w:val="left" w:pos="374"/>
              </w:tabs>
            </w:pPr>
            <w:r>
              <w:t>помещениях</w:t>
            </w:r>
          </w:p>
        </w:tc>
        <w:tc>
          <w:tcPr>
            <w:tcW w:w="1496" w:type="dxa"/>
            <w:tcBorders>
              <w:left w:val="single" w:sz="4" w:space="0" w:color="auto"/>
              <w:bottom w:val="single" w:sz="4" w:space="0" w:color="auto"/>
              <w:right w:val="single" w:sz="4" w:space="0" w:color="auto"/>
            </w:tcBorders>
          </w:tcPr>
          <w:p w:rsidR="00000000" w:rsidRDefault="00000000">
            <w:pPr>
              <w:tabs>
                <w:tab w:val="clear" w:pos="567"/>
                <w:tab w:val="left" w:pos="1014"/>
              </w:tabs>
              <w:ind w:right="266"/>
              <w:jc w:val="right"/>
            </w:pPr>
            <w:r>
              <w:t>336</w:t>
            </w:r>
          </w:p>
        </w:tc>
        <w:tc>
          <w:tcPr>
            <w:tcW w:w="1496" w:type="dxa"/>
            <w:tcBorders>
              <w:left w:val="single" w:sz="4" w:space="0" w:color="auto"/>
              <w:bottom w:val="single" w:sz="4" w:space="0" w:color="auto"/>
              <w:right w:val="single" w:sz="4" w:space="0" w:color="auto"/>
            </w:tcBorders>
          </w:tcPr>
          <w:p w:rsidR="00000000" w:rsidRDefault="00000000">
            <w:pPr>
              <w:tabs>
                <w:tab w:val="left" w:pos="1014"/>
              </w:tabs>
              <w:ind w:right="266"/>
              <w:jc w:val="right"/>
            </w:pPr>
            <w:r>
              <w:t>445</w:t>
            </w:r>
          </w:p>
        </w:tc>
        <w:tc>
          <w:tcPr>
            <w:tcW w:w="1309" w:type="dxa"/>
            <w:tcBorders>
              <w:left w:val="single" w:sz="4" w:space="0" w:color="auto"/>
              <w:bottom w:val="single" w:sz="4" w:space="0" w:color="auto"/>
              <w:right w:val="single" w:sz="4" w:space="0" w:color="auto"/>
            </w:tcBorders>
          </w:tcPr>
          <w:p w:rsidR="00000000" w:rsidRDefault="00000000">
            <w:pPr>
              <w:tabs>
                <w:tab w:val="left" w:pos="827"/>
              </w:tabs>
              <w:ind w:right="266"/>
              <w:jc w:val="right"/>
            </w:pPr>
            <w:r>
              <w:t>853</w:t>
            </w:r>
          </w:p>
        </w:tc>
        <w:tc>
          <w:tcPr>
            <w:tcW w:w="1309" w:type="dxa"/>
            <w:tcBorders>
              <w:left w:val="single" w:sz="4" w:space="0" w:color="auto"/>
              <w:bottom w:val="single" w:sz="4" w:space="0" w:color="auto"/>
              <w:right w:val="single" w:sz="4" w:space="0" w:color="auto"/>
            </w:tcBorders>
          </w:tcPr>
          <w:p w:rsidR="00000000" w:rsidRDefault="00000000">
            <w:pPr>
              <w:tabs>
                <w:tab w:val="clear" w:pos="1134"/>
              </w:tabs>
              <w:ind w:right="266"/>
              <w:jc w:val="right"/>
            </w:pPr>
            <w:r>
              <w:t>938</w:t>
            </w:r>
          </w:p>
        </w:tc>
      </w:tr>
    </w:tbl>
    <w:p w:rsidR="00000000" w:rsidRDefault="00000000">
      <w:pPr>
        <w:pStyle w:val="FootnoteText"/>
        <w:spacing w:line="288" w:lineRule="auto"/>
      </w:pPr>
    </w:p>
    <w:p w:rsidR="00000000" w:rsidRDefault="00000000">
      <w:pPr>
        <w:pStyle w:val="FootnoteText"/>
        <w:spacing w:line="288" w:lineRule="auto"/>
        <w:rPr>
          <w:lang w:val="en-US"/>
        </w:rPr>
      </w:pPr>
      <w:r>
        <w:tab/>
      </w:r>
      <w:r>
        <w:rPr>
          <w:u w:val="single"/>
        </w:rPr>
        <w:t>Источник</w:t>
      </w:r>
      <w:r>
        <w:rPr>
          <w:lang w:val="en-US"/>
        </w:rPr>
        <w:t>:  Statistical Yearbook of the CR, 1999.</w:t>
      </w:r>
    </w:p>
    <w:p w:rsidR="00000000" w:rsidRDefault="00000000">
      <w:pPr>
        <w:pStyle w:val="FootnoteText"/>
        <w:spacing w:line="288" w:lineRule="auto"/>
        <w:rPr>
          <w:lang w:val="en-US"/>
        </w:rPr>
      </w:pPr>
    </w:p>
    <w:p w:rsidR="00000000" w:rsidRDefault="00000000">
      <w:pPr>
        <w:pStyle w:val="FootnoteText"/>
        <w:spacing w:line="288" w:lineRule="auto"/>
      </w:pPr>
      <w:r>
        <w:t>441.</w:t>
      </w:r>
      <w:r>
        <w:tab/>
        <w:t>Начиная с 1995 года осуществляется программа оказания поддержки строительству муниципальных (общинных) жилищ, сдаваемых в аренду;  эта программа предусматривает инвестиционные субсидии на сумму до 320 тыс. чешских крон в расчете на квартиру и до 50 тыс. чешских крон для технической инфраструктуры жилища.  Такая субсидия выделяется муниципалитету, который может осуществлять строительство совместно с другими инвесторами.  Построенные таким образом квартиры эксплуатируются на некоммерческой основе, т.е. за счет регулируемой или основанной на расходах арендной плате.  С начала 90-х годов инвестиционные субсидии также предоставляются для строительства зданий с расширенным кругом услуг (программа оказания поддержки строительству зданий с расширенным кругом услуг - общинных домов по уходу).  Муниципалитету выделяются инвестиционные субсидии в размере до 750 000 чешских крон на квартиру;  при помощи этих субсидий муниципалитеты строят небольшие квартиры для престарелых и других лиц с ограниченной способностью к самообслуживанию.  Такие квартиры сдаются на основе договора о найме с регулируемой, т.е. основанной на расходах квартирной платой, и проживающим в них лицам оказываются определенные социальные услуги.  Эти программы субсидий будут скорректированы в соответствии с основными направлениями жилищной политики правительства, с тем чтобы субсидии предоставлялись не только муниципалитетам, но также и неправительственным и некоммерческим организациям (см. также выше -разработка закона о жилищно-строительных обществах).  Также ожидается, что будет увеличен фонд субсидированных зданий, предназначенных для групп, находящихся в наименее привилегированном положении;  цель этой деятельности заключается в инвестиционной поддержке строительства домов закрытого типа, предоставлении другого жилья хозяйствам, выселенным за неуплату квартирной платы, и "домов временного проживания"</w:t>
      </w:r>
      <w:r>
        <w:rPr>
          <w:rStyle w:val="FootnoteReference"/>
        </w:rPr>
        <w:footnoteReference w:id="279"/>
      </w:r>
      <w:r>
        <w:t xml:space="preserve"> (срок проживания в этих домах является ограниченным). </w:t>
      </w:r>
    </w:p>
    <w:p w:rsidR="00000000" w:rsidRDefault="00000000">
      <w:pPr>
        <w:pStyle w:val="FootnoteText"/>
        <w:spacing w:line="288" w:lineRule="auto"/>
      </w:pPr>
    </w:p>
    <w:p w:rsidR="00000000" w:rsidRDefault="00000000">
      <w:pPr>
        <w:pStyle w:val="FootnoteText"/>
        <w:spacing w:line="288" w:lineRule="auto"/>
        <w:rPr>
          <w:i/>
          <w:iCs/>
        </w:rPr>
      </w:pPr>
      <w:r>
        <w:t>442.</w:t>
      </w:r>
      <w:r>
        <w:tab/>
        <w:t>В Чешской Республике имеется также отдельная категория специализированных жилых помещений, к которым относятся главным образом квартиры, специально оборудованные для доступа лиц с ограниченной способностью к активному передвижению.  Нормы, регулирующие использование этих квартир, содержатся в статье 9 закона, который был принят в 1992 году в целях дополнения и изменения Гражданского кодекса</w:t>
      </w:r>
      <w:r>
        <w:rPr>
          <w:rStyle w:val="FootnoteReference"/>
        </w:rPr>
        <w:footnoteReference w:id="280"/>
      </w:r>
      <w:r>
        <w:t>:  "…жилые помещения, специально приспособленные для проживания инвалидов.  Если специально оборудованное помещение было построено на государственные средства или с участием государства, то договор о найме может быть заключен лишь по рекомендации районного управления, которое, прежде чем выносить такую рекомендацию, запрашивает заключение правительственного комитета по делам инвалидов"</w:t>
      </w:r>
      <w:r>
        <w:rPr>
          <w:i/>
          <w:iCs/>
        </w:rPr>
        <w:t>.</w:t>
      </w:r>
    </w:p>
    <w:p w:rsidR="00000000" w:rsidRDefault="00000000">
      <w:pPr>
        <w:pStyle w:val="FootnoteText"/>
        <w:spacing w:line="288" w:lineRule="auto"/>
      </w:pPr>
    </w:p>
    <w:p w:rsidR="00000000" w:rsidRDefault="00000000">
      <w:pPr>
        <w:pStyle w:val="FootnoteText"/>
        <w:spacing w:line="288" w:lineRule="auto"/>
      </w:pPr>
      <w:r>
        <w:t>443.</w:t>
      </w:r>
      <w:r>
        <w:tab/>
        <w:t xml:space="preserve">Жилые помещения в специализированных зданиях представляют собой, согласно статье 10 этого же закона, квартиры в зданиях с оказанием дополнительных социальных услуг и в зданиях, полностью оборудованных для инвалидов.  Если государство участвовало в их строительстве, договоры о найме таких квартир заключаются по рекомендации районного управления. </w:t>
      </w:r>
    </w:p>
    <w:p w:rsidR="00000000" w:rsidRDefault="00000000">
      <w:pPr>
        <w:pStyle w:val="FootnoteText"/>
        <w:spacing w:line="288" w:lineRule="auto"/>
      </w:pPr>
      <w:r>
        <w:br w:type="page"/>
      </w:r>
    </w:p>
    <w:p w:rsidR="00000000" w:rsidRDefault="00000000">
      <w:pPr>
        <w:pStyle w:val="FootnoteText"/>
        <w:spacing w:line="288" w:lineRule="auto"/>
        <w:jc w:val="center"/>
        <w:rPr>
          <w:b/>
          <w:bCs/>
        </w:rPr>
      </w:pPr>
      <w:r>
        <w:rPr>
          <w:b/>
          <w:bCs/>
        </w:rPr>
        <w:t>Средства, выделяемые на жилищное строительство из государственного бюджета</w:t>
      </w:r>
    </w:p>
    <w:p w:rsidR="00000000" w:rsidRDefault="00000000">
      <w:pPr>
        <w:pStyle w:val="FootnoteText"/>
        <w:spacing w:line="288" w:lineRule="auto"/>
        <w:jc w:val="center"/>
        <w:rPr>
          <w:b/>
          <w:bCs/>
        </w:rPr>
      </w:pPr>
      <w:r>
        <w:t>(</w:t>
      </w:r>
      <w:r>
        <w:rPr>
          <w:b/>
          <w:bCs/>
        </w:rPr>
        <w:t>в млн. чешских крон)</w:t>
      </w:r>
    </w:p>
    <w:p w:rsidR="00000000" w:rsidRDefault="00000000">
      <w:pPr>
        <w:pStyle w:val="FootnoteText"/>
        <w:spacing w:line="288" w:lineRule="auto"/>
        <w:jc w:val="center"/>
        <w:rPr>
          <w:b/>
          <w:bCs/>
        </w:rPr>
      </w:pPr>
    </w:p>
    <w:tbl>
      <w:tblPr>
        <w:tblW w:w="0" w:type="auto"/>
        <w:tblBorders>
          <w:top w:val="single" w:sz="4" w:space="0" w:color="auto"/>
          <w:bottom w:val="single" w:sz="4" w:space="0" w:color="auto"/>
        </w:tblBorders>
        <w:tblLook w:val="0000" w:firstRow="0" w:lastRow="0" w:firstColumn="0" w:lastColumn="0" w:noHBand="0" w:noVBand="0"/>
      </w:tblPr>
      <w:tblGrid>
        <w:gridCol w:w="3099"/>
        <w:gridCol w:w="935"/>
        <w:gridCol w:w="935"/>
        <w:gridCol w:w="935"/>
        <w:gridCol w:w="935"/>
        <w:gridCol w:w="935"/>
        <w:gridCol w:w="935"/>
        <w:gridCol w:w="861"/>
      </w:tblGrid>
      <w:tr w:rsidR="00000000">
        <w:tblPrEx>
          <w:tblCellMar>
            <w:top w:w="0" w:type="dxa"/>
            <w:bottom w:w="0" w:type="dxa"/>
          </w:tblCellMar>
        </w:tblPrEx>
        <w:tc>
          <w:tcPr>
            <w:tcW w:w="310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rPr>
                <w:sz w:val="20"/>
              </w:rPr>
            </w:pP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r>
              <w:rPr>
                <w:sz w:val="20"/>
              </w:rPr>
              <w:t>1993</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r>
              <w:rPr>
                <w:sz w:val="20"/>
              </w:rPr>
              <w:t>1994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r>
              <w:rPr>
                <w:sz w:val="20"/>
              </w:rPr>
              <w:t>1995</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r>
              <w:rPr>
                <w:sz w:val="20"/>
              </w:rPr>
              <w:t>1996</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r>
              <w:rPr>
                <w:sz w:val="20"/>
              </w:rPr>
              <w:t>1997</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r>
              <w:rPr>
                <w:sz w:val="20"/>
              </w:rPr>
              <w:t>1998</w:t>
            </w:r>
          </w:p>
        </w:tc>
        <w:tc>
          <w:tcPr>
            <w:tcW w:w="861"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r>
              <w:rPr>
                <w:sz w:val="20"/>
              </w:rPr>
              <w:t>1999</w:t>
            </w:r>
          </w:p>
        </w:tc>
      </w:tr>
      <w:tr w:rsidR="00000000">
        <w:tblPrEx>
          <w:tblCellMar>
            <w:top w:w="0" w:type="dxa"/>
            <w:bottom w:w="0" w:type="dxa"/>
          </w:tblCellMar>
        </w:tblPrEx>
        <w:tc>
          <w:tcPr>
            <w:tcW w:w="3100" w:type="dxa"/>
            <w:tcBorders>
              <w:top w:val="single" w:sz="4" w:space="0" w:color="auto"/>
              <w:left w:val="single" w:sz="4" w:space="0" w:color="auto"/>
              <w:right w:val="single" w:sz="4" w:space="0" w:color="auto"/>
            </w:tcBorders>
          </w:tcPr>
          <w:p w:rsidR="00000000" w:rsidRDefault="00000000">
            <w:pPr>
              <w:pStyle w:val="FootnoteText"/>
              <w:tabs>
                <w:tab w:val="left" w:pos="374"/>
              </w:tabs>
              <w:spacing w:line="288" w:lineRule="auto"/>
              <w:rPr>
                <w:sz w:val="20"/>
              </w:rPr>
            </w:pPr>
            <w:r>
              <w:rPr>
                <w:sz w:val="20"/>
              </w:rPr>
              <w:t>Ремонт жилищного фонда</w:t>
            </w:r>
          </w:p>
        </w:tc>
        <w:tc>
          <w:tcPr>
            <w:tcW w:w="935"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408</w:t>
            </w:r>
          </w:p>
        </w:tc>
        <w:tc>
          <w:tcPr>
            <w:tcW w:w="935"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w:t>
            </w:r>
          </w:p>
        </w:tc>
        <w:tc>
          <w:tcPr>
            <w:tcW w:w="935"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w:t>
            </w:r>
          </w:p>
        </w:tc>
        <w:tc>
          <w:tcPr>
            <w:tcW w:w="935"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123</w:t>
            </w:r>
          </w:p>
        </w:tc>
        <w:tc>
          <w:tcPr>
            <w:tcW w:w="935"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240</w:t>
            </w:r>
          </w:p>
        </w:tc>
        <w:tc>
          <w:tcPr>
            <w:tcW w:w="935"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240</w:t>
            </w:r>
          </w:p>
        </w:tc>
        <w:tc>
          <w:tcPr>
            <w:tcW w:w="861"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420</w:t>
            </w:r>
          </w:p>
        </w:tc>
      </w:tr>
      <w:tr w:rsidR="00000000">
        <w:tblPrEx>
          <w:tblCellMar>
            <w:top w:w="0" w:type="dxa"/>
            <w:bottom w:w="0" w:type="dxa"/>
          </w:tblCellMar>
        </w:tblPrEx>
        <w:tc>
          <w:tcPr>
            <w:tcW w:w="3100" w:type="dxa"/>
            <w:tcBorders>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Строительство сдаваемых в</w:t>
            </w:r>
          </w:p>
          <w:p w:rsidR="00000000" w:rsidRDefault="00000000">
            <w:pPr>
              <w:pStyle w:val="FootnoteText"/>
              <w:tabs>
                <w:tab w:val="left" w:pos="187"/>
              </w:tabs>
              <w:spacing w:line="288" w:lineRule="auto"/>
              <w:rPr>
                <w:sz w:val="20"/>
              </w:rPr>
            </w:pPr>
            <w:r>
              <w:rPr>
                <w:sz w:val="20"/>
              </w:rPr>
              <w:tab/>
              <w:t xml:space="preserve">аренду жилых помещений и </w:t>
            </w:r>
          </w:p>
          <w:p w:rsidR="00000000" w:rsidRDefault="00000000">
            <w:pPr>
              <w:tabs>
                <w:tab w:val="left" w:pos="187"/>
              </w:tabs>
              <w:rPr>
                <w:sz w:val="20"/>
              </w:rPr>
            </w:pPr>
            <w:r>
              <w:rPr>
                <w:sz w:val="20"/>
              </w:rPr>
              <w:tab/>
              <w:t>технической инфраструктуры</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1 400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2 180</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2 698</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2 891</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3 480</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rPr>
                <w:sz w:val="20"/>
              </w:rPr>
            </w:pPr>
            <w:r>
              <w:rPr>
                <w:sz w:val="20"/>
              </w:rPr>
              <w:t>Кредиты, предоставляемые</w:t>
            </w:r>
          </w:p>
          <w:p w:rsidR="00000000" w:rsidRDefault="00000000">
            <w:pPr>
              <w:tabs>
                <w:tab w:val="left" w:pos="187"/>
              </w:tabs>
              <w:rPr>
                <w:sz w:val="20"/>
              </w:rPr>
            </w:pPr>
            <w:r>
              <w:rPr>
                <w:sz w:val="20"/>
              </w:rPr>
              <w:tab/>
              <w:t xml:space="preserve">муниципалитетам для ремонта </w:t>
            </w:r>
          </w:p>
          <w:p w:rsidR="00000000" w:rsidRDefault="00000000">
            <w:pPr>
              <w:pStyle w:val="BodyText2"/>
              <w:tabs>
                <w:tab w:val="left" w:pos="187"/>
              </w:tabs>
            </w:pPr>
            <w:r>
              <w:tab/>
              <w:t xml:space="preserve">и модернизации жилищного </w:t>
            </w:r>
          </w:p>
          <w:p w:rsidR="00000000" w:rsidRDefault="00000000">
            <w:pPr>
              <w:tabs>
                <w:tab w:val="left" w:pos="187"/>
              </w:tabs>
              <w:rPr>
                <w:sz w:val="20"/>
              </w:rPr>
            </w:pPr>
            <w:r>
              <w:rPr>
                <w:sz w:val="20"/>
              </w:rPr>
              <w:tab/>
              <w:t>фонда</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500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300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275</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240</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415</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300</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 xml:space="preserve">Строительство общинных </w:t>
            </w:r>
          </w:p>
          <w:p w:rsidR="00000000" w:rsidRDefault="00000000">
            <w:pPr>
              <w:pStyle w:val="FootnoteText"/>
              <w:tabs>
                <w:tab w:val="left" w:pos="187"/>
              </w:tabs>
              <w:spacing w:line="288" w:lineRule="auto"/>
              <w:rPr>
                <w:sz w:val="20"/>
              </w:rPr>
            </w:pPr>
            <w:r>
              <w:rPr>
                <w:sz w:val="20"/>
              </w:rPr>
              <w:tab/>
              <w:t xml:space="preserve">центров социального </w:t>
            </w:r>
          </w:p>
          <w:p w:rsidR="00000000" w:rsidRDefault="00000000">
            <w:pPr>
              <w:pStyle w:val="FootnoteText"/>
              <w:tabs>
                <w:tab w:val="left" w:pos="187"/>
              </w:tabs>
              <w:spacing w:line="288" w:lineRule="auto"/>
              <w:rPr>
                <w:sz w:val="20"/>
              </w:rPr>
            </w:pPr>
            <w:r>
              <w:rPr>
                <w:sz w:val="20"/>
              </w:rPr>
              <w:tab/>
              <w:t>обслуживания</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986</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1 500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1 688</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700</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600</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670</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471</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 xml:space="preserve">Государственные беспроцентные </w:t>
            </w:r>
          </w:p>
          <w:p w:rsidR="00000000" w:rsidRDefault="00000000">
            <w:pPr>
              <w:pStyle w:val="FootnoteText"/>
              <w:tabs>
                <w:tab w:val="left" w:pos="187"/>
              </w:tabs>
              <w:spacing w:line="288" w:lineRule="auto"/>
              <w:rPr>
                <w:sz w:val="20"/>
              </w:rPr>
            </w:pPr>
            <w:r>
              <w:rPr>
                <w:sz w:val="20"/>
              </w:rPr>
              <w:tab/>
              <w:t>займы</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270</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796</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1 450</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 xml:space="preserve">Оказание поддержки в связи с </w:t>
            </w:r>
          </w:p>
          <w:p w:rsidR="00000000" w:rsidRDefault="00000000">
            <w:pPr>
              <w:pStyle w:val="FootnoteText"/>
              <w:tabs>
                <w:tab w:val="left" w:pos="187"/>
              </w:tabs>
              <w:spacing w:line="288" w:lineRule="auto"/>
              <w:rPr>
                <w:sz w:val="20"/>
              </w:rPr>
            </w:pPr>
            <w:r>
              <w:rPr>
                <w:sz w:val="20"/>
              </w:rPr>
              <w:tab/>
              <w:t>ипотечными займами</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1</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34</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132</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250</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 xml:space="preserve">Оказание поддержки в связи со </w:t>
            </w:r>
          </w:p>
          <w:p w:rsidR="00000000" w:rsidRDefault="00000000">
            <w:pPr>
              <w:pStyle w:val="FootnoteText"/>
              <w:tabs>
                <w:tab w:val="left" w:pos="187"/>
              </w:tabs>
              <w:spacing w:line="288" w:lineRule="auto"/>
              <w:rPr>
                <w:sz w:val="20"/>
              </w:rPr>
            </w:pPr>
            <w:r>
              <w:rPr>
                <w:sz w:val="20"/>
              </w:rPr>
              <w:tab/>
              <w:t>сберегательными счетами для</w:t>
            </w:r>
          </w:p>
          <w:p w:rsidR="00000000" w:rsidRDefault="00000000">
            <w:pPr>
              <w:pStyle w:val="FootnoteText"/>
              <w:tabs>
                <w:tab w:val="left" w:pos="187"/>
              </w:tabs>
              <w:spacing w:line="288" w:lineRule="auto"/>
              <w:rPr>
                <w:sz w:val="20"/>
              </w:rPr>
            </w:pPr>
            <w:r>
              <w:rPr>
                <w:sz w:val="20"/>
              </w:rPr>
              <w:tab/>
              <w:t>строительства жилья</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284</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1 112</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2 311</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3 826</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5 068</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6 250</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 xml:space="preserve">Социальные пособия, связанные </w:t>
            </w:r>
          </w:p>
          <w:p w:rsidR="00000000" w:rsidRDefault="00000000">
            <w:pPr>
              <w:pStyle w:val="FootnoteText"/>
              <w:tabs>
                <w:tab w:val="left" w:pos="187"/>
              </w:tabs>
              <w:spacing w:line="288" w:lineRule="auto"/>
              <w:rPr>
                <w:sz w:val="20"/>
              </w:rPr>
            </w:pPr>
            <w:r>
              <w:rPr>
                <w:sz w:val="20"/>
              </w:rPr>
              <w:tab/>
              <w:t>с жильем</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lang w:val="en-US"/>
              </w:rPr>
              <w:t>-</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200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200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677</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lang w:val="en-US"/>
              </w:rPr>
            </w:pPr>
            <w:r>
              <w:rPr>
                <w:sz w:val="20"/>
                <w:lang w:val="en-US"/>
              </w:rPr>
              <w:t>929</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lang w:val="en-US"/>
              </w:rPr>
            </w:pPr>
            <w:r>
              <w:rPr>
                <w:sz w:val="20"/>
                <w:lang w:val="en-US"/>
              </w:rPr>
              <w:t>1 367</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lang w:val="en-US"/>
              </w:rPr>
            </w:pPr>
            <w:r>
              <w:rPr>
                <w:sz w:val="20"/>
                <w:lang w:val="en-US"/>
              </w:rPr>
              <w:t>2 067</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 xml:space="preserve">Завершение финансирования </w:t>
            </w:r>
          </w:p>
          <w:p w:rsidR="00000000" w:rsidRDefault="00000000">
            <w:pPr>
              <w:pStyle w:val="FootnoteText"/>
              <w:tabs>
                <w:tab w:val="left" w:pos="187"/>
              </w:tabs>
              <w:spacing w:line="288" w:lineRule="auto"/>
              <w:rPr>
                <w:sz w:val="20"/>
              </w:rPr>
            </w:pPr>
            <w:r>
              <w:rPr>
                <w:sz w:val="20"/>
              </w:rPr>
              <w:tab/>
              <w:t xml:space="preserve">всеобъемлющего жилищного </w:t>
            </w:r>
          </w:p>
          <w:p w:rsidR="00000000" w:rsidRDefault="00000000">
            <w:pPr>
              <w:pStyle w:val="FootnoteText"/>
              <w:tabs>
                <w:tab w:val="left" w:pos="187"/>
              </w:tabs>
              <w:spacing w:line="288" w:lineRule="auto"/>
              <w:rPr>
                <w:sz w:val="20"/>
              </w:rPr>
            </w:pPr>
            <w:r>
              <w:rPr>
                <w:sz w:val="20"/>
              </w:rPr>
              <w:tab/>
              <w:t>строительства</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1 541</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1 300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520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50</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lang w:val="en-US"/>
              </w:rPr>
            </w:pPr>
            <w:r>
              <w:rPr>
                <w:sz w:val="20"/>
                <w:lang w:val="en-US"/>
              </w:rPr>
              <w:t xml:space="preserve"> 35</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lang w:val="en-US"/>
              </w:rPr>
            </w:pPr>
            <w:r>
              <w:rPr>
                <w:sz w:val="20"/>
                <w:lang w:val="en-US"/>
              </w:rPr>
              <w:t xml:space="preserve"> -</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lang w:val="en-US"/>
              </w:rPr>
            </w:pPr>
            <w:r>
              <w:rPr>
                <w:sz w:val="20"/>
                <w:lang w:val="en-US"/>
              </w:rPr>
              <w:t>-</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 xml:space="preserve">Субсидии для строительства </w:t>
            </w:r>
          </w:p>
          <w:p w:rsidR="00000000" w:rsidRDefault="00000000">
            <w:pPr>
              <w:pStyle w:val="FootnoteText"/>
              <w:tabs>
                <w:tab w:val="left" w:pos="187"/>
              </w:tabs>
              <w:spacing w:line="288" w:lineRule="auto"/>
              <w:rPr>
                <w:sz w:val="20"/>
              </w:rPr>
            </w:pPr>
            <w:r>
              <w:rPr>
                <w:sz w:val="20"/>
              </w:rPr>
              <w:tab/>
              <w:t xml:space="preserve">индивидуальных и </w:t>
            </w:r>
          </w:p>
          <w:p w:rsidR="00000000" w:rsidRDefault="00000000">
            <w:pPr>
              <w:pStyle w:val="FootnoteText"/>
              <w:tabs>
                <w:tab w:val="left" w:pos="187"/>
              </w:tabs>
              <w:spacing w:line="288" w:lineRule="auto"/>
              <w:rPr>
                <w:sz w:val="20"/>
              </w:rPr>
            </w:pPr>
            <w:r>
              <w:rPr>
                <w:sz w:val="20"/>
              </w:rPr>
              <w:tab/>
              <w:t>кооперативных домов</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80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1 000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300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50</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 xml:space="preserve">Строительство муниципального </w:t>
            </w:r>
          </w:p>
          <w:p w:rsidR="00000000" w:rsidRDefault="00000000">
            <w:pPr>
              <w:pStyle w:val="FootnoteText"/>
              <w:tabs>
                <w:tab w:val="left" w:pos="187"/>
              </w:tabs>
              <w:spacing w:line="288" w:lineRule="auto"/>
              <w:rPr>
                <w:sz w:val="20"/>
              </w:rPr>
            </w:pPr>
            <w:r>
              <w:rPr>
                <w:sz w:val="20"/>
              </w:rPr>
              <w:tab/>
              <w:t>жилья</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42</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400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350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lang w:val="en-US"/>
              </w:rPr>
            </w:pPr>
            <w:r>
              <w:rPr>
                <w:sz w:val="20"/>
                <w:lang w:val="en-US"/>
              </w:rPr>
              <w:t>-</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lang w:val="en-US"/>
              </w:rPr>
            </w:pPr>
            <w:r>
              <w:rPr>
                <w:sz w:val="20"/>
                <w:lang w:val="en-US"/>
              </w:rPr>
              <w:t>-</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lang w:val="en-US"/>
              </w:rPr>
            </w:pPr>
            <w:r>
              <w:rPr>
                <w:sz w:val="20"/>
                <w:lang w:val="en-US"/>
              </w:rPr>
              <w:t>-</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Итого</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3 057</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5 184</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5 870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6 367</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lang w:val="en-US"/>
              </w:rPr>
            </w:pPr>
            <w:r>
              <w:rPr>
                <w:sz w:val="20"/>
                <w:lang w:val="en-US"/>
              </w:rPr>
              <w:t>8 872</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lang w:val="en-US"/>
              </w:rPr>
            </w:pPr>
            <w:r>
              <w:rPr>
                <w:sz w:val="20"/>
                <w:lang w:val="en-US"/>
              </w:rPr>
              <w:t>11 579</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lang w:val="en-US"/>
              </w:rPr>
            </w:pPr>
            <w:r>
              <w:rPr>
                <w:sz w:val="20"/>
                <w:lang w:val="en-US"/>
              </w:rPr>
              <w:t>14 688</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ВНП (в млрд. чешских крон)</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1 002</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1 143</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1 339</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1 525</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1 680</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1 821</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1 868</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Процент от ВНП</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0,30</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0,45</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0,44</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0,42</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0,53</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0,64</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0,79</w:t>
            </w:r>
          </w:p>
        </w:tc>
      </w:tr>
      <w:tr w:rsidR="00000000">
        <w:tblPrEx>
          <w:tblCellMar>
            <w:top w:w="0" w:type="dxa"/>
            <w:bottom w:w="0" w:type="dxa"/>
          </w:tblCellMar>
        </w:tblPrEx>
        <w:tc>
          <w:tcPr>
            <w:tcW w:w="3100"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rPr>
                <w:sz w:val="20"/>
              </w:rPr>
            </w:pPr>
            <w:r>
              <w:rPr>
                <w:sz w:val="20"/>
              </w:rPr>
              <w:t xml:space="preserve">Расходы из государственного </w:t>
            </w:r>
          </w:p>
          <w:p w:rsidR="00000000" w:rsidRDefault="00000000">
            <w:pPr>
              <w:pStyle w:val="FootnoteText"/>
              <w:tabs>
                <w:tab w:val="left" w:pos="187"/>
              </w:tabs>
              <w:spacing w:line="288" w:lineRule="auto"/>
              <w:rPr>
                <w:sz w:val="20"/>
              </w:rPr>
            </w:pPr>
            <w:r>
              <w:rPr>
                <w:sz w:val="20"/>
              </w:rPr>
              <w:tab/>
              <w:t xml:space="preserve">бюджета (в млн. чешских </w:t>
            </w:r>
          </w:p>
          <w:p w:rsidR="00000000" w:rsidRDefault="00000000">
            <w:pPr>
              <w:pStyle w:val="FootnoteText"/>
              <w:tabs>
                <w:tab w:val="left" w:pos="187"/>
              </w:tabs>
              <w:spacing w:line="288" w:lineRule="auto"/>
              <w:rPr>
                <w:sz w:val="20"/>
              </w:rPr>
            </w:pPr>
            <w:r>
              <w:rPr>
                <w:sz w:val="20"/>
              </w:rPr>
              <w:tab/>
              <w:t>крон)</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356 919</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380 059</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432 738</w:t>
            </w:r>
          </w:p>
        </w:tc>
        <w:tc>
          <w:tcPr>
            <w:tcW w:w="935" w:type="dxa"/>
            <w:tcBorders>
              <w:top w:val="nil"/>
              <w:left w:val="single" w:sz="4" w:space="0" w:color="auto"/>
              <w:bottom w:val="nil"/>
              <w:right w:val="single" w:sz="4" w:space="0" w:color="auto"/>
            </w:tcBorders>
          </w:tcPr>
          <w:p w:rsidR="00000000" w:rsidRDefault="00000000">
            <w:pPr>
              <w:pStyle w:val="FootnoteText"/>
              <w:tabs>
                <w:tab w:val="left" w:pos="187"/>
              </w:tabs>
              <w:spacing w:line="288" w:lineRule="auto"/>
              <w:jc w:val="right"/>
              <w:rPr>
                <w:sz w:val="20"/>
              </w:rPr>
            </w:pPr>
            <w:r>
              <w:rPr>
                <w:sz w:val="20"/>
              </w:rPr>
              <w:t>484 379</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524 668</w:t>
            </w:r>
          </w:p>
        </w:tc>
        <w:tc>
          <w:tcPr>
            <w:tcW w:w="935"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566 740</w:t>
            </w:r>
          </w:p>
        </w:tc>
        <w:tc>
          <w:tcPr>
            <w:tcW w:w="861" w:type="dxa"/>
            <w:tcBorders>
              <w:top w:val="nil"/>
              <w:left w:val="single" w:sz="4" w:space="0" w:color="auto"/>
              <w:bottom w:val="nil"/>
              <w:right w:val="single" w:sz="4" w:space="0" w:color="auto"/>
            </w:tcBorders>
          </w:tcPr>
          <w:p w:rsidR="00000000" w:rsidRDefault="00000000">
            <w:pPr>
              <w:pStyle w:val="FootnoteText"/>
              <w:spacing w:line="288" w:lineRule="auto"/>
              <w:jc w:val="right"/>
              <w:rPr>
                <w:sz w:val="20"/>
              </w:rPr>
            </w:pPr>
            <w:r>
              <w:rPr>
                <w:sz w:val="20"/>
              </w:rPr>
              <w:t>605 127</w:t>
            </w:r>
          </w:p>
        </w:tc>
      </w:tr>
      <w:tr w:rsidR="00000000">
        <w:tblPrEx>
          <w:tblCellMar>
            <w:top w:w="0" w:type="dxa"/>
            <w:bottom w:w="0" w:type="dxa"/>
          </w:tblCellMar>
        </w:tblPrEx>
        <w:tc>
          <w:tcPr>
            <w:tcW w:w="3100" w:type="dxa"/>
            <w:tcBorders>
              <w:top w:val="nil"/>
              <w:left w:val="single" w:sz="4" w:space="0" w:color="auto"/>
              <w:bottom w:val="single" w:sz="4" w:space="0" w:color="auto"/>
              <w:right w:val="single" w:sz="4" w:space="0" w:color="auto"/>
            </w:tcBorders>
          </w:tcPr>
          <w:p w:rsidR="00000000" w:rsidRDefault="00000000">
            <w:pPr>
              <w:pStyle w:val="FootnoteText"/>
              <w:tabs>
                <w:tab w:val="left" w:pos="187"/>
              </w:tabs>
              <w:spacing w:line="288" w:lineRule="auto"/>
              <w:rPr>
                <w:sz w:val="20"/>
              </w:rPr>
            </w:pPr>
            <w:r>
              <w:rPr>
                <w:sz w:val="20"/>
              </w:rPr>
              <w:t>Процентная доля расходов из</w:t>
            </w:r>
          </w:p>
          <w:p w:rsidR="00000000" w:rsidRDefault="00000000">
            <w:pPr>
              <w:pStyle w:val="FootnoteText"/>
              <w:tabs>
                <w:tab w:val="left" w:pos="187"/>
              </w:tabs>
              <w:spacing w:line="288" w:lineRule="auto"/>
              <w:rPr>
                <w:sz w:val="20"/>
              </w:rPr>
            </w:pPr>
            <w:r>
              <w:rPr>
                <w:sz w:val="20"/>
              </w:rPr>
              <w:tab/>
              <w:t>государственного бюджета</w:t>
            </w:r>
          </w:p>
        </w:tc>
        <w:tc>
          <w:tcPr>
            <w:tcW w:w="935" w:type="dxa"/>
            <w:tcBorders>
              <w:top w:val="nil"/>
              <w:left w:val="single" w:sz="4" w:space="0" w:color="auto"/>
              <w:bottom w:val="single" w:sz="4" w:space="0" w:color="auto"/>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0,86</w:t>
            </w:r>
          </w:p>
        </w:tc>
        <w:tc>
          <w:tcPr>
            <w:tcW w:w="935" w:type="dxa"/>
            <w:tcBorders>
              <w:top w:val="nil"/>
              <w:left w:val="single" w:sz="4" w:space="0" w:color="auto"/>
              <w:bottom w:val="single" w:sz="4" w:space="0" w:color="auto"/>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1,36</w:t>
            </w:r>
          </w:p>
        </w:tc>
        <w:tc>
          <w:tcPr>
            <w:tcW w:w="935" w:type="dxa"/>
            <w:tcBorders>
              <w:top w:val="nil"/>
              <w:left w:val="single" w:sz="4" w:space="0" w:color="auto"/>
              <w:bottom w:val="single" w:sz="4" w:space="0" w:color="auto"/>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1,36</w:t>
            </w:r>
          </w:p>
        </w:tc>
        <w:tc>
          <w:tcPr>
            <w:tcW w:w="935" w:type="dxa"/>
            <w:tcBorders>
              <w:top w:val="nil"/>
              <w:left w:val="single" w:sz="4" w:space="0" w:color="auto"/>
              <w:bottom w:val="single" w:sz="4" w:space="0" w:color="auto"/>
              <w:right w:val="single" w:sz="4" w:space="0" w:color="auto"/>
            </w:tcBorders>
          </w:tcPr>
          <w:p w:rsidR="00000000" w:rsidRDefault="00000000">
            <w:pPr>
              <w:pStyle w:val="FootnoteText"/>
              <w:tabs>
                <w:tab w:val="left" w:pos="187"/>
              </w:tabs>
              <w:spacing w:line="288" w:lineRule="auto"/>
              <w:jc w:val="right"/>
              <w:rPr>
                <w:sz w:val="20"/>
                <w:lang w:val="en-US"/>
              </w:rPr>
            </w:pPr>
            <w:r>
              <w:rPr>
                <w:sz w:val="20"/>
                <w:lang w:val="en-US"/>
              </w:rPr>
              <w:t>1,31</w:t>
            </w:r>
          </w:p>
        </w:tc>
        <w:tc>
          <w:tcPr>
            <w:tcW w:w="935" w:type="dxa"/>
            <w:tcBorders>
              <w:top w:val="nil"/>
              <w:left w:val="single" w:sz="4" w:space="0" w:color="auto"/>
              <w:bottom w:val="single" w:sz="4" w:space="0" w:color="auto"/>
              <w:right w:val="single" w:sz="4" w:space="0" w:color="auto"/>
            </w:tcBorders>
          </w:tcPr>
          <w:p w:rsidR="00000000" w:rsidRDefault="00000000">
            <w:pPr>
              <w:pStyle w:val="FootnoteText"/>
              <w:spacing w:line="288" w:lineRule="auto"/>
              <w:jc w:val="right"/>
              <w:rPr>
                <w:sz w:val="20"/>
                <w:lang w:val="en-US"/>
              </w:rPr>
            </w:pPr>
            <w:r>
              <w:rPr>
                <w:sz w:val="20"/>
                <w:lang w:val="en-US"/>
              </w:rPr>
              <w:t>1,69</w:t>
            </w:r>
          </w:p>
        </w:tc>
        <w:tc>
          <w:tcPr>
            <w:tcW w:w="935" w:type="dxa"/>
            <w:tcBorders>
              <w:top w:val="nil"/>
              <w:left w:val="single" w:sz="4" w:space="0" w:color="auto"/>
              <w:bottom w:val="single" w:sz="4" w:space="0" w:color="auto"/>
              <w:right w:val="single" w:sz="4" w:space="0" w:color="auto"/>
            </w:tcBorders>
          </w:tcPr>
          <w:p w:rsidR="00000000" w:rsidRDefault="00000000">
            <w:pPr>
              <w:pStyle w:val="FootnoteText"/>
              <w:spacing w:line="288" w:lineRule="auto"/>
              <w:jc w:val="right"/>
              <w:rPr>
                <w:sz w:val="20"/>
                <w:lang w:val="en-US"/>
              </w:rPr>
            </w:pPr>
            <w:r>
              <w:rPr>
                <w:sz w:val="20"/>
                <w:lang w:val="en-US"/>
              </w:rPr>
              <w:t>2,04</w:t>
            </w:r>
          </w:p>
        </w:tc>
        <w:tc>
          <w:tcPr>
            <w:tcW w:w="861" w:type="dxa"/>
            <w:tcBorders>
              <w:top w:val="nil"/>
              <w:left w:val="single" w:sz="4" w:space="0" w:color="auto"/>
              <w:bottom w:val="single" w:sz="4" w:space="0" w:color="auto"/>
              <w:right w:val="single" w:sz="4" w:space="0" w:color="auto"/>
            </w:tcBorders>
          </w:tcPr>
          <w:p w:rsidR="00000000" w:rsidRDefault="00000000">
            <w:pPr>
              <w:pStyle w:val="FootnoteText"/>
              <w:spacing w:line="288" w:lineRule="auto"/>
              <w:jc w:val="right"/>
              <w:rPr>
                <w:sz w:val="20"/>
                <w:lang w:val="en-US"/>
              </w:rPr>
            </w:pPr>
            <w:r>
              <w:rPr>
                <w:sz w:val="20"/>
                <w:lang w:val="en-US"/>
              </w:rPr>
              <w:t>2,43</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Министерство местного развития, 1999 год.</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r>
        <w:t>444.</w:t>
      </w:r>
      <w:r>
        <w:tab/>
        <w:t>Меры, касающиеся предоставления неиспользуемых, недостаточно используемых или используемых не по назначению земельных участков, регулируются в Чешской Республике Законом об условиях передачи сельскохозяйственных и лесных земель из собственности государства в собственность других лиц</w:t>
      </w:r>
      <w:r>
        <w:rPr>
          <w:rStyle w:val="FootnoteReference"/>
        </w:rPr>
        <w:footnoteReference w:id="281"/>
      </w:r>
      <w:r>
        <w:t xml:space="preserve"> и Законом о налогообложении наследования, дарения и передачи недвижимой собственности</w:t>
      </w:r>
      <w:r>
        <w:rPr>
          <w:rStyle w:val="FootnoteReference"/>
        </w:rPr>
        <w:footnoteReference w:id="282"/>
      </w:r>
    </w:p>
    <w:p w:rsidR="00000000" w:rsidRDefault="00000000"/>
    <w:p w:rsidR="00000000" w:rsidRDefault="00000000">
      <w:r>
        <w:t>445.</w:t>
      </w:r>
      <w:r>
        <w:tab/>
        <w:t>В Чешской Республике жилищный сектор является одной из областей, на которые выделяется международная финансовая помощь.  Основная цель использования международной поддержки заключается в развитии городских районов и жилищного фонда с учетом местных условий, а также в оказании жилищной помощи уязвимым группам населения.  Иностранная помощь, направленная на развитие жилищного фонда или обновление городов, используется отдельными муниципалитетами в соответствии с их условиями и потребностями.  Если такая поддержка предназначена для групп, находящихся в наименее благоприятном положении, то она используется главным образом для строительства домов закрытого типа для лиц с психическими заболеваниями и лиц с комплексной инвалидностью, жилья для престарелых и других лиц с ограниченной способностью к самообслуживанию, для строительства жилищ для представителей народа рома, убежищ и "домов временного проживания".</w:t>
      </w:r>
    </w:p>
    <w:p w:rsidR="00000000" w:rsidRDefault="00000000"/>
    <w:p w:rsidR="00000000" w:rsidRDefault="00000000">
      <w:r>
        <w:t>446.</w:t>
      </w:r>
      <w:r>
        <w:tab/>
        <w:t>Проводимые социальные и экономические преобразования также оказывают влияние на жилищный сектор и развитие рынка жилья.  Основные причины того, почему до сих пор невозможно обеспечить на практике каждому лицу возможность найти жилье, отвечающее его возможностям и усилиям, затраченным на рынке труда и жилья, носит правовой, экономический и психологический характер.</w:t>
      </w:r>
    </w:p>
    <w:p w:rsidR="00000000" w:rsidRDefault="00000000"/>
    <w:p w:rsidR="00000000" w:rsidRDefault="00000000">
      <w:r>
        <w:t>447.</w:t>
      </w:r>
      <w:r>
        <w:tab/>
        <w:t>Пока еще не существует всеобъемлющих правовых рамок, которые позволили бы наладить эффективное функционирование рынка жилья.  Сохраняются относительные преимущества нанимателя квартиры по сравнению с владельцем, и существуют определенные проблемы, связанные с осуществлением прав в судебном порядке и медленной работой судов.  С экономической точки зрения эта проблема заключается в широком распространении несистематизированной, а во многих случаях и неоправданной, арендной платы</w:t>
      </w:r>
      <w:r>
        <w:rPr>
          <w:rStyle w:val="FootnoteReference"/>
        </w:rPr>
        <w:footnoteReference w:id="283"/>
      </w:r>
      <w:r>
        <w:t xml:space="preserve"> в большинстве арендуемых квартир (то есть в квартирах, принадлежащих муниципалитетам, государству и частным собственникам), что еще более обостряет некоторые нежелательные проявления несправедливости в жилищном секторе (как с точки зрения прав на управление и пользования, так и с точки зрения расходов на жилье).  Желательному функционированию рынка жилья также препятствует психологическое наследие, проявляющееся в попытках многих лиц и хозяйств переложить решение своих жилищных проблем на государство и нежелание изменить структуру расходов хозяйства в пользу жилья за счет расходов на другие потребности.  К этому относится необходимость строго выделять расходы на жилье (получение, содержание, арендная плата), на жилищные услуги и другую продукцию, в частности на энергию.  В этой связи владельцы недвижимости </w:t>
      </w:r>
      <w:r>
        <w:noBreakHyphen/>
        <w:t xml:space="preserve"> жилых многоквартирных домов с контролируемой арендной платой </w:t>
      </w:r>
      <w:r>
        <w:noBreakHyphen/>
        <w:t xml:space="preserve"> жалуются, в частности со ссылкой на пункт 4 статьи 11 Хартии</w:t>
      </w:r>
      <w:r>
        <w:rPr>
          <w:rStyle w:val="FootnoteReference"/>
        </w:rPr>
        <w:footnoteReference w:id="284"/>
      </w:r>
      <w:r>
        <w:t xml:space="preserve"> и Гражданский кодекс, на то, что их права собственности нарушаются на долгосрочной основе, в особенности их право на использование, право на пользование вещью и право на доходы и отчуждение собственности (статья 123 Гражданского кодекса).</w:t>
      </w:r>
    </w:p>
    <w:p w:rsidR="00000000" w:rsidRDefault="00000000"/>
    <w:p w:rsidR="00000000" w:rsidRDefault="00000000">
      <w:r>
        <w:t>448.</w:t>
      </w:r>
      <w:r>
        <w:tab/>
        <w:t>В октябре 1999 года правительство приняло новые Основные направления жилищной политики</w:t>
      </w:r>
      <w:r>
        <w:rPr>
          <w:rStyle w:val="FootnoteReference"/>
        </w:rPr>
        <w:footnoteReference w:id="285"/>
      </w:r>
      <w:r>
        <w:t xml:space="preserve"> и направило их на рассмотрение палаты депутатов парламента Чешской Республики.  Эта политика главным образом обусловлена тем, что меры, которые принимались в предыдущие годы и которые были призваны сгладить правовые, экономические и социальные диспропорции в жилищном секторе, не были в достаточной степени увязаны между собой, а также тем, что вспомогательная система не работала эффективно.  В отличие от принимавшихся ранее мер, Основные направления также базируются на том, что необходимо укреплять социальные аспекты жилищной политики и что рынок жилья следует рассматривать как рынок, для которого характерна структурная и пространственная дифференциация и на котором меры общего характера не дадут желаемых результатов.</w:t>
      </w:r>
    </w:p>
    <w:p w:rsidR="00000000" w:rsidRDefault="00000000"/>
    <w:p w:rsidR="00000000" w:rsidRDefault="00000000">
      <w:r>
        <w:t>449.</w:t>
      </w:r>
      <w:r>
        <w:tab/>
        <w:t>В Основных направлениях сформулирована главная цель жилищной политики, которая заключается в расширении общей доступности жилья, главным образом с точки зрения финансовой доступности, за счет деятельности по двум направлениям:  укрепление полномочий государства (включая совершенствование правовых, экономических и других инструментов) при одновременном развитии рыночных принципов и уделении особого внимания индивидуальной ответственности граждан за их собственное жилье путем целенаправленного ослабления глубоко укоренившейся привычки полагаться на государство.  Новая жилищная политика предусматривает следующие цели:  более активная поддержка деятельности по уходу за существующим жилищным фондом и оказание поддержки отдельным группам населения, которые находятся в менее неблагоприятном положении, в том что касается доступа к жилью.  Она также включает децентрализацию жилищной политики и применение регионального подхода к решению конкретных проблем.  Важное значение имеет провозглашенное правительством намерение принимать меры в целях активизации развития сдаваемого в аренду жилья и развития жилищного хозяйства на некоммерческой основе.</w:t>
      </w:r>
    </w:p>
    <w:p w:rsidR="00000000" w:rsidRDefault="00000000"/>
    <w:p w:rsidR="00000000" w:rsidRDefault="00000000">
      <w:pPr>
        <w:pStyle w:val="Heading1"/>
        <w:keepNext w:val="0"/>
        <w:jc w:val="center"/>
        <w:rPr>
          <w:bCs/>
        </w:rPr>
      </w:pPr>
      <w:r>
        <w:rPr>
          <w:bCs/>
        </w:rPr>
        <w:t xml:space="preserve">Процентная доля денежных расходов хозяйств от чистых денежных доходов в четвертом квартале 1998 года </w:t>
      </w:r>
    </w:p>
    <w:p w:rsidR="00000000" w:rsidRDefault="00000000">
      <w:pPr>
        <w:pStyle w:val="Heading1"/>
        <w:keepNext w:val="0"/>
        <w:jc w:val="center"/>
        <w:rPr>
          <w:bCs/>
        </w:rPr>
      </w:pPr>
      <w:r>
        <w:rPr>
          <w:bCs/>
        </w:rPr>
        <w:t>(выборка респондентов по вопросам статистики семейного бюджета)</w:t>
      </w:r>
    </w:p>
    <w:p w:rsidR="00000000" w:rsidRDefault="00000000"/>
    <w:tbl>
      <w:tblPr>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3686"/>
        <w:gridCol w:w="1134"/>
        <w:gridCol w:w="1191"/>
        <w:gridCol w:w="1134"/>
        <w:gridCol w:w="1134"/>
        <w:gridCol w:w="1134"/>
      </w:tblGrid>
      <w:tr w:rsidR="00000000">
        <w:trPr>
          <w:tblHeader/>
        </w:trPr>
        <w:tc>
          <w:tcPr>
            <w:tcW w:w="3686" w:type="dxa"/>
            <w:vAlign w:val="center"/>
          </w:tcPr>
          <w:p w:rsidR="00000000" w:rsidRDefault="00000000">
            <w:pPr>
              <w:pStyle w:val="16"/>
              <w:rPr>
                <w:sz w:val="22"/>
              </w:rPr>
            </w:pPr>
          </w:p>
        </w:tc>
        <w:tc>
          <w:tcPr>
            <w:tcW w:w="3459" w:type="dxa"/>
            <w:gridSpan w:val="3"/>
            <w:vAlign w:val="center"/>
          </w:tcPr>
          <w:p w:rsidR="00000000" w:rsidRDefault="00000000">
            <w:pPr>
              <w:jc w:val="center"/>
              <w:rPr>
                <w:sz w:val="20"/>
              </w:rPr>
            </w:pPr>
            <w:r>
              <w:rPr>
                <w:sz w:val="20"/>
              </w:rPr>
              <w:t>Оценки для среднего хозяйства</w:t>
            </w:r>
          </w:p>
        </w:tc>
        <w:tc>
          <w:tcPr>
            <w:tcW w:w="2268" w:type="dxa"/>
            <w:gridSpan w:val="2"/>
            <w:vAlign w:val="center"/>
          </w:tcPr>
          <w:p w:rsidR="00000000" w:rsidRDefault="00000000">
            <w:pPr>
              <w:jc w:val="center"/>
              <w:rPr>
                <w:sz w:val="20"/>
              </w:rPr>
            </w:pPr>
            <w:r>
              <w:rPr>
                <w:sz w:val="20"/>
              </w:rPr>
              <w:t>Хозяйства, состоящие из</w:t>
            </w:r>
          </w:p>
        </w:tc>
      </w:tr>
      <w:tr w:rsidR="00000000">
        <w:trPr>
          <w:tblHeader/>
        </w:trPr>
        <w:tc>
          <w:tcPr>
            <w:tcW w:w="3686" w:type="dxa"/>
            <w:tcBorders>
              <w:bottom w:val="single" w:sz="4" w:space="0" w:color="auto"/>
            </w:tcBorders>
            <w:vAlign w:val="center"/>
          </w:tcPr>
          <w:p w:rsidR="00000000" w:rsidRDefault="00000000">
            <w:pPr>
              <w:jc w:val="center"/>
              <w:rPr>
                <w:sz w:val="22"/>
              </w:rPr>
            </w:pPr>
          </w:p>
        </w:tc>
        <w:tc>
          <w:tcPr>
            <w:tcW w:w="1134" w:type="dxa"/>
            <w:tcBorders>
              <w:bottom w:val="single" w:sz="4" w:space="0" w:color="auto"/>
            </w:tcBorders>
            <w:vAlign w:val="center"/>
          </w:tcPr>
          <w:p w:rsidR="00000000" w:rsidRDefault="00000000">
            <w:pPr>
              <w:jc w:val="center"/>
              <w:rPr>
                <w:sz w:val="20"/>
              </w:rPr>
            </w:pPr>
            <w:r>
              <w:rPr>
                <w:sz w:val="20"/>
              </w:rPr>
              <w:t>Всего</w:t>
            </w:r>
          </w:p>
        </w:tc>
        <w:tc>
          <w:tcPr>
            <w:tcW w:w="1191" w:type="dxa"/>
            <w:tcBorders>
              <w:bottom w:val="single" w:sz="4" w:space="0" w:color="auto"/>
            </w:tcBorders>
            <w:vAlign w:val="center"/>
          </w:tcPr>
          <w:p w:rsidR="00000000" w:rsidRDefault="00000000">
            <w:pPr>
              <w:jc w:val="center"/>
              <w:rPr>
                <w:sz w:val="20"/>
              </w:rPr>
            </w:pPr>
            <w:r>
              <w:rPr>
                <w:sz w:val="20"/>
              </w:rPr>
              <w:t>Лица, работающие по найму</w:t>
            </w:r>
          </w:p>
        </w:tc>
        <w:tc>
          <w:tcPr>
            <w:tcW w:w="1134" w:type="dxa"/>
            <w:tcBorders>
              <w:bottom w:val="single" w:sz="4" w:space="0" w:color="auto"/>
            </w:tcBorders>
            <w:vAlign w:val="center"/>
          </w:tcPr>
          <w:p w:rsidR="00000000" w:rsidRDefault="00000000">
            <w:pPr>
              <w:jc w:val="center"/>
              <w:rPr>
                <w:sz w:val="20"/>
              </w:rPr>
            </w:pPr>
            <w:r>
              <w:rPr>
                <w:sz w:val="20"/>
              </w:rPr>
              <w:t>Фермеры</w:t>
            </w:r>
          </w:p>
        </w:tc>
        <w:tc>
          <w:tcPr>
            <w:tcW w:w="1134" w:type="dxa"/>
            <w:tcBorders>
              <w:bottom w:val="single" w:sz="4" w:space="0" w:color="auto"/>
            </w:tcBorders>
            <w:vAlign w:val="center"/>
          </w:tcPr>
          <w:p w:rsidR="00000000" w:rsidRDefault="00000000">
            <w:pPr>
              <w:jc w:val="center"/>
              <w:rPr>
                <w:sz w:val="20"/>
              </w:rPr>
            </w:pPr>
            <w:r>
              <w:rPr>
                <w:sz w:val="20"/>
              </w:rPr>
              <w:t>Семей</w:t>
            </w:r>
          </w:p>
        </w:tc>
        <w:tc>
          <w:tcPr>
            <w:tcW w:w="1134" w:type="dxa"/>
            <w:tcBorders>
              <w:bottom w:val="single" w:sz="4" w:space="0" w:color="auto"/>
            </w:tcBorders>
            <w:vAlign w:val="center"/>
          </w:tcPr>
          <w:p w:rsidR="00000000" w:rsidRDefault="00000000">
            <w:pPr>
              <w:jc w:val="center"/>
              <w:rPr>
                <w:sz w:val="20"/>
              </w:rPr>
            </w:pPr>
            <w:r>
              <w:rPr>
                <w:sz w:val="20"/>
              </w:rPr>
              <w:t>Пенсио-неров</w:t>
            </w:r>
          </w:p>
        </w:tc>
      </w:tr>
      <w:tr w:rsidR="00000000">
        <w:tc>
          <w:tcPr>
            <w:tcW w:w="3686" w:type="dxa"/>
            <w:tcBorders>
              <w:bottom w:val="nil"/>
            </w:tcBorders>
          </w:tcPr>
          <w:p w:rsidR="00000000" w:rsidRDefault="00000000">
            <w:pPr>
              <w:pStyle w:val="FootnoteText"/>
              <w:spacing w:line="288" w:lineRule="auto"/>
              <w:rPr>
                <w:sz w:val="22"/>
              </w:rPr>
            </w:pPr>
            <w:r>
              <w:rPr>
                <w:sz w:val="22"/>
              </w:rPr>
              <w:t>Продовольствие</w:t>
            </w:r>
          </w:p>
        </w:tc>
        <w:tc>
          <w:tcPr>
            <w:tcW w:w="1134" w:type="dxa"/>
            <w:tcBorders>
              <w:bottom w:val="nil"/>
            </w:tcBorders>
          </w:tcPr>
          <w:p w:rsidR="00000000" w:rsidRDefault="00000000">
            <w:pPr>
              <w:tabs>
                <w:tab w:val="clear" w:pos="1134"/>
                <w:tab w:val="clear" w:pos="1701"/>
                <w:tab w:val="clear" w:pos="2268"/>
                <w:tab w:val="clear" w:pos="6237"/>
                <w:tab w:val="decimal" w:pos="567"/>
              </w:tabs>
              <w:rPr>
                <w:sz w:val="22"/>
              </w:rPr>
            </w:pPr>
            <w:r>
              <w:rPr>
                <w:sz w:val="22"/>
              </w:rPr>
              <w:t>25,3</w:t>
            </w:r>
          </w:p>
        </w:tc>
        <w:tc>
          <w:tcPr>
            <w:tcW w:w="1191" w:type="dxa"/>
            <w:tcBorders>
              <w:bottom w:val="nil"/>
            </w:tcBorders>
          </w:tcPr>
          <w:p w:rsidR="00000000" w:rsidRDefault="00000000">
            <w:pPr>
              <w:tabs>
                <w:tab w:val="clear" w:pos="1134"/>
                <w:tab w:val="clear" w:pos="1701"/>
                <w:tab w:val="clear" w:pos="2268"/>
                <w:tab w:val="clear" w:pos="6237"/>
                <w:tab w:val="decimal" w:pos="567"/>
              </w:tabs>
              <w:rPr>
                <w:sz w:val="22"/>
              </w:rPr>
            </w:pPr>
            <w:r>
              <w:rPr>
                <w:sz w:val="22"/>
              </w:rPr>
              <w:t>23,6</w:t>
            </w:r>
          </w:p>
        </w:tc>
        <w:tc>
          <w:tcPr>
            <w:tcW w:w="1134" w:type="dxa"/>
            <w:tcBorders>
              <w:bottom w:val="nil"/>
            </w:tcBorders>
          </w:tcPr>
          <w:p w:rsidR="00000000" w:rsidRDefault="00000000">
            <w:pPr>
              <w:tabs>
                <w:tab w:val="clear" w:pos="1134"/>
                <w:tab w:val="clear" w:pos="1701"/>
                <w:tab w:val="clear" w:pos="2268"/>
                <w:tab w:val="clear" w:pos="6237"/>
                <w:tab w:val="decimal" w:pos="567"/>
              </w:tabs>
              <w:rPr>
                <w:sz w:val="22"/>
              </w:rPr>
            </w:pPr>
            <w:r>
              <w:rPr>
                <w:sz w:val="22"/>
              </w:rPr>
              <w:t>25,0</w:t>
            </w:r>
          </w:p>
        </w:tc>
        <w:tc>
          <w:tcPr>
            <w:tcW w:w="1134" w:type="dxa"/>
            <w:tcBorders>
              <w:bottom w:val="nil"/>
            </w:tcBorders>
          </w:tcPr>
          <w:p w:rsidR="00000000" w:rsidRDefault="00000000">
            <w:pPr>
              <w:tabs>
                <w:tab w:val="clear" w:pos="1134"/>
                <w:tab w:val="clear" w:pos="1701"/>
                <w:tab w:val="clear" w:pos="2268"/>
                <w:tab w:val="clear" w:pos="6237"/>
                <w:tab w:val="decimal" w:pos="567"/>
              </w:tabs>
              <w:rPr>
                <w:sz w:val="22"/>
              </w:rPr>
            </w:pPr>
            <w:r>
              <w:rPr>
                <w:sz w:val="22"/>
              </w:rPr>
              <w:t>34,8</w:t>
            </w:r>
          </w:p>
        </w:tc>
        <w:tc>
          <w:tcPr>
            <w:tcW w:w="1134" w:type="dxa"/>
            <w:tcBorders>
              <w:bottom w:val="nil"/>
            </w:tcBorders>
          </w:tcPr>
          <w:p w:rsidR="00000000" w:rsidRDefault="00000000">
            <w:pPr>
              <w:tabs>
                <w:tab w:val="clear" w:pos="1134"/>
                <w:tab w:val="clear" w:pos="1701"/>
                <w:tab w:val="clear" w:pos="2268"/>
                <w:tab w:val="clear" w:pos="6237"/>
                <w:tab w:val="decimal" w:pos="567"/>
              </w:tabs>
              <w:rPr>
                <w:sz w:val="22"/>
              </w:rPr>
            </w:pPr>
            <w:r>
              <w:rPr>
                <w:sz w:val="22"/>
              </w:rPr>
              <w:t>40,7</w:t>
            </w:r>
          </w:p>
        </w:tc>
      </w:tr>
      <w:tr w:rsidR="00000000">
        <w:tc>
          <w:tcPr>
            <w:tcW w:w="3686" w:type="dxa"/>
            <w:tcBorders>
              <w:top w:val="nil"/>
              <w:bottom w:val="nil"/>
            </w:tcBorders>
          </w:tcPr>
          <w:p w:rsidR="00000000" w:rsidRDefault="00000000">
            <w:pPr>
              <w:rPr>
                <w:sz w:val="22"/>
              </w:rPr>
            </w:pPr>
            <w:r>
              <w:rPr>
                <w:sz w:val="22"/>
              </w:rPr>
              <w:t>Алкогольные напитки и табачные</w:t>
            </w:r>
          </w:p>
          <w:p w:rsidR="00000000" w:rsidRDefault="00000000">
            <w:pPr>
              <w:rPr>
                <w:sz w:val="22"/>
              </w:rPr>
            </w:pPr>
            <w:r>
              <w:rPr>
                <w:sz w:val="22"/>
              </w:rPr>
              <w:t xml:space="preserve">  изделия</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3,4</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3,3</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3,5</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3,2</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2,3</w:t>
            </w:r>
          </w:p>
        </w:tc>
      </w:tr>
      <w:tr w:rsidR="00000000">
        <w:tc>
          <w:tcPr>
            <w:tcW w:w="3686" w:type="dxa"/>
            <w:tcBorders>
              <w:top w:val="nil"/>
              <w:bottom w:val="nil"/>
            </w:tcBorders>
          </w:tcPr>
          <w:p w:rsidR="00000000" w:rsidRDefault="00000000">
            <w:pPr>
              <w:rPr>
                <w:sz w:val="22"/>
              </w:rPr>
            </w:pPr>
            <w:r>
              <w:rPr>
                <w:sz w:val="22"/>
              </w:rPr>
              <w:t>Одежда и обувь</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8,9</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9,2</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9,8</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8,9</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4,6</w:t>
            </w:r>
          </w:p>
        </w:tc>
      </w:tr>
      <w:tr w:rsidR="00000000">
        <w:tc>
          <w:tcPr>
            <w:tcW w:w="3686" w:type="dxa"/>
            <w:tcBorders>
              <w:top w:val="nil"/>
              <w:bottom w:val="nil"/>
            </w:tcBorders>
          </w:tcPr>
          <w:p w:rsidR="00000000" w:rsidRDefault="00000000">
            <w:pPr>
              <w:rPr>
                <w:sz w:val="22"/>
              </w:rPr>
            </w:pPr>
            <w:r>
              <w:rPr>
                <w:sz w:val="22"/>
              </w:rPr>
              <w:t>Общая сумма жилищных расходов</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17,3</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15,9</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15,2</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21,4</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30,4</w:t>
            </w:r>
          </w:p>
        </w:tc>
      </w:tr>
      <w:tr w:rsidR="00000000">
        <w:tc>
          <w:tcPr>
            <w:tcW w:w="3686" w:type="dxa"/>
            <w:tcBorders>
              <w:top w:val="nil"/>
              <w:bottom w:val="nil"/>
            </w:tcBorders>
          </w:tcPr>
          <w:p w:rsidR="00000000" w:rsidRDefault="00000000">
            <w:pPr>
              <w:pStyle w:val="FootnoteText"/>
              <w:spacing w:line="288" w:lineRule="auto"/>
              <w:rPr>
                <w:sz w:val="22"/>
              </w:rPr>
            </w:pPr>
            <w:r>
              <w:rPr>
                <w:sz w:val="22"/>
              </w:rPr>
              <w:t>в том числе:</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p>
        </w:tc>
      </w:tr>
      <w:tr w:rsidR="00000000">
        <w:tc>
          <w:tcPr>
            <w:tcW w:w="3686" w:type="dxa"/>
            <w:tcBorders>
              <w:top w:val="nil"/>
              <w:bottom w:val="nil"/>
            </w:tcBorders>
          </w:tcPr>
          <w:p w:rsidR="00000000" w:rsidRDefault="00000000">
            <w:pPr>
              <w:tabs>
                <w:tab w:val="clear" w:pos="567"/>
                <w:tab w:val="clear" w:pos="1134"/>
                <w:tab w:val="clear" w:pos="1701"/>
                <w:tab w:val="clear" w:pos="2268"/>
                <w:tab w:val="clear" w:pos="6237"/>
                <w:tab w:val="left" w:pos="284"/>
              </w:tabs>
              <w:ind w:left="284"/>
              <w:rPr>
                <w:sz w:val="22"/>
              </w:rPr>
            </w:pPr>
            <w:r>
              <w:rPr>
                <w:sz w:val="22"/>
              </w:rPr>
              <w:t>арендная плата</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3,2</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3,0</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1,2</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4,6</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6,2</w:t>
            </w:r>
          </w:p>
        </w:tc>
      </w:tr>
      <w:tr w:rsidR="00000000">
        <w:tc>
          <w:tcPr>
            <w:tcW w:w="3686" w:type="dxa"/>
            <w:tcBorders>
              <w:top w:val="nil"/>
              <w:bottom w:val="nil"/>
            </w:tcBorders>
          </w:tcPr>
          <w:p w:rsidR="00000000" w:rsidRDefault="00000000">
            <w:pPr>
              <w:tabs>
                <w:tab w:val="clear" w:pos="567"/>
                <w:tab w:val="clear" w:pos="1134"/>
                <w:tab w:val="clear" w:pos="1701"/>
                <w:tab w:val="clear" w:pos="2268"/>
                <w:tab w:val="clear" w:pos="6237"/>
                <w:tab w:val="left" w:pos="284"/>
              </w:tabs>
              <w:ind w:left="284"/>
              <w:rPr>
                <w:sz w:val="22"/>
              </w:rPr>
            </w:pPr>
            <w:r>
              <w:rPr>
                <w:sz w:val="22"/>
              </w:rPr>
              <w:t>водоснабжение и канализация</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1,0</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0,9</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0,6</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1,9</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1,7</w:t>
            </w:r>
          </w:p>
        </w:tc>
      </w:tr>
      <w:tr w:rsidR="00000000">
        <w:tc>
          <w:tcPr>
            <w:tcW w:w="3686" w:type="dxa"/>
            <w:tcBorders>
              <w:top w:val="nil"/>
              <w:bottom w:val="nil"/>
            </w:tcBorders>
          </w:tcPr>
          <w:p w:rsidR="00000000" w:rsidRDefault="00000000">
            <w:pPr>
              <w:tabs>
                <w:tab w:val="clear" w:pos="567"/>
                <w:tab w:val="clear" w:pos="1134"/>
                <w:tab w:val="clear" w:pos="1701"/>
                <w:tab w:val="clear" w:pos="2268"/>
                <w:tab w:val="clear" w:pos="6237"/>
                <w:tab w:val="left" w:pos="284"/>
              </w:tabs>
              <w:ind w:left="284"/>
              <w:rPr>
                <w:sz w:val="22"/>
              </w:rPr>
            </w:pPr>
            <w:r>
              <w:rPr>
                <w:sz w:val="22"/>
              </w:rPr>
              <w:t>прочие муниципальные услуги</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0,6</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0,6</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0,2</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0,9</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1,3</w:t>
            </w:r>
          </w:p>
        </w:tc>
      </w:tr>
      <w:tr w:rsidR="00000000">
        <w:tc>
          <w:tcPr>
            <w:tcW w:w="3686" w:type="dxa"/>
            <w:tcBorders>
              <w:top w:val="nil"/>
              <w:bottom w:val="nil"/>
            </w:tcBorders>
          </w:tcPr>
          <w:p w:rsidR="00000000" w:rsidRDefault="00000000">
            <w:pPr>
              <w:tabs>
                <w:tab w:val="clear" w:pos="567"/>
                <w:tab w:val="clear" w:pos="1134"/>
                <w:tab w:val="clear" w:pos="1701"/>
                <w:tab w:val="clear" w:pos="2268"/>
                <w:tab w:val="clear" w:pos="6237"/>
                <w:tab w:val="left" w:pos="284"/>
              </w:tabs>
              <w:ind w:left="284"/>
              <w:rPr>
                <w:sz w:val="22"/>
              </w:rPr>
            </w:pPr>
            <w:r>
              <w:rPr>
                <w:sz w:val="22"/>
              </w:rPr>
              <w:t>электроэнергия</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3,2</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2,7</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4,3</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5,4</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5,8</w:t>
            </w:r>
          </w:p>
        </w:tc>
      </w:tr>
      <w:tr w:rsidR="00000000">
        <w:tc>
          <w:tcPr>
            <w:tcW w:w="3686" w:type="dxa"/>
            <w:tcBorders>
              <w:top w:val="nil"/>
              <w:bottom w:val="nil"/>
            </w:tcBorders>
          </w:tcPr>
          <w:p w:rsidR="00000000" w:rsidRDefault="00000000">
            <w:pPr>
              <w:tabs>
                <w:tab w:val="clear" w:pos="567"/>
                <w:tab w:val="clear" w:pos="1134"/>
                <w:tab w:val="clear" w:pos="1701"/>
                <w:tab w:val="clear" w:pos="2268"/>
                <w:tab w:val="clear" w:pos="6237"/>
                <w:tab w:val="left" w:pos="284"/>
              </w:tabs>
              <w:ind w:left="284"/>
              <w:rPr>
                <w:sz w:val="22"/>
              </w:rPr>
            </w:pPr>
            <w:r>
              <w:rPr>
                <w:sz w:val="22"/>
              </w:rPr>
              <w:t>газ</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1,7</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1,5</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1,7</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2,3</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3,3</w:t>
            </w:r>
          </w:p>
        </w:tc>
      </w:tr>
      <w:tr w:rsidR="00000000">
        <w:tc>
          <w:tcPr>
            <w:tcW w:w="3686" w:type="dxa"/>
            <w:tcBorders>
              <w:top w:val="nil"/>
              <w:bottom w:val="nil"/>
            </w:tcBorders>
          </w:tcPr>
          <w:p w:rsidR="00000000" w:rsidRDefault="00000000">
            <w:pPr>
              <w:tabs>
                <w:tab w:val="clear" w:pos="567"/>
                <w:tab w:val="clear" w:pos="1134"/>
                <w:tab w:val="clear" w:pos="1701"/>
                <w:tab w:val="clear" w:pos="2268"/>
                <w:tab w:val="clear" w:pos="6237"/>
                <w:tab w:val="left" w:pos="284"/>
              </w:tabs>
              <w:ind w:left="284"/>
              <w:rPr>
                <w:sz w:val="22"/>
              </w:rPr>
            </w:pPr>
            <w:r>
              <w:rPr>
                <w:sz w:val="22"/>
              </w:rPr>
              <w:t>центральное отопление, горячая</w:t>
            </w:r>
          </w:p>
          <w:p w:rsidR="00000000" w:rsidRDefault="00000000">
            <w:pPr>
              <w:tabs>
                <w:tab w:val="clear" w:pos="567"/>
                <w:tab w:val="clear" w:pos="1134"/>
                <w:tab w:val="clear" w:pos="1701"/>
                <w:tab w:val="clear" w:pos="2268"/>
                <w:tab w:val="clear" w:pos="6237"/>
                <w:tab w:val="left" w:pos="284"/>
              </w:tabs>
              <w:ind w:left="284"/>
              <w:rPr>
                <w:sz w:val="22"/>
              </w:rPr>
            </w:pPr>
            <w:r>
              <w:rPr>
                <w:sz w:val="22"/>
              </w:rPr>
              <w:t xml:space="preserve">  вода</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3,3</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3,2</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0,6</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4,7</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6,6</w:t>
            </w:r>
          </w:p>
        </w:tc>
      </w:tr>
      <w:tr w:rsidR="00000000">
        <w:tc>
          <w:tcPr>
            <w:tcW w:w="3686" w:type="dxa"/>
            <w:tcBorders>
              <w:top w:val="nil"/>
              <w:bottom w:val="nil"/>
            </w:tcBorders>
          </w:tcPr>
          <w:p w:rsidR="00000000" w:rsidRDefault="00000000">
            <w:pPr>
              <w:tabs>
                <w:tab w:val="clear" w:pos="567"/>
                <w:tab w:val="clear" w:pos="1134"/>
                <w:tab w:val="clear" w:pos="1701"/>
                <w:tab w:val="clear" w:pos="2268"/>
                <w:tab w:val="clear" w:pos="6237"/>
                <w:tab w:val="left" w:pos="284"/>
              </w:tabs>
              <w:ind w:left="284"/>
              <w:rPr>
                <w:sz w:val="22"/>
              </w:rPr>
            </w:pPr>
            <w:r>
              <w:rPr>
                <w:sz w:val="22"/>
              </w:rPr>
              <w:t>топливо</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0,3</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0,2</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1,1</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0,6</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1,4</w:t>
            </w:r>
          </w:p>
        </w:tc>
      </w:tr>
      <w:tr w:rsidR="00000000">
        <w:tc>
          <w:tcPr>
            <w:tcW w:w="3686" w:type="dxa"/>
            <w:tcBorders>
              <w:top w:val="nil"/>
              <w:bottom w:val="nil"/>
            </w:tcBorders>
          </w:tcPr>
          <w:p w:rsidR="00000000" w:rsidRDefault="00000000">
            <w:pPr>
              <w:tabs>
                <w:tab w:val="clear" w:pos="567"/>
                <w:tab w:val="clear" w:pos="1134"/>
                <w:tab w:val="clear" w:pos="1701"/>
                <w:tab w:val="clear" w:pos="2268"/>
                <w:tab w:val="clear" w:pos="6237"/>
                <w:tab w:val="left" w:pos="284"/>
              </w:tabs>
              <w:ind w:left="284"/>
              <w:rPr>
                <w:sz w:val="22"/>
              </w:rPr>
            </w:pPr>
            <w:r>
              <w:rPr>
                <w:sz w:val="22"/>
              </w:rPr>
              <w:t>обслуживание, строительство,</w:t>
            </w:r>
          </w:p>
          <w:p w:rsidR="00000000" w:rsidRDefault="00000000">
            <w:pPr>
              <w:tabs>
                <w:tab w:val="clear" w:pos="567"/>
                <w:tab w:val="clear" w:pos="1134"/>
                <w:tab w:val="clear" w:pos="1701"/>
                <w:tab w:val="clear" w:pos="2268"/>
                <w:tab w:val="clear" w:pos="6237"/>
                <w:tab w:val="left" w:pos="284"/>
              </w:tabs>
              <w:ind w:left="284"/>
              <w:rPr>
                <w:sz w:val="22"/>
              </w:rPr>
            </w:pPr>
            <w:r>
              <w:rPr>
                <w:sz w:val="22"/>
              </w:rPr>
              <w:t xml:space="preserve">  приобретение</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4,0</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3,8</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5,5</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1,0</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4,2</w:t>
            </w:r>
          </w:p>
        </w:tc>
      </w:tr>
      <w:tr w:rsidR="00000000">
        <w:tc>
          <w:tcPr>
            <w:tcW w:w="3686" w:type="dxa"/>
            <w:tcBorders>
              <w:top w:val="nil"/>
              <w:bottom w:val="nil"/>
            </w:tcBorders>
          </w:tcPr>
          <w:p w:rsidR="00000000" w:rsidRDefault="00000000">
            <w:pPr>
              <w:rPr>
                <w:sz w:val="22"/>
              </w:rPr>
            </w:pPr>
            <w:r>
              <w:rPr>
                <w:sz w:val="22"/>
              </w:rPr>
              <w:t>Бытовое оборудование</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9,4</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9,3</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11,8</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7,6</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6,2</w:t>
            </w:r>
          </w:p>
        </w:tc>
      </w:tr>
      <w:tr w:rsidR="00000000">
        <w:tc>
          <w:tcPr>
            <w:tcW w:w="3686" w:type="dxa"/>
            <w:tcBorders>
              <w:top w:val="nil"/>
              <w:bottom w:val="nil"/>
            </w:tcBorders>
          </w:tcPr>
          <w:p w:rsidR="00000000" w:rsidRDefault="00000000">
            <w:pPr>
              <w:rPr>
                <w:sz w:val="22"/>
              </w:rPr>
            </w:pPr>
            <w:r>
              <w:rPr>
                <w:sz w:val="22"/>
              </w:rPr>
              <w:t>Личные расходы и медицинское</w:t>
            </w:r>
          </w:p>
          <w:p w:rsidR="00000000" w:rsidRDefault="00000000">
            <w:pPr>
              <w:rPr>
                <w:sz w:val="22"/>
              </w:rPr>
            </w:pPr>
            <w:r>
              <w:rPr>
                <w:sz w:val="22"/>
              </w:rPr>
              <w:t xml:space="preserve">  обслуживание</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5,5</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5,5</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5,0</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6,1</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5,0</w:t>
            </w:r>
          </w:p>
        </w:tc>
      </w:tr>
      <w:tr w:rsidR="00000000">
        <w:tc>
          <w:tcPr>
            <w:tcW w:w="3686" w:type="dxa"/>
            <w:tcBorders>
              <w:top w:val="nil"/>
              <w:bottom w:val="nil"/>
            </w:tcBorders>
          </w:tcPr>
          <w:p w:rsidR="00000000" w:rsidRDefault="00000000">
            <w:pPr>
              <w:rPr>
                <w:sz w:val="22"/>
              </w:rPr>
            </w:pPr>
            <w:r>
              <w:rPr>
                <w:sz w:val="22"/>
              </w:rPr>
              <w:t>Транспорт и связь</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9,8</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10,2</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13,7</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8,1</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3,8</w:t>
            </w:r>
          </w:p>
        </w:tc>
      </w:tr>
      <w:tr w:rsidR="00000000">
        <w:tc>
          <w:tcPr>
            <w:tcW w:w="3686" w:type="dxa"/>
            <w:tcBorders>
              <w:top w:val="nil"/>
              <w:bottom w:val="nil"/>
            </w:tcBorders>
          </w:tcPr>
          <w:p w:rsidR="00000000" w:rsidRDefault="00000000">
            <w:pPr>
              <w:rPr>
                <w:sz w:val="22"/>
              </w:rPr>
            </w:pPr>
            <w:r>
              <w:rPr>
                <w:sz w:val="22"/>
              </w:rPr>
              <w:t>Культура, образование, спорт, отдых</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9,8</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10,1</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9,0</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9,2</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5,1</w:t>
            </w:r>
          </w:p>
        </w:tc>
      </w:tr>
      <w:tr w:rsidR="00000000">
        <w:tc>
          <w:tcPr>
            <w:tcW w:w="3686" w:type="dxa"/>
            <w:tcBorders>
              <w:top w:val="nil"/>
              <w:bottom w:val="nil"/>
            </w:tcBorders>
          </w:tcPr>
          <w:p w:rsidR="00000000" w:rsidRDefault="00000000">
            <w:pPr>
              <w:rPr>
                <w:sz w:val="22"/>
              </w:rPr>
            </w:pPr>
            <w:r>
              <w:rPr>
                <w:sz w:val="22"/>
              </w:rPr>
              <w:t>Выплаты по займам и прочие выплаты</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8,9</w:t>
            </w:r>
          </w:p>
        </w:tc>
        <w:tc>
          <w:tcPr>
            <w:tcW w:w="1191"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8,4</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9,8</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7,2</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rPr>
                <w:sz w:val="22"/>
              </w:rPr>
            </w:pPr>
            <w:r>
              <w:rPr>
                <w:sz w:val="22"/>
              </w:rPr>
              <w:t>9,3</w:t>
            </w:r>
          </w:p>
        </w:tc>
      </w:tr>
      <w:tr w:rsidR="00000000">
        <w:tc>
          <w:tcPr>
            <w:tcW w:w="3686" w:type="dxa"/>
            <w:tcBorders>
              <w:top w:val="nil"/>
            </w:tcBorders>
          </w:tcPr>
          <w:p w:rsidR="00000000" w:rsidRDefault="00000000">
            <w:pPr>
              <w:rPr>
                <w:sz w:val="22"/>
              </w:rPr>
            </w:pPr>
            <w:r>
              <w:rPr>
                <w:sz w:val="22"/>
              </w:rPr>
              <w:t>Всего в %</w:t>
            </w:r>
          </w:p>
        </w:tc>
        <w:tc>
          <w:tcPr>
            <w:tcW w:w="1134" w:type="dxa"/>
            <w:tcBorders>
              <w:top w:val="nil"/>
            </w:tcBorders>
          </w:tcPr>
          <w:p w:rsidR="00000000" w:rsidRDefault="00000000">
            <w:pPr>
              <w:tabs>
                <w:tab w:val="clear" w:pos="1134"/>
                <w:tab w:val="clear" w:pos="1701"/>
                <w:tab w:val="clear" w:pos="2268"/>
                <w:tab w:val="clear" w:pos="6237"/>
                <w:tab w:val="decimal" w:pos="567"/>
              </w:tabs>
              <w:rPr>
                <w:sz w:val="22"/>
              </w:rPr>
            </w:pPr>
            <w:r>
              <w:rPr>
                <w:sz w:val="22"/>
              </w:rPr>
              <w:t>98,4</w:t>
            </w:r>
          </w:p>
        </w:tc>
        <w:tc>
          <w:tcPr>
            <w:tcW w:w="1191" w:type="dxa"/>
            <w:tcBorders>
              <w:top w:val="nil"/>
            </w:tcBorders>
          </w:tcPr>
          <w:p w:rsidR="00000000" w:rsidRDefault="00000000">
            <w:pPr>
              <w:tabs>
                <w:tab w:val="clear" w:pos="1134"/>
                <w:tab w:val="clear" w:pos="1701"/>
                <w:tab w:val="clear" w:pos="2268"/>
                <w:tab w:val="clear" w:pos="6237"/>
                <w:tab w:val="decimal" w:pos="567"/>
              </w:tabs>
              <w:rPr>
                <w:sz w:val="22"/>
              </w:rPr>
            </w:pPr>
            <w:r>
              <w:rPr>
                <w:sz w:val="22"/>
              </w:rPr>
              <w:t>95,5</w:t>
            </w:r>
          </w:p>
        </w:tc>
        <w:tc>
          <w:tcPr>
            <w:tcW w:w="1134" w:type="dxa"/>
            <w:tcBorders>
              <w:top w:val="nil"/>
            </w:tcBorders>
          </w:tcPr>
          <w:p w:rsidR="00000000" w:rsidRDefault="00000000">
            <w:pPr>
              <w:tabs>
                <w:tab w:val="clear" w:pos="1134"/>
                <w:tab w:val="clear" w:pos="1701"/>
                <w:tab w:val="clear" w:pos="2268"/>
                <w:tab w:val="clear" w:pos="6237"/>
                <w:tab w:val="decimal" w:pos="567"/>
              </w:tabs>
              <w:rPr>
                <w:sz w:val="22"/>
              </w:rPr>
            </w:pPr>
            <w:r>
              <w:rPr>
                <w:sz w:val="22"/>
              </w:rPr>
              <w:t>102,8</w:t>
            </w:r>
          </w:p>
        </w:tc>
        <w:tc>
          <w:tcPr>
            <w:tcW w:w="1134" w:type="dxa"/>
            <w:tcBorders>
              <w:top w:val="nil"/>
            </w:tcBorders>
          </w:tcPr>
          <w:p w:rsidR="00000000" w:rsidRDefault="00000000">
            <w:pPr>
              <w:tabs>
                <w:tab w:val="clear" w:pos="1134"/>
                <w:tab w:val="clear" w:pos="1701"/>
                <w:tab w:val="clear" w:pos="2268"/>
                <w:tab w:val="clear" w:pos="6237"/>
                <w:tab w:val="decimal" w:pos="567"/>
              </w:tabs>
              <w:rPr>
                <w:sz w:val="22"/>
              </w:rPr>
            </w:pPr>
            <w:r>
              <w:rPr>
                <w:sz w:val="22"/>
              </w:rPr>
              <w:t>106,5</w:t>
            </w:r>
          </w:p>
        </w:tc>
        <w:tc>
          <w:tcPr>
            <w:tcW w:w="1134" w:type="dxa"/>
            <w:tcBorders>
              <w:top w:val="nil"/>
            </w:tcBorders>
          </w:tcPr>
          <w:p w:rsidR="00000000" w:rsidRDefault="00000000">
            <w:pPr>
              <w:tabs>
                <w:tab w:val="clear" w:pos="1134"/>
                <w:tab w:val="clear" w:pos="1701"/>
                <w:tab w:val="clear" w:pos="2268"/>
                <w:tab w:val="clear" w:pos="6237"/>
                <w:tab w:val="decimal" w:pos="567"/>
              </w:tabs>
              <w:rPr>
                <w:sz w:val="22"/>
              </w:rPr>
            </w:pPr>
            <w:r>
              <w:rPr>
                <w:sz w:val="22"/>
              </w:rPr>
              <w:t>107,3</w:t>
            </w:r>
          </w:p>
        </w:tc>
      </w:tr>
    </w:tbl>
    <w:p w:rsidR="00000000" w:rsidRDefault="00000000">
      <w:pPr>
        <w:ind w:left="2268" w:hanging="2268"/>
      </w:pPr>
    </w:p>
    <w:p w:rsidR="00000000" w:rsidRDefault="00000000">
      <w:pPr>
        <w:spacing w:line="240" w:lineRule="auto"/>
        <w:ind w:left="2268" w:hanging="2268"/>
      </w:pPr>
      <w:r>
        <w:tab/>
      </w:r>
      <w:r>
        <w:rPr>
          <w:u w:val="single"/>
        </w:rPr>
        <w:t>Источник</w:t>
      </w:r>
      <w:r>
        <w:t>:</w:t>
      </w:r>
      <w:r>
        <w:tab/>
      </w:r>
      <w:r>
        <w:tab/>
        <w:t>Чешское статистическое бюро, 1999 год.</w:t>
      </w:r>
    </w:p>
    <w:p w:rsidR="00000000" w:rsidRDefault="00000000">
      <w:pPr>
        <w:spacing w:line="240" w:lineRule="auto"/>
      </w:pPr>
    </w:p>
    <w:p w:rsidR="00000000" w:rsidRDefault="00000000">
      <w:pPr>
        <w:spacing w:line="240" w:lineRule="auto"/>
      </w:pPr>
      <w:r>
        <w:tab/>
      </w:r>
      <w:r>
        <w:rPr>
          <w:u w:val="single"/>
        </w:rPr>
        <w:t>Примечание</w:t>
      </w:r>
      <w:r>
        <w:t>:</w:t>
      </w:r>
      <w:r>
        <w:tab/>
        <w:t>Средний размер расходов хозяйств составляет 98,4% от средних чистых доходов.  Данные выше или ниже 100% указывают на различия между размером наличности в начале и в конце периода, между размещением депозитов и их снятием со счета и между доходами и расходами в натуральной форме.</w:t>
      </w:r>
    </w:p>
    <w:p w:rsidR="00000000" w:rsidRDefault="00000000">
      <w:pPr>
        <w:ind w:left="2268" w:hanging="2268"/>
      </w:pPr>
    </w:p>
    <w:p w:rsidR="00000000" w:rsidRDefault="00000000">
      <w:r>
        <w:br w:type="page"/>
        <w:t>450.</w:t>
      </w:r>
      <w:r>
        <w:tab/>
        <w:t>Возможности для развития жилищного сектора, особенно с точки зрения финансовой доступности жилья, ограничиваются вследствие отмены регулирования цен на энергоносители, что приводит к значительному увеличению бремени расходов в рамках семейных бюджетов.  В Чешской Республике не имеется проблем в области доступности энергии с точки зрения производственных мощностей и наличия систем распределения, однако в области цен сложилась совершенно иная ситуация.  Отмена регулирования цен и обеспечение сбалансированности цен, устанавливаемых для домашних хозяйств и промышленных компаний, проводятся постепенно ввиду социального положения домашних хозяйств.</w:t>
      </w:r>
    </w:p>
    <w:p w:rsidR="00000000" w:rsidRDefault="00000000"/>
    <w:p w:rsidR="00000000" w:rsidRDefault="00000000">
      <w:r>
        <w:t>451.</w:t>
      </w:r>
      <w:r>
        <w:tab/>
        <w:t>В 1997 году в Чешской Республике было зарегистрировано 353 870 полностью электрифицированных жилищных единиц, на долю которых приходилось 24,4% от общего объема потребления.</w:t>
      </w:r>
    </w:p>
    <w:p w:rsidR="00000000" w:rsidRDefault="00000000"/>
    <w:p w:rsidR="00000000" w:rsidRDefault="00000000">
      <w:r>
        <w:t>452.</w:t>
      </w:r>
      <w:r>
        <w:tab/>
        <w:t>Чешская Республика располагает лишь минимальными источниками природного газа (примерно 1% от ежегодного потребления) и вынуждена закупать его за рубежом.  Цены для домашних хозяйств</w:t>
      </w:r>
      <w:r>
        <w:noBreakHyphen/>
        <w:t>абонентов по</w:t>
      </w:r>
      <w:r>
        <w:noBreakHyphen/>
        <w:t>прежнему регулируются и не соответствуют размеру расходов, связанных с добычей, транспортировкой, хранением и распределением газа.  Исправление таких ценовых диспропорций является одним из компонентов энергетической политики.</w:t>
      </w:r>
    </w:p>
    <w:p w:rsidR="00000000" w:rsidRDefault="00000000"/>
    <w:p w:rsidR="00000000" w:rsidRDefault="00000000">
      <w:r>
        <w:t>453.</w:t>
      </w:r>
      <w:r>
        <w:tab/>
        <w:t>В 1999 году министерство промышленности и торговли подготовило на рассмотрение правительства поправку к Закону об энергии</w:t>
      </w:r>
      <w:r>
        <w:rPr>
          <w:rStyle w:val="FootnoteReference"/>
        </w:rPr>
        <w:footnoteReference w:id="286"/>
      </w:r>
      <w:r>
        <w:t>, которая будет предусматривать новые меры регулирования секторов электроэнергии и газоснабжения с учетом директив Европейского союза;  министерство также завершает подготовку плана приватизации распределительных компаний и угледобывающих компаний.  Эти меры должны привести к снижению цен в результате конкуренции и, таким образом, обеспечить в долгосрочной перспективе стабильность цен на энергоносители.</w:t>
      </w:r>
    </w:p>
    <w:p w:rsidR="00000000" w:rsidRDefault="00000000"/>
    <w:p w:rsidR="00000000" w:rsidRDefault="00000000">
      <w:pPr>
        <w:rPr>
          <w:b/>
          <w:bCs/>
        </w:rPr>
      </w:pPr>
      <w:r>
        <w:rPr>
          <w:b/>
          <w:bCs/>
        </w:rPr>
        <w:br w:type="page"/>
        <w:t>Пункт 2 а)</w:t>
      </w:r>
    </w:p>
    <w:p w:rsidR="00000000" w:rsidRDefault="00000000"/>
    <w:p w:rsidR="00000000" w:rsidRDefault="00000000">
      <w:r>
        <w:t>454.</w:t>
      </w:r>
      <w:r>
        <w:tab/>
        <w:t>В соответствии с решением министерства сельского хозяйства в Основных направлениях сельскохозяйственной политики</w:t>
      </w:r>
      <w:r>
        <w:rPr>
          <w:rStyle w:val="FootnoteReference"/>
        </w:rPr>
        <w:footnoteReference w:id="287"/>
      </w:r>
      <w:r>
        <w:t xml:space="preserve"> устанавливаются основные показатели сельскохозяйственного производства в целях обеспечения максимальной самообеспеченности в области производства сельскохозяйственного сырья и производства продовольствия, а также в области обеспечения необходимого качества.</w:t>
      </w:r>
    </w:p>
    <w:p w:rsidR="00000000" w:rsidRDefault="00000000"/>
    <w:p w:rsidR="00000000" w:rsidRDefault="00000000">
      <w:r>
        <w:t>455.</w:t>
      </w:r>
      <w:r>
        <w:tab/>
        <w:t>Начиная с 1995 года министерство сельского хозяйства ежегодно подготавливает для правительства и общественности доклад о состоянии сельского хозяйства в Чешской Республике (так называемый "зеленый доклад"), в котором оно публикует результаты своего анализа моделей потребления продовольствия, проводит оценку условий, оказывающих влияние на потребление, и излагает прогнозы, касающиеся тенденций в потреблении продовольствия и, соответственно, существующего в обществе в целом спроса на продукцию сельского хозяйства и перерабатывающей промышленности.</w:t>
      </w:r>
    </w:p>
    <w:p w:rsidR="00000000" w:rsidRDefault="00000000"/>
    <w:p w:rsidR="00000000" w:rsidRDefault="00000000">
      <w:pPr>
        <w:pStyle w:val="Heading3"/>
        <w:rPr>
          <w:iCs/>
        </w:rPr>
      </w:pPr>
      <w:r>
        <w:rPr>
          <w:iCs/>
        </w:rPr>
        <w:t>Состояние экологического сельского хозяйства в Чешской Республике</w:t>
      </w:r>
    </w:p>
    <w:p w:rsidR="00000000" w:rsidRDefault="00000000">
      <w:pPr>
        <w:rPr>
          <w:b/>
          <w:bCs/>
        </w:rPr>
      </w:pPr>
    </w:p>
    <w:p w:rsidR="00000000" w:rsidRDefault="00000000">
      <w:pPr>
        <w:rPr>
          <w:lang w:val="en-US"/>
        </w:rPr>
      </w:pPr>
      <w:r>
        <w:t>456.</w:t>
      </w:r>
      <w:r>
        <w:tab/>
        <w:t>Основой более здорового питания населения является повышение качества продовольствия.  Этому также способствует развитие сельскохозяйственного производства, предусматривающего уважение естественных процессов и ограничение содержания вредных веществ в продуктах питания (в результате внесения удобрений, генетической модификации, кормов для скота и т.д.).  В Чешской Республике экологические методы ведения сельского хозяйства начали применяться с 1990 года, когда были заложены основы для функционирования такой системы путем налаживания сотрудничества между министерством сельского хозяйства и некоммерческими неправительственными организациями "Либера" и "Про-био" (объединения фермеров, применяющих экологические методы ведения сельского хозяйства).</w:t>
      </w:r>
    </w:p>
    <w:p w:rsidR="00000000" w:rsidRDefault="00000000">
      <w:pPr>
        <w:rPr>
          <w:lang w:val="en-US"/>
        </w:rPr>
      </w:pPr>
    </w:p>
    <w:p w:rsidR="00000000" w:rsidRDefault="00000000">
      <w:pPr>
        <w:pStyle w:val="10"/>
        <w:rPr>
          <w:bCs/>
        </w:rPr>
      </w:pPr>
      <w:r>
        <w:rPr>
          <w:bCs/>
        </w:rPr>
        <w:br w:type="page"/>
        <w:t>Экологическое сельское хозяйство</w:t>
      </w:r>
    </w:p>
    <w:p w:rsidR="00000000" w:rsidRDefault="00000000">
      <w:pPr>
        <w:rPr>
          <w:b/>
          <w:bCs/>
        </w:rPr>
      </w:pPr>
    </w:p>
    <w:tbl>
      <w:tblPr>
        <w:tblW w:w="0" w:type="auto"/>
        <w:jc w:val="center"/>
        <w:tblLook w:val="0000" w:firstRow="0" w:lastRow="0" w:firstColumn="0" w:lastColumn="0" w:noHBand="0" w:noVBand="0"/>
      </w:tblPr>
      <w:tblGrid>
        <w:gridCol w:w="1604"/>
        <w:gridCol w:w="2431"/>
        <w:gridCol w:w="2431"/>
        <w:gridCol w:w="2618"/>
      </w:tblGrid>
      <w:tr w:rsidR="00000000">
        <w:tblPrEx>
          <w:tblCellMar>
            <w:top w:w="0" w:type="dxa"/>
            <w:bottom w:w="0" w:type="dxa"/>
          </w:tblCellMar>
        </w:tblPrEx>
        <w:trPr>
          <w:jc w:val="center"/>
        </w:trPr>
        <w:tc>
          <w:tcPr>
            <w:tcW w:w="160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Год</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Число фермеров, применяющих экологические методы ведения сельского хозяйства</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lang w:val="en-US"/>
              </w:rPr>
            </w:pPr>
            <w:r>
              <w:rPr>
                <w:sz w:val="22"/>
              </w:rPr>
              <w:t xml:space="preserve">Площадь сельскохозяйственных земель, на которых ведется экологическое сельское хозяйство </w:t>
            </w:r>
          </w:p>
          <w:p w:rsidR="00000000" w:rsidRDefault="00000000">
            <w:pPr>
              <w:spacing w:line="240" w:lineRule="auto"/>
              <w:jc w:val="center"/>
              <w:rPr>
                <w:sz w:val="22"/>
              </w:rPr>
            </w:pPr>
            <w:r>
              <w:rPr>
                <w:sz w:val="22"/>
              </w:rPr>
              <w:t>(в га)</w:t>
            </w:r>
          </w:p>
        </w:tc>
        <w:tc>
          <w:tcPr>
            <w:tcW w:w="261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 xml:space="preserve">Процентная доля площади экологических сельских хозяйств </w:t>
            </w:r>
          </w:p>
          <w:p w:rsidR="00000000" w:rsidRDefault="00000000">
            <w:pPr>
              <w:spacing w:line="240" w:lineRule="auto"/>
              <w:jc w:val="center"/>
              <w:rPr>
                <w:sz w:val="22"/>
              </w:rPr>
            </w:pPr>
            <w:r>
              <w:rPr>
                <w:sz w:val="22"/>
              </w:rPr>
              <w:t>от общей площади сельскохозяйственных земель</w:t>
            </w:r>
          </w:p>
        </w:tc>
      </w:tr>
      <w:tr w:rsidR="00000000">
        <w:tblPrEx>
          <w:tblCellMar>
            <w:top w:w="0" w:type="dxa"/>
            <w:bottom w:w="0" w:type="dxa"/>
          </w:tblCellMar>
        </w:tblPrEx>
        <w:trPr>
          <w:jc w:val="center"/>
        </w:trPr>
        <w:tc>
          <w:tcPr>
            <w:tcW w:w="1604" w:type="dxa"/>
            <w:tcBorders>
              <w:top w:val="single" w:sz="4" w:space="0" w:color="auto"/>
              <w:left w:val="single" w:sz="4" w:space="0" w:color="auto"/>
              <w:right w:val="single" w:sz="4" w:space="0" w:color="auto"/>
            </w:tcBorders>
          </w:tcPr>
          <w:p w:rsidR="00000000" w:rsidRDefault="00000000">
            <w:pPr>
              <w:spacing w:line="240" w:lineRule="auto"/>
            </w:pPr>
            <w:r>
              <w:t>1990</w:t>
            </w:r>
          </w:p>
        </w:tc>
        <w:tc>
          <w:tcPr>
            <w:tcW w:w="2431" w:type="dxa"/>
            <w:tcBorders>
              <w:top w:val="single" w:sz="4" w:space="0" w:color="auto"/>
              <w:left w:val="single" w:sz="4" w:space="0" w:color="auto"/>
              <w:right w:val="single" w:sz="4" w:space="0" w:color="auto"/>
            </w:tcBorders>
          </w:tcPr>
          <w:p w:rsidR="00000000" w:rsidRDefault="00000000">
            <w:pPr>
              <w:tabs>
                <w:tab w:val="clear" w:pos="1701"/>
                <w:tab w:val="clear" w:pos="2268"/>
              </w:tabs>
              <w:spacing w:line="240" w:lineRule="auto"/>
              <w:ind w:right="883"/>
              <w:jc w:val="right"/>
            </w:pPr>
            <w:r>
              <w:t>3</w:t>
            </w:r>
          </w:p>
        </w:tc>
        <w:tc>
          <w:tcPr>
            <w:tcW w:w="2431" w:type="dxa"/>
            <w:tcBorders>
              <w:top w:val="single" w:sz="4" w:space="0" w:color="auto"/>
              <w:left w:val="single" w:sz="4" w:space="0" w:color="auto"/>
              <w:right w:val="single" w:sz="4" w:space="0" w:color="auto"/>
            </w:tcBorders>
          </w:tcPr>
          <w:p w:rsidR="00000000" w:rsidRDefault="00000000">
            <w:pPr>
              <w:tabs>
                <w:tab w:val="clear" w:pos="1701"/>
                <w:tab w:val="clear" w:pos="2268"/>
              </w:tabs>
              <w:spacing w:line="240" w:lineRule="auto"/>
              <w:ind w:right="883"/>
              <w:jc w:val="right"/>
            </w:pPr>
            <w:r>
              <w:t>480</w:t>
            </w:r>
          </w:p>
        </w:tc>
        <w:tc>
          <w:tcPr>
            <w:tcW w:w="2618" w:type="dxa"/>
            <w:tcBorders>
              <w:top w:val="single" w:sz="4" w:space="0" w:color="auto"/>
              <w:left w:val="single" w:sz="4" w:space="0" w:color="auto"/>
              <w:right w:val="single" w:sz="4" w:space="0" w:color="auto"/>
            </w:tcBorders>
          </w:tcPr>
          <w:p w:rsidR="00000000" w:rsidRDefault="00000000">
            <w:pPr>
              <w:tabs>
                <w:tab w:val="clear" w:pos="1701"/>
                <w:tab w:val="clear" w:pos="2268"/>
              </w:tabs>
              <w:spacing w:line="240" w:lineRule="auto"/>
              <w:ind w:right="883"/>
              <w:jc w:val="right"/>
            </w:pPr>
            <w:r>
              <w:t>-</w:t>
            </w:r>
          </w:p>
        </w:tc>
      </w:tr>
      <w:tr w:rsidR="00000000">
        <w:tblPrEx>
          <w:tblCellMar>
            <w:top w:w="0" w:type="dxa"/>
            <w:bottom w:w="0" w:type="dxa"/>
          </w:tblCellMar>
        </w:tblPrEx>
        <w:trPr>
          <w:jc w:val="center"/>
        </w:trPr>
        <w:tc>
          <w:tcPr>
            <w:tcW w:w="1604" w:type="dxa"/>
            <w:tcBorders>
              <w:left w:val="single" w:sz="4" w:space="0" w:color="auto"/>
              <w:right w:val="single" w:sz="4" w:space="0" w:color="auto"/>
            </w:tcBorders>
          </w:tcPr>
          <w:p w:rsidR="00000000" w:rsidRDefault="00000000">
            <w:pPr>
              <w:spacing w:line="240" w:lineRule="auto"/>
            </w:pPr>
            <w:r>
              <w:t>1991</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132</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17 507</w:t>
            </w:r>
          </w:p>
        </w:tc>
        <w:tc>
          <w:tcPr>
            <w:tcW w:w="2618"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0,41</w:t>
            </w:r>
          </w:p>
        </w:tc>
      </w:tr>
      <w:tr w:rsidR="00000000">
        <w:tblPrEx>
          <w:tblCellMar>
            <w:top w:w="0" w:type="dxa"/>
            <w:bottom w:w="0" w:type="dxa"/>
          </w:tblCellMar>
        </w:tblPrEx>
        <w:trPr>
          <w:jc w:val="center"/>
        </w:trPr>
        <w:tc>
          <w:tcPr>
            <w:tcW w:w="1604" w:type="dxa"/>
            <w:tcBorders>
              <w:left w:val="single" w:sz="4" w:space="0" w:color="auto"/>
              <w:right w:val="single" w:sz="4" w:space="0" w:color="auto"/>
            </w:tcBorders>
          </w:tcPr>
          <w:p w:rsidR="00000000" w:rsidRDefault="00000000">
            <w:pPr>
              <w:spacing w:line="240" w:lineRule="auto"/>
            </w:pPr>
            <w:r>
              <w:t>1992</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135</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15 371</w:t>
            </w:r>
          </w:p>
        </w:tc>
        <w:tc>
          <w:tcPr>
            <w:tcW w:w="2618"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0,36</w:t>
            </w:r>
          </w:p>
        </w:tc>
      </w:tr>
      <w:tr w:rsidR="00000000">
        <w:tblPrEx>
          <w:tblCellMar>
            <w:top w:w="0" w:type="dxa"/>
            <w:bottom w:w="0" w:type="dxa"/>
          </w:tblCellMar>
        </w:tblPrEx>
        <w:trPr>
          <w:jc w:val="center"/>
        </w:trPr>
        <w:tc>
          <w:tcPr>
            <w:tcW w:w="1604" w:type="dxa"/>
            <w:tcBorders>
              <w:left w:val="single" w:sz="4" w:space="0" w:color="auto"/>
              <w:right w:val="single" w:sz="4" w:space="0" w:color="auto"/>
            </w:tcBorders>
          </w:tcPr>
          <w:p w:rsidR="00000000" w:rsidRDefault="00000000">
            <w:pPr>
              <w:spacing w:line="240" w:lineRule="auto"/>
            </w:pPr>
            <w:r>
              <w:t>1993</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141</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15 667</w:t>
            </w:r>
          </w:p>
        </w:tc>
        <w:tc>
          <w:tcPr>
            <w:tcW w:w="2618"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0,37</w:t>
            </w:r>
          </w:p>
        </w:tc>
      </w:tr>
      <w:tr w:rsidR="00000000">
        <w:tblPrEx>
          <w:tblCellMar>
            <w:top w:w="0" w:type="dxa"/>
            <w:bottom w:w="0" w:type="dxa"/>
          </w:tblCellMar>
        </w:tblPrEx>
        <w:trPr>
          <w:jc w:val="center"/>
        </w:trPr>
        <w:tc>
          <w:tcPr>
            <w:tcW w:w="1604" w:type="dxa"/>
            <w:tcBorders>
              <w:left w:val="single" w:sz="4" w:space="0" w:color="auto"/>
              <w:right w:val="single" w:sz="4" w:space="0" w:color="auto"/>
            </w:tcBorders>
          </w:tcPr>
          <w:p w:rsidR="00000000" w:rsidRDefault="00000000">
            <w:pPr>
              <w:spacing w:line="240" w:lineRule="auto"/>
            </w:pPr>
            <w:r>
              <w:t>1994</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187</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15 818</w:t>
            </w:r>
          </w:p>
        </w:tc>
        <w:tc>
          <w:tcPr>
            <w:tcW w:w="2618"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0,37</w:t>
            </w:r>
          </w:p>
        </w:tc>
      </w:tr>
      <w:tr w:rsidR="00000000">
        <w:tblPrEx>
          <w:tblCellMar>
            <w:top w:w="0" w:type="dxa"/>
            <w:bottom w:w="0" w:type="dxa"/>
          </w:tblCellMar>
        </w:tblPrEx>
        <w:trPr>
          <w:jc w:val="center"/>
        </w:trPr>
        <w:tc>
          <w:tcPr>
            <w:tcW w:w="1604" w:type="dxa"/>
            <w:tcBorders>
              <w:left w:val="single" w:sz="4" w:space="0" w:color="auto"/>
              <w:right w:val="single" w:sz="4" w:space="0" w:color="auto"/>
            </w:tcBorders>
          </w:tcPr>
          <w:p w:rsidR="00000000" w:rsidRDefault="00000000">
            <w:pPr>
              <w:spacing w:line="240" w:lineRule="auto"/>
            </w:pPr>
            <w:r>
              <w:t>1995</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181</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14 982</w:t>
            </w:r>
          </w:p>
        </w:tc>
        <w:tc>
          <w:tcPr>
            <w:tcW w:w="2618"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0,35</w:t>
            </w:r>
          </w:p>
        </w:tc>
      </w:tr>
      <w:tr w:rsidR="00000000">
        <w:tblPrEx>
          <w:tblCellMar>
            <w:top w:w="0" w:type="dxa"/>
            <w:bottom w:w="0" w:type="dxa"/>
          </w:tblCellMar>
        </w:tblPrEx>
        <w:trPr>
          <w:jc w:val="center"/>
        </w:trPr>
        <w:tc>
          <w:tcPr>
            <w:tcW w:w="1604" w:type="dxa"/>
            <w:tcBorders>
              <w:left w:val="single" w:sz="4" w:space="0" w:color="auto"/>
              <w:right w:val="single" w:sz="4" w:space="0" w:color="auto"/>
            </w:tcBorders>
          </w:tcPr>
          <w:p w:rsidR="00000000" w:rsidRDefault="00000000">
            <w:pPr>
              <w:spacing w:line="240" w:lineRule="auto"/>
            </w:pPr>
            <w:r>
              <w:t>1996</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182</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17 022</w:t>
            </w:r>
          </w:p>
        </w:tc>
        <w:tc>
          <w:tcPr>
            <w:tcW w:w="2618"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0,40</w:t>
            </w:r>
          </w:p>
        </w:tc>
      </w:tr>
      <w:tr w:rsidR="00000000">
        <w:tblPrEx>
          <w:tblCellMar>
            <w:top w:w="0" w:type="dxa"/>
            <w:bottom w:w="0" w:type="dxa"/>
          </w:tblCellMar>
        </w:tblPrEx>
        <w:trPr>
          <w:jc w:val="center"/>
        </w:trPr>
        <w:tc>
          <w:tcPr>
            <w:tcW w:w="1604" w:type="dxa"/>
            <w:tcBorders>
              <w:left w:val="single" w:sz="4" w:space="0" w:color="auto"/>
              <w:right w:val="single" w:sz="4" w:space="0" w:color="auto"/>
            </w:tcBorders>
          </w:tcPr>
          <w:p w:rsidR="00000000" w:rsidRDefault="00000000">
            <w:pPr>
              <w:spacing w:line="240" w:lineRule="auto"/>
            </w:pPr>
            <w:r>
              <w:t>1997</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211</w:t>
            </w:r>
          </w:p>
        </w:tc>
        <w:tc>
          <w:tcPr>
            <w:tcW w:w="2431"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20 238</w:t>
            </w:r>
          </w:p>
        </w:tc>
        <w:tc>
          <w:tcPr>
            <w:tcW w:w="2618" w:type="dxa"/>
            <w:tcBorders>
              <w:left w:val="single" w:sz="4" w:space="0" w:color="auto"/>
              <w:right w:val="single" w:sz="4" w:space="0" w:color="auto"/>
            </w:tcBorders>
          </w:tcPr>
          <w:p w:rsidR="00000000" w:rsidRDefault="00000000">
            <w:pPr>
              <w:tabs>
                <w:tab w:val="clear" w:pos="1701"/>
                <w:tab w:val="clear" w:pos="2268"/>
              </w:tabs>
              <w:spacing w:line="240" w:lineRule="auto"/>
              <w:ind w:right="883"/>
              <w:jc w:val="right"/>
            </w:pPr>
            <w:r>
              <w:t>0,47</w:t>
            </w:r>
          </w:p>
        </w:tc>
      </w:tr>
      <w:tr w:rsidR="00000000">
        <w:tblPrEx>
          <w:tblCellMar>
            <w:top w:w="0" w:type="dxa"/>
            <w:bottom w:w="0" w:type="dxa"/>
          </w:tblCellMar>
        </w:tblPrEx>
        <w:trPr>
          <w:jc w:val="center"/>
        </w:trPr>
        <w:tc>
          <w:tcPr>
            <w:tcW w:w="1604" w:type="dxa"/>
            <w:tcBorders>
              <w:left w:val="single" w:sz="4" w:space="0" w:color="auto"/>
              <w:bottom w:val="single" w:sz="4" w:space="0" w:color="auto"/>
              <w:right w:val="single" w:sz="4" w:space="0" w:color="auto"/>
            </w:tcBorders>
          </w:tcPr>
          <w:p w:rsidR="00000000" w:rsidRDefault="00000000">
            <w:pPr>
              <w:spacing w:line="240" w:lineRule="auto"/>
            </w:pPr>
            <w:r>
              <w:t>1998</w:t>
            </w:r>
          </w:p>
        </w:tc>
        <w:tc>
          <w:tcPr>
            <w:tcW w:w="2431" w:type="dxa"/>
            <w:tcBorders>
              <w:left w:val="single" w:sz="4" w:space="0" w:color="auto"/>
              <w:bottom w:val="single" w:sz="4" w:space="0" w:color="auto"/>
              <w:right w:val="single" w:sz="4" w:space="0" w:color="auto"/>
            </w:tcBorders>
          </w:tcPr>
          <w:p w:rsidR="00000000" w:rsidRDefault="00000000">
            <w:pPr>
              <w:tabs>
                <w:tab w:val="clear" w:pos="1701"/>
                <w:tab w:val="clear" w:pos="2268"/>
              </w:tabs>
              <w:spacing w:line="240" w:lineRule="auto"/>
              <w:ind w:right="883"/>
              <w:jc w:val="right"/>
            </w:pPr>
            <w:r>
              <w:t>340</w:t>
            </w:r>
          </w:p>
        </w:tc>
        <w:tc>
          <w:tcPr>
            <w:tcW w:w="2431" w:type="dxa"/>
            <w:tcBorders>
              <w:left w:val="single" w:sz="4" w:space="0" w:color="auto"/>
              <w:bottom w:val="single" w:sz="4" w:space="0" w:color="auto"/>
              <w:right w:val="single" w:sz="4" w:space="0" w:color="auto"/>
            </w:tcBorders>
          </w:tcPr>
          <w:p w:rsidR="00000000" w:rsidRDefault="00000000">
            <w:pPr>
              <w:tabs>
                <w:tab w:val="clear" w:pos="1701"/>
                <w:tab w:val="clear" w:pos="2268"/>
              </w:tabs>
              <w:spacing w:line="240" w:lineRule="auto"/>
              <w:ind w:right="883"/>
              <w:jc w:val="right"/>
            </w:pPr>
            <w:r>
              <w:t>71 620</w:t>
            </w:r>
          </w:p>
        </w:tc>
        <w:tc>
          <w:tcPr>
            <w:tcW w:w="2618" w:type="dxa"/>
            <w:tcBorders>
              <w:left w:val="single" w:sz="4" w:space="0" w:color="auto"/>
              <w:bottom w:val="single" w:sz="4" w:space="0" w:color="auto"/>
              <w:right w:val="single" w:sz="4" w:space="0" w:color="auto"/>
            </w:tcBorders>
          </w:tcPr>
          <w:p w:rsidR="00000000" w:rsidRDefault="00000000">
            <w:pPr>
              <w:tabs>
                <w:tab w:val="clear" w:pos="1701"/>
                <w:tab w:val="clear" w:pos="2268"/>
              </w:tabs>
              <w:spacing w:line="240" w:lineRule="auto"/>
              <w:ind w:right="883"/>
              <w:jc w:val="right"/>
            </w:pPr>
            <w:r>
              <w:t>1,67</w:t>
            </w:r>
          </w:p>
        </w:tc>
      </w:tr>
    </w:tbl>
    <w:p w:rsidR="00000000" w:rsidRDefault="00000000">
      <w:pPr>
        <w:pStyle w:val="FootnoteText"/>
        <w:spacing w:line="288" w:lineRule="auto"/>
      </w:pPr>
    </w:p>
    <w:p w:rsidR="00000000" w:rsidRDefault="00000000">
      <w:r>
        <w:tab/>
      </w:r>
      <w:r>
        <w:rPr>
          <w:u w:val="single"/>
        </w:rPr>
        <w:t>Источник</w:t>
      </w:r>
      <w:r>
        <w:t>:  Министерство сельского хозяйства Чешской Республики.</w:t>
      </w:r>
    </w:p>
    <w:p w:rsidR="00000000" w:rsidRDefault="00000000"/>
    <w:p w:rsidR="00000000" w:rsidRDefault="00000000">
      <w:r>
        <w:t>457.</w:t>
      </w:r>
      <w:r>
        <w:tab/>
        <w:t>В 1998 году существовала следующая структура земель, на которых ведется экологическое сельское хозяйство:  обрабатываемые земли </w:t>
      </w:r>
      <w:r>
        <w:noBreakHyphen/>
        <w:t xml:space="preserve"> 100 473 га, постоянные пастбища </w:t>
      </w:r>
      <w:r>
        <w:noBreakHyphen/>
        <w:t xml:space="preserve"> 60 924 га, сады </w:t>
      </w:r>
      <w:r>
        <w:noBreakHyphen/>
        <w:t xml:space="preserve"> 356 га, виноградники </w:t>
      </w:r>
      <w:r>
        <w:noBreakHyphen/>
        <w:t xml:space="preserve"> 25 га, пруды </w:t>
      </w:r>
      <w:r>
        <w:noBreakHyphen/>
        <w:t xml:space="preserve"> 24 га и прочие - 245 га.  В том же году в Чешской Республике имелось 326 экологических сельских хозяйств, за работой которых осуществлялся контроль.  239 из них составляли частные фермы, 20 </w:t>
      </w:r>
      <w:r>
        <w:noBreakHyphen/>
        <w:t xml:space="preserve"> сельскохозяйственные кооперативы, 4 </w:t>
      </w:r>
      <w:r>
        <w:noBreakHyphen/>
        <w:t xml:space="preserve"> школьные хозяйства и 54 </w:t>
      </w:r>
      <w:r>
        <w:noBreakHyphen/>
        <w:t xml:space="preserve"> прочие компании (корпорации, компании с ограниченной ответственностью или компании с неограниченной ответственностью).  В этой области действовали также 12 обрабатывающих предприятий, 2 торговые компании и 2 производителя вспомогательных материалов.</w:t>
      </w:r>
    </w:p>
    <w:p w:rsidR="00000000" w:rsidRDefault="00000000"/>
    <w:p w:rsidR="00000000" w:rsidRDefault="00000000">
      <w:r>
        <w:t>458.</w:t>
      </w:r>
      <w:r>
        <w:tab/>
        <w:t>В 1998 году ассоциация "Про-био" объединяла 360 членов, включая 270 производителей, располагавших сертифицированными площадями в 52 505 га.  Ассоциация "Либера" объединяла 38 предприятий с сертифицированными площадями в 19 000 га.  Эти ассоциации осуществляют обучение фермеров, ведущих экологическое сельское хозяйство, и оказывают им консультативную помощь как по вопросам начала такой деятельности, так и по вопросам организации распределения и продаж биопродукции, а также защищают интересы фермеров, ведущих экологическое сельское хозяйство, в государственных организациях.</w:t>
      </w:r>
    </w:p>
    <w:p w:rsidR="00000000" w:rsidRDefault="00000000"/>
    <w:p w:rsidR="00000000" w:rsidRDefault="00000000">
      <w:r>
        <w:br w:type="page"/>
        <w:t>459.</w:t>
      </w:r>
      <w:r>
        <w:tab/>
        <w:t>Государство оказывает поддержку экологическому сельскому хозяйству в рамках программ министерства сельского хозяйства.  В 1998</w:t>
      </w:r>
      <w:r>
        <w:noBreakHyphen/>
        <w:t>1999 годах согласно постановлениям правительства были начаты программы по непроизводственным сельскохозяйственным функциям</w:t>
      </w:r>
      <w:r>
        <w:rPr>
          <w:rStyle w:val="FootnoteReference"/>
        </w:rPr>
        <w:footnoteReference w:id="288"/>
      </w:r>
      <w:r>
        <w:t>, направленные, в частности, на оказание поддержки экологическому сельскому хозяйству в форме финансовых пособий для компенсации потерь, понесенных в результате применения экологических методов ведения сельского хозяйства.  Эти постановления предусматривают оказание поддержки экологическим сельским хозяйствам в районах, где средняя цена земли за квадратный метр составляет 4,01 чешской кроны и более, и в районах с менее благоприятными условиями для ведения сельского хозяйства.</w:t>
      </w:r>
    </w:p>
    <w:p w:rsidR="00000000" w:rsidRDefault="00000000"/>
    <w:p w:rsidR="00000000" w:rsidRDefault="00000000">
      <w:r>
        <w:t>460.</w:t>
      </w:r>
      <w:r>
        <w:tab/>
        <w:t>На основе этих программ государство оказывает финансовую поддержку физическим и юридическим лицам, управляющим следующими видами сельских хозяйств:</w:t>
      </w:r>
    </w:p>
    <w:p w:rsidR="00000000" w:rsidRDefault="00000000"/>
    <w:p w:rsidR="00000000" w:rsidRDefault="00000000">
      <w:r>
        <w:tab/>
        <w:t>а)</w:t>
      </w:r>
      <w:r>
        <w:tab/>
        <w:t>с минимальной площадью сельскохозяйственных земель в 5 га;</w:t>
      </w:r>
    </w:p>
    <w:p w:rsidR="00000000" w:rsidRDefault="00000000"/>
    <w:p w:rsidR="00000000" w:rsidRDefault="00000000">
      <w:r>
        <w:tab/>
      </w:r>
      <w:r>
        <w:rPr>
          <w:lang w:val="en-US"/>
        </w:rPr>
        <w:t>b</w:t>
      </w:r>
      <w:r>
        <w:t>)</w:t>
      </w:r>
      <w:r>
        <w:tab/>
        <w:t>в специальных защищенный районах с минимальной площадью в 2 га;</w:t>
      </w:r>
    </w:p>
    <w:p w:rsidR="00000000" w:rsidRDefault="00000000"/>
    <w:p w:rsidR="00000000" w:rsidRDefault="00000000">
      <w:r>
        <w:tab/>
        <w:t>с)</w:t>
      </w:r>
      <w:r>
        <w:tab/>
        <w:t>экологическим сельским хозяйством, имеющим сельскохозяйственные земли, плантации хмеля, виноградники, сады и фруктовые сады площадью не менее 1 га.</w:t>
      </w:r>
    </w:p>
    <w:p w:rsidR="00000000" w:rsidRDefault="00000000"/>
    <w:p w:rsidR="00000000" w:rsidRDefault="00000000">
      <w:r>
        <w:t>461.</w:t>
      </w:r>
      <w:r>
        <w:tab/>
        <w:t>В качестве критерия для оказания поддержки заявителю, который применяет экологические методы ведения сельского хозяйства на обрабатываемых землях средней стоимостью 4,01 и более чешских крон за квадратный метр и в районах, находящихся в менее благоприятном положении, являются общие требования для всех программ, а также требования о том, чтобы:</w:t>
      </w:r>
    </w:p>
    <w:p w:rsidR="00000000" w:rsidRDefault="00000000"/>
    <w:p w:rsidR="00000000" w:rsidRDefault="00000000">
      <w:r>
        <w:tab/>
        <w:t>а)</w:t>
      </w:r>
      <w:r>
        <w:tab/>
        <w:t>заявитель поддерживал все сельскохозяйственные земли в должном состоянии согласно специальным законодательным нормам;</w:t>
      </w:r>
    </w:p>
    <w:p w:rsidR="00000000" w:rsidRDefault="00000000"/>
    <w:p w:rsidR="00000000" w:rsidRDefault="00000000">
      <w:r>
        <w:tab/>
      </w:r>
      <w:r>
        <w:rPr>
          <w:lang w:val="en-US"/>
        </w:rPr>
        <w:t>b</w:t>
      </w:r>
      <w:r>
        <w:t>)</w:t>
      </w:r>
      <w:r>
        <w:tab/>
        <w:t>заявитель не фигурировал в списке, который составляется соответствующим областным управлением и в котором указываются заявители, которые не выполняют обязательства в области охраны окружающей среды;</w:t>
      </w:r>
    </w:p>
    <w:p w:rsidR="00000000" w:rsidRDefault="00000000"/>
    <w:p w:rsidR="00000000" w:rsidRDefault="00000000">
      <w:r>
        <w:tab/>
        <w:t>с)</w:t>
      </w:r>
      <w:r>
        <w:tab/>
        <w:t>заявитель не обращался за иной поддержкой в этих же целях и в отношении этих же земель в один и тот же год.</w:t>
      </w:r>
    </w:p>
    <w:p w:rsidR="00000000" w:rsidRDefault="00000000"/>
    <w:p w:rsidR="00000000" w:rsidRDefault="00000000">
      <w:r>
        <w:t>Кроме того, для экологических сельских хозяйств предусматривается требование о том, чтобы:</w:t>
      </w:r>
    </w:p>
    <w:p w:rsidR="00000000" w:rsidRDefault="00000000"/>
    <w:p w:rsidR="00000000" w:rsidRDefault="00000000">
      <w:r>
        <w:tab/>
      </w:r>
      <w:r>
        <w:rPr>
          <w:lang w:val="en-US"/>
        </w:rPr>
        <w:t>d</w:t>
      </w:r>
      <w:r>
        <w:t>)</w:t>
      </w:r>
      <w:r>
        <w:tab/>
        <w:t>заявитель был включен в список фермеров, которые осуществляют сельскохозяйственную деятельность с применением особых природоохранных мер и защищают все компоненты окружающей среды.</w:t>
      </w:r>
    </w:p>
    <w:p w:rsidR="00000000" w:rsidRDefault="00000000"/>
    <w:p w:rsidR="00000000" w:rsidRDefault="00000000">
      <w:r>
        <w:t>462.</w:t>
      </w:r>
      <w:r>
        <w:tab/>
        <w:t>Для оказания поддержки заявителю, который применяет экологические методы ведения сельского хозяйства на обрабатываемых землях со средней ценой в 4,01 или более чешских крон за квадратный метр и на постоянных пастбищах, находящихся в менее благоприятном положении, применяются следующие критерии:</w:t>
      </w:r>
    </w:p>
    <w:p w:rsidR="00000000" w:rsidRDefault="00000000"/>
    <w:p w:rsidR="00000000" w:rsidRDefault="00000000">
      <w:r>
        <w:tab/>
        <w:t>а)</w:t>
      </w:r>
      <w:r>
        <w:tab/>
        <w:t>экологическое разведение сельскохозяйственного скота, средняя интенсивность которого составляет по меньшей мере 0,1 от показателя, установленного для крупных животноводческих хозяйств;</w:t>
      </w:r>
    </w:p>
    <w:p w:rsidR="00000000" w:rsidRDefault="00000000"/>
    <w:p w:rsidR="00000000" w:rsidRDefault="00000000">
      <w:r>
        <w:tab/>
      </w:r>
      <w:r>
        <w:rPr>
          <w:lang w:val="en-US"/>
        </w:rPr>
        <w:t>b</w:t>
      </w:r>
      <w:r>
        <w:t>)</w:t>
      </w:r>
      <w:r>
        <w:tab/>
        <w:t>заявитель должен быть включен в список фермеров, которые осуществляют сельскохозяйственную деятельность с применением особых природоохранных мер и защиты всех элементов окружающей среды.</w:t>
      </w:r>
    </w:p>
    <w:p w:rsidR="00000000" w:rsidRDefault="00000000"/>
    <w:p w:rsidR="00000000" w:rsidRDefault="00000000">
      <w:r>
        <w:t>463.</w:t>
      </w:r>
      <w:r>
        <w:tab/>
        <w:t>В настоящее время экологические сельские хозяйства функционируют согласно принципам, содержащимся в методологических инструкциях для экологических сельских хозяйств, представляющих собой внутренние правила министерства сельского хозяйства, которые отражают основные принципы, содержащиеся в директиве Совета ЕС № 2092/91 об экологическом сельском хозяйстве и соответствующих методах выявления сельскохозяйственных продуктов и продуктов питания, которая действует для стран Европейского сообщества с 1991 года и была разработана в качестве основных принципов для экологического сельского хозяйства.  Эти правила также соответствуют принципам МФДОЗ (Международной федерации движений за "органическое" земледелие).</w:t>
      </w:r>
    </w:p>
    <w:p w:rsidR="00000000" w:rsidRDefault="00000000"/>
    <w:p w:rsidR="00000000" w:rsidRDefault="00000000">
      <w:r>
        <w:t>464.</w:t>
      </w:r>
      <w:r>
        <w:tab/>
        <w:t>В настоящее время министерство сельского хозяйства подготавливает закон об экологическом сельском хозяйстве, который должен вступить в силу в 2000 году.  Этот закон будет предусматривать всеобъемлющие условия ведения экологического сельского хозяйства.</w:t>
      </w:r>
    </w:p>
    <w:p w:rsidR="00000000" w:rsidRDefault="00000000"/>
    <w:p w:rsidR="00000000" w:rsidRDefault="00000000">
      <w:r>
        <w:t>465.</w:t>
      </w:r>
      <w:r>
        <w:tab/>
        <w:t>Работа фермера, зарегистрированного в рамках системы экологического сельского хозяйства, контролируется уполномоченными инспекционными организациями (с санкции министерства сельского хозяйства), с тем чтобы установить, выполняет ли он принципы экологического сельского хозяйства, и после получения положительного заключения инспекции он получает соответствующий сертификат.  В Чешской Республике все такие сертифицированные фермеры ежегодно включаются в список производителей, переработчиков и торговцев натуральными продуктами, что имеет большое значение при обращении с ходатайством об оказании финансовой поддержки для экологического сельского хозяйства, а также в целях информирования общественности.</w:t>
      </w:r>
    </w:p>
    <w:p w:rsidR="00000000" w:rsidRDefault="00000000"/>
    <w:p w:rsidR="00000000" w:rsidRDefault="00000000">
      <w:pPr>
        <w:rPr>
          <w:b/>
          <w:bCs/>
        </w:rPr>
      </w:pPr>
      <w:r>
        <w:rPr>
          <w:b/>
          <w:bCs/>
        </w:rPr>
        <w:t xml:space="preserve">Пункт 2 </w:t>
      </w:r>
      <w:r>
        <w:rPr>
          <w:b/>
          <w:bCs/>
          <w:lang w:val="en-US"/>
        </w:rPr>
        <w:t>b)</w:t>
      </w:r>
    </w:p>
    <w:p w:rsidR="00000000" w:rsidRDefault="00000000"/>
    <w:p w:rsidR="00000000" w:rsidRDefault="00000000">
      <w:r>
        <w:t>466.</w:t>
      </w:r>
      <w:r>
        <w:tab/>
        <w:t>Чешская Республика является импортером продовольствия.  Она уделяет большое внимание проблеме обеспечения справедливого распределения мировых запасов продовольствия в ходе многосторонних переговоров по вопросам либерализации торговли в рамках Всемирной торговой организации</w:t>
      </w:r>
      <w:r>
        <w:rPr>
          <w:rStyle w:val="FootnoteReference"/>
        </w:rPr>
        <w:footnoteReference w:id="289"/>
      </w:r>
      <w:r>
        <w:t>, а также в ходе переговоров о двусторонних режимах торговой политики с другими странами.  Кроме того, в своих отношениях с наименее развитыми и развивающимися странами она в одностороннем порядке предоставляет этим странам надлежащий режим в рамках общей системы преференций.</w:t>
      </w:r>
    </w:p>
    <w:p w:rsidR="00000000" w:rsidRDefault="00000000"/>
    <w:p w:rsidR="00000000" w:rsidRDefault="00000000">
      <w:r>
        <w:t>467.</w:t>
      </w:r>
      <w:r>
        <w:tab/>
        <w:t>Чешская Республика также оказывает поддержку районам, находящимся под угрозой нехватки продовольствия, путем оказания финансовой двусторонней и многосторонней помощи (в виде добровольных взносов в Организацию Объединенных Наций и Международный валютный фонд).  В государственном бюджете на 1998 год была утверждена помощь в целях развития в размере 326 млн. чешских крон и гуманитарная помощь в размере 30 млн. чешских крон</w:t>
      </w:r>
      <w:r>
        <w:rPr>
          <w:rStyle w:val="FootnoteReference"/>
        </w:rPr>
        <w:footnoteReference w:id="290"/>
      </w:r>
      <w:r>
        <w:t>, которая использовалась для целей, определявшихся в каждом конкретном случае с учетом безотлагательного характера потребностей и в соответствии с принципами оказания внешней помощи</w:t>
      </w:r>
      <w:r>
        <w:rPr>
          <w:rStyle w:val="FootnoteReference"/>
        </w:rPr>
        <w:footnoteReference w:id="291"/>
      </w:r>
      <w:r>
        <w:t>.</w:t>
      </w:r>
    </w:p>
    <w:p w:rsidR="00000000" w:rsidRDefault="00000000"/>
    <w:p w:rsidR="00000000" w:rsidRDefault="00000000">
      <w:r>
        <w:t>468.</w:t>
      </w:r>
      <w:r>
        <w:tab/>
        <w:t>Что касается использования помощи, предоставляемой Чешской Республикой в целях справедливого распределения мировых продовольственных запасов, большое значение будет иметь в будущем членство Чешской Республики в Европейском союзе и ее участие в программах помощи Союза.  Были начаты подготовительные мероприятия для введения в действие торгового режима с развивающимся странами.  Как только Чешская Республика вступит в Союз, она будет принимать участие в финансировании Европейского фонда развития.</w:t>
      </w:r>
    </w:p>
    <w:p w:rsidR="00000000" w:rsidRDefault="00000000"/>
    <w:p w:rsidR="00000000" w:rsidRDefault="00000000">
      <w:r>
        <w:t>469.</w:t>
      </w:r>
      <w:r>
        <w:tab/>
        <w:t>В стране вступил в действие Закон 1997 года о продуктах питания и табачных изделиях</w:t>
      </w:r>
      <w:r>
        <w:rPr>
          <w:rStyle w:val="FootnoteReference"/>
        </w:rPr>
        <w:footnoteReference w:id="292"/>
      </w:r>
      <w:r>
        <w:t xml:space="preserve">.  В этом законе изложены обязанности предприятий, занимающихся производством, распределением, маркировкой, упаковкой и перевозкой продовольствия и табачных изделий.  В нем также предусматривается надзор со стороны государства за соблюдением этих обязанностей и санкции в случае нарушений.  Были приняты правила, регулирующие порядок осуществления этого закона в разбивке по группам продовольственных товаров.  Одновременно министерство здравоохранения приняло соответствующие постановления по этим вопросам.  Цель закона и постановлений, регулирующих порядок его осуществления, заключается в обеспечении того, чтобы потребитель получал не наносящие вреда здоровью продукты питания, отвечающие установленным нормам качества.  Этот закон и постановление, регулирующие порядок его осуществления, в максимальной степени согласованы с нормами Европейского союза, в том что касается технических аспектов, в частности, в области установления химических и физических параметров качества.  </w:t>
      </w:r>
    </w:p>
    <w:p w:rsidR="00000000" w:rsidRDefault="00000000">
      <w:pPr>
        <w:spacing w:line="240" w:lineRule="auto"/>
      </w:pPr>
    </w:p>
    <w:p w:rsidR="00000000" w:rsidRDefault="00000000">
      <w:pPr>
        <w:pStyle w:val="14"/>
        <w:spacing w:line="240" w:lineRule="auto"/>
        <w:rPr>
          <w:bCs/>
          <w:u w:val="none"/>
        </w:rPr>
      </w:pPr>
      <w:r>
        <w:rPr>
          <w:bCs/>
          <w:u w:val="none"/>
        </w:rPr>
        <w:br w:type="page"/>
        <w:t>Статья 12</w:t>
      </w:r>
    </w:p>
    <w:p w:rsidR="00000000" w:rsidRDefault="00000000">
      <w:pPr>
        <w:pStyle w:val="14"/>
        <w:spacing w:line="240" w:lineRule="auto"/>
        <w:rPr>
          <w:bCs/>
        </w:rPr>
      </w:pPr>
    </w:p>
    <w:p w:rsidR="00000000" w:rsidRDefault="00000000">
      <w:pPr>
        <w:pStyle w:val="Heading2"/>
        <w:spacing w:line="240" w:lineRule="auto"/>
        <w:rPr>
          <w:b/>
          <w:bCs/>
          <w:u w:val="none"/>
        </w:rPr>
      </w:pPr>
      <w:r>
        <w:rPr>
          <w:b/>
          <w:bCs/>
          <w:u w:val="none"/>
        </w:rPr>
        <w:t>Пункт 1</w:t>
      </w:r>
    </w:p>
    <w:p w:rsidR="00000000" w:rsidRDefault="00000000">
      <w:pPr>
        <w:pStyle w:val="Heading2"/>
        <w:spacing w:line="240" w:lineRule="auto"/>
      </w:pPr>
    </w:p>
    <w:p w:rsidR="00000000" w:rsidRDefault="00000000">
      <w:r>
        <w:t>470.</w:t>
      </w:r>
      <w:r>
        <w:tab/>
        <w:t>Статья 31 Хартии гласит следующее:  "Каждый имеет право на охрану здоровья.  На основе государственного страхования граждане имеют право на бесплатное медицинское обслуживание и медицинскую помощь на условиях, установленных законом".</w:t>
      </w:r>
    </w:p>
    <w:p w:rsidR="00000000" w:rsidRDefault="00000000"/>
    <w:p w:rsidR="00000000" w:rsidRDefault="00000000">
      <w:r>
        <w:t>471.</w:t>
      </w:r>
      <w:r>
        <w:tab/>
        <w:t>На состояние здоровья населения Чешской Республики в значительной степени влияет возрастная структура.  Естественный прирост населения является отрицательным, и происходит процесс старения населения.  С 1990 года отмечается снижение общего стандартизированного коэффициента смертности, при этом он в большей степени снижается среди мужчин.  В настоящее время число смертей на 1 000 жителей составляет 10,6:  для мужчин - 12,5 и для женщин - 7,4.  Отмечается также снижение детской смертности.  Растет ожидаемая продолжительность жизни при рождении, однако этот показатель по</w:t>
      </w:r>
      <w:r>
        <w:noBreakHyphen/>
        <w:t>прежнему ниже самой низкой величины в странах Европейского союза.  В 85% случаев смерть наступает вследствие заболеваний системы кровообращения, опухолей, травм и отравлений.  Хотя смертность в результате заболеваний системы кровообращения сокращается, в особенности среди мужчин, смертность в результате неоплазии остается стабильной или даже возрастает.</w:t>
      </w:r>
    </w:p>
    <w:p w:rsidR="00000000" w:rsidRDefault="00000000"/>
    <w:p w:rsidR="00000000" w:rsidRDefault="00000000">
      <w:pPr>
        <w:keepLines/>
      </w:pPr>
      <w:r>
        <w:t>472.</w:t>
      </w:r>
      <w:r>
        <w:tab/>
        <w:t>Несмотря на сокращение числа смертей в результате сердечно-сосудистых заболеваний, они по</w:t>
      </w:r>
      <w:r>
        <w:noBreakHyphen/>
        <w:t>прежнему остаются основной причиной смертности (56,2%).  Второй по частотности причиной смерти является неоплазия (24,8%).  Несмотря на стабилизацию показателей смертности, частотность этих заболеваний увеличивается (примерно на 2% в год), так же как и число лиц, страдающих от них (в 1997 году в Национальном онкологическом реестре Чешской Республики было зарегистрировано 52 304 новых случаев злокачественной неоплазмы).  Третьей по частотности причиной смертности являются травмы и другие внешние причины, на долю которых приходится около 8% общего числа смертей, и этот показатель пока не снижается.  Серьезной проблемой является рост заболеваемости диабетом.  В 1997 году число лиц, страдающих от этого заболевания, по сравнению с предыдущим годом увеличилось на 3%.</w:t>
      </w:r>
    </w:p>
    <w:p w:rsidR="00000000" w:rsidRDefault="00000000"/>
    <w:p w:rsidR="00000000" w:rsidRDefault="00000000">
      <w:r>
        <w:t>473.</w:t>
      </w:r>
      <w:r>
        <w:tab/>
        <w:t>Статистика нетрудоспособности свидетельствует о постепенном снижении этого показателя с 1990 года, однако средняя продолжительность нетрудоспособности увеличивается и составила в 1997 году 25,5 дней для мужчин и 27,2 дня для женщин (календарных, а не рабочих дней).  Значительное воздействие на продолжительность и частотность случаев нетрудоспособности оказывают социально-экономические факторы.</w:t>
      </w:r>
    </w:p>
    <w:p w:rsidR="00000000" w:rsidRDefault="00000000"/>
    <w:p w:rsidR="00000000" w:rsidRDefault="00000000">
      <w:pPr>
        <w:pStyle w:val="Heading1"/>
        <w:keepNext w:val="0"/>
        <w:jc w:val="center"/>
        <w:rPr>
          <w:bCs/>
        </w:rPr>
      </w:pPr>
      <w:r>
        <w:rPr>
          <w:bCs/>
        </w:rPr>
        <w:br w:type="page"/>
        <w:t>Нетрудоспособность вследствие заболеваний или травм</w:t>
      </w:r>
    </w:p>
    <w:p w:rsidR="00000000" w:rsidRDefault="00000000"/>
    <w:tbl>
      <w:tblPr>
        <w:tblW w:w="9462" w:type="dxa"/>
        <w:tblBorders>
          <w:top w:val="single" w:sz="4" w:space="0" w:color="auto"/>
          <w:bottom w:val="single" w:sz="4" w:space="0" w:color="auto"/>
        </w:tblBorders>
        <w:tblCellMar>
          <w:left w:w="56" w:type="dxa"/>
          <w:right w:w="56" w:type="dxa"/>
        </w:tblCellMar>
        <w:tblLook w:val="0000" w:firstRow="0" w:lastRow="0" w:firstColumn="0" w:lastColumn="0" w:noHBand="0" w:noVBand="0"/>
      </w:tblPr>
      <w:tblGrid>
        <w:gridCol w:w="4357"/>
        <w:gridCol w:w="1021"/>
        <w:gridCol w:w="1021"/>
        <w:gridCol w:w="1021"/>
        <w:gridCol w:w="1021"/>
        <w:gridCol w:w="1021"/>
      </w:tblGrid>
      <w:tr w:rsidR="00000000">
        <w:tblPrEx>
          <w:tblCellMar>
            <w:top w:w="0" w:type="dxa"/>
            <w:bottom w:w="0" w:type="dxa"/>
          </w:tblCellMar>
        </w:tblPrEx>
        <w:tc>
          <w:tcPr>
            <w:tcW w:w="4357"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10"/>
              <w:rPr>
                <w:b w:val="0"/>
              </w:rPr>
            </w:pPr>
            <w:r>
              <w:rPr>
                <w:b w:val="0"/>
              </w:rPr>
              <w:t>1990</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c>
          <w:tcPr>
            <w:tcW w:w="4357" w:type="dxa"/>
            <w:tcBorders>
              <w:top w:val="single" w:sz="4" w:space="0" w:color="auto"/>
              <w:left w:val="single" w:sz="4" w:space="0" w:color="auto"/>
              <w:right w:val="single" w:sz="4" w:space="0" w:color="auto"/>
            </w:tcBorders>
          </w:tcPr>
          <w:p w:rsidR="00000000" w:rsidRDefault="00000000">
            <w:pPr>
              <w:pStyle w:val="FootnoteText"/>
              <w:tabs>
                <w:tab w:val="clear" w:pos="567"/>
                <w:tab w:val="left" w:pos="374"/>
              </w:tabs>
              <w:ind w:left="374" w:hanging="374"/>
            </w:pPr>
            <w:r>
              <w:t>Новые случаи нетрудоспособности на 100 человек, охваченных медицинским страхованием</w:t>
            </w:r>
          </w:p>
        </w:tc>
        <w:tc>
          <w:tcPr>
            <w:tcW w:w="1021" w:type="dxa"/>
            <w:tcBorders>
              <w:top w:val="single" w:sz="4" w:space="0" w:color="auto"/>
              <w:left w:val="single" w:sz="4" w:space="0" w:color="auto"/>
              <w:right w:val="single" w:sz="4" w:space="0" w:color="auto"/>
            </w:tcBorders>
          </w:tcPr>
          <w:p w:rsidR="00000000" w:rsidRDefault="00000000">
            <w:pPr>
              <w:tabs>
                <w:tab w:val="clear" w:pos="567"/>
              </w:tabs>
              <w:ind w:left="-243" w:right="217"/>
              <w:jc w:val="right"/>
            </w:pPr>
            <w:r>
              <w:t>95,3</w:t>
            </w:r>
          </w:p>
        </w:tc>
        <w:tc>
          <w:tcPr>
            <w:tcW w:w="1021" w:type="dxa"/>
            <w:tcBorders>
              <w:top w:val="single" w:sz="4" w:space="0" w:color="auto"/>
              <w:left w:val="single" w:sz="4" w:space="0" w:color="auto"/>
              <w:right w:val="single" w:sz="4" w:space="0" w:color="auto"/>
            </w:tcBorders>
          </w:tcPr>
          <w:p w:rsidR="00000000" w:rsidRDefault="00000000">
            <w:pPr>
              <w:tabs>
                <w:tab w:val="clear" w:pos="567"/>
              </w:tabs>
              <w:ind w:left="-243" w:right="217"/>
              <w:jc w:val="right"/>
            </w:pPr>
            <w:r>
              <w:t>91,9</w:t>
            </w:r>
          </w:p>
        </w:tc>
        <w:tc>
          <w:tcPr>
            <w:tcW w:w="1021" w:type="dxa"/>
            <w:tcBorders>
              <w:top w:val="single" w:sz="4" w:space="0" w:color="auto"/>
              <w:left w:val="single" w:sz="4" w:space="0" w:color="auto"/>
              <w:right w:val="single" w:sz="4" w:space="0" w:color="auto"/>
            </w:tcBorders>
          </w:tcPr>
          <w:p w:rsidR="00000000" w:rsidRDefault="00000000">
            <w:pPr>
              <w:tabs>
                <w:tab w:val="clear" w:pos="567"/>
              </w:tabs>
              <w:ind w:left="-243" w:right="217"/>
              <w:jc w:val="right"/>
            </w:pPr>
            <w:r>
              <w:t>85,8</w:t>
            </w:r>
          </w:p>
        </w:tc>
        <w:tc>
          <w:tcPr>
            <w:tcW w:w="1021" w:type="dxa"/>
            <w:tcBorders>
              <w:top w:val="single" w:sz="4" w:space="0" w:color="auto"/>
              <w:left w:val="single" w:sz="4" w:space="0" w:color="auto"/>
              <w:right w:val="single" w:sz="4" w:space="0" w:color="auto"/>
            </w:tcBorders>
          </w:tcPr>
          <w:p w:rsidR="00000000" w:rsidRDefault="00000000">
            <w:pPr>
              <w:tabs>
                <w:tab w:val="clear" w:pos="567"/>
              </w:tabs>
              <w:ind w:left="-243" w:right="217"/>
              <w:jc w:val="right"/>
            </w:pPr>
            <w:r>
              <w:t>86,7</w:t>
            </w:r>
          </w:p>
        </w:tc>
        <w:tc>
          <w:tcPr>
            <w:tcW w:w="1021" w:type="dxa"/>
            <w:tcBorders>
              <w:top w:val="single" w:sz="4" w:space="0" w:color="auto"/>
              <w:left w:val="single" w:sz="4" w:space="0" w:color="auto"/>
              <w:right w:val="single" w:sz="4" w:space="0" w:color="auto"/>
            </w:tcBorders>
          </w:tcPr>
          <w:p w:rsidR="00000000" w:rsidRDefault="00000000">
            <w:pPr>
              <w:tabs>
                <w:tab w:val="clear" w:pos="567"/>
              </w:tabs>
              <w:ind w:left="-243" w:right="217"/>
              <w:jc w:val="right"/>
            </w:pPr>
            <w:r>
              <w:t>79,2</w:t>
            </w:r>
          </w:p>
        </w:tc>
      </w:tr>
      <w:tr w:rsidR="00000000">
        <w:tblPrEx>
          <w:tblCellMar>
            <w:top w:w="0" w:type="dxa"/>
            <w:bottom w:w="0" w:type="dxa"/>
          </w:tblCellMar>
        </w:tblPrEx>
        <w:tc>
          <w:tcPr>
            <w:tcW w:w="4357" w:type="dxa"/>
            <w:tcBorders>
              <w:left w:val="single" w:sz="4" w:space="0" w:color="auto"/>
              <w:right w:val="single" w:sz="4" w:space="0" w:color="auto"/>
            </w:tcBorders>
          </w:tcPr>
          <w:p w:rsidR="00000000" w:rsidRDefault="00000000">
            <w:pPr>
              <w:tabs>
                <w:tab w:val="clear" w:pos="567"/>
                <w:tab w:val="left" w:pos="374"/>
              </w:tabs>
              <w:spacing w:line="240" w:lineRule="auto"/>
              <w:ind w:left="374" w:hanging="374"/>
            </w:pPr>
            <w:r>
              <w:t>Средняя продолжительность нетрудоспособности (календарные дни)</w:t>
            </w:r>
          </w:p>
        </w:tc>
        <w:tc>
          <w:tcPr>
            <w:tcW w:w="1021" w:type="dxa"/>
            <w:tcBorders>
              <w:left w:val="single" w:sz="4" w:space="0" w:color="auto"/>
              <w:right w:val="single" w:sz="4" w:space="0" w:color="auto"/>
            </w:tcBorders>
          </w:tcPr>
          <w:p w:rsidR="00000000" w:rsidRDefault="00000000">
            <w:pPr>
              <w:tabs>
                <w:tab w:val="clear" w:pos="567"/>
              </w:tabs>
              <w:ind w:left="-243" w:right="217"/>
              <w:jc w:val="right"/>
              <w:rPr>
                <w:lang w:val="en-US"/>
              </w:rPr>
            </w:pPr>
            <w:r>
              <w:rPr>
                <w:lang w:val="en-US"/>
              </w:rPr>
              <w:t>18,4</w:t>
            </w:r>
          </w:p>
        </w:tc>
        <w:tc>
          <w:tcPr>
            <w:tcW w:w="1021" w:type="dxa"/>
            <w:tcBorders>
              <w:left w:val="single" w:sz="4" w:space="0" w:color="auto"/>
              <w:right w:val="single" w:sz="4" w:space="0" w:color="auto"/>
            </w:tcBorders>
          </w:tcPr>
          <w:p w:rsidR="00000000" w:rsidRDefault="00000000">
            <w:pPr>
              <w:tabs>
                <w:tab w:val="clear" w:pos="567"/>
              </w:tabs>
              <w:ind w:left="-243" w:right="217"/>
              <w:jc w:val="right"/>
              <w:rPr>
                <w:lang w:val="en-US"/>
              </w:rPr>
            </w:pPr>
            <w:r>
              <w:rPr>
                <w:lang w:val="en-US"/>
              </w:rPr>
              <w:t>24,4</w:t>
            </w:r>
          </w:p>
        </w:tc>
        <w:tc>
          <w:tcPr>
            <w:tcW w:w="1021" w:type="dxa"/>
            <w:tcBorders>
              <w:left w:val="single" w:sz="4" w:space="0" w:color="auto"/>
              <w:right w:val="single" w:sz="4" w:space="0" w:color="auto"/>
            </w:tcBorders>
          </w:tcPr>
          <w:p w:rsidR="00000000" w:rsidRDefault="00000000">
            <w:pPr>
              <w:tabs>
                <w:tab w:val="clear" w:pos="567"/>
              </w:tabs>
              <w:ind w:left="-243" w:right="217"/>
              <w:jc w:val="right"/>
              <w:rPr>
                <w:lang w:val="en-US"/>
              </w:rPr>
            </w:pPr>
            <w:r>
              <w:rPr>
                <w:lang w:val="en-US"/>
              </w:rPr>
              <w:t>25,8</w:t>
            </w:r>
          </w:p>
        </w:tc>
        <w:tc>
          <w:tcPr>
            <w:tcW w:w="1021" w:type="dxa"/>
            <w:tcBorders>
              <w:left w:val="single" w:sz="4" w:space="0" w:color="auto"/>
              <w:right w:val="single" w:sz="4" w:space="0" w:color="auto"/>
            </w:tcBorders>
          </w:tcPr>
          <w:p w:rsidR="00000000" w:rsidRDefault="00000000">
            <w:pPr>
              <w:tabs>
                <w:tab w:val="clear" w:pos="567"/>
              </w:tabs>
              <w:ind w:left="-243" w:right="217"/>
              <w:jc w:val="right"/>
              <w:rPr>
                <w:lang w:val="en-US"/>
              </w:rPr>
            </w:pPr>
            <w:r>
              <w:rPr>
                <w:lang w:val="en-US"/>
              </w:rPr>
              <w:t>26,3</w:t>
            </w:r>
          </w:p>
        </w:tc>
        <w:tc>
          <w:tcPr>
            <w:tcW w:w="1021" w:type="dxa"/>
            <w:tcBorders>
              <w:left w:val="single" w:sz="4" w:space="0" w:color="auto"/>
              <w:right w:val="single" w:sz="4" w:space="0" w:color="auto"/>
            </w:tcBorders>
          </w:tcPr>
          <w:p w:rsidR="00000000" w:rsidRDefault="00000000">
            <w:pPr>
              <w:tabs>
                <w:tab w:val="clear" w:pos="567"/>
              </w:tabs>
              <w:ind w:left="-243" w:right="217"/>
              <w:jc w:val="right"/>
              <w:rPr>
                <w:lang w:val="en-US"/>
              </w:rPr>
            </w:pPr>
            <w:r>
              <w:rPr>
                <w:lang w:val="en-US"/>
              </w:rPr>
              <w:t>26,8</w:t>
            </w:r>
          </w:p>
        </w:tc>
      </w:tr>
      <w:tr w:rsidR="00000000">
        <w:tblPrEx>
          <w:tblCellMar>
            <w:top w:w="0" w:type="dxa"/>
            <w:bottom w:w="0" w:type="dxa"/>
          </w:tblCellMar>
        </w:tblPrEx>
        <w:tc>
          <w:tcPr>
            <w:tcW w:w="4357" w:type="dxa"/>
            <w:tcBorders>
              <w:left w:val="single" w:sz="4" w:space="0" w:color="auto"/>
              <w:bottom w:val="single" w:sz="4" w:space="0" w:color="auto"/>
              <w:right w:val="single" w:sz="4" w:space="0" w:color="auto"/>
            </w:tcBorders>
          </w:tcPr>
          <w:p w:rsidR="00000000" w:rsidRDefault="00000000">
            <w:pPr>
              <w:tabs>
                <w:tab w:val="clear" w:pos="567"/>
                <w:tab w:val="left" w:pos="374"/>
              </w:tabs>
              <w:spacing w:line="240" w:lineRule="auto"/>
              <w:ind w:left="374" w:hanging="374"/>
            </w:pPr>
            <w:r>
              <w:t xml:space="preserve">Средний процентный показатель нетрудоспособности в год </w:t>
            </w:r>
          </w:p>
        </w:tc>
        <w:tc>
          <w:tcPr>
            <w:tcW w:w="1021" w:type="dxa"/>
            <w:tcBorders>
              <w:left w:val="single" w:sz="4" w:space="0" w:color="auto"/>
              <w:bottom w:val="single" w:sz="4" w:space="0" w:color="auto"/>
              <w:right w:val="single" w:sz="4" w:space="0" w:color="auto"/>
            </w:tcBorders>
          </w:tcPr>
          <w:p w:rsidR="00000000" w:rsidRDefault="00000000">
            <w:pPr>
              <w:tabs>
                <w:tab w:val="clear" w:pos="567"/>
              </w:tabs>
              <w:ind w:left="-243" w:right="217"/>
              <w:jc w:val="right"/>
              <w:rPr>
                <w:lang w:val="en-US"/>
              </w:rPr>
            </w:pPr>
            <w:r>
              <w:rPr>
                <w:lang w:val="en-US"/>
              </w:rPr>
              <w:t>4,8</w:t>
            </w:r>
          </w:p>
        </w:tc>
        <w:tc>
          <w:tcPr>
            <w:tcW w:w="1021" w:type="dxa"/>
            <w:tcBorders>
              <w:left w:val="single" w:sz="4" w:space="0" w:color="auto"/>
              <w:bottom w:val="single" w:sz="4" w:space="0" w:color="auto"/>
              <w:right w:val="single" w:sz="4" w:space="0" w:color="auto"/>
            </w:tcBorders>
          </w:tcPr>
          <w:p w:rsidR="00000000" w:rsidRDefault="00000000">
            <w:pPr>
              <w:tabs>
                <w:tab w:val="clear" w:pos="567"/>
              </w:tabs>
              <w:ind w:left="-243" w:right="217"/>
              <w:jc w:val="right"/>
              <w:rPr>
                <w:lang w:val="en-US"/>
              </w:rPr>
            </w:pPr>
            <w:r>
              <w:rPr>
                <w:lang w:val="en-US"/>
              </w:rPr>
              <w:t>6,2</w:t>
            </w:r>
          </w:p>
        </w:tc>
        <w:tc>
          <w:tcPr>
            <w:tcW w:w="1021" w:type="dxa"/>
            <w:tcBorders>
              <w:left w:val="single" w:sz="4" w:space="0" w:color="auto"/>
              <w:bottom w:val="single" w:sz="4" w:space="0" w:color="auto"/>
              <w:right w:val="single" w:sz="4" w:space="0" w:color="auto"/>
            </w:tcBorders>
          </w:tcPr>
          <w:p w:rsidR="00000000" w:rsidRDefault="00000000">
            <w:pPr>
              <w:tabs>
                <w:tab w:val="clear" w:pos="567"/>
              </w:tabs>
              <w:ind w:left="-243" w:right="217"/>
              <w:jc w:val="right"/>
              <w:rPr>
                <w:lang w:val="en-US"/>
              </w:rPr>
            </w:pPr>
            <w:r>
              <w:rPr>
                <w:lang w:val="en-US"/>
              </w:rPr>
              <w:t>6,0</w:t>
            </w:r>
          </w:p>
        </w:tc>
        <w:tc>
          <w:tcPr>
            <w:tcW w:w="1021" w:type="dxa"/>
            <w:tcBorders>
              <w:left w:val="single" w:sz="4" w:space="0" w:color="auto"/>
              <w:bottom w:val="single" w:sz="4" w:space="0" w:color="auto"/>
              <w:right w:val="single" w:sz="4" w:space="0" w:color="auto"/>
            </w:tcBorders>
          </w:tcPr>
          <w:p w:rsidR="00000000" w:rsidRDefault="00000000">
            <w:pPr>
              <w:tabs>
                <w:tab w:val="clear" w:pos="567"/>
              </w:tabs>
              <w:ind w:left="-243" w:right="217"/>
              <w:jc w:val="right"/>
              <w:rPr>
                <w:lang w:val="en-US"/>
              </w:rPr>
            </w:pPr>
            <w:r>
              <w:rPr>
                <w:lang w:val="en-US"/>
              </w:rPr>
              <w:t>6,3</w:t>
            </w:r>
          </w:p>
        </w:tc>
        <w:tc>
          <w:tcPr>
            <w:tcW w:w="1021" w:type="dxa"/>
            <w:tcBorders>
              <w:left w:val="single" w:sz="4" w:space="0" w:color="auto"/>
              <w:bottom w:val="single" w:sz="4" w:space="0" w:color="auto"/>
              <w:right w:val="single" w:sz="4" w:space="0" w:color="auto"/>
            </w:tcBorders>
          </w:tcPr>
          <w:p w:rsidR="00000000" w:rsidRDefault="00000000">
            <w:pPr>
              <w:tabs>
                <w:tab w:val="clear" w:pos="567"/>
              </w:tabs>
              <w:ind w:left="-243" w:right="217"/>
              <w:jc w:val="right"/>
              <w:rPr>
                <w:lang w:val="en-US"/>
              </w:rPr>
            </w:pPr>
            <w:r>
              <w:rPr>
                <w:lang w:val="en-US"/>
              </w:rPr>
              <w:t>5,8</w:t>
            </w:r>
          </w:p>
        </w:tc>
      </w:tr>
    </w:tbl>
    <w:p w:rsidR="00000000" w:rsidRDefault="00000000">
      <w:pPr>
        <w:pStyle w:val="FootnoteText"/>
        <w:spacing w:line="288" w:lineRule="auto"/>
        <w:rPr>
          <w:lang w:val="en-US"/>
        </w:rPr>
      </w:pPr>
    </w:p>
    <w:p w:rsidR="00000000" w:rsidRDefault="00000000">
      <w:r>
        <w:rPr>
          <w:lang w:val="en-US"/>
        </w:rPr>
        <w:tab/>
      </w:r>
      <w:r>
        <w:rPr>
          <w:u w:val="single"/>
        </w:rPr>
        <w:t>Источник</w:t>
      </w:r>
      <w:r>
        <w:rPr>
          <w:lang w:val="en-US"/>
        </w:rPr>
        <w:t>:  Statistical Yearbook of the CR, 1999.</w:t>
      </w:r>
    </w:p>
    <w:p w:rsidR="00000000" w:rsidRDefault="00000000"/>
    <w:p w:rsidR="00000000" w:rsidRDefault="00000000">
      <w:r>
        <w:t>474.</w:t>
      </w:r>
      <w:r>
        <w:tab/>
        <w:t>На состояние здоровья населения оказывает влияние также и неправильное питание - чрезмерная калорийность, потребление большого количества животных жиров, рафинированного сахара и соли, а также недостаточное потребление грубой пищи, овощей и фруктов, хотя в последние годы в структуре потребляемого продовольствия произошли позитивные изменения.  Тем не менее средний вес тела, определяемый на основе индекса массы тела, свидетельствует о наличии чрезмерного веса или ожирения у мужчин в возрасте 45-64 года и у женщин в возрасте 55-74 года.  Это также обусловлено недостаточной физической активностью.  Женщины, как правило, занимаются спортом меньше, чем мужчины:  60% мужчин и 80% женщин не посвящают даже один день в неделю физической активности.  Интенсивность физической активности находится в обратно пропорциональной зависимости от уровня образования.</w:t>
      </w:r>
    </w:p>
    <w:p w:rsidR="00000000" w:rsidRDefault="00000000"/>
    <w:p w:rsidR="00000000" w:rsidRDefault="00000000">
      <w:r>
        <w:t>475.</w:t>
      </w:r>
      <w:r>
        <w:tab/>
        <w:t>В стране отмечается рост потребления алкоголя в расчете на чистый спирт на душу населения.  Мужчины потребляют больше алкоголя (в 1995 год - 18,2 литра на каждое лицо мужского пола);  при этом 70% мужчин относятся к категории лиц, регулярно потребляющих алкоголь.  Чрезмерное потребление (264 г и более для мужчин и 180 г и более для женщин в неделю согласно критериям ВОЗ) было зафиксировано у 16% мужчин и 2% женщин.  Уровень потребления алкоголя у мужчин находится в обратно пропорциональной зависимости к уровню образования;  среди женщин такой взаимозависимости не прослеживается.  В Чешской Республике была также отмечена неблагоприятная динамика в области потребления других наркотических средств, помимо алкоголя, в частности среди молодых людей, достигающих зрелого возраста.  В 1996 году молодые люди в возрасте до 19 лет составляли более одной трети пациентов амбулаторных леченых заведений, занимающихся лечением расстройств, вызываемых такого рода веществами.</w:t>
      </w:r>
    </w:p>
    <w:p w:rsidR="00000000" w:rsidRDefault="00000000"/>
    <w:p w:rsidR="00000000" w:rsidRDefault="00000000">
      <w:pPr>
        <w:spacing w:line="240" w:lineRule="auto"/>
        <w:jc w:val="center"/>
        <w:rPr>
          <w:b/>
          <w:bCs/>
        </w:rPr>
      </w:pPr>
      <w:r>
        <w:rPr>
          <w:b/>
          <w:bCs/>
        </w:rPr>
        <w:t>Рост потребления алкоголя на душу населения (в литрах чистого этилового спирта </w:t>
      </w:r>
      <w:r>
        <w:rPr>
          <w:b/>
          <w:bCs/>
        </w:rPr>
        <w:noBreakHyphen/>
        <w:t> 100%)</w:t>
      </w:r>
    </w:p>
    <w:p w:rsidR="00000000" w:rsidRDefault="00000000">
      <w:pPr>
        <w:spacing w:line="240" w:lineRule="auto"/>
        <w:jc w:val="center"/>
        <w:rPr>
          <w:b/>
          <w:bCs/>
        </w:rPr>
      </w:pPr>
    </w:p>
    <w:tbl>
      <w:tblPr>
        <w:tblW w:w="0" w:type="auto"/>
        <w:tblLook w:val="0000" w:firstRow="0" w:lastRow="0" w:firstColumn="0" w:lastColumn="0" w:noHBand="0" w:noVBand="0"/>
      </w:tblPr>
      <w:tblGrid>
        <w:gridCol w:w="4783"/>
        <w:gridCol w:w="935"/>
        <w:gridCol w:w="935"/>
        <w:gridCol w:w="756"/>
        <w:gridCol w:w="756"/>
        <w:gridCol w:w="756"/>
      </w:tblGrid>
      <w:tr w:rsidR="00000000">
        <w:tblPrEx>
          <w:tblCellMar>
            <w:top w:w="0" w:type="dxa"/>
            <w:bottom w:w="0" w:type="dxa"/>
          </w:tblCellMar>
        </w:tblPrEx>
        <w:trPr>
          <w:trHeight w:val="431"/>
        </w:trPr>
        <w:tc>
          <w:tcPr>
            <w:tcW w:w="478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1990</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1994</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1995</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1996</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1997</w:t>
            </w:r>
          </w:p>
        </w:tc>
      </w:tr>
      <w:tr w:rsidR="00000000">
        <w:tblPrEx>
          <w:tblCellMar>
            <w:top w:w="0" w:type="dxa"/>
            <w:bottom w:w="0" w:type="dxa"/>
          </w:tblCellMar>
        </w:tblPrEx>
        <w:tc>
          <w:tcPr>
            <w:tcW w:w="4783" w:type="dxa"/>
            <w:tcBorders>
              <w:top w:val="single" w:sz="4" w:space="0" w:color="auto"/>
              <w:left w:val="single" w:sz="4" w:space="0" w:color="auto"/>
              <w:right w:val="single" w:sz="4" w:space="0" w:color="auto"/>
            </w:tcBorders>
          </w:tcPr>
          <w:p w:rsidR="00000000" w:rsidRDefault="00000000">
            <w:pPr>
              <w:spacing w:line="240" w:lineRule="auto"/>
            </w:pPr>
            <w:r>
              <w:t>Общее потребление алкогольных напитков</w:t>
            </w:r>
          </w:p>
        </w:tc>
        <w:tc>
          <w:tcPr>
            <w:tcW w:w="935" w:type="dxa"/>
            <w:tcBorders>
              <w:top w:val="single" w:sz="4" w:space="0" w:color="auto"/>
              <w:left w:val="single" w:sz="4" w:space="0" w:color="auto"/>
              <w:right w:val="single" w:sz="4" w:space="0" w:color="auto"/>
            </w:tcBorders>
          </w:tcPr>
          <w:p w:rsidR="00000000" w:rsidRDefault="00000000">
            <w:pPr>
              <w:tabs>
                <w:tab w:val="clear" w:pos="567"/>
              </w:tabs>
              <w:spacing w:line="240" w:lineRule="auto"/>
              <w:ind w:left="-108" w:right="79"/>
              <w:jc w:val="right"/>
            </w:pPr>
            <w:r>
              <w:t>8,9</w:t>
            </w:r>
          </w:p>
        </w:tc>
        <w:tc>
          <w:tcPr>
            <w:tcW w:w="935" w:type="dxa"/>
            <w:tcBorders>
              <w:top w:val="single" w:sz="4" w:space="0" w:color="auto"/>
              <w:left w:val="single" w:sz="4" w:space="0" w:color="auto"/>
              <w:right w:val="single" w:sz="4" w:space="0" w:color="auto"/>
            </w:tcBorders>
          </w:tcPr>
          <w:p w:rsidR="00000000" w:rsidRDefault="00000000">
            <w:pPr>
              <w:tabs>
                <w:tab w:val="clear" w:pos="567"/>
              </w:tabs>
              <w:spacing w:line="240" w:lineRule="auto"/>
              <w:ind w:left="-108" w:right="79"/>
              <w:jc w:val="right"/>
            </w:pPr>
            <w:r>
              <w:t>9,4</w:t>
            </w:r>
          </w:p>
        </w:tc>
        <w:tc>
          <w:tcPr>
            <w:tcW w:w="756" w:type="dxa"/>
            <w:tcBorders>
              <w:top w:val="single" w:sz="4" w:space="0" w:color="auto"/>
              <w:left w:val="single" w:sz="4" w:space="0" w:color="auto"/>
              <w:right w:val="single" w:sz="4" w:space="0" w:color="auto"/>
            </w:tcBorders>
          </w:tcPr>
          <w:p w:rsidR="00000000" w:rsidRDefault="00000000">
            <w:pPr>
              <w:tabs>
                <w:tab w:val="clear" w:pos="567"/>
              </w:tabs>
              <w:spacing w:line="240" w:lineRule="auto"/>
              <w:ind w:left="-108" w:right="79"/>
              <w:jc w:val="right"/>
            </w:pPr>
            <w:r>
              <w:t>9,4</w:t>
            </w:r>
          </w:p>
        </w:tc>
        <w:tc>
          <w:tcPr>
            <w:tcW w:w="756" w:type="dxa"/>
            <w:tcBorders>
              <w:top w:val="single" w:sz="4" w:space="0" w:color="auto"/>
              <w:left w:val="single" w:sz="4" w:space="0" w:color="auto"/>
              <w:right w:val="single" w:sz="4" w:space="0" w:color="auto"/>
            </w:tcBorders>
          </w:tcPr>
          <w:p w:rsidR="00000000" w:rsidRDefault="00000000">
            <w:pPr>
              <w:tabs>
                <w:tab w:val="clear" w:pos="567"/>
              </w:tabs>
              <w:spacing w:line="240" w:lineRule="auto"/>
              <w:ind w:left="-108" w:right="79"/>
              <w:jc w:val="right"/>
            </w:pPr>
            <w:r>
              <w:t>9,5</w:t>
            </w:r>
          </w:p>
        </w:tc>
        <w:tc>
          <w:tcPr>
            <w:tcW w:w="756" w:type="dxa"/>
            <w:tcBorders>
              <w:top w:val="single" w:sz="4" w:space="0" w:color="auto"/>
              <w:left w:val="single" w:sz="4" w:space="0" w:color="auto"/>
              <w:right w:val="single" w:sz="4" w:space="0" w:color="auto"/>
            </w:tcBorders>
          </w:tcPr>
          <w:p w:rsidR="00000000" w:rsidRDefault="00000000">
            <w:pPr>
              <w:tabs>
                <w:tab w:val="clear" w:pos="567"/>
              </w:tabs>
              <w:spacing w:line="240" w:lineRule="auto"/>
              <w:ind w:left="-108" w:right="79"/>
              <w:jc w:val="right"/>
            </w:pPr>
            <w:r>
              <w:t>9,8</w:t>
            </w:r>
          </w:p>
        </w:tc>
      </w:tr>
      <w:tr w:rsidR="00000000">
        <w:tblPrEx>
          <w:tblCellMar>
            <w:top w:w="0" w:type="dxa"/>
            <w:bottom w:w="0" w:type="dxa"/>
          </w:tblCellMar>
        </w:tblPrEx>
        <w:tc>
          <w:tcPr>
            <w:tcW w:w="4783" w:type="dxa"/>
            <w:tcBorders>
              <w:left w:val="single" w:sz="4" w:space="0" w:color="auto"/>
              <w:right w:val="single" w:sz="4" w:space="0" w:color="auto"/>
            </w:tcBorders>
          </w:tcPr>
          <w:p w:rsidR="00000000" w:rsidRDefault="00000000">
            <w:pPr>
              <w:spacing w:line="240" w:lineRule="auto"/>
            </w:pPr>
            <w:r>
              <w:t>Крепкие напитки (40%)</w:t>
            </w:r>
          </w:p>
        </w:tc>
        <w:tc>
          <w:tcPr>
            <w:tcW w:w="935" w:type="dxa"/>
            <w:tcBorders>
              <w:left w:val="single" w:sz="4" w:space="0" w:color="auto"/>
              <w:right w:val="single" w:sz="4" w:space="0" w:color="auto"/>
            </w:tcBorders>
          </w:tcPr>
          <w:p w:rsidR="00000000" w:rsidRDefault="00000000">
            <w:pPr>
              <w:tabs>
                <w:tab w:val="clear" w:pos="567"/>
              </w:tabs>
              <w:spacing w:line="240" w:lineRule="auto"/>
              <w:ind w:left="-108" w:right="79"/>
              <w:jc w:val="right"/>
            </w:pPr>
            <w:r>
              <w:t>7,2</w:t>
            </w:r>
          </w:p>
        </w:tc>
        <w:tc>
          <w:tcPr>
            <w:tcW w:w="935" w:type="dxa"/>
            <w:tcBorders>
              <w:left w:val="single" w:sz="4" w:space="0" w:color="auto"/>
              <w:right w:val="single" w:sz="4" w:space="0" w:color="auto"/>
            </w:tcBorders>
          </w:tcPr>
          <w:p w:rsidR="00000000" w:rsidRDefault="00000000">
            <w:pPr>
              <w:tabs>
                <w:tab w:val="clear" w:pos="567"/>
              </w:tabs>
              <w:spacing w:line="240" w:lineRule="auto"/>
              <w:ind w:left="-108" w:right="79"/>
              <w:jc w:val="right"/>
            </w:pPr>
            <w:r>
              <w:t>7,9</w:t>
            </w:r>
          </w:p>
        </w:tc>
        <w:tc>
          <w:tcPr>
            <w:tcW w:w="756" w:type="dxa"/>
            <w:tcBorders>
              <w:left w:val="single" w:sz="4" w:space="0" w:color="auto"/>
              <w:right w:val="single" w:sz="4" w:space="0" w:color="auto"/>
            </w:tcBorders>
          </w:tcPr>
          <w:p w:rsidR="00000000" w:rsidRDefault="00000000">
            <w:pPr>
              <w:tabs>
                <w:tab w:val="clear" w:pos="567"/>
              </w:tabs>
              <w:spacing w:line="240" w:lineRule="auto"/>
              <w:ind w:left="-108" w:right="79"/>
              <w:jc w:val="right"/>
            </w:pPr>
            <w:r>
              <w:t>7,9</w:t>
            </w:r>
          </w:p>
        </w:tc>
        <w:tc>
          <w:tcPr>
            <w:tcW w:w="756" w:type="dxa"/>
            <w:tcBorders>
              <w:left w:val="single" w:sz="4" w:space="0" w:color="auto"/>
              <w:right w:val="single" w:sz="4" w:space="0" w:color="auto"/>
            </w:tcBorders>
          </w:tcPr>
          <w:p w:rsidR="00000000" w:rsidRDefault="00000000">
            <w:pPr>
              <w:tabs>
                <w:tab w:val="clear" w:pos="567"/>
              </w:tabs>
              <w:spacing w:line="240" w:lineRule="auto"/>
              <w:ind w:left="-108" w:right="79"/>
              <w:jc w:val="right"/>
            </w:pPr>
            <w:r>
              <w:t>8,0</w:t>
            </w:r>
          </w:p>
        </w:tc>
        <w:tc>
          <w:tcPr>
            <w:tcW w:w="756" w:type="dxa"/>
            <w:tcBorders>
              <w:left w:val="single" w:sz="4" w:space="0" w:color="auto"/>
              <w:right w:val="single" w:sz="4" w:space="0" w:color="auto"/>
            </w:tcBorders>
          </w:tcPr>
          <w:p w:rsidR="00000000" w:rsidRDefault="00000000">
            <w:pPr>
              <w:tabs>
                <w:tab w:val="clear" w:pos="567"/>
              </w:tabs>
              <w:spacing w:line="240" w:lineRule="auto"/>
              <w:ind w:left="-108" w:right="79"/>
              <w:jc w:val="right"/>
            </w:pPr>
            <w:r>
              <w:t>8,3</w:t>
            </w:r>
          </w:p>
        </w:tc>
      </w:tr>
      <w:tr w:rsidR="00000000">
        <w:tblPrEx>
          <w:tblCellMar>
            <w:top w:w="0" w:type="dxa"/>
            <w:bottom w:w="0" w:type="dxa"/>
          </w:tblCellMar>
        </w:tblPrEx>
        <w:tc>
          <w:tcPr>
            <w:tcW w:w="4783" w:type="dxa"/>
            <w:tcBorders>
              <w:left w:val="single" w:sz="4" w:space="0" w:color="auto"/>
              <w:right w:val="single" w:sz="4" w:space="0" w:color="auto"/>
            </w:tcBorders>
          </w:tcPr>
          <w:p w:rsidR="00000000" w:rsidRDefault="00000000">
            <w:pPr>
              <w:spacing w:line="240" w:lineRule="auto"/>
            </w:pPr>
            <w:r>
              <w:t>Пиво</w:t>
            </w:r>
          </w:p>
        </w:tc>
        <w:tc>
          <w:tcPr>
            <w:tcW w:w="935" w:type="dxa"/>
            <w:tcBorders>
              <w:left w:val="single" w:sz="4" w:space="0" w:color="auto"/>
              <w:right w:val="single" w:sz="4" w:space="0" w:color="auto"/>
            </w:tcBorders>
          </w:tcPr>
          <w:p w:rsidR="00000000" w:rsidRDefault="00000000">
            <w:pPr>
              <w:tabs>
                <w:tab w:val="clear" w:pos="567"/>
              </w:tabs>
              <w:spacing w:line="240" w:lineRule="auto"/>
              <w:ind w:left="-108" w:right="79"/>
              <w:jc w:val="right"/>
            </w:pPr>
            <w:r>
              <w:t>155,2</w:t>
            </w:r>
          </w:p>
        </w:tc>
        <w:tc>
          <w:tcPr>
            <w:tcW w:w="935" w:type="dxa"/>
            <w:tcBorders>
              <w:left w:val="single" w:sz="4" w:space="0" w:color="auto"/>
              <w:right w:val="single" w:sz="4" w:space="0" w:color="auto"/>
            </w:tcBorders>
          </w:tcPr>
          <w:p w:rsidR="00000000" w:rsidRDefault="00000000">
            <w:pPr>
              <w:tabs>
                <w:tab w:val="clear" w:pos="567"/>
              </w:tabs>
              <w:spacing w:line="240" w:lineRule="auto"/>
              <w:ind w:left="-108" w:right="79"/>
              <w:jc w:val="right"/>
            </w:pPr>
            <w:r>
              <w:t>156,7</w:t>
            </w:r>
          </w:p>
        </w:tc>
        <w:tc>
          <w:tcPr>
            <w:tcW w:w="756" w:type="dxa"/>
            <w:tcBorders>
              <w:left w:val="single" w:sz="4" w:space="0" w:color="auto"/>
              <w:right w:val="single" w:sz="4" w:space="0" w:color="auto"/>
            </w:tcBorders>
          </w:tcPr>
          <w:p w:rsidR="00000000" w:rsidRDefault="00000000">
            <w:pPr>
              <w:tabs>
                <w:tab w:val="clear" w:pos="567"/>
              </w:tabs>
              <w:spacing w:line="240" w:lineRule="auto"/>
              <w:ind w:left="-108" w:right="79"/>
              <w:jc w:val="right"/>
            </w:pPr>
            <w:r>
              <w:t>156,9</w:t>
            </w:r>
          </w:p>
        </w:tc>
        <w:tc>
          <w:tcPr>
            <w:tcW w:w="756" w:type="dxa"/>
            <w:tcBorders>
              <w:left w:val="single" w:sz="4" w:space="0" w:color="auto"/>
              <w:right w:val="single" w:sz="4" w:space="0" w:color="auto"/>
            </w:tcBorders>
          </w:tcPr>
          <w:p w:rsidR="00000000" w:rsidRDefault="00000000">
            <w:pPr>
              <w:tabs>
                <w:tab w:val="clear" w:pos="567"/>
              </w:tabs>
              <w:spacing w:line="240" w:lineRule="auto"/>
              <w:ind w:left="-108" w:right="79"/>
              <w:jc w:val="right"/>
            </w:pPr>
            <w:r>
              <w:t>157,3</w:t>
            </w:r>
          </w:p>
        </w:tc>
        <w:tc>
          <w:tcPr>
            <w:tcW w:w="756" w:type="dxa"/>
            <w:tcBorders>
              <w:left w:val="single" w:sz="4" w:space="0" w:color="auto"/>
              <w:right w:val="single" w:sz="4" w:space="0" w:color="auto"/>
            </w:tcBorders>
          </w:tcPr>
          <w:p w:rsidR="00000000" w:rsidRDefault="00000000">
            <w:pPr>
              <w:tabs>
                <w:tab w:val="clear" w:pos="567"/>
              </w:tabs>
              <w:spacing w:line="240" w:lineRule="auto"/>
              <w:ind w:left="-108" w:right="79"/>
              <w:jc w:val="right"/>
            </w:pPr>
            <w:r>
              <w:t>161,4</w:t>
            </w:r>
          </w:p>
        </w:tc>
      </w:tr>
      <w:tr w:rsidR="00000000">
        <w:tblPrEx>
          <w:tblCellMar>
            <w:top w:w="0" w:type="dxa"/>
            <w:bottom w:w="0" w:type="dxa"/>
          </w:tblCellMar>
        </w:tblPrEx>
        <w:tc>
          <w:tcPr>
            <w:tcW w:w="4783" w:type="dxa"/>
            <w:tcBorders>
              <w:left w:val="single" w:sz="4" w:space="0" w:color="auto"/>
              <w:bottom w:val="single" w:sz="4" w:space="0" w:color="auto"/>
              <w:right w:val="single" w:sz="4" w:space="0" w:color="auto"/>
            </w:tcBorders>
          </w:tcPr>
          <w:p w:rsidR="00000000" w:rsidRDefault="00000000">
            <w:pPr>
              <w:spacing w:line="240" w:lineRule="auto"/>
            </w:pPr>
            <w:r>
              <w:t>Вино</w:t>
            </w:r>
          </w:p>
        </w:tc>
        <w:tc>
          <w:tcPr>
            <w:tcW w:w="935" w:type="dxa"/>
            <w:tcBorders>
              <w:left w:val="single" w:sz="4" w:space="0" w:color="auto"/>
              <w:bottom w:val="single" w:sz="4" w:space="0" w:color="auto"/>
              <w:right w:val="single" w:sz="4" w:space="0" w:color="auto"/>
            </w:tcBorders>
          </w:tcPr>
          <w:p w:rsidR="00000000" w:rsidRDefault="00000000">
            <w:pPr>
              <w:tabs>
                <w:tab w:val="clear" w:pos="567"/>
              </w:tabs>
              <w:spacing w:line="240" w:lineRule="auto"/>
              <w:ind w:left="-108" w:right="79"/>
              <w:jc w:val="right"/>
            </w:pPr>
            <w:r>
              <w:t>14,8</w:t>
            </w:r>
          </w:p>
        </w:tc>
        <w:tc>
          <w:tcPr>
            <w:tcW w:w="935" w:type="dxa"/>
            <w:tcBorders>
              <w:left w:val="single" w:sz="4" w:space="0" w:color="auto"/>
              <w:bottom w:val="single" w:sz="4" w:space="0" w:color="auto"/>
              <w:right w:val="single" w:sz="4" w:space="0" w:color="auto"/>
            </w:tcBorders>
          </w:tcPr>
          <w:p w:rsidR="00000000" w:rsidRDefault="00000000">
            <w:pPr>
              <w:tabs>
                <w:tab w:val="clear" w:pos="567"/>
              </w:tabs>
              <w:spacing w:line="240" w:lineRule="auto"/>
              <w:ind w:left="-108" w:right="79"/>
              <w:jc w:val="right"/>
            </w:pPr>
            <w:r>
              <w:t>15,4</w:t>
            </w:r>
          </w:p>
        </w:tc>
        <w:tc>
          <w:tcPr>
            <w:tcW w:w="756" w:type="dxa"/>
            <w:tcBorders>
              <w:left w:val="single" w:sz="4" w:space="0" w:color="auto"/>
              <w:bottom w:val="single" w:sz="4" w:space="0" w:color="auto"/>
              <w:right w:val="single" w:sz="4" w:space="0" w:color="auto"/>
            </w:tcBorders>
          </w:tcPr>
          <w:p w:rsidR="00000000" w:rsidRDefault="00000000">
            <w:pPr>
              <w:tabs>
                <w:tab w:val="clear" w:pos="567"/>
              </w:tabs>
              <w:spacing w:line="240" w:lineRule="auto"/>
              <w:ind w:left="-108" w:right="79"/>
              <w:jc w:val="right"/>
            </w:pPr>
            <w:r>
              <w:t>15,4</w:t>
            </w:r>
          </w:p>
        </w:tc>
        <w:tc>
          <w:tcPr>
            <w:tcW w:w="756" w:type="dxa"/>
            <w:tcBorders>
              <w:left w:val="single" w:sz="4" w:space="0" w:color="auto"/>
              <w:bottom w:val="single" w:sz="4" w:space="0" w:color="auto"/>
              <w:right w:val="single" w:sz="4" w:space="0" w:color="auto"/>
            </w:tcBorders>
          </w:tcPr>
          <w:p w:rsidR="00000000" w:rsidRDefault="00000000">
            <w:pPr>
              <w:tabs>
                <w:tab w:val="clear" w:pos="567"/>
              </w:tabs>
              <w:spacing w:line="240" w:lineRule="auto"/>
              <w:ind w:left="-108" w:right="79"/>
              <w:jc w:val="right"/>
            </w:pPr>
            <w:r>
              <w:t>15,8</w:t>
            </w:r>
          </w:p>
        </w:tc>
        <w:tc>
          <w:tcPr>
            <w:tcW w:w="756" w:type="dxa"/>
            <w:tcBorders>
              <w:left w:val="single" w:sz="4" w:space="0" w:color="auto"/>
              <w:bottom w:val="single" w:sz="4" w:space="0" w:color="auto"/>
              <w:right w:val="single" w:sz="4" w:space="0" w:color="auto"/>
            </w:tcBorders>
          </w:tcPr>
          <w:p w:rsidR="00000000" w:rsidRDefault="00000000">
            <w:pPr>
              <w:tabs>
                <w:tab w:val="clear" w:pos="567"/>
              </w:tabs>
              <w:spacing w:line="240" w:lineRule="auto"/>
              <w:ind w:left="-108" w:right="79"/>
              <w:jc w:val="right"/>
            </w:pPr>
            <w:r>
              <w:t>15,9</w:t>
            </w:r>
          </w:p>
        </w:tc>
      </w:tr>
    </w:tbl>
    <w:p w:rsidR="00000000" w:rsidRDefault="00000000">
      <w:pPr>
        <w:pStyle w:val="FootnoteText"/>
      </w:pPr>
    </w:p>
    <w:p w:rsidR="00000000" w:rsidRDefault="00000000">
      <w:r>
        <w:t>476.</w:t>
      </w:r>
      <w:r>
        <w:tab/>
        <w:t>В стране широко распространено табакокурение.  Обследования, проведенные в 1993 году Институтом информации и статистики здравоохранения, показали, что 32,3% мужчин и 21,3% женщин курят на регулярной основе, при этом самая высокая доля курящих для обоих полов приходится на возрастную группу от 35 до 44 лет.  По сравнению с 80</w:t>
      </w:r>
      <w:r>
        <w:noBreakHyphen/>
        <w:t xml:space="preserve">ми годами положение улучшилось, однако оно не является удовлетворительным, поскольку курение является одной из главных причин заболеваний и преждевременной смерти.  Наибольшая доля курильщиков отмечается среди лиц с низким уровнем образования, принадлежащих к социальным группам более низкого статуса. </w:t>
      </w:r>
    </w:p>
    <w:p w:rsidR="00000000" w:rsidRDefault="00000000"/>
    <w:p w:rsidR="00000000" w:rsidRDefault="00000000">
      <w:r>
        <w:t>477.</w:t>
      </w:r>
      <w:r>
        <w:tab/>
        <w:t>Одним из факторов, приводящих к росту опасности хронических заболеваний, является стресс.  Интенсивность стресса и число факторов, являющихся его причинами, резко возросли после 1990 года.</w:t>
      </w:r>
    </w:p>
    <w:p w:rsidR="00000000" w:rsidRDefault="00000000"/>
    <w:p w:rsidR="00000000" w:rsidRDefault="00000000">
      <w:r>
        <w:t>478.</w:t>
      </w:r>
      <w:r>
        <w:tab/>
        <w:t>Таким образом, основными факторами, определяющими состояние здоровья населения в Чешской Республике являются:</w:t>
      </w:r>
    </w:p>
    <w:p w:rsidR="00000000" w:rsidRDefault="00000000">
      <w:pPr>
        <w:pStyle w:val="FootnoteText"/>
        <w:spacing w:line="288" w:lineRule="auto"/>
      </w:pPr>
    </w:p>
    <w:p w:rsidR="00000000" w:rsidRDefault="00000000">
      <w:r>
        <w:tab/>
      </w:r>
      <w:r>
        <w:rPr>
          <w:lang w:val="en-US"/>
        </w:rPr>
        <w:t>a</w:t>
      </w:r>
      <w:r>
        <w:t>)</w:t>
      </w:r>
      <w:r>
        <w:tab/>
        <w:t>образ жизни.  Важными элементами образа жизни, которые наносят ущерб здоровью, являются курение, чрезмерная калорийность и неправильный состав питания, недостаточная физическая активность, чрезмерные психические нагрузки, ущерб в результате употребления и зависимости от алкогольных напитков и других наркотических веществ, помимо алкоголя, а также неправильное сексуальное поведение.  Воздействие этих элементов на здоровье составляет вплоть до 60%.  Хотя в области питания ситуация улучшается, по всем другим позициям уровень риска не снижается;</w:t>
      </w:r>
    </w:p>
    <w:p w:rsidR="00000000" w:rsidRDefault="00000000"/>
    <w:p w:rsidR="00000000" w:rsidRDefault="00000000">
      <w:r>
        <w:tab/>
      </w:r>
      <w:r>
        <w:rPr>
          <w:lang w:val="en-US"/>
        </w:rPr>
        <w:t>b</w:t>
      </w:r>
      <w:r>
        <w:t>)</w:t>
      </w:r>
      <w:r>
        <w:tab/>
        <w:t>условия жизни и труда влияют на здоровье примерно на 20%.  В Чешской Республике происходит постепенное улучшение качества окружающей среды, однако проявления долгосрочных последствий загрязнения пока не сокращаются, и в особенности это касается числа случаев острых и хронических респираторных заболеваний, аллергий и некоторых видов опухолей;</w:t>
      </w:r>
    </w:p>
    <w:p w:rsidR="00000000" w:rsidRDefault="00000000"/>
    <w:p w:rsidR="00000000" w:rsidRDefault="00000000">
      <w:r>
        <w:tab/>
      </w:r>
      <w:r>
        <w:rPr>
          <w:lang w:val="en-US"/>
        </w:rPr>
        <w:t>c</w:t>
      </w:r>
      <w:r>
        <w:t>)</w:t>
      </w:r>
      <w:r>
        <w:tab/>
        <w:t xml:space="preserve">уровень здравоохранения влияет на здоровье в Чешской Республике примерно на 20%. </w:t>
      </w:r>
    </w:p>
    <w:p w:rsidR="00000000" w:rsidRDefault="00000000"/>
    <w:p w:rsidR="00000000" w:rsidRDefault="00000000">
      <w:r>
        <w:t>479.</w:t>
      </w:r>
      <w:r>
        <w:tab/>
        <w:t>Хотя в состоянии здоровья сельского и городского населения в Чешской Республике не отмечается значительных различий, можно отметить отличия в тенденциях заболеваемости среди населения рома.  Эта группа не отслеживается отдельно в ходе статистических исследований по вопросам здоровья населения;  приведенное выше заявление основывается на отдельных выводах и опыте лечащих врачей и инспекторов здравоохранения.  Состояние здоровья населения рома, в частности более высокий уровень детской заболеваемости и более низкая ожидаемая продолжительность жизни, обусловлено иным образом жизни, включая привычки в области питания, а также зачастую неудовлетворительными материальными условиями жизни некоторых представителей рома и их семей.</w:t>
      </w:r>
    </w:p>
    <w:p w:rsidR="00000000" w:rsidRDefault="00000000"/>
    <w:p w:rsidR="00000000" w:rsidRDefault="00000000">
      <w:r>
        <w:t>480.</w:t>
      </w:r>
      <w:r>
        <w:tab/>
        <w:t>План действий Чешской Республики в области охраны здоровья и окружающей среды</w:t>
      </w:r>
      <w:r>
        <w:rPr>
          <w:rStyle w:val="FootnoteReference"/>
        </w:rPr>
        <w:footnoteReference w:id="293"/>
      </w:r>
      <w:r>
        <w:t xml:space="preserve"> и Национальная программа в области здравоохранения</w:t>
      </w:r>
      <w:r>
        <w:rPr>
          <w:rStyle w:val="FootnoteReference"/>
        </w:rPr>
        <w:footnoteReference w:id="294"/>
      </w:r>
      <w:r>
        <w:t xml:space="preserve"> являются основой политики в области здравоохранения в Чешской Республике, которая содержит специальные руководящие принципы для здоровых условий жизни и защиты и поддержки системы здравоохранения.  Действовавший ранее документ </w:t>
      </w:r>
      <w:r>
        <w:noBreakHyphen/>
        <w:t xml:space="preserve"> Национальная программа обновления и поддержки системы здравоохранения </w:t>
      </w:r>
      <w:r>
        <w:noBreakHyphen/>
        <w:t xml:space="preserve"> был утвержден правительством Чешской Республики в 1991 году</w:t>
      </w:r>
      <w:r>
        <w:rPr>
          <w:rStyle w:val="FootnoteReference"/>
        </w:rPr>
        <w:footnoteReference w:id="295"/>
      </w:r>
      <w:r>
        <w:t>.  В 1992 году был принят проект среднесрочной стратегии обновления и поддержки системы здравоохранения</w:t>
      </w:r>
      <w:r>
        <w:rPr>
          <w:rStyle w:val="FootnoteReference"/>
        </w:rPr>
        <w:footnoteReference w:id="296"/>
      </w:r>
      <w:r>
        <w:t xml:space="preserve">, в котором были установлены цели политики в области здравоохранения на последующие три года и задача подготовки долгосрочной стратегии </w:t>
      </w:r>
      <w:r>
        <w:noBreakHyphen/>
        <w:t xml:space="preserve"> Национальной программы в области здравоохранения.  Этот проект представляет собой национальный вариант региональной стратегии Всемирной организации здравоохранения</w:t>
      </w:r>
      <w:r>
        <w:rPr>
          <w:rStyle w:val="FootnoteReference"/>
        </w:rPr>
        <w:footnoteReference w:id="297"/>
      </w:r>
      <w:r>
        <w:t xml:space="preserve"> "Здоровье для всех к 2000 году".</w:t>
      </w:r>
    </w:p>
    <w:p w:rsidR="00000000" w:rsidRDefault="00000000"/>
    <w:p w:rsidR="00000000" w:rsidRDefault="00000000">
      <w:r>
        <w:t>481.</w:t>
      </w:r>
      <w:r>
        <w:tab/>
        <w:t>Основная задача Национальной программы в области здравоохранения заключается в оказании поддержки осуществлению проектов в области здравоохранения:</w:t>
      </w:r>
    </w:p>
    <w:p w:rsidR="00000000" w:rsidRDefault="00000000"/>
    <w:p w:rsidR="00000000" w:rsidRDefault="00000000">
      <w:pPr>
        <w:ind w:left="1134" w:hanging="1134"/>
      </w:pPr>
      <w:r>
        <w:tab/>
      </w:r>
      <w:r>
        <w:noBreakHyphen/>
      </w:r>
      <w:r>
        <w:tab/>
        <w:t>систематическое и полное информирование граждан о влиянии их действий и поведения на здоровье;</w:t>
      </w:r>
    </w:p>
    <w:p w:rsidR="00000000" w:rsidRDefault="00000000">
      <w:pPr>
        <w:ind w:left="1134" w:hanging="1134"/>
      </w:pPr>
    </w:p>
    <w:p w:rsidR="00000000" w:rsidRDefault="00000000">
      <w:pPr>
        <w:ind w:left="1134" w:hanging="1134"/>
      </w:pPr>
      <w:r>
        <w:tab/>
      </w:r>
      <w:r>
        <w:noBreakHyphen/>
      </w:r>
      <w:r>
        <w:tab/>
        <w:t>распространение знаний среди населения в отношении активного подхода к обеспечению своего собственного здоровья и ответственности за него;</w:t>
      </w:r>
    </w:p>
    <w:p w:rsidR="00000000" w:rsidRDefault="00000000">
      <w:pPr>
        <w:ind w:left="1134" w:hanging="1134"/>
      </w:pPr>
    </w:p>
    <w:p w:rsidR="00000000" w:rsidRDefault="00000000">
      <w:pPr>
        <w:ind w:left="1134" w:hanging="1134"/>
      </w:pPr>
      <w:r>
        <w:tab/>
      </w:r>
      <w:r>
        <w:noBreakHyphen/>
      </w:r>
      <w:r>
        <w:tab/>
        <w:t>совершенствование структуры потребления пищи;</w:t>
      </w:r>
    </w:p>
    <w:p w:rsidR="00000000" w:rsidRDefault="00000000">
      <w:pPr>
        <w:ind w:left="1134" w:hanging="1134"/>
      </w:pPr>
    </w:p>
    <w:p w:rsidR="00000000" w:rsidRDefault="00000000">
      <w:pPr>
        <w:ind w:left="1134" w:hanging="1134"/>
      </w:pPr>
      <w:r>
        <w:tab/>
      </w:r>
      <w:r>
        <w:noBreakHyphen/>
      </w:r>
      <w:r>
        <w:tab/>
        <w:t>сокращение потребления алкоголя;</w:t>
      </w:r>
    </w:p>
    <w:p w:rsidR="00000000" w:rsidRDefault="00000000">
      <w:pPr>
        <w:ind w:left="1134" w:hanging="1134"/>
      </w:pPr>
    </w:p>
    <w:p w:rsidR="00000000" w:rsidRDefault="00000000">
      <w:pPr>
        <w:ind w:left="1134" w:hanging="1134"/>
      </w:pPr>
      <w:r>
        <w:tab/>
      </w:r>
      <w:r>
        <w:noBreakHyphen/>
      </w:r>
      <w:r>
        <w:tab/>
        <w:t>повышение уровня физической активности;</w:t>
      </w:r>
    </w:p>
    <w:p w:rsidR="00000000" w:rsidRDefault="00000000">
      <w:pPr>
        <w:ind w:left="1134" w:hanging="1134"/>
      </w:pPr>
    </w:p>
    <w:p w:rsidR="00000000" w:rsidRDefault="00000000">
      <w:pPr>
        <w:ind w:left="1134" w:hanging="1134"/>
      </w:pPr>
      <w:r>
        <w:tab/>
      </w:r>
      <w:r>
        <w:noBreakHyphen/>
      </w:r>
      <w:r>
        <w:tab/>
        <w:t>сокращение численности курящих, в особенности среди молодежи;</w:t>
      </w:r>
    </w:p>
    <w:p w:rsidR="00000000" w:rsidRDefault="00000000">
      <w:pPr>
        <w:ind w:left="1134" w:hanging="1134"/>
      </w:pPr>
    </w:p>
    <w:p w:rsidR="00000000" w:rsidRDefault="00000000">
      <w:pPr>
        <w:ind w:left="1134" w:hanging="1134"/>
      </w:pPr>
      <w:r>
        <w:tab/>
      </w:r>
      <w:r>
        <w:noBreakHyphen/>
      </w:r>
      <w:r>
        <w:tab/>
        <w:t>сокращение спроса на наркотики и численности лиц, страдающих от наркотической зависимости;</w:t>
      </w:r>
    </w:p>
    <w:p w:rsidR="00000000" w:rsidRDefault="00000000">
      <w:pPr>
        <w:ind w:left="1134" w:hanging="1134"/>
      </w:pPr>
    </w:p>
    <w:p w:rsidR="00000000" w:rsidRDefault="00000000">
      <w:pPr>
        <w:ind w:left="1134" w:hanging="1134"/>
      </w:pPr>
      <w:r>
        <w:tab/>
      </w:r>
      <w:r>
        <w:noBreakHyphen/>
      </w:r>
      <w:r>
        <w:tab/>
        <w:t>сокращение ситуаций, создающих стресс, и обучение методам борьбы со стрессом;</w:t>
      </w:r>
    </w:p>
    <w:p w:rsidR="00000000" w:rsidRDefault="00000000">
      <w:pPr>
        <w:ind w:left="1134" w:hanging="1134"/>
      </w:pPr>
    </w:p>
    <w:p w:rsidR="00000000" w:rsidRDefault="00000000">
      <w:pPr>
        <w:ind w:left="1134" w:hanging="1134"/>
      </w:pPr>
      <w:r>
        <w:tab/>
      </w:r>
      <w:r>
        <w:noBreakHyphen/>
      </w:r>
      <w:r>
        <w:tab/>
        <w:t>распространение знаний по вопросам планирования семьи и использования приемлемых форм контрацепции.</w:t>
      </w:r>
    </w:p>
    <w:p w:rsidR="00000000" w:rsidRDefault="00000000">
      <w:pPr>
        <w:ind w:left="1134" w:hanging="1134"/>
      </w:pPr>
    </w:p>
    <w:p w:rsidR="00000000" w:rsidRDefault="00000000">
      <w:r>
        <w:t>482.</w:t>
      </w:r>
      <w:r>
        <w:tab/>
        <w:t xml:space="preserve">Чешская Республика является участником Конвенции о разработке европейской фармакопеи (Совета Европы) с поправками, внесенными согласно протоколу к ней.  С 1998 года Чешская Республика также является участником Конвенции о правах человека и биомедицине, Дополнительного протокола к Конвенции о защите прав человека и достоинства человеческой личности в связи с применением биологии и медицины и Конвенции о запрещении клонирования людей.  В этой связи необходимо привести положения внутреннего законодательства в соответствие с Протоколом.  Чешская Республика, будучи государством - преемником ЧССР, является членом Всемирной организации здравоохранения и регулярно вносит взносы в ее бюджет на основе двухлетнего соглашения о сотрудничестве.  В 1999 году были завершены проекты в рамках программы "Евроздоровье" 98/99 и была начата работа по проектам под эгидой новой программы ВОЗ "Здоровье 21 - 21 цель на </w:t>
      </w:r>
      <w:r>
        <w:rPr>
          <w:lang w:val="en-US"/>
        </w:rPr>
        <w:t>XXI </w:t>
      </w:r>
      <w:r>
        <w:t>век".</w:t>
      </w:r>
    </w:p>
    <w:p w:rsidR="00000000" w:rsidRDefault="00000000"/>
    <w:p w:rsidR="00000000" w:rsidRDefault="00000000">
      <w:pPr>
        <w:pStyle w:val="Heading3"/>
        <w:rPr>
          <w:iCs/>
        </w:rPr>
      </w:pPr>
      <w:r>
        <w:rPr>
          <w:iCs/>
        </w:rPr>
        <w:t>Первичное медико-санитарное обслуживание и его финансирование</w:t>
      </w:r>
    </w:p>
    <w:p w:rsidR="00000000" w:rsidRDefault="00000000">
      <w:pPr>
        <w:rPr>
          <w:b/>
          <w:bCs/>
        </w:rPr>
      </w:pPr>
    </w:p>
    <w:p w:rsidR="00000000" w:rsidRDefault="00000000">
      <w:r>
        <w:t>483.</w:t>
      </w:r>
      <w:r>
        <w:tab/>
        <w:t>Первичное медико-санитарное обслуживание и его финансирование регулируются Законом о здравоохранении</w:t>
      </w:r>
      <w:r>
        <w:rPr>
          <w:rStyle w:val="FootnoteReference"/>
        </w:rPr>
        <w:footnoteReference w:id="298"/>
      </w:r>
      <w:r>
        <w:t>.  В первом квартале 2000 года, согласно плану законотворческой деятельности правительства, министр здравоохранения представит новый всеобъемлющий закон о здравоохранении, который должен вступить в силу в январе 2001 года.</w:t>
      </w:r>
    </w:p>
    <w:p w:rsidR="00000000" w:rsidRDefault="00000000"/>
    <w:p w:rsidR="00000000" w:rsidRDefault="00000000">
      <w:r>
        <w:t>484.</w:t>
      </w:r>
      <w:r>
        <w:tab/>
        <w:t>Медицинские услуги оплачиваются главным образом по линии компаний медицинского страхования.  Страховые компании оплачивают оказанные услуги на основе соглашений, заключаемых с органами, занимающимися оказанием таких услуг.  В случае необходимости и потребности в неотложной помощи медицинские учреждения должны оказывать помощь всем лицам.  В Чешской Республике существуют десять компаний медицинского страхования.  Примерно 75% всех застрахованных лиц являются клиентами самой крупной страховой компании, "Генеральная компания медицинского страхования" (</w:t>
      </w:r>
      <w:r>
        <w:rPr>
          <w:lang w:val="en-US"/>
        </w:rPr>
        <w:t>V</w:t>
      </w:r>
      <w:r>
        <w:t>š</w:t>
      </w:r>
      <w:r>
        <w:rPr>
          <w:lang w:val="en-US"/>
        </w:rPr>
        <w:t>eobecn</w:t>
      </w:r>
      <w:r>
        <w:t xml:space="preserve">á </w:t>
      </w:r>
      <w:r>
        <w:rPr>
          <w:lang w:val="en-US"/>
        </w:rPr>
        <w:t>zdravotn</w:t>
      </w:r>
      <w:r>
        <w:t xml:space="preserve">á </w:t>
      </w:r>
      <w:r>
        <w:rPr>
          <w:lang w:val="en-US"/>
        </w:rPr>
        <w:t>poji</w:t>
      </w:r>
      <w:r>
        <w:t>š</w:t>
      </w:r>
      <w:r>
        <w:rPr>
          <w:lang w:val="en-US"/>
        </w:rPr>
        <w:t>t</w:t>
      </w:r>
      <w:r>
        <w:rPr>
          <w:vertAlign w:val="superscript"/>
        </w:rPr>
        <w:t>’</w:t>
      </w:r>
      <w:r>
        <w:rPr>
          <w:lang w:val="en-US"/>
        </w:rPr>
        <w:t>ovn</w:t>
      </w:r>
      <w:r>
        <w:t>á).</w:t>
      </w:r>
    </w:p>
    <w:p w:rsidR="00000000" w:rsidRDefault="00000000"/>
    <w:p w:rsidR="00000000" w:rsidRDefault="00000000">
      <w:r>
        <w:t>485.</w:t>
      </w:r>
      <w:r>
        <w:tab/>
        <w:t>Медицинское обслуживание предоставляется застрахованным лицам, которые в статье 2 Закона о медицинском страховании</w:t>
      </w:r>
      <w:r>
        <w:rPr>
          <w:rStyle w:val="FootnoteReference"/>
        </w:rPr>
        <w:footnoteReference w:id="299"/>
      </w:r>
      <w:r>
        <w:t xml:space="preserve"> определяются как лица, постоянно проживающие в Чешской Республике или работающие по найму в организации, имеющий постоянный адрес в Чешской Республике, в масштабах, определяемых данным законом.  Медицинское обслуживание не оплачивается из фондов, предусмотренных в государственном бюджете для министерства здравоохранения.  Министерство оплачивает из своего бюджета лишь некоторые виды деятельности, к которым не применяется медицинское страхование, а также некоторые другие виды деятельности, которые дают основания для оказания медицинского обслуживания (административные и вспомогательные виды деятельности), но главным образом оказывает поддержку инвестициям в строительство медицинских учреждений, основателем которых является государство, как на центральном, так и на местном уровнях.  Расходы на медицинское обслуживание иностранцев из стран, с которыми Чешская Республика заключила соглашение о бесплатном медицинском обслуживании, также оплачиваются из государственного бюджета по статье министерства здравоохранения.  Процентная доля таких расходов от общего размера расходов на медицинские услуги в 1998 году составила 5,9%.</w:t>
      </w:r>
    </w:p>
    <w:p w:rsidR="00000000" w:rsidRDefault="00000000"/>
    <w:p w:rsidR="00000000" w:rsidRDefault="00000000">
      <w:r>
        <w:t>486.</w:t>
      </w:r>
      <w:r>
        <w:tab/>
        <w:t>Источником платежей за медицинские услуги являются выплаты по линии общего медицинского страхования, осуществляемые в размерах, указанных в Законе о страховых взносах на общее медицинское обслуживание</w:t>
      </w:r>
      <w:r>
        <w:rPr>
          <w:rStyle w:val="FootnoteReference"/>
        </w:rPr>
        <w:footnoteReference w:id="300"/>
      </w:r>
      <w:r>
        <w:t>.  Взносы по линии медицинского страхования выплачиваются застрахованными лицами (лицами, работающими по найму, самозанятыми лицами и лицами, которые постоянно проживают в Чешской Республике и в отношении которых взносы не выплачиваются государством), нанимателями для своих работников и государством.  Согласно статье 3 а)-с) упомянутого закона, размер взносов устанавливается следующим образом:</w:t>
      </w:r>
    </w:p>
    <w:p w:rsidR="00000000" w:rsidRDefault="00000000"/>
    <w:p w:rsidR="00000000" w:rsidRDefault="00000000">
      <w:r>
        <w:tab/>
        <w:t>а)</w:t>
      </w:r>
      <w:r>
        <w:tab/>
        <w:t>для лица, работающего по найму - сумма доходов из всех источников, за исключением не подлежащих учету доходов;  при этом минимальной базой для расчетов является минимальная заработная плата (определяемая на ежемесячной основе);</w:t>
      </w:r>
    </w:p>
    <w:p w:rsidR="00000000" w:rsidRDefault="00000000"/>
    <w:p w:rsidR="00000000" w:rsidRDefault="00000000">
      <w:r>
        <w:tab/>
      </w:r>
      <w:r>
        <w:rPr>
          <w:lang w:val="en-US"/>
        </w:rPr>
        <w:t>b</w:t>
      </w:r>
      <w:r>
        <w:t>)</w:t>
      </w:r>
      <w:r>
        <w:tab/>
        <w:t>для независимого самозанятого лица - 35% процентов доходов предприятия или иного вида независимой самозанятости, за вычетом расходов, произведенных в целях создания и обеспечения его функционирования;  при этом минимальной базой для расчетов является минимальная заработная плата (умноженная на 12 для целей ежегодного учета), а максимальная база для расчетов составляет 486 000 чешских крон (за календарный год);</w:t>
      </w:r>
    </w:p>
    <w:p w:rsidR="00000000" w:rsidRDefault="00000000"/>
    <w:p w:rsidR="00000000" w:rsidRDefault="00000000">
      <w:r>
        <w:tab/>
        <w:t>с)</w:t>
      </w:r>
      <w:r>
        <w:tab/>
        <w:t>для лица, взнос которого выплачивает государство - 2 900 чешских крон;</w:t>
      </w:r>
    </w:p>
    <w:p w:rsidR="00000000" w:rsidRDefault="00000000"/>
    <w:p w:rsidR="00000000" w:rsidRDefault="00000000">
      <w:r>
        <w:tab/>
      </w:r>
      <w:r>
        <w:rPr>
          <w:lang w:val="en-US"/>
        </w:rPr>
        <w:t>d</w:t>
      </w:r>
      <w:r>
        <w:t>)</w:t>
      </w:r>
      <w:r>
        <w:tab/>
        <w:t>для лица, которое не имеет доходов от работы по найму или от независимой самозанятости и в отношении которого государство не выплачивает страховой взнос - минимальная заработная плата.</w:t>
      </w:r>
    </w:p>
    <w:p w:rsidR="00000000" w:rsidRDefault="00000000">
      <w:pPr>
        <w:ind w:left="1134" w:hanging="1134"/>
      </w:pPr>
    </w:p>
    <w:p w:rsidR="00000000" w:rsidRDefault="00000000">
      <w:r>
        <w:t>487.</w:t>
      </w:r>
      <w:r>
        <w:tab/>
        <w:t>Кроме того, наниматель переводит на счет компании медицинского страхования часть взносов, которую он должен выплачивать за своих работников.  На практике методы расчета взносов и различия в установленных базах для их расчета приводят к тому, что лица, работающие по найму, в среднем переводят бо</w:t>
      </w:r>
      <w:r>
        <w:rPr>
          <w:rFonts w:ascii="Tahoma" w:hAnsi="Tahoma" w:cs="Tahoma"/>
        </w:rPr>
        <w:t></w:t>
      </w:r>
      <w:r>
        <w:t>льшие суммы (включая взносы, выплачиваемые работниками), чем самозанятые лица, даже несмотря на то, что лица, работающие по найму, в среднем имеют более низкий реальный личный доход и более низкий уровень жизни.</w:t>
      </w:r>
    </w:p>
    <w:p w:rsidR="00000000" w:rsidRDefault="00000000"/>
    <w:p w:rsidR="00000000" w:rsidRDefault="00000000">
      <w:r>
        <w:t>488.</w:t>
      </w:r>
      <w:r>
        <w:tab/>
        <w:t>Согласно статье 7 Закона о здравоохранении государство оплачивает медицинское страхование детей-иждивенцев;  лиц, получающих пенсии за счет страхования пенсий;  получателей пособий для родителей;  женщин, находящихся в отпуске по беременности и родам и в дополнительном отпуске по беременности и родам;  лиц, ищущих работу;  нуждающихся лиц, получающих социальные пособия;  лиц, страдающих от полной или частичной нетрудоспособности, и лиц, осуществляющих уход за ними;  лиц, проходящих срочную службу в вооруженных силах;  лиц, находящихся в заключении или отбывающих срок лишения свободы;  и несовершеннолетних, находящихся в детских учебных учреждениях или в детских учреждениях, обеспечивающих их защиту.  В этом заключается наиболее важная взаимосвязь государственных расходов с общей системой медицинского страхования.  После перераспределения отдельных страховых взносов компании медицинского страхования (которые являются субъектами публичного права) оплачивают медицинским учреждениям уход за застрахованными лицами в той степени и на таких условиях, которые предусмотрены Законом о медицинском страховании.</w:t>
      </w:r>
    </w:p>
    <w:p w:rsidR="00000000" w:rsidRDefault="00000000"/>
    <w:p w:rsidR="00000000" w:rsidRDefault="00000000">
      <w:r>
        <w:t>489.</w:t>
      </w:r>
      <w:r>
        <w:tab/>
        <w:t>Медицинское страхование является обязательным для всех лиц, определенных в Законе о медицинском страховании.  Согласно пункту 5 статьи 2 этого закона, медицинское страхование "не охватывает тех лиц, которые постоянно не проживают в Чешской Республике и работают в Чешской Республике на нанимателей, которые пользуются дипломатическими привилегиями и иммунитетами, или на нанимателей, которые применяют нормы трудовых взаимоотношений, заключенные согласно правовым нормам иностранных государств, или на нанимателей, которые не имеют постоянного адреса в Чешской Республике, а также лиц, которые на долгосрочной основе проживают за рубежом и не выплачивают страховые взносы" (согласно условиям, установленным в законе).  Лица, которые не отвечают указанным в законе условиям участия в системе медицинского страхования, но которые в течение длительного времени или постоянно проживают в Чешской Республике и желают пользоваться благами медицинского страхования, могут заключать договоры медицинского страхования с отдельными компаниями медицинского страхования.</w:t>
      </w:r>
    </w:p>
    <w:p w:rsidR="00000000" w:rsidRDefault="00000000"/>
    <w:p w:rsidR="00000000" w:rsidRDefault="00000000">
      <w:r>
        <w:t>490.</w:t>
      </w:r>
      <w:r>
        <w:tab/>
        <w:t>В целях предупреждения профессиональных заболеваний, производственных травм и заболеваний, которые были обусловлены или усугублены в результате условий труда, все наниматели должны организовывать для своих работников превентивное обслуживание, неотъемлемым компонентом которого являются профилактические осмотры в целях определения трудоспособности.  Кодекс законов о труде и Закон о здравоохранении предусматривают, что наниматели отвечают за обеспечение того, чтобы работы производились лишь теми лицами, которые с медицинской точки зрения способны выполнять их.</w:t>
      </w:r>
    </w:p>
    <w:p w:rsidR="00000000" w:rsidRDefault="00000000"/>
    <w:p w:rsidR="00000000" w:rsidRDefault="00000000">
      <w:r>
        <w:t>491.</w:t>
      </w:r>
      <w:r>
        <w:tab/>
        <w:t>Оказание медицинских услуг осуществляется на принципе равенства, который означает, что никакие меры или законодательные нормы не могут ставить престарелых или другие группы населения в менее благоприятное положение, в том что касается здравоохранения.  Медицинское обслуживание пенсионеров оплачивается из государственного бюджета.  Одна из проблем для данной группы населения заключается в увеличении доли их участия в оплате медикаментов (хотя соблюдается принцип, согласно которому по меньшей мере один основной, абсолютно необходимый медицинский препарат для каждого конкретного вида симптомов, в полной мере оплачивается страховой компанией).</w:t>
      </w:r>
    </w:p>
    <w:p w:rsidR="00000000" w:rsidRDefault="00000000"/>
    <w:p w:rsidR="00000000" w:rsidRDefault="00000000">
      <w:pPr>
        <w:pStyle w:val="10"/>
        <w:rPr>
          <w:bCs/>
        </w:rPr>
      </w:pPr>
      <w:r>
        <w:rPr>
          <w:bCs/>
        </w:rPr>
        <w:t>Расходы на медицинское обслуживание</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1"/>
        <w:gridCol w:w="935"/>
        <w:gridCol w:w="935"/>
        <w:gridCol w:w="935"/>
        <w:gridCol w:w="917"/>
        <w:gridCol w:w="766"/>
        <w:gridCol w:w="861"/>
      </w:tblGrid>
      <w:tr w:rsidR="00000000">
        <w:tblPrEx>
          <w:tblCellMar>
            <w:top w:w="0" w:type="dxa"/>
            <w:bottom w:w="0" w:type="dxa"/>
          </w:tblCellMar>
        </w:tblPrEx>
        <w:tc>
          <w:tcPr>
            <w:tcW w:w="4222" w:type="dxa"/>
            <w:tcBorders>
              <w:bottom w:val="single" w:sz="4" w:space="0" w:color="auto"/>
            </w:tcBorders>
          </w:tcPr>
          <w:p w:rsidR="00000000" w:rsidRDefault="00000000">
            <w:pPr>
              <w:spacing w:line="240" w:lineRule="auto"/>
              <w:jc w:val="center"/>
            </w:pPr>
          </w:p>
        </w:tc>
        <w:tc>
          <w:tcPr>
            <w:tcW w:w="935" w:type="dxa"/>
            <w:tcBorders>
              <w:bottom w:val="single" w:sz="4" w:space="0" w:color="auto"/>
            </w:tcBorders>
          </w:tcPr>
          <w:p w:rsidR="00000000" w:rsidRDefault="00000000">
            <w:pPr>
              <w:spacing w:line="240" w:lineRule="auto"/>
              <w:jc w:val="center"/>
              <w:rPr>
                <w:sz w:val="20"/>
              </w:rPr>
            </w:pPr>
            <w:r>
              <w:rPr>
                <w:sz w:val="20"/>
              </w:rPr>
              <w:t>1993</w:t>
            </w:r>
          </w:p>
        </w:tc>
        <w:tc>
          <w:tcPr>
            <w:tcW w:w="935" w:type="dxa"/>
            <w:tcBorders>
              <w:bottom w:val="single" w:sz="4" w:space="0" w:color="auto"/>
            </w:tcBorders>
          </w:tcPr>
          <w:p w:rsidR="00000000" w:rsidRDefault="00000000">
            <w:pPr>
              <w:spacing w:line="240" w:lineRule="auto"/>
              <w:jc w:val="center"/>
              <w:rPr>
                <w:sz w:val="20"/>
              </w:rPr>
            </w:pPr>
            <w:r>
              <w:rPr>
                <w:sz w:val="20"/>
              </w:rPr>
              <w:t>1994</w:t>
            </w:r>
          </w:p>
        </w:tc>
        <w:tc>
          <w:tcPr>
            <w:tcW w:w="935" w:type="dxa"/>
            <w:tcBorders>
              <w:bottom w:val="single" w:sz="4" w:space="0" w:color="auto"/>
            </w:tcBorders>
          </w:tcPr>
          <w:p w:rsidR="00000000" w:rsidRDefault="00000000">
            <w:pPr>
              <w:spacing w:line="240" w:lineRule="auto"/>
              <w:jc w:val="center"/>
              <w:rPr>
                <w:sz w:val="20"/>
              </w:rPr>
            </w:pPr>
            <w:r>
              <w:rPr>
                <w:sz w:val="20"/>
              </w:rPr>
              <w:t>1995</w:t>
            </w:r>
          </w:p>
        </w:tc>
        <w:tc>
          <w:tcPr>
            <w:tcW w:w="917" w:type="dxa"/>
            <w:tcBorders>
              <w:bottom w:val="single" w:sz="4" w:space="0" w:color="auto"/>
            </w:tcBorders>
          </w:tcPr>
          <w:p w:rsidR="00000000" w:rsidRDefault="00000000">
            <w:pPr>
              <w:spacing w:line="240" w:lineRule="auto"/>
              <w:jc w:val="center"/>
              <w:rPr>
                <w:sz w:val="20"/>
              </w:rPr>
            </w:pPr>
            <w:r>
              <w:rPr>
                <w:sz w:val="20"/>
              </w:rPr>
              <w:t>1996</w:t>
            </w:r>
          </w:p>
        </w:tc>
        <w:tc>
          <w:tcPr>
            <w:tcW w:w="766" w:type="dxa"/>
            <w:tcBorders>
              <w:bottom w:val="single" w:sz="4" w:space="0" w:color="auto"/>
            </w:tcBorders>
          </w:tcPr>
          <w:p w:rsidR="00000000" w:rsidRDefault="00000000">
            <w:pPr>
              <w:spacing w:line="240" w:lineRule="auto"/>
              <w:jc w:val="center"/>
              <w:rPr>
                <w:sz w:val="20"/>
              </w:rPr>
            </w:pPr>
            <w:r>
              <w:rPr>
                <w:sz w:val="20"/>
              </w:rPr>
              <w:t>1997</w:t>
            </w:r>
          </w:p>
        </w:tc>
        <w:tc>
          <w:tcPr>
            <w:tcW w:w="861" w:type="dxa"/>
            <w:tcBorders>
              <w:bottom w:val="single" w:sz="4" w:space="0" w:color="auto"/>
            </w:tcBorders>
          </w:tcPr>
          <w:p w:rsidR="00000000" w:rsidRDefault="00000000">
            <w:pPr>
              <w:spacing w:line="240" w:lineRule="auto"/>
              <w:jc w:val="center"/>
              <w:rPr>
                <w:sz w:val="20"/>
              </w:rPr>
            </w:pPr>
            <w:r>
              <w:rPr>
                <w:sz w:val="20"/>
              </w:rPr>
              <w:t>1998</w:t>
            </w:r>
          </w:p>
        </w:tc>
      </w:tr>
      <w:tr w:rsidR="00000000">
        <w:tblPrEx>
          <w:tblCellMar>
            <w:top w:w="0" w:type="dxa"/>
            <w:bottom w:w="0" w:type="dxa"/>
          </w:tblCellMar>
        </w:tblPrEx>
        <w:tc>
          <w:tcPr>
            <w:tcW w:w="4222" w:type="dxa"/>
            <w:tcBorders>
              <w:bottom w:val="nil"/>
              <w:right w:val="single" w:sz="4" w:space="0" w:color="auto"/>
            </w:tcBorders>
          </w:tcPr>
          <w:p w:rsidR="00000000" w:rsidRDefault="00000000">
            <w:pPr>
              <w:pStyle w:val="FootnoteText"/>
              <w:rPr>
                <w:sz w:val="20"/>
              </w:rPr>
            </w:pPr>
            <w:r>
              <w:rPr>
                <w:sz w:val="20"/>
              </w:rPr>
              <w:t xml:space="preserve">Общая сумма государственных расходов </w:t>
            </w:r>
          </w:p>
          <w:p w:rsidR="00000000" w:rsidRDefault="00000000">
            <w:pPr>
              <w:pStyle w:val="FootnoteText"/>
              <w:rPr>
                <w:sz w:val="20"/>
              </w:rPr>
            </w:pPr>
            <w:r>
              <w:rPr>
                <w:sz w:val="20"/>
              </w:rPr>
              <w:t>(в млрд. чешских крон)</w:t>
            </w:r>
          </w:p>
        </w:tc>
        <w:tc>
          <w:tcPr>
            <w:tcW w:w="935" w:type="dxa"/>
            <w:tcBorders>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69,3</w:t>
            </w:r>
          </w:p>
        </w:tc>
        <w:tc>
          <w:tcPr>
            <w:tcW w:w="935" w:type="dxa"/>
            <w:tcBorders>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81,1</w:t>
            </w:r>
          </w:p>
        </w:tc>
        <w:tc>
          <w:tcPr>
            <w:tcW w:w="935" w:type="dxa"/>
            <w:tcBorders>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93,3</w:t>
            </w:r>
          </w:p>
        </w:tc>
        <w:tc>
          <w:tcPr>
            <w:tcW w:w="917" w:type="dxa"/>
            <w:tcBorders>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102,4</w:t>
            </w:r>
          </w:p>
        </w:tc>
        <w:tc>
          <w:tcPr>
            <w:tcW w:w="766" w:type="dxa"/>
            <w:tcBorders>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108,9</w:t>
            </w:r>
          </w:p>
        </w:tc>
        <w:tc>
          <w:tcPr>
            <w:tcW w:w="861" w:type="dxa"/>
            <w:tcBorders>
              <w:left w:val="single" w:sz="4" w:space="0" w:color="auto"/>
              <w:bottom w:val="nil"/>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113,6</w:t>
            </w:r>
          </w:p>
        </w:tc>
      </w:tr>
      <w:tr w:rsidR="00000000">
        <w:tblPrEx>
          <w:tblCellMar>
            <w:top w:w="0" w:type="dxa"/>
            <w:bottom w:w="0" w:type="dxa"/>
          </w:tblCellMar>
        </w:tblPrEx>
        <w:tc>
          <w:tcPr>
            <w:tcW w:w="4222" w:type="dxa"/>
            <w:tcBorders>
              <w:top w:val="nil"/>
              <w:bottom w:val="nil"/>
              <w:right w:val="single" w:sz="4" w:space="0" w:color="auto"/>
            </w:tcBorders>
          </w:tcPr>
          <w:p w:rsidR="00000000" w:rsidRDefault="00000000">
            <w:pPr>
              <w:pStyle w:val="FootnoteText"/>
              <w:rPr>
                <w:sz w:val="20"/>
              </w:rPr>
            </w:pPr>
            <w:r>
              <w:rPr>
                <w:sz w:val="20"/>
              </w:rPr>
              <w:t>Соотношение государственных расходов и ВНП (%)</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6,9</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7,1</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6,9</w:t>
            </w:r>
          </w:p>
        </w:tc>
        <w:tc>
          <w:tcPr>
            <w:tcW w:w="917"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6,7</w:t>
            </w:r>
          </w:p>
        </w:tc>
        <w:tc>
          <w:tcPr>
            <w:tcW w:w="766"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6,7</w:t>
            </w:r>
          </w:p>
        </w:tc>
        <w:tc>
          <w:tcPr>
            <w:tcW w:w="861" w:type="dxa"/>
            <w:tcBorders>
              <w:top w:val="nil"/>
              <w:left w:val="single" w:sz="4" w:space="0" w:color="auto"/>
              <w:bottom w:val="nil"/>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6,6</w:t>
            </w:r>
          </w:p>
        </w:tc>
      </w:tr>
      <w:tr w:rsidR="00000000">
        <w:tblPrEx>
          <w:tblCellMar>
            <w:top w:w="0" w:type="dxa"/>
            <w:bottom w:w="0" w:type="dxa"/>
          </w:tblCellMar>
        </w:tblPrEx>
        <w:tc>
          <w:tcPr>
            <w:tcW w:w="4222" w:type="dxa"/>
            <w:tcBorders>
              <w:top w:val="nil"/>
              <w:bottom w:val="nil"/>
              <w:right w:val="single" w:sz="4" w:space="0" w:color="auto"/>
            </w:tcBorders>
          </w:tcPr>
          <w:p w:rsidR="00000000" w:rsidRDefault="00000000">
            <w:pPr>
              <w:pStyle w:val="BodyText"/>
              <w:rPr>
                <w:b/>
                <w:bCs/>
                <w:sz w:val="20"/>
              </w:rPr>
            </w:pPr>
            <w:r>
              <w:rPr>
                <w:b/>
                <w:bCs/>
                <w:sz w:val="20"/>
              </w:rPr>
              <w:t xml:space="preserve">Общий размер расходов на медицинское обслуживание </w:t>
            </w:r>
          </w:p>
          <w:p w:rsidR="00000000" w:rsidRDefault="00000000">
            <w:pPr>
              <w:pStyle w:val="BodyText"/>
              <w:rPr>
                <w:sz w:val="20"/>
              </w:rPr>
            </w:pPr>
          </w:p>
          <w:p w:rsidR="00000000" w:rsidRDefault="00000000">
            <w:pPr>
              <w:spacing w:line="240" w:lineRule="auto"/>
              <w:rPr>
                <w:b/>
                <w:bCs/>
                <w:sz w:val="20"/>
                <w:vertAlign w:val="superscript"/>
              </w:rPr>
            </w:pPr>
            <w:r>
              <w:rPr>
                <w:sz w:val="20"/>
              </w:rPr>
              <w:tab/>
              <w:t>в млрд. чешских крон</w:t>
            </w:r>
            <w:r>
              <w:rPr>
                <w:b/>
                <w:bCs/>
                <w:sz w:val="20"/>
                <w:vertAlign w:val="superscript"/>
              </w:rPr>
              <w:t>а</w:t>
            </w:r>
          </w:p>
          <w:p w:rsidR="00000000" w:rsidRDefault="00000000">
            <w:pPr>
              <w:spacing w:line="240" w:lineRule="auto"/>
              <w:rPr>
                <w:b/>
                <w:bCs/>
                <w:sz w:val="20"/>
              </w:rPr>
            </w:pPr>
            <w:r>
              <w:rPr>
                <w:sz w:val="20"/>
              </w:rPr>
              <w:tab/>
              <w:t>на душу населения в чешских кронах</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73,5</w:t>
            </w:r>
          </w:p>
          <w:p w:rsidR="00000000" w:rsidRDefault="00000000">
            <w:pPr>
              <w:tabs>
                <w:tab w:val="clear" w:pos="567"/>
              </w:tabs>
              <w:spacing w:line="240" w:lineRule="auto"/>
              <w:ind w:left="-295" w:right="194"/>
              <w:jc w:val="right"/>
              <w:rPr>
                <w:sz w:val="20"/>
              </w:rPr>
            </w:pPr>
            <w:r>
              <w:rPr>
                <w:sz w:val="20"/>
              </w:rPr>
              <w:t>7</w:t>
            </w:r>
            <w:r>
              <w:rPr>
                <w:sz w:val="20"/>
                <w:lang w:val="en-US"/>
              </w:rPr>
              <w:t> </w:t>
            </w:r>
            <w:r>
              <w:rPr>
                <w:sz w:val="20"/>
              </w:rPr>
              <w:t>112</w:t>
            </w:r>
          </w:p>
          <w:p w:rsidR="00000000" w:rsidRDefault="00000000">
            <w:pPr>
              <w:tabs>
                <w:tab w:val="clear" w:pos="567"/>
              </w:tabs>
              <w:spacing w:line="240" w:lineRule="auto"/>
              <w:ind w:left="-295" w:right="194"/>
              <w:jc w:val="right"/>
              <w:rPr>
                <w:sz w:val="20"/>
              </w:rPr>
            </w:pP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89,6</w:t>
            </w:r>
          </w:p>
          <w:p w:rsidR="00000000" w:rsidRDefault="00000000">
            <w:pPr>
              <w:tabs>
                <w:tab w:val="clear" w:pos="567"/>
              </w:tabs>
              <w:spacing w:line="240" w:lineRule="auto"/>
              <w:ind w:left="-295" w:right="194"/>
              <w:jc w:val="right"/>
              <w:rPr>
                <w:sz w:val="20"/>
              </w:rPr>
            </w:pPr>
            <w:r>
              <w:rPr>
                <w:sz w:val="20"/>
              </w:rPr>
              <w:t>8</w:t>
            </w:r>
            <w:r>
              <w:rPr>
                <w:sz w:val="20"/>
                <w:lang w:val="en-US"/>
              </w:rPr>
              <w:t> </w:t>
            </w:r>
            <w:r>
              <w:rPr>
                <w:sz w:val="20"/>
              </w:rPr>
              <w:t>671</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102,4</w:t>
            </w:r>
          </w:p>
          <w:p w:rsidR="00000000" w:rsidRDefault="00000000">
            <w:pPr>
              <w:tabs>
                <w:tab w:val="clear" w:pos="567"/>
              </w:tabs>
              <w:spacing w:line="240" w:lineRule="auto"/>
              <w:ind w:left="-295" w:right="194"/>
              <w:jc w:val="right"/>
              <w:rPr>
                <w:sz w:val="20"/>
              </w:rPr>
            </w:pPr>
            <w:r>
              <w:rPr>
                <w:sz w:val="20"/>
              </w:rPr>
              <w:t>9</w:t>
            </w:r>
            <w:r>
              <w:rPr>
                <w:sz w:val="20"/>
                <w:lang w:val="en-US"/>
              </w:rPr>
              <w:t> </w:t>
            </w:r>
            <w:r>
              <w:rPr>
                <w:sz w:val="20"/>
              </w:rPr>
              <w:t>922</w:t>
            </w:r>
          </w:p>
        </w:tc>
        <w:tc>
          <w:tcPr>
            <w:tcW w:w="917"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112,4</w:t>
            </w:r>
          </w:p>
          <w:p w:rsidR="00000000" w:rsidRDefault="00000000">
            <w:pPr>
              <w:tabs>
                <w:tab w:val="clear" w:pos="567"/>
              </w:tabs>
              <w:spacing w:line="240" w:lineRule="auto"/>
              <w:ind w:left="-295" w:right="194"/>
              <w:jc w:val="right"/>
              <w:rPr>
                <w:sz w:val="20"/>
              </w:rPr>
            </w:pPr>
            <w:r>
              <w:rPr>
                <w:sz w:val="20"/>
              </w:rPr>
              <w:t>10</w:t>
            </w:r>
            <w:r>
              <w:rPr>
                <w:sz w:val="20"/>
                <w:lang w:val="en-US"/>
              </w:rPr>
              <w:t> </w:t>
            </w:r>
            <w:r>
              <w:rPr>
                <w:sz w:val="20"/>
              </w:rPr>
              <w:t>903</w:t>
            </w:r>
          </w:p>
        </w:tc>
        <w:tc>
          <w:tcPr>
            <w:tcW w:w="766"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121,5</w:t>
            </w:r>
          </w:p>
          <w:p w:rsidR="00000000" w:rsidRDefault="00000000">
            <w:pPr>
              <w:tabs>
                <w:tab w:val="clear" w:pos="567"/>
              </w:tabs>
              <w:spacing w:line="240" w:lineRule="auto"/>
              <w:ind w:left="-295" w:right="194"/>
              <w:jc w:val="right"/>
              <w:rPr>
                <w:sz w:val="20"/>
              </w:rPr>
            </w:pPr>
            <w:r>
              <w:rPr>
                <w:sz w:val="20"/>
              </w:rPr>
              <w:t>11</w:t>
            </w:r>
            <w:r>
              <w:rPr>
                <w:sz w:val="20"/>
                <w:lang w:val="en-US"/>
              </w:rPr>
              <w:t> </w:t>
            </w:r>
            <w:r>
              <w:rPr>
                <w:sz w:val="20"/>
              </w:rPr>
              <w:t>797</w:t>
            </w:r>
          </w:p>
        </w:tc>
        <w:tc>
          <w:tcPr>
            <w:tcW w:w="861" w:type="dxa"/>
            <w:tcBorders>
              <w:top w:val="nil"/>
              <w:left w:val="single" w:sz="4" w:space="0" w:color="auto"/>
              <w:bottom w:val="nil"/>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132,3</w:t>
            </w:r>
          </w:p>
          <w:p w:rsidR="00000000" w:rsidRDefault="00000000">
            <w:pPr>
              <w:tabs>
                <w:tab w:val="clear" w:pos="567"/>
              </w:tabs>
              <w:spacing w:line="240" w:lineRule="auto"/>
              <w:ind w:left="-295" w:right="194"/>
              <w:jc w:val="right"/>
              <w:rPr>
                <w:sz w:val="20"/>
              </w:rPr>
            </w:pPr>
            <w:r>
              <w:rPr>
                <w:sz w:val="20"/>
              </w:rPr>
              <w:t>12</w:t>
            </w:r>
            <w:r>
              <w:rPr>
                <w:sz w:val="20"/>
                <w:lang w:val="en-US"/>
              </w:rPr>
              <w:t> </w:t>
            </w:r>
            <w:r>
              <w:rPr>
                <w:sz w:val="20"/>
              </w:rPr>
              <w:t>857</w:t>
            </w:r>
          </w:p>
        </w:tc>
      </w:tr>
      <w:tr w:rsidR="00000000">
        <w:tblPrEx>
          <w:tblCellMar>
            <w:top w:w="0" w:type="dxa"/>
            <w:bottom w:w="0" w:type="dxa"/>
          </w:tblCellMar>
        </w:tblPrEx>
        <w:tc>
          <w:tcPr>
            <w:tcW w:w="4222" w:type="dxa"/>
            <w:tcBorders>
              <w:top w:val="nil"/>
              <w:bottom w:val="nil"/>
              <w:right w:val="single" w:sz="4" w:space="0" w:color="auto"/>
            </w:tcBorders>
          </w:tcPr>
          <w:p w:rsidR="00000000" w:rsidRDefault="00000000">
            <w:pPr>
              <w:pStyle w:val="FootnoteText"/>
              <w:rPr>
                <w:sz w:val="20"/>
              </w:rPr>
            </w:pPr>
            <w:r>
              <w:rPr>
                <w:sz w:val="20"/>
              </w:rPr>
              <w:t>В том числе (в млрд. чешских крон):</w:t>
            </w:r>
          </w:p>
          <w:p w:rsidR="00000000" w:rsidRDefault="00000000">
            <w:pPr>
              <w:pStyle w:val="FootnoteText"/>
              <w:rPr>
                <w:sz w:val="20"/>
              </w:rPr>
            </w:pPr>
            <w:r>
              <w:rPr>
                <w:sz w:val="20"/>
              </w:rPr>
              <w:t>Прямые частные расходы граждан на</w:t>
            </w:r>
          </w:p>
          <w:p w:rsidR="00000000" w:rsidRDefault="00000000">
            <w:pPr>
              <w:pStyle w:val="FootnoteText"/>
              <w:rPr>
                <w:sz w:val="20"/>
              </w:rPr>
            </w:pPr>
            <w:r>
              <w:rPr>
                <w:sz w:val="20"/>
              </w:rPr>
              <w:t xml:space="preserve">   медицинское обслуживание</w:t>
            </w:r>
          </w:p>
        </w:tc>
        <w:tc>
          <w:tcPr>
            <w:tcW w:w="935" w:type="dxa"/>
            <w:tcBorders>
              <w:top w:val="nil"/>
              <w:left w:val="single" w:sz="4" w:space="0" w:color="auto"/>
              <w:bottom w:val="nil"/>
              <w:right w:val="single" w:sz="4" w:space="0" w:color="auto"/>
            </w:tcBorders>
          </w:tcPr>
          <w:p w:rsidR="00000000" w:rsidRDefault="00000000">
            <w:pPr>
              <w:pStyle w:val="16"/>
              <w:tabs>
                <w:tab w:val="clear" w:pos="567"/>
              </w:tabs>
              <w:spacing w:line="240" w:lineRule="auto"/>
              <w:ind w:left="-295" w:right="194"/>
              <w:jc w:val="right"/>
              <w:rPr>
                <w:sz w:val="20"/>
              </w:rPr>
            </w:pPr>
          </w:p>
          <w:p w:rsidR="00000000" w:rsidRDefault="00000000">
            <w:pPr>
              <w:pStyle w:val="16"/>
              <w:tabs>
                <w:tab w:val="clear" w:pos="567"/>
              </w:tabs>
              <w:spacing w:line="240" w:lineRule="auto"/>
              <w:ind w:left="-295" w:right="194"/>
              <w:jc w:val="right"/>
              <w:rPr>
                <w:sz w:val="20"/>
              </w:rPr>
            </w:pPr>
          </w:p>
          <w:p w:rsidR="00000000" w:rsidRDefault="00000000">
            <w:pPr>
              <w:pStyle w:val="16"/>
              <w:tabs>
                <w:tab w:val="clear" w:pos="567"/>
              </w:tabs>
              <w:spacing w:line="240" w:lineRule="auto"/>
              <w:ind w:left="-295" w:right="194"/>
              <w:jc w:val="right"/>
              <w:rPr>
                <w:sz w:val="20"/>
              </w:rPr>
            </w:pPr>
            <w:r>
              <w:rPr>
                <w:sz w:val="20"/>
              </w:rPr>
              <w:t>3,8</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5,4</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7,4</w:t>
            </w:r>
          </w:p>
        </w:tc>
        <w:tc>
          <w:tcPr>
            <w:tcW w:w="917"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8,3</w:t>
            </w:r>
          </w:p>
        </w:tc>
        <w:tc>
          <w:tcPr>
            <w:tcW w:w="766"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9,9</w:t>
            </w:r>
          </w:p>
        </w:tc>
        <w:tc>
          <w:tcPr>
            <w:tcW w:w="861" w:type="dxa"/>
            <w:tcBorders>
              <w:top w:val="nil"/>
              <w:left w:val="single" w:sz="4" w:space="0" w:color="auto"/>
              <w:bottom w:val="nil"/>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10,6</w:t>
            </w:r>
          </w:p>
        </w:tc>
      </w:tr>
      <w:tr w:rsidR="00000000">
        <w:tblPrEx>
          <w:tblCellMar>
            <w:top w:w="0" w:type="dxa"/>
            <w:bottom w:w="0" w:type="dxa"/>
          </w:tblCellMar>
        </w:tblPrEx>
        <w:tc>
          <w:tcPr>
            <w:tcW w:w="4222" w:type="dxa"/>
            <w:tcBorders>
              <w:top w:val="nil"/>
              <w:bottom w:val="nil"/>
              <w:right w:val="single" w:sz="4" w:space="0" w:color="auto"/>
            </w:tcBorders>
          </w:tcPr>
          <w:p w:rsidR="00000000" w:rsidRDefault="00000000">
            <w:pPr>
              <w:spacing w:line="240" w:lineRule="auto"/>
              <w:rPr>
                <w:sz w:val="20"/>
              </w:rPr>
            </w:pPr>
            <w:r>
              <w:rPr>
                <w:sz w:val="20"/>
              </w:rPr>
              <w:t xml:space="preserve">Прямые расходы из государственного </w:t>
            </w:r>
          </w:p>
          <w:p w:rsidR="00000000" w:rsidRDefault="00000000">
            <w:pPr>
              <w:spacing w:line="240" w:lineRule="auto"/>
              <w:rPr>
                <w:sz w:val="20"/>
              </w:rPr>
            </w:pPr>
            <w:r>
              <w:rPr>
                <w:sz w:val="20"/>
              </w:rPr>
              <w:t xml:space="preserve">   бюджета</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7,5</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8,7</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9,6</w:t>
            </w:r>
          </w:p>
        </w:tc>
        <w:tc>
          <w:tcPr>
            <w:tcW w:w="917"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7,2</w:t>
            </w:r>
          </w:p>
        </w:tc>
        <w:tc>
          <w:tcPr>
            <w:tcW w:w="766"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7,5</w:t>
            </w:r>
          </w:p>
        </w:tc>
        <w:tc>
          <w:tcPr>
            <w:tcW w:w="861" w:type="dxa"/>
            <w:tcBorders>
              <w:top w:val="nil"/>
              <w:left w:val="single" w:sz="4" w:space="0" w:color="auto"/>
              <w:bottom w:val="nil"/>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7,8</w:t>
            </w:r>
          </w:p>
        </w:tc>
      </w:tr>
      <w:tr w:rsidR="00000000">
        <w:tblPrEx>
          <w:tblCellMar>
            <w:top w:w="0" w:type="dxa"/>
            <w:bottom w:w="0" w:type="dxa"/>
          </w:tblCellMar>
        </w:tblPrEx>
        <w:tc>
          <w:tcPr>
            <w:tcW w:w="4222" w:type="dxa"/>
            <w:tcBorders>
              <w:top w:val="nil"/>
              <w:bottom w:val="nil"/>
              <w:right w:val="single" w:sz="4" w:space="0" w:color="auto"/>
            </w:tcBorders>
          </w:tcPr>
          <w:p w:rsidR="00000000" w:rsidRDefault="00000000">
            <w:pPr>
              <w:spacing w:line="240" w:lineRule="auto"/>
              <w:rPr>
                <w:sz w:val="20"/>
              </w:rPr>
            </w:pPr>
            <w:r>
              <w:rPr>
                <w:sz w:val="20"/>
              </w:rPr>
              <w:t>Расходы из местных бюджетов</w:t>
            </w:r>
          </w:p>
        </w:tc>
        <w:tc>
          <w:tcPr>
            <w:tcW w:w="935" w:type="dxa"/>
            <w:tcBorders>
              <w:top w:val="nil"/>
              <w:left w:val="single" w:sz="4" w:space="0" w:color="auto"/>
              <w:bottom w:val="nil"/>
              <w:right w:val="single" w:sz="4" w:space="0" w:color="auto"/>
            </w:tcBorders>
          </w:tcPr>
          <w:p w:rsidR="00000000" w:rsidRDefault="00000000">
            <w:pPr>
              <w:pStyle w:val="16"/>
              <w:tabs>
                <w:tab w:val="clear" w:pos="567"/>
              </w:tabs>
              <w:spacing w:line="240" w:lineRule="auto"/>
              <w:ind w:left="-295" w:right="194"/>
              <w:jc w:val="right"/>
              <w:rPr>
                <w:sz w:val="20"/>
              </w:rPr>
            </w:pPr>
            <w:r>
              <w:rPr>
                <w:sz w:val="20"/>
              </w:rPr>
              <w:t>6,4</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r>
              <w:rPr>
                <w:sz w:val="20"/>
              </w:rPr>
              <w:t>6,1</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r>
              <w:rPr>
                <w:sz w:val="20"/>
              </w:rPr>
              <w:t>7,3</w:t>
            </w:r>
          </w:p>
        </w:tc>
        <w:tc>
          <w:tcPr>
            <w:tcW w:w="917"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r>
              <w:rPr>
                <w:sz w:val="20"/>
              </w:rPr>
              <w:t>6,5</w:t>
            </w:r>
          </w:p>
        </w:tc>
        <w:tc>
          <w:tcPr>
            <w:tcW w:w="766"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r>
              <w:rPr>
                <w:sz w:val="20"/>
              </w:rPr>
              <w:t>5,9</w:t>
            </w:r>
          </w:p>
        </w:tc>
        <w:tc>
          <w:tcPr>
            <w:tcW w:w="861" w:type="dxa"/>
            <w:tcBorders>
              <w:top w:val="nil"/>
              <w:left w:val="single" w:sz="4" w:space="0" w:color="auto"/>
              <w:bottom w:val="nil"/>
            </w:tcBorders>
          </w:tcPr>
          <w:p w:rsidR="00000000" w:rsidRDefault="00000000">
            <w:pPr>
              <w:tabs>
                <w:tab w:val="clear" w:pos="567"/>
              </w:tabs>
              <w:spacing w:line="240" w:lineRule="auto"/>
              <w:ind w:left="-295" w:right="194"/>
              <w:jc w:val="right"/>
              <w:rPr>
                <w:sz w:val="20"/>
              </w:rPr>
            </w:pPr>
            <w:r>
              <w:rPr>
                <w:sz w:val="20"/>
              </w:rPr>
              <w:t>5,8</w:t>
            </w:r>
          </w:p>
        </w:tc>
      </w:tr>
      <w:tr w:rsidR="00000000">
        <w:tblPrEx>
          <w:tblCellMar>
            <w:top w:w="0" w:type="dxa"/>
            <w:bottom w:w="0" w:type="dxa"/>
          </w:tblCellMar>
        </w:tblPrEx>
        <w:tc>
          <w:tcPr>
            <w:tcW w:w="4222" w:type="dxa"/>
            <w:tcBorders>
              <w:top w:val="nil"/>
              <w:bottom w:val="nil"/>
              <w:right w:val="single" w:sz="4" w:space="0" w:color="auto"/>
            </w:tcBorders>
          </w:tcPr>
          <w:p w:rsidR="00000000" w:rsidRDefault="00000000">
            <w:pPr>
              <w:spacing w:line="240" w:lineRule="auto"/>
              <w:rPr>
                <w:sz w:val="20"/>
              </w:rPr>
            </w:pPr>
            <w:r>
              <w:rPr>
                <w:sz w:val="20"/>
              </w:rPr>
              <w:t xml:space="preserve">Расходы по линии компаний системы </w:t>
            </w:r>
          </w:p>
          <w:p w:rsidR="00000000" w:rsidRDefault="00000000">
            <w:pPr>
              <w:spacing w:line="240" w:lineRule="auto"/>
              <w:rPr>
                <w:sz w:val="20"/>
              </w:rPr>
            </w:pPr>
            <w:r>
              <w:rPr>
                <w:sz w:val="20"/>
              </w:rPr>
              <w:t xml:space="preserve">   медицинского страхования</w:t>
            </w:r>
          </w:p>
        </w:tc>
        <w:tc>
          <w:tcPr>
            <w:tcW w:w="935" w:type="dxa"/>
            <w:tcBorders>
              <w:top w:val="nil"/>
              <w:left w:val="single" w:sz="4" w:space="0" w:color="auto"/>
              <w:bottom w:val="nil"/>
              <w:right w:val="single" w:sz="4" w:space="0" w:color="auto"/>
            </w:tcBorders>
          </w:tcPr>
          <w:p w:rsidR="00000000" w:rsidRDefault="00000000">
            <w:pPr>
              <w:pStyle w:val="16"/>
              <w:tabs>
                <w:tab w:val="clear" w:pos="567"/>
              </w:tabs>
              <w:spacing w:line="240" w:lineRule="auto"/>
              <w:ind w:left="-295" w:right="194"/>
              <w:jc w:val="right"/>
              <w:rPr>
                <w:sz w:val="20"/>
              </w:rPr>
            </w:pPr>
          </w:p>
          <w:p w:rsidR="00000000" w:rsidRDefault="00000000">
            <w:pPr>
              <w:pStyle w:val="16"/>
              <w:tabs>
                <w:tab w:val="clear" w:pos="567"/>
              </w:tabs>
              <w:spacing w:line="240" w:lineRule="auto"/>
              <w:ind w:left="-295" w:right="194"/>
              <w:jc w:val="right"/>
              <w:rPr>
                <w:sz w:val="20"/>
              </w:rPr>
            </w:pPr>
            <w:r>
              <w:rPr>
                <w:sz w:val="20"/>
              </w:rPr>
              <w:t>55,8</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69,4</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78,1</w:t>
            </w:r>
          </w:p>
        </w:tc>
        <w:tc>
          <w:tcPr>
            <w:tcW w:w="917"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90,1</w:t>
            </w:r>
          </w:p>
        </w:tc>
        <w:tc>
          <w:tcPr>
            <w:tcW w:w="766"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97,3</w:t>
            </w:r>
          </w:p>
        </w:tc>
        <w:tc>
          <w:tcPr>
            <w:tcW w:w="861" w:type="dxa"/>
            <w:tcBorders>
              <w:top w:val="nil"/>
              <w:left w:val="single" w:sz="4" w:space="0" w:color="auto"/>
              <w:bottom w:val="nil"/>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107,5</w:t>
            </w:r>
          </w:p>
        </w:tc>
      </w:tr>
      <w:tr w:rsidR="00000000">
        <w:tblPrEx>
          <w:tblCellMar>
            <w:top w:w="0" w:type="dxa"/>
            <w:bottom w:w="0" w:type="dxa"/>
          </w:tblCellMar>
        </w:tblPrEx>
        <w:tc>
          <w:tcPr>
            <w:tcW w:w="4222" w:type="dxa"/>
            <w:tcBorders>
              <w:top w:val="nil"/>
              <w:right w:val="single" w:sz="4" w:space="0" w:color="auto"/>
            </w:tcBorders>
          </w:tcPr>
          <w:p w:rsidR="00000000" w:rsidRDefault="00000000">
            <w:pPr>
              <w:spacing w:line="240" w:lineRule="auto"/>
              <w:rPr>
                <w:sz w:val="20"/>
              </w:rPr>
            </w:pPr>
            <w:r>
              <w:rPr>
                <w:sz w:val="20"/>
              </w:rPr>
              <w:t>Соотношение общего размера расходов и ВНП (%)</w:t>
            </w:r>
          </w:p>
        </w:tc>
        <w:tc>
          <w:tcPr>
            <w:tcW w:w="935" w:type="dxa"/>
            <w:tcBorders>
              <w:top w:val="nil"/>
              <w:left w:val="single" w:sz="4" w:space="0" w:color="auto"/>
              <w:right w:val="single" w:sz="4" w:space="0" w:color="auto"/>
            </w:tcBorders>
          </w:tcPr>
          <w:p w:rsidR="00000000" w:rsidRDefault="00000000">
            <w:pPr>
              <w:pStyle w:val="16"/>
              <w:tabs>
                <w:tab w:val="clear" w:pos="567"/>
              </w:tabs>
              <w:spacing w:line="240" w:lineRule="auto"/>
              <w:ind w:left="-295" w:right="194"/>
              <w:jc w:val="right"/>
              <w:rPr>
                <w:sz w:val="20"/>
              </w:rPr>
            </w:pPr>
          </w:p>
          <w:p w:rsidR="00000000" w:rsidRDefault="00000000">
            <w:pPr>
              <w:pStyle w:val="16"/>
              <w:tabs>
                <w:tab w:val="clear" w:pos="567"/>
              </w:tabs>
              <w:spacing w:line="240" w:lineRule="auto"/>
              <w:ind w:left="-295" w:right="194"/>
              <w:jc w:val="right"/>
              <w:rPr>
                <w:sz w:val="20"/>
              </w:rPr>
            </w:pPr>
            <w:r>
              <w:rPr>
                <w:sz w:val="20"/>
              </w:rPr>
              <w:t>7,3</w:t>
            </w:r>
          </w:p>
        </w:tc>
        <w:tc>
          <w:tcPr>
            <w:tcW w:w="935" w:type="dxa"/>
            <w:tcBorders>
              <w:top w:val="nil"/>
              <w:left w:val="single" w:sz="4" w:space="0" w:color="auto"/>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7,6</w:t>
            </w:r>
          </w:p>
        </w:tc>
        <w:tc>
          <w:tcPr>
            <w:tcW w:w="935" w:type="dxa"/>
            <w:tcBorders>
              <w:top w:val="nil"/>
              <w:left w:val="single" w:sz="4" w:space="0" w:color="auto"/>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7,4</w:t>
            </w:r>
          </w:p>
        </w:tc>
        <w:tc>
          <w:tcPr>
            <w:tcW w:w="917" w:type="dxa"/>
            <w:tcBorders>
              <w:top w:val="nil"/>
              <w:left w:val="single" w:sz="4" w:space="0" w:color="auto"/>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7,1</w:t>
            </w:r>
          </w:p>
        </w:tc>
        <w:tc>
          <w:tcPr>
            <w:tcW w:w="766" w:type="dxa"/>
            <w:tcBorders>
              <w:top w:val="nil"/>
              <w:left w:val="single" w:sz="4" w:space="0" w:color="auto"/>
              <w:righ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7,2</w:t>
            </w:r>
          </w:p>
        </w:tc>
        <w:tc>
          <w:tcPr>
            <w:tcW w:w="861" w:type="dxa"/>
            <w:tcBorders>
              <w:top w:val="nil"/>
              <w:left w:val="single" w:sz="4" w:space="0" w:color="auto"/>
            </w:tcBorders>
          </w:tcPr>
          <w:p w:rsidR="00000000" w:rsidRDefault="00000000">
            <w:pPr>
              <w:tabs>
                <w:tab w:val="clear" w:pos="567"/>
              </w:tabs>
              <w:spacing w:line="240" w:lineRule="auto"/>
              <w:ind w:left="-295" w:right="194"/>
              <w:jc w:val="right"/>
              <w:rPr>
                <w:sz w:val="20"/>
              </w:rPr>
            </w:pPr>
          </w:p>
          <w:p w:rsidR="00000000" w:rsidRDefault="00000000">
            <w:pPr>
              <w:tabs>
                <w:tab w:val="clear" w:pos="567"/>
              </w:tabs>
              <w:spacing w:line="240" w:lineRule="auto"/>
              <w:ind w:left="-295" w:right="194"/>
              <w:jc w:val="right"/>
              <w:rPr>
                <w:sz w:val="20"/>
              </w:rPr>
            </w:pPr>
            <w:r>
              <w:rPr>
                <w:sz w:val="20"/>
              </w:rPr>
              <w:t>7,3</w:t>
            </w:r>
          </w:p>
        </w:tc>
      </w:tr>
    </w:tbl>
    <w:p w:rsidR="00000000" w:rsidRDefault="00000000">
      <w:pPr>
        <w:pStyle w:val="FootnoteText"/>
      </w:pPr>
    </w:p>
    <w:p w:rsidR="00000000" w:rsidRDefault="00000000">
      <w:pPr>
        <w:spacing w:line="240" w:lineRule="auto"/>
      </w:pPr>
      <w:r>
        <w:tab/>
      </w:r>
      <w:r>
        <w:rPr>
          <w:u w:val="single"/>
        </w:rPr>
        <w:t>Источник</w:t>
      </w:r>
      <w:r>
        <w:t>:  Министерство финансов Чешской Республики</w:t>
      </w:r>
    </w:p>
    <w:p w:rsidR="00000000" w:rsidRDefault="00000000">
      <w:pPr>
        <w:spacing w:line="240" w:lineRule="auto"/>
      </w:pPr>
    </w:p>
    <w:p w:rsidR="00000000" w:rsidRDefault="00000000">
      <w:pPr>
        <w:spacing w:line="240" w:lineRule="auto"/>
      </w:pPr>
      <w:r>
        <w:tab/>
      </w:r>
      <w:r>
        <w:rPr>
          <w:b/>
          <w:bCs/>
          <w:vertAlign w:val="superscript"/>
        </w:rPr>
        <w:t>а</w:t>
      </w:r>
      <w:r>
        <w:rPr>
          <w:b/>
          <w:bCs/>
          <w:vertAlign w:val="superscript"/>
        </w:rPr>
        <w:tab/>
      </w:r>
      <w:r>
        <w:t>Прямые расходы из государственного бюджета, чистые выплаты из государственного бюджета компаниям медицинского страхования и в бюджеты других государственных структур + расходы из местных бюджетов + расходы в системе компаний медицинского страхования + погашение задолженностей, причитающихся медицинским учреждениям + производимые гражданами платежи наличными (параллельные платежи).</w:t>
      </w:r>
    </w:p>
    <w:p w:rsidR="00000000" w:rsidRDefault="00000000">
      <w:pPr>
        <w:pStyle w:val="FootnoteText"/>
        <w:spacing w:line="288" w:lineRule="auto"/>
      </w:pPr>
    </w:p>
    <w:p w:rsidR="00000000" w:rsidRDefault="00000000">
      <w:pPr>
        <w:pStyle w:val="Heading3"/>
        <w:rPr>
          <w:iCs/>
        </w:rPr>
      </w:pPr>
      <w:r>
        <w:rPr>
          <w:iCs/>
        </w:rPr>
        <w:t>Защита психического здоровья в областях радио- и телевещания и рекламы</w:t>
      </w:r>
    </w:p>
    <w:p w:rsidR="00000000" w:rsidRDefault="00000000">
      <w:pPr>
        <w:rPr>
          <w:b/>
          <w:bCs/>
        </w:rPr>
      </w:pPr>
    </w:p>
    <w:p w:rsidR="00000000" w:rsidRDefault="00000000">
      <w:r>
        <w:t>492.</w:t>
      </w:r>
      <w:r>
        <w:tab/>
        <w:t>Закон о радио- и телевещании</w:t>
      </w:r>
      <w:r>
        <w:rPr>
          <w:rStyle w:val="FootnoteReference"/>
        </w:rPr>
        <w:footnoteReference w:id="301"/>
      </w:r>
      <w:r>
        <w:t xml:space="preserve"> в статье 5 возлагает на вещательные компании обязанность не передавать с 6 час. 00 мин. до 22 час. 00 мин. программы, которые могут создавать угрозу для психологического или морального развития детей и подростков.  В статье 4 Закона предусматривается обязанность вещательных компаний передавать объективную и сбалансированную информацию, необходимую для свободного формирования мнений.  Статья 5 возлагает на вещательные компании обязанность обеспечивать, чтобы в передаваемых ими программах не содержались элементы, влияющие на подсознание.  Статьи 6-8 Закона определяют обязанности, касающиеся рекламы и программ, подготавливаемых при участии спонсоров:</w:t>
      </w:r>
    </w:p>
    <w:p w:rsidR="00000000" w:rsidRDefault="00000000"/>
    <w:p w:rsidR="00000000" w:rsidRDefault="00000000">
      <w:r>
        <w:tab/>
        <w:t>а)</w:t>
      </w:r>
      <w:r>
        <w:tab/>
        <w:t>вещательные компании должны обеспечивать, чтобы передаваемая реклама не содержала материалов, пропагандирующих поведение, которое ставит под угрозу нормы нравственности, интересы потребителей или интересы защиты здоровья, психического здоровья или нравственности.  Запрещается передача рекламных материалов, которые предназначены для детей или в которых участвуют дети, если такие материалы пропагандируют поведение, которое ставит под угрозу физическое, психическое или моральное развитие;</w:t>
      </w:r>
    </w:p>
    <w:p w:rsidR="00000000" w:rsidRDefault="00000000"/>
    <w:p w:rsidR="00000000" w:rsidRDefault="00000000">
      <w:r>
        <w:tab/>
      </w:r>
      <w:r>
        <w:rPr>
          <w:lang w:val="en-US"/>
        </w:rPr>
        <w:t>b</w:t>
      </w:r>
      <w:r>
        <w:t>)</w:t>
      </w:r>
      <w:r>
        <w:tab/>
        <w:t>рекламные материалы должны быть отличимыми от других программ и четко отделяться от них;</w:t>
      </w:r>
    </w:p>
    <w:p w:rsidR="00000000" w:rsidRDefault="00000000"/>
    <w:p w:rsidR="00000000" w:rsidRDefault="00000000">
      <w:r>
        <w:tab/>
        <w:t>с)</w:t>
      </w:r>
      <w:r>
        <w:tab/>
        <w:t xml:space="preserve">вещательные компании должны обеспечивать, чтобы сторона, размещающая рекламу, никоим образом не оказывала влияния на содержание или структуру программ.  Законом четко определяется продолжительность рекламных материалов и порядок их размещения в программах. </w:t>
      </w:r>
    </w:p>
    <w:p w:rsidR="00000000" w:rsidRDefault="00000000"/>
    <w:p w:rsidR="00000000" w:rsidRDefault="00000000">
      <w:r>
        <w:t>493.</w:t>
      </w:r>
      <w:r>
        <w:tab/>
        <w:t>Закон о регулировании рекламы</w:t>
      </w:r>
      <w:r>
        <w:rPr>
          <w:rStyle w:val="FootnoteReference"/>
        </w:rPr>
        <w:footnoteReference w:id="302"/>
      </w:r>
      <w:r>
        <w:t xml:space="preserve"> запрещает рекламу, основанную на воздействии на подсознание, рекламу медикаментов и медицинского оборудования, которые не зарегистрированы или не разрешены к применению в Чешской Республике или отпускаются по рецепту врача, а также рекламу медикаментов, содержащих наркотические, психотропные и другие вызывающие наркотическую зависимость вещества;  реклама не может также содержать данных, ведущих к ошибочной оценке человеком состояния своего здоровья, и т.д.</w:t>
      </w:r>
    </w:p>
    <w:p w:rsidR="00000000" w:rsidRDefault="00000000"/>
    <w:p w:rsidR="00000000" w:rsidRDefault="00000000">
      <w:r>
        <w:t>494.</w:t>
      </w:r>
      <w:r>
        <w:tab/>
        <w:t>Закон о регулировании рекламы содержит отдельные положения о рекламе табачных изделий.  Согласно статье 3 этого Закона реклама табачных изделий не может быть нацелена на подростков и не может содержать призывы к курению.  Кроме того, реклама должна содержать четкий текст с предупреждением о последствиях курения для здоровья.  Реклама табачных изделий не может передаваться по телевидению и радио в период с 6 час. 00 мин. до 22 час. 00 мин.  Статья 4 Закона о регулировании рекламы также ограничивает рекламу алкогольных напитков:  она не может быть нацелена на несовершеннолетних лиц и не может содержать призывы к неумеренному или иным образом вредному употреблению алкогольных напитков.</w:t>
      </w:r>
    </w:p>
    <w:p w:rsidR="00000000" w:rsidRDefault="00000000"/>
    <w:p w:rsidR="00000000" w:rsidRDefault="00000000">
      <w:r>
        <w:rPr>
          <w:b/>
          <w:bCs/>
        </w:rPr>
        <w:t>Пункт 2 а)</w:t>
      </w:r>
    </w:p>
    <w:p w:rsidR="00000000" w:rsidRDefault="00000000"/>
    <w:p w:rsidR="00000000" w:rsidRDefault="00000000">
      <w:r>
        <w:t>495.</w:t>
      </w:r>
      <w:r>
        <w:tab/>
        <w:t>Негативные демографические тенденции в Чешской Республике проявляются в сокращении рождаемости (живорождений).  В 1996 году количество смертей превысило количество рождений, и естественное сокращение численности населения не компенсируется за счет иммиграции.  Позитивным признаком является сокращение детской и младенческой смертности:  в 1998 году показатель такой смертности был в два раза меньше, чем в 1992 году.  Еще одним позитивным элементом является продолжающееся сокращение числа искусственных абортов, хотя, возможно, такое сокращение связано со снижением рождаемости и зафиксированных беременностей (см. ниже).</w:t>
      </w:r>
    </w:p>
    <w:p w:rsidR="00000000" w:rsidRDefault="00000000">
      <w:pPr>
        <w:spacing w:line="240" w:lineRule="auto"/>
      </w:pPr>
    </w:p>
    <w:p w:rsidR="00000000" w:rsidRDefault="00000000">
      <w:pPr>
        <w:pStyle w:val="Heading1"/>
        <w:spacing w:line="240" w:lineRule="auto"/>
        <w:jc w:val="center"/>
        <w:rPr>
          <w:bCs/>
        </w:rPr>
      </w:pPr>
      <w:r>
        <w:rPr>
          <w:bCs/>
        </w:rPr>
        <w:t>Рождения</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2"/>
        <w:gridCol w:w="1474"/>
        <w:gridCol w:w="1795"/>
        <w:gridCol w:w="1996"/>
        <w:gridCol w:w="1463"/>
        <w:gridCol w:w="1550"/>
      </w:tblGrid>
      <w:tr w:rsidR="00000000">
        <w:tblPrEx>
          <w:tblCellMar>
            <w:top w:w="0" w:type="dxa"/>
            <w:bottom w:w="0" w:type="dxa"/>
          </w:tblCellMar>
        </w:tblPrEx>
        <w:trPr>
          <w:cantSplit/>
        </w:trPr>
        <w:tc>
          <w:tcPr>
            <w:tcW w:w="1595" w:type="dxa"/>
            <w:tcBorders>
              <w:left w:val="single" w:sz="4" w:space="0" w:color="auto"/>
              <w:bottom w:val="single" w:sz="4" w:space="0" w:color="auto"/>
              <w:right w:val="single" w:sz="4" w:space="0" w:color="auto"/>
            </w:tcBorders>
            <w:vAlign w:val="center"/>
          </w:tcPr>
          <w:p w:rsidR="00000000" w:rsidRDefault="00000000">
            <w:pPr>
              <w:spacing w:line="216" w:lineRule="auto"/>
              <w:jc w:val="center"/>
            </w:pPr>
            <w:r>
              <w:t>Год</w:t>
            </w:r>
          </w:p>
        </w:tc>
        <w:tc>
          <w:tcPr>
            <w:tcW w:w="1595" w:type="dxa"/>
            <w:tcBorders>
              <w:left w:val="single" w:sz="4" w:space="0" w:color="auto"/>
              <w:bottom w:val="single" w:sz="4" w:space="0" w:color="auto"/>
              <w:right w:val="single" w:sz="4" w:space="0" w:color="auto"/>
            </w:tcBorders>
            <w:vAlign w:val="center"/>
          </w:tcPr>
          <w:p w:rsidR="00000000" w:rsidRDefault="00000000">
            <w:pPr>
              <w:spacing w:line="216" w:lineRule="auto"/>
              <w:jc w:val="center"/>
            </w:pPr>
            <w:r>
              <w:t>Общее число рождений</w:t>
            </w:r>
          </w:p>
        </w:tc>
        <w:tc>
          <w:tcPr>
            <w:tcW w:w="3190" w:type="dxa"/>
            <w:gridSpan w:val="2"/>
            <w:tcBorders>
              <w:left w:val="single" w:sz="4" w:space="0" w:color="auto"/>
              <w:bottom w:val="single" w:sz="4" w:space="0" w:color="auto"/>
              <w:right w:val="single" w:sz="4" w:space="0" w:color="auto"/>
            </w:tcBorders>
            <w:vAlign w:val="center"/>
          </w:tcPr>
          <w:p w:rsidR="00000000" w:rsidRDefault="00000000">
            <w:pPr>
              <w:spacing w:line="216" w:lineRule="auto"/>
              <w:jc w:val="center"/>
            </w:pPr>
            <w:r>
              <w:t>Рождения</w:t>
            </w:r>
          </w:p>
        </w:tc>
        <w:tc>
          <w:tcPr>
            <w:tcW w:w="3191" w:type="dxa"/>
            <w:gridSpan w:val="2"/>
            <w:tcBorders>
              <w:left w:val="single" w:sz="4" w:space="0" w:color="auto"/>
              <w:bottom w:val="single" w:sz="4" w:space="0" w:color="auto"/>
              <w:right w:val="single" w:sz="4" w:space="0" w:color="auto"/>
            </w:tcBorders>
            <w:vAlign w:val="center"/>
          </w:tcPr>
          <w:p w:rsidR="00000000" w:rsidRDefault="00000000">
            <w:pPr>
              <w:pStyle w:val="16"/>
              <w:spacing w:line="216" w:lineRule="auto"/>
            </w:pPr>
            <w:r>
              <w:t>Рождения</w:t>
            </w:r>
          </w:p>
        </w:tc>
      </w:tr>
      <w:tr w:rsidR="00000000">
        <w:tblPrEx>
          <w:tblCellMar>
            <w:top w:w="0" w:type="dxa"/>
            <w:bottom w:w="0" w:type="dxa"/>
          </w:tblCellMar>
        </w:tblPrEx>
        <w:tc>
          <w:tcPr>
            <w:tcW w:w="1595" w:type="dxa"/>
            <w:tcBorders>
              <w:left w:val="single" w:sz="4" w:space="0" w:color="auto"/>
              <w:bottom w:val="nil"/>
              <w:right w:val="single" w:sz="4" w:space="0" w:color="auto"/>
            </w:tcBorders>
          </w:tcPr>
          <w:p w:rsidR="00000000" w:rsidRDefault="00000000">
            <w:pPr>
              <w:pStyle w:val="16"/>
              <w:spacing w:line="240" w:lineRule="auto"/>
            </w:pPr>
          </w:p>
        </w:tc>
        <w:tc>
          <w:tcPr>
            <w:tcW w:w="1595" w:type="dxa"/>
            <w:tcBorders>
              <w:left w:val="single" w:sz="4" w:space="0" w:color="auto"/>
              <w:bottom w:val="nil"/>
              <w:right w:val="single" w:sz="4" w:space="0" w:color="auto"/>
            </w:tcBorders>
          </w:tcPr>
          <w:p w:rsidR="00000000" w:rsidRDefault="00000000">
            <w:pPr>
              <w:spacing w:line="240" w:lineRule="auto"/>
              <w:jc w:val="center"/>
            </w:pPr>
          </w:p>
        </w:tc>
        <w:tc>
          <w:tcPr>
            <w:tcW w:w="1595" w:type="dxa"/>
            <w:tcBorders>
              <w:left w:val="single" w:sz="4" w:space="0" w:color="auto"/>
              <w:bottom w:val="single" w:sz="4" w:space="0" w:color="auto"/>
              <w:right w:val="single" w:sz="4" w:space="0" w:color="auto"/>
            </w:tcBorders>
          </w:tcPr>
          <w:p w:rsidR="00000000" w:rsidRDefault="00000000">
            <w:pPr>
              <w:spacing w:line="240" w:lineRule="auto"/>
              <w:jc w:val="center"/>
            </w:pPr>
            <w:r>
              <w:t>Живорождения</w:t>
            </w:r>
          </w:p>
        </w:tc>
        <w:tc>
          <w:tcPr>
            <w:tcW w:w="1595" w:type="dxa"/>
            <w:tcBorders>
              <w:left w:val="single" w:sz="4" w:space="0" w:color="auto"/>
              <w:bottom w:val="single" w:sz="4" w:space="0" w:color="auto"/>
              <w:right w:val="single" w:sz="4" w:space="0" w:color="auto"/>
            </w:tcBorders>
          </w:tcPr>
          <w:p w:rsidR="00000000" w:rsidRDefault="00000000">
            <w:pPr>
              <w:spacing w:line="240" w:lineRule="auto"/>
              <w:jc w:val="center"/>
            </w:pPr>
            <w:r>
              <w:t>Мертворождения</w:t>
            </w:r>
          </w:p>
        </w:tc>
        <w:tc>
          <w:tcPr>
            <w:tcW w:w="1595" w:type="dxa"/>
            <w:tcBorders>
              <w:left w:val="single" w:sz="4" w:space="0" w:color="auto"/>
              <w:bottom w:val="single" w:sz="4" w:space="0" w:color="auto"/>
              <w:right w:val="single" w:sz="4" w:space="0" w:color="auto"/>
            </w:tcBorders>
          </w:tcPr>
          <w:p w:rsidR="00000000" w:rsidRDefault="00000000">
            <w:pPr>
              <w:spacing w:line="240" w:lineRule="auto"/>
              <w:jc w:val="center"/>
            </w:pPr>
            <w:r>
              <w:t>Законные</w:t>
            </w:r>
          </w:p>
        </w:tc>
        <w:tc>
          <w:tcPr>
            <w:tcW w:w="1596" w:type="dxa"/>
            <w:tcBorders>
              <w:left w:val="single" w:sz="4" w:space="0" w:color="auto"/>
              <w:bottom w:val="single" w:sz="4" w:space="0" w:color="auto"/>
              <w:right w:val="single" w:sz="4" w:space="0" w:color="auto"/>
            </w:tcBorders>
          </w:tcPr>
          <w:p w:rsidR="00000000" w:rsidRDefault="00000000">
            <w:pPr>
              <w:spacing w:line="240" w:lineRule="auto"/>
              <w:jc w:val="center"/>
            </w:pPr>
            <w:r>
              <w:t>Незаконные</w:t>
            </w:r>
          </w:p>
        </w:tc>
      </w:tr>
      <w:tr w:rsidR="00000000">
        <w:tblPrEx>
          <w:tblCellMar>
            <w:top w:w="0" w:type="dxa"/>
            <w:bottom w:w="0" w:type="dxa"/>
          </w:tblCellMar>
        </w:tblPrEx>
        <w:tc>
          <w:tcPr>
            <w:tcW w:w="1595" w:type="dxa"/>
            <w:tcBorders>
              <w:top w:val="nil"/>
              <w:left w:val="single" w:sz="4" w:space="0" w:color="auto"/>
              <w:bottom w:val="nil"/>
              <w:right w:val="single" w:sz="4" w:space="0" w:color="auto"/>
            </w:tcBorders>
          </w:tcPr>
          <w:p w:rsidR="00000000" w:rsidRDefault="00000000">
            <w:pPr>
              <w:spacing w:line="240" w:lineRule="auto"/>
              <w:jc w:val="center"/>
            </w:pPr>
            <w:r>
              <w:t>1994</w:t>
            </w:r>
          </w:p>
        </w:tc>
        <w:tc>
          <w:tcPr>
            <w:tcW w:w="1595" w:type="dxa"/>
            <w:tcBorders>
              <w:top w:val="nil"/>
              <w:left w:val="single" w:sz="4" w:space="0" w:color="auto"/>
              <w:bottom w:val="nil"/>
              <w:right w:val="single" w:sz="4" w:space="0" w:color="auto"/>
            </w:tcBorders>
          </w:tcPr>
          <w:p w:rsidR="00000000" w:rsidRDefault="00000000">
            <w:pPr>
              <w:tabs>
                <w:tab w:val="clear" w:pos="1134"/>
              </w:tabs>
              <w:spacing w:line="240" w:lineRule="auto"/>
              <w:ind w:right="306"/>
              <w:jc w:val="right"/>
            </w:pPr>
            <w:r>
              <w:t>106 915</w:t>
            </w:r>
          </w:p>
        </w:tc>
        <w:tc>
          <w:tcPr>
            <w:tcW w:w="1595" w:type="dxa"/>
            <w:tcBorders>
              <w:top w:val="single" w:sz="4" w:space="0" w:color="auto"/>
              <w:left w:val="single" w:sz="4" w:space="0" w:color="auto"/>
              <w:bottom w:val="nil"/>
              <w:right w:val="single" w:sz="4" w:space="0" w:color="auto"/>
            </w:tcBorders>
          </w:tcPr>
          <w:p w:rsidR="00000000" w:rsidRDefault="00000000">
            <w:pPr>
              <w:tabs>
                <w:tab w:val="clear" w:pos="1134"/>
              </w:tabs>
              <w:spacing w:line="240" w:lineRule="auto"/>
              <w:ind w:right="418"/>
              <w:jc w:val="right"/>
            </w:pPr>
            <w:r>
              <w:t>106 579</w:t>
            </w:r>
          </w:p>
        </w:tc>
        <w:tc>
          <w:tcPr>
            <w:tcW w:w="1595" w:type="dxa"/>
            <w:tcBorders>
              <w:top w:val="single" w:sz="4" w:space="0" w:color="auto"/>
              <w:left w:val="single" w:sz="4" w:space="0" w:color="auto"/>
              <w:bottom w:val="nil"/>
              <w:right w:val="single" w:sz="4" w:space="0" w:color="auto"/>
            </w:tcBorders>
          </w:tcPr>
          <w:p w:rsidR="00000000" w:rsidRDefault="00000000">
            <w:pPr>
              <w:tabs>
                <w:tab w:val="clear" w:pos="1134"/>
              </w:tabs>
              <w:spacing w:line="240" w:lineRule="auto"/>
              <w:ind w:right="731"/>
              <w:jc w:val="right"/>
            </w:pPr>
            <w:r>
              <w:t>336</w:t>
            </w:r>
          </w:p>
        </w:tc>
        <w:tc>
          <w:tcPr>
            <w:tcW w:w="1595" w:type="dxa"/>
            <w:tcBorders>
              <w:top w:val="single" w:sz="4" w:space="0" w:color="auto"/>
              <w:left w:val="single" w:sz="4" w:space="0" w:color="auto"/>
              <w:bottom w:val="nil"/>
              <w:right w:val="single" w:sz="4" w:space="0" w:color="auto"/>
            </w:tcBorders>
          </w:tcPr>
          <w:p w:rsidR="00000000" w:rsidRDefault="00000000">
            <w:pPr>
              <w:tabs>
                <w:tab w:val="clear" w:pos="1134"/>
              </w:tabs>
              <w:spacing w:line="240" w:lineRule="auto"/>
              <w:ind w:right="306"/>
              <w:jc w:val="right"/>
            </w:pPr>
            <w:r>
              <w:t>91 345</w:t>
            </w:r>
          </w:p>
        </w:tc>
        <w:tc>
          <w:tcPr>
            <w:tcW w:w="1596" w:type="dxa"/>
            <w:tcBorders>
              <w:top w:val="single" w:sz="4" w:space="0" w:color="auto"/>
              <w:left w:val="single" w:sz="4" w:space="0" w:color="auto"/>
              <w:bottom w:val="nil"/>
              <w:right w:val="single" w:sz="4" w:space="0" w:color="auto"/>
            </w:tcBorders>
          </w:tcPr>
          <w:p w:rsidR="00000000" w:rsidRDefault="00000000">
            <w:pPr>
              <w:tabs>
                <w:tab w:val="clear" w:pos="1134"/>
              </w:tabs>
              <w:spacing w:line="240" w:lineRule="auto"/>
              <w:ind w:right="306"/>
              <w:jc w:val="right"/>
            </w:pPr>
            <w:r>
              <w:t>15 570</w:t>
            </w:r>
          </w:p>
        </w:tc>
      </w:tr>
      <w:tr w:rsidR="00000000">
        <w:tblPrEx>
          <w:tblCellMar>
            <w:top w:w="0" w:type="dxa"/>
            <w:bottom w:w="0" w:type="dxa"/>
          </w:tblCellMar>
        </w:tblPrEx>
        <w:tc>
          <w:tcPr>
            <w:tcW w:w="1595" w:type="dxa"/>
            <w:tcBorders>
              <w:top w:val="nil"/>
              <w:left w:val="single" w:sz="4" w:space="0" w:color="auto"/>
              <w:bottom w:val="nil"/>
              <w:right w:val="single" w:sz="4" w:space="0" w:color="auto"/>
            </w:tcBorders>
          </w:tcPr>
          <w:p w:rsidR="00000000" w:rsidRDefault="00000000">
            <w:pPr>
              <w:spacing w:line="240" w:lineRule="auto"/>
              <w:jc w:val="center"/>
            </w:pPr>
            <w:r>
              <w:t>1995</w:t>
            </w:r>
          </w:p>
        </w:tc>
        <w:tc>
          <w:tcPr>
            <w:tcW w:w="1595" w:type="dxa"/>
            <w:tcBorders>
              <w:top w:val="nil"/>
              <w:left w:val="single" w:sz="4" w:space="0" w:color="auto"/>
              <w:bottom w:val="nil"/>
              <w:right w:val="single" w:sz="4" w:space="0" w:color="auto"/>
            </w:tcBorders>
          </w:tcPr>
          <w:p w:rsidR="00000000" w:rsidRDefault="00000000">
            <w:pPr>
              <w:tabs>
                <w:tab w:val="clear" w:pos="1134"/>
              </w:tabs>
              <w:spacing w:line="240" w:lineRule="auto"/>
              <w:ind w:right="306"/>
              <w:jc w:val="right"/>
            </w:pPr>
            <w:r>
              <w:t>96 397</w:t>
            </w:r>
          </w:p>
        </w:tc>
        <w:tc>
          <w:tcPr>
            <w:tcW w:w="1595" w:type="dxa"/>
            <w:tcBorders>
              <w:top w:val="nil"/>
              <w:left w:val="single" w:sz="4" w:space="0" w:color="auto"/>
              <w:bottom w:val="nil"/>
              <w:right w:val="single" w:sz="4" w:space="0" w:color="auto"/>
            </w:tcBorders>
          </w:tcPr>
          <w:p w:rsidR="00000000" w:rsidRDefault="00000000">
            <w:pPr>
              <w:tabs>
                <w:tab w:val="clear" w:pos="1134"/>
              </w:tabs>
              <w:spacing w:line="240" w:lineRule="auto"/>
              <w:ind w:right="418"/>
              <w:jc w:val="right"/>
            </w:pPr>
            <w:r>
              <w:t>96 097</w:t>
            </w:r>
          </w:p>
        </w:tc>
        <w:tc>
          <w:tcPr>
            <w:tcW w:w="1595" w:type="dxa"/>
            <w:tcBorders>
              <w:top w:val="nil"/>
              <w:left w:val="single" w:sz="4" w:space="0" w:color="auto"/>
              <w:bottom w:val="nil"/>
              <w:right w:val="single" w:sz="4" w:space="0" w:color="auto"/>
            </w:tcBorders>
          </w:tcPr>
          <w:p w:rsidR="00000000" w:rsidRDefault="00000000">
            <w:pPr>
              <w:tabs>
                <w:tab w:val="clear" w:pos="1134"/>
              </w:tabs>
              <w:spacing w:line="240" w:lineRule="auto"/>
              <w:ind w:right="731"/>
              <w:jc w:val="right"/>
            </w:pPr>
            <w:r>
              <w:t>300</w:t>
            </w:r>
          </w:p>
        </w:tc>
        <w:tc>
          <w:tcPr>
            <w:tcW w:w="1595" w:type="dxa"/>
            <w:tcBorders>
              <w:top w:val="nil"/>
              <w:left w:val="single" w:sz="4" w:space="0" w:color="auto"/>
              <w:bottom w:val="nil"/>
              <w:right w:val="single" w:sz="4" w:space="0" w:color="auto"/>
            </w:tcBorders>
          </w:tcPr>
          <w:p w:rsidR="00000000" w:rsidRDefault="00000000">
            <w:pPr>
              <w:tabs>
                <w:tab w:val="clear" w:pos="1134"/>
              </w:tabs>
              <w:spacing w:line="240" w:lineRule="auto"/>
              <w:ind w:right="306"/>
              <w:jc w:val="right"/>
            </w:pPr>
            <w:r>
              <w:t>81 384</w:t>
            </w:r>
          </w:p>
        </w:tc>
        <w:tc>
          <w:tcPr>
            <w:tcW w:w="1596" w:type="dxa"/>
            <w:tcBorders>
              <w:top w:val="nil"/>
              <w:left w:val="single" w:sz="4" w:space="0" w:color="auto"/>
              <w:bottom w:val="nil"/>
              <w:right w:val="single" w:sz="4" w:space="0" w:color="auto"/>
            </w:tcBorders>
          </w:tcPr>
          <w:p w:rsidR="00000000" w:rsidRDefault="00000000">
            <w:pPr>
              <w:tabs>
                <w:tab w:val="clear" w:pos="1134"/>
              </w:tabs>
              <w:spacing w:line="240" w:lineRule="auto"/>
              <w:ind w:right="306"/>
              <w:jc w:val="right"/>
            </w:pPr>
            <w:r>
              <w:t>15 013</w:t>
            </w:r>
          </w:p>
        </w:tc>
      </w:tr>
      <w:tr w:rsidR="00000000">
        <w:tblPrEx>
          <w:tblCellMar>
            <w:top w:w="0" w:type="dxa"/>
            <w:bottom w:w="0" w:type="dxa"/>
          </w:tblCellMar>
        </w:tblPrEx>
        <w:tc>
          <w:tcPr>
            <w:tcW w:w="1595" w:type="dxa"/>
            <w:tcBorders>
              <w:top w:val="nil"/>
              <w:left w:val="single" w:sz="4" w:space="0" w:color="auto"/>
              <w:bottom w:val="nil"/>
              <w:right w:val="single" w:sz="4" w:space="0" w:color="auto"/>
            </w:tcBorders>
          </w:tcPr>
          <w:p w:rsidR="00000000" w:rsidRDefault="00000000">
            <w:pPr>
              <w:spacing w:line="240" w:lineRule="auto"/>
              <w:jc w:val="center"/>
            </w:pPr>
            <w:r>
              <w:t>1996</w:t>
            </w:r>
          </w:p>
        </w:tc>
        <w:tc>
          <w:tcPr>
            <w:tcW w:w="1595" w:type="dxa"/>
            <w:tcBorders>
              <w:top w:val="nil"/>
              <w:left w:val="single" w:sz="4" w:space="0" w:color="auto"/>
              <w:bottom w:val="nil"/>
              <w:right w:val="single" w:sz="4" w:space="0" w:color="auto"/>
            </w:tcBorders>
          </w:tcPr>
          <w:p w:rsidR="00000000" w:rsidRDefault="00000000">
            <w:pPr>
              <w:pStyle w:val="16"/>
              <w:tabs>
                <w:tab w:val="clear" w:pos="1134"/>
              </w:tabs>
              <w:spacing w:line="240" w:lineRule="auto"/>
              <w:ind w:right="306"/>
              <w:jc w:val="right"/>
            </w:pPr>
            <w:r>
              <w:t>90 763</w:t>
            </w:r>
          </w:p>
        </w:tc>
        <w:tc>
          <w:tcPr>
            <w:tcW w:w="1595" w:type="dxa"/>
            <w:tcBorders>
              <w:top w:val="nil"/>
              <w:left w:val="single" w:sz="4" w:space="0" w:color="auto"/>
              <w:bottom w:val="nil"/>
              <w:right w:val="single" w:sz="4" w:space="0" w:color="auto"/>
            </w:tcBorders>
          </w:tcPr>
          <w:p w:rsidR="00000000" w:rsidRDefault="00000000">
            <w:pPr>
              <w:tabs>
                <w:tab w:val="clear" w:pos="1134"/>
              </w:tabs>
              <w:spacing w:line="240" w:lineRule="auto"/>
              <w:ind w:right="418"/>
              <w:jc w:val="right"/>
            </w:pPr>
            <w:r>
              <w:t>90 446</w:t>
            </w:r>
          </w:p>
        </w:tc>
        <w:tc>
          <w:tcPr>
            <w:tcW w:w="1595" w:type="dxa"/>
            <w:tcBorders>
              <w:top w:val="nil"/>
              <w:left w:val="single" w:sz="4" w:space="0" w:color="auto"/>
              <w:bottom w:val="nil"/>
              <w:right w:val="single" w:sz="4" w:space="0" w:color="auto"/>
            </w:tcBorders>
          </w:tcPr>
          <w:p w:rsidR="00000000" w:rsidRDefault="00000000">
            <w:pPr>
              <w:tabs>
                <w:tab w:val="clear" w:pos="1134"/>
              </w:tabs>
              <w:spacing w:line="240" w:lineRule="auto"/>
              <w:ind w:right="731"/>
              <w:jc w:val="right"/>
            </w:pPr>
            <w:r>
              <w:t>317</w:t>
            </w:r>
          </w:p>
        </w:tc>
        <w:tc>
          <w:tcPr>
            <w:tcW w:w="1595" w:type="dxa"/>
            <w:tcBorders>
              <w:top w:val="nil"/>
              <w:left w:val="single" w:sz="4" w:space="0" w:color="auto"/>
              <w:bottom w:val="nil"/>
              <w:right w:val="single" w:sz="4" w:space="0" w:color="auto"/>
            </w:tcBorders>
          </w:tcPr>
          <w:p w:rsidR="00000000" w:rsidRDefault="00000000">
            <w:pPr>
              <w:tabs>
                <w:tab w:val="clear" w:pos="1134"/>
              </w:tabs>
              <w:spacing w:line="240" w:lineRule="auto"/>
              <w:ind w:right="306"/>
              <w:jc w:val="right"/>
            </w:pPr>
            <w:r>
              <w:t>75 396</w:t>
            </w:r>
          </w:p>
        </w:tc>
        <w:tc>
          <w:tcPr>
            <w:tcW w:w="1596" w:type="dxa"/>
            <w:tcBorders>
              <w:top w:val="nil"/>
              <w:left w:val="single" w:sz="4" w:space="0" w:color="auto"/>
              <w:bottom w:val="nil"/>
              <w:right w:val="single" w:sz="4" w:space="0" w:color="auto"/>
            </w:tcBorders>
          </w:tcPr>
          <w:p w:rsidR="00000000" w:rsidRDefault="00000000">
            <w:pPr>
              <w:tabs>
                <w:tab w:val="clear" w:pos="1134"/>
              </w:tabs>
              <w:spacing w:line="240" w:lineRule="auto"/>
              <w:ind w:right="306"/>
              <w:jc w:val="right"/>
            </w:pPr>
            <w:r>
              <w:t>15 367</w:t>
            </w:r>
          </w:p>
        </w:tc>
      </w:tr>
      <w:tr w:rsidR="00000000">
        <w:tblPrEx>
          <w:tblCellMar>
            <w:top w:w="0" w:type="dxa"/>
            <w:bottom w:w="0" w:type="dxa"/>
          </w:tblCellMar>
        </w:tblPrEx>
        <w:tc>
          <w:tcPr>
            <w:tcW w:w="1595" w:type="dxa"/>
            <w:tcBorders>
              <w:top w:val="nil"/>
              <w:left w:val="single" w:sz="4" w:space="0" w:color="auto"/>
              <w:bottom w:val="nil"/>
              <w:right w:val="single" w:sz="4" w:space="0" w:color="auto"/>
            </w:tcBorders>
          </w:tcPr>
          <w:p w:rsidR="00000000" w:rsidRDefault="00000000">
            <w:pPr>
              <w:spacing w:line="240" w:lineRule="auto"/>
              <w:jc w:val="center"/>
            </w:pPr>
            <w:r>
              <w:t>1997</w:t>
            </w:r>
          </w:p>
        </w:tc>
        <w:tc>
          <w:tcPr>
            <w:tcW w:w="1595" w:type="dxa"/>
            <w:tcBorders>
              <w:top w:val="nil"/>
              <w:left w:val="single" w:sz="4" w:space="0" w:color="auto"/>
              <w:bottom w:val="nil"/>
              <w:right w:val="single" w:sz="4" w:space="0" w:color="auto"/>
            </w:tcBorders>
          </w:tcPr>
          <w:p w:rsidR="00000000" w:rsidRDefault="00000000">
            <w:pPr>
              <w:tabs>
                <w:tab w:val="clear" w:pos="1134"/>
              </w:tabs>
              <w:spacing w:line="240" w:lineRule="auto"/>
              <w:ind w:right="306"/>
              <w:jc w:val="right"/>
            </w:pPr>
            <w:r>
              <w:t>90 930</w:t>
            </w:r>
          </w:p>
        </w:tc>
        <w:tc>
          <w:tcPr>
            <w:tcW w:w="1595" w:type="dxa"/>
            <w:tcBorders>
              <w:top w:val="nil"/>
              <w:left w:val="single" w:sz="4" w:space="0" w:color="auto"/>
              <w:bottom w:val="nil"/>
              <w:right w:val="single" w:sz="4" w:space="0" w:color="auto"/>
            </w:tcBorders>
          </w:tcPr>
          <w:p w:rsidR="00000000" w:rsidRDefault="00000000">
            <w:pPr>
              <w:tabs>
                <w:tab w:val="clear" w:pos="1134"/>
              </w:tabs>
              <w:spacing w:line="240" w:lineRule="auto"/>
              <w:ind w:right="418"/>
              <w:jc w:val="right"/>
            </w:pPr>
            <w:r>
              <w:t>90 657</w:t>
            </w:r>
          </w:p>
        </w:tc>
        <w:tc>
          <w:tcPr>
            <w:tcW w:w="1595" w:type="dxa"/>
            <w:tcBorders>
              <w:top w:val="nil"/>
              <w:left w:val="single" w:sz="4" w:space="0" w:color="auto"/>
              <w:bottom w:val="nil"/>
              <w:right w:val="single" w:sz="4" w:space="0" w:color="auto"/>
            </w:tcBorders>
          </w:tcPr>
          <w:p w:rsidR="00000000" w:rsidRDefault="00000000">
            <w:pPr>
              <w:tabs>
                <w:tab w:val="clear" w:pos="1134"/>
              </w:tabs>
              <w:spacing w:line="240" w:lineRule="auto"/>
              <w:ind w:right="731"/>
              <w:jc w:val="right"/>
            </w:pPr>
            <w:r>
              <w:t>273</w:t>
            </w:r>
          </w:p>
        </w:tc>
        <w:tc>
          <w:tcPr>
            <w:tcW w:w="1595" w:type="dxa"/>
            <w:tcBorders>
              <w:top w:val="nil"/>
              <w:left w:val="single" w:sz="4" w:space="0" w:color="auto"/>
              <w:bottom w:val="nil"/>
              <w:right w:val="single" w:sz="4" w:space="0" w:color="auto"/>
            </w:tcBorders>
          </w:tcPr>
          <w:p w:rsidR="00000000" w:rsidRDefault="00000000">
            <w:pPr>
              <w:tabs>
                <w:tab w:val="clear" w:pos="1134"/>
              </w:tabs>
              <w:spacing w:line="240" w:lineRule="auto"/>
              <w:ind w:right="306"/>
              <w:jc w:val="right"/>
            </w:pPr>
            <w:r>
              <w:t>74 736</w:t>
            </w:r>
          </w:p>
        </w:tc>
        <w:tc>
          <w:tcPr>
            <w:tcW w:w="1596" w:type="dxa"/>
            <w:tcBorders>
              <w:top w:val="nil"/>
              <w:left w:val="single" w:sz="4" w:space="0" w:color="auto"/>
              <w:bottom w:val="nil"/>
              <w:right w:val="single" w:sz="4" w:space="0" w:color="auto"/>
            </w:tcBorders>
          </w:tcPr>
          <w:p w:rsidR="00000000" w:rsidRDefault="00000000">
            <w:pPr>
              <w:tabs>
                <w:tab w:val="clear" w:pos="1134"/>
              </w:tabs>
              <w:spacing w:line="240" w:lineRule="auto"/>
              <w:ind w:right="306"/>
              <w:jc w:val="right"/>
            </w:pPr>
            <w:r>
              <w:t>16 194</w:t>
            </w:r>
          </w:p>
        </w:tc>
      </w:tr>
      <w:tr w:rsidR="00000000">
        <w:tblPrEx>
          <w:tblCellMar>
            <w:top w:w="0" w:type="dxa"/>
            <w:bottom w:w="0" w:type="dxa"/>
          </w:tblCellMar>
        </w:tblPrEx>
        <w:tc>
          <w:tcPr>
            <w:tcW w:w="1595" w:type="dxa"/>
            <w:tcBorders>
              <w:top w:val="nil"/>
              <w:left w:val="single" w:sz="4" w:space="0" w:color="auto"/>
              <w:right w:val="single" w:sz="4" w:space="0" w:color="auto"/>
            </w:tcBorders>
          </w:tcPr>
          <w:p w:rsidR="00000000" w:rsidRDefault="00000000">
            <w:pPr>
              <w:spacing w:line="240" w:lineRule="auto"/>
              <w:jc w:val="center"/>
            </w:pPr>
            <w:r>
              <w:t>1998</w:t>
            </w:r>
          </w:p>
        </w:tc>
        <w:tc>
          <w:tcPr>
            <w:tcW w:w="1595" w:type="dxa"/>
            <w:tcBorders>
              <w:top w:val="nil"/>
              <w:left w:val="single" w:sz="4" w:space="0" w:color="auto"/>
              <w:right w:val="single" w:sz="4" w:space="0" w:color="auto"/>
            </w:tcBorders>
          </w:tcPr>
          <w:p w:rsidR="00000000" w:rsidRDefault="00000000">
            <w:pPr>
              <w:tabs>
                <w:tab w:val="clear" w:pos="1134"/>
              </w:tabs>
              <w:spacing w:line="240" w:lineRule="auto"/>
              <w:ind w:right="306"/>
              <w:jc w:val="right"/>
            </w:pPr>
            <w:r>
              <w:t>90 829</w:t>
            </w:r>
          </w:p>
        </w:tc>
        <w:tc>
          <w:tcPr>
            <w:tcW w:w="1595" w:type="dxa"/>
            <w:tcBorders>
              <w:top w:val="nil"/>
              <w:left w:val="single" w:sz="4" w:space="0" w:color="auto"/>
              <w:right w:val="single" w:sz="4" w:space="0" w:color="auto"/>
            </w:tcBorders>
          </w:tcPr>
          <w:p w:rsidR="00000000" w:rsidRDefault="00000000">
            <w:pPr>
              <w:tabs>
                <w:tab w:val="clear" w:pos="1134"/>
              </w:tabs>
              <w:spacing w:line="240" w:lineRule="auto"/>
              <w:ind w:right="418"/>
              <w:jc w:val="right"/>
            </w:pPr>
            <w:r>
              <w:t>90 535</w:t>
            </w:r>
          </w:p>
        </w:tc>
        <w:tc>
          <w:tcPr>
            <w:tcW w:w="1595" w:type="dxa"/>
            <w:tcBorders>
              <w:top w:val="nil"/>
              <w:left w:val="single" w:sz="4" w:space="0" w:color="auto"/>
              <w:right w:val="single" w:sz="4" w:space="0" w:color="auto"/>
            </w:tcBorders>
          </w:tcPr>
          <w:p w:rsidR="00000000" w:rsidRDefault="00000000">
            <w:pPr>
              <w:tabs>
                <w:tab w:val="clear" w:pos="1134"/>
              </w:tabs>
              <w:spacing w:line="240" w:lineRule="auto"/>
              <w:ind w:right="731"/>
              <w:jc w:val="right"/>
            </w:pPr>
            <w:r>
              <w:t>294</w:t>
            </w:r>
          </w:p>
        </w:tc>
        <w:tc>
          <w:tcPr>
            <w:tcW w:w="1595" w:type="dxa"/>
            <w:tcBorders>
              <w:top w:val="nil"/>
              <w:left w:val="single" w:sz="4" w:space="0" w:color="auto"/>
              <w:right w:val="single" w:sz="4" w:space="0" w:color="auto"/>
            </w:tcBorders>
          </w:tcPr>
          <w:p w:rsidR="00000000" w:rsidRDefault="00000000">
            <w:pPr>
              <w:tabs>
                <w:tab w:val="clear" w:pos="1134"/>
              </w:tabs>
              <w:spacing w:line="240" w:lineRule="auto"/>
              <w:ind w:right="306"/>
              <w:jc w:val="right"/>
            </w:pPr>
            <w:r>
              <w:t>73 545</w:t>
            </w:r>
          </w:p>
        </w:tc>
        <w:tc>
          <w:tcPr>
            <w:tcW w:w="1596" w:type="dxa"/>
            <w:tcBorders>
              <w:top w:val="nil"/>
              <w:left w:val="single" w:sz="4" w:space="0" w:color="auto"/>
              <w:right w:val="single" w:sz="4" w:space="0" w:color="auto"/>
            </w:tcBorders>
          </w:tcPr>
          <w:p w:rsidR="00000000" w:rsidRDefault="00000000">
            <w:pPr>
              <w:tabs>
                <w:tab w:val="clear" w:pos="1134"/>
              </w:tabs>
              <w:spacing w:line="240" w:lineRule="auto"/>
              <w:ind w:right="306"/>
              <w:jc w:val="right"/>
            </w:pPr>
            <w:r>
              <w:t>17 284</w:t>
            </w:r>
          </w:p>
        </w:tc>
      </w:tr>
    </w:tbl>
    <w:p w:rsidR="00000000" w:rsidRDefault="00000000">
      <w:pPr>
        <w:jc w:val="center"/>
      </w:pPr>
    </w:p>
    <w:p w:rsidR="00000000" w:rsidRDefault="00000000">
      <w:r>
        <w:tab/>
      </w:r>
      <w:r>
        <w:rPr>
          <w:u w:val="single"/>
        </w:rPr>
        <w:t>Источник</w:t>
      </w:r>
      <w:r>
        <w:t>:  Чешское статистическое управление, 1999 год.</w:t>
      </w:r>
    </w:p>
    <w:p w:rsidR="00000000" w:rsidRDefault="00000000"/>
    <w:p w:rsidR="00000000" w:rsidRDefault="00000000">
      <w:r>
        <w:t>496.</w:t>
      </w:r>
      <w:r>
        <w:tab/>
        <w:t>Второе предложение пункта 1 статьи 6 Хартии гласит следующее:  "Человеческая жизнь достойна охраны даже до рождения".  Это предложение содержит скорее моральный, нежели правовой заряд.  Оно не решает проблему запрещения искусственных абортов, которая заключается в том, кто имеет право принимать законное решение:  врач, государство, мать, отец, оба потенциальных родителя или никто.  Условия, при которых возможно искусственное прерывание беременности, изложены в Законе об абортах и в соответствующем постановлении министерства здравоохранения, определяющем порядок осуществления этого Закона</w:t>
      </w:r>
      <w:r>
        <w:rPr>
          <w:rStyle w:val="FootnoteReference"/>
        </w:rPr>
        <w:footnoteReference w:id="303"/>
      </w:r>
      <w:r>
        <w:t>.</w:t>
      </w:r>
    </w:p>
    <w:p w:rsidR="00000000" w:rsidRDefault="00000000"/>
    <w:p w:rsidR="00000000" w:rsidRDefault="00000000">
      <w:r>
        <w:t>497.</w:t>
      </w:r>
      <w:r>
        <w:tab/>
        <w:t>Согласно статье 4 Закона об абортах "прерывание беременности может быть произведено, если женщина представит соответствующую просьбу в письменном виде, если продолжительность беременности не превышает 12 недель и если этому не препятствуют другие медицинские показания".  Согласно статье 5 Закона допускается также "прерывание беременности по медицинским показаниям, с согласия женщины или по ее просьбе, если существует угроза ее жизни или здоровью, либо здоровому развитию зародыша, или если зародыш имеет генетический дефект".  Прерывание беременности у женщины, не достигшей 16-летнего возраста, может быть произведено лишь с согласия ее юридического представителя;  в случае прерывания беременности у женщины в возрасте от 16 до 18 лет медицинское учреждение должно проинформировать ее юридического представителя.</w:t>
      </w:r>
    </w:p>
    <w:p w:rsidR="00000000" w:rsidRDefault="00000000"/>
    <w:p w:rsidR="00000000" w:rsidRDefault="00000000">
      <w:r>
        <w:t>498.</w:t>
      </w:r>
      <w:r>
        <w:tab/>
        <w:t>Сокращение числа искусственных абортов также обусловлено наличием современных, эффективных и безопасных средств контрацепции.  С 1992 по 1997 год доля женщин фертильного возраста, применявших тот или иной вид контрацепции под надзором врача, возросла с 21,1% до 37,8%, при этом 29,1% женщин использовали гормональные противозачаточные средства.  Ежегодные темпы роста доли женщин, использующих противозачаточные средства, составляли в период с 1996 по 1997 год 2,8 процентных пункта.  Однако противозачаточные средства пока не являются бесплатными, и лишь небольшая часть из них оплачивается за счет медицинского страхования.</w:t>
      </w:r>
    </w:p>
    <w:p w:rsidR="00000000" w:rsidRDefault="00000000">
      <w:pPr>
        <w:pStyle w:val="FootnoteText"/>
        <w:spacing w:line="216" w:lineRule="auto"/>
      </w:pPr>
    </w:p>
    <w:p w:rsidR="00000000" w:rsidRDefault="00000000">
      <w:pPr>
        <w:pStyle w:val="10"/>
        <w:spacing w:line="216" w:lineRule="auto"/>
        <w:rPr>
          <w:bCs/>
        </w:rPr>
      </w:pPr>
      <w:r>
        <w:rPr>
          <w:bCs/>
        </w:rPr>
        <w:t>Аборты</w:t>
      </w:r>
    </w:p>
    <w:p w:rsidR="00000000" w:rsidRDefault="00000000">
      <w:pPr>
        <w:pStyle w:val="10"/>
        <w:spacing w:line="216" w:lineRule="auto"/>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3"/>
        <w:gridCol w:w="1833"/>
        <w:gridCol w:w="1902"/>
        <w:gridCol w:w="2218"/>
        <w:gridCol w:w="1824"/>
      </w:tblGrid>
      <w:tr w:rsidR="00000000">
        <w:tblPrEx>
          <w:tblCellMar>
            <w:top w:w="0" w:type="dxa"/>
            <w:bottom w:w="0" w:type="dxa"/>
          </w:tblCellMar>
        </w:tblPrEx>
        <w:tc>
          <w:tcPr>
            <w:tcW w:w="179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line="216" w:lineRule="auto"/>
              <w:jc w:val="center"/>
            </w:pPr>
            <w:r>
              <w:t>Год</w:t>
            </w:r>
          </w:p>
        </w:tc>
        <w:tc>
          <w:tcPr>
            <w:tcW w:w="183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pPr>
            <w:r>
              <w:t>Общее число абортов</w:t>
            </w:r>
          </w:p>
        </w:tc>
        <w:tc>
          <w:tcPr>
            <w:tcW w:w="190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pPr>
            <w:r>
              <w:t>Искусственные аборты</w:t>
            </w:r>
          </w:p>
        </w:tc>
        <w:tc>
          <w:tcPr>
            <w:tcW w:w="221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pPr>
            <w:r>
              <w:t>Непреднамеренные аборты</w:t>
            </w:r>
          </w:p>
        </w:tc>
        <w:tc>
          <w:tcPr>
            <w:tcW w:w="182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pPr>
            <w:r>
              <w:t>Прочие аборты</w:t>
            </w:r>
          </w:p>
        </w:tc>
      </w:tr>
      <w:tr w:rsidR="00000000">
        <w:tblPrEx>
          <w:tblCellMar>
            <w:top w:w="0" w:type="dxa"/>
            <w:bottom w:w="0" w:type="dxa"/>
          </w:tblCellMar>
        </w:tblPrEx>
        <w:tc>
          <w:tcPr>
            <w:tcW w:w="1794" w:type="dxa"/>
            <w:tcBorders>
              <w:left w:val="single" w:sz="4" w:space="0" w:color="auto"/>
              <w:bottom w:val="nil"/>
              <w:right w:val="single" w:sz="4" w:space="0" w:color="auto"/>
            </w:tcBorders>
          </w:tcPr>
          <w:p w:rsidR="00000000" w:rsidRDefault="00000000">
            <w:pPr>
              <w:pStyle w:val="FootnoteText"/>
              <w:jc w:val="center"/>
            </w:pPr>
            <w:r>
              <w:t>1994</w:t>
            </w:r>
          </w:p>
        </w:tc>
        <w:tc>
          <w:tcPr>
            <w:tcW w:w="1833" w:type="dxa"/>
            <w:tcBorders>
              <w:left w:val="single" w:sz="4" w:space="0" w:color="auto"/>
              <w:bottom w:val="nil"/>
              <w:right w:val="single" w:sz="4" w:space="0" w:color="auto"/>
            </w:tcBorders>
          </w:tcPr>
          <w:p w:rsidR="00000000" w:rsidRDefault="00000000">
            <w:pPr>
              <w:spacing w:line="240" w:lineRule="auto"/>
              <w:jc w:val="center"/>
            </w:pPr>
            <w:r>
              <w:t>67 434</w:t>
            </w:r>
          </w:p>
        </w:tc>
        <w:tc>
          <w:tcPr>
            <w:tcW w:w="1902" w:type="dxa"/>
            <w:tcBorders>
              <w:left w:val="single" w:sz="4" w:space="0" w:color="auto"/>
              <w:bottom w:val="nil"/>
              <w:right w:val="single" w:sz="4" w:space="0" w:color="auto"/>
            </w:tcBorders>
          </w:tcPr>
          <w:p w:rsidR="00000000" w:rsidRDefault="00000000">
            <w:pPr>
              <w:spacing w:line="240" w:lineRule="auto"/>
              <w:jc w:val="center"/>
            </w:pPr>
            <w:r>
              <w:t>54 836</w:t>
            </w:r>
          </w:p>
        </w:tc>
        <w:tc>
          <w:tcPr>
            <w:tcW w:w="2218" w:type="dxa"/>
            <w:tcBorders>
              <w:left w:val="single" w:sz="4" w:space="0" w:color="auto"/>
              <w:bottom w:val="nil"/>
              <w:right w:val="single" w:sz="4" w:space="0" w:color="auto"/>
            </w:tcBorders>
          </w:tcPr>
          <w:p w:rsidR="00000000" w:rsidRDefault="00000000">
            <w:pPr>
              <w:spacing w:line="240" w:lineRule="auto"/>
              <w:jc w:val="center"/>
            </w:pPr>
            <w:r>
              <w:t>11 109</w:t>
            </w:r>
          </w:p>
        </w:tc>
        <w:tc>
          <w:tcPr>
            <w:tcW w:w="1824" w:type="dxa"/>
            <w:tcBorders>
              <w:left w:val="single" w:sz="4" w:space="0" w:color="auto"/>
              <w:bottom w:val="nil"/>
              <w:right w:val="single" w:sz="4" w:space="0" w:color="auto"/>
            </w:tcBorders>
          </w:tcPr>
          <w:p w:rsidR="00000000" w:rsidRDefault="00000000">
            <w:pPr>
              <w:spacing w:line="240" w:lineRule="auto"/>
              <w:jc w:val="center"/>
            </w:pPr>
            <w:r>
              <w:t>11</w:t>
            </w:r>
          </w:p>
        </w:tc>
      </w:tr>
      <w:tr w:rsidR="00000000">
        <w:tblPrEx>
          <w:tblCellMar>
            <w:top w:w="0" w:type="dxa"/>
            <w:bottom w:w="0" w:type="dxa"/>
          </w:tblCellMar>
        </w:tblPrEx>
        <w:tc>
          <w:tcPr>
            <w:tcW w:w="1794" w:type="dxa"/>
            <w:tcBorders>
              <w:top w:val="nil"/>
              <w:left w:val="single" w:sz="4" w:space="0" w:color="auto"/>
              <w:bottom w:val="nil"/>
              <w:right w:val="single" w:sz="4" w:space="0" w:color="auto"/>
            </w:tcBorders>
          </w:tcPr>
          <w:p w:rsidR="00000000" w:rsidRDefault="00000000">
            <w:pPr>
              <w:pStyle w:val="FootnoteText"/>
              <w:jc w:val="center"/>
            </w:pPr>
            <w:r>
              <w:t>1995</w:t>
            </w:r>
          </w:p>
        </w:tc>
        <w:tc>
          <w:tcPr>
            <w:tcW w:w="1833" w:type="dxa"/>
            <w:tcBorders>
              <w:top w:val="nil"/>
              <w:left w:val="single" w:sz="4" w:space="0" w:color="auto"/>
              <w:bottom w:val="nil"/>
              <w:right w:val="single" w:sz="4" w:space="0" w:color="auto"/>
            </w:tcBorders>
          </w:tcPr>
          <w:p w:rsidR="00000000" w:rsidRDefault="00000000">
            <w:pPr>
              <w:spacing w:line="240" w:lineRule="auto"/>
              <w:jc w:val="center"/>
            </w:pPr>
            <w:r>
              <w:t>61 590</w:t>
            </w:r>
          </w:p>
        </w:tc>
        <w:tc>
          <w:tcPr>
            <w:tcW w:w="1902" w:type="dxa"/>
            <w:tcBorders>
              <w:top w:val="nil"/>
              <w:left w:val="single" w:sz="4" w:space="0" w:color="auto"/>
              <w:bottom w:val="nil"/>
              <w:right w:val="single" w:sz="4" w:space="0" w:color="auto"/>
            </w:tcBorders>
          </w:tcPr>
          <w:p w:rsidR="00000000" w:rsidRDefault="00000000">
            <w:pPr>
              <w:spacing w:line="240" w:lineRule="auto"/>
              <w:jc w:val="center"/>
            </w:pPr>
            <w:r>
              <w:t>49 531</w:t>
            </w:r>
          </w:p>
        </w:tc>
        <w:tc>
          <w:tcPr>
            <w:tcW w:w="2218" w:type="dxa"/>
            <w:tcBorders>
              <w:top w:val="nil"/>
              <w:left w:val="single" w:sz="4" w:space="0" w:color="auto"/>
              <w:bottom w:val="nil"/>
              <w:right w:val="single" w:sz="4" w:space="0" w:color="auto"/>
            </w:tcBorders>
          </w:tcPr>
          <w:p w:rsidR="00000000" w:rsidRDefault="00000000">
            <w:pPr>
              <w:spacing w:line="240" w:lineRule="auto"/>
              <w:jc w:val="center"/>
            </w:pPr>
            <w:r>
              <w:t>10 571</w:t>
            </w:r>
          </w:p>
        </w:tc>
        <w:tc>
          <w:tcPr>
            <w:tcW w:w="1824" w:type="dxa"/>
            <w:tcBorders>
              <w:top w:val="nil"/>
              <w:left w:val="single" w:sz="4" w:space="0" w:color="auto"/>
              <w:bottom w:val="nil"/>
              <w:right w:val="single" w:sz="4" w:space="0" w:color="auto"/>
            </w:tcBorders>
          </w:tcPr>
          <w:p w:rsidR="00000000" w:rsidRDefault="00000000">
            <w:pPr>
              <w:spacing w:line="240" w:lineRule="auto"/>
              <w:jc w:val="center"/>
            </w:pPr>
            <w:r>
              <w:t>12</w:t>
            </w:r>
          </w:p>
        </w:tc>
      </w:tr>
      <w:tr w:rsidR="00000000">
        <w:tblPrEx>
          <w:tblCellMar>
            <w:top w:w="0" w:type="dxa"/>
            <w:bottom w:w="0" w:type="dxa"/>
          </w:tblCellMar>
        </w:tblPrEx>
        <w:tc>
          <w:tcPr>
            <w:tcW w:w="1794" w:type="dxa"/>
            <w:tcBorders>
              <w:top w:val="nil"/>
              <w:left w:val="single" w:sz="4" w:space="0" w:color="auto"/>
              <w:bottom w:val="nil"/>
              <w:right w:val="single" w:sz="4" w:space="0" w:color="auto"/>
            </w:tcBorders>
          </w:tcPr>
          <w:p w:rsidR="00000000" w:rsidRDefault="00000000">
            <w:pPr>
              <w:pStyle w:val="FootnoteText"/>
              <w:jc w:val="center"/>
            </w:pPr>
            <w:r>
              <w:t>1996</w:t>
            </w:r>
          </w:p>
        </w:tc>
        <w:tc>
          <w:tcPr>
            <w:tcW w:w="1833" w:type="dxa"/>
            <w:tcBorders>
              <w:top w:val="nil"/>
              <w:left w:val="single" w:sz="4" w:space="0" w:color="auto"/>
              <w:bottom w:val="nil"/>
              <w:right w:val="single" w:sz="4" w:space="0" w:color="auto"/>
            </w:tcBorders>
          </w:tcPr>
          <w:p w:rsidR="00000000" w:rsidRDefault="00000000">
            <w:pPr>
              <w:spacing w:line="240" w:lineRule="auto"/>
              <w:jc w:val="center"/>
            </w:pPr>
            <w:r>
              <w:t>59 962</w:t>
            </w:r>
          </w:p>
        </w:tc>
        <w:tc>
          <w:tcPr>
            <w:tcW w:w="1902" w:type="dxa"/>
            <w:tcBorders>
              <w:top w:val="nil"/>
              <w:left w:val="single" w:sz="4" w:space="0" w:color="auto"/>
              <w:bottom w:val="nil"/>
              <w:right w:val="single" w:sz="4" w:space="0" w:color="auto"/>
            </w:tcBorders>
          </w:tcPr>
          <w:p w:rsidR="00000000" w:rsidRDefault="00000000">
            <w:pPr>
              <w:spacing w:line="240" w:lineRule="auto"/>
              <w:jc w:val="center"/>
            </w:pPr>
            <w:r>
              <w:t>48 086</w:t>
            </w:r>
          </w:p>
        </w:tc>
        <w:tc>
          <w:tcPr>
            <w:tcW w:w="2218" w:type="dxa"/>
            <w:tcBorders>
              <w:top w:val="nil"/>
              <w:left w:val="single" w:sz="4" w:space="0" w:color="auto"/>
              <w:bottom w:val="nil"/>
              <w:right w:val="single" w:sz="4" w:space="0" w:color="auto"/>
            </w:tcBorders>
          </w:tcPr>
          <w:p w:rsidR="00000000" w:rsidRDefault="00000000">
            <w:pPr>
              <w:spacing w:line="240" w:lineRule="auto"/>
              <w:jc w:val="center"/>
            </w:pPr>
            <w:r>
              <w:t>10 296</w:t>
            </w:r>
          </w:p>
        </w:tc>
        <w:tc>
          <w:tcPr>
            <w:tcW w:w="1824" w:type="dxa"/>
            <w:tcBorders>
              <w:top w:val="nil"/>
              <w:left w:val="single" w:sz="4" w:space="0" w:color="auto"/>
              <w:bottom w:val="nil"/>
              <w:right w:val="single" w:sz="4" w:space="0" w:color="auto"/>
            </w:tcBorders>
          </w:tcPr>
          <w:p w:rsidR="00000000" w:rsidRDefault="00000000">
            <w:pPr>
              <w:spacing w:line="240" w:lineRule="auto"/>
              <w:jc w:val="center"/>
            </w:pPr>
            <w:r>
              <w:t>20</w:t>
            </w:r>
          </w:p>
        </w:tc>
      </w:tr>
      <w:tr w:rsidR="00000000">
        <w:tblPrEx>
          <w:tblCellMar>
            <w:top w:w="0" w:type="dxa"/>
            <w:bottom w:w="0" w:type="dxa"/>
          </w:tblCellMar>
        </w:tblPrEx>
        <w:tc>
          <w:tcPr>
            <w:tcW w:w="1794" w:type="dxa"/>
            <w:tcBorders>
              <w:top w:val="nil"/>
              <w:left w:val="single" w:sz="4" w:space="0" w:color="auto"/>
              <w:bottom w:val="nil"/>
              <w:right w:val="single" w:sz="4" w:space="0" w:color="auto"/>
            </w:tcBorders>
          </w:tcPr>
          <w:p w:rsidR="00000000" w:rsidRDefault="00000000">
            <w:pPr>
              <w:pStyle w:val="FootnoteText"/>
              <w:jc w:val="center"/>
            </w:pPr>
            <w:r>
              <w:t>1997</w:t>
            </w:r>
          </w:p>
        </w:tc>
        <w:tc>
          <w:tcPr>
            <w:tcW w:w="1833" w:type="dxa"/>
            <w:tcBorders>
              <w:top w:val="nil"/>
              <w:left w:val="single" w:sz="4" w:space="0" w:color="auto"/>
              <w:bottom w:val="nil"/>
              <w:right w:val="single" w:sz="4" w:space="0" w:color="auto"/>
            </w:tcBorders>
          </w:tcPr>
          <w:p w:rsidR="00000000" w:rsidRDefault="00000000">
            <w:pPr>
              <w:spacing w:line="240" w:lineRule="auto"/>
              <w:jc w:val="center"/>
            </w:pPr>
            <w:r>
              <w:t>56 973</w:t>
            </w:r>
          </w:p>
        </w:tc>
        <w:tc>
          <w:tcPr>
            <w:tcW w:w="1902" w:type="dxa"/>
            <w:tcBorders>
              <w:top w:val="nil"/>
              <w:left w:val="single" w:sz="4" w:space="0" w:color="auto"/>
              <w:bottom w:val="nil"/>
              <w:right w:val="single" w:sz="4" w:space="0" w:color="auto"/>
            </w:tcBorders>
          </w:tcPr>
          <w:p w:rsidR="00000000" w:rsidRDefault="00000000">
            <w:pPr>
              <w:spacing w:line="240" w:lineRule="auto"/>
              <w:jc w:val="center"/>
            </w:pPr>
            <w:r>
              <w:t>45 022</w:t>
            </w:r>
          </w:p>
        </w:tc>
        <w:tc>
          <w:tcPr>
            <w:tcW w:w="2218" w:type="dxa"/>
            <w:tcBorders>
              <w:top w:val="nil"/>
              <w:left w:val="single" w:sz="4" w:space="0" w:color="auto"/>
              <w:bottom w:val="nil"/>
              <w:right w:val="single" w:sz="4" w:space="0" w:color="auto"/>
            </w:tcBorders>
          </w:tcPr>
          <w:p w:rsidR="00000000" w:rsidRDefault="00000000">
            <w:pPr>
              <w:spacing w:line="240" w:lineRule="auto"/>
              <w:jc w:val="center"/>
            </w:pPr>
            <w:r>
              <w:t>10 392</w:t>
            </w:r>
          </w:p>
        </w:tc>
        <w:tc>
          <w:tcPr>
            <w:tcW w:w="1824" w:type="dxa"/>
            <w:tcBorders>
              <w:top w:val="nil"/>
              <w:left w:val="single" w:sz="4" w:space="0" w:color="auto"/>
              <w:bottom w:val="nil"/>
              <w:right w:val="single" w:sz="4" w:space="0" w:color="auto"/>
            </w:tcBorders>
          </w:tcPr>
          <w:p w:rsidR="00000000" w:rsidRDefault="00000000">
            <w:pPr>
              <w:spacing w:line="240" w:lineRule="auto"/>
              <w:jc w:val="center"/>
            </w:pPr>
            <w:r>
              <w:t>7</w:t>
            </w:r>
          </w:p>
        </w:tc>
      </w:tr>
      <w:tr w:rsidR="00000000">
        <w:tblPrEx>
          <w:tblCellMar>
            <w:top w:w="0" w:type="dxa"/>
            <w:bottom w:w="0" w:type="dxa"/>
          </w:tblCellMar>
        </w:tblPrEx>
        <w:tc>
          <w:tcPr>
            <w:tcW w:w="1794" w:type="dxa"/>
            <w:tcBorders>
              <w:top w:val="nil"/>
              <w:left w:val="single" w:sz="4" w:space="0" w:color="auto"/>
              <w:right w:val="single" w:sz="4" w:space="0" w:color="auto"/>
            </w:tcBorders>
          </w:tcPr>
          <w:p w:rsidR="00000000" w:rsidRDefault="00000000">
            <w:pPr>
              <w:pStyle w:val="FootnoteText"/>
              <w:jc w:val="center"/>
            </w:pPr>
            <w:r>
              <w:t>1998</w:t>
            </w:r>
          </w:p>
        </w:tc>
        <w:tc>
          <w:tcPr>
            <w:tcW w:w="1833" w:type="dxa"/>
            <w:tcBorders>
              <w:top w:val="nil"/>
              <w:left w:val="single" w:sz="4" w:space="0" w:color="auto"/>
              <w:right w:val="single" w:sz="4" w:space="0" w:color="auto"/>
            </w:tcBorders>
          </w:tcPr>
          <w:p w:rsidR="00000000" w:rsidRDefault="00000000">
            <w:pPr>
              <w:spacing w:line="240" w:lineRule="auto"/>
              <w:jc w:val="center"/>
            </w:pPr>
            <w:r>
              <w:t>55 654</w:t>
            </w:r>
          </w:p>
        </w:tc>
        <w:tc>
          <w:tcPr>
            <w:tcW w:w="1902" w:type="dxa"/>
            <w:tcBorders>
              <w:top w:val="nil"/>
              <w:left w:val="single" w:sz="4" w:space="0" w:color="auto"/>
              <w:right w:val="single" w:sz="4" w:space="0" w:color="auto"/>
            </w:tcBorders>
          </w:tcPr>
          <w:p w:rsidR="00000000" w:rsidRDefault="00000000">
            <w:pPr>
              <w:spacing w:line="240" w:lineRule="auto"/>
              <w:jc w:val="center"/>
            </w:pPr>
            <w:r>
              <w:t>42 959</w:t>
            </w:r>
          </w:p>
        </w:tc>
        <w:tc>
          <w:tcPr>
            <w:tcW w:w="2218" w:type="dxa"/>
            <w:tcBorders>
              <w:top w:val="nil"/>
              <w:left w:val="single" w:sz="4" w:space="0" w:color="auto"/>
              <w:right w:val="single" w:sz="4" w:space="0" w:color="auto"/>
            </w:tcBorders>
          </w:tcPr>
          <w:p w:rsidR="00000000" w:rsidRDefault="00000000">
            <w:pPr>
              <w:spacing w:line="240" w:lineRule="auto"/>
              <w:jc w:val="center"/>
            </w:pPr>
            <w:r>
              <w:t>11 128</w:t>
            </w:r>
          </w:p>
        </w:tc>
        <w:tc>
          <w:tcPr>
            <w:tcW w:w="1824" w:type="dxa"/>
            <w:tcBorders>
              <w:top w:val="nil"/>
              <w:left w:val="single" w:sz="4" w:space="0" w:color="auto"/>
              <w:right w:val="single" w:sz="4" w:space="0" w:color="auto"/>
            </w:tcBorders>
          </w:tcPr>
          <w:p w:rsidR="00000000" w:rsidRDefault="00000000">
            <w:pPr>
              <w:spacing w:line="240" w:lineRule="auto"/>
              <w:jc w:val="center"/>
            </w:pPr>
            <w:r>
              <w:t>12</w:t>
            </w:r>
          </w:p>
        </w:tc>
      </w:tr>
    </w:tbl>
    <w:p w:rsidR="00000000" w:rsidRDefault="00000000">
      <w:pPr>
        <w:spacing w:line="240" w:lineRule="auto"/>
      </w:pPr>
      <w:r>
        <w:tab/>
      </w:r>
      <w:r>
        <w:rPr>
          <w:u w:val="single"/>
        </w:rPr>
        <w:t>Источник</w:t>
      </w:r>
      <w:r>
        <w:t>:  Чешское статистическое управление, 1999 год.</w:t>
      </w:r>
    </w:p>
    <w:p w:rsidR="00000000" w:rsidRDefault="00000000">
      <w:pPr>
        <w:spacing w:line="240" w:lineRule="auto"/>
      </w:pPr>
      <w:r>
        <w:tab/>
      </w:r>
      <w:r>
        <w:rPr>
          <w:b/>
          <w:bCs/>
          <w:vertAlign w:val="superscript"/>
        </w:rPr>
        <w:t>а</w:t>
      </w:r>
      <w:r>
        <w:rPr>
          <w:vertAlign w:val="superscript"/>
        </w:rPr>
        <w:tab/>
      </w:r>
      <w:r>
        <w:t>Включая эктопические беременности.</w:t>
      </w:r>
    </w:p>
    <w:p w:rsidR="00000000" w:rsidRDefault="00000000">
      <w:pPr>
        <w:spacing w:line="240" w:lineRule="auto"/>
      </w:pPr>
    </w:p>
    <w:p w:rsidR="00000000" w:rsidRDefault="00000000">
      <w:r>
        <w:t>499.</w:t>
      </w:r>
      <w:r>
        <w:tab/>
        <w:t>Одним из основных направлений национальной программы здравоохранения, реализацией которых постоянно занимается министерство здравоохранения, является оказание поддержки планированию семьи.  Оно также включает и другие связанные с этим вопросы:  применение противозачаточных средств, информирование об опасностях искусственных абортов (основное внимание уделяется главным образом его производству на ранних этапах - так называемым мини-абортам, т.е. в течение 8 недель после зачатия), работа с женщинами, относящимися к трудным социальным группам и этническим меньшинствам при уделении особого внимания перенесению сроков первой беременности до достижения совершеннолетия.</w:t>
      </w:r>
    </w:p>
    <w:p w:rsidR="00000000" w:rsidRDefault="00000000"/>
    <w:p w:rsidR="00000000" w:rsidRDefault="00000000">
      <w:r>
        <w:t>500.</w:t>
      </w:r>
      <w:r>
        <w:tab/>
        <w:t>Вопросами планирования семьи занимается также неправительственная организация Общество по вопросам планирования семьи и сексуального просвещения.  С 1997 года эта ассоциация пользуется статусом полноправного члена Международной федерации планирования родительства</w:t>
      </w:r>
      <w:r>
        <w:rPr>
          <w:rStyle w:val="FootnoteReference"/>
        </w:rPr>
        <w:footnoteReference w:id="304"/>
      </w:r>
      <w:r>
        <w:t>, которая занимается пропагандой прав, гарантированных в ее Хартии сексуальных и репродуктивных прав.  Эта Хартия взаимосвязана с международными документами по правам человека, которые имеют большое значение для сексуального и репродуктивного здоровья, включая программы Международной конференции по народонаселению и развитию (1994 год), Платформу действий четвертой Всемирной конференции по положению женщин (1995 год) и другие документы Организации Объединенных Наций.  Эта ассоциация обеспечивает функционирование телефонной консультационной службы по вопросам планирования семьи, главным образом по вопросам надежных противозачаточных средств, а также оказывает помощь в решении безотлагательных и кризисных ситуаций.  Министерство здравоохранения оказывает финансовую поддержку этому проекту в рамках осуществления Национальной программы здравоохранения.</w:t>
      </w:r>
    </w:p>
    <w:p w:rsidR="00000000" w:rsidRDefault="00000000"/>
    <w:p w:rsidR="00000000" w:rsidRDefault="00000000">
      <w:r>
        <w:t>501.</w:t>
      </w:r>
      <w:r>
        <w:tab/>
        <w:t>По данным Ассоциации планирования семьи существует проблема, связанная с правовым регулированием добровольной стерилизации в существующем Законе о здравоохранении</w:t>
      </w:r>
      <w:r>
        <w:rPr>
          <w:rStyle w:val="FootnoteReference"/>
        </w:rPr>
        <w:footnoteReference w:id="305"/>
      </w:r>
      <w:r>
        <w:t xml:space="preserve"> и в постановлении министерства здравоохранения от 1972 года.  Женщины могут подвергаться добровольной стерилизации по своей собственной просьбе лишь по медицинским показаниям.  Они включают требования о том, чтобы женщина имела четырех живых детей или трех детей и чтобы женщине было по меньшей мере 35 лет.  В настоящее время применение этих положений рассматривается комиссией экспертов.  По мнению ассоциации, такое условие носит дискриминационный характер</w:t>
      </w:r>
      <w:r>
        <w:rPr>
          <w:rStyle w:val="FootnoteReference"/>
        </w:rPr>
        <w:footnoteReference w:id="306"/>
      </w:r>
      <w:r>
        <w:t>.</w:t>
      </w:r>
    </w:p>
    <w:p w:rsidR="00000000" w:rsidRDefault="00000000"/>
    <w:p w:rsidR="00000000" w:rsidRDefault="00000000">
      <w:r>
        <w:t>502.</w:t>
      </w:r>
      <w:r>
        <w:tab/>
        <w:t>Министерство здравоохранения осуществляет две программы в области охраны здоровья женщин и девочек.  Речь идет о Программе здоровой сексуальной жизни и Национальной программе перинатального здоровья, которые включают уход за женщинами до планируемого зачатия и уход за беременной женщиной и формирующимся плодом, включая уход во время родов и уход за новорожденным в первые дни после рождения.</w:t>
      </w:r>
    </w:p>
    <w:p w:rsidR="00000000" w:rsidRDefault="00000000"/>
    <w:p w:rsidR="00000000" w:rsidRDefault="00000000">
      <w:r>
        <w:t>503.</w:t>
      </w:r>
      <w:r>
        <w:tab/>
        <w:t>Основным показателем здоровья детей является детская смертность, и в этой области Чешская Республика добилась сокращения такого показателя ниже 10 на 1 000:  в</w:t>
      </w:r>
      <w:r>
        <w:rPr>
          <w:lang w:val="en-US"/>
        </w:rPr>
        <w:t> </w:t>
      </w:r>
      <w:r>
        <w:t>1992 году он составлял 9,9 на 1 000.  В 1997 году детская смертность равнялась 5,9 на 1 000, что соответствует уровню стран Европейского союза.  Одним из факторов, влияющих на детскую смертность является низкий вес при рождении.  Доля новорожденных с весом менее 2 500 грамм от общего числа живорождений составляет около 6%, но на их долю приходится около 60% от общего числа детских смертей.</w:t>
      </w:r>
    </w:p>
    <w:p w:rsidR="00000000" w:rsidRDefault="00000000"/>
    <w:p w:rsidR="00000000" w:rsidRDefault="00000000">
      <w:r>
        <w:t>504.</w:t>
      </w:r>
      <w:r>
        <w:tab/>
        <w:t>Наиболее частыми причинами детской смертности являются определенные условия, которые возникают в перинатальный период и на долю которых приходится более половины смертей.  Второй наиболее частой причиной смерти детей являются врожденные пороки развития, деформации и хромосомные аномалии.  В 1997 году было зарегистрировано 2 680 детей, у которых до достижения 1 года были выявлены врожденные дефекты развития, что представляет собой увеличение на 18% по сравнению с 1996 годом.  Если провести сравнение дефектов среди мальчиков и девочек, то можно отметить, что у мальчиков дефекты встречаются чаще.  Наиболее часто отмечаются врожденные пороки сердца.  Благодаря совершенствованию пренатальной диагностики происходит сокращение некоторых генетических дефектов.  Встречаются также случаи поражения нервной системы, дефекты стенки желудка, некоторые серьезные дефекты сердца, дефекты урогенетальной системы и хромосомные аномалии (главным образом синдром Дауна).  Несмотря на достигнутые успехи, на долю врожденных дефектов приходится 25% от общего числа смертей детей.</w:t>
      </w:r>
    </w:p>
    <w:p w:rsidR="00000000" w:rsidRDefault="00000000">
      <w:r>
        <w:br w:type="page"/>
      </w:r>
    </w:p>
    <w:p w:rsidR="00000000" w:rsidRDefault="00000000">
      <w:pPr>
        <w:pStyle w:val="Heading1"/>
        <w:jc w:val="center"/>
        <w:rPr>
          <w:bCs/>
        </w:rPr>
      </w:pPr>
      <w:r>
        <w:rPr>
          <w:bCs/>
        </w:rPr>
        <w:t>Детская смертность в Чешской Республике в разбивке по возрасту</w:t>
      </w:r>
    </w:p>
    <w:p w:rsidR="00000000" w:rsidRDefault="00000000"/>
    <w:tbl>
      <w:tblPr>
        <w:tblW w:w="9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1"/>
        <w:gridCol w:w="748"/>
        <w:gridCol w:w="748"/>
        <w:gridCol w:w="748"/>
        <w:gridCol w:w="748"/>
        <w:gridCol w:w="748"/>
        <w:gridCol w:w="748"/>
        <w:gridCol w:w="748"/>
        <w:gridCol w:w="798"/>
      </w:tblGrid>
      <w:tr w:rsidR="00000000">
        <w:tblPrEx>
          <w:tblCellMar>
            <w:top w:w="0" w:type="dxa"/>
            <w:bottom w:w="0" w:type="dxa"/>
          </w:tblCellMar>
        </w:tblPrEx>
        <w:trPr>
          <w:cantSplit/>
        </w:trPr>
        <w:tc>
          <w:tcPr>
            <w:tcW w:w="3661" w:type="dxa"/>
            <w:tcBorders>
              <w:bottom w:val="single" w:sz="4" w:space="0" w:color="auto"/>
            </w:tcBorders>
          </w:tcPr>
          <w:p w:rsidR="00000000" w:rsidRDefault="00000000">
            <w:pPr>
              <w:rPr>
                <w:b/>
                <w:bCs/>
              </w:rPr>
            </w:pPr>
            <w:r>
              <w:t>Возраст на момент смерти</w:t>
            </w:r>
          </w:p>
        </w:tc>
        <w:tc>
          <w:tcPr>
            <w:tcW w:w="2992" w:type="dxa"/>
            <w:gridSpan w:val="4"/>
            <w:tcBorders>
              <w:bottom w:val="single" w:sz="4" w:space="0" w:color="auto"/>
            </w:tcBorders>
          </w:tcPr>
          <w:p w:rsidR="00000000" w:rsidRDefault="00000000">
            <w:pPr>
              <w:jc w:val="center"/>
              <w:rPr>
                <w:b/>
                <w:bCs/>
              </w:rPr>
            </w:pPr>
            <w:r>
              <w:t>Число</w:t>
            </w:r>
            <w:r>
              <w:rPr>
                <w:b/>
                <w:bCs/>
                <w:vertAlign w:val="superscript"/>
              </w:rPr>
              <w:t>а</w:t>
            </w:r>
          </w:p>
        </w:tc>
        <w:tc>
          <w:tcPr>
            <w:tcW w:w="3042" w:type="dxa"/>
            <w:gridSpan w:val="4"/>
            <w:tcBorders>
              <w:bottom w:val="single" w:sz="4" w:space="0" w:color="auto"/>
            </w:tcBorders>
          </w:tcPr>
          <w:p w:rsidR="00000000" w:rsidRDefault="00000000">
            <w:pPr>
              <w:rPr>
                <w:b/>
                <w:bCs/>
              </w:rPr>
            </w:pPr>
            <w:r>
              <w:t>На 1 000 живорождений</w:t>
            </w:r>
          </w:p>
        </w:tc>
      </w:tr>
      <w:tr w:rsidR="00000000">
        <w:tblPrEx>
          <w:tblCellMar>
            <w:top w:w="0" w:type="dxa"/>
            <w:bottom w:w="0" w:type="dxa"/>
          </w:tblCellMar>
        </w:tblPrEx>
        <w:tc>
          <w:tcPr>
            <w:tcW w:w="3661" w:type="dxa"/>
            <w:tcBorders>
              <w:bottom w:val="nil"/>
              <w:right w:val="single" w:sz="4" w:space="0" w:color="auto"/>
            </w:tcBorders>
          </w:tcPr>
          <w:p w:rsidR="00000000" w:rsidRDefault="00000000"/>
        </w:tc>
        <w:tc>
          <w:tcPr>
            <w:tcW w:w="748" w:type="dxa"/>
            <w:tcBorders>
              <w:left w:val="single" w:sz="4" w:space="0" w:color="auto"/>
              <w:bottom w:val="nil"/>
              <w:right w:val="single" w:sz="4" w:space="0" w:color="auto"/>
            </w:tcBorders>
          </w:tcPr>
          <w:p w:rsidR="00000000" w:rsidRDefault="00000000">
            <w:r>
              <w:t>1990</w:t>
            </w:r>
          </w:p>
        </w:tc>
        <w:tc>
          <w:tcPr>
            <w:tcW w:w="748" w:type="dxa"/>
            <w:tcBorders>
              <w:left w:val="single" w:sz="4" w:space="0" w:color="auto"/>
              <w:bottom w:val="nil"/>
              <w:right w:val="single" w:sz="4" w:space="0" w:color="auto"/>
            </w:tcBorders>
          </w:tcPr>
          <w:p w:rsidR="00000000" w:rsidRDefault="00000000">
            <w:r>
              <w:t>1996</w:t>
            </w:r>
          </w:p>
        </w:tc>
        <w:tc>
          <w:tcPr>
            <w:tcW w:w="748" w:type="dxa"/>
            <w:tcBorders>
              <w:left w:val="single" w:sz="4" w:space="0" w:color="auto"/>
              <w:bottom w:val="nil"/>
              <w:right w:val="single" w:sz="4" w:space="0" w:color="auto"/>
            </w:tcBorders>
          </w:tcPr>
          <w:p w:rsidR="00000000" w:rsidRDefault="00000000">
            <w:r>
              <w:t>1997</w:t>
            </w:r>
          </w:p>
        </w:tc>
        <w:tc>
          <w:tcPr>
            <w:tcW w:w="748" w:type="dxa"/>
            <w:tcBorders>
              <w:left w:val="single" w:sz="4" w:space="0" w:color="auto"/>
              <w:bottom w:val="nil"/>
              <w:right w:val="single" w:sz="4" w:space="0" w:color="auto"/>
            </w:tcBorders>
          </w:tcPr>
          <w:p w:rsidR="00000000" w:rsidRDefault="00000000">
            <w:r>
              <w:t>1998</w:t>
            </w:r>
          </w:p>
        </w:tc>
        <w:tc>
          <w:tcPr>
            <w:tcW w:w="748" w:type="dxa"/>
            <w:tcBorders>
              <w:left w:val="single" w:sz="4" w:space="0" w:color="auto"/>
              <w:bottom w:val="nil"/>
              <w:right w:val="single" w:sz="4" w:space="0" w:color="auto"/>
            </w:tcBorders>
          </w:tcPr>
          <w:p w:rsidR="00000000" w:rsidRDefault="00000000">
            <w:r>
              <w:t>1990</w:t>
            </w:r>
          </w:p>
        </w:tc>
        <w:tc>
          <w:tcPr>
            <w:tcW w:w="748" w:type="dxa"/>
            <w:tcBorders>
              <w:left w:val="single" w:sz="4" w:space="0" w:color="auto"/>
              <w:bottom w:val="nil"/>
              <w:right w:val="single" w:sz="4" w:space="0" w:color="auto"/>
            </w:tcBorders>
          </w:tcPr>
          <w:p w:rsidR="00000000" w:rsidRDefault="00000000">
            <w:r>
              <w:t>1996</w:t>
            </w:r>
          </w:p>
        </w:tc>
        <w:tc>
          <w:tcPr>
            <w:tcW w:w="748" w:type="dxa"/>
            <w:tcBorders>
              <w:left w:val="single" w:sz="4" w:space="0" w:color="auto"/>
              <w:bottom w:val="nil"/>
              <w:right w:val="single" w:sz="4" w:space="0" w:color="auto"/>
            </w:tcBorders>
          </w:tcPr>
          <w:p w:rsidR="00000000" w:rsidRDefault="00000000">
            <w:r>
              <w:t>1997</w:t>
            </w:r>
          </w:p>
        </w:tc>
        <w:tc>
          <w:tcPr>
            <w:tcW w:w="798" w:type="dxa"/>
            <w:tcBorders>
              <w:left w:val="single" w:sz="4" w:space="0" w:color="auto"/>
              <w:bottom w:val="nil"/>
            </w:tcBorders>
          </w:tcPr>
          <w:p w:rsidR="00000000" w:rsidRDefault="00000000">
            <w:r>
              <w:t>1998</w:t>
            </w:r>
          </w:p>
        </w:tc>
      </w:tr>
      <w:tr w:rsidR="00000000">
        <w:tblPrEx>
          <w:tblCellMar>
            <w:top w:w="0" w:type="dxa"/>
            <w:bottom w:w="0" w:type="dxa"/>
          </w:tblCellMar>
        </w:tblPrEx>
        <w:tc>
          <w:tcPr>
            <w:tcW w:w="3661" w:type="dxa"/>
            <w:tcBorders>
              <w:top w:val="nil"/>
              <w:right w:val="single" w:sz="4" w:space="0" w:color="auto"/>
            </w:tcBorders>
          </w:tcPr>
          <w:p w:rsidR="00000000" w:rsidRDefault="00000000">
            <w:r>
              <w:t>День 0</w:t>
            </w:r>
          </w:p>
        </w:tc>
        <w:tc>
          <w:tcPr>
            <w:tcW w:w="748" w:type="dxa"/>
            <w:tcBorders>
              <w:top w:val="nil"/>
              <w:left w:val="single" w:sz="4" w:space="0" w:color="auto"/>
              <w:right w:val="single" w:sz="4" w:space="0" w:color="auto"/>
            </w:tcBorders>
          </w:tcPr>
          <w:p w:rsidR="00000000" w:rsidRDefault="00000000">
            <w:pPr>
              <w:jc w:val="right"/>
            </w:pPr>
            <w:r>
              <w:t>236</w:t>
            </w:r>
          </w:p>
        </w:tc>
        <w:tc>
          <w:tcPr>
            <w:tcW w:w="748" w:type="dxa"/>
            <w:tcBorders>
              <w:top w:val="nil"/>
              <w:left w:val="single" w:sz="4" w:space="0" w:color="auto"/>
              <w:right w:val="single" w:sz="4" w:space="0" w:color="auto"/>
            </w:tcBorders>
          </w:tcPr>
          <w:p w:rsidR="00000000" w:rsidRDefault="00000000">
            <w:pPr>
              <w:jc w:val="right"/>
            </w:pPr>
            <w:r>
              <w:t>73</w:t>
            </w:r>
          </w:p>
        </w:tc>
        <w:tc>
          <w:tcPr>
            <w:tcW w:w="748" w:type="dxa"/>
            <w:tcBorders>
              <w:top w:val="nil"/>
              <w:left w:val="single" w:sz="4" w:space="0" w:color="auto"/>
              <w:right w:val="single" w:sz="4" w:space="0" w:color="auto"/>
            </w:tcBorders>
          </w:tcPr>
          <w:p w:rsidR="00000000" w:rsidRDefault="00000000">
            <w:pPr>
              <w:jc w:val="right"/>
            </w:pPr>
            <w:r>
              <w:t>62</w:t>
            </w:r>
          </w:p>
        </w:tc>
        <w:tc>
          <w:tcPr>
            <w:tcW w:w="748" w:type="dxa"/>
            <w:tcBorders>
              <w:top w:val="nil"/>
              <w:left w:val="single" w:sz="4" w:space="0" w:color="auto"/>
              <w:right w:val="single" w:sz="4" w:space="0" w:color="auto"/>
            </w:tcBorders>
          </w:tcPr>
          <w:p w:rsidR="00000000" w:rsidRDefault="00000000">
            <w:pPr>
              <w:jc w:val="right"/>
            </w:pPr>
            <w:r>
              <w:t>66</w:t>
            </w:r>
          </w:p>
        </w:tc>
        <w:tc>
          <w:tcPr>
            <w:tcW w:w="748" w:type="dxa"/>
            <w:tcBorders>
              <w:top w:val="nil"/>
              <w:left w:val="single" w:sz="4" w:space="0" w:color="auto"/>
              <w:right w:val="single" w:sz="4" w:space="0" w:color="auto"/>
            </w:tcBorders>
          </w:tcPr>
          <w:p w:rsidR="00000000" w:rsidRDefault="00000000">
            <w:pPr>
              <w:jc w:val="right"/>
            </w:pPr>
            <w:r>
              <w:t>1,8</w:t>
            </w:r>
          </w:p>
        </w:tc>
        <w:tc>
          <w:tcPr>
            <w:tcW w:w="748" w:type="dxa"/>
            <w:tcBorders>
              <w:top w:val="nil"/>
              <w:left w:val="single" w:sz="4" w:space="0" w:color="auto"/>
              <w:right w:val="single" w:sz="4" w:space="0" w:color="auto"/>
            </w:tcBorders>
          </w:tcPr>
          <w:p w:rsidR="00000000" w:rsidRDefault="00000000">
            <w:pPr>
              <w:jc w:val="right"/>
            </w:pPr>
            <w:r>
              <w:t>0,8</w:t>
            </w:r>
          </w:p>
        </w:tc>
        <w:tc>
          <w:tcPr>
            <w:tcW w:w="748" w:type="dxa"/>
            <w:tcBorders>
              <w:top w:val="nil"/>
              <w:left w:val="single" w:sz="4" w:space="0" w:color="auto"/>
              <w:right w:val="single" w:sz="4" w:space="0" w:color="auto"/>
            </w:tcBorders>
          </w:tcPr>
          <w:p w:rsidR="00000000" w:rsidRDefault="00000000">
            <w:pPr>
              <w:jc w:val="right"/>
            </w:pPr>
            <w:r>
              <w:t>0,7</w:t>
            </w:r>
          </w:p>
        </w:tc>
        <w:tc>
          <w:tcPr>
            <w:tcW w:w="798" w:type="dxa"/>
            <w:tcBorders>
              <w:top w:val="nil"/>
              <w:left w:val="single" w:sz="4" w:space="0" w:color="auto"/>
            </w:tcBorders>
          </w:tcPr>
          <w:p w:rsidR="00000000" w:rsidRDefault="00000000">
            <w:pPr>
              <w:jc w:val="right"/>
            </w:pPr>
            <w:r>
              <w:t>0,7</w:t>
            </w:r>
          </w:p>
        </w:tc>
      </w:tr>
    </w:tbl>
    <w:p w:rsidR="00000000" w:rsidRDefault="00000000"/>
    <w:p w:rsidR="00000000" w:rsidRDefault="00000000">
      <w:r>
        <w:tab/>
      </w:r>
      <w:r>
        <w:rPr>
          <w:u w:val="single"/>
        </w:rPr>
        <w:t>Источник</w:t>
      </w:r>
      <w:r>
        <w:t>:  Чешское статистическое управление, 1999 год.</w:t>
      </w:r>
    </w:p>
    <w:p w:rsidR="00000000" w:rsidRDefault="00000000"/>
    <w:p w:rsidR="00000000" w:rsidRDefault="00000000">
      <w:r>
        <w:tab/>
      </w:r>
      <w:r>
        <w:rPr>
          <w:b/>
          <w:bCs/>
          <w:vertAlign w:val="superscript"/>
        </w:rPr>
        <w:t>а</w:t>
      </w:r>
      <w:r>
        <w:tab/>
        <w:t>Совокупная численность.</w:t>
      </w:r>
    </w:p>
    <w:p w:rsidR="00000000" w:rsidRDefault="00000000"/>
    <w:p w:rsidR="00000000" w:rsidRDefault="00000000">
      <w:r>
        <w:t>505.</w:t>
      </w:r>
      <w:r>
        <w:tab/>
        <w:t>В пренатальный период женщина проходит десять осмотров при условии нормального течения беременности, а в случае необходимости и большее число осмотров.  В ходе беременности дважды производится ультразвуковое обследование (в течение 20-й и 32-й недель), а в случае повышенного риска и патологической беременности такие обследования проводятся чаще.  Число осмотров и их охват в ходе пренатального периода устанавливаются в соответствии с постановлением об амбулаторном обслуживании</w:t>
      </w:r>
      <w:r>
        <w:rPr>
          <w:rStyle w:val="FootnoteReference"/>
        </w:rPr>
        <w:footnoteReference w:id="307"/>
      </w:r>
      <w:r>
        <w:t>.  Такое обслуживание оплачивается за счет общего медицинского страхования.</w:t>
      </w:r>
    </w:p>
    <w:p w:rsidR="00000000" w:rsidRDefault="00000000"/>
    <w:p w:rsidR="00000000" w:rsidRDefault="00000000">
      <w:r>
        <w:t>506.</w:t>
      </w:r>
      <w:r>
        <w:tab/>
        <w:t>В Чешской Республике не было отмечено значительного улучшения здоровья детей, несмотря на хороший уровень медицинского обслуживания для этой группы населения.  Не имеется никаких данных, свидетельствующих о сокращении заболеваемости детей и подростков, и число детей и подростков, проходящих лечение, также не сокращается (число врожденных дефектов развития и аллергических заболеваний, включая бронхиальную астму, возрастает, так же как и число случаев заболеваний нервной системы, умственной отсталости и серьезных поведенческих расстройств).  По нашему мнению, наиболее серьезной причиной этого является загрязнение окружающей среды, в особенности в промышленных городских районах, а также нездоровый образ жизни;  продолжается также рост числа серьезных увечий среди детей.</w:t>
      </w:r>
    </w:p>
    <w:p w:rsidR="00000000" w:rsidRDefault="00000000"/>
    <w:p w:rsidR="00000000" w:rsidRDefault="00000000">
      <w:r>
        <w:t>507.</w:t>
      </w:r>
      <w:r>
        <w:tab/>
        <w:t>С 1990 года происходит рост процентной доли подростков и детей, которые имеют опыт употребления наркотических средств, или уже страдают от наркотической зависимости.  Среди молодежи также растет наркотическая зависимость от никотина и алкоголизм.  Молодые люди в возрасте от 15 до 19 относятся к группе повышенного риска, представители которой наиболее часто пробуют незаконные наркотические средства.  Эпидемиологические исследования свидетельствуют о том, что примерно одна треть учащихся средних школ уже пробовали (хотя бы один раз) то или иное наркотическое средство, помимо алкоголя.  Средний возраст потребителей наркотических средств во время первого обращения к врачу составляет 20,6 лет, однако 12,7% от вновь зарегистрированных потребителей наркотиков подтвердили, что они впервые попробовали наркотики до достижении возраста 15 лет;  в возрастной группе до 19 лет доля таких лиц составила 74%</w:t>
      </w:r>
      <w:r>
        <w:rPr>
          <w:rStyle w:val="FootnoteReference"/>
        </w:rPr>
        <w:footnoteReference w:id="308"/>
      </w:r>
      <w:r>
        <w:t>.</w:t>
      </w:r>
    </w:p>
    <w:p w:rsidR="00000000" w:rsidRDefault="00000000"/>
    <w:p w:rsidR="00000000" w:rsidRDefault="00000000">
      <w:r>
        <w:t>508.</w:t>
      </w:r>
      <w:r>
        <w:tab/>
        <w:t>Координация доступа к наркологическим услугам на уровне центрального правительства осуществляется Межминистерской комиссией по наркотикам правительства Чешской Республики, которую возглавляет премьер-министр и в состав которой входят министры внутренних дел, юстиции, здравоохранения, просвещения, по делам молодежи и спорта, а также министр труда и по социальным вопросам.  В феврале 1998 года правительство утвердило Основные направления и Программу политики по борьбе со злоупотреблением наркотиками на 1998-2000 годы</w:t>
      </w:r>
      <w:r>
        <w:rPr>
          <w:rStyle w:val="FootnoteReference"/>
        </w:rPr>
        <w:footnoteReference w:id="309"/>
      </w:r>
      <w:r>
        <w:t>, в которых предусматриваются задачи конкретных министерств и местных органов власти и самоуправления.  Основное внимание уделяется не только методам и средствам наказания, но также - особенно в отношении детей и подростков - вопросам профилактики.  Политика по борьбе со злоупотреблением наркотиками финансируется по линии соответствующих министерств и их программ субсидирования, а также по линии генерального казначейства через районные и городские управления в виде целевых субсидий.  По состоянию на конец 1998 года в базе данных лечебных/контактных центров было зарегистрировано в общей сложности 237 учреждений, которые, по их утверждению, осуществляют деятельность по налаживанию контактов с лицами, злоупотребляющими наркотическими средствами.  Общее число новых зарегистрированных клиентов (без различия возраста) в 1998 году составило 3 858 человек, тогда как в 1997 году их было на 720 человек меньше.</w:t>
      </w:r>
    </w:p>
    <w:p w:rsidR="00000000" w:rsidRDefault="00000000"/>
    <w:p w:rsidR="00000000" w:rsidRDefault="00000000">
      <w:r>
        <w:t>509.</w:t>
      </w:r>
      <w:r>
        <w:tab/>
        <w:t>Статистика госпитализации и амбулаторного лечения свидетельствует о высоком уровне заболеваемости среди детей и подростков.  Доля детей от общего числа госпитализированных пациентов в 1997 году составляла 16,5%:  было зарегистрировано  345 000 случаев госпитализации детей в возрасте от 0-14 лет (включая новорожденных), что равно 19 случаям на 100 детей.  В возрастной группе от 15 до 19 лет в 1997 году было зарегистрировано 90 000 случаев госпитализации (11 подростков на 100 жителей).</w:t>
      </w:r>
    </w:p>
    <w:p w:rsidR="00000000" w:rsidRDefault="00000000"/>
    <w:p w:rsidR="00000000" w:rsidRDefault="00000000">
      <w:r>
        <w:t>510.</w:t>
      </w:r>
      <w:r>
        <w:tab/>
        <w:t>Наиболее частыми причинами госпитализации детей в возрасте до одного года являются условия, которые возникли в ходе пренатального периода (15% случаев госпитализации в этой возрастной группе), за которой следуют заболевания дыхательных путей (8%).  В группах в возрасте от 1 до 4 лет и от 5 до 9 лет наиболее частой причиной госпитализации являются заболевания дыхательных путей (примерно 40% случаев), за которыми следуют травмы и отравления (12%).  Для детей в возрасте от 10 до 14 лет первое место занимают травмы и отравления (примерно 20%).  Третье место для всех детей занимают заболевания пищеварительного тракта.  В подростковом возрасте наиболее частой причиной являются травмы.</w:t>
      </w:r>
    </w:p>
    <w:p w:rsidR="00000000" w:rsidRDefault="00000000"/>
    <w:p w:rsidR="00000000" w:rsidRDefault="00000000">
      <w:r>
        <w:t>511.</w:t>
      </w:r>
      <w:r>
        <w:tab/>
        <w:t xml:space="preserve">Другим источником информации о заболеваемости являются данные об амбулаторном лечении.  Наиболее часто дети проходят лечение от заболеваний нервной системы и органов чувств, главным образом расстройств зрения, за которыми следуют заболевания дыхательных путей (главным образом, бронхиальная астма) и заболевания кожи и подкожных тканей (главным образом экзема).  На третьем месте для подростков стоят заболевания мышц и опорно-двигательного аппарата.  </w:t>
      </w:r>
    </w:p>
    <w:p w:rsidR="00000000" w:rsidRDefault="00000000"/>
    <w:p w:rsidR="00000000" w:rsidRDefault="00000000">
      <w:r>
        <w:t>512.</w:t>
      </w:r>
      <w:r>
        <w:tab/>
        <w:t xml:space="preserve">В Чешской Республике продолжается совершенствование методов диагностики (например, было начато применение систем магнитного резонанса для детей).  Создаются специализированные центры для лечения детей, занимающиеся кардиологией, неврологией, травматологией, перинатологией и онкологией.  Были достигнуты значительные успехи в области трансплантации органов детям - производятся трансплантации почек, сердца (даже детям малого возраста), легких и печени.  Внедрение новых видов лечения в области онкологии позволило постепенно сократить в последние годы смертность от злокачественной неоплазии.  Если в 1991 году умерли 12 мальчиков и 6 девочек (на 100 000 мальчиков и девочек), то в 1996 году этот показатель составил 6 мальчиков и 4 девочки.  </w:t>
      </w:r>
    </w:p>
    <w:p w:rsidR="00000000" w:rsidRDefault="00000000"/>
    <w:p w:rsidR="00000000" w:rsidRDefault="00000000">
      <w:r>
        <w:t>513.</w:t>
      </w:r>
      <w:r>
        <w:tab/>
        <w:t>Медицинское обслуживание детей и подростков оплачивается по линии общего страхования в той степени, в которой это предусматривается Законом о медицинском страховании</w:t>
      </w:r>
      <w:r>
        <w:rPr>
          <w:rStyle w:val="FootnoteReference"/>
        </w:rPr>
        <w:footnoteReference w:id="310"/>
      </w:r>
      <w:r>
        <w:t xml:space="preserve">.  Государство оплачивает медицинское страхование для детей и подростков.  В специализированных детских учреждениях (учреждениях для младенцев и детских домах для детей вплоть до трехлетнего возраста) медицинское обслуживание оплачивается из бюджета основателя такого учреждения.  </w:t>
      </w:r>
    </w:p>
    <w:p w:rsidR="00000000" w:rsidRDefault="00000000"/>
    <w:p w:rsidR="00000000" w:rsidRDefault="00000000">
      <w:r>
        <w:t>514.</w:t>
      </w:r>
      <w:r>
        <w:tab/>
        <w:t>Операции, которые не могут быть выполнены внутри страны, в исключительных случаях частично оплачиваются из бюджета министерства здравоохранения.  Речь идет главным образом о трансплантации органов и костного мозга для детей и подростков.  В 1998 и 1999 годах на эти цели из бюджета министерства здравоохранения было выделено свыше 19 млн. чешских крон.  Средства для выполнения таких операций также формируются за счет публичного сбора финансовых пожертвований от физических и юридических лиц.</w:t>
      </w:r>
    </w:p>
    <w:p w:rsidR="00000000" w:rsidRDefault="00000000"/>
    <w:p w:rsidR="00000000" w:rsidRDefault="00000000">
      <w:r>
        <w:t>515.</w:t>
      </w:r>
      <w:r>
        <w:tab/>
        <w:t>Некоторые виды прививок также оплачиваются за счет бюджета.  Масштабы и правила обязательной вакцинации предусматриваются в постановлении о вакцинации от инфекционных заболеваний</w:t>
      </w:r>
      <w:r>
        <w:rPr>
          <w:rStyle w:val="FootnoteReference"/>
        </w:rPr>
        <w:footnoteReference w:id="311"/>
      </w:r>
      <w:r>
        <w:t>.  Вакцинация оплачивается в соответствии с Законом о медицинском страховании.</w:t>
      </w:r>
    </w:p>
    <w:p w:rsidR="00000000" w:rsidRDefault="00000000"/>
    <w:p w:rsidR="00000000" w:rsidRDefault="00000000">
      <w:r>
        <w:t>516.</w:t>
      </w:r>
      <w:r>
        <w:tab/>
        <w:t>Постановление предусматривает обязательную регулярную вакцинацию детей вакциной тройного действия от дифтерии, столбняка и коклюша, вакциной тройного действия от кори, краснухи и свинки и вакциной от инфекционных форм детского полиомиелита и туберкулеза.  В постановлении также предусматривается специальная вакцинация, предназначенная для лиц, подверженных более высокому риску заражения в рамках выполнения своих профессиональных функций.  Это включает вакцинацию медицинских работников против туберкулеза и вирусного гепатита В.  Постановление также предусматривает чрезвычайные вакцинации (например, от гриппа для лиц, которым это рекомендовано по медицинским показаниям), вакцинацию от травм (против столбняка), вакцинацию от бешенства и вакцинацию перед поездками за границу (против малярии).  Безопасность веществ, используемых для вакцинации, обеспечивается Законом о медикаментах</w:t>
      </w:r>
      <w:r>
        <w:rPr>
          <w:rStyle w:val="FootnoteReference"/>
        </w:rPr>
        <w:footnoteReference w:id="312"/>
      </w:r>
      <w:r>
        <w:t>.</w:t>
      </w:r>
    </w:p>
    <w:p w:rsidR="00000000" w:rsidRDefault="00000000"/>
    <w:p w:rsidR="00000000" w:rsidRDefault="00000000">
      <w:r>
        <w:t>517.</w:t>
      </w:r>
      <w:r>
        <w:tab/>
        <w:t>По состоянию на 30 июня 1999 года в Чешской Республике было зарегистрировано в целом 411 случаев инфицирования ВИЧ.  По состоянию на эту дату в 124 из этих случаев было установлено наличие полной формы СПИДа;  77 пациентов, пораженных СПИДом, умерли.  По состоянию на эту же дату в Чешской Республике было зарегистрировано 35 беременных женщин с позитивной реакцией ВИЧ, которые родили 25 детей (в одном случае </w:t>
      </w:r>
      <w:r>
        <w:noBreakHyphen/>
        <w:t xml:space="preserve"> двойняшек, в девяти случаях беременность была искусственным образом прервана по просьбе матери, а в одном случае произошел непроизвольный выкидыш).  У 19 из этих детей была установлена негативная реакция на ВИЧ, тогда как еще пять детей по состоянию на этот срок не достигли двухлетнего возраста, когда можно с определенностью установить ВИЧ-статус ребенка;  у одного ребенка была выявлена положительная реакция на ВИЧ.</w:t>
      </w:r>
    </w:p>
    <w:p w:rsidR="00000000" w:rsidRDefault="00000000"/>
    <w:p w:rsidR="00000000" w:rsidRDefault="00000000">
      <w:r>
        <w:t>518.</w:t>
      </w:r>
      <w:r>
        <w:tab/>
        <w:t>В 1991 году правительство утвердило Национальную программу профилактики СПИДа</w:t>
      </w:r>
      <w:r>
        <w:rPr>
          <w:rStyle w:val="FootnoteReference"/>
        </w:rPr>
        <w:footnoteReference w:id="313"/>
      </w:r>
      <w:r>
        <w:t xml:space="preserve">, которая является основой для среднесрочного плана для решения проблем ВИЧ/СПИДа в Чешской Республике на 1993-1997 годы.  В рамках этого плана, в частности, было организовано анонимное, бесплатное и легкодоступное тестирование на ВИЧ в рамках широкой сети учреждений выборочной проверки и тестирования, создания многочисленных местных и одной общенациональной "горячей линии" помощи по вопросам СПИДа и нескольких консультационных бюро по вопросам СПИДа.  Возросло число негосударственных некоммерческих организаций, задействованных в рамках этой программы, и было начато осуществление ряда программ распространения медицинских знаний с использованием новейших достижений науки, в частности для молодежи.  Проблема профилактики передаваемых половым путем заболеваний и СПИДа была включена в действующую учебную программу.  В сотрудничестве с министерствами здравоохранения, просвещения и спорта и неправительственными и некоммерческими организациями было начато осуществление программ до дипломного и последипломного обучения преподавателей по тематике ВИЧ/СПИДа и сексуального просвещения.  </w:t>
      </w:r>
    </w:p>
    <w:p w:rsidR="00000000" w:rsidRDefault="00000000"/>
    <w:p w:rsidR="00000000" w:rsidRDefault="00000000">
      <w:r>
        <w:t>519.</w:t>
      </w:r>
      <w:r>
        <w:tab/>
        <w:t xml:space="preserve">В настоящее время в Чешской Республике действует Национальная программа профилактики ВИЧ/СПИДа на 1998-2002 годы.  Основные задачи этой программы включают следующее:  </w:t>
      </w:r>
    </w:p>
    <w:p w:rsidR="00000000" w:rsidRDefault="00000000">
      <w:pPr>
        <w:spacing w:line="240" w:lineRule="auto"/>
      </w:pPr>
    </w:p>
    <w:p w:rsidR="00000000" w:rsidRDefault="00000000">
      <w:pPr>
        <w:spacing w:line="240" w:lineRule="auto"/>
        <w:ind w:left="1134" w:hanging="1134"/>
        <w:rPr>
          <w:lang w:val="en-US"/>
        </w:rPr>
      </w:pPr>
      <w:r>
        <w:tab/>
        <w:t>-</w:t>
      </w:r>
      <w:r>
        <w:tab/>
        <w:t>пропаганда безопасного секса;</w:t>
      </w:r>
    </w:p>
    <w:p w:rsidR="00000000" w:rsidRDefault="00000000">
      <w:pPr>
        <w:spacing w:line="240" w:lineRule="auto"/>
        <w:ind w:left="1134" w:hanging="1134"/>
        <w:rPr>
          <w:lang w:val="en-US"/>
        </w:rPr>
      </w:pPr>
    </w:p>
    <w:p w:rsidR="00000000" w:rsidRDefault="00000000">
      <w:pPr>
        <w:tabs>
          <w:tab w:val="clear" w:pos="1134"/>
          <w:tab w:val="left" w:pos="1122"/>
        </w:tabs>
        <w:spacing w:line="240" w:lineRule="auto"/>
        <w:ind w:left="1134" w:hanging="1134"/>
      </w:pPr>
      <w:r>
        <w:rPr>
          <w:lang w:val="en-US"/>
        </w:rPr>
        <w:tab/>
      </w:r>
      <w:r>
        <w:t>-</w:t>
      </w:r>
      <w:r>
        <w:tab/>
        <w:t>распространение информации о перинатальной передаче ВИЧ;</w:t>
      </w:r>
    </w:p>
    <w:p w:rsidR="00000000" w:rsidRDefault="00000000">
      <w:pPr>
        <w:tabs>
          <w:tab w:val="clear" w:pos="1134"/>
        </w:tabs>
        <w:spacing w:line="240" w:lineRule="auto"/>
        <w:ind w:left="1134" w:hanging="1134"/>
      </w:pPr>
    </w:p>
    <w:p w:rsidR="00000000" w:rsidRDefault="00000000">
      <w:pPr>
        <w:tabs>
          <w:tab w:val="clear" w:pos="1134"/>
          <w:tab w:val="left" w:pos="1122"/>
        </w:tabs>
        <w:spacing w:line="240" w:lineRule="auto"/>
        <w:ind w:left="1134" w:hanging="1134"/>
      </w:pPr>
      <w:r>
        <w:tab/>
        <w:t>-</w:t>
      </w:r>
      <w:r>
        <w:tab/>
        <w:t>организация консультаций для женщин с положительной реакцией на ВИЧ;</w:t>
      </w:r>
    </w:p>
    <w:p w:rsidR="00000000" w:rsidRDefault="00000000">
      <w:pPr>
        <w:tabs>
          <w:tab w:val="clear" w:pos="1134"/>
        </w:tabs>
        <w:ind w:left="567" w:hanging="567"/>
      </w:pPr>
    </w:p>
    <w:p w:rsidR="00000000" w:rsidRDefault="00000000">
      <w:pPr>
        <w:tabs>
          <w:tab w:val="clear" w:pos="1134"/>
          <w:tab w:val="left" w:pos="1122"/>
        </w:tabs>
        <w:ind w:left="1122" w:hanging="1122"/>
      </w:pPr>
      <w:r>
        <w:tab/>
        <w:t>-</w:t>
      </w:r>
      <w:r>
        <w:tab/>
        <w:t>организация консультаций по профилактике ВИЧ для всех беременных женщин, включая проведение анализов на ВИЧ;</w:t>
      </w:r>
    </w:p>
    <w:p w:rsidR="00000000" w:rsidRDefault="00000000">
      <w:pPr>
        <w:tabs>
          <w:tab w:val="clear" w:pos="1134"/>
        </w:tabs>
        <w:ind w:left="1122" w:hanging="1122"/>
      </w:pPr>
    </w:p>
    <w:p w:rsidR="00000000" w:rsidRDefault="00000000">
      <w:pPr>
        <w:tabs>
          <w:tab w:val="clear" w:pos="1134"/>
          <w:tab w:val="left" w:pos="1122"/>
        </w:tabs>
        <w:ind w:left="1122" w:hanging="1122"/>
      </w:pPr>
      <w:r>
        <w:tab/>
        <w:t>-</w:t>
      </w:r>
      <w:r>
        <w:tab/>
        <w:t>организация в средствах массовой информации на национальном и региональном уровнях кампании, предназначенной для широких слоев населения, в целях расширения знаний по важности безопасных сексуальных контактов для предупреждения ВИЧ/СПИДа и об изменении сексуального поведения, проводимой путем публикации статей, подготовленных экспертами, проведени</w:t>
      </w:r>
      <w:r>
        <w:rPr>
          <w:lang w:val="en-US"/>
        </w:rPr>
        <w:t>z</w:t>
      </w:r>
      <w:r>
        <w:t xml:space="preserve"> дискуссий и просветительных мероприятий, трансляции программ радио и телевидения и т.д.</w:t>
      </w:r>
    </w:p>
    <w:p w:rsidR="00000000" w:rsidRDefault="00000000">
      <w:pPr>
        <w:tabs>
          <w:tab w:val="clear" w:pos="1134"/>
        </w:tabs>
      </w:pPr>
    </w:p>
    <w:p w:rsidR="00000000" w:rsidRDefault="00000000">
      <w:r>
        <w:t>520.</w:t>
      </w:r>
      <w:r>
        <w:rPr>
          <w:b/>
          <w:bCs/>
        </w:rPr>
        <w:tab/>
      </w:r>
      <w:r>
        <w:t>Защита детей от злоупотребления веществами, вызывающими наркотическую зависимость.  Согласно статье 218 Уголовного кодекса продажа алкогольных напитков лицам в возрасте до 18 лет является наказуемым деянием.  Пункт 1 статьи 4 Закона о защите от алкоголизма и других видов наркотической зависимости от токсинов</w:t>
      </w:r>
      <w:r>
        <w:rPr>
          <w:rStyle w:val="FootnoteReference"/>
        </w:rPr>
        <w:footnoteReference w:id="314"/>
      </w:r>
      <w:r>
        <w:t xml:space="preserve"> запрещает продажу или отпуск алкогольных напитков или создание иных возможностей для их потребления для лиц в возрасте до 18 лет.  Этот закон также запрещает продажу табачных изделий лицам в возрасте до 16 лет.  Согласно пункту 3 статьи 4 этого закона территориальные органы государственной власти могут в пределах своих административных границ ограничивать или запрещать продажу в магазинах веществ, вызывающих наркотическую зависимость, или содержащих их продуктов лицам в возрасте до 18 лет.  Согласно статье 5 этого закона лица, осуществляющие продажу или отпуск алкогольных напитков, не должны продавать их в случае наличия сомнений в отношении выполнения возрастных требований, если возраст не может быть подтвержден официальным документом.  Юридические представители подростков также должны обеспечивать соблюдение таких запретов.</w:t>
      </w:r>
    </w:p>
    <w:p w:rsidR="00000000" w:rsidRDefault="00000000"/>
    <w:p w:rsidR="00000000" w:rsidRDefault="00000000">
      <w:pPr>
        <w:pStyle w:val="BodyText"/>
        <w:spacing w:line="288" w:lineRule="auto"/>
      </w:pPr>
      <w:r>
        <w:t>Пункт 2 b)</w:t>
      </w:r>
    </w:p>
    <w:p w:rsidR="00000000" w:rsidRDefault="00000000"/>
    <w:p w:rsidR="00000000" w:rsidRDefault="00000000">
      <w:r>
        <w:t>521.</w:t>
      </w:r>
      <w:r>
        <w:tab/>
        <w:t>Жилищные условия включают в себя в первую очередь состояние окружающей среды, которая определяется качеством или чистотой тех компонентов окружающей среды, которые имеют основополагающее значение для жизни человека:  воздуха, воды, природы и сельской местности.  Право на благоприятное состояние окружающей среды гарантируется статьей 35 Хартии:</w:t>
      </w:r>
    </w:p>
    <w:p w:rsidR="00000000" w:rsidRDefault="00000000">
      <w:pPr>
        <w:pStyle w:val="FootnoteText"/>
        <w:spacing w:line="288" w:lineRule="auto"/>
      </w:pPr>
    </w:p>
    <w:p w:rsidR="00000000" w:rsidRDefault="00000000">
      <w:r>
        <w:tab/>
        <w:t>"(1)</w:t>
      </w:r>
      <w:r>
        <w:tab/>
        <w:t>Каждый имеет право на благоприятную окружающую среду.</w:t>
      </w:r>
    </w:p>
    <w:p w:rsidR="00000000" w:rsidRDefault="00000000"/>
    <w:p w:rsidR="00000000" w:rsidRDefault="00000000">
      <w:pPr>
        <w:ind w:left="1134" w:hanging="1134"/>
      </w:pPr>
      <w:r>
        <w:tab/>
        <w:t>(2)</w:t>
      </w:r>
      <w:r>
        <w:tab/>
        <w:t>Каждый имеет право на своевременную и полную информацию о состоянии окружающей среды и природных ресурсов.</w:t>
      </w:r>
    </w:p>
    <w:p w:rsidR="00000000" w:rsidRDefault="00000000">
      <w:pPr>
        <w:ind w:left="1134" w:hanging="1134"/>
      </w:pPr>
    </w:p>
    <w:p w:rsidR="00000000" w:rsidRDefault="00000000">
      <w:pPr>
        <w:ind w:left="1134" w:hanging="1134"/>
      </w:pPr>
      <w:r>
        <w:tab/>
        <w:t>(3)</w:t>
      </w:r>
      <w:r>
        <w:tab/>
        <w:t>При осуществлении своих прав никто не может создавать угрозу или наносить ущерб окружающей среде, природным ресурсам, разнообразию видов животного и растительного мира и памятникам культуры сверх норм, установленных законом".</w:t>
      </w:r>
    </w:p>
    <w:p w:rsidR="00000000" w:rsidRDefault="00000000">
      <w:pPr>
        <w:ind w:left="1134" w:hanging="1134"/>
      </w:pPr>
    </w:p>
    <w:p w:rsidR="00000000" w:rsidRDefault="00000000">
      <w:r>
        <w:t>522.</w:t>
      </w:r>
      <w:r>
        <w:tab/>
        <w:t>Право на информацию о состоянии окружающей среды подробно регулируется соответствующим законом</w:t>
      </w:r>
      <w:r>
        <w:rPr>
          <w:rStyle w:val="FootnoteReference"/>
        </w:rPr>
        <w:footnoteReference w:id="315"/>
      </w:r>
      <w:r>
        <w:t>, который также возлагает на министерство по охране окружающей среды и на министерство образования, по делам молодежи и спорта обязанность сотрудничать в области информации, образования и подготовки кадров в целях охраны окружающей среды.  В этой связи в декабре 1999 года эти министерства заключили двустороннее соглашение, регулирующее разделение компетенций в этой области</w:t>
      </w:r>
      <w:r>
        <w:rPr>
          <w:rStyle w:val="FootnoteReference"/>
        </w:rPr>
        <w:footnoteReference w:id="316"/>
      </w:r>
      <w:r>
        <w:t>.  Министерство окружающей среды координирует работу по подготовке государственной программы экологической информации, просвещения и подготовки кадров в Чешской Республике, которая будет представлена правительству до конца 2000 года.  Этот документ будет увязан с государственной экологической политикой</w:t>
      </w:r>
      <w:r>
        <w:rPr>
          <w:rStyle w:val="FootnoteReference"/>
        </w:rPr>
        <w:footnoteReference w:id="317"/>
      </w:r>
      <w:r>
        <w:t xml:space="preserve"> и со сводными министерскими основными направлениями деятельности в области информации, просвещения и информирования населения по экологическим вопросам, а также с имеющим важное значение добавлением, озаглавленным "Обзор обеспечения экологической информации, просвещения и подготовки кадров в странах Европейского союза и некоторых других странах"</w:t>
      </w:r>
      <w:r>
        <w:rPr>
          <w:rStyle w:val="FootnoteReference"/>
        </w:rPr>
        <w:footnoteReference w:id="318"/>
      </w:r>
      <w:r>
        <w:t>.</w:t>
      </w:r>
    </w:p>
    <w:p w:rsidR="00000000" w:rsidRDefault="00000000"/>
    <w:p w:rsidR="00000000" w:rsidRDefault="00000000">
      <w:r>
        <w:t>523.</w:t>
      </w:r>
      <w:r>
        <w:tab/>
        <w:t>Охрана водных ресурсов обеспечивается Законом о водных ресурсах</w:t>
      </w:r>
      <w:r>
        <w:rPr>
          <w:rStyle w:val="FootnoteReference"/>
        </w:rPr>
        <w:footnoteReference w:id="319"/>
      </w:r>
      <w:r>
        <w:t xml:space="preserve">.  В частности, такие положения содержатся в части третьей этого Закона, озаглавленной "Охрана водных ресурсов", которая регулирует территориальную охрану водных ресурсов за счет использования естественных районов водосбора, зон охраны водных ресурсов и водотоков, используемых для получения питьевой воды, и речных бассейнов.  Эта часть также регулирует качество поверхностных и грунтовых вод и обеспечение населения питьевой водой.  В настоящее время ведется подготовка нового закона о водных ресурсах, проект которого будет представлен правительству в первом квартале 2000 года.  В 1999 году правительство приняло новое постановление № 82/1999 </w:t>
      </w:r>
      <w:r>
        <w:rPr>
          <w:lang w:val="en-US"/>
        </w:rPr>
        <w:t>Coll</w:t>
      </w:r>
      <w:r>
        <w:t>., определяющее порядок осуществления Закона о водных ресурсах и содержащее показатели и величины допустимых уровней загрязнения воды.</w:t>
      </w:r>
    </w:p>
    <w:p w:rsidR="00000000" w:rsidRDefault="00000000">
      <w:pPr>
        <w:spacing w:line="240" w:lineRule="auto"/>
      </w:pPr>
    </w:p>
    <w:p w:rsidR="00000000" w:rsidRDefault="00000000">
      <w:pPr>
        <w:spacing w:line="240" w:lineRule="auto"/>
        <w:jc w:val="center"/>
      </w:pPr>
      <w:r>
        <w:rPr>
          <w:b/>
          <w:bCs/>
        </w:rPr>
        <w:t>Государственная система водоснабжения и государственные канализационные системы (данные в %)</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6"/>
        <w:gridCol w:w="748"/>
        <w:gridCol w:w="748"/>
        <w:gridCol w:w="748"/>
        <w:gridCol w:w="748"/>
        <w:gridCol w:w="726"/>
        <w:gridCol w:w="696"/>
      </w:tblGrid>
      <w:tr w:rsidR="00000000">
        <w:tblPrEx>
          <w:tblCellMar>
            <w:top w:w="0" w:type="dxa"/>
            <w:bottom w:w="0" w:type="dxa"/>
          </w:tblCellMar>
        </w:tblPrEx>
        <w:tc>
          <w:tcPr>
            <w:tcW w:w="5157" w:type="dxa"/>
            <w:tcBorders>
              <w:left w:val="single" w:sz="4" w:space="0" w:color="auto"/>
              <w:bottom w:val="single" w:sz="4" w:space="0" w:color="auto"/>
              <w:right w:val="single" w:sz="4" w:space="0" w:color="auto"/>
            </w:tcBorders>
          </w:tcPr>
          <w:p w:rsidR="00000000" w:rsidRDefault="00000000">
            <w:pPr>
              <w:spacing w:line="240" w:lineRule="auto"/>
            </w:pPr>
          </w:p>
        </w:tc>
        <w:tc>
          <w:tcPr>
            <w:tcW w:w="748" w:type="dxa"/>
            <w:tcBorders>
              <w:left w:val="single" w:sz="4" w:space="0" w:color="auto"/>
              <w:bottom w:val="single" w:sz="4" w:space="0" w:color="auto"/>
              <w:right w:val="single" w:sz="4" w:space="0" w:color="auto"/>
            </w:tcBorders>
          </w:tcPr>
          <w:p w:rsidR="00000000" w:rsidRDefault="00000000">
            <w:pPr>
              <w:spacing w:line="240" w:lineRule="auto"/>
              <w:jc w:val="center"/>
            </w:pPr>
            <w:r>
              <w:t>1990</w:t>
            </w:r>
          </w:p>
        </w:tc>
        <w:tc>
          <w:tcPr>
            <w:tcW w:w="748" w:type="dxa"/>
            <w:tcBorders>
              <w:left w:val="single" w:sz="4" w:space="0" w:color="auto"/>
              <w:bottom w:val="single" w:sz="4" w:space="0" w:color="auto"/>
              <w:right w:val="single" w:sz="4" w:space="0" w:color="auto"/>
            </w:tcBorders>
          </w:tcPr>
          <w:p w:rsidR="00000000" w:rsidRDefault="00000000">
            <w:pPr>
              <w:spacing w:line="240" w:lineRule="auto"/>
              <w:jc w:val="center"/>
            </w:pPr>
            <w:r>
              <w:t>1994</w:t>
            </w:r>
          </w:p>
        </w:tc>
        <w:tc>
          <w:tcPr>
            <w:tcW w:w="748" w:type="dxa"/>
            <w:tcBorders>
              <w:left w:val="single" w:sz="4" w:space="0" w:color="auto"/>
              <w:bottom w:val="single" w:sz="4" w:space="0" w:color="auto"/>
              <w:right w:val="single" w:sz="4" w:space="0" w:color="auto"/>
            </w:tcBorders>
          </w:tcPr>
          <w:p w:rsidR="00000000" w:rsidRDefault="00000000">
            <w:pPr>
              <w:spacing w:line="240" w:lineRule="auto"/>
              <w:jc w:val="center"/>
            </w:pPr>
            <w:r>
              <w:t>1995</w:t>
            </w:r>
          </w:p>
        </w:tc>
        <w:tc>
          <w:tcPr>
            <w:tcW w:w="748" w:type="dxa"/>
            <w:tcBorders>
              <w:left w:val="single" w:sz="4" w:space="0" w:color="auto"/>
              <w:bottom w:val="single" w:sz="4" w:space="0" w:color="auto"/>
              <w:right w:val="single" w:sz="4" w:space="0" w:color="auto"/>
            </w:tcBorders>
          </w:tcPr>
          <w:p w:rsidR="00000000" w:rsidRDefault="00000000">
            <w:pPr>
              <w:spacing w:line="240" w:lineRule="auto"/>
              <w:jc w:val="center"/>
            </w:pPr>
            <w:r>
              <w:t>1996</w:t>
            </w:r>
          </w:p>
        </w:tc>
        <w:tc>
          <w:tcPr>
            <w:tcW w:w="726" w:type="dxa"/>
            <w:tcBorders>
              <w:left w:val="single" w:sz="4" w:space="0" w:color="auto"/>
              <w:bottom w:val="single" w:sz="4" w:space="0" w:color="auto"/>
              <w:right w:val="single" w:sz="4" w:space="0" w:color="auto"/>
            </w:tcBorders>
          </w:tcPr>
          <w:p w:rsidR="00000000" w:rsidRDefault="00000000">
            <w:pPr>
              <w:spacing w:line="240" w:lineRule="auto"/>
              <w:jc w:val="center"/>
            </w:pPr>
            <w:r>
              <w:t>1997</w:t>
            </w:r>
          </w:p>
        </w:tc>
        <w:tc>
          <w:tcPr>
            <w:tcW w:w="696" w:type="dxa"/>
            <w:tcBorders>
              <w:left w:val="single" w:sz="4" w:space="0" w:color="auto"/>
              <w:bottom w:val="single" w:sz="4" w:space="0" w:color="auto"/>
              <w:right w:val="single" w:sz="4" w:space="0" w:color="auto"/>
            </w:tcBorders>
          </w:tcPr>
          <w:p w:rsidR="00000000" w:rsidRDefault="00000000">
            <w:pPr>
              <w:spacing w:line="240" w:lineRule="auto"/>
              <w:jc w:val="center"/>
            </w:pPr>
            <w:r>
              <w:t>1998</w:t>
            </w:r>
          </w:p>
        </w:tc>
      </w:tr>
      <w:tr w:rsidR="00000000">
        <w:tblPrEx>
          <w:tblCellMar>
            <w:top w:w="0" w:type="dxa"/>
            <w:bottom w:w="0" w:type="dxa"/>
          </w:tblCellMar>
        </w:tblPrEx>
        <w:tc>
          <w:tcPr>
            <w:tcW w:w="5157" w:type="dxa"/>
            <w:tcBorders>
              <w:left w:val="single" w:sz="4" w:space="0" w:color="auto"/>
              <w:bottom w:val="nil"/>
              <w:right w:val="single" w:sz="4" w:space="0" w:color="auto"/>
            </w:tcBorders>
          </w:tcPr>
          <w:p w:rsidR="00000000" w:rsidRDefault="00000000">
            <w:pPr>
              <w:tabs>
                <w:tab w:val="clear" w:pos="567"/>
                <w:tab w:val="left" w:pos="374"/>
              </w:tabs>
              <w:spacing w:line="240" w:lineRule="auto"/>
              <w:ind w:left="374" w:hanging="374"/>
            </w:pPr>
            <w:r>
              <w:t>Процентная доля населения, снабжаемого питьевой водой из государственных систем водоснабжения</w:t>
            </w:r>
          </w:p>
        </w:tc>
        <w:tc>
          <w:tcPr>
            <w:tcW w:w="748" w:type="dxa"/>
            <w:tcBorders>
              <w:left w:val="single" w:sz="4" w:space="0" w:color="auto"/>
              <w:bottom w:val="nil"/>
              <w:right w:val="single" w:sz="4" w:space="0" w:color="auto"/>
            </w:tcBorders>
          </w:tcPr>
          <w:p w:rsidR="00000000" w:rsidRDefault="00000000">
            <w:pPr>
              <w:spacing w:line="240" w:lineRule="auto"/>
            </w:pPr>
            <w:r>
              <w:t>83,2</w:t>
            </w:r>
          </w:p>
        </w:tc>
        <w:tc>
          <w:tcPr>
            <w:tcW w:w="748" w:type="dxa"/>
            <w:tcBorders>
              <w:left w:val="single" w:sz="4" w:space="0" w:color="auto"/>
              <w:bottom w:val="nil"/>
              <w:right w:val="single" w:sz="4" w:space="0" w:color="auto"/>
            </w:tcBorders>
          </w:tcPr>
          <w:p w:rsidR="00000000" w:rsidRDefault="00000000">
            <w:pPr>
              <w:spacing w:line="240" w:lineRule="auto"/>
            </w:pPr>
            <w:r>
              <w:t>85,5</w:t>
            </w:r>
          </w:p>
        </w:tc>
        <w:tc>
          <w:tcPr>
            <w:tcW w:w="748" w:type="dxa"/>
            <w:tcBorders>
              <w:left w:val="single" w:sz="4" w:space="0" w:color="auto"/>
              <w:bottom w:val="nil"/>
              <w:right w:val="single" w:sz="4" w:space="0" w:color="auto"/>
            </w:tcBorders>
          </w:tcPr>
          <w:p w:rsidR="00000000" w:rsidRDefault="00000000">
            <w:pPr>
              <w:spacing w:line="240" w:lineRule="auto"/>
            </w:pPr>
            <w:r>
              <w:t>85,8</w:t>
            </w:r>
          </w:p>
        </w:tc>
        <w:tc>
          <w:tcPr>
            <w:tcW w:w="748" w:type="dxa"/>
            <w:tcBorders>
              <w:left w:val="single" w:sz="4" w:space="0" w:color="auto"/>
              <w:bottom w:val="nil"/>
              <w:right w:val="single" w:sz="4" w:space="0" w:color="auto"/>
            </w:tcBorders>
          </w:tcPr>
          <w:p w:rsidR="00000000" w:rsidRDefault="00000000">
            <w:pPr>
              <w:spacing w:line="240" w:lineRule="auto"/>
            </w:pPr>
            <w:r>
              <w:t>86,0</w:t>
            </w:r>
          </w:p>
        </w:tc>
        <w:tc>
          <w:tcPr>
            <w:tcW w:w="726" w:type="dxa"/>
            <w:tcBorders>
              <w:left w:val="single" w:sz="4" w:space="0" w:color="auto"/>
              <w:bottom w:val="nil"/>
              <w:right w:val="single" w:sz="4" w:space="0" w:color="auto"/>
            </w:tcBorders>
          </w:tcPr>
          <w:p w:rsidR="00000000" w:rsidRDefault="00000000">
            <w:pPr>
              <w:spacing w:line="240" w:lineRule="auto"/>
            </w:pPr>
            <w:r>
              <w:t>86,0</w:t>
            </w:r>
          </w:p>
        </w:tc>
        <w:tc>
          <w:tcPr>
            <w:tcW w:w="696" w:type="dxa"/>
            <w:tcBorders>
              <w:left w:val="single" w:sz="4" w:space="0" w:color="auto"/>
              <w:bottom w:val="nil"/>
              <w:right w:val="single" w:sz="4" w:space="0" w:color="auto"/>
            </w:tcBorders>
          </w:tcPr>
          <w:p w:rsidR="00000000" w:rsidRDefault="00000000">
            <w:pPr>
              <w:spacing w:line="240" w:lineRule="auto"/>
            </w:pPr>
            <w:r>
              <w:t>86,2</w:t>
            </w:r>
          </w:p>
        </w:tc>
      </w:tr>
      <w:tr w:rsidR="00000000">
        <w:tblPrEx>
          <w:tblCellMar>
            <w:top w:w="0" w:type="dxa"/>
            <w:bottom w:w="0" w:type="dxa"/>
          </w:tblCellMar>
        </w:tblPrEx>
        <w:tc>
          <w:tcPr>
            <w:tcW w:w="5157" w:type="dxa"/>
            <w:tcBorders>
              <w:top w:val="nil"/>
              <w:left w:val="single" w:sz="4" w:space="0" w:color="auto"/>
              <w:bottom w:val="nil"/>
              <w:right w:val="single" w:sz="4" w:space="0" w:color="auto"/>
            </w:tcBorders>
          </w:tcPr>
          <w:p w:rsidR="00000000" w:rsidRDefault="00000000">
            <w:pPr>
              <w:tabs>
                <w:tab w:val="clear" w:pos="567"/>
                <w:tab w:val="left" w:pos="374"/>
              </w:tabs>
              <w:spacing w:line="240" w:lineRule="auto"/>
              <w:ind w:left="374" w:hanging="374"/>
            </w:pPr>
            <w:r>
              <w:t>Процентная доля населения, проживающего в зданиях, подключенных к системам канализации</w:t>
            </w:r>
          </w:p>
        </w:tc>
        <w:tc>
          <w:tcPr>
            <w:tcW w:w="748" w:type="dxa"/>
            <w:tcBorders>
              <w:top w:val="nil"/>
              <w:left w:val="single" w:sz="4" w:space="0" w:color="auto"/>
              <w:bottom w:val="nil"/>
              <w:right w:val="single" w:sz="4" w:space="0" w:color="auto"/>
            </w:tcBorders>
          </w:tcPr>
          <w:p w:rsidR="00000000" w:rsidRDefault="00000000">
            <w:pPr>
              <w:spacing w:line="240" w:lineRule="auto"/>
            </w:pPr>
            <w:r>
              <w:t>72,6</w:t>
            </w:r>
          </w:p>
        </w:tc>
        <w:tc>
          <w:tcPr>
            <w:tcW w:w="748" w:type="dxa"/>
            <w:tcBorders>
              <w:top w:val="nil"/>
              <w:left w:val="single" w:sz="4" w:space="0" w:color="auto"/>
              <w:bottom w:val="nil"/>
              <w:right w:val="single" w:sz="4" w:space="0" w:color="auto"/>
            </w:tcBorders>
          </w:tcPr>
          <w:p w:rsidR="00000000" w:rsidRDefault="00000000">
            <w:pPr>
              <w:spacing w:line="240" w:lineRule="auto"/>
            </w:pPr>
            <w:r>
              <w:t>73,0</w:t>
            </w:r>
          </w:p>
        </w:tc>
        <w:tc>
          <w:tcPr>
            <w:tcW w:w="748" w:type="dxa"/>
            <w:tcBorders>
              <w:top w:val="nil"/>
              <w:left w:val="single" w:sz="4" w:space="0" w:color="auto"/>
              <w:bottom w:val="nil"/>
              <w:right w:val="single" w:sz="4" w:space="0" w:color="auto"/>
            </w:tcBorders>
          </w:tcPr>
          <w:p w:rsidR="00000000" w:rsidRDefault="00000000">
            <w:pPr>
              <w:spacing w:line="240" w:lineRule="auto"/>
            </w:pPr>
            <w:r>
              <w:t>73,2</w:t>
            </w:r>
          </w:p>
        </w:tc>
        <w:tc>
          <w:tcPr>
            <w:tcW w:w="748" w:type="dxa"/>
            <w:tcBorders>
              <w:top w:val="nil"/>
              <w:left w:val="single" w:sz="4" w:space="0" w:color="auto"/>
              <w:bottom w:val="nil"/>
              <w:right w:val="single" w:sz="4" w:space="0" w:color="auto"/>
            </w:tcBorders>
          </w:tcPr>
          <w:p w:rsidR="00000000" w:rsidRDefault="00000000">
            <w:pPr>
              <w:spacing w:line="240" w:lineRule="auto"/>
            </w:pPr>
            <w:r>
              <w:t>73,3</w:t>
            </w:r>
          </w:p>
        </w:tc>
        <w:tc>
          <w:tcPr>
            <w:tcW w:w="726" w:type="dxa"/>
            <w:tcBorders>
              <w:top w:val="nil"/>
              <w:left w:val="single" w:sz="4" w:space="0" w:color="auto"/>
              <w:bottom w:val="nil"/>
              <w:right w:val="single" w:sz="4" w:space="0" w:color="auto"/>
            </w:tcBorders>
          </w:tcPr>
          <w:p w:rsidR="00000000" w:rsidRDefault="00000000">
            <w:pPr>
              <w:spacing w:line="240" w:lineRule="auto"/>
            </w:pPr>
            <w:r>
              <w:t>73,5</w:t>
            </w:r>
          </w:p>
        </w:tc>
        <w:tc>
          <w:tcPr>
            <w:tcW w:w="696" w:type="dxa"/>
            <w:tcBorders>
              <w:top w:val="nil"/>
              <w:left w:val="single" w:sz="4" w:space="0" w:color="auto"/>
              <w:bottom w:val="nil"/>
              <w:right w:val="single" w:sz="4" w:space="0" w:color="auto"/>
            </w:tcBorders>
          </w:tcPr>
          <w:p w:rsidR="00000000" w:rsidRDefault="00000000">
            <w:pPr>
              <w:spacing w:line="240" w:lineRule="auto"/>
            </w:pPr>
            <w:r>
              <w:t>74,4</w:t>
            </w:r>
          </w:p>
        </w:tc>
      </w:tr>
      <w:tr w:rsidR="00000000">
        <w:tblPrEx>
          <w:tblCellMar>
            <w:top w:w="0" w:type="dxa"/>
            <w:bottom w:w="0" w:type="dxa"/>
          </w:tblCellMar>
        </w:tblPrEx>
        <w:tc>
          <w:tcPr>
            <w:tcW w:w="5157" w:type="dxa"/>
            <w:tcBorders>
              <w:top w:val="nil"/>
              <w:left w:val="single" w:sz="4" w:space="0" w:color="auto"/>
              <w:right w:val="single" w:sz="4" w:space="0" w:color="auto"/>
            </w:tcBorders>
          </w:tcPr>
          <w:p w:rsidR="00000000" w:rsidRDefault="00000000">
            <w:pPr>
              <w:spacing w:line="240" w:lineRule="auto"/>
            </w:pPr>
            <w:r>
              <w:t>Процентная доля переработанных сточных вод</w:t>
            </w:r>
          </w:p>
        </w:tc>
        <w:tc>
          <w:tcPr>
            <w:tcW w:w="748" w:type="dxa"/>
            <w:tcBorders>
              <w:top w:val="nil"/>
              <w:left w:val="single" w:sz="4" w:space="0" w:color="auto"/>
              <w:right w:val="single" w:sz="4" w:space="0" w:color="auto"/>
            </w:tcBorders>
          </w:tcPr>
          <w:p w:rsidR="00000000" w:rsidRDefault="00000000">
            <w:pPr>
              <w:spacing w:line="240" w:lineRule="auto"/>
            </w:pPr>
            <w:r>
              <w:t>72,6</w:t>
            </w:r>
          </w:p>
        </w:tc>
        <w:tc>
          <w:tcPr>
            <w:tcW w:w="748" w:type="dxa"/>
            <w:tcBorders>
              <w:top w:val="nil"/>
              <w:left w:val="single" w:sz="4" w:space="0" w:color="auto"/>
              <w:right w:val="single" w:sz="4" w:space="0" w:color="auto"/>
            </w:tcBorders>
          </w:tcPr>
          <w:p w:rsidR="00000000" w:rsidRDefault="00000000">
            <w:pPr>
              <w:spacing w:line="240" w:lineRule="auto"/>
            </w:pPr>
            <w:r>
              <w:t>82,2</w:t>
            </w:r>
          </w:p>
        </w:tc>
        <w:tc>
          <w:tcPr>
            <w:tcW w:w="748" w:type="dxa"/>
            <w:tcBorders>
              <w:top w:val="nil"/>
              <w:left w:val="single" w:sz="4" w:space="0" w:color="auto"/>
              <w:right w:val="single" w:sz="4" w:space="0" w:color="auto"/>
            </w:tcBorders>
          </w:tcPr>
          <w:p w:rsidR="00000000" w:rsidRDefault="00000000">
            <w:pPr>
              <w:spacing w:line="240" w:lineRule="auto"/>
            </w:pPr>
            <w:r>
              <w:t>89,5</w:t>
            </w:r>
          </w:p>
        </w:tc>
        <w:tc>
          <w:tcPr>
            <w:tcW w:w="748" w:type="dxa"/>
            <w:tcBorders>
              <w:top w:val="nil"/>
              <w:left w:val="single" w:sz="4" w:space="0" w:color="auto"/>
              <w:right w:val="single" w:sz="4" w:space="0" w:color="auto"/>
            </w:tcBorders>
          </w:tcPr>
          <w:p w:rsidR="00000000" w:rsidRDefault="00000000">
            <w:pPr>
              <w:spacing w:line="240" w:lineRule="auto"/>
            </w:pPr>
            <w:r>
              <w:t>90,3</w:t>
            </w:r>
          </w:p>
        </w:tc>
        <w:tc>
          <w:tcPr>
            <w:tcW w:w="726" w:type="dxa"/>
            <w:tcBorders>
              <w:top w:val="nil"/>
              <w:left w:val="single" w:sz="4" w:space="0" w:color="auto"/>
              <w:right w:val="single" w:sz="4" w:space="0" w:color="auto"/>
            </w:tcBorders>
          </w:tcPr>
          <w:p w:rsidR="00000000" w:rsidRDefault="00000000">
            <w:pPr>
              <w:spacing w:line="240" w:lineRule="auto"/>
            </w:pPr>
            <w:r>
              <w:t>90,9</w:t>
            </w:r>
          </w:p>
        </w:tc>
        <w:tc>
          <w:tcPr>
            <w:tcW w:w="696" w:type="dxa"/>
            <w:tcBorders>
              <w:top w:val="nil"/>
              <w:left w:val="single" w:sz="4" w:space="0" w:color="auto"/>
              <w:right w:val="single" w:sz="4" w:space="0" w:color="auto"/>
            </w:tcBorders>
          </w:tcPr>
          <w:p w:rsidR="00000000" w:rsidRDefault="00000000">
            <w:pPr>
              <w:spacing w:line="240" w:lineRule="auto"/>
            </w:pPr>
            <w:r>
              <w:t>91,3</w:t>
            </w:r>
          </w:p>
        </w:tc>
      </w:tr>
    </w:tbl>
    <w:p w:rsidR="00000000" w:rsidRDefault="00000000">
      <w:pPr>
        <w:spacing w:line="216" w:lineRule="auto"/>
      </w:pPr>
    </w:p>
    <w:p w:rsidR="00000000" w:rsidRDefault="00000000">
      <w:pPr>
        <w:spacing w:line="240" w:lineRule="auto"/>
        <w:rPr>
          <w:lang w:val="en-US"/>
        </w:rPr>
      </w:pPr>
      <w:r>
        <w:tab/>
      </w:r>
      <w:r>
        <w:rPr>
          <w:u w:val="single"/>
        </w:rPr>
        <w:t>Источник</w:t>
      </w:r>
      <w:r>
        <w:rPr>
          <w:lang w:val="en-US"/>
        </w:rPr>
        <w:t>:  Statistical Yearbook of the CR, 1999.</w:t>
      </w:r>
    </w:p>
    <w:p w:rsidR="00000000" w:rsidRDefault="00000000">
      <w:pPr>
        <w:spacing w:line="240" w:lineRule="auto"/>
        <w:rPr>
          <w:lang w:val="en-US"/>
        </w:rPr>
      </w:pPr>
    </w:p>
    <w:p w:rsidR="00000000" w:rsidRDefault="00000000">
      <w:r>
        <w:t>524.</w:t>
      </w:r>
      <w:r>
        <w:tab/>
        <w:t>Охрана воздуха обеспечивается главным образом Законом о воздухе</w:t>
      </w:r>
      <w:r>
        <w:rPr>
          <w:rStyle w:val="FootnoteReference"/>
        </w:rPr>
        <w:footnoteReference w:id="320"/>
      </w:r>
      <w:r>
        <w:t xml:space="preserve"> и Законом об охране озонового слоя Земли</w:t>
      </w:r>
      <w:r>
        <w:rPr>
          <w:rStyle w:val="FootnoteReference"/>
        </w:rPr>
        <w:footnoteReference w:id="321"/>
      </w:r>
      <w:r>
        <w:t>.  Что касается защиты населения от чрезмерного загрязнения воздуха, то особенно важное значение имеют положения, устанавливающие допустимый уровень загрязнения, в частности статья 14 Закона о воздухе, касающаяся загрязнения приземного слоя воздуха, выбросов и уровней осаждения, статья 15 Закона о воздухе, касающаяся районов, в которых требуется особая защита воздуха, и его статья 16, посвященная мерам борьбы со смогом.  Эти положения закона осуществляются на основе следующих норм:</w:t>
      </w:r>
    </w:p>
    <w:p w:rsidR="00000000" w:rsidRDefault="00000000">
      <w:pPr>
        <w:spacing w:line="216" w:lineRule="auto"/>
      </w:pPr>
    </w:p>
    <w:p w:rsidR="00000000" w:rsidRDefault="00000000">
      <w:pPr>
        <w:ind w:left="1134" w:hanging="1134"/>
      </w:pPr>
      <w:r>
        <w:tab/>
        <w:t>-</w:t>
      </w:r>
      <w:r>
        <w:tab/>
        <w:t>Постановление министерства окружающей среды, определяющее районы, в которых требуется особая защита воздуха и устанавливающее принципы для создания и функционирования систем регулирования смога и некоторые другие меры охраны воздуха</w:t>
      </w:r>
      <w:r>
        <w:rPr>
          <w:rStyle w:val="FootnoteReference"/>
        </w:rPr>
        <w:footnoteReference w:id="322"/>
      </w:r>
      <w:r>
        <w:t>;</w:t>
      </w:r>
    </w:p>
    <w:p w:rsidR="00000000" w:rsidRDefault="00000000">
      <w:pPr>
        <w:ind w:left="1134" w:hanging="1134"/>
      </w:pPr>
    </w:p>
    <w:p w:rsidR="00000000" w:rsidRDefault="00000000">
      <w:pPr>
        <w:ind w:left="1134" w:hanging="1134"/>
      </w:pPr>
      <w:r>
        <w:tab/>
        <w:t>-</w:t>
      </w:r>
      <w:r>
        <w:tab/>
        <w:t>решение Федерального комитета по окружающей среде в отношении Закона о защите воздуха от загрязняющих веществ</w:t>
      </w:r>
      <w:r>
        <w:rPr>
          <w:rStyle w:val="FootnoteReference"/>
        </w:rPr>
        <w:footnoteReference w:id="323"/>
      </w:r>
      <w:r>
        <w:t>.</w:t>
      </w:r>
    </w:p>
    <w:p w:rsidR="00000000" w:rsidRDefault="00000000">
      <w:pPr>
        <w:ind w:left="1134" w:hanging="1134"/>
      </w:pPr>
    </w:p>
    <w:p w:rsidR="00000000" w:rsidRDefault="00000000">
      <w:r>
        <w:t>525.</w:t>
      </w:r>
      <w:r>
        <w:tab/>
        <w:t>В настоящее время министерство окружающей среды готовит новый закон о защите воздуха и озонового слоя земли.  Оно представит проект основных принципов на рассмотрение правительства в первом квартале 2000 года.  Закон будет представлен правительству и вступит в силу во второй половине 2001 года.</w:t>
      </w:r>
    </w:p>
    <w:p w:rsidR="00000000" w:rsidRDefault="00000000"/>
    <w:p w:rsidR="00000000" w:rsidRDefault="00000000">
      <w:r>
        <w:t>526.</w:t>
      </w:r>
      <w:r>
        <w:tab/>
        <w:t>Важное значение для защиты воздуха будет также иметь подготовленный закон о комплексном предупреждении и ограничении загрязнения, который будет соответствовать законодательству Европейского сообщества.  Вместе с подготовленным законом о защите воздуха и озонового слоя Земли он будет предусматривать новые подходы к вопросам загрязнения воздуха крупными промышленными компаниями.  Министр окружающей среды представит проект основных принципов правительству во второй половине 2000 года.</w:t>
      </w:r>
    </w:p>
    <w:p w:rsidR="00000000" w:rsidRDefault="00000000"/>
    <w:p w:rsidR="00000000" w:rsidRDefault="00000000">
      <w:r>
        <w:t>527.</w:t>
      </w:r>
      <w:r>
        <w:tab/>
        <w:t>Охрана природы и сельской местности, т.е. охрана генетического фонда диких животных и растений, а также экологического равновесия сельских районов в качестве единого целого, обеспечивается Законом об охране природы и сельской местности и постановлением, регулирующим порядок осуществления этого закона</w:t>
      </w:r>
      <w:r>
        <w:rPr>
          <w:rStyle w:val="FootnoteReference"/>
        </w:rPr>
        <w:footnoteReference w:id="324"/>
      </w:r>
      <w:r>
        <w:t>.  В настоящее время проводится обзор этих правовых норм с точки зрения их сопоставимости с законодательством Европейского союза, и министерство окружающей среды готовит поправки к ним, как это предусмотрено Государственной программой охраны природы и сельской местности в Чешской Республике</w:t>
      </w:r>
      <w:r>
        <w:rPr>
          <w:rStyle w:val="FootnoteReference"/>
        </w:rPr>
        <w:footnoteReference w:id="325"/>
      </w:r>
      <w:r>
        <w:t>.</w:t>
      </w:r>
    </w:p>
    <w:p w:rsidR="00000000" w:rsidRDefault="00000000"/>
    <w:p w:rsidR="00000000" w:rsidRDefault="00000000">
      <w:r>
        <w:t>528.</w:t>
      </w:r>
      <w:r>
        <w:tab/>
        <w:t>В документе "Транспортная политика Чешской Республики"</w:t>
      </w:r>
      <w:r>
        <w:rPr>
          <w:rStyle w:val="FootnoteReference"/>
        </w:rPr>
        <w:footnoteReference w:id="326"/>
      </w:r>
      <w:r>
        <w:t xml:space="preserve"> предусматривается основная цель достижения стабилизации и постепенного сокращения неблагоприятных последствий транспорта и дорожного движения для окружающей среды.  Это позволит усилить защиту населения и экосистем, свести к минимуму использование природных ресурсов и ископаемых видов топлива и удовлетворить потребности в области безопасности и повышения мобильности населения.  Будет также оказываться поддержка развитию экологически безопасных транспортных систем (т.е. систем, позволяющих сократить потребление энергии, ограничить выбросы загрязнителей воздуха, снизить уровень шума и сократить потребности в используемых площадях и риск загрязнения воды и почвы).  Это означает оказание поддержки развитию общественного и комплексного транспорта, массовых и комбинированных грузовых перевозок, экологически безопасных транспортных систем, модернизации автопарка, ужесточению стандартов выбросов, развитию транспортной инфраструктуры, в частности путем строительства объездных дорог вокруг городов и муниципалитетов, повышению качества топлива и т.д.</w:t>
      </w:r>
    </w:p>
    <w:p w:rsidR="00000000" w:rsidRDefault="00000000"/>
    <w:p w:rsidR="00000000" w:rsidRDefault="00000000">
      <w:r>
        <w:t>529.</w:t>
      </w:r>
      <w:r>
        <w:tab/>
        <w:t>Важное значение для защиты здоровья людей имеет также подготовка закона о режиме генетически модифицированных организмов и продуктов, который будет регулировать вопросы, еще не решенные в рамках чешской правовой системы.  В ноябре 1999 года министр окружающей среды представил проект этого закона на рассмотрение правительства Чешской Республики.</w:t>
      </w:r>
    </w:p>
    <w:p w:rsidR="00000000" w:rsidRDefault="00000000"/>
    <w:p w:rsidR="00000000" w:rsidRDefault="00000000">
      <w:r>
        <w:t>530.</w:t>
      </w:r>
      <w:r>
        <w:tab/>
        <w:t>Важным элементом обеспечения качества окружающей среды является обработка сточных вод, в особенности крупными промышленными предприятиями.  Вопросы, касающиеся ограничения объема отходов и методов их переработки, рассматриваются в законе об отходах</w:t>
      </w:r>
      <w:r>
        <w:rPr>
          <w:rStyle w:val="FootnoteReference"/>
        </w:rPr>
        <w:footnoteReference w:id="327"/>
      </w:r>
      <w:r>
        <w:t>.  В этом Законе также рассматриваются вопросы опасных отходов, упаковочных материалов и отходов от упаковочных материалов.  Согласно статье 3 этого Закона, долг каждого - не допускать образования отходов и ограничивать объем и опасный характер отходов.  В этом законе излагаются нормы работы с отходами (использование, обезвреживание, переработка, хранение, транспортировка, сортировка и т.д.).  В 1999 году правительство приняло постановление, определяющее порядок осуществления этого закона, в котором содержится перечень товаров и упаковочных материалов, в отношении которых применяется обязанность возврата, а также излагаются подробные правила удаления упаковочных материалов и отходов от используемых товаров и упаковочных материалов</w:t>
      </w:r>
      <w:r>
        <w:rPr>
          <w:rStyle w:val="FootnoteReference"/>
        </w:rPr>
        <w:footnoteReference w:id="328"/>
      </w:r>
      <w:r>
        <w:t>.  В то же время по</w:t>
      </w:r>
      <w:r>
        <w:noBreakHyphen/>
        <w:t>прежнему сохраняются проблемы, связанные с обеспечением соблюдения производителями их обязанностей по сортировке получаемых отходов.</w:t>
      </w:r>
    </w:p>
    <w:p w:rsidR="00000000" w:rsidRDefault="00000000"/>
    <w:p w:rsidR="00000000" w:rsidRDefault="00000000">
      <w:r>
        <w:t>531.</w:t>
      </w:r>
      <w:r>
        <w:tab/>
        <w:t>В настоящее время министерство окружающей среды ведет подготовку нового закона об отходах, который оно представит правительству в рамках плана нормотворческой деятельности во втором квартале 2000 года;  оно также осуществляет подготовку закона об отходах оберточных и упаковочных материалов, который будет представлен правительству в 2001 году.  Ожидается, что оба эти закона вступят в силу в 2002 году.</w:t>
      </w:r>
    </w:p>
    <w:p w:rsidR="00000000" w:rsidRDefault="00000000"/>
    <w:p w:rsidR="00000000" w:rsidRDefault="00000000">
      <w:r>
        <w:t>532.</w:t>
      </w:r>
      <w:r>
        <w:tab/>
        <w:t>Что касается ограничений негативных последствий некоторых видов деятельности (крупных промышленных предприятий и т.д.) на окружающую среду, огромное значение имеет Закон об оценке воздействия на окружающую среду</w:t>
      </w:r>
      <w:r>
        <w:rPr>
          <w:rStyle w:val="FootnoteReference"/>
        </w:rPr>
        <w:footnoteReference w:id="329"/>
      </w:r>
      <w:r>
        <w:t>.</w:t>
      </w:r>
      <w:r>
        <w:rPr>
          <w:b/>
          <w:bCs/>
        </w:rPr>
        <w:t xml:space="preserve">  </w:t>
      </w:r>
      <w:r>
        <w:t>Новый закон об оценке воздействия на окружающую среду, который министр окружающей среды представил на обсуждение правительства в конце 1999 года, вероятно, вступит в силу в середине 2000 года.  Этот закон должен в полной мере соответствовать законодательству Европейского сообщества, а также положениям Конвенции о доступе к информации, участии общественности в процессе принятия решений и доступе к правосудию по вопросам, касающимся окружающей среды (известной как Орхусская конвенция), которую Чешская Республика готовится ратифицировать в 2000 году.</w:t>
      </w:r>
    </w:p>
    <w:p w:rsidR="00000000" w:rsidRDefault="00000000"/>
    <w:p w:rsidR="00000000" w:rsidRDefault="00000000">
      <w:r>
        <w:t>533.</w:t>
      </w:r>
      <w:r>
        <w:tab/>
        <w:t>Что касается воздействия на окружающую среду, то, без сомнения, важно будет осуществлять мониторинг за фактическими последствиями деятельности конкретных проектов (например, крупных промышленных предприятий) для окружающей среды, что предусматривается в проекте нового закона.  Министерство окружающей среды также готовит проект нового закона о комплексном предупреждении и ограничении загрязнения, цель которого заключается в ограничении загрязнения в результате деятельности перерабатывающих предприятий и который будет иметь огромное значение для инспектирования деятельности различных перерабатывающих предприятий (промышленных и сельскохозяйственных).  Разрешение на функционирование, выдаваемое на установленный период времени, будет основываться главным образом на наилучших имеющихся технологиях и соблюдении установленных пределов выбросов.</w:t>
      </w:r>
    </w:p>
    <w:p w:rsidR="00000000" w:rsidRDefault="00000000"/>
    <w:p w:rsidR="00000000" w:rsidRDefault="00000000">
      <w:r>
        <w:t>534.</w:t>
      </w:r>
      <w:r>
        <w:tab/>
        <w:t>На все подсистемы сельской местности оказывает также значительное влияние деятельность добывающей промышленности.  С этими негативными последствиями борются организации горнодобывающего сектора, действующие на основе Закона о горнодобывающей промышленности</w:t>
      </w:r>
      <w:r>
        <w:rPr>
          <w:rStyle w:val="FootnoteReference"/>
        </w:rPr>
        <w:footnoteReference w:id="330"/>
      </w:r>
      <w:r>
        <w:t xml:space="preserve"> и программ очистки участков и возвращении их в сельскохозяйственный оборот.  Таким образом, земли, пострадавшие от горнодобывающей деятельности, возвращаются и реинкорпорируются в территории сельских районов.</w:t>
      </w:r>
    </w:p>
    <w:p w:rsidR="00000000" w:rsidRDefault="00000000"/>
    <w:p w:rsidR="00000000" w:rsidRDefault="00000000">
      <w:r>
        <w:t>535.</w:t>
      </w:r>
      <w:r>
        <w:tab/>
        <w:t>Таким образом, целые территории, пострадавшие от горнодобывающей деятельности, путем рекультивации преобразовываются в новые поля, фруктовые сады, лесопосадки и парки, новые водотоки и резервуары и зоны отдыха.  Помимо собственных средств горнодобывающих компаний (которые в соответствии с законом используются для очистки и рекультивации), в этой деятельности, требующей больших затрат времени и технических и финансовых средств, задействуются и средства государства путем выделения из государственного бюджета субсидий на цели изъятия капиталовложений.  С 1994 по 1996 год государство выделило из своего бюджета 2 585 млн. чешских крон на закрытие старых горнодобывающих предприятий, а горнодобывающие компании за этот же период израсходовали 1 560 млн. чешских крон на очистку и рекультивацию.</w:t>
      </w:r>
    </w:p>
    <w:p w:rsidR="00000000" w:rsidRDefault="00000000"/>
    <w:p w:rsidR="00000000" w:rsidRDefault="00000000">
      <w:r>
        <w:t>536.</w:t>
      </w:r>
      <w:r>
        <w:tab/>
        <w:t>В ходе подготовки к вступлению в Европейский союз Чешская Республика должна значительно изменить существующие правовые нормы в области окружающей среды и адаптировать существующую систему охраны окружающей среды к требованиям Союза.  По оценкам, для проведения таких изменений потребуются инвестиции в размере 250 млрд. чешских крон.  По этой причине Чешская Республика, вероятно, обратится с просьбой перенести на более поздние сроки выполнение ею обязательств, вытекающих из членства в Европейском союзе, в том числе после ожидаемого срока ее принятия в члены в 2003 году, в таких областях, как охрана вод, переработка отходов, загрязнение промышленными предприятиями и охрана природы</w:t>
      </w:r>
      <w:r>
        <w:rPr>
          <w:rStyle w:val="FootnoteReference"/>
        </w:rPr>
        <w:footnoteReference w:id="331"/>
      </w:r>
      <w:r>
        <w:t>.</w:t>
      </w:r>
    </w:p>
    <w:p w:rsidR="00000000" w:rsidRDefault="00000000"/>
    <w:p w:rsidR="00000000" w:rsidRDefault="00000000">
      <w:r>
        <w:t>537.</w:t>
      </w:r>
      <w:r>
        <w:tab/>
        <w:t>Европейская комиссия считает одним из важных недостатков неспособность адаптировать новые законы об отходах, об охране водных ресурсов и об оценке экологических последствий строительства.  Министерство окружающей среды все еще занимается подготовкой первых двух законов (оно должно представить их правительству в 2000 году), а проект закона об оценке экологических последствий строительства находится на обсуждении в палате депутатов парламента и должен вступить в силу во второй половине 2000 года.  Таким образом, просьбы о перенесении сроков выполнения обязательств, связанных с членством в ЕС, будут касаться следующего:</w:t>
      </w:r>
    </w:p>
    <w:p w:rsidR="00000000" w:rsidRDefault="00000000"/>
    <w:p w:rsidR="00000000" w:rsidRDefault="00000000">
      <w:pPr>
        <w:ind w:left="1134" w:hanging="1134"/>
      </w:pPr>
      <w:r>
        <w:tab/>
        <w:t>-</w:t>
      </w:r>
      <w:r>
        <w:tab/>
        <w:t>не все муниципалитеты, в которых число жителей превышает 2 000 человек, будут располагать объектами очистки сточных вод;</w:t>
      </w:r>
    </w:p>
    <w:p w:rsidR="00000000" w:rsidRDefault="00000000">
      <w:pPr>
        <w:ind w:left="1134" w:hanging="1134"/>
      </w:pPr>
    </w:p>
    <w:p w:rsidR="00000000" w:rsidRDefault="00000000">
      <w:pPr>
        <w:ind w:left="1134" w:hanging="1134"/>
      </w:pPr>
      <w:r>
        <w:tab/>
        <w:t>-</w:t>
      </w:r>
      <w:r>
        <w:tab/>
        <w:t>страна не будет перерабатывать достаточный объем отходов;</w:t>
      </w:r>
    </w:p>
    <w:p w:rsidR="00000000" w:rsidRDefault="00000000">
      <w:pPr>
        <w:ind w:left="1134" w:hanging="1134"/>
      </w:pPr>
    </w:p>
    <w:p w:rsidR="00000000" w:rsidRDefault="00000000">
      <w:pPr>
        <w:ind w:left="1134" w:hanging="1134"/>
      </w:pPr>
      <w:r>
        <w:tab/>
        <w:t>-</w:t>
      </w:r>
      <w:r>
        <w:tab/>
        <w:t>воды, стекающие с сельскохозяйственных земель, будут содержать слишком много нитратов;</w:t>
      </w:r>
    </w:p>
    <w:p w:rsidR="00000000" w:rsidRDefault="00000000">
      <w:pPr>
        <w:ind w:left="1134" w:hanging="1134"/>
      </w:pPr>
    </w:p>
    <w:p w:rsidR="00000000" w:rsidRDefault="00000000">
      <w:pPr>
        <w:ind w:left="1134" w:hanging="1134"/>
      </w:pPr>
      <w:r>
        <w:tab/>
        <w:t>-</w:t>
      </w:r>
      <w:r>
        <w:tab/>
        <w:t>страна не будет иметь достаточно времени, для того чтобы перерегистрировать европейскую сеть защищенных территорий согласно критериям ЕС;</w:t>
      </w:r>
    </w:p>
    <w:p w:rsidR="00000000" w:rsidRDefault="00000000">
      <w:pPr>
        <w:ind w:left="1134" w:hanging="1134"/>
      </w:pPr>
    </w:p>
    <w:p w:rsidR="00000000" w:rsidRDefault="00000000">
      <w:pPr>
        <w:ind w:left="1134" w:hanging="1134"/>
      </w:pPr>
      <w:r>
        <w:tab/>
        <w:t>-</w:t>
      </w:r>
      <w:r>
        <w:tab/>
        <w:t>компании не будут выполнять требования, касающиеся использования таких технологий, которые обеспечивают наилучшую охрану окружающей среды;</w:t>
      </w:r>
    </w:p>
    <w:p w:rsidR="00000000" w:rsidRDefault="00000000">
      <w:pPr>
        <w:ind w:left="1134" w:hanging="1134"/>
      </w:pPr>
    </w:p>
    <w:p w:rsidR="00000000" w:rsidRDefault="00000000">
      <w:pPr>
        <w:ind w:left="1134" w:hanging="1134"/>
      </w:pPr>
      <w:r>
        <w:tab/>
        <w:t>-</w:t>
      </w:r>
      <w:r>
        <w:tab/>
        <w:t>компании не будут соблюдать предельные величины выбросов загрязняющих веществ (например, тяжелых металлов) в реки;</w:t>
      </w:r>
    </w:p>
    <w:p w:rsidR="00000000" w:rsidRDefault="00000000">
      <w:pPr>
        <w:ind w:left="1134" w:hanging="1134"/>
      </w:pPr>
    </w:p>
    <w:p w:rsidR="00000000" w:rsidRDefault="00000000">
      <w:pPr>
        <w:ind w:left="1134" w:hanging="1134"/>
      </w:pPr>
      <w:r>
        <w:tab/>
        <w:t>-</w:t>
      </w:r>
      <w:r>
        <w:tab/>
        <w:t>в некоторых случаях не будут соблюдаться более строгие предельные величины содержания в питьевой воде двух химических веществ (свинец, 1,2</w:t>
      </w:r>
      <w:r>
        <w:noBreakHyphen/>
        <w:t>дихлорэтан).</w:t>
      </w:r>
    </w:p>
    <w:p w:rsidR="00000000" w:rsidRDefault="00000000">
      <w:pPr>
        <w:ind w:left="1134" w:hanging="1134"/>
      </w:pPr>
    </w:p>
    <w:p w:rsidR="00000000" w:rsidRDefault="00000000">
      <w:pPr>
        <w:pStyle w:val="Heading7"/>
        <w:spacing w:line="240" w:lineRule="auto"/>
      </w:pPr>
      <w:r>
        <w:br w:type="page"/>
        <w:t>Расходы на охрану окружающей среды из государственных источников</w:t>
      </w:r>
    </w:p>
    <w:p w:rsidR="00000000" w:rsidRDefault="00000000">
      <w:pPr>
        <w:pStyle w:val="16"/>
        <w:spacing w:line="240" w:lineRule="auto"/>
        <w:rPr>
          <w:b/>
          <w:bCs/>
        </w:rPr>
      </w:pPr>
      <w:r>
        <w:rPr>
          <w:b/>
          <w:bCs/>
        </w:rPr>
        <w:t>(в млрд. чешских крон, в текущих ценах)</w:t>
      </w:r>
    </w:p>
    <w:p w:rsidR="00000000" w:rsidRDefault="00000000">
      <w:pPr>
        <w:pStyle w:val="16"/>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4"/>
        <w:gridCol w:w="748"/>
        <w:gridCol w:w="748"/>
        <w:gridCol w:w="748"/>
        <w:gridCol w:w="726"/>
        <w:gridCol w:w="696"/>
      </w:tblGrid>
      <w:tr w:rsidR="00000000">
        <w:tblPrEx>
          <w:tblCellMar>
            <w:top w:w="0" w:type="dxa"/>
            <w:bottom w:w="0" w:type="dxa"/>
          </w:tblCellMar>
        </w:tblPrEx>
        <w:tc>
          <w:tcPr>
            <w:tcW w:w="5905" w:type="dxa"/>
            <w:tcBorders>
              <w:left w:val="single" w:sz="4" w:space="0" w:color="auto"/>
              <w:bottom w:val="single" w:sz="4" w:space="0" w:color="auto"/>
              <w:right w:val="single" w:sz="4" w:space="0" w:color="auto"/>
            </w:tcBorders>
          </w:tcPr>
          <w:p w:rsidR="00000000" w:rsidRDefault="00000000">
            <w:pPr>
              <w:pStyle w:val="16"/>
              <w:spacing w:line="240" w:lineRule="auto"/>
              <w:jc w:val="left"/>
            </w:pPr>
            <w:r>
              <w:t>Источники финансирования</w:t>
            </w:r>
          </w:p>
        </w:tc>
        <w:tc>
          <w:tcPr>
            <w:tcW w:w="748" w:type="dxa"/>
            <w:tcBorders>
              <w:left w:val="single" w:sz="4" w:space="0" w:color="auto"/>
              <w:bottom w:val="single" w:sz="4" w:space="0" w:color="auto"/>
              <w:right w:val="single" w:sz="4" w:space="0" w:color="auto"/>
            </w:tcBorders>
          </w:tcPr>
          <w:p w:rsidR="00000000" w:rsidRDefault="00000000">
            <w:pPr>
              <w:pStyle w:val="16"/>
              <w:spacing w:line="240" w:lineRule="auto"/>
            </w:pPr>
            <w:r>
              <w:t>1994</w:t>
            </w:r>
          </w:p>
        </w:tc>
        <w:tc>
          <w:tcPr>
            <w:tcW w:w="748" w:type="dxa"/>
            <w:tcBorders>
              <w:left w:val="single" w:sz="4" w:space="0" w:color="auto"/>
              <w:bottom w:val="single" w:sz="4" w:space="0" w:color="auto"/>
              <w:right w:val="single" w:sz="4" w:space="0" w:color="auto"/>
            </w:tcBorders>
          </w:tcPr>
          <w:p w:rsidR="00000000" w:rsidRDefault="00000000">
            <w:pPr>
              <w:pStyle w:val="16"/>
              <w:spacing w:line="240" w:lineRule="auto"/>
            </w:pPr>
            <w:r>
              <w:t>1995</w:t>
            </w:r>
          </w:p>
        </w:tc>
        <w:tc>
          <w:tcPr>
            <w:tcW w:w="748" w:type="dxa"/>
            <w:tcBorders>
              <w:left w:val="single" w:sz="4" w:space="0" w:color="auto"/>
              <w:bottom w:val="single" w:sz="4" w:space="0" w:color="auto"/>
              <w:right w:val="single" w:sz="4" w:space="0" w:color="auto"/>
            </w:tcBorders>
          </w:tcPr>
          <w:p w:rsidR="00000000" w:rsidRDefault="00000000">
            <w:pPr>
              <w:pStyle w:val="16"/>
              <w:spacing w:line="240" w:lineRule="auto"/>
            </w:pPr>
            <w:r>
              <w:t>1996</w:t>
            </w:r>
          </w:p>
        </w:tc>
        <w:tc>
          <w:tcPr>
            <w:tcW w:w="726" w:type="dxa"/>
            <w:tcBorders>
              <w:left w:val="single" w:sz="4" w:space="0" w:color="auto"/>
              <w:bottom w:val="single" w:sz="4" w:space="0" w:color="auto"/>
              <w:right w:val="single" w:sz="4" w:space="0" w:color="auto"/>
            </w:tcBorders>
          </w:tcPr>
          <w:p w:rsidR="00000000" w:rsidRDefault="00000000">
            <w:pPr>
              <w:pStyle w:val="16"/>
              <w:spacing w:line="240" w:lineRule="auto"/>
            </w:pPr>
            <w:r>
              <w:t>1997</w:t>
            </w:r>
          </w:p>
        </w:tc>
        <w:tc>
          <w:tcPr>
            <w:tcW w:w="696" w:type="dxa"/>
            <w:tcBorders>
              <w:left w:val="single" w:sz="4" w:space="0" w:color="auto"/>
              <w:bottom w:val="single" w:sz="4" w:space="0" w:color="auto"/>
              <w:right w:val="single" w:sz="4" w:space="0" w:color="auto"/>
            </w:tcBorders>
          </w:tcPr>
          <w:p w:rsidR="00000000" w:rsidRDefault="00000000">
            <w:pPr>
              <w:pStyle w:val="16"/>
              <w:spacing w:line="240" w:lineRule="auto"/>
            </w:pPr>
            <w:r>
              <w:t>1998</w:t>
            </w:r>
          </w:p>
        </w:tc>
      </w:tr>
      <w:tr w:rsidR="00000000">
        <w:tblPrEx>
          <w:tblCellMar>
            <w:top w:w="0" w:type="dxa"/>
            <w:bottom w:w="0" w:type="dxa"/>
          </w:tblCellMar>
        </w:tblPrEx>
        <w:tc>
          <w:tcPr>
            <w:tcW w:w="5905" w:type="dxa"/>
            <w:tcBorders>
              <w:left w:val="single" w:sz="4" w:space="0" w:color="auto"/>
              <w:bottom w:val="nil"/>
              <w:right w:val="single" w:sz="4" w:space="0" w:color="auto"/>
            </w:tcBorders>
          </w:tcPr>
          <w:p w:rsidR="00000000" w:rsidRDefault="00000000">
            <w:pPr>
              <w:pStyle w:val="16"/>
              <w:spacing w:line="240" w:lineRule="auto"/>
              <w:jc w:val="left"/>
            </w:pPr>
            <w:r>
              <w:t>Всего</w:t>
            </w:r>
          </w:p>
        </w:tc>
        <w:tc>
          <w:tcPr>
            <w:tcW w:w="748" w:type="dxa"/>
            <w:tcBorders>
              <w:left w:val="single" w:sz="4" w:space="0" w:color="auto"/>
              <w:bottom w:val="nil"/>
              <w:right w:val="single" w:sz="4" w:space="0" w:color="auto"/>
            </w:tcBorders>
          </w:tcPr>
          <w:p w:rsidR="00000000" w:rsidRDefault="00000000">
            <w:pPr>
              <w:pStyle w:val="16"/>
              <w:spacing w:line="240" w:lineRule="auto"/>
              <w:jc w:val="right"/>
            </w:pPr>
            <w:r>
              <w:t>13,7</w:t>
            </w:r>
          </w:p>
        </w:tc>
        <w:tc>
          <w:tcPr>
            <w:tcW w:w="748" w:type="dxa"/>
            <w:tcBorders>
              <w:left w:val="single" w:sz="4" w:space="0" w:color="auto"/>
              <w:bottom w:val="nil"/>
              <w:right w:val="single" w:sz="4" w:space="0" w:color="auto"/>
            </w:tcBorders>
          </w:tcPr>
          <w:p w:rsidR="00000000" w:rsidRDefault="00000000">
            <w:pPr>
              <w:pStyle w:val="16"/>
              <w:spacing w:line="240" w:lineRule="auto"/>
              <w:jc w:val="right"/>
            </w:pPr>
            <w:r>
              <w:t>14,9</w:t>
            </w:r>
          </w:p>
        </w:tc>
        <w:tc>
          <w:tcPr>
            <w:tcW w:w="748" w:type="dxa"/>
            <w:tcBorders>
              <w:left w:val="single" w:sz="4" w:space="0" w:color="auto"/>
              <w:bottom w:val="nil"/>
              <w:right w:val="single" w:sz="4" w:space="0" w:color="auto"/>
            </w:tcBorders>
          </w:tcPr>
          <w:p w:rsidR="00000000" w:rsidRDefault="00000000">
            <w:pPr>
              <w:pStyle w:val="16"/>
              <w:spacing w:line="240" w:lineRule="auto"/>
              <w:jc w:val="right"/>
            </w:pPr>
            <w:r>
              <w:t>13,9</w:t>
            </w:r>
          </w:p>
        </w:tc>
        <w:tc>
          <w:tcPr>
            <w:tcW w:w="726" w:type="dxa"/>
            <w:tcBorders>
              <w:left w:val="single" w:sz="4" w:space="0" w:color="auto"/>
              <w:bottom w:val="nil"/>
              <w:right w:val="single" w:sz="4" w:space="0" w:color="auto"/>
            </w:tcBorders>
          </w:tcPr>
          <w:p w:rsidR="00000000" w:rsidRDefault="00000000">
            <w:pPr>
              <w:pStyle w:val="16"/>
              <w:spacing w:line="240" w:lineRule="auto"/>
              <w:jc w:val="right"/>
            </w:pPr>
            <w:r>
              <w:t>9,2</w:t>
            </w:r>
          </w:p>
        </w:tc>
        <w:tc>
          <w:tcPr>
            <w:tcW w:w="696" w:type="dxa"/>
            <w:tcBorders>
              <w:left w:val="single" w:sz="4" w:space="0" w:color="auto"/>
              <w:bottom w:val="nil"/>
              <w:right w:val="single" w:sz="4" w:space="0" w:color="auto"/>
            </w:tcBorders>
          </w:tcPr>
          <w:p w:rsidR="00000000" w:rsidRDefault="00000000">
            <w:pPr>
              <w:pStyle w:val="16"/>
              <w:spacing w:line="240" w:lineRule="auto"/>
              <w:jc w:val="right"/>
            </w:pPr>
            <w:r>
              <w:t>9,2</w:t>
            </w:r>
          </w:p>
        </w:tc>
      </w:tr>
      <w:tr w:rsidR="00000000">
        <w:tblPrEx>
          <w:tblCellMar>
            <w:top w:w="0" w:type="dxa"/>
            <w:bottom w:w="0" w:type="dxa"/>
          </w:tblCellMar>
        </w:tblPrEx>
        <w:tc>
          <w:tcPr>
            <w:tcW w:w="5905" w:type="dxa"/>
            <w:tcBorders>
              <w:top w:val="nil"/>
              <w:left w:val="single" w:sz="4" w:space="0" w:color="auto"/>
              <w:bottom w:val="nil"/>
              <w:right w:val="single" w:sz="4" w:space="0" w:color="auto"/>
            </w:tcBorders>
          </w:tcPr>
          <w:p w:rsidR="00000000" w:rsidRDefault="00000000">
            <w:pPr>
              <w:pStyle w:val="16"/>
              <w:tabs>
                <w:tab w:val="clear" w:pos="567"/>
              </w:tabs>
              <w:spacing w:line="240" w:lineRule="auto"/>
              <w:ind w:left="374" w:hanging="374"/>
              <w:jc w:val="left"/>
            </w:pPr>
            <w:r>
              <w:t>в том числе:  Государственный фонд охраны окружающей среды</w:t>
            </w:r>
          </w:p>
        </w:tc>
        <w:tc>
          <w:tcPr>
            <w:tcW w:w="748" w:type="dxa"/>
            <w:tcBorders>
              <w:top w:val="nil"/>
              <w:left w:val="single" w:sz="4" w:space="0" w:color="auto"/>
              <w:bottom w:val="nil"/>
              <w:right w:val="single" w:sz="4" w:space="0" w:color="auto"/>
            </w:tcBorders>
          </w:tcPr>
          <w:p w:rsidR="00000000" w:rsidRDefault="00000000">
            <w:pPr>
              <w:pStyle w:val="16"/>
              <w:spacing w:line="240" w:lineRule="auto"/>
              <w:jc w:val="right"/>
            </w:pPr>
            <w:r>
              <w:t>3,6</w:t>
            </w:r>
          </w:p>
        </w:tc>
        <w:tc>
          <w:tcPr>
            <w:tcW w:w="748" w:type="dxa"/>
            <w:tcBorders>
              <w:top w:val="nil"/>
              <w:left w:val="single" w:sz="4" w:space="0" w:color="auto"/>
              <w:bottom w:val="nil"/>
              <w:right w:val="single" w:sz="4" w:space="0" w:color="auto"/>
            </w:tcBorders>
          </w:tcPr>
          <w:p w:rsidR="00000000" w:rsidRDefault="00000000">
            <w:pPr>
              <w:pStyle w:val="16"/>
              <w:spacing w:line="240" w:lineRule="auto"/>
              <w:jc w:val="right"/>
            </w:pPr>
            <w:r>
              <w:t>4,9</w:t>
            </w:r>
          </w:p>
        </w:tc>
        <w:tc>
          <w:tcPr>
            <w:tcW w:w="748" w:type="dxa"/>
            <w:tcBorders>
              <w:top w:val="nil"/>
              <w:left w:val="single" w:sz="4" w:space="0" w:color="auto"/>
              <w:bottom w:val="nil"/>
              <w:right w:val="single" w:sz="4" w:space="0" w:color="auto"/>
            </w:tcBorders>
          </w:tcPr>
          <w:p w:rsidR="00000000" w:rsidRDefault="00000000">
            <w:pPr>
              <w:pStyle w:val="16"/>
              <w:spacing w:line="240" w:lineRule="auto"/>
              <w:jc w:val="right"/>
            </w:pPr>
            <w:r>
              <w:t>4,7</w:t>
            </w:r>
          </w:p>
        </w:tc>
        <w:tc>
          <w:tcPr>
            <w:tcW w:w="726" w:type="dxa"/>
            <w:tcBorders>
              <w:top w:val="nil"/>
              <w:left w:val="single" w:sz="4" w:space="0" w:color="auto"/>
              <w:bottom w:val="nil"/>
              <w:right w:val="single" w:sz="4" w:space="0" w:color="auto"/>
            </w:tcBorders>
          </w:tcPr>
          <w:p w:rsidR="00000000" w:rsidRDefault="00000000">
            <w:pPr>
              <w:pStyle w:val="16"/>
              <w:spacing w:line="240" w:lineRule="auto"/>
              <w:jc w:val="right"/>
            </w:pPr>
            <w:r>
              <w:t>3,4</w:t>
            </w:r>
          </w:p>
        </w:tc>
        <w:tc>
          <w:tcPr>
            <w:tcW w:w="696" w:type="dxa"/>
            <w:tcBorders>
              <w:top w:val="nil"/>
              <w:left w:val="single" w:sz="4" w:space="0" w:color="auto"/>
              <w:bottom w:val="nil"/>
              <w:right w:val="single" w:sz="4" w:space="0" w:color="auto"/>
            </w:tcBorders>
          </w:tcPr>
          <w:p w:rsidR="00000000" w:rsidRDefault="00000000">
            <w:pPr>
              <w:pStyle w:val="16"/>
              <w:spacing w:line="240" w:lineRule="auto"/>
              <w:jc w:val="right"/>
            </w:pPr>
            <w:r>
              <w:t>2,3</w:t>
            </w:r>
          </w:p>
        </w:tc>
      </w:tr>
      <w:tr w:rsidR="00000000">
        <w:tblPrEx>
          <w:tblCellMar>
            <w:top w:w="0" w:type="dxa"/>
            <w:bottom w:w="0" w:type="dxa"/>
          </w:tblCellMar>
        </w:tblPrEx>
        <w:tc>
          <w:tcPr>
            <w:tcW w:w="5905" w:type="dxa"/>
            <w:tcBorders>
              <w:top w:val="nil"/>
              <w:left w:val="single" w:sz="4" w:space="0" w:color="auto"/>
              <w:bottom w:val="nil"/>
              <w:right w:val="single" w:sz="4" w:space="0" w:color="auto"/>
            </w:tcBorders>
          </w:tcPr>
          <w:p w:rsidR="00000000" w:rsidRDefault="00000000">
            <w:pPr>
              <w:pStyle w:val="16"/>
              <w:spacing w:line="240" w:lineRule="auto"/>
              <w:jc w:val="left"/>
            </w:pPr>
            <w:r>
              <w:t>Государственный бюджет</w:t>
            </w:r>
          </w:p>
        </w:tc>
        <w:tc>
          <w:tcPr>
            <w:tcW w:w="748" w:type="dxa"/>
            <w:tcBorders>
              <w:top w:val="nil"/>
              <w:left w:val="single" w:sz="4" w:space="0" w:color="auto"/>
              <w:bottom w:val="nil"/>
              <w:right w:val="single" w:sz="4" w:space="0" w:color="auto"/>
            </w:tcBorders>
          </w:tcPr>
          <w:p w:rsidR="00000000" w:rsidRDefault="00000000">
            <w:pPr>
              <w:pStyle w:val="16"/>
              <w:spacing w:line="240" w:lineRule="auto"/>
              <w:jc w:val="right"/>
            </w:pPr>
            <w:r>
              <w:t>10,0</w:t>
            </w:r>
          </w:p>
        </w:tc>
        <w:tc>
          <w:tcPr>
            <w:tcW w:w="748" w:type="dxa"/>
            <w:tcBorders>
              <w:top w:val="nil"/>
              <w:left w:val="single" w:sz="4" w:space="0" w:color="auto"/>
              <w:bottom w:val="nil"/>
              <w:right w:val="single" w:sz="4" w:space="0" w:color="auto"/>
            </w:tcBorders>
          </w:tcPr>
          <w:p w:rsidR="00000000" w:rsidRDefault="00000000">
            <w:pPr>
              <w:pStyle w:val="16"/>
              <w:spacing w:line="240" w:lineRule="auto"/>
              <w:jc w:val="right"/>
            </w:pPr>
            <w:r>
              <w:t>9,2</w:t>
            </w:r>
          </w:p>
        </w:tc>
        <w:tc>
          <w:tcPr>
            <w:tcW w:w="748" w:type="dxa"/>
            <w:tcBorders>
              <w:top w:val="nil"/>
              <w:left w:val="single" w:sz="4" w:space="0" w:color="auto"/>
              <w:bottom w:val="nil"/>
              <w:right w:val="single" w:sz="4" w:space="0" w:color="auto"/>
            </w:tcBorders>
          </w:tcPr>
          <w:p w:rsidR="00000000" w:rsidRDefault="00000000">
            <w:pPr>
              <w:pStyle w:val="16"/>
              <w:spacing w:line="240" w:lineRule="auto"/>
              <w:jc w:val="right"/>
            </w:pPr>
            <w:r>
              <w:t>8,3</w:t>
            </w:r>
          </w:p>
        </w:tc>
        <w:tc>
          <w:tcPr>
            <w:tcW w:w="726" w:type="dxa"/>
            <w:tcBorders>
              <w:top w:val="nil"/>
              <w:left w:val="single" w:sz="4" w:space="0" w:color="auto"/>
              <w:bottom w:val="nil"/>
              <w:right w:val="single" w:sz="4" w:space="0" w:color="auto"/>
            </w:tcBorders>
          </w:tcPr>
          <w:p w:rsidR="00000000" w:rsidRDefault="00000000">
            <w:pPr>
              <w:pStyle w:val="16"/>
              <w:spacing w:line="240" w:lineRule="auto"/>
              <w:jc w:val="right"/>
            </w:pPr>
            <w:r>
              <w:t>4,4</w:t>
            </w:r>
          </w:p>
        </w:tc>
        <w:tc>
          <w:tcPr>
            <w:tcW w:w="696" w:type="dxa"/>
            <w:tcBorders>
              <w:top w:val="nil"/>
              <w:left w:val="single" w:sz="4" w:space="0" w:color="auto"/>
              <w:bottom w:val="nil"/>
              <w:right w:val="single" w:sz="4" w:space="0" w:color="auto"/>
            </w:tcBorders>
          </w:tcPr>
          <w:p w:rsidR="00000000" w:rsidRDefault="00000000">
            <w:pPr>
              <w:pStyle w:val="16"/>
              <w:spacing w:line="240" w:lineRule="auto"/>
              <w:jc w:val="right"/>
            </w:pPr>
            <w:r>
              <w:t>4,7</w:t>
            </w:r>
          </w:p>
        </w:tc>
      </w:tr>
      <w:tr w:rsidR="00000000">
        <w:tblPrEx>
          <w:tblCellMar>
            <w:top w:w="0" w:type="dxa"/>
            <w:bottom w:w="0" w:type="dxa"/>
          </w:tblCellMar>
        </w:tblPrEx>
        <w:tc>
          <w:tcPr>
            <w:tcW w:w="5905" w:type="dxa"/>
            <w:tcBorders>
              <w:top w:val="nil"/>
              <w:left w:val="single" w:sz="4" w:space="0" w:color="auto"/>
              <w:right w:val="single" w:sz="4" w:space="0" w:color="auto"/>
            </w:tcBorders>
          </w:tcPr>
          <w:p w:rsidR="00000000" w:rsidRDefault="00000000">
            <w:pPr>
              <w:pStyle w:val="16"/>
              <w:spacing w:line="240" w:lineRule="auto"/>
              <w:jc w:val="left"/>
            </w:pPr>
            <w:r>
              <w:t>Национальный фонд собственности</w:t>
            </w:r>
          </w:p>
        </w:tc>
        <w:tc>
          <w:tcPr>
            <w:tcW w:w="748" w:type="dxa"/>
            <w:tcBorders>
              <w:top w:val="nil"/>
              <w:left w:val="single" w:sz="4" w:space="0" w:color="auto"/>
              <w:right w:val="single" w:sz="4" w:space="0" w:color="auto"/>
            </w:tcBorders>
          </w:tcPr>
          <w:p w:rsidR="00000000" w:rsidRDefault="00000000">
            <w:pPr>
              <w:pStyle w:val="16"/>
              <w:spacing w:line="240" w:lineRule="auto"/>
              <w:jc w:val="right"/>
            </w:pPr>
            <w:r>
              <w:t>0,1</w:t>
            </w:r>
          </w:p>
        </w:tc>
        <w:tc>
          <w:tcPr>
            <w:tcW w:w="748" w:type="dxa"/>
            <w:tcBorders>
              <w:top w:val="nil"/>
              <w:left w:val="single" w:sz="4" w:space="0" w:color="auto"/>
              <w:right w:val="single" w:sz="4" w:space="0" w:color="auto"/>
            </w:tcBorders>
          </w:tcPr>
          <w:p w:rsidR="00000000" w:rsidRDefault="00000000">
            <w:pPr>
              <w:pStyle w:val="16"/>
              <w:spacing w:line="240" w:lineRule="auto"/>
              <w:jc w:val="right"/>
            </w:pPr>
            <w:r>
              <w:t>0,8</w:t>
            </w:r>
          </w:p>
        </w:tc>
        <w:tc>
          <w:tcPr>
            <w:tcW w:w="748" w:type="dxa"/>
            <w:tcBorders>
              <w:top w:val="nil"/>
              <w:left w:val="single" w:sz="4" w:space="0" w:color="auto"/>
              <w:right w:val="single" w:sz="4" w:space="0" w:color="auto"/>
            </w:tcBorders>
          </w:tcPr>
          <w:p w:rsidR="00000000" w:rsidRDefault="00000000">
            <w:pPr>
              <w:pStyle w:val="16"/>
              <w:spacing w:line="240" w:lineRule="auto"/>
              <w:jc w:val="right"/>
            </w:pPr>
            <w:r>
              <w:t>0,9</w:t>
            </w:r>
          </w:p>
        </w:tc>
        <w:tc>
          <w:tcPr>
            <w:tcW w:w="726" w:type="dxa"/>
            <w:tcBorders>
              <w:top w:val="nil"/>
              <w:left w:val="single" w:sz="4" w:space="0" w:color="auto"/>
              <w:right w:val="single" w:sz="4" w:space="0" w:color="auto"/>
            </w:tcBorders>
          </w:tcPr>
          <w:p w:rsidR="00000000" w:rsidRDefault="00000000">
            <w:pPr>
              <w:pStyle w:val="16"/>
              <w:spacing w:line="240" w:lineRule="auto"/>
              <w:jc w:val="right"/>
            </w:pPr>
            <w:r>
              <w:t>1,4</w:t>
            </w:r>
          </w:p>
        </w:tc>
        <w:tc>
          <w:tcPr>
            <w:tcW w:w="696" w:type="dxa"/>
            <w:tcBorders>
              <w:top w:val="nil"/>
              <w:left w:val="single" w:sz="4" w:space="0" w:color="auto"/>
              <w:right w:val="single" w:sz="4" w:space="0" w:color="auto"/>
            </w:tcBorders>
          </w:tcPr>
          <w:p w:rsidR="00000000" w:rsidRDefault="00000000">
            <w:pPr>
              <w:pStyle w:val="16"/>
              <w:spacing w:line="240" w:lineRule="auto"/>
              <w:jc w:val="right"/>
            </w:pPr>
            <w:r>
              <w:t>2,2</w:t>
            </w:r>
          </w:p>
        </w:tc>
      </w:tr>
    </w:tbl>
    <w:p w:rsidR="00000000" w:rsidRDefault="00000000">
      <w:pPr>
        <w:pStyle w:val="16"/>
        <w:spacing w:line="240" w:lineRule="auto"/>
        <w:jc w:val="left"/>
      </w:pPr>
    </w:p>
    <w:p w:rsidR="00000000" w:rsidRDefault="00000000">
      <w:pPr>
        <w:pStyle w:val="16"/>
        <w:spacing w:line="240" w:lineRule="auto"/>
        <w:jc w:val="left"/>
      </w:pPr>
      <w:r>
        <w:tab/>
      </w:r>
      <w:r>
        <w:rPr>
          <w:u w:val="single"/>
        </w:rPr>
        <w:t>Источник</w:t>
      </w:r>
      <w:r>
        <w:t>:  Чешское статистическое управление, 1999 год.</w:t>
      </w:r>
    </w:p>
    <w:p w:rsidR="00000000" w:rsidRDefault="00000000">
      <w:pPr>
        <w:pStyle w:val="16"/>
        <w:jc w:val="left"/>
      </w:pPr>
    </w:p>
    <w:p w:rsidR="00000000" w:rsidRDefault="00000000">
      <w:pPr>
        <w:pStyle w:val="16"/>
        <w:jc w:val="left"/>
      </w:pPr>
    </w:p>
    <w:p w:rsidR="00000000" w:rsidRDefault="00000000">
      <w:pPr>
        <w:pStyle w:val="16"/>
        <w:jc w:val="left"/>
      </w:pPr>
      <w:r>
        <w:t>538.</w:t>
      </w:r>
      <w:r>
        <w:tab/>
        <w:t>В 1997 году в Чешской Республике был принят Закон об использовании атомной энергии и ионизирующей радиации</w:t>
      </w:r>
      <w:r>
        <w:rPr>
          <w:b/>
          <w:bCs/>
        </w:rPr>
        <w:t xml:space="preserve"> </w:t>
      </w:r>
      <w:r>
        <w:t>в мирных целях (Закон об атомной энергии)</w:t>
      </w:r>
      <w:r>
        <w:rPr>
          <w:rStyle w:val="FootnoteReference"/>
        </w:rPr>
        <w:footnoteReference w:id="332"/>
      </w:r>
      <w:r>
        <w:t xml:space="preserve">.  Этот закон создает правовые рамки для безопасного функционирования атомных объектов и предусматривает учреждение административного органа, отвечающего за безопасную переработку радиоактивных отходов - Администрации участков хранения радиоактивных отходов.  Государство через министерство промышленности и торговли принимает меры по финансированию сбора, уничтожения и хранения радиоактивных отходов медицинских учреждений, научных институтов и промышленных компаний (институциональных радиоактивных отходов).  В целях повышения безопасности эксплуатации атомных электростанций государство, также через министерство промышленности и торговли, финансирует научные исследования и работу государственных органов по обеспечению готовности к атомной аварии.  Основная доля государственных расходов приходится на устранение экологического ущерба, связанного с добычей урана.  Государственной компании "Диамо" выделяются соответствующие субсидии.  Обеспечение атомной безопасности и защиты от радиации на атомных объектах после их введения в действие и в ходе их эксплуатации регулируется Постановлением Государственного управления по атомной безопасности № 106/1998 </w:t>
      </w:r>
      <w:r>
        <w:rPr>
          <w:lang w:val="en-US"/>
        </w:rPr>
        <w:t>Coll</w:t>
      </w:r>
      <w:r>
        <w:t>.</w:t>
      </w:r>
    </w:p>
    <w:p w:rsidR="00000000" w:rsidRDefault="00000000"/>
    <w:p w:rsidR="00000000" w:rsidRDefault="00000000">
      <w:r>
        <w:t>539.</w:t>
      </w:r>
      <w:r>
        <w:tab/>
        <w:t>Министерство здравоохранения через Агентство по внутренним грантам оказывает поддержку научным исследованиям по вопросам условий жизни и эпидемиологических заболеваний и систем здравоохранения, которые направлены на создание оптимальных условий для обеспечения медицинских услуг и ухода.  Анализ результатов проектов, завершенных в период с 1993 по 1996 год, свидетельствует о том, что были завершены восемь проектов в области окружающей среды, на которые было израсходовано 736 000 чешских крон.  Однако проекты по вопросам окружающей среды зачастую затрагивают и другие приоритетные области, в частности проект "Здоровые города" (13 проектов в 1998 году).  Эти комплексные программы направлены на комплексное решение проблем охраны окружающей среды и здравоохранения и затрагивают такие темы, как физическая активность, стресс, обеспечение здоровья в школах и предупреждение заболеваний.</w:t>
      </w:r>
    </w:p>
    <w:p w:rsidR="00000000" w:rsidRDefault="00000000"/>
    <w:p w:rsidR="00000000" w:rsidRDefault="00000000">
      <w:r>
        <w:t>540.</w:t>
      </w:r>
      <w:r>
        <w:tab/>
        <w:t>Министерство здравоохранения в сотрудничестве с другими министерствами, в частности с министерством окружающей среды и министерством сельского хозяйства, подготовило документ "План действий в области охраны здоровья и окружающей среды в Чешской Республике", который правительство утвердило в декабре 1998 года</w:t>
      </w:r>
      <w:r>
        <w:rPr>
          <w:rStyle w:val="FootnoteReference"/>
        </w:rPr>
        <w:footnoteReference w:id="333"/>
      </w:r>
      <w:r>
        <w:t>.  В этом документе отмечается согласие министерств в том, что касается решения проблем здравоохранения и окружающей среды, и он рассматривается в качестве компонента политики здравоохранения для обеспечения здоровой окружающей среды и здоровья населения.  Он тесно связан с другими документами, утвержденными правительством, в частности с Государственной политикой в области охраны окружающей среды и Национальной программой в области здравоохранения.</w:t>
      </w:r>
    </w:p>
    <w:p w:rsidR="00000000" w:rsidRDefault="00000000"/>
    <w:p w:rsidR="00000000" w:rsidRDefault="00000000">
      <w:r>
        <w:t>541.</w:t>
      </w:r>
      <w:r>
        <w:tab/>
        <w:t>В апреле 1999 года правительство создало Совет по охране здоровья и окружающей среды</w:t>
      </w:r>
      <w:r>
        <w:rPr>
          <w:rStyle w:val="FootnoteReference"/>
        </w:rPr>
        <w:footnoteReference w:id="334"/>
      </w:r>
      <w:r>
        <w:t>, в котором представлены все соответствующие министерства и который оказывает существенную помощь в создании условий для улучшения состояния окружающей среды и здоровья населения.</w:t>
      </w:r>
    </w:p>
    <w:p w:rsidR="00000000" w:rsidRDefault="00000000"/>
    <w:p w:rsidR="00000000" w:rsidRDefault="00000000">
      <w:r>
        <w:t>542.</w:t>
      </w:r>
      <w:r>
        <w:tab/>
        <w:t>Министерство здравоохранения также принимает меры по мониторингу здоровья населения в связи с состоянием окружающей среды в рамках долгосрочной программы "Система мониторинга здоровья населения в связи с состоянием окружающей среды"</w:t>
      </w:r>
      <w:r>
        <w:rPr>
          <w:rStyle w:val="FootnoteReference"/>
        </w:rPr>
        <w:footnoteReference w:id="335"/>
      </w:r>
      <w:r>
        <w:t>.  Цель этой программы заключается в получении на постоянной основе информации в целях разработки государственной политики в области здравоохранения и охраны окружающей среды на всех уровнях государственной администрации, создания предпосылок для надлежащих законодательных мер и установления соответствующих предельных величин для веществ, загрязняющих окружающую среду.</w:t>
      </w:r>
    </w:p>
    <w:p w:rsidR="00000000" w:rsidRDefault="00000000"/>
    <w:p w:rsidR="00000000" w:rsidRDefault="00000000">
      <w:r>
        <w:t>543.</w:t>
      </w:r>
      <w:r>
        <w:tab/>
        <w:t>В 30 отдельных городах проводится регулярная оценка следующих показателей (при этом не во всех 30 городах проводится оценка всех подсистем):</w:t>
      </w:r>
    </w:p>
    <w:p w:rsidR="00000000" w:rsidRDefault="00000000"/>
    <w:p w:rsidR="00000000" w:rsidRDefault="00000000">
      <w:pPr>
        <w:ind w:left="1134" w:hanging="1134"/>
      </w:pPr>
      <w:r>
        <w:tab/>
        <w:t>-</w:t>
      </w:r>
      <w:r>
        <w:tab/>
        <w:t>последствия для здоровья и риски, связанные с загрязнением воздуха, загрязнением питьевой воды и беспокоящими воздействиями шума;</w:t>
      </w:r>
    </w:p>
    <w:p w:rsidR="00000000" w:rsidRDefault="00000000">
      <w:pPr>
        <w:ind w:left="1134" w:hanging="1134"/>
      </w:pPr>
    </w:p>
    <w:p w:rsidR="00000000" w:rsidRDefault="00000000">
      <w:pPr>
        <w:ind w:left="1134" w:hanging="1134"/>
      </w:pPr>
      <w:r>
        <w:tab/>
        <w:t>-</w:t>
      </w:r>
      <w:r>
        <w:tab/>
        <w:t>последствия для здоровья нагрузки на человеческий организм в результате употребления неперевариваемых веществ в пищевой цепочке (неправильная диета);</w:t>
      </w:r>
    </w:p>
    <w:p w:rsidR="00000000" w:rsidRDefault="00000000">
      <w:pPr>
        <w:ind w:left="1134" w:hanging="1134"/>
      </w:pPr>
    </w:p>
    <w:p w:rsidR="00000000" w:rsidRDefault="00000000">
      <w:pPr>
        <w:ind w:left="1134" w:hanging="1134"/>
      </w:pPr>
      <w:r>
        <w:tab/>
        <w:t>-</w:t>
      </w:r>
      <w:r>
        <w:tab/>
        <w:t>последствия для здоровья в результате воздействия на организм человека токсических веществ из внешней окружающей среды (биологический мониторинг);</w:t>
      </w:r>
    </w:p>
    <w:p w:rsidR="00000000" w:rsidRDefault="00000000">
      <w:pPr>
        <w:ind w:left="1134" w:hanging="1134"/>
      </w:pPr>
    </w:p>
    <w:p w:rsidR="00000000" w:rsidRDefault="00000000">
      <w:pPr>
        <w:ind w:left="1134" w:hanging="1134"/>
      </w:pPr>
      <w:r>
        <w:tab/>
        <w:t>-</w:t>
      </w:r>
      <w:r>
        <w:tab/>
        <w:t>здоровье населения и отдельные показатели демографической статистики и статистики здравоохранения.</w:t>
      </w:r>
    </w:p>
    <w:p w:rsidR="00000000" w:rsidRDefault="00000000">
      <w:pPr>
        <w:ind w:left="1134" w:hanging="1134"/>
      </w:pPr>
    </w:p>
    <w:p w:rsidR="00000000" w:rsidRDefault="00000000">
      <w:r>
        <w:t>Результаты такого мониторинга публикуются на ежегодной основе как в рамках краткого доклада, так и в подробных специализированных докладах.</w:t>
      </w:r>
    </w:p>
    <w:p w:rsidR="00000000" w:rsidRDefault="00000000"/>
    <w:p w:rsidR="00000000" w:rsidRDefault="00000000">
      <w:pPr>
        <w:rPr>
          <w:b/>
          <w:bCs/>
        </w:rPr>
      </w:pPr>
      <w:r>
        <w:rPr>
          <w:b/>
          <w:bCs/>
        </w:rPr>
        <w:t>Пункт 2 с)</w:t>
      </w:r>
    </w:p>
    <w:p w:rsidR="00000000" w:rsidRDefault="00000000"/>
    <w:p w:rsidR="00000000" w:rsidRDefault="00000000">
      <w:r>
        <w:t>544.</w:t>
      </w:r>
      <w:r>
        <w:tab/>
        <w:t>Право на охрану здоровья в целом гарантируется уже упомянутой статьей 31 Хартии.  Это право также обеспечивается Законом о здравоохранении</w:t>
      </w:r>
      <w:r>
        <w:rPr>
          <w:rStyle w:val="FootnoteReference"/>
        </w:rPr>
        <w:footnoteReference w:id="336"/>
      </w:r>
      <w:r>
        <w:t xml:space="preserve"> и другими нормами, в частности Законом о медицинском страховании.  Основные требования, предъявляемые к защите от профессиональных заболеваний, содержатся в постановлении о создании и защите здоровых условий жизни</w:t>
      </w:r>
      <w:r>
        <w:rPr>
          <w:rStyle w:val="FootnoteReference"/>
        </w:rPr>
        <w:footnoteReference w:id="337"/>
      </w:r>
      <w:r>
        <w:t>.  Охрана здоровья на рабочем месте при наличии факторов, которые могут создавать угрозу профессиональных заболеваний (например, шума, вибрации, пыли, химических веществ, канцерогенов, ионизирующей и неионизирующей радиации и высоких температур), регулируется целым рядом специальных положений.  Обязательным компонентом мер по защите от профессиональных заболеваний являются профилактические медицинские осмотры работников, которые подвергаются опасности профессиональных заболеваний.  Перечень заболеваний, признаваемых в качестве профессиональных, изложен в постановлении правительства от 1995 года</w:t>
      </w:r>
      <w:r>
        <w:rPr>
          <w:rStyle w:val="FootnoteReference"/>
        </w:rPr>
        <w:footnoteReference w:id="338"/>
      </w:r>
      <w:r>
        <w:t>.  Этот список содержит 83 позиции.</w:t>
      </w:r>
    </w:p>
    <w:p w:rsidR="00000000" w:rsidRDefault="00000000"/>
    <w:p w:rsidR="00000000" w:rsidRDefault="00000000">
      <w:r>
        <w:t>545.</w:t>
      </w:r>
      <w:r>
        <w:tab/>
        <w:t>Предупреждение инфекционных заболеваний обеспечивается главным образом постановлением о вакцинации от инфекционных заболеваний</w:t>
      </w:r>
      <w:r>
        <w:rPr>
          <w:rStyle w:val="FootnoteReference"/>
        </w:rPr>
        <w:footnoteReference w:id="339"/>
      </w:r>
      <w:r>
        <w:t xml:space="preserve"> и постановлением о мерах, касающихся инфекционных заболеваний</w:t>
      </w:r>
      <w:r>
        <w:rPr>
          <w:rStyle w:val="FootnoteReference"/>
        </w:rPr>
        <w:footnoteReference w:id="340"/>
      </w:r>
      <w:r>
        <w:t>.</w:t>
      </w:r>
    </w:p>
    <w:p w:rsidR="00000000" w:rsidRDefault="00000000"/>
    <w:p w:rsidR="00000000" w:rsidRDefault="00000000">
      <w:r>
        <w:t>546.</w:t>
      </w:r>
      <w:r>
        <w:tab/>
        <w:t>Контроль за эпидемиологической ситуацией в Чешской Республике осуществляется органами здравоохранения, подчиняющимися министерству здравоохранения.  Обязанность сообщать о появлении инфекционных заболеваний устанавливается в вышеупомянутом постановлении о мерах по борьбе с инфекционными заболеваниями.  В зависимости от серьезности ситуации медицинские учреждения могут принимать надлежащие меры по борьбе с эпидемией.  Контроль за заболеваемостью осуществляет Государственный институт здравоохранения.</w:t>
      </w:r>
    </w:p>
    <w:p w:rsidR="00000000" w:rsidRDefault="00000000"/>
    <w:p w:rsidR="00000000" w:rsidRDefault="00000000">
      <w:r>
        <w:t>547.</w:t>
      </w:r>
      <w:r>
        <w:tab/>
        <w:t>Число случаев инфекционных заболеваний, от которых осуществляется оплачиваемая государством обязательная вакцинация, зависит от охвата вакцинацией населения, который составляет свыше 98%.  Благодаря вакцинации в Чешской Республике удалось практически ликвидировать детский полиомиелит и дифтерию, а коклюш, столбняк, свинка, корь и краснуха встречаются лишь в отдельных случаях и, как правило, излечиваются.</w:t>
      </w:r>
    </w:p>
    <w:p w:rsidR="00000000" w:rsidRDefault="00000000"/>
    <w:p w:rsidR="00000000" w:rsidRDefault="00000000">
      <w:r>
        <w:t>548.</w:t>
      </w:r>
      <w:r>
        <w:tab/>
        <w:t>Общая вакцинация населения позволила улучшить положение в области инфекционных заболеваний, хотя потенциальная опасность инфекции по</w:t>
      </w:r>
      <w:r>
        <w:noBreakHyphen/>
        <w:t>прежнему существует.  В 1997 году в туберкулезном реестре было зарегистрировано 1 834 случая туберкулеза.  Поэтому в этом же году была возобновлена обязательная вакцинация новорожденных от туберкулеза.  В 90</w:t>
      </w:r>
      <w:r>
        <w:noBreakHyphen/>
        <w:t>х годах было зафиксировано новое увеличение случаев сальмонеллеза;  в подавляющем большинстве случаев причиной этого являлось нарушение правил гигиены при приготовлении пищи.  По состоянию на 30 апреля 1999 года, лабораториями, занимающимися борьбой со СПИДом, было зарегистрировано 402 человека с положительной реакцией на ВИЧ.  Число лиц, у которых развился СПИД, составило 123 человека, 79 из которых умерли.</w:t>
      </w:r>
    </w:p>
    <w:p w:rsidR="00000000" w:rsidRDefault="00000000"/>
    <w:p w:rsidR="00000000" w:rsidRDefault="00000000">
      <w:pPr>
        <w:pStyle w:val="10"/>
        <w:rPr>
          <w:bCs/>
        </w:rPr>
      </w:pPr>
      <w:r>
        <w:rPr>
          <w:bCs/>
        </w:rPr>
        <w:t>Новые случаи профессиональных заболеваний</w:t>
      </w:r>
    </w:p>
    <w:p w:rsidR="00000000" w:rsidRDefault="00000000">
      <w:pPr>
        <w:jc w:val="center"/>
        <w:rPr>
          <w:b/>
          <w:bCs/>
        </w:rPr>
      </w:pPr>
    </w:p>
    <w:tbl>
      <w:tblPr>
        <w:tblW w:w="9439" w:type="dxa"/>
        <w:tblLayout w:type="fixed"/>
        <w:tblCellMar>
          <w:left w:w="28" w:type="dxa"/>
          <w:right w:w="28" w:type="dxa"/>
        </w:tblCellMar>
        <w:tblLook w:val="0000" w:firstRow="0" w:lastRow="0" w:firstColumn="0" w:lastColumn="0" w:noHBand="0" w:noVBand="0"/>
      </w:tblPr>
      <w:tblGrid>
        <w:gridCol w:w="3394"/>
        <w:gridCol w:w="748"/>
        <w:gridCol w:w="1309"/>
        <w:gridCol w:w="748"/>
        <w:gridCol w:w="1309"/>
        <w:gridCol w:w="748"/>
        <w:gridCol w:w="1183"/>
      </w:tblGrid>
      <w:tr w:rsidR="00000000">
        <w:tblPrEx>
          <w:tblCellMar>
            <w:top w:w="0" w:type="dxa"/>
            <w:bottom w:w="0" w:type="dxa"/>
          </w:tblCellMar>
        </w:tblPrEx>
        <w:trPr>
          <w:cantSplit/>
        </w:trPr>
        <w:tc>
          <w:tcPr>
            <w:tcW w:w="3394" w:type="dxa"/>
            <w:tcBorders>
              <w:top w:val="single" w:sz="4" w:space="0" w:color="auto"/>
              <w:left w:val="single" w:sz="4" w:space="0" w:color="auto"/>
              <w:right w:val="single" w:sz="4" w:space="0" w:color="auto"/>
            </w:tcBorders>
          </w:tcPr>
          <w:p w:rsidR="00000000" w:rsidRDefault="00000000">
            <w:pPr>
              <w:spacing w:line="216" w:lineRule="auto"/>
              <w:jc w:val="center"/>
              <w:rPr>
                <w:b/>
                <w:bCs/>
              </w:rPr>
            </w:pPr>
          </w:p>
        </w:tc>
        <w:tc>
          <w:tcPr>
            <w:tcW w:w="2057"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1993</w:t>
            </w:r>
          </w:p>
        </w:tc>
        <w:tc>
          <w:tcPr>
            <w:tcW w:w="2057"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1995</w:t>
            </w:r>
          </w:p>
        </w:tc>
        <w:tc>
          <w:tcPr>
            <w:tcW w:w="193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1997</w:t>
            </w:r>
          </w:p>
        </w:tc>
      </w:tr>
      <w:tr w:rsidR="00000000">
        <w:tblPrEx>
          <w:tblCellMar>
            <w:top w:w="0" w:type="dxa"/>
            <w:bottom w:w="0" w:type="dxa"/>
          </w:tblCellMar>
        </w:tblPrEx>
        <w:tc>
          <w:tcPr>
            <w:tcW w:w="3394" w:type="dxa"/>
            <w:tcBorders>
              <w:left w:val="single" w:sz="4" w:space="0" w:color="auto"/>
              <w:bottom w:val="single" w:sz="4" w:space="0" w:color="auto"/>
              <w:right w:val="single" w:sz="4" w:space="0" w:color="auto"/>
            </w:tcBorders>
          </w:tcPr>
          <w:p w:rsidR="00000000" w:rsidRDefault="00000000">
            <w:pPr>
              <w:spacing w:line="216" w:lineRule="auto"/>
              <w:jc w:val="center"/>
            </w:pP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Всего</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16"/>
              <w:spacing w:line="216" w:lineRule="auto"/>
            </w:pPr>
            <w:r>
              <w:t>на 100 000 рабочих</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Всего</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на 100 000 рабочих</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Всего</w:t>
            </w:r>
          </w:p>
        </w:tc>
        <w:tc>
          <w:tcPr>
            <w:tcW w:w="118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на 100 000 рабочих</w:t>
            </w:r>
          </w:p>
        </w:tc>
      </w:tr>
      <w:tr w:rsidR="00000000">
        <w:tblPrEx>
          <w:tblCellMar>
            <w:top w:w="0" w:type="dxa"/>
            <w:bottom w:w="0" w:type="dxa"/>
          </w:tblCellMar>
        </w:tblPrEx>
        <w:tc>
          <w:tcPr>
            <w:tcW w:w="3394" w:type="dxa"/>
            <w:tcBorders>
              <w:top w:val="single" w:sz="4" w:space="0" w:color="auto"/>
              <w:left w:val="single" w:sz="4" w:space="0" w:color="auto"/>
              <w:right w:val="single" w:sz="4" w:space="0" w:color="auto"/>
            </w:tcBorders>
          </w:tcPr>
          <w:p w:rsidR="00000000" w:rsidRDefault="00000000">
            <w:pPr>
              <w:spacing w:line="240" w:lineRule="auto"/>
              <w:rPr>
                <w:sz w:val="22"/>
              </w:rPr>
            </w:pPr>
            <w:r>
              <w:rPr>
                <w:sz w:val="22"/>
              </w:rPr>
              <w:t>Отравление</w:t>
            </w:r>
          </w:p>
        </w:tc>
        <w:tc>
          <w:tcPr>
            <w:tcW w:w="748" w:type="dxa"/>
            <w:tcBorders>
              <w:top w:val="single" w:sz="4" w:space="0" w:color="auto"/>
              <w:left w:val="single" w:sz="4" w:space="0" w:color="auto"/>
              <w:right w:val="single" w:sz="4" w:space="0" w:color="auto"/>
            </w:tcBorders>
          </w:tcPr>
          <w:p w:rsidR="00000000" w:rsidRDefault="00000000">
            <w:pPr>
              <w:spacing w:line="240" w:lineRule="auto"/>
              <w:ind w:left="-416" w:right="121"/>
              <w:jc w:val="right"/>
            </w:pPr>
            <w:r>
              <w:t>61</w:t>
            </w:r>
          </w:p>
        </w:tc>
        <w:tc>
          <w:tcPr>
            <w:tcW w:w="1309"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left="-416" w:right="346"/>
              <w:jc w:val="right"/>
            </w:pPr>
            <w:r>
              <w:t>1,29</w:t>
            </w:r>
          </w:p>
        </w:tc>
        <w:tc>
          <w:tcPr>
            <w:tcW w:w="748"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left="-416" w:right="159"/>
              <w:jc w:val="right"/>
            </w:pPr>
            <w:r>
              <w:t>60</w:t>
            </w:r>
          </w:p>
        </w:tc>
        <w:tc>
          <w:tcPr>
            <w:tcW w:w="1309" w:type="dxa"/>
            <w:tcBorders>
              <w:top w:val="single" w:sz="4" w:space="0" w:color="auto"/>
              <w:left w:val="single" w:sz="4" w:space="0" w:color="auto"/>
              <w:right w:val="single" w:sz="4" w:space="0" w:color="auto"/>
            </w:tcBorders>
          </w:tcPr>
          <w:p w:rsidR="00000000" w:rsidRDefault="00000000">
            <w:pPr>
              <w:tabs>
                <w:tab w:val="clear" w:pos="567"/>
                <w:tab w:val="clear" w:pos="1134"/>
                <w:tab w:val="decimal" w:pos="402"/>
              </w:tabs>
              <w:spacing w:line="240" w:lineRule="auto"/>
              <w:ind w:left="-416" w:right="346"/>
              <w:jc w:val="right"/>
            </w:pPr>
            <w:r>
              <w:t>1,27</w:t>
            </w:r>
          </w:p>
        </w:tc>
        <w:tc>
          <w:tcPr>
            <w:tcW w:w="748"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left="-416" w:right="159"/>
              <w:jc w:val="right"/>
            </w:pPr>
            <w:r>
              <w:t>62</w:t>
            </w:r>
          </w:p>
        </w:tc>
        <w:tc>
          <w:tcPr>
            <w:tcW w:w="1183"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left="-416" w:right="346"/>
              <w:jc w:val="right"/>
            </w:pPr>
            <w:r>
              <w:t>1,28</w:t>
            </w:r>
          </w:p>
        </w:tc>
      </w:tr>
      <w:tr w:rsidR="00000000">
        <w:tblPrEx>
          <w:tblCellMar>
            <w:top w:w="0" w:type="dxa"/>
            <w:bottom w:w="0" w:type="dxa"/>
          </w:tblCellMar>
        </w:tblPrEx>
        <w:tc>
          <w:tcPr>
            <w:tcW w:w="3394" w:type="dxa"/>
            <w:tcBorders>
              <w:left w:val="single" w:sz="4" w:space="0" w:color="auto"/>
              <w:right w:val="single" w:sz="4" w:space="0" w:color="auto"/>
            </w:tcBorders>
          </w:tcPr>
          <w:p w:rsidR="00000000" w:rsidRDefault="00000000">
            <w:pPr>
              <w:spacing w:line="240" w:lineRule="auto"/>
              <w:rPr>
                <w:sz w:val="22"/>
              </w:rPr>
            </w:pPr>
            <w:r>
              <w:rPr>
                <w:sz w:val="22"/>
              </w:rPr>
              <w:t>Дерматит</w:t>
            </w:r>
          </w:p>
        </w:tc>
        <w:tc>
          <w:tcPr>
            <w:tcW w:w="748" w:type="dxa"/>
            <w:tcBorders>
              <w:left w:val="single" w:sz="4" w:space="0" w:color="auto"/>
              <w:right w:val="single" w:sz="4" w:space="0" w:color="auto"/>
            </w:tcBorders>
          </w:tcPr>
          <w:p w:rsidR="00000000" w:rsidRDefault="00000000">
            <w:pPr>
              <w:spacing w:line="240" w:lineRule="auto"/>
              <w:ind w:left="-416" w:right="121"/>
              <w:jc w:val="right"/>
            </w:pPr>
            <w:r>
              <w:t>504</w:t>
            </w:r>
          </w:p>
        </w:tc>
        <w:tc>
          <w:tcPr>
            <w:tcW w:w="1309"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10,70</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552</w:t>
            </w:r>
          </w:p>
        </w:tc>
        <w:tc>
          <w:tcPr>
            <w:tcW w:w="1309" w:type="dxa"/>
            <w:tcBorders>
              <w:left w:val="single" w:sz="4" w:space="0" w:color="auto"/>
              <w:right w:val="single" w:sz="4" w:space="0" w:color="auto"/>
            </w:tcBorders>
          </w:tcPr>
          <w:p w:rsidR="00000000" w:rsidRDefault="00000000">
            <w:pPr>
              <w:tabs>
                <w:tab w:val="clear" w:pos="567"/>
                <w:tab w:val="clear" w:pos="1134"/>
                <w:tab w:val="decimal" w:pos="402"/>
              </w:tabs>
              <w:spacing w:line="240" w:lineRule="auto"/>
              <w:ind w:left="-416" w:right="346"/>
              <w:jc w:val="right"/>
            </w:pPr>
            <w:r>
              <w:t>11,72</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452</w:t>
            </w:r>
          </w:p>
        </w:tc>
        <w:tc>
          <w:tcPr>
            <w:tcW w:w="1183"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9,35</w:t>
            </w:r>
          </w:p>
        </w:tc>
      </w:tr>
      <w:tr w:rsidR="00000000">
        <w:tblPrEx>
          <w:tblCellMar>
            <w:top w:w="0" w:type="dxa"/>
            <w:bottom w:w="0" w:type="dxa"/>
          </w:tblCellMar>
        </w:tblPrEx>
        <w:tc>
          <w:tcPr>
            <w:tcW w:w="3394" w:type="dxa"/>
            <w:tcBorders>
              <w:left w:val="single" w:sz="4" w:space="0" w:color="auto"/>
              <w:right w:val="single" w:sz="4" w:space="0" w:color="auto"/>
            </w:tcBorders>
          </w:tcPr>
          <w:p w:rsidR="00000000" w:rsidRDefault="00000000">
            <w:pPr>
              <w:spacing w:line="240" w:lineRule="auto"/>
              <w:rPr>
                <w:sz w:val="22"/>
              </w:rPr>
            </w:pPr>
            <w:r>
              <w:rPr>
                <w:sz w:val="22"/>
              </w:rPr>
              <w:t xml:space="preserve">Рак легких в результате </w:t>
            </w:r>
          </w:p>
          <w:p w:rsidR="00000000" w:rsidRDefault="00000000">
            <w:pPr>
              <w:spacing w:line="240" w:lineRule="auto"/>
              <w:rPr>
                <w:sz w:val="22"/>
              </w:rPr>
            </w:pPr>
            <w:r>
              <w:rPr>
                <w:sz w:val="22"/>
              </w:rPr>
              <w:t xml:space="preserve">  воздействия радиоактивных </w:t>
            </w:r>
          </w:p>
          <w:p w:rsidR="00000000" w:rsidRDefault="00000000">
            <w:pPr>
              <w:spacing w:line="240" w:lineRule="auto"/>
              <w:rPr>
                <w:sz w:val="22"/>
              </w:rPr>
            </w:pPr>
            <w:r>
              <w:rPr>
                <w:sz w:val="22"/>
              </w:rPr>
              <w:t xml:space="preserve">  веществ</w:t>
            </w:r>
          </w:p>
        </w:tc>
        <w:tc>
          <w:tcPr>
            <w:tcW w:w="748" w:type="dxa"/>
            <w:tcBorders>
              <w:left w:val="single" w:sz="4" w:space="0" w:color="auto"/>
              <w:right w:val="single" w:sz="4" w:space="0" w:color="auto"/>
            </w:tcBorders>
          </w:tcPr>
          <w:p w:rsidR="00000000" w:rsidRDefault="00000000">
            <w:pPr>
              <w:spacing w:line="240" w:lineRule="auto"/>
              <w:ind w:left="-416" w:right="121"/>
              <w:jc w:val="right"/>
            </w:pPr>
            <w:r>
              <w:t>92</w:t>
            </w:r>
          </w:p>
        </w:tc>
        <w:tc>
          <w:tcPr>
            <w:tcW w:w="1309"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1,95</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55</w:t>
            </w:r>
          </w:p>
        </w:tc>
        <w:tc>
          <w:tcPr>
            <w:tcW w:w="1309" w:type="dxa"/>
            <w:tcBorders>
              <w:left w:val="single" w:sz="4" w:space="0" w:color="auto"/>
              <w:right w:val="single" w:sz="4" w:space="0" w:color="auto"/>
            </w:tcBorders>
          </w:tcPr>
          <w:p w:rsidR="00000000" w:rsidRDefault="00000000">
            <w:pPr>
              <w:tabs>
                <w:tab w:val="clear" w:pos="567"/>
                <w:tab w:val="clear" w:pos="1134"/>
                <w:tab w:val="decimal" w:pos="402"/>
              </w:tabs>
              <w:spacing w:line="240" w:lineRule="auto"/>
              <w:ind w:left="-416" w:right="346"/>
              <w:jc w:val="right"/>
            </w:pPr>
            <w:r>
              <w:t>1,72</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45</w:t>
            </w:r>
          </w:p>
        </w:tc>
        <w:tc>
          <w:tcPr>
            <w:tcW w:w="1183"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0,93</w:t>
            </w:r>
          </w:p>
        </w:tc>
      </w:tr>
      <w:tr w:rsidR="00000000">
        <w:tblPrEx>
          <w:tblCellMar>
            <w:top w:w="0" w:type="dxa"/>
            <w:bottom w:w="0" w:type="dxa"/>
          </w:tblCellMar>
        </w:tblPrEx>
        <w:tc>
          <w:tcPr>
            <w:tcW w:w="3394" w:type="dxa"/>
            <w:tcBorders>
              <w:left w:val="single" w:sz="4" w:space="0" w:color="auto"/>
              <w:right w:val="single" w:sz="4" w:space="0" w:color="auto"/>
            </w:tcBorders>
          </w:tcPr>
          <w:p w:rsidR="00000000" w:rsidRDefault="00000000">
            <w:pPr>
              <w:spacing w:line="240" w:lineRule="auto"/>
              <w:rPr>
                <w:sz w:val="22"/>
              </w:rPr>
            </w:pPr>
            <w:r>
              <w:rPr>
                <w:sz w:val="22"/>
              </w:rPr>
              <w:t xml:space="preserve">Инфекционные и паразитические </w:t>
            </w:r>
          </w:p>
          <w:p w:rsidR="00000000" w:rsidRDefault="00000000">
            <w:pPr>
              <w:spacing w:line="240" w:lineRule="auto"/>
              <w:rPr>
                <w:sz w:val="22"/>
              </w:rPr>
            </w:pPr>
            <w:r>
              <w:rPr>
                <w:sz w:val="22"/>
              </w:rPr>
              <w:t xml:space="preserve">  заболевания</w:t>
            </w:r>
          </w:p>
        </w:tc>
        <w:tc>
          <w:tcPr>
            <w:tcW w:w="748" w:type="dxa"/>
            <w:tcBorders>
              <w:left w:val="single" w:sz="4" w:space="0" w:color="auto"/>
              <w:right w:val="single" w:sz="4" w:space="0" w:color="auto"/>
            </w:tcBorders>
          </w:tcPr>
          <w:p w:rsidR="00000000" w:rsidRDefault="00000000">
            <w:pPr>
              <w:spacing w:line="240" w:lineRule="auto"/>
              <w:ind w:left="-416" w:right="121"/>
              <w:jc w:val="right"/>
            </w:pPr>
            <w:r>
              <w:t>508</w:t>
            </w:r>
          </w:p>
        </w:tc>
        <w:tc>
          <w:tcPr>
            <w:tcW w:w="1309"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10,79</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506</w:t>
            </w:r>
          </w:p>
        </w:tc>
        <w:tc>
          <w:tcPr>
            <w:tcW w:w="1309" w:type="dxa"/>
            <w:tcBorders>
              <w:left w:val="single" w:sz="4" w:space="0" w:color="auto"/>
              <w:right w:val="single" w:sz="4" w:space="0" w:color="auto"/>
            </w:tcBorders>
          </w:tcPr>
          <w:p w:rsidR="00000000" w:rsidRDefault="00000000">
            <w:pPr>
              <w:tabs>
                <w:tab w:val="clear" w:pos="567"/>
                <w:tab w:val="clear" w:pos="1134"/>
                <w:tab w:val="decimal" w:pos="402"/>
              </w:tabs>
              <w:spacing w:line="240" w:lineRule="auto"/>
              <w:ind w:left="-416" w:right="346"/>
              <w:jc w:val="right"/>
            </w:pPr>
            <w:r>
              <w:t>10,75</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362</w:t>
            </w:r>
          </w:p>
        </w:tc>
        <w:tc>
          <w:tcPr>
            <w:tcW w:w="1183"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7,49</w:t>
            </w:r>
          </w:p>
        </w:tc>
      </w:tr>
      <w:tr w:rsidR="00000000">
        <w:tblPrEx>
          <w:tblCellMar>
            <w:top w:w="0" w:type="dxa"/>
            <w:bottom w:w="0" w:type="dxa"/>
          </w:tblCellMar>
        </w:tblPrEx>
        <w:tc>
          <w:tcPr>
            <w:tcW w:w="3394" w:type="dxa"/>
            <w:tcBorders>
              <w:left w:val="single" w:sz="4" w:space="0" w:color="auto"/>
              <w:right w:val="single" w:sz="4" w:space="0" w:color="auto"/>
            </w:tcBorders>
          </w:tcPr>
          <w:p w:rsidR="00000000" w:rsidRDefault="00000000">
            <w:pPr>
              <w:spacing w:line="240" w:lineRule="auto"/>
              <w:rPr>
                <w:sz w:val="22"/>
              </w:rPr>
            </w:pPr>
            <w:r>
              <w:rPr>
                <w:sz w:val="22"/>
              </w:rPr>
              <w:t>Заболевания, вызванные</w:t>
            </w:r>
          </w:p>
          <w:p w:rsidR="00000000" w:rsidRDefault="00000000">
            <w:pPr>
              <w:spacing w:line="240" w:lineRule="auto"/>
              <w:rPr>
                <w:sz w:val="22"/>
              </w:rPr>
            </w:pPr>
            <w:r>
              <w:rPr>
                <w:sz w:val="22"/>
              </w:rPr>
              <w:t xml:space="preserve">  вибрацией</w:t>
            </w:r>
          </w:p>
        </w:tc>
        <w:tc>
          <w:tcPr>
            <w:tcW w:w="748" w:type="dxa"/>
            <w:tcBorders>
              <w:left w:val="single" w:sz="4" w:space="0" w:color="auto"/>
              <w:right w:val="single" w:sz="4" w:space="0" w:color="auto"/>
            </w:tcBorders>
          </w:tcPr>
          <w:p w:rsidR="00000000" w:rsidRDefault="00000000">
            <w:pPr>
              <w:spacing w:line="240" w:lineRule="auto"/>
              <w:ind w:left="-416" w:right="121"/>
              <w:jc w:val="right"/>
            </w:pPr>
            <w:r>
              <w:t>658</w:t>
            </w:r>
          </w:p>
        </w:tc>
        <w:tc>
          <w:tcPr>
            <w:tcW w:w="1309"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13,97</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509</w:t>
            </w:r>
          </w:p>
        </w:tc>
        <w:tc>
          <w:tcPr>
            <w:tcW w:w="1309" w:type="dxa"/>
            <w:tcBorders>
              <w:left w:val="single" w:sz="4" w:space="0" w:color="auto"/>
              <w:right w:val="single" w:sz="4" w:space="0" w:color="auto"/>
            </w:tcBorders>
          </w:tcPr>
          <w:p w:rsidR="00000000" w:rsidRDefault="00000000">
            <w:pPr>
              <w:tabs>
                <w:tab w:val="clear" w:pos="567"/>
                <w:tab w:val="clear" w:pos="1134"/>
                <w:tab w:val="decimal" w:pos="402"/>
              </w:tabs>
              <w:spacing w:line="240" w:lineRule="auto"/>
              <w:ind w:left="-416" w:right="346"/>
              <w:jc w:val="right"/>
            </w:pPr>
            <w:r>
              <w:t>10,81</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457</w:t>
            </w:r>
          </w:p>
        </w:tc>
        <w:tc>
          <w:tcPr>
            <w:tcW w:w="1183"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9,45</w:t>
            </w:r>
          </w:p>
        </w:tc>
      </w:tr>
      <w:tr w:rsidR="00000000">
        <w:tblPrEx>
          <w:tblCellMar>
            <w:top w:w="0" w:type="dxa"/>
            <w:bottom w:w="0" w:type="dxa"/>
          </w:tblCellMar>
        </w:tblPrEx>
        <w:tc>
          <w:tcPr>
            <w:tcW w:w="3394" w:type="dxa"/>
            <w:tcBorders>
              <w:left w:val="single" w:sz="4" w:space="0" w:color="auto"/>
              <w:right w:val="single" w:sz="4" w:space="0" w:color="auto"/>
            </w:tcBorders>
          </w:tcPr>
          <w:p w:rsidR="00000000" w:rsidRDefault="00000000">
            <w:pPr>
              <w:spacing w:line="240" w:lineRule="auto"/>
              <w:rPr>
                <w:sz w:val="22"/>
              </w:rPr>
            </w:pPr>
            <w:r>
              <w:rPr>
                <w:sz w:val="22"/>
              </w:rPr>
              <w:t>Заболевания, вызванные</w:t>
            </w:r>
          </w:p>
          <w:p w:rsidR="00000000" w:rsidRDefault="00000000">
            <w:pPr>
              <w:spacing w:line="240" w:lineRule="auto"/>
              <w:rPr>
                <w:sz w:val="22"/>
              </w:rPr>
            </w:pPr>
            <w:r>
              <w:rPr>
                <w:sz w:val="22"/>
              </w:rPr>
              <w:t xml:space="preserve">  долговременной чрезмерной</w:t>
            </w:r>
          </w:p>
          <w:p w:rsidR="00000000" w:rsidRDefault="00000000">
            <w:pPr>
              <w:spacing w:line="240" w:lineRule="auto"/>
              <w:rPr>
                <w:sz w:val="22"/>
              </w:rPr>
            </w:pPr>
            <w:r>
              <w:rPr>
                <w:sz w:val="22"/>
              </w:rPr>
              <w:t xml:space="preserve">  рабочей нагрузкой</w:t>
            </w:r>
          </w:p>
        </w:tc>
        <w:tc>
          <w:tcPr>
            <w:tcW w:w="748" w:type="dxa"/>
            <w:tcBorders>
              <w:left w:val="single" w:sz="4" w:space="0" w:color="auto"/>
              <w:right w:val="single" w:sz="4" w:space="0" w:color="auto"/>
            </w:tcBorders>
          </w:tcPr>
          <w:p w:rsidR="00000000" w:rsidRDefault="00000000">
            <w:pPr>
              <w:spacing w:line="240" w:lineRule="auto"/>
              <w:ind w:left="-416" w:right="121"/>
              <w:jc w:val="right"/>
            </w:pPr>
            <w:r>
              <w:t>450</w:t>
            </w:r>
          </w:p>
        </w:tc>
        <w:tc>
          <w:tcPr>
            <w:tcW w:w="1309"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9,55</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460</w:t>
            </w:r>
          </w:p>
        </w:tc>
        <w:tc>
          <w:tcPr>
            <w:tcW w:w="1309" w:type="dxa"/>
            <w:tcBorders>
              <w:left w:val="single" w:sz="4" w:space="0" w:color="auto"/>
              <w:right w:val="single" w:sz="4" w:space="0" w:color="auto"/>
            </w:tcBorders>
          </w:tcPr>
          <w:p w:rsidR="00000000" w:rsidRDefault="00000000">
            <w:pPr>
              <w:tabs>
                <w:tab w:val="clear" w:pos="567"/>
                <w:tab w:val="clear" w:pos="1134"/>
                <w:tab w:val="decimal" w:pos="402"/>
              </w:tabs>
              <w:spacing w:line="240" w:lineRule="auto"/>
              <w:ind w:left="-416" w:right="346"/>
              <w:jc w:val="right"/>
            </w:pPr>
            <w:r>
              <w:t>9,77</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464</w:t>
            </w:r>
          </w:p>
        </w:tc>
        <w:tc>
          <w:tcPr>
            <w:tcW w:w="1183"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9,6</w:t>
            </w:r>
          </w:p>
        </w:tc>
      </w:tr>
      <w:tr w:rsidR="00000000">
        <w:tblPrEx>
          <w:tblCellMar>
            <w:top w:w="0" w:type="dxa"/>
            <w:bottom w:w="0" w:type="dxa"/>
          </w:tblCellMar>
        </w:tblPrEx>
        <w:tc>
          <w:tcPr>
            <w:tcW w:w="3394" w:type="dxa"/>
            <w:tcBorders>
              <w:left w:val="single" w:sz="4" w:space="0" w:color="auto"/>
              <w:right w:val="single" w:sz="4" w:space="0" w:color="auto"/>
            </w:tcBorders>
          </w:tcPr>
          <w:p w:rsidR="00000000" w:rsidRDefault="00000000">
            <w:pPr>
              <w:spacing w:line="240" w:lineRule="auto"/>
              <w:rPr>
                <w:sz w:val="22"/>
              </w:rPr>
            </w:pPr>
            <w:r>
              <w:rPr>
                <w:sz w:val="22"/>
              </w:rPr>
              <w:t>Силикоз</w:t>
            </w:r>
          </w:p>
        </w:tc>
        <w:tc>
          <w:tcPr>
            <w:tcW w:w="748" w:type="dxa"/>
            <w:tcBorders>
              <w:left w:val="single" w:sz="4" w:space="0" w:color="auto"/>
              <w:right w:val="single" w:sz="4" w:space="0" w:color="auto"/>
            </w:tcBorders>
          </w:tcPr>
          <w:p w:rsidR="00000000" w:rsidRDefault="00000000">
            <w:pPr>
              <w:spacing w:line="240" w:lineRule="auto"/>
              <w:ind w:left="-416" w:right="121"/>
              <w:jc w:val="right"/>
            </w:pPr>
            <w:r>
              <w:t>492</w:t>
            </w:r>
          </w:p>
        </w:tc>
        <w:tc>
          <w:tcPr>
            <w:tcW w:w="1309"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10,44</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466</w:t>
            </w:r>
          </w:p>
        </w:tc>
        <w:tc>
          <w:tcPr>
            <w:tcW w:w="1309" w:type="dxa"/>
            <w:tcBorders>
              <w:left w:val="single" w:sz="4" w:space="0" w:color="auto"/>
              <w:right w:val="single" w:sz="4" w:space="0" w:color="auto"/>
            </w:tcBorders>
          </w:tcPr>
          <w:p w:rsidR="00000000" w:rsidRDefault="00000000">
            <w:pPr>
              <w:tabs>
                <w:tab w:val="clear" w:pos="567"/>
                <w:tab w:val="clear" w:pos="1134"/>
                <w:tab w:val="decimal" w:pos="402"/>
              </w:tabs>
              <w:spacing w:line="240" w:lineRule="auto"/>
              <w:ind w:left="-416" w:right="346"/>
              <w:jc w:val="right"/>
            </w:pPr>
            <w:r>
              <w:t>9,9</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280</w:t>
            </w:r>
          </w:p>
        </w:tc>
        <w:tc>
          <w:tcPr>
            <w:tcW w:w="1183"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5,79</w:t>
            </w:r>
          </w:p>
        </w:tc>
      </w:tr>
      <w:tr w:rsidR="00000000">
        <w:tblPrEx>
          <w:tblCellMar>
            <w:top w:w="0" w:type="dxa"/>
            <w:bottom w:w="0" w:type="dxa"/>
          </w:tblCellMar>
        </w:tblPrEx>
        <w:tc>
          <w:tcPr>
            <w:tcW w:w="3394" w:type="dxa"/>
            <w:tcBorders>
              <w:left w:val="single" w:sz="4" w:space="0" w:color="auto"/>
              <w:right w:val="single" w:sz="4" w:space="0" w:color="auto"/>
            </w:tcBorders>
          </w:tcPr>
          <w:p w:rsidR="00000000" w:rsidRDefault="00000000">
            <w:pPr>
              <w:spacing w:line="240" w:lineRule="auto"/>
              <w:rPr>
                <w:sz w:val="22"/>
              </w:rPr>
            </w:pPr>
            <w:r>
              <w:rPr>
                <w:sz w:val="22"/>
              </w:rPr>
              <w:t>Бронхиальная астма</w:t>
            </w:r>
          </w:p>
        </w:tc>
        <w:tc>
          <w:tcPr>
            <w:tcW w:w="748" w:type="dxa"/>
            <w:tcBorders>
              <w:left w:val="single" w:sz="4" w:space="0" w:color="auto"/>
              <w:right w:val="single" w:sz="4" w:space="0" w:color="auto"/>
            </w:tcBorders>
          </w:tcPr>
          <w:p w:rsidR="00000000" w:rsidRDefault="00000000">
            <w:pPr>
              <w:spacing w:line="240" w:lineRule="auto"/>
              <w:ind w:left="-416" w:right="121"/>
              <w:jc w:val="right"/>
            </w:pPr>
            <w:r>
              <w:t>-</w:t>
            </w:r>
          </w:p>
        </w:tc>
        <w:tc>
          <w:tcPr>
            <w:tcW w:w="1309"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65</w:t>
            </w:r>
          </w:p>
        </w:tc>
        <w:tc>
          <w:tcPr>
            <w:tcW w:w="1309" w:type="dxa"/>
            <w:tcBorders>
              <w:left w:val="single" w:sz="4" w:space="0" w:color="auto"/>
              <w:right w:val="single" w:sz="4" w:space="0" w:color="auto"/>
            </w:tcBorders>
          </w:tcPr>
          <w:p w:rsidR="00000000" w:rsidRDefault="00000000">
            <w:pPr>
              <w:tabs>
                <w:tab w:val="clear" w:pos="567"/>
                <w:tab w:val="clear" w:pos="1134"/>
                <w:tab w:val="decimal" w:pos="402"/>
              </w:tabs>
              <w:spacing w:line="240" w:lineRule="auto"/>
              <w:ind w:left="-416" w:right="346"/>
              <w:jc w:val="right"/>
            </w:pPr>
            <w:r>
              <w:t>1,38</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104</w:t>
            </w:r>
          </w:p>
        </w:tc>
        <w:tc>
          <w:tcPr>
            <w:tcW w:w="1183"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2,15</w:t>
            </w:r>
          </w:p>
        </w:tc>
      </w:tr>
      <w:tr w:rsidR="00000000">
        <w:tblPrEx>
          <w:tblCellMar>
            <w:top w:w="0" w:type="dxa"/>
            <w:bottom w:w="0" w:type="dxa"/>
          </w:tblCellMar>
        </w:tblPrEx>
        <w:tc>
          <w:tcPr>
            <w:tcW w:w="3394" w:type="dxa"/>
            <w:tcBorders>
              <w:left w:val="single" w:sz="4" w:space="0" w:color="auto"/>
              <w:right w:val="single" w:sz="4" w:space="0" w:color="auto"/>
            </w:tcBorders>
          </w:tcPr>
          <w:p w:rsidR="00000000" w:rsidRDefault="00000000">
            <w:pPr>
              <w:spacing w:line="240" w:lineRule="auto"/>
              <w:rPr>
                <w:sz w:val="22"/>
              </w:rPr>
            </w:pPr>
            <w:r>
              <w:rPr>
                <w:sz w:val="22"/>
              </w:rPr>
              <w:t>Нарушение слуха</w:t>
            </w:r>
          </w:p>
        </w:tc>
        <w:tc>
          <w:tcPr>
            <w:tcW w:w="748" w:type="dxa"/>
            <w:tcBorders>
              <w:left w:val="single" w:sz="4" w:space="0" w:color="auto"/>
              <w:right w:val="single" w:sz="4" w:space="0" w:color="auto"/>
            </w:tcBorders>
          </w:tcPr>
          <w:p w:rsidR="00000000" w:rsidRDefault="00000000">
            <w:pPr>
              <w:spacing w:line="240" w:lineRule="auto"/>
              <w:ind w:left="-416" w:right="121"/>
              <w:jc w:val="right"/>
            </w:pPr>
            <w:r>
              <w:t>114</w:t>
            </w:r>
          </w:p>
        </w:tc>
        <w:tc>
          <w:tcPr>
            <w:tcW w:w="1309"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2,42</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80</w:t>
            </w:r>
          </w:p>
        </w:tc>
        <w:tc>
          <w:tcPr>
            <w:tcW w:w="1309" w:type="dxa"/>
            <w:tcBorders>
              <w:left w:val="single" w:sz="4" w:space="0" w:color="auto"/>
              <w:right w:val="single" w:sz="4" w:space="0" w:color="auto"/>
            </w:tcBorders>
          </w:tcPr>
          <w:p w:rsidR="00000000" w:rsidRDefault="00000000">
            <w:pPr>
              <w:tabs>
                <w:tab w:val="clear" w:pos="567"/>
                <w:tab w:val="clear" w:pos="1134"/>
                <w:tab w:val="decimal" w:pos="402"/>
              </w:tabs>
              <w:spacing w:line="240" w:lineRule="auto"/>
              <w:ind w:left="-416" w:right="346"/>
              <w:jc w:val="right"/>
            </w:pPr>
            <w:r>
              <w:t>1,7</w:t>
            </w:r>
          </w:p>
        </w:tc>
        <w:tc>
          <w:tcPr>
            <w:tcW w:w="748" w:type="dxa"/>
            <w:tcBorders>
              <w:left w:val="single" w:sz="4" w:space="0" w:color="auto"/>
              <w:right w:val="single" w:sz="4" w:space="0" w:color="auto"/>
            </w:tcBorders>
          </w:tcPr>
          <w:p w:rsidR="00000000" w:rsidRDefault="00000000">
            <w:pPr>
              <w:tabs>
                <w:tab w:val="clear" w:pos="1134"/>
              </w:tabs>
              <w:spacing w:line="240" w:lineRule="auto"/>
              <w:ind w:left="-416" w:right="159"/>
              <w:jc w:val="right"/>
            </w:pPr>
            <w:r>
              <w:t>65</w:t>
            </w:r>
          </w:p>
        </w:tc>
        <w:tc>
          <w:tcPr>
            <w:tcW w:w="1183" w:type="dxa"/>
            <w:tcBorders>
              <w:left w:val="single" w:sz="4" w:space="0" w:color="auto"/>
              <w:right w:val="single" w:sz="4" w:space="0" w:color="auto"/>
            </w:tcBorders>
          </w:tcPr>
          <w:p w:rsidR="00000000" w:rsidRDefault="00000000">
            <w:pPr>
              <w:tabs>
                <w:tab w:val="clear" w:pos="1134"/>
              </w:tabs>
              <w:spacing w:line="240" w:lineRule="auto"/>
              <w:ind w:left="-416" w:right="346"/>
              <w:jc w:val="right"/>
            </w:pPr>
            <w:r>
              <w:t>1,34</w:t>
            </w:r>
          </w:p>
        </w:tc>
      </w:tr>
      <w:tr w:rsidR="00000000">
        <w:tblPrEx>
          <w:tblCellMar>
            <w:top w:w="0" w:type="dxa"/>
            <w:bottom w:w="0" w:type="dxa"/>
          </w:tblCellMar>
        </w:tblPrEx>
        <w:tc>
          <w:tcPr>
            <w:tcW w:w="3394" w:type="dxa"/>
            <w:tcBorders>
              <w:left w:val="single" w:sz="4" w:space="0" w:color="auto"/>
              <w:bottom w:val="single" w:sz="4" w:space="0" w:color="auto"/>
              <w:right w:val="single" w:sz="4" w:space="0" w:color="auto"/>
            </w:tcBorders>
          </w:tcPr>
          <w:p w:rsidR="00000000" w:rsidRDefault="00000000">
            <w:pPr>
              <w:spacing w:line="240" w:lineRule="auto"/>
              <w:rPr>
                <w:sz w:val="22"/>
              </w:rPr>
            </w:pPr>
            <w:r>
              <w:rPr>
                <w:sz w:val="22"/>
              </w:rPr>
              <w:t>Прочее</w:t>
            </w:r>
          </w:p>
        </w:tc>
        <w:tc>
          <w:tcPr>
            <w:tcW w:w="748" w:type="dxa"/>
            <w:tcBorders>
              <w:left w:val="single" w:sz="4" w:space="0" w:color="auto"/>
              <w:bottom w:val="single" w:sz="4" w:space="0" w:color="auto"/>
              <w:right w:val="single" w:sz="4" w:space="0" w:color="auto"/>
            </w:tcBorders>
          </w:tcPr>
          <w:p w:rsidR="00000000" w:rsidRDefault="00000000">
            <w:pPr>
              <w:spacing w:line="240" w:lineRule="auto"/>
              <w:ind w:left="-416" w:right="121"/>
              <w:jc w:val="right"/>
              <w:rPr>
                <w:lang w:val="en-US"/>
              </w:rPr>
            </w:pPr>
            <w:r>
              <w:rPr>
                <w:lang w:val="en-US"/>
              </w:rPr>
              <w:t>104</w:t>
            </w:r>
          </w:p>
        </w:tc>
        <w:tc>
          <w:tcPr>
            <w:tcW w:w="1309"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left="-416" w:right="346"/>
              <w:jc w:val="right"/>
              <w:rPr>
                <w:lang w:val="en-US"/>
              </w:rPr>
            </w:pPr>
            <w:r>
              <w:rPr>
                <w:lang w:val="en-US"/>
              </w:rPr>
              <w:t>2,21</w:t>
            </w:r>
          </w:p>
        </w:tc>
        <w:tc>
          <w:tcPr>
            <w:tcW w:w="748"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left="-416" w:right="159"/>
              <w:jc w:val="right"/>
              <w:rPr>
                <w:lang w:val="en-US"/>
              </w:rPr>
            </w:pPr>
            <w:r>
              <w:rPr>
                <w:lang w:val="en-US"/>
              </w:rPr>
              <w:t>53</w:t>
            </w:r>
          </w:p>
        </w:tc>
        <w:tc>
          <w:tcPr>
            <w:tcW w:w="1309" w:type="dxa"/>
            <w:tcBorders>
              <w:left w:val="single" w:sz="4" w:space="0" w:color="auto"/>
              <w:bottom w:val="single" w:sz="4" w:space="0" w:color="auto"/>
              <w:right w:val="single" w:sz="4" w:space="0" w:color="auto"/>
            </w:tcBorders>
          </w:tcPr>
          <w:p w:rsidR="00000000" w:rsidRDefault="00000000">
            <w:pPr>
              <w:tabs>
                <w:tab w:val="clear" w:pos="567"/>
                <w:tab w:val="clear" w:pos="1134"/>
                <w:tab w:val="decimal" w:pos="402"/>
              </w:tabs>
              <w:spacing w:line="240" w:lineRule="auto"/>
              <w:ind w:left="-416" w:right="346"/>
              <w:jc w:val="right"/>
              <w:rPr>
                <w:lang w:val="en-US"/>
              </w:rPr>
            </w:pPr>
            <w:r>
              <w:rPr>
                <w:lang w:val="en-US"/>
              </w:rPr>
              <w:t>1,13</w:t>
            </w:r>
          </w:p>
        </w:tc>
        <w:tc>
          <w:tcPr>
            <w:tcW w:w="748"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left="-416" w:right="159"/>
              <w:jc w:val="right"/>
              <w:rPr>
                <w:lang w:val="en-US"/>
              </w:rPr>
            </w:pPr>
            <w:r>
              <w:rPr>
                <w:lang w:val="en-US"/>
              </w:rPr>
              <w:t>59</w:t>
            </w:r>
          </w:p>
        </w:tc>
        <w:tc>
          <w:tcPr>
            <w:tcW w:w="1183"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left="-416" w:right="346"/>
              <w:jc w:val="right"/>
              <w:rPr>
                <w:lang w:val="en-US"/>
              </w:rPr>
            </w:pPr>
            <w:r>
              <w:rPr>
                <w:lang w:val="en-US"/>
              </w:rPr>
              <w:t>1,22</w:t>
            </w:r>
          </w:p>
        </w:tc>
      </w:tr>
      <w:tr w:rsidR="00000000">
        <w:tblPrEx>
          <w:tblCellMar>
            <w:top w:w="0" w:type="dxa"/>
            <w:bottom w:w="0" w:type="dxa"/>
          </w:tblCellMar>
        </w:tblPrEx>
        <w:tc>
          <w:tcPr>
            <w:tcW w:w="339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lang w:val="en-US"/>
              </w:rPr>
            </w:pPr>
            <w:r>
              <w:rPr>
                <w:sz w:val="22"/>
              </w:rPr>
              <w:t>Всего</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left="-416" w:right="121"/>
              <w:jc w:val="right"/>
              <w:rPr>
                <w:lang w:val="en-US"/>
              </w:rPr>
            </w:pPr>
            <w:r>
              <w:rPr>
                <w:lang w:val="en-US"/>
              </w:rPr>
              <w:t>2 983</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left="-416" w:right="346"/>
              <w:jc w:val="right"/>
              <w:rPr>
                <w:lang w:val="en-US"/>
              </w:rPr>
            </w:pPr>
            <w:r>
              <w:rPr>
                <w:lang w:val="en-US"/>
              </w:rPr>
              <w:t>63</w:t>
            </w:r>
            <w:r>
              <w:t>,</w:t>
            </w:r>
            <w:r>
              <w:rPr>
                <w:lang w:val="en-US"/>
              </w:rPr>
              <w:t>32</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left="-416" w:right="159"/>
              <w:jc w:val="right"/>
              <w:rPr>
                <w:lang w:val="en-US"/>
              </w:rPr>
            </w:pPr>
            <w:r>
              <w:rPr>
                <w:lang w:val="en-US"/>
              </w:rPr>
              <w:t>2 806</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decimal" w:pos="402"/>
              </w:tabs>
              <w:spacing w:line="240" w:lineRule="auto"/>
              <w:ind w:left="-416" w:right="346"/>
              <w:jc w:val="right"/>
              <w:rPr>
                <w:lang w:val="en-US"/>
              </w:rPr>
            </w:pPr>
            <w:r>
              <w:rPr>
                <w:lang w:val="en-US"/>
              </w:rPr>
              <w:t>59,60</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left="-416" w:right="159"/>
              <w:jc w:val="right"/>
              <w:rPr>
                <w:lang w:val="en-US"/>
              </w:rPr>
            </w:pPr>
            <w:r>
              <w:rPr>
                <w:lang w:val="en-US"/>
              </w:rPr>
              <w:t xml:space="preserve">2 350 </w:t>
            </w:r>
          </w:p>
        </w:tc>
        <w:tc>
          <w:tcPr>
            <w:tcW w:w="1183"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left="-416" w:right="346"/>
              <w:jc w:val="right"/>
              <w:rPr>
                <w:lang w:val="en-US"/>
              </w:rPr>
            </w:pPr>
            <w:r>
              <w:rPr>
                <w:lang w:val="en-US"/>
              </w:rPr>
              <w:t>48,62</w:t>
            </w:r>
          </w:p>
        </w:tc>
      </w:tr>
    </w:tbl>
    <w:p w:rsidR="00000000" w:rsidRDefault="00000000">
      <w:pPr>
        <w:spacing w:line="240" w:lineRule="auto"/>
      </w:pPr>
    </w:p>
    <w:p w:rsidR="00000000" w:rsidRDefault="00000000">
      <w:pPr>
        <w:spacing w:line="240" w:lineRule="auto"/>
        <w:rPr>
          <w:lang w:val="en-US"/>
        </w:rPr>
      </w:pPr>
      <w:r>
        <w:tab/>
      </w:r>
      <w:r>
        <w:rPr>
          <w:u w:val="single"/>
          <w:lang w:val="en-US"/>
        </w:rPr>
        <w:t>Источник</w:t>
      </w:r>
      <w:r>
        <w:rPr>
          <w:lang w:val="en-US"/>
        </w:rPr>
        <w:t>:  Health Care Yearbook, Institute for Health Information and Statistics, Prague.</w:t>
      </w:r>
    </w:p>
    <w:p w:rsidR="00000000" w:rsidRDefault="00000000">
      <w:pPr>
        <w:rPr>
          <w:lang w:val="en-US"/>
        </w:rPr>
      </w:pPr>
    </w:p>
    <w:p w:rsidR="00000000" w:rsidRDefault="00000000">
      <w:r>
        <w:t>549.</w:t>
      </w:r>
      <w:r>
        <w:tab/>
        <w:t>В отличие от большинства посткоммунистических стран и несмотря на продолжающийся процесс преобразований в системе здравоохранения, после 1990 года отмечаются позитивные изменения в большинстве статистических показателей здравоохранения.  Как указывалось выше, в стране зарегистрировано увеличение предполагаемой продолжительности жизни при рождении и сокращение общих показателей смертности, в особенности смертности от сердечно-сосудистых заболеваний.  Эти позитивные тенденции прослеживаются достаточно четко, и если они будут продолжаться, то в течение 15</w:t>
      </w:r>
      <w:r>
        <w:noBreakHyphen/>
        <w:t>20 лет эти основополагающие параметры состояния здоровья населения достигнут средних величин, характерных для стран Европейского союза.  Достигнутый в 1997 году показатель детской смертности в 5,9 на 1 000 уже сопоставим с показателями стран ЕС.</w:t>
      </w:r>
    </w:p>
    <w:p w:rsidR="00000000" w:rsidRDefault="00000000"/>
    <w:p w:rsidR="00000000" w:rsidRDefault="00000000">
      <w:pPr>
        <w:rPr>
          <w:b/>
          <w:bCs/>
        </w:rPr>
      </w:pPr>
      <w:r>
        <w:rPr>
          <w:b/>
          <w:bCs/>
        </w:rPr>
        <w:br w:type="page"/>
        <w:t>Доступность медицинского обслуживания</w:t>
      </w:r>
    </w:p>
    <w:p w:rsidR="00000000" w:rsidRDefault="00000000">
      <w:pPr>
        <w:rPr>
          <w:b/>
          <w:bCs/>
        </w:rPr>
      </w:pPr>
    </w:p>
    <w:p w:rsidR="00000000" w:rsidRDefault="00000000">
      <w:r>
        <w:t>550.</w:t>
      </w:r>
      <w:r>
        <w:tab/>
        <w:t>Конституция Чешской Республики и другие правовые нормы предусматривают право граждан на медицинское обслуживание.  Доступ к медицинскому обслуживанию обеспечивается благодаря созданию сети медицинских учреждений.  Органы государственной администрации обязаны гарантировать доступ к неотложной медицинской помощи в течение 15 минут.  Кроме того, Закон о здравоохранении предусматривает обязательство медицинских работников оказывать первую помощь, и в случаях, когда медицинское учреждение оказывает неотложную помощь застрахованному лицу, компания медицинского страхования обязана оплатить эти услуги, даже если данное медицинское учреждение не имеет с ней соответствующего соглашения.</w:t>
      </w:r>
    </w:p>
    <w:p w:rsidR="00000000" w:rsidRDefault="00000000"/>
    <w:p w:rsidR="00000000" w:rsidRDefault="00000000">
      <w:r>
        <w:t>551.</w:t>
      </w:r>
      <w:r>
        <w:tab/>
        <w:t>Сеть медицинских учреждений в настоящее время состоит из больниц, специализированных лечебных институтов, водных лечебниц, санаториев и центров восстановления здоровья, поликлиник и существующих при них амбулаторных учреждениях, центров медико-санитарной помощи, независимых врачей, независимых лабораторий, детских учреждений и детских домов, детских центров, яслей, аптек, служб охраны здоровья и других медицинских учреждений.</w:t>
      </w:r>
    </w:p>
    <w:p w:rsidR="00000000" w:rsidRDefault="00000000"/>
    <w:p w:rsidR="00000000" w:rsidRDefault="00000000">
      <w:r>
        <w:t>552.</w:t>
      </w:r>
      <w:r>
        <w:tab/>
        <w:t>Медицинские учреждения в Чешской Республике разделяются на государственные учреждения, создаваемые министерством здравоохранения, другими министерствами (обороны, внутренних дел, транспорта и юстиции) или областными органами власти, и на негосударственный сектор, который включает муниципальные или городские медицинские учреждения, частные учреждения, церковные учреждения и учреждения, создаваемые неправительственными организациями.  В 1998 году общее число медицинских учреждений составляло примерно 24 500, из которых примерно 20 000 относились к негосударственному сектору и представляли собой главным образом кабинеты врачей, оказывающих амбулаторное обслуживание.</w:t>
      </w:r>
    </w:p>
    <w:p w:rsidR="00000000" w:rsidRDefault="00000000">
      <w:pPr>
        <w:spacing w:line="240" w:lineRule="auto"/>
      </w:pPr>
    </w:p>
    <w:p w:rsidR="00000000" w:rsidRDefault="00000000">
      <w:pPr>
        <w:spacing w:line="240" w:lineRule="auto"/>
        <w:ind w:left="567" w:hanging="567"/>
        <w:jc w:val="center"/>
        <w:rPr>
          <w:b/>
          <w:bCs/>
        </w:rPr>
      </w:pPr>
      <w:r>
        <w:rPr>
          <w:b/>
          <w:bCs/>
        </w:rPr>
        <w:t>А.</w:t>
      </w:r>
      <w:r>
        <w:rPr>
          <w:b/>
          <w:bCs/>
        </w:rPr>
        <w:tab/>
        <w:t>Государственные медицинские учреждения</w:t>
      </w:r>
    </w:p>
    <w:p w:rsidR="00000000" w:rsidRDefault="00000000">
      <w:pPr>
        <w:spacing w:line="240" w:lineRule="auto"/>
        <w:ind w:left="567" w:hanging="567"/>
        <w:jc w:val="center"/>
        <w:rPr>
          <w:b/>
          <w:bCs/>
        </w:rPr>
      </w:pPr>
      <w:r>
        <w:rPr>
          <w:b/>
          <w:bCs/>
        </w:rPr>
        <w:t>(количество по состоянию на 31 декабря каждого года)</w:t>
      </w:r>
    </w:p>
    <w:p w:rsidR="00000000" w:rsidRDefault="00000000">
      <w:pPr>
        <w:spacing w:line="240" w:lineRule="auto"/>
        <w:ind w:left="567" w:hanging="567"/>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39"/>
        <w:gridCol w:w="1122"/>
        <w:gridCol w:w="1122"/>
        <w:gridCol w:w="1122"/>
        <w:gridCol w:w="1122"/>
        <w:gridCol w:w="1048"/>
      </w:tblGrid>
      <w:tr w:rsidR="00000000">
        <w:tblPrEx>
          <w:tblCellMar>
            <w:top w:w="0" w:type="dxa"/>
            <w:bottom w:w="0" w:type="dxa"/>
          </w:tblCellMar>
        </w:tblPrEx>
        <w:trPr>
          <w:tblHeader/>
        </w:trPr>
        <w:tc>
          <w:tcPr>
            <w:tcW w:w="3740" w:type="dxa"/>
            <w:tcBorders>
              <w:bottom w:val="single" w:sz="4" w:space="0" w:color="auto"/>
            </w:tcBorders>
          </w:tcPr>
          <w:p w:rsidR="00000000" w:rsidRDefault="00000000">
            <w:pPr>
              <w:spacing w:line="240" w:lineRule="auto"/>
              <w:jc w:val="center"/>
            </w:pPr>
          </w:p>
        </w:tc>
        <w:tc>
          <w:tcPr>
            <w:tcW w:w="1122" w:type="dxa"/>
            <w:tcBorders>
              <w:bottom w:val="single" w:sz="4" w:space="0" w:color="auto"/>
            </w:tcBorders>
          </w:tcPr>
          <w:p w:rsidR="00000000" w:rsidRDefault="00000000">
            <w:pPr>
              <w:spacing w:line="240" w:lineRule="auto"/>
              <w:jc w:val="center"/>
            </w:pPr>
            <w:r>
              <w:t>1994</w:t>
            </w:r>
          </w:p>
        </w:tc>
        <w:tc>
          <w:tcPr>
            <w:tcW w:w="1122" w:type="dxa"/>
            <w:tcBorders>
              <w:bottom w:val="single" w:sz="4" w:space="0" w:color="auto"/>
            </w:tcBorders>
          </w:tcPr>
          <w:p w:rsidR="00000000" w:rsidRDefault="00000000">
            <w:pPr>
              <w:spacing w:line="240" w:lineRule="auto"/>
              <w:jc w:val="center"/>
            </w:pPr>
            <w:r>
              <w:t>1995</w:t>
            </w:r>
          </w:p>
        </w:tc>
        <w:tc>
          <w:tcPr>
            <w:tcW w:w="1122" w:type="dxa"/>
            <w:tcBorders>
              <w:bottom w:val="single" w:sz="4" w:space="0" w:color="auto"/>
            </w:tcBorders>
          </w:tcPr>
          <w:p w:rsidR="00000000" w:rsidRDefault="00000000">
            <w:pPr>
              <w:spacing w:line="240" w:lineRule="auto"/>
              <w:jc w:val="center"/>
            </w:pPr>
            <w:r>
              <w:t>1996</w:t>
            </w:r>
          </w:p>
        </w:tc>
        <w:tc>
          <w:tcPr>
            <w:tcW w:w="1122" w:type="dxa"/>
            <w:tcBorders>
              <w:bottom w:val="single" w:sz="4" w:space="0" w:color="auto"/>
            </w:tcBorders>
          </w:tcPr>
          <w:p w:rsidR="00000000" w:rsidRDefault="00000000">
            <w:pPr>
              <w:spacing w:line="240" w:lineRule="auto"/>
              <w:jc w:val="center"/>
            </w:pPr>
            <w:r>
              <w:t>1997</w:t>
            </w:r>
          </w:p>
        </w:tc>
        <w:tc>
          <w:tcPr>
            <w:tcW w:w="1048" w:type="dxa"/>
            <w:tcBorders>
              <w:bottom w:val="single" w:sz="4" w:space="0" w:color="auto"/>
            </w:tcBorders>
          </w:tcPr>
          <w:p w:rsidR="00000000" w:rsidRDefault="00000000">
            <w:pPr>
              <w:spacing w:line="240" w:lineRule="auto"/>
              <w:jc w:val="center"/>
            </w:pPr>
            <w:r>
              <w:t>1998</w:t>
            </w:r>
          </w:p>
        </w:tc>
      </w:tr>
      <w:tr w:rsidR="00000000">
        <w:tblPrEx>
          <w:tblCellMar>
            <w:top w:w="0" w:type="dxa"/>
            <w:bottom w:w="0" w:type="dxa"/>
          </w:tblCellMar>
        </w:tblPrEx>
        <w:tc>
          <w:tcPr>
            <w:tcW w:w="3740" w:type="dxa"/>
            <w:tcBorders>
              <w:bottom w:val="nil"/>
            </w:tcBorders>
          </w:tcPr>
          <w:p w:rsidR="00000000" w:rsidRDefault="00000000">
            <w:pPr>
              <w:tabs>
                <w:tab w:val="clear" w:pos="567"/>
                <w:tab w:val="left" w:pos="266"/>
              </w:tabs>
              <w:spacing w:line="240" w:lineRule="auto"/>
              <w:ind w:left="266" w:hanging="266"/>
            </w:pPr>
            <w:r>
              <w:t>Больницы (стационары и амбулатории)</w:t>
            </w:r>
          </w:p>
        </w:tc>
        <w:tc>
          <w:tcPr>
            <w:tcW w:w="1122" w:type="dxa"/>
            <w:tcBorders>
              <w:bottom w:val="nil"/>
            </w:tcBorders>
          </w:tcPr>
          <w:p w:rsidR="00000000" w:rsidRDefault="00000000">
            <w:pPr>
              <w:spacing w:line="240" w:lineRule="auto"/>
              <w:jc w:val="right"/>
            </w:pPr>
            <w:r>
              <w:t>153</w:t>
            </w:r>
          </w:p>
        </w:tc>
        <w:tc>
          <w:tcPr>
            <w:tcW w:w="1122" w:type="dxa"/>
            <w:tcBorders>
              <w:bottom w:val="nil"/>
            </w:tcBorders>
          </w:tcPr>
          <w:p w:rsidR="00000000" w:rsidRDefault="00000000">
            <w:pPr>
              <w:spacing w:line="240" w:lineRule="auto"/>
              <w:jc w:val="right"/>
            </w:pPr>
            <w:r>
              <w:t>134</w:t>
            </w:r>
          </w:p>
        </w:tc>
        <w:tc>
          <w:tcPr>
            <w:tcW w:w="1122" w:type="dxa"/>
            <w:tcBorders>
              <w:bottom w:val="nil"/>
            </w:tcBorders>
          </w:tcPr>
          <w:p w:rsidR="00000000" w:rsidRDefault="00000000">
            <w:pPr>
              <w:spacing w:line="240" w:lineRule="auto"/>
              <w:jc w:val="right"/>
            </w:pPr>
            <w:r>
              <w:t>120</w:t>
            </w:r>
          </w:p>
        </w:tc>
        <w:tc>
          <w:tcPr>
            <w:tcW w:w="1122" w:type="dxa"/>
            <w:tcBorders>
              <w:bottom w:val="nil"/>
            </w:tcBorders>
          </w:tcPr>
          <w:p w:rsidR="00000000" w:rsidRDefault="00000000">
            <w:pPr>
              <w:spacing w:line="240" w:lineRule="auto"/>
              <w:jc w:val="right"/>
            </w:pPr>
            <w:r>
              <w:t>114</w:t>
            </w:r>
          </w:p>
        </w:tc>
        <w:tc>
          <w:tcPr>
            <w:tcW w:w="1048" w:type="dxa"/>
            <w:tcBorders>
              <w:bottom w:val="nil"/>
            </w:tcBorders>
          </w:tcPr>
          <w:p w:rsidR="00000000" w:rsidRDefault="00000000">
            <w:pPr>
              <w:spacing w:line="240" w:lineRule="auto"/>
              <w:jc w:val="right"/>
            </w:pPr>
            <w:r>
              <w:t>109</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left" w:pos="266"/>
              </w:tabs>
              <w:spacing w:line="240" w:lineRule="auto"/>
              <w:ind w:left="266" w:hanging="266"/>
            </w:pPr>
            <w:r>
              <w:t>Терапевтические центры для лечения туберкулеза и респираторных заболеваний</w:t>
            </w:r>
          </w:p>
        </w:tc>
        <w:tc>
          <w:tcPr>
            <w:tcW w:w="1122" w:type="dxa"/>
            <w:tcBorders>
              <w:top w:val="nil"/>
              <w:bottom w:val="nil"/>
            </w:tcBorders>
          </w:tcPr>
          <w:p w:rsidR="00000000" w:rsidRDefault="00000000">
            <w:pPr>
              <w:spacing w:line="240" w:lineRule="auto"/>
              <w:jc w:val="right"/>
            </w:pPr>
            <w:r>
              <w:t>12</w:t>
            </w:r>
          </w:p>
        </w:tc>
        <w:tc>
          <w:tcPr>
            <w:tcW w:w="1122" w:type="dxa"/>
            <w:tcBorders>
              <w:top w:val="nil"/>
              <w:bottom w:val="nil"/>
            </w:tcBorders>
          </w:tcPr>
          <w:p w:rsidR="00000000" w:rsidRDefault="00000000">
            <w:pPr>
              <w:spacing w:line="240" w:lineRule="auto"/>
              <w:jc w:val="right"/>
            </w:pPr>
            <w:r>
              <w:t>11</w:t>
            </w:r>
          </w:p>
        </w:tc>
        <w:tc>
          <w:tcPr>
            <w:tcW w:w="1122" w:type="dxa"/>
            <w:tcBorders>
              <w:top w:val="nil"/>
              <w:bottom w:val="nil"/>
            </w:tcBorders>
          </w:tcPr>
          <w:p w:rsidR="00000000" w:rsidRDefault="00000000">
            <w:pPr>
              <w:spacing w:line="240" w:lineRule="auto"/>
              <w:jc w:val="right"/>
            </w:pPr>
            <w:r>
              <w:t>10</w:t>
            </w:r>
          </w:p>
        </w:tc>
        <w:tc>
          <w:tcPr>
            <w:tcW w:w="1122" w:type="dxa"/>
            <w:tcBorders>
              <w:top w:val="nil"/>
              <w:bottom w:val="nil"/>
            </w:tcBorders>
          </w:tcPr>
          <w:p w:rsidR="00000000" w:rsidRDefault="00000000">
            <w:pPr>
              <w:spacing w:line="240" w:lineRule="auto"/>
              <w:jc w:val="right"/>
            </w:pPr>
            <w:r>
              <w:t>10</w:t>
            </w:r>
          </w:p>
        </w:tc>
        <w:tc>
          <w:tcPr>
            <w:tcW w:w="1048" w:type="dxa"/>
            <w:tcBorders>
              <w:top w:val="nil"/>
              <w:bottom w:val="nil"/>
            </w:tcBorders>
          </w:tcPr>
          <w:p w:rsidR="00000000" w:rsidRDefault="00000000">
            <w:pPr>
              <w:spacing w:line="240" w:lineRule="auto"/>
              <w:jc w:val="right"/>
            </w:pPr>
            <w:r>
              <w:t>10</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left" w:pos="266"/>
              </w:tabs>
              <w:spacing w:line="240" w:lineRule="auto"/>
              <w:ind w:left="266" w:hanging="266"/>
            </w:pPr>
            <w:r>
              <w:t>Психиатрические больницы</w:t>
            </w:r>
          </w:p>
        </w:tc>
        <w:tc>
          <w:tcPr>
            <w:tcW w:w="1122" w:type="dxa"/>
            <w:tcBorders>
              <w:top w:val="nil"/>
              <w:bottom w:val="nil"/>
            </w:tcBorders>
          </w:tcPr>
          <w:p w:rsidR="00000000" w:rsidRDefault="00000000">
            <w:pPr>
              <w:spacing w:line="240" w:lineRule="auto"/>
              <w:jc w:val="right"/>
            </w:pPr>
            <w:r>
              <w:t>20</w:t>
            </w:r>
          </w:p>
        </w:tc>
        <w:tc>
          <w:tcPr>
            <w:tcW w:w="1122" w:type="dxa"/>
            <w:tcBorders>
              <w:top w:val="nil"/>
              <w:bottom w:val="nil"/>
            </w:tcBorders>
          </w:tcPr>
          <w:p w:rsidR="00000000" w:rsidRDefault="00000000">
            <w:pPr>
              <w:spacing w:line="240" w:lineRule="auto"/>
              <w:jc w:val="right"/>
            </w:pPr>
            <w:r>
              <w:t>18</w:t>
            </w:r>
          </w:p>
        </w:tc>
        <w:tc>
          <w:tcPr>
            <w:tcW w:w="1122" w:type="dxa"/>
            <w:tcBorders>
              <w:top w:val="nil"/>
              <w:bottom w:val="nil"/>
            </w:tcBorders>
          </w:tcPr>
          <w:p w:rsidR="00000000" w:rsidRDefault="00000000">
            <w:pPr>
              <w:spacing w:line="240" w:lineRule="auto"/>
              <w:jc w:val="right"/>
            </w:pPr>
            <w:r>
              <w:t>18</w:t>
            </w:r>
          </w:p>
        </w:tc>
        <w:tc>
          <w:tcPr>
            <w:tcW w:w="1122" w:type="dxa"/>
            <w:tcBorders>
              <w:top w:val="nil"/>
              <w:bottom w:val="nil"/>
            </w:tcBorders>
          </w:tcPr>
          <w:p w:rsidR="00000000" w:rsidRDefault="00000000">
            <w:pPr>
              <w:spacing w:line="240" w:lineRule="auto"/>
              <w:jc w:val="right"/>
            </w:pPr>
            <w:r>
              <w:t>19</w:t>
            </w:r>
          </w:p>
        </w:tc>
        <w:tc>
          <w:tcPr>
            <w:tcW w:w="1048" w:type="dxa"/>
            <w:tcBorders>
              <w:top w:val="nil"/>
              <w:bottom w:val="nil"/>
            </w:tcBorders>
          </w:tcPr>
          <w:p w:rsidR="00000000" w:rsidRDefault="00000000">
            <w:pPr>
              <w:spacing w:line="240" w:lineRule="auto"/>
              <w:jc w:val="right"/>
            </w:pPr>
            <w:r>
              <w:t>19</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left" w:pos="266"/>
              </w:tabs>
              <w:spacing w:line="240" w:lineRule="auto"/>
              <w:ind w:left="266" w:hanging="266"/>
            </w:pPr>
            <w:r>
              <w:t>Терапевтические центры для длительного лечения</w:t>
            </w:r>
          </w:p>
        </w:tc>
        <w:tc>
          <w:tcPr>
            <w:tcW w:w="1122" w:type="dxa"/>
            <w:tcBorders>
              <w:top w:val="nil"/>
              <w:bottom w:val="nil"/>
            </w:tcBorders>
          </w:tcPr>
          <w:p w:rsidR="00000000" w:rsidRDefault="00000000">
            <w:pPr>
              <w:spacing w:line="240" w:lineRule="auto"/>
              <w:jc w:val="right"/>
            </w:pPr>
            <w:r>
              <w:t>64</w:t>
            </w:r>
          </w:p>
        </w:tc>
        <w:tc>
          <w:tcPr>
            <w:tcW w:w="1122" w:type="dxa"/>
            <w:tcBorders>
              <w:top w:val="nil"/>
              <w:bottom w:val="nil"/>
            </w:tcBorders>
          </w:tcPr>
          <w:p w:rsidR="00000000" w:rsidRDefault="00000000">
            <w:pPr>
              <w:spacing w:line="240" w:lineRule="auto"/>
              <w:jc w:val="right"/>
            </w:pPr>
            <w:r>
              <w:t>59</w:t>
            </w:r>
          </w:p>
        </w:tc>
        <w:tc>
          <w:tcPr>
            <w:tcW w:w="1122" w:type="dxa"/>
            <w:tcBorders>
              <w:top w:val="nil"/>
              <w:bottom w:val="nil"/>
            </w:tcBorders>
          </w:tcPr>
          <w:p w:rsidR="00000000" w:rsidRDefault="00000000">
            <w:pPr>
              <w:spacing w:line="240" w:lineRule="auto"/>
              <w:jc w:val="right"/>
            </w:pPr>
            <w:r>
              <w:t>52</w:t>
            </w:r>
          </w:p>
        </w:tc>
        <w:tc>
          <w:tcPr>
            <w:tcW w:w="1122" w:type="dxa"/>
            <w:tcBorders>
              <w:top w:val="nil"/>
              <w:bottom w:val="nil"/>
            </w:tcBorders>
          </w:tcPr>
          <w:p w:rsidR="00000000" w:rsidRDefault="00000000">
            <w:pPr>
              <w:spacing w:line="240" w:lineRule="auto"/>
              <w:jc w:val="right"/>
            </w:pPr>
            <w:r>
              <w:t>58</w:t>
            </w:r>
          </w:p>
        </w:tc>
        <w:tc>
          <w:tcPr>
            <w:tcW w:w="1048" w:type="dxa"/>
            <w:tcBorders>
              <w:top w:val="nil"/>
              <w:bottom w:val="nil"/>
            </w:tcBorders>
          </w:tcPr>
          <w:p w:rsidR="00000000" w:rsidRDefault="00000000">
            <w:pPr>
              <w:spacing w:line="240" w:lineRule="auto"/>
              <w:jc w:val="right"/>
            </w:pPr>
            <w:r>
              <w:t>53</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left" w:pos="266"/>
              </w:tabs>
              <w:spacing w:line="240" w:lineRule="auto"/>
              <w:ind w:left="266" w:hanging="266"/>
            </w:pPr>
            <w:r>
              <w:t>Физиотерапевтические центры</w:t>
            </w:r>
          </w:p>
        </w:tc>
        <w:tc>
          <w:tcPr>
            <w:tcW w:w="1122" w:type="dxa"/>
            <w:tcBorders>
              <w:top w:val="nil"/>
              <w:bottom w:val="nil"/>
            </w:tcBorders>
          </w:tcPr>
          <w:p w:rsidR="00000000" w:rsidRDefault="00000000">
            <w:pPr>
              <w:spacing w:line="240" w:lineRule="auto"/>
              <w:jc w:val="right"/>
            </w:pPr>
            <w:r>
              <w:t>6</w:t>
            </w:r>
          </w:p>
        </w:tc>
        <w:tc>
          <w:tcPr>
            <w:tcW w:w="1122" w:type="dxa"/>
            <w:tcBorders>
              <w:top w:val="nil"/>
              <w:bottom w:val="nil"/>
            </w:tcBorders>
          </w:tcPr>
          <w:p w:rsidR="00000000" w:rsidRDefault="00000000">
            <w:pPr>
              <w:spacing w:line="240" w:lineRule="auto"/>
              <w:jc w:val="right"/>
            </w:pPr>
            <w:r>
              <w:t>4</w:t>
            </w:r>
          </w:p>
        </w:tc>
        <w:tc>
          <w:tcPr>
            <w:tcW w:w="1122" w:type="dxa"/>
            <w:tcBorders>
              <w:top w:val="nil"/>
              <w:bottom w:val="nil"/>
            </w:tcBorders>
          </w:tcPr>
          <w:p w:rsidR="00000000" w:rsidRDefault="00000000">
            <w:pPr>
              <w:spacing w:line="240" w:lineRule="auto"/>
              <w:jc w:val="right"/>
            </w:pPr>
            <w:r>
              <w:t>3</w:t>
            </w:r>
          </w:p>
        </w:tc>
        <w:tc>
          <w:tcPr>
            <w:tcW w:w="1122" w:type="dxa"/>
            <w:tcBorders>
              <w:top w:val="nil"/>
              <w:bottom w:val="nil"/>
            </w:tcBorders>
          </w:tcPr>
          <w:p w:rsidR="00000000" w:rsidRDefault="00000000">
            <w:pPr>
              <w:spacing w:line="240" w:lineRule="auto"/>
              <w:jc w:val="right"/>
            </w:pPr>
            <w:r>
              <w:t>3</w:t>
            </w:r>
          </w:p>
        </w:tc>
        <w:tc>
          <w:tcPr>
            <w:tcW w:w="1048" w:type="dxa"/>
            <w:tcBorders>
              <w:top w:val="nil"/>
              <w:bottom w:val="nil"/>
            </w:tcBorders>
          </w:tcPr>
          <w:p w:rsidR="00000000" w:rsidRDefault="00000000">
            <w:pPr>
              <w:spacing w:line="240" w:lineRule="auto"/>
              <w:jc w:val="right"/>
            </w:pPr>
            <w:r>
              <w:t>3</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left" w:pos="266"/>
              </w:tabs>
              <w:spacing w:line="240" w:lineRule="auto"/>
              <w:ind w:left="266" w:hanging="266"/>
            </w:pPr>
            <w:r>
              <w:t>Центры для выздоравливающих</w:t>
            </w:r>
          </w:p>
        </w:tc>
        <w:tc>
          <w:tcPr>
            <w:tcW w:w="1122" w:type="dxa"/>
            <w:tcBorders>
              <w:top w:val="nil"/>
              <w:bottom w:val="nil"/>
            </w:tcBorders>
          </w:tcPr>
          <w:p w:rsidR="00000000" w:rsidRDefault="00000000">
            <w:pPr>
              <w:spacing w:line="240" w:lineRule="auto"/>
              <w:jc w:val="right"/>
            </w:pPr>
            <w:r>
              <w:t>20</w:t>
            </w:r>
          </w:p>
        </w:tc>
        <w:tc>
          <w:tcPr>
            <w:tcW w:w="1122" w:type="dxa"/>
            <w:tcBorders>
              <w:top w:val="nil"/>
              <w:bottom w:val="nil"/>
            </w:tcBorders>
          </w:tcPr>
          <w:p w:rsidR="00000000" w:rsidRDefault="00000000">
            <w:pPr>
              <w:spacing w:line="240" w:lineRule="auto"/>
              <w:jc w:val="right"/>
            </w:pPr>
            <w:r>
              <w:t>18</w:t>
            </w:r>
          </w:p>
        </w:tc>
        <w:tc>
          <w:tcPr>
            <w:tcW w:w="1122" w:type="dxa"/>
            <w:tcBorders>
              <w:top w:val="nil"/>
              <w:bottom w:val="nil"/>
            </w:tcBorders>
          </w:tcPr>
          <w:p w:rsidR="00000000" w:rsidRDefault="00000000">
            <w:pPr>
              <w:spacing w:line="240" w:lineRule="auto"/>
              <w:jc w:val="right"/>
            </w:pPr>
            <w:r>
              <w:t>14</w:t>
            </w:r>
          </w:p>
        </w:tc>
        <w:tc>
          <w:tcPr>
            <w:tcW w:w="1122" w:type="dxa"/>
            <w:tcBorders>
              <w:top w:val="nil"/>
              <w:bottom w:val="nil"/>
            </w:tcBorders>
          </w:tcPr>
          <w:p w:rsidR="00000000" w:rsidRDefault="00000000">
            <w:pPr>
              <w:spacing w:line="240" w:lineRule="auto"/>
              <w:jc w:val="right"/>
            </w:pPr>
            <w:r>
              <w:t>12</w:t>
            </w:r>
          </w:p>
        </w:tc>
        <w:tc>
          <w:tcPr>
            <w:tcW w:w="1048" w:type="dxa"/>
            <w:tcBorders>
              <w:top w:val="nil"/>
              <w:bottom w:val="nil"/>
            </w:tcBorders>
          </w:tcPr>
          <w:p w:rsidR="00000000" w:rsidRDefault="00000000">
            <w:pPr>
              <w:spacing w:line="240" w:lineRule="auto"/>
              <w:jc w:val="right"/>
            </w:pPr>
            <w:r>
              <w:t>10</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left" w:pos="266"/>
              </w:tabs>
              <w:spacing w:line="240" w:lineRule="auto"/>
              <w:ind w:left="266" w:hanging="266"/>
            </w:pPr>
            <w:r>
              <w:t>Прочие специализированные лечебные заведения</w:t>
            </w:r>
          </w:p>
        </w:tc>
        <w:tc>
          <w:tcPr>
            <w:tcW w:w="1122" w:type="dxa"/>
            <w:tcBorders>
              <w:top w:val="nil"/>
              <w:bottom w:val="nil"/>
            </w:tcBorders>
          </w:tcPr>
          <w:p w:rsidR="00000000" w:rsidRDefault="00000000">
            <w:pPr>
              <w:spacing w:line="240" w:lineRule="auto"/>
              <w:jc w:val="right"/>
            </w:pPr>
            <w:r>
              <w:t>25</w:t>
            </w:r>
          </w:p>
        </w:tc>
        <w:tc>
          <w:tcPr>
            <w:tcW w:w="1122" w:type="dxa"/>
            <w:tcBorders>
              <w:top w:val="nil"/>
              <w:bottom w:val="nil"/>
            </w:tcBorders>
          </w:tcPr>
          <w:p w:rsidR="00000000" w:rsidRDefault="00000000">
            <w:pPr>
              <w:spacing w:line="240" w:lineRule="auto"/>
              <w:jc w:val="right"/>
            </w:pPr>
            <w:r>
              <w:t>21</w:t>
            </w:r>
          </w:p>
        </w:tc>
        <w:tc>
          <w:tcPr>
            <w:tcW w:w="1122" w:type="dxa"/>
            <w:tcBorders>
              <w:top w:val="nil"/>
              <w:bottom w:val="nil"/>
            </w:tcBorders>
          </w:tcPr>
          <w:p w:rsidR="00000000" w:rsidRDefault="00000000">
            <w:pPr>
              <w:spacing w:line="240" w:lineRule="auto"/>
              <w:jc w:val="right"/>
            </w:pPr>
            <w:r>
              <w:t>24</w:t>
            </w:r>
          </w:p>
        </w:tc>
        <w:tc>
          <w:tcPr>
            <w:tcW w:w="1122" w:type="dxa"/>
            <w:tcBorders>
              <w:top w:val="nil"/>
              <w:bottom w:val="nil"/>
            </w:tcBorders>
          </w:tcPr>
          <w:p w:rsidR="00000000" w:rsidRDefault="00000000">
            <w:pPr>
              <w:spacing w:line="240" w:lineRule="auto"/>
              <w:jc w:val="right"/>
            </w:pPr>
            <w:r>
              <w:t>18</w:t>
            </w:r>
          </w:p>
        </w:tc>
        <w:tc>
          <w:tcPr>
            <w:tcW w:w="1048" w:type="dxa"/>
            <w:tcBorders>
              <w:top w:val="nil"/>
              <w:bottom w:val="nil"/>
            </w:tcBorders>
          </w:tcPr>
          <w:p w:rsidR="00000000" w:rsidRDefault="00000000">
            <w:pPr>
              <w:spacing w:line="240" w:lineRule="auto"/>
              <w:jc w:val="right"/>
            </w:pPr>
            <w:r>
              <w:t>16</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left" w:pos="266"/>
              </w:tabs>
              <w:spacing w:line="240" w:lineRule="auto"/>
              <w:ind w:left="266" w:hanging="266"/>
            </w:pPr>
            <w:r>
              <w:t>Водные лечебницы</w:t>
            </w:r>
          </w:p>
        </w:tc>
        <w:tc>
          <w:tcPr>
            <w:tcW w:w="1122" w:type="dxa"/>
            <w:tcBorders>
              <w:top w:val="nil"/>
              <w:bottom w:val="nil"/>
            </w:tcBorders>
          </w:tcPr>
          <w:p w:rsidR="00000000" w:rsidRDefault="00000000">
            <w:pPr>
              <w:spacing w:line="240" w:lineRule="auto"/>
              <w:jc w:val="right"/>
            </w:pPr>
            <w:r>
              <w:t>12</w:t>
            </w:r>
          </w:p>
        </w:tc>
        <w:tc>
          <w:tcPr>
            <w:tcW w:w="1122" w:type="dxa"/>
            <w:tcBorders>
              <w:top w:val="nil"/>
              <w:bottom w:val="nil"/>
            </w:tcBorders>
          </w:tcPr>
          <w:p w:rsidR="00000000" w:rsidRDefault="00000000">
            <w:pPr>
              <w:spacing w:line="240" w:lineRule="auto"/>
              <w:jc w:val="right"/>
            </w:pPr>
            <w:r>
              <w:t>13</w:t>
            </w:r>
          </w:p>
        </w:tc>
        <w:tc>
          <w:tcPr>
            <w:tcW w:w="1122" w:type="dxa"/>
            <w:tcBorders>
              <w:top w:val="nil"/>
              <w:bottom w:val="nil"/>
            </w:tcBorders>
          </w:tcPr>
          <w:p w:rsidR="00000000" w:rsidRDefault="00000000">
            <w:pPr>
              <w:spacing w:line="240" w:lineRule="auto"/>
              <w:jc w:val="right"/>
            </w:pPr>
            <w:r>
              <w:t>11</w:t>
            </w:r>
          </w:p>
        </w:tc>
        <w:tc>
          <w:tcPr>
            <w:tcW w:w="1122" w:type="dxa"/>
            <w:tcBorders>
              <w:top w:val="nil"/>
              <w:bottom w:val="nil"/>
            </w:tcBorders>
          </w:tcPr>
          <w:p w:rsidR="00000000" w:rsidRDefault="00000000">
            <w:pPr>
              <w:spacing w:line="240" w:lineRule="auto"/>
              <w:jc w:val="right"/>
            </w:pPr>
            <w:r>
              <w:t>10</w:t>
            </w:r>
          </w:p>
        </w:tc>
        <w:tc>
          <w:tcPr>
            <w:tcW w:w="1048" w:type="dxa"/>
            <w:tcBorders>
              <w:top w:val="nil"/>
              <w:bottom w:val="nil"/>
            </w:tcBorders>
          </w:tcPr>
          <w:p w:rsidR="00000000" w:rsidRDefault="00000000">
            <w:pPr>
              <w:spacing w:line="240" w:lineRule="auto"/>
              <w:jc w:val="right"/>
            </w:pPr>
            <w:r>
              <w:t>9</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left" w:pos="266"/>
              </w:tabs>
              <w:spacing w:line="240" w:lineRule="auto"/>
              <w:ind w:left="266" w:hanging="266"/>
            </w:pPr>
            <w:r>
              <w:t>Детские учреждения и детские дома</w:t>
            </w:r>
            <w:r>
              <w:rPr>
                <w:b/>
                <w:bCs/>
                <w:vertAlign w:val="superscript"/>
              </w:rPr>
              <w:t>а</w:t>
            </w:r>
          </w:p>
        </w:tc>
        <w:tc>
          <w:tcPr>
            <w:tcW w:w="1122" w:type="dxa"/>
            <w:tcBorders>
              <w:top w:val="nil"/>
              <w:bottom w:val="nil"/>
            </w:tcBorders>
          </w:tcPr>
          <w:p w:rsidR="00000000" w:rsidRDefault="00000000">
            <w:pPr>
              <w:spacing w:line="240" w:lineRule="auto"/>
              <w:jc w:val="right"/>
            </w:pPr>
            <w:r>
              <w:t>38</w:t>
            </w:r>
          </w:p>
        </w:tc>
        <w:tc>
          <w:tcPr>
            <w:tcW w:w="1122" w:type="dxa"/>
            <w:tcBorders>
              <w:top w:val="nil"/>
              <w:bottom w:val="nil"/>
            </w:tcBorders>
          </w:tcPr>
          <w:p w:rsidR="00000000" w:rsidRDefault="00000000">
            <w:pPr>
              <w:spacing w:line="240" w:lineRule="auto"/>
              <w:jc w:val="right"/>
            </w:pPr>
            <w:r>
              <w:t>37</w:t>
            </w:r>
          </w:p>
        </w:tc>
        <w:tc>
          <w:tcPr>
            <w:tcW w:w="1122" w:type="dxa"/>
            <w:tcBorders>
              <w:top w:val="nil"/>
              <w:bottom w:val="nil"/>
            </w:tcBorders>
          </w:tcPr>
          <w:p w:rsidR="00000000" w:rsidRDefault="00000000">
            <w:pPr>
              <w:spacing w:line="240" w:lineRule="auto"/>
              <w:jc w:val="right"/>
            </w:pPr>
            <w:r>
              <w:t>35</w:t>
            </w:r>
          </w:p>
        </w:tc>
        <w:tc>
          <w:tcPr>
            <w:tcW w:w="1122" w:type="dxa"/>
            <w:tcBorders>
              <w:top w:val="nil"/>
              <w:bottom w:val="nil"/>
            </w:tcBorders>
          </w:tcPr>
          <w:p w:rsidR="00000000" w:rsidRDefault="00000000">
            <w:pPr>
              <w:spacing w:line="240" w:lineRule="auto"/>
              <w:jc w:val="right"/>
            </w:pPr>
            <w:r>
              <w:t>33</w:t>
            </w:r>
          </w:p>
        </w:tc>
        <w:tc>
          <w:tcPr>
            <w:tcW w:w="1048" w:type="dxa"/>
            <w:tcBorders>
              <w:top w:val="nil"/>
              <w:bottom w:val="nil"/>
            </w:tcBorders>
          </w:tcPr>
          <w:p w:rsidR="00000000" w:rsidRDefault="00000000">
            <w:pPr>
              <w:spacing w:line="240" w:lineRule="auto"/>
              <w:jc w:val="right"/>
            </w:pPr>
            <w:r>
              <w:t>34</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left" w:pos="266"/>
              </w:tabs>
              <w:spacing w:line="240" w:lineRule="auto"/>
              <w:ind w:left="266" w:hanging="266"/>
            </w:pPr>
            <w:r>
              <w:t>Детские клиники и центры для ухода в дневное время</w:t>
            </w:r>
          </w:p>
        </w:tc>
        <w:tc>
          <w:tcPr>
            <w:tcW w:w="1122" w:type="dxa"/>
            <w:tcBorders>
              <w:top w:val="nil"/>
              <w:bottom w:val="nil"/>
            </w:tcBorders>
          </w:tcPr>
          <w:p w:rsidR="00000000" w:rsidRDefault="00000000">
            <w:pPr>
              <w:spacing w:line="240" w:lineRule="auto"/>
              <w:jc w:val="right"/>
            </w:pPr>
            <w:r>
              <w:t>32</w:t>
            </w:r>
          </w:p>
        </w:tc>
        <w:tc>
          <w:tcPr>
            <w:tcW w:w="1122" w:type="dxa"/>
            <w:tcBorders>
              <w:top w:val="nil"/>
              <w:bottom w:val="nil"/>
            </w:tcBorders>
          </w:tcPr>
          <w:p w:rsidR="00000000" w:rsidRDefault="00000000">
            <w:pPr>
              <w:spacing w:line="240" w:lineRule="auto"/>
              <w:jc w:val="right"/>
            </w:pPr>
            <w:r>
              <w:t>23</w:t>
            </w:r>
          </w:p>
        </w:tc>
        <w:tc>
          <w:tcPr>
            <w:tcW w:w="1122" w:type="dxa"/>
            <w:tcBorders>
              <w:top w:val="nil"/>
              <w:bottom w:val="nil"/>
            </w:tcBorders>
          </w:tcPr>
          <w:p w:rsidR="00000000" w:rsidRDefault="00000000">
            <w:pPr>
              <w:spacing w:line="240" w:lineRule="auto"/>
              <w:jc w:val="right"/>
            </w:pPr>
            <w:r>
              <w:t>17</w:t>
            </w:r>
          </w:p>
        </w:tc>
        <w:tc>
          <w:tcPr>
            <w:tcW w:w="1122" w:type="dxa"/>
            <w:tcBorders>
              <w:top w:val="nil"/>
              <w:bottom w:val="nil"/>
            </w:tcBorders>
          </w:tcPr>
          <w:p w:rsidR="00000000" w:rsidRDefault="00000000">
            <w:pPr>
              <w:spacing w:line="240" w:lineRule="auto"/>
              <w:jc w:val="right"/>
            </w:pPr>
            <w:r>
              <w:t>14</w:t>
            </w:r>
          </w:p>
        </w:tc>
        <w:tc>
          <w:tcPr>
            <w:tcW w:w="1048" w:type="dxa"/>
            <w:tcBorders>
              <w:top w:val="nil"/>
              <w:bottom w:val="nil"/>
            </w:tcBorders>
          </w:tcPr>
          <w:p w:rsidR="00000000" w:rsidRDefault="00000000">
            <w:pPr>
              <w:spacing w:line="240" w:lineRule="auto"/>
              <w:jc w:val="right"/>
            </w:pPr>
            <w:r>
              <w:t>14</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left" w:pos="266"/>
              </w:tabs>
              <w:spacing w:line="240" w:lineRule="auto"/>
              <w:ind w:left="266" w:hanging="266"/>
            </w:pPr>
            <w:r>
              <w:t>Аптеки</w:t>
            </w:r>
          </w:p>
        </w:tc>
        <w:tc>
          <w:tcPr>
            <w:tcW w:w="1122" w:type="dxa"/>
            <w:tcBorders>
              <w:top w:val="nil"/>
              <w:bottom w:val="nil"/>
            </w:tcBorders>
          </w:tcPr>
          <w:p w:rsidR="00000000" w:rsidRDefault="00000000">
            <w:pPr>
              <w:spacing w:line="240" w:lineRule="auto"/>
              <w:jc w:val="right"/>
            </w:pPr>
            <w:r>
              <w:t>447</w:t>
            </w:r>
          </w:p>
        </w:tc>
        <w:tc>
          <w:tcPr>
            <w:tcW w:w="1122" w:type="dxa"/>
            <w:tcBorders>
              <w:top w:val="nil"/>
              <w:bottom w:val="nil"/>
            </w:tcBorders>
          </w:tcPr>
          <w:p w:rsidR="00000000" w:rsidRDefault="00000000">
            <w:pPr>
              <w:spacing w:line="240" w:lineRule="auto"/>
              <w:jc w:val="right"/>
            </w:pPr>
            <w:r>
              <w:t>185</w:t>
            </w:r>
          </w:p>
        </w:tc>
        <w:tc>
          <w:tcPr>
            <w:tcW w:w="1122" w:type="dxa"/>
            <w:tcBorders>
              <w:top w:val="nil"/>
              <w:bottom w:val="nil"/>
            </w:tcBorders>
          </w:tcPr>
          <w:p w:rsidR="00000000" w:rsidRDefault="00000000">
            <w:pPr>
              <w:spacing w:line="240" w:lineRule="auto"/>
              <w:jc w:val="right"/>
            </w:pPr>
            <w:r>
              <w:t>102</w:t>
            </w:r>
          </w:p>
        </w:tc>
        <w:tc>
          <w:tcPr>
            <w:tcW w:w="1122" w:type="dxa"/>
            <w:tcBorders>
              <w:top w:val="nil"/>
              <w:bottom w:val="nil"/>
            </w:tcBorders>
          </w:tcPr>
          <w:p w:rsidR="00000000" w:rsidRDefault="00000000">
            <w:pPr>
              <w:spacing w:line="240" w:lineRule="auto"/>
              <w:jc w:val="right"/>
            </w:pPr>
            <w:r>
              <w:t>79</w:t>
            </w:r>
          </w:p>
        </w:tc>
        <w:tc>
          <w:tcPr>
            <w:tcW w:w="1048" w:type="dxa"/>
            <w:tcBorders>
              <w:top w:val="nil"/>
              <w:bottom w:val="nil"/>
            </w:tcBorders>
          </w:tcPr>
          <w:p w:rsidR="00000000" w:rsidRDefault="00000000">
            <w:pPr>
              <w:spacing w:line="240" w:lineRule="auto"/>
              <w:jc w:val="right"/>
            </w:pPr>
            <w:r>
              <w:t>73</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left" w:pos="266"/>
              </w:tabs>
              <w:spacing w:line="240" w:lineRule="auto"/>
              <w:ind w:left="266" w:hanging="266"/>
            </w:pPr>
            <w:r>
              <w:t>Гигиенические службы</w:t>
            </w:r>
          </w:p>
        </w:tc>
        <w:tc>
          <w:tcPr>
            <w:tcW w:w="1122" w:type="dxa"/>
            <w:tcBorders>
              <w:top w:val="nil"/>
              <w:bottom w:val="nil"/>
            </w:tcBorders>
          </w:tcPr>
          <w:p w:rsidR="00000000" w:rsidRDefault="00000000">
            <w:pPr>
              <w:spacing w:line="240" w:lineRule="auto"/>
              <w:jc w:val="right"/>
            </w:pPr>
            <w:r>
              <w:t>90</w:t>
            </w:r>
          </w:p>
        </w:tc>
        <w:tc>
          <w:tcPr>
            <w:tcW w:w="1122" w:type="dxa"/>
            <w:tcBorders>
              <w:top w:val="nil"/>
              <w:bottom w:val="nil"/>
            </w:tcBorders>
          </w:tcPr>
          <w:p w:rsidR="00000000" w:rsidRDefault="00000000">
            <w:pPr>
              <w:spacing w:line="240" w:lineRule="auto"/>
              <w:jc w:val="right"/>
            </w:pPr>
            <w:r>
              <w:t>86</w:t>
            </w:r>
          </w:p>
        </w:tc>
        <w:tc>
          <w:tcPr>
            <w:tcW w:w="1122" w:type="dxa"/>
            <w:tcBorders>
              <w:top w:val="nil"/>
              <w:bottom w:val="nil"/>
            </w:tcBorders>
          </w:tcPr>
          <w:p w:rsidR="00000000" w:rsidRDefault="00000000">
            <w:pPr>
              <w:spacing w:line="240" w:lineRule="auto"/>
              <w:jc w:val="right"/>
            </w:pPr>
            <w:r>
              <w:t>85</w:t>
            </w:r>
          </w:p>
        </w:tc>
        <w:tc>
          <w:tcPr>
            <w:tcW w:w="1122" w:type="dxa"/>
            <w:tcBorders>
              <w:top w:val="nil"/>
              <w:bottom w:val="nil"/>
            </w:tcBorders>
          </w:tcPr>
          <w:p w:rsidR="00000000" w:rsidRDefault="00000000">
            <w:pPr>
              <w:spacing w:line="240" w:lineRule="auto"/>
              <w:jc w:val="right"/>
            </w:pPr>
            <w:r>
              <w:t>85</w:t>
            </w:r>
          </w:p>
        </w:tc>
        <w:tc>
          <w:tcPr>
            <w:tcW w:w="1048" w:type="dxa"/>
            <w:tcBorders>
              <w:top w:val="nil"/>
              <w:bottom w:val="nil"/>
            </w:tcBorders>
          </w:tcPr>
          <w:p w:rsidR="00000000" w:rsidRDefault="00000000">
            <w:pPr>
              <w:spacing w:line="240" w:lineRule="auto"/>
              <w:jc w:val="right"/>
            </w:pPr>
            <w:r>
              <w:t>85</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left" w:pos="266"/>
              </w:tabs>
              <w:spacing w:line="240" w:lineRule="auto"/>
              <w:ind w:left="266" w:hanging="266"/>
            </w:pPr>
            <w:r>
              <w:t>Общее число коек</w:t>
            </w:r>
          </w:p>
        </w:tc>
        <w:tc>
          <w:tcPr>
            <w:tcW w:w="1122" w:type="dxa"/>
            <w:tcBorders>
              <w:top w:val="nil"/>
              <w:bottom w:val="nil"/>
            </w:tcBorders>
          </w:tcPr>
          <w:p w:rsidR="00000000" w:rsidRDefault="00000000">
            <w:pPr>
              <w:spacing w:line="240" w:lineRule="auto"/>
              <w:jc w:val="right"/>
            </w:pPr>
            <w:r>
              <w:t>107 039</w:t>
            </w:r>
          </w:p>
        </w:tc>
        <w:tc>
          <w:tcPr>
            <w:tcW w:w="1122" w:type="dxa"/>
            <w:tcBorders>
              <w:top w:val="nil"/>
              <w:bottom w:val="nil"/>
            </w:tcBorders>
          </w:tcPr>
          <w:p w:rsidR="00000000" w:rsidRDefault="00000000">
            <w:pPr>
              <w:spacing w:line="240" w:lineRule="auto"/>
              <w:jc w:val="right"/>
            </w:pPr>
            <w:r>
              <w:t>91 921</w:t>
            </w:r>
          </w:p>
        </w:tc>
        <w:tc>
          <w:tcPr>
            <w:tcW w:w="1122" w:type="dxa"/>
            <w:tcBorders>
              <w:top w:val="nil"/>
              <w:bottom w:val="nil"/>
            </w:tcBorders>
          </w:tcPr>
          <w:p w:rsidR="00000000" w:rsidRDefault="00000000">
            <w:pPr>
              <w:spacing w:line="240" w:lineRule="auto"/>
              <w:jc w:val="right"/>
            </w:pPr>
            <w:r>
              <w:t>86 569</w:t>
            </w:r>
          </w:p>
        </w:tc>
        <w:tc>
          <w:tcPr>
            <w:tcW w:w="1122" w:type="dxa"/>
            <w:tcBorders>
              <w:top w:val="nil"/>
              <w:bottom w:val="nil"/>
            </w:tcBorders>
          </w:tcPr>
          <w:p w:rsidR="00000000" w:rsidRDefault="00000000">
            <w:pPr>
              <w:spacing w:line="240" w:lineRule="auto"/>
              <w:jc w:val="right"/>
            </w:pPr>
            <w:r>
              <w:t>82 107</w:t>
            </w:r>
          </w:p>
        </w:tc>
        <w:tc>
          <w:tcPr>
            <w:tcW w:w="1048" w:type="dxa"/>
            <w:tcBorders>
              <w:top w:val="nil"/>
              <w:bottom w:val="nil"/>
            </w:tcBorders>
          </w:tcPr>
          <w:p w:rsidR="00000000" w:rsidRDefault="00000000">
            <w:pPr>
              <w:spacing w:line="240" w:lineRule="auto"/>
              <w:jc w:val="right"/>
            </w:pPr>
            <w:r>
              <w:t>79 958</w:t>
            </w:r>
          </w:p>
        </w:tc>
      </w:tr>
      <w:tr w:rsidR="00000000">
        <w:tblPrEx>
          <w:tblCellMar>
            <w:top w:w="0" w:type="dxa"/>
            <w:bottom w:w="0" w:type="dxa"/>
          </w:tblCellMar>
        </w:tblPrEx>
        <w:tc>
          <w:tcPr>
            <w:tcW w:w="3740" w:type="dxa"/>
            <w:tcBorders>
              <w:top w:val="nil"/>
            </w:tcBorders>
          </w:tcPr>
          <w:p w:rsidR="00000000" w:rsidRDefault="00000000">
            <w:pPr>
              <w:tabs>
                <w:tab w:val="clear" w:pos="567"/>
                <w:tab w:val="left" w:pos="266"/>
              </w:tabs>
              <w:spacing w:line="240" w:lineRule="auto"/>
              <w:ind w:left="266" w:hanging="266"/>
            </w:pPr>
            <w:r>
              <w:t>Лечащие врачи (в тыс.)</w:t>
            </w:r>
          </w:p>
        </w:tc>
        <w:tc>
          <w:tcPr>
            <w:tcW w:w="1122" w:type="dxa"/>
            <w:tcBorders>
              <w:top w:val="nil"/>
            </w:tcBorders>
          </w:tcPr>
          <w:p w:rsidR="00000000" w:rsidRDefault="00000000">
            <w:pPr>
              <w:spacing w:line="240" w:lineRule="auto"/>
              <w:jc w:val="right"/>
            </w:pPr>
            <w:r>
              <w:t>17 552</w:t>
            </w:r>
          </w:p>
        </w:tc>
        <w:tc>
          <w:tcPr>
            <w:tcW w:w="1122" w:type="dxa"/>
            <w:tcBorders>
              <w:top w:val="nil"/>
            </w:tcBorders>
          </w:tcPr>
          <w:p w:rsidR="00000000" w:rsidRDefault="00000000">
            <w:pPr>
              <w:spacing w:line="240" w:lineRule="auto"/>
              <w:jc w:val="right"/>
            </w:pPr>
            <w:r>
              <w:t>15 517</w:t>
            </w:r>
          </w:p>
        </w:tc>
        <w:tc>
          <w:tcPr>
            <w:tcW w:w="1122" w:type="dxa"/>
            <w:tcBorders>
              <w:top w:val="nil"/>
            </w:tcBorders>
          </w:tcPr>
          <w:p w:rsidR="00000000" w:rsidRDefault="00000000">
            <w:pPr>
              <w:spacing w:line="240" w:lineRule="auto"/>
              <w:jc w:val="right"/>
            </w:pPr>
            <w:r>
              <w:t>14 631</w:t>
            </w:r>
          </w:p>
        </w:tc>
        <w:tc>
          <w:tcPr>
            <w:tcW w:w="1122" w:type="dxa"/>
            <w:tcBorders>
              <w:top w:val="nil"/>
            </w:tcBorders>
          </w:tcPr>
          <w:p w:rsidR="00000000" w:rsidRDefault="00000000">
            <w:pPr>
              <w:spacing w:line="240" w:lineRule="auto"/>
              <w:jc w:val="right"/>
            </w:pPr>
            <w:r>
              <w:t>14 468</w:t>
            </w:r>
          </w:p>
        </w:tc>
        <w:tc>
          <w:tcPr>
            <w:tcW w:w="1048" w:type="dxa"/>
            <w:tcBorders>
              <w:top w:val="nil"/>
            </w:tcBorders>
          </w:tcPr>
          <w:p w:rsidR="00000000" w:rsidRDefault="00000000">
            <w:pPr>
              <w:spacing w:line="240" w:lineRule="auto"/>
              <w:jc w:val="right"/>
            </w:pPr>
            <w:r>
              <w:t>14 120</w:t>
            </w:r>
          </w:p>
        </w:tc>
      </w:tr>
    </w:tbl>
    <w:p w:rsidR="00000000" w:rsidRDefault="00000000">
      <w:pPr>
        <w:spacing w:line="240" w:lineRule="auto"/>
        <w:ind w:left="567" w:hanging="567"/>
      </w:pPr>
    </w:p>
    <w:p w:rsidR="00000000" w:rsidRDefault="00000000">
      <w:pPr>
        <w:spacing w:line="240" w:lineRule="auto"/>
        <w:ind w:left="567" w:hanging="567"/>
      </w:pPr>
      <w:r>
        <w:tab/>
      </w:r>
      <w:r>
        <w:rPr>
          <w:b/>
          <w:bCs/>
          <w:vertAlign w:val="superscript"/>
        </w:rPr>
        <w:t>а</w:t>
      </w:r>
      <w:r>
        <w:tab/>
        <w:t>Детские дома для детей в возрасте до трех лет.</w:t>
      </w:r>
    </w:p>
    <w:p w:rsidR="00000000" w:rsidRDefault="00000000">
      <w:pPr>
        <w:spacing w:line="240" w:lineRule="auto"/>
        <w:ind w:left="567" w:hanging="567"/>
      </w:pPr>
    </w:p>
    <w:p w:rsidR="00000000" w:rsidRDefault="00000000">
      <w:pPr>
        <w:pStyle w:val="Heading7"/>
        <w:spacing w:line="240" w:lineRule="auto"/>
        <w:rPr>
          <w:lang w:val="en-US"/>
        </w:rPr>
      </w:pPr>
      <w:r>
        <w:t>В.</w:t>
      </w:r>
      <w:r>
        <w:tab/>
        <w:t>Негосударственные медицинские учреждения</w:t>
      </w:r>
    </w:p>
    <w:p w:rsidR="00000000" w:rsidRDefault="00000000">
      <w:pPr>
        <w:spacing w:line="240" w:lineRule="auto"/>
        <w:ind w:left="567" w:hanging="567"/>
        <w:jc w:val="center"/>
      </w:pPr>
      <w:r>
        <w:rPr>
          <w:b/>
          <w:bCs/>
        </w:rPr>
        <w:t>(количество по состоянию на 31 декабря каждого года)</w:t>
      </w:r>
    </w:p>
    <w:p w:rsidR="00000000" w:rsidRDefault="00000000">
      <w:pPr>
        <w:spacing w:line="240" w:lineRule="auto"/>
        <w:ind w:left="567" w:hanging="567"/>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39"/>
        <w:gridCol w:w="1122"/>
        <w:gridCol w:w="1122"/>
        <w:gridCol w:w="1122"/>
        <w:gridCol w:w="1122"/>
        <w:gridCol w:w="1048"/>
      </w:tblGrid>
      <w:tr w:rsidR="00000000">
        <w:tblPrEx>
          <w:tblCellMar>
            <w:top w:w="0" w:type="dxa"/>
            <w:bottom w:w="0" w:type="dxa"/>
          </w:tblCellMar>
        </w:tblPrEx>
        <w:tc>
          <w:tcPr>
            <w:tcW w:w="3740" w:type="dxa"/>
            <w:tcBorders>
              <w:bottom w:val="single" w:sz="4" w:space="0" w:color="auto"/>
            </w:tcBorders>
          </w:tcPr>
          <w:p w:rsidR="00000000" w:rsidRDefault="00000000">
            <w:pPr>
              <w:spacing w:line="240" w:lineRule="auto"/>
              <w:jc w:val="center"/>
            </w:pPr>
          </w:p>
        </w:tc>
        <w:tc>
          <w:tcPr>
            <w:tcW w:w="1122" w:type="dxa"/>
            <w:tcBorders>
              <w:bottom w:val="single" w:sz="4" w:space="0" w:color="auto"/>
            </w:tcBorders>
          </w:tcPr>
          <w:p w:rsidR="00000000" w:rsidRDefault="00000000">
            <w:pPr>
              <w:spacing w:line="240" w:lineRule="auto"/>
              <w:jc w:val="center"/>
            </w:pPr>
            <w:r>
              <w:t>1994</w:t>
            </w:r>
          </w:p>
        </w:tc>
        <w:tc>
          <w:tcPr>
            <w:tcW w:w="1122" w:type="dxa"/>
            <w:tcBorders>
              <w:bottom w:val="single" w:sz="4" w:space="0" w:color="auto"/>
            </w:tcBorders>
          </w:tcPr>
          <w:p w:rsidR="00000000" w:rsidRDefault="00000000">
            <w:pPr>
              <w:spacing w:line="240" w:lineRule="auto"/>
              <w:jc w:val="center"/>
            </w:pPr>
            <w:r>
              <w:t>1995</w:t>
            </w:r>
          </w:p>
        </w:tc>
        <w:tc>
          <w:tcPr>
            <w:tcW w:w="1122" w:type="dxa"/>
            <w:tcBorders>
              <w:bottom w:val="single" w:sz="4" w:space="0" w:color="auto"/>
            </w:tcBorders>
          </w:tcPr>
          <w:p w:rsidR="00000000" w:rsidRDefault="00000000">
            <w:pPr>
              <w:spacing w:line="240" w:lineRule="auto"/>
              <w:jc w:val="center"/>
            </w:pPr>
            <w:r>
              <w:t>1996</w:t>
            </w:r>
          </w:p>
        </w:tc>
        <w:tc>
          <w:tcPr>
            <w:tcW w:w="1122" w:type="dxa"/>
            <w:tcBorders>
              <w:bottom w:val="single" w:sz="4" w:space="0" w:color="auto"/>
            </w:tcBorders>
          </w:tcPr>
          <w:p w:rsidR="00000000" w:rsidRDefault="00000000">
            <w:pPr>
              <w:spacing w:line="240" w:lineRule="auto"/>
              <w:jc w:val="center"/>
            </w:pPr>
            <w:r>
              <w:t>1997</w:t>
            </w:r>
          </w:p>
        </w:tc>
        <w:tc>
          <w:tcPr>
            <w:tcW w:w="1048" w:type="dxa"/>
            <w:tcBorders>
              <w:bottom w:val="single" w:sz="4" w:space="0" w:color="auto"/>
            </w:tcBorders>
          </w:tcPr>
          <w:p w:rsidR="00000000" w:rsidRDefault="00000000">
            <w:pPr>
              <w:spacing w:line="240" w:lineRule="auto"/>
              <w:jc w:val="center"/>
            </w:pPr>
            <w:r>
              <w:t>1998</w:t>
            </w:r>
          </w:p>
        </w:tc>
      </w:tr>
      <w:tr w:rsidR="00000000">
        <w:tblPrEx>
          <w:tblCellMar>
            <w:top w:w="0" w:type="dxa"/>
            <w:bottom w:w="0" w:type="dxa"/>
          </w:tblCellMar>
        </w:tblPrEx>
        <w:tc>
          <w:tcPr>
            <w:tcW w:w="3740" w:type="dxa"/>
            <w:tcBorders>
              <w:bottom w:val="nil"/>
            </w:tcBorders>
          </w:tcPr>
          <w:p w:rsidR="00000000" w:rsidRDefault="00000000">
            <w:pPr>
              <w:tabs>
                <w:tab w:val="clear" w:pos="567"/>
                <w:tab w:val="clear" w:pos="2268"/>
                <w:tab w:val="left" w:pos="266"/>
                <w:tab w:val="left" w:pos="1388"/>
                <w:tab w:val="left" w:pos="1949"/>
              </w:tabs>
              <w:spacing w:line="240" w:lineRule="auto"/>
              <w:ind w:left="266" w:hanging="266"/>
            </w:pPr>
            <w:r>
              <w:t>Больницы (стационары и амбулатории)</w:t>
            </w:r>
          </w:p>
        </w:tc>
        <w:tc>
          <w:tcPr>
            <w:tcW w:w="1122" w:type="dxa"/>
            <w:tcBorders>
              <w:bottom w:val="nil"/>
            </w:tcBorders>
          </w:tcPr>
          <w:p w:rsidR="00000000" w:rsidRDefault="00000000">
            <w:pPr>
              <w:spacing w:line="240" w:lineRule="auto"/>
              <w:jc w:val="right"/>
            </w:pPr>
            <w:r>
              <w:t>56</w:t>
            </w:r>
          </w:p>
        </w:tc>
        <w:tc>
          <w:tcPr>
            <w:tcW w:w="1122" w:type="dxa"/>
            <w:tcBorders>
              <w:bottom w:val="nil"/>
            </w:tcBorders>
          </w:tcPr>
          <w:p w:rsidR="00000000" w:rsidRDefault="00000000">
            <w:pPr>
              <w:spacing w:line="240" w:lineRule="auto"/>
              <w:jc w:val="right"/>
            </w:pPr>
            <w:r>
              <w:t>82</w:t>
            </w:r>
          </w:p>
        </w:tc>
        <w:tc>
          <w:tcPr>
            <w:tcW w:w="1122" w:type="dxa"/>
            <w:tcBorders>
              <w:bottom w:val="nil"/>
            </w:tcBorders>
          </w:tcPr>
          <w:p w:rsidR="00000000" w:rsidRDefault="00000000">
            <w:pPr>
              <w:spacing w:line="240" w:lineRule="auto"/>
              <w:jc w:val="right"/>
            </w:pPr>
            <w:r>
              <w:t>97</w:t>
            </w:r>
          </w:p>
        </w:tc>
        <w:tc>
          <w:tcPr>
            <w:tcW w:w="1122" w:type="dxa"/>
            <w:tcBorders>
              <w:bottom w:val="nil"/>
            </w:tcBorders>
          </w:tcPr>
          <w:p w:rsidR="00000000" w:rsidRDefault="00000000">
            <w:pPr>
              <w:spacing w:line="240" w:lineRule="auto"/>
              <w:jc w:val="right"/>
            </w:pPr>
            <w:r>
              <w:t>103</w:t>
            </w:r>
          </w:p>
        </w:tc>
        <w:tc>
          <w:tcPr>
            <w:tcW w:w="1048" w:type="dxa"/>
            <w:tcBorders>
              <w:bottom w:val="nil"/>
            </w:tcBorders>
          </w:tcPr>
          <w:p w:rsidR="00000000" w:rsidRDefault="00000000">
            <w:pPr>
              <w:spacing w:line="240" w:lineRule="auto"/>
              <w:jc w:val="right"/>
            </w:pPr>
            <w:r>
              <w:t>107</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clear" w:pos="2268"/>
                <w:tab w:val="left" w:pos="266"/>
                <w:tab w:val="left" w:pos="1388"/>
                <w:tab w:val="left" w:pos="1949"/>
              </w:tabs>
              <w:spacing w:line="240" w:lineRule="auto"/>
              <w:ind w:left="266" w:hanging="266"/>
            </w:pPr>
            <w:r>
              <w:t>Общее число специализированных лечебных учреждений</w:t>
            </w:r>
          </w:p>
        </w:tc>
        <w:tc>
          <w:tcPr>
            <w:tcW w:w="1122" w:type="dxa"/>
            <w:tcBorders>
              <w:top w:val="nil"/>
              <w:bottom w:val="nil"/>
            </w:tcBorders>
          </w:tcPr>
          <w:p w:rsidR="00000000" w:rsidRDefault="00000000">
            <w:pPr>
              <w:spacing w:line="240" w:lineRule="auto"/>
              <w:jc w:val="right"/>
            </w:pPr>
            <w:r>
              <w:t>66</w:t>
            </w:r>
          </w:p>
        </w:tc>
        <w:tc>
          <w:tcPr>
            <w:tcW w:w="1122" w:type="dxa"/>
            <w:tcBorders>
              <w:top w:val="nil"/>
              <w:bottom w:val="nil"/>
            </w:tcBorders>
          </w:tcPr>
          <w:p w:rsidR="00000000" w:rsidRDefault="00000000">
            <w:pPr>
              <w:spacing w:line="240" w:lineRule="auto"/>
              <w:jc w:val="right"/>
            </w:pPr>
            <w:r>
              <w:t>81</w:t>
            </w:r>
          </w:p>
        </w:tc>
        <w:tc>
          <w:tcPr>
            <w:tcW w:w="1122" w:type="dxa"/>
            <w:tcBorders>
              <w:top w:val="nil"/>
              <w:bottom w:val="nil"/>
            </w:tcBorders>
          </w:tcPr>
          <w:p w:rsidR="00000000" w:rsidRDefault="00000000">
            <w:pPr>
              <w:spacing w:line="240" w:lineRule="auto"/>
              <w:jc w:val="right"/>
            </w:pPr>
            <w:r>
              <w:t>88</w:t>
            </w:r>
          </w:p>
        </w:tc>
        <w:tc>
          <w:tcPr>
            <w:tcW w:w="1122" w:type="dxa"/>
            <w:tcBorders>
              <w:top w:val="nil"/>
              <w:bottom w:val="nil"/>
            </w:tcBorders>
          </w:tcPr>
          <w:p w:rsidR="00000000" w:rsidRDefault="00000000">
            <w:pPr>
              <w:spacing w:line="240" w:lineRule="auto"/>
              <w:jc w:val="right"/>
            </w:pPr>
            <w:r>
              <w:t>94</w:t>
            </w:r>
          </w:p>
        </w:tc>
        <w:tc>
          <w:tcPr>
            <w:tcW w:w="1048" w:type="dxa"/>
            <w:tcBorders>
              <w:top w:val="nil"/>
              <w:bottom w:val="nil"/>
            </w:tcBorders>
          </w:tcPr>
          <w:p w:rsidR="00000000" w:rsidRDefault="00000000">
            <w:pPr>
              <w:spacing w:line="240" w:lineRule="auto"/>
              <w:jc w:val="right"/>
            </w:pPr>
            <w:r>
              <w:t>98</w:t>
            </w:r>
          </w:p>
        </w:tc>
      </w:tr>
      <w:tr w:rsidR="00000000">
        <w:tblPrEx>
          <w:tblCellMar>
            <w:top w:w="0" w:type="dxa"/>
            <w:bottom w:w="0" w:type="dxa"/>
          </w:tblCellMar>
        </w:tblPrEx>
        <w:tc>
          <w:tcPr>
            <w:tcW w:w="3740" w:type="dxa"/>
            <w:tcBorders>
              <w:top w:val="nil"/>
              <w:bottom w:val="nil"/>
            </w:tcBorders>
          </w:tcPr>
          <w:p w:rsidR="00000000" w:rsidRDefault="00000000">
            <w:pPr>
              <w:pStyle w:val="FootnoteText"/>
              <w:tabs>
                <w:tab w:val="clear" w:pos="567"/>
                <w:tab w:val="clear" w:pos="1701"/>
                <w:tab w:val="clear" w:pos="2268"/>
                <w:tab w:val="left" w:pos="266"/>
                <w:tab w:val="left" w:pos="1388"/>
              </w:tabs>
              <w:ind w:left="266" w:hanging="266"/>
            </w:pPr>
            <w:r>
              <w:t>в том числе:</w:t>
            </w:r>
            <w:r>
              <w:tab/>
              <w:t>учреждения для длительного лечения</w:t>
            </w:r>
          </w:p>
        </w:tc>
        <w:tc>
          <w:tcPr>
            <w:tcW w:w="1122" w:type="dxa"/>
            <w:tcBorders>
              <w:top w:val="nil"/>
              <w:bottom w:val="nil"/>
            </w:tcBorders>
          </w:tcPr>
          <w:p w:rsidR="00000000" w:rsidRDefault="00000000">
            <w:pPr>
              <w:spacing w:line="240" w:lineRule="auto"/>
              <w:jc w:val="right"/>
            </w:pPr>
            <w:r>
              <w:t>7</w:t>
            </w:r>
          </w:p>
        </w:tc>
        <w:tc>
          <w:tcPr>
            <w:tcW w:w="1122" w:type="dxa"/>
            <w:tcBorders>
              <w:top w:val="nil"/>
              <w:bottom w:val="nil"/>
            </w:tcBorders>
          </w:tcPr>
          <w:p w:rsidR="00000000" w:rsidRDefault="00000000">
            <w:pPr>
              <w:spacing w:line="240" w:lineRule="auto"/>
              <w:jc w:val="right"/>
            </w:pPr>
            <w:r>
              <w:t>15</w:t>
            </w:r>
          </w:p>
        </w:tc>
        <w:tc>
          <w:tcPr>
            <w:tcW w:w="1122" w:type="dxa"/>
            <w:tcBorders>
              <w:top w:val="nil"/>
              <w:bottom w:val="nil"/>
            </w:tcBorders>
          </w:tcPr>
          <w:p w:rsidR="00000000" w:rsidRDefault="00000000">
            <w:pPr>
              <w:spacing w:line="240" w:lineRule="auto"/>
              <w:jc w:val="right"/>
            </w:pPr>
            <w:r>
              <w:t>19</w:t>
            </w:r>
          </w:p>
        </w:tc>
        <w:tc>
          <w:tcPr>
            <w:tcW w:w="1122" w:type="dxa"/>
            <w:tcBorders>
              <w:top w:val="nil"/>
              <w:bottom w:val="nil"/>
            </w:tcBorders>
          </w:tcPr>
          <w:p w:rsidR="00000000" w:rsidRDefault="00000000">
            <w:pPr>
              <w:spacing w:line="240" w:lineRule="auto"/>
              <w:jc w:val="right"/>
            </w:pPr>
            <w:r>
              <w:t>21</w:t>
            </w:r>
          </w:p>
        </w:tc>
        <w:tc>
          <w:tcPr>
            <w:tcW w:w="1048" w:type="dxa"/>
            <w:tcBorders>
              <w:top w:val="nil"/>
              <w:bottom w:val="nil"/>
            </w:tcBorders>
          </w:tcPr>
          <w:p w:rsidR="00000000" w:rsidRDefault="00000000">
            <w:pPr>
              <w:spacing w:line="240" w:lineRule="auto"/>
              <w:jc w:val="right"/>
            </w:pPr>
            <w:r>
              <w:t>21</w:t>
            </w:r>
          </w:p>
        </w:tc>
      </w:tr>
      <w:tr w:rsidR="00000000">
        <w:tblPrEx>
          <w:tblCellMar>
            <w:top w:w="0" w:type="dxa"/>
            <w:bottom w:w="0" w:type="dxa"/>
          </w:tblCellMar>
        </w:tblPrEx>
        <w:tc>
          <w:tcPr>
            <w:tcW w:w="3740" w:type="dxa"/>
            <w:tcBorders>
              <w:top w:val="nil"/>
              <w:bottom w:val="nil"/>
            </w:tcBorders>
          </w:tcPr>
          <w:p w:rsidR="00000000" w:rsidRDefault="00000000">
            <w:pPr>
              <w:pStyle w:val="FootnoteText"/>
              <w:tabs>
                <w:tab w:val="clear" w:pos="567"/>
                <w:tab w:val="clear" w:pos="1701"/>
                <w:tab w:val="clear" w:pos="2268"/>
                <w:tab w:val="left" w:pos="266"/>
                <w:tab w:val="left" w:pos="1388"/>
                <w:tab w:val="left" w:pos="1949"/>
              </w:tabs>
              <w:ind w:left="266" w:hanging="266"/>
            </w:pPr>
            <w:r>
              <w:tab/>
              <w:t>водолечебницы</w:t>
            </w:r>
          </w:p>
        </w:tc>
        <w:tc>
          <w:tcPr>
            <w:tcW w:w="1122" w:type="dxa"/>
            <w:tcBorders>
              <w:top w:val="nil"/>
              <w:bottom w:val="nil"/>
            </w:tcBorders>
          </w:tcPr>
          <w:p w:rsidR="00000000" w:rsidRDefault="00000000">
            <w:pPr>
              <w:spacing w:line="240" w:lineRule="auto"/>
              <w:jc w:val="right"/>
            </w:pPr>
            <w:r>
              <w:t>39</w:t>
            </w:r>
          </w:p>
        </w:tc>
        <w:tc>
          <w:tcPr>
            <w:tcW w:w="1122" w:type="dxa"/>
            <w:tcBorders>
              <w:top w:val="nil"/>
              <w:bottom w:val="nil"/>
            </w:tcBorders>
          </w:tcPr>
          <w:p w:rsidR="00000000" w:rsidRDefault="00000000">
            <w:pPr>
              <w:spacing w:line="240" w:lineRule="auto"/>
              <w:jc w:val="right"/>
            </w:pPr>
            <w:r>
              <w:t>42</w:t>
            </w:r>
          </w:p>
        </w:tc>
        <w:tc>
          <w:tcPr>
            <w:tcW w:w="1122" w:type="dxa"/>
            <w:tcBorders>
              <w:top w:val="nil"/>
              <w:bottom w:val="nil"/>
            </w:tcBorders>
          </w:tcPr>
          <w:p w:rsidR="00000000" w:rsidRDefault="00000000">
            <w:pPr>
              <w:spacing w:line="240" w:lineRule="auto"/>
              <w:jc w:val="right"/>
            </w:pPr>
            <w:r>
              <w:t>40</w:t>
            </w:r>
          </w:p>
        </w:tc>
        <w:tc>
          <w:tcPr>
            <w:tcW w:w="1122" w:type="dxa"/>
            <w:tcBorders>
              <w:top w:val="nil"/>
              <w:bottom w:val="nil"/>
            </w:tcBorders>
          </w:tcPr>
          <w:p w:rsidR="00000000" w:rsidRDefault="00000000">
            <w:pPr>
              <w:spacing w:line="240" w:lineRule="auto"/>
              <w:jc w:val="right"/>
            </w:pPr>
            <w:r>
              <w:t>41</w:t>
            </w:r>
          </w:p>
        </w:tc>
        <w:tc>
          <w:tcPr>
            <w:tcW w:w="1048" w:type="dxa"/>
            <w:tcBorders>
              <w:top w:val="nil"/>
              <w:bottom w:val="nil"/>
            </w:tcBorders>
          </w:tcPr>
          <w:p w:rsidR="00000000" w:rsidRDefault="00000000">
            <w:pPr>
              <w:spacing w:line="240" w:lineRule="auto"/>
              <w:jc w:val="right"/>
            </w:pPr>
            <w:r>
              <w:t>47</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clear" w:pos="2268"/>
                <w:tab w:val="left" w:pos="266"/>
                <w:tab w:val="left" w:pos="1388"/>
                <w:tab w:val="left" w:pos="1949"/>
              </w:tabs>
              <w:spacing w:line="240" w:lineRule="auto"/>
              <w:ind w:left="266" w:hanging="266"/>
            </w:pPr>
            <w:r>
              <w:t>Детские учреждения и детские дома</w:t>
            </w:r>
          </w:p>
        </w:tc>
        <w:tc>
          <w:tcPr>
            <w:tcW w:w="1122" w:type="dxa"/>
            <w:tcBorders>
              <w:top w:val="nil"/>
              <w:bottom w:val="nil"/>
            </w:tcBorders>
          </w:tcPr>
          <w:p w:rsidR="00000000" w:rsidRDefault="00000000">
            <w:pPr>
              <w:spacing w:line="240" w:lineRule="auto"/>
              <w:jc w:val="right"/>
            </w:pPr>
            <w:r>
              <w:t>5</w:t>
            </w:r>
          </w:p>
        </w:tc>
        <w:tc>
          <w:tcPr>
            <w:tcW w:w="1122" w:type="dxa"/>
            <w:tcBorders>
              <w:top w:val="nil"/>
              <w:bottom w:val="nil"/>
            </w:tcBorders>
          </w:tcPr>
          <w:p w:rsidR="00000000" w:rsidRDefault="00000000">
            <w:pPr>
              <w:spacing w:line="240" w:lineRule="auto"/>
              <w:jc w:val="right"/>
            </w:pPr>
            <w:r>
              <w:t>6</w:t>
            </w:r>
          </w:p>
        </w:tc>
        <w:tc>
          <w:tcPr>
            <w:tcW w:w="1122" w:type="dxa"/>
            <w:tcBorders>
              <w:top w:val="nil"/>
              <w:bottom w:val="nil"/>
            </w:tcBorders>
          </w:tcPr>
          <w:p w:rsidR="00000000" w:rsidRDefault="00000000">
            <w:pPr>
              <w:spacing w:line="240" w:lineRule="auto"/>
              <w:jc w:val="right"/>
            </w:pPr>
            <w:r>
              <w:t>6</w:t>
            </w:r>
          </w:p>
        </w:tc>
        <w:tc>
          <w:tcPr>
            <w:tcW w:w="1122" w:type="dxa"/>
            <w:tcBorders>
              <w:top w:val="nil"/>
              <w:bottom w:val="nil"/>
            </w:tcBorders>
          </w:tcPr>
          <w:p w:rsidR="00000000" w:rsidRDefault="00000000">
            <w:pPr>
              <w:spacing w:line="240" w:lineRule="auto"/>
              <w:jc w:val="right"/>
            </w:pPr>
            <w:r>
              <w:t>6</w:t>
            </w:r>
          </w:p>
        </w:tc>
        <w:tc>
          <w:tcPr>
            <w:tcW w:w="1048" w:type="dxa"/>
            <w:tcBorders>
              <w:top w:val="nil"/>
              <w:bottom w:val="nil"/>
            </w:tcBorders>
          </w:tcPr>
          <w:p w:rsidR="00000000" w:rsidRDefault="00000000">
            <w:pPr>
              <w:spacing w:line="240" w:lineRule="auto"/>
              <w:jc w:val="right"/>
            </w:pPr>
            <w:r>
              <w:t>5</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clear" w:pos="2268"/>
                <w:tab w:val="left" w:pos="266"/>
                <w:tab w:val="left" w:pos="1388"/>
                <w:tab w:val="left" w:pos="1949"/>
              </w:tabs>
              <w:spacing w:line="240" w:lineRule="auto"/>
              <w:ind w:left="266" w:hanging="266"/>
            </w:pPr>
            <w:r>
              <w:t>Детские клиники и центры для ухода в дневное время</w:t>
            </w:r>
          </w:p>
        </w:tc>
        <w:tc>
          <w:tcPr>
            <w:tcW w:w="1122" w:type="dxa"/>
            <w:tcBorders>
              <w:top w:val="nil"/>
              <w:bottom w:val="nil"/>
            </w:tcBorders>
          </w:tcPr>
          <w:p w:rsidR="00000000" w:rsidRDefault="00000000">
            <w:pPr>
              <w:spacing w:line="240" w:lineRule="auto"/>
              <w:jc w:val="right"/>
            </w:pPr>
            <w:r>
              <w:t>30</w:t>
            </w:r>
          </w:p>
        </w:tc>
        <w:tc>
          <w:tcPr>
            <w:tcW w:w="1122" w:type="dxa"/>
            <w:tcBorders>
              <w:top w:val="nil"/>
              <w:bottom w:val="nil"/>
            </w:tcBorders>
          </w:tcPr>
          <w:p w:rsidR="00000000" w:rsidRDefault="00000000">
            <w:pPr>
              <w:spacing w:line="240" w:lineRule="auto"/>
              <w:jc w:val="right"/>
            </w:pPr>
            <w:r>
              <w:t>43</w:t>
            </w:r>
          </w:p>
        </w:tc>
        <w:tc>
          <w:tcPr>
            <w:tcW w:w="1122" w:type="dxa"/>
            <w:tcBorders>
              <w:top w:val="nil"/>
              <w:bottom w:val="nil"/>
            </w:tcBorders>
          </w:tcPr>
          <w:p w:rsidR="00000000" w:rsidRDefault="00000000">
            <w:pPr>
              <w:spacing w:line="240" w:lineRule="auto"/>
              <w:jc w:val="right"/>
            </w:pPr>
            <w:r>
              <w:t>46</w:t>
            </w:r>
          </w:p>
        </w:tc>
        <w:tc>
          <w:tcPr>
            <w:tcW w:w="1122" w:type="dxa"/>
            <w:tcBorders>
              <w:top w:val="nil"/>
              <w:bottom w:val="nil"/>
            </w:tcBorders>
          </w:tcPr>
          <w:p w:rsidR="00000000" w:rsidRDefault="00000000">
            <w:pPr>
              <w:spacing w:line="240" w:lineRule="auto"/>
              <w:jc w:val="right"/>
            </w:pPr>
            <w:r>
              <w:t>45</w:t>
            </w:r>
          </w:p>
        </w:tc>
        <w:tc>
          <w:tcPr>
            <w:tcW w:w="1048" w:type="dxa"/>
            <w:tcBorders>
              <w:top w:val="nil"/>
              <w:bottom w:val="nil"/>
            </w:tcBorders>
          </w:tcPr>
          <w:p w:rsidR="00000000" w:rsidRDefault="00000000">
            <w:pPr>
              <w:spacing w:line="240" w:lineRule="auto"/>
              <w:jc w:val="right"/>
            </w:pPr>
            <w:r>
              <w:t>44</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clear" w:pos="2268"/>
                <w:tab w:val="left" w:pos="266"/>
                <w:tab w:val="left" w:pos="1388"/>
                <w:tab w:val="left" w:pos="1949"/>
              </w:tabs>
              <w:spacing w:line="240" w:lineRule="auto"/>
              <w:ind w:left="266" w:hanging="266"/>
            </w:pPr>
            <w:r>
              <w:t>Аптеки</w:t>
            </w:r>
          </w:p>
        </w:tc>
        <w:tc>
          <w:tcPr>
            <w:tcW w:w="1122" w:type="dxa"/>
            <w:tcBorders>
              <w:top w:val="nil"/>
              <w:bottom w:val="nil"/>
            </w:tcBorders>
          </w:tcPr>
          <w:p w:rsidR="00000000" w:rsidRDefault="00000000">
            <w:pPr>
              <w:spacing w:line="240" w:lineRule="auto"/>
              <w:jc w:val="right"/>
            </w:pPr>
            <w:r>
              <w:t>949</w:t>
            </w:r>
          </w:p>
        </w:tc>
        <w:tc>
          <w:tcPr>
            <w:tcW w:w="1122" w:type="dxa"/>
            <w:tcBorders>
              <w:top w:val="nil"/>
              <w:bottom w:val="nil"/>
            </w:tcBorders>
          </w:tcPr>
          <w:p w:rsidR="00000000" w:rsidRDefault="00000000">
            <w:pPr>
              <w:spacing w:line="240" w:lineRule="auto"/>
              <w:jc w:val="right"/>
            </w:pPr>
            <w:r>
              <w:t>1 214</w:t>
            </w:r>
          </w:p>
        </w:tc>
        <w:tc>
          <w:tcPr>
            <w:tcW w:w="1122" w:type="dxa"/>
            <w:tcBorders>
              <w:top w:val="nil"/>
              <w:bottom w:val="nil"/>
            </w:tcBorders>
          </w:tcPr>
          <w:p w:rsidR="00000000" w:rsidRDefault="00000000">
            <w:pPr>
              <w:spacing w:line="240" w:lineRule="auto"/>
              <w:jc w:val="right"/>
            </w:pPr>
            <w:r>
              <w:t>1 415</w:t>
            </w:r>
          </w:p>
        </w:tc>
        <w:tc>
          <w:tcPr>
            <w:tcW w:w="1122" w:type="dxa"/>
            <w:tcBorders>
              <w:top w:val="nil"/>
              <w:bottom w:val="nil"/>
            </w:tcBorders>
          </w:tcPr>
          <w:p w:rsidR="00000000" w:rsidRDefault="00000000">
            <w:pPr>
              <w:spacing w:line="240" w:lineRule="auto"/>
              <w:jc w:val="right"/>
            </w:pPr>
            <w:r>
              <w:t>1 547</w:t>
            </w:r>
          </w:p>
        </w:tc>
        <w:tc>
          <w:tcPr>
            <w:tcW w:w="1048" w:type="dxa"/>
            <w:tcBorders>
              <w:top w:val="nil"/>
              <w:bottom w:val="nil"/>
            </w:tcBorders>
          </w:tcPr>
          <w:p w:rsidR="00000000" w:rsidRDefault="00000000">
            <w:pPr>
              <w:spacing w:line="240" w:lineRule="auto"/>
              <w:jc w:val="right"/>
            </w:pPr>
            <w:r>
              <w:t>1 637</w:t>
            </w:r>
          </w:p>
        </w:tc>
      </w:tr>
      <w:tr w:rsidR="00000000">
        <w:tblPrEx>
          <w:tblCellMar>
            <w:top w:w="0" w:type="dxa"/>
            <w:bottom w:w="0" w:type="dxa"/>
          </w:tblCellMar>
        </w:tblPrEx>
        <w:tc>
          <w:tcPr>
            <w:tcW w:w="3740" w:type="dxa"/>
            <w:tcBorders>
              <w:top w:val="nil"/>
              <w:bottom w:val="nil"/>
            </w:tcBorders>
          </w:tcPr>
          <w:p w:rsidR="00000000" w:rsidRDefault="00000000">
            <w:pPr>
              <w:tabs>
                <w:tab w:val="clear" w:pos="567"/>
                <w:tab w:val="clear" w:pos="2268"/>
                <w:tab w:val="left" w:pos="266"/>
                <w:tab w:val="left" w:pos="1388"/>
                <w:tab w:val="left" w:pos="1949"/>
              </w:tabs>
              <w:spacing w:line="240" w:lineRule="auto"/>
              <w:ind w:left="266" w:hanging="266"/>
            </w:pPr>
            <w:r>
              <w:t>Общее число коек</w:t>
            </w:r>
          </w:p>
        </w:tc>
        <w:tc>
          <w:tcPr>
            <w:tcW w:w="1122" w:type="dxa"/>
            <w:tcBorders>
              <w:top w:val="nil"/>
              <w:bottom w:val="nil"/>
            </w:tcBorders>
          </w:tcPr>
          <w:p w:rsidR="00000000" w:rsidRDefault="00000000">
            <w:pPr>
              <w:spacing w:line="240" w:lineRule="auto"/>
              <w:jc w:val="right"/>
            </w:pPr>
            <w:r>
              <w:t>31 576</w:t>
            </w:r>
          </w:p>
        </w:tc>
        <w:tc>
          <w:tcPr>
            <w:tcW w:w="1122" w:type="dxa"/>
            <w:tcBorders>
              <w:top w:val="nil"/>
              <w:bottom w:val="nil"/>
            </w:tcBorders>
          </w:tcPr>
          <w:p w:rsidR="00000000" w:rsidRDefault="00000000">
            <w:pPr>
              <w:spacing w:line="240" w:lineRule="auto"/>
              <w:jc w:val="right"/>
            </w:pPr>
            <w:r>
              <w:t>38 328</w:t>
            </w:r>
          </w:p>
        </w:tc>
        <w:tc>
          <w:tcPr>
            <w:tcW w:w="1122" w:type="dxa"/>
            <w:tcBorders>
              <w:top w:val="nil"/>
              <w:bottom w:val="nil"/>
            </w:tcBorders>
          </w:tcPr>
          <w:p w:rsidR="00000000" w:rsidRDefault="00000000">
            <w:pPr>
              <w:spacing w:line="240" w:lineRule="auto"/>
              <w:jc w:val="right"/>
            </w:pPr>
            <w:r>
              <w:t>38 725</w:t>
            </w:r>
          </w:p>
        </w:tc>
        <w:tc>
          <w:tcPr>
            <w:tcW w:w="1122" w:type="dxa"/>
            <w:tcBorders>
              <w:top w:val="nil"/>
              <w:bottom w:val="nil"/>
            </w:tcBorders>
          </w:tcPr>
          <w:p w:rsidR="00000000" w:rsidRDefault="00000000">
            <w:pPr>
              <w:spacing w:line="240" w:lineRule="auto"/>
              <w:jc w:val="right"/>
            </w:pPr>
            <w:r>
              <w:t>38 890</w:t>
            </w:r>
          </w:p>
        </w:tc>
        <w:tc>
          <w:tcPr>
            <w:tcW w:w="1048" w:type="dxa"/>
            <w:tcBorders>
              <w:top w:val="nil"/>
              <w:bottom w:val="nil"/>
            </w:tcBorders>
          </w:tcPr>
          <w:p w:rsidR="00000000" w:rsidRDefault="00000000">
            <w:pPr>
              <w:spacing w:line="240" w:lineRule="auto"/>
              <w:jc w:val="right"/>
            </w:pPr>
            <w:r>
              <w:t>38 840</w:t>
            </w:r>
          </w:p>
        </w:tc>
      </w:tr>
      <w:tr w:rsidR="00000000">
        <w:tblPrEx>
          <w:tblCellMar>
            <w:top w:w="0" w:type="dxa"/>
            <w:bottom w:w="0" w:type="dxa"/>
          </w:tblCellMar>
        </w:tblPrEx>
        <w:tc>
          <w:tcPr>
            <w:tcW w:w="3740" w:type="dxa"/>
            <w:tcBorders>
              <w:top w:val="nil"/>
            </w:tcBorders>
          </w:tcPr>
          <w:p w:rsidR="00000000" w:rsidRDefault="00000000">
            <w:pPr>
              <w:tabs>
                <w:tab w:val="clear" w:pos="567"/>
                <w:tab w:val="clear" w:pos="2268"/>
                <w:tab w:val="left" w:pos="266"/>
                <w:tab w:val="left" w:pos="1388"/>
                <w:tab w:val="left" w:pos="1949"/>
              </w:tabs>
              <w:spacing w:line="240" w:lineRule="auto"/>
              <w:ind w:left="266" w:hanging="266"/>
            </w:pPr>
            <w:r>
              <w:t>Лечащие врачи (в тысячах)</w:t>
            </w:r>
          </w:p>
        </w:tc>
        <w:tc>
          <w:tcPr>
            <w:tcW w:w="1122" w:type="dxa"/>
            <w:tcBorders>
              <w:top w:val="nil"/>
            </w:tcBorders>
          </w:tcPr>
          <w:p w:rsidR="00000000" w:rsidRDefault="00000000">
            <w:pPr>
              <w:spacing w:line="240" w:lineRule="auto"/>
              <w:jc w:val="right"/>
            </w:pPr>
            <w:r>
              <w:t>18 049</w:t>
            </w:r>
          </w:p>
        </w:tc>
        <w:tc>
          <w:tcPr>
            <w:tcW w:w="1122" w:type="dxa"/>
            <w:tcBorders>
              <w:top w:val="nil"/>
            </w:tcBorders>
          </w:tcPr>
          <w:p w:rsidR="00000000" w:rsidRDefault="00000000">
            <w:pPr>
              <w:spacing w:line="240" w:lineRule="auto"/>
              <w:jc w:val="right"/>
            </w:pPr>
            <w:r>
              <w:t>20 831</w:t>
            </w:r>
          </w:p>
        </w:tc>
        <w:tc>
          <w:tcPr>
            <w:tcW w:w="1122" w:type="dxa"/>
            <w:tcBorders>
              <w:top w:val="nil"/>
            </w:tcBorders>
          </w:tcPr>
          <w:p w:rsidR="00000000" w:rsidRDefault="00000000">
            <w:pPr>
              <w:spacing w:line="240" w:lineRule="auto"/>
              <w:jc w:val="right"/>
            </w:pPr>
            <w:r>
              <w:t>21 823</w:t>
            </w:r>
          </w:p>
        </w:tc>
        <w:tc>
          <w:tcPr>
            <w:tcW w:w="1122" w:type="dxa"/>
            <w:tcBorders>
              <w:top w:val="nil"/>
            </w:tcBorders>
          </w:tcPr>
          <w:p w:rsidR="00000000" w:rsidRDefault="00000000">
            <w:pPr>
              <w:spacing w:line="240" w:lineRule="auto"/>
              <w:jc w:val="right"/>
            </w:pPr>
            <w:r>
              <w:t>22 207</w:t>
            </w:r>
          </w:p>
        </w:tc>
        <w:tc>
          <w:tcPr>
            <w:tcW w:w="1048" w:type="dxa"/>
            <w:tcBorders>
              <w:top w:val="nil"/>
            </w:tcBorders>
          </w:tcPr>
          <w:p w:rsidR="00000000" w:rsidRDefault="00000000">
            <w:pPr>
              <w:spacing w:line="240" w:lineRule="auto"/>
              <w:jc w:val="right"/>
            </w:pPr>
            <w:r>
              <w:t>22 566</w:t>
            </w:r>
          </w:p>
        </w:tc>
      </w:tr>
    </w:tbl>
    <w:p w:rsidR="00000000" w:rsidRDefault="00000000">
      <w:pPr>
        <w:spacing w:line="240" w:lineRule="auto"/>
        <w:ind w:left="567" w:hanging="567"/>
      </w:pPr>
    </w:p>
    <w:p w:rsidR="00000000" w:rsidRDefault="00000000">
      <w:pPr>
        <w:spacing w:line="240" w:lineRule="auto"/>
        <w:ind w:left="567" w:hanging="567"/>
        <w:rPr>
          <w:lang w:val="en-US"/>
        </w:rPr>
      </w:pPr>
      <w:r>
        <w:tab/>
      </w:r>
      <w:r>
        <w:rPr>
          <w:u w:val="single"/>
        </w:rPr>
        <w:t>Источник</w:t>
      </w:r>
      <w:r>
        <w:rPr>
          <w:lang w:val="en-US"/>
        </w:rPr>
        <w:t>:  Statistical Yearbook of the CR, 1999.</w:t>
      </w:r>
    </w:p>
    <w:p w:rsidR="00000000" w:rsidRDefault="00000000">
      <w:pPr>
        <w:ind w:left="567" w:hanging="567"/>
        <w:rPr>
          <w:lang w:val="en-US"/>
        </w:rPr>
      </w:pPr>
    </w:p>
    <w:p w:rsidR="00000000" w:rsidRDefault="00000000">
      <w:r>
        <w:t>553.</w:t>
      </w:r>
      <w:r>
        <w:tab/>
        <w:t>В 1998 году стационарное лечение в Чешской Республике осуществляли в целом 216 больниц, вместимость которых составляла 69 900 коек, 167 специализированных лечебных учреждений с общим количеством 22 000 коек и 53 водолечебных центра с общим количеством 19 950 коек.  По сравнению с 1994 годом число коек сократилось на 14%.  В целом в стране имеется 109 коек на 10 000 человек.  Во всех стационарах имеется по одному лечащему врачу на 10 коек.</w:t>
      </w:r>
    </w:p>
    <w:p w:rsidR="00000000" w:rsidRDefault="00000000"/>
    <w:p w:rsidR="00000000" w:rsidRDefault="00000000">
      <w:r>
        <w:t>554.</w:t>
      </w:r>
      <w:r>
        <w:tab/>
        <w:t>Специализированное амбулаторное обслуживание включает две сети медицинских учреждений.  Первая сеть состоит из 4 910 независимых, главным образом частных, медицинских кабинетов, в которых работают почти 6 000 врачей-специалистов и свыше 13 000 медицинских сестер.  Вторая сеть состоит из амбулаторных отделений в 215 больницах, в которых работают 5 600 лечащих врачей и свыше 26 300 медицинских сестер и среднего медицинского персонала.</w:t>
      </w:r>
    </w:p>
    <w:p w:rsidR="00000000" w:rsidRDefault="00000000"/>
    <w:p w:rsidR="00000000" w:rsidRDefault="00000000">
      <w:r>
        <w:t>555.</w:t>
      </w:r>
      <w:r>
        <w:tab/>
        <w:t>Система первичной медико-санитарной помощи состоит из сети врачей общего профиля для взрослых, врачей общего профиля для детей и подростков, гинекологов, осуществляющих амбулаторное обслуживание, и стоматологов.  В 1998 году в Чешской Республике было зарегистрировано 4 800 врачей общего профиля для взрослых, т.е. один врач на 1 800 человек в возрасте старше 15 лет;  95% врачей общего профиля для взрослых работали в негосударственном секторе.  По состоянию на эту же дату было зарегистрировано 2 200 врачей общего профиля для детей и подростков (96% в негосударственном секторе), т.е. один врач на 1 100-1 200 детей.  В середине 1998 года в стране практиковали 1 060 гинекологов, осуществлявших амбулаторное обслуживание (97% в негосударственном секторе), т.е. один врач на 5 100-5 200 женщин.  В стране насчитывалось 4 840 стоматологов (98% в негосударственном секторе), т.е. один стоматолог на 1 800 человек.</w:t>
      </w:r>
    </w:p>
    <w:p w:rsidR="00000000" w:rsidRDefault="00000000"/>
    <w:p w:rsidR="00000000" w:rsidRDefault="00000000">
      <w:r>
        <w:t>556.</w:t>
      </w:r>
      <w:r>
        <w:tab/>
        <w:t xml:space="preserve">В 1997 году в стране имелось 3,5 врача, включая стоматологов, на 1 000 человек.  По сравнению со странами Европейского союза, этот количественный показатель в Чешской Республике является относительно высоким.  Количество коек примерно соответствует показателям Европейского союза, однако в данном случае существуют структурные различия.  В Чешской Республике имеется относительно большее число коек для общего лечения и меньшее число коек для выздоравливающих и хронических больных.  Общее число коек во всех медицинских учреждениях составляет 12,1 на 1 000 жителей.  Этот показатель для лечения острых заболеваний составляет около 6,9 коек на 1 000 жителей;  в Германии он равен 6,9, во Франции </w:t>
      </w:r>
      <w:r>
        <w:noBreakHyphen/>
        <w:t xml:space="preserve"> 4,7, в Великобритании </w:t>
      </w:r>
      <w:r>
        <w:noBreakHyphen/>
        <w:t xml:space="preserve"> лишь 0,2, а в Норвегии </w:t>
      </w:r>
      <w:r>
        <w:noBreakHyphen/>
        <w:t xml:space="preserve"> 3,1 коек на 1 000 жителей.  Однако одной из характерных черт медицинского обслуживания в Чешской Республике является более длительный период госпитализации и более высокое число контактов с пациентами в рамках первичного медико-санитарного обслуживания и специализированного амбулаторного обслуживания.</w:t>
      </w:r>
    </w:p>
    <w:p w:rsidR="00000000" w:rsidRDefault="00000000"/>
    <w:p w:rsidR="00000000" w:rsidRDefault="00000000">
      <w:r>
        <w:t>557.</w:t>
      </w:r>
      <w:r>
        <w:tab/>
        <w:t>Доступ граждан к услугам в области здравоохранения облегчается благодаря существованию бесплатных укороченных телефонных номеров, доступных, в том числе с платных телефонов-автоматов, из любой точки Чешской Республики.  В целях облегчения общения инвалидов с окружающим миром для них устанавливаются специальные сниженные тарифы на телефонные разговоры.  Однако ввиду происходящего в настоящее время и ожидаемого в будущем увеличения расценок на телекоммуникационные услуги пока еще не удалось решить проблему корректировки сниженных тарифов на телефонные разговоры.  Также еще не удалось решить проблему обеспечения доступа к телекоммуникационным услугам для групп населения с особыми потребностями (одинокие престарелые люди, лица, длительное время являющиеся безработными, и т.д.).</w:t>
      </w:r>
    </w:p>
    <w:p w:rsidR="00000000" w:rsidRDefault="00000000">
      <w:pPr>
        <w:spacing w:line="240" w:lineRule="auto"/>
        <w:rPr>
          <w:i/>
          <w:iCs/>
        </w:rPr>
      </w:pPr>
    </w:p>
    <w:p w:rsidR="00000000" w:rsidRDefault="00000000">
      <w:pPr>
        <w:pStyle w:val="BodyText"/>
        <w:rPr>
          <w:b/>
          <w:bCs/>
          <w:i/>
          <w:iCs/>
        </w:rPr>
      </w:pPr>
      <w:r>
        <w:rPr>
          <w:b/>
          <w:bCs/>
          <w:i/>
          <w:iCs/>
        </w:rPr>
        <w:t>Цели политики в области здравоохранения, предусматривающие совершенствование медицинского обслуживания</w:t>
      </w:r>
    </w:p>
    <w:p w:rsidR="00000000" w:rsidRDefault="00000000">
      <w:pPr>
        <w:spacing w:line="240" w:lineRule="auto"/>
        <w:ind w:left="567" w:hanging="567"/>
        <w:rPr>
          <w:i/>
          <w:iCs/>
        </w:rPr>
      </w:pPr>
    </w:p>
    <w:p w:rsidR="00000000" w:rsidRDefault="00000000">
      <w:r>
        <w:t>558.</w:t>
      </w:r>
      <w:r>
        <w:tab/>
        <w:t>В целях повышения качества и доступности медицинского обслуживания для населения необходимо сделать следующее:</w:t>
      </w:r>
    </w:p>
    <w:p w:rsidR="00000000" w:rsidRDefault="00000000"/>
    <w:p w:rsidR="00000000" w:rsidRDefault="00000000">
      <w:pPr>
        <w:ind w:left="1134" w:hanging="1134"/>
      </w:pPr>
      <w:r>
        <w:tab/>
        <w:t>-</w:t>
      </w:r>
      <w:r>
        <w:tab/>
        <w:t>решить проблему финансового дефицита чешской системы здравоохранения, которая находит свое отражение в работе медицинских учреждений, страховых компаний и в оплате труда работников здравоохранения;</w:t>
      </w:r>
    </w:p>
    <w:p w:rsidR="00000000" w:rsidRDefault="00000000">
      <w:pPr>
        <w:ind w:left="1134" w:hanging="1134"/>
      </w:pPr>
    </w:p>
    <w:p w:rsidR="00000000" w:rsidRDefault="00000000">
      <w:pPr>
        <w:ind w:left="1134" w:hanging="1134"/>
      </w:pPr>
      <w:r>
        <w:tab/>
        <w:t>-</w:t>
      </w:r>
      <w:r>
        <w:tab/>
        <w:t>создать сеть медицинских учреждений, в частности, в том что касается создания территориальных административных подразделений более высокого уровня и объема используемых финансовых средств (доступность и взаимосвязанность различных уровней медицинского обслуживания, сбалансированность между различными областями и числом работающих по контрактам врачей по сравнению с нормативными показателями, стабилизация сети амбулаторных и специализированных медицинских учреждений в соответствии с концепциями развития отдельных областей медицины, стандартизация оборудования для различных видов медицинских учреждений и т.д.);</w:t>
      </w:r>
    </w:p>
    <w:p w:rsidR="00000000" w:rsidRDefault="00000000">
      <w:pPr>
        <w:ind w:left="1134" w:hanging="1134"/>
      </w:pPr>
    </w:p>
    <w:p w:rsidR="00000000" w:rsidRDefault="00000000">
      <w:pPr>
        <w:ind w:left="1134" w:hanging="1134"/>
      </w:pPr>
      <w:r>
        <w:tab/>
        <w:t>-</w:t>
      </w:r>
      <w:r>
        <w:tab/>
        <w:t>согласовать законодательство о медицинском обслуживании, в том что касается обеспечения здоровья граждан, с законодательством Европейского союза (включая право граждан знакомиться со своей историей болезни, которую ведут врачи, и снимать с нее копии);</w:t>
      </w:r>
    </w:p>
    <w:p w:rsidR="00000000" w:rsidRDefault="00000000">
      <w:pPr>
        <w:ind w:left="1134" w:hanging="1134"/>
      </w:pPr>
    </w:p>
    <w:p w:rsidR="00000000" w:rsidRDefault="00000000">
      <w:pPr>
        <w:ind w:left="1134" w:hanging="1134"/>
      </w:pPr>
      <w:r>
        <w:tab/>
        <w:t>-</w:t>
      </w:r>
      <w:r>
        <w:tab/>
        <w:t>перенести упор с лечения на профилактику и первичное медико-санитарное обслуживание при одновременном повышении эффективности работы системы здравоохранения в целом;</w:t>
      </w:r>
    </w:p>
    <w:p w:rsidR="00000000" w:rsidRDefault="00000000">
      <w:pPr>
        <w:ind w:left="1134" w:hanging="1134"/>
      </w:pPr>
    </w:p>
    <w:p w:rsidR="00000000" w:rsidRDefault="00000000">
      <w:pPr>
        <w:ind w:left="1134" w:hanging="1134"/>
      </w:pPr>
      <w:r>
        <w:tab/>
        <w:t>-</w:t>
      </w:r>
      <w:r>
        <w:tab/>
        <w:t>усовершенствовать взаимосвязь между правительством, представительными органами, министерством, ассоциациями представителей пациентов и гражданами и между различными заинтересованными кругами, профессиональными группами медицинских работников и гражданами/пациентами;</w:t>
      </w:r>
    </w:p>
    <w:p w:rsidR="00000000" w:rsidRDefault="00000000">
      <w:pPr>
        <w:ind w:left="1134" w:hanging="1134"/>
      </w:pPr>
    </w:p>
    <w:p w:rsidR="00000000" w:rsidRDefault="00000000">
      <w:pPr>
        <w:ind w:left="1134" w:hanging="1134"/>
      </w:pPr>
      <w:r>
        <w:tab/>
        <w:t>-</w:t>
      </w:r>
      <w:r>
        <w:tab/>
        <w:t>четко разделить сферы компетенции между национальными и местными административными органами и территориальными административными подразделениями более высокого уровня;</w:t>
      </w:r>
    </w:p>
    <w:p w:rsidR="00000000" w:rsidRDefault="00000000">
      <w:pPr>
        <w:ind w:left="1134" w:hanging="1134"/>
      </w:pPr>
    </w:p>
    <w:p w:rsidR="00000000" w:rsidRDefault="00000000">
      <w:pPr>
        <w:ind w:left="1134" w:hanging="1134"/>
      </w:pPr>
      <w:r>
        <w:tab/>
        <w:t>-</w:t>
      </w:r>
      <w:r>
        <w:tab/>
        <w:t>ввести систему мониторинга и оценки качества услуг;</w:t>
      </w:r>
    </w:p>
    <w:p w:rsidR="00000000" w:rsidRDefault="00000000">
      <w:pPr>
        <w:ind w:left="1134" w:hanging="1134"/>
      </w:pPr>
    </w:p>
    <w:p w:rsidR="00000000" w:rsidRDefault="00000000">
      <w:pPr>
        <w:ind w:left="1134" w:hanging="1134"/>
      </w:pPr>
      <w:r>
        <w:tab/>
        <w:t>-</w:t>
      </w:r>
      <w:r>
        <w:tab/>
        <w:t>подготовить и ввести в действие систему аккредитации для медицинских учреждений;</w:t>
      </w:r>
    </w:p>
    <w:p w:rsidR="00000000" w:rsidRDefault="00000000">
      <w:pPr>
        <w:ind w:left="1134" w:hanging="1134"/>
      </w:pPr>
    </w:p>
    <w:p w:rsidR="00000000" w:rsidRDefault="00000000">
      <w:pPr>
        <w:ind w:left="1134" w:hanging="1134"/>
      </w:pPr>
      <w:r>
        <w:tab/>
        <w:t>-</w:t>
      </w:r>
      <w:r>
        <w:tab/>
        <w:t>создать соответствующие информационные системы;</w:t>
      </w:r>
    </w:p>
    <w:p w:rsidR="00000000" w:rsidRDefault="00000000">
      <w:pPr>
        <w:ind w:left="1134" w:hanging="1134"/>
      </w:pPr>
    </w:p>
    <w:p w:rsidR="00000000" w:rsidRDefault="00000000">
      <w:pPr>
        <w:ind w:left="1134" w:hanging="1134"/>
      </w:pPr>
      <w:r>
        <w:tab/>
        <w:t>-</w:t>
      </w:r>
      <w:r>
        <w:tab/>
        <w:t>произвести ремонт зданий, находящихся в неудовлетворительном состоянии, и обеспечить сбалансированный уровень технической оснащенности в медицинских учреждениях, являющихся частью сети здравоохранения, включая выполнение требований Закона об атомной энергии в работе медицинских учреждений.</w:t>
      </w:r>
    </w:p>
    <w:p w:rsidR="00000000" w:rsidRDefault="00000000">
      <w:pPr>
        <w:spacing w:line="240" w:lineRule="auto"/>
        <w:ind w:left="1134" w:hanging="1134"/>
      </w:pPr>
    </w:p>
    <w:p w:rsidR="00000000" w:rsidRDefault="00000000">
      <w:pPr>
        <w:pStyle w:val="Title"/>
        <w:spacing w:line="240" w:lineRule="auto"/>
        <w:rPr>
          <w:bCs w:val="0"/>
        </w:rPr>
      </w:pPr>
      <w:r>
        <w:rPr>
          <w:bCs w:val="0"/>
        </w:rPr>
        <w:t>Статья 13</w:t>
      </w:r>
    </w:p>
    <w:p w:rsidR="00000000" w:rsidRDefault="00000000">
      <w:pPr>
        <w:pStyle w:val="Title"/>
        <w:spacing w:line="216" w:lineRule="auto"/>
        <w:rPr>
          <w:bCs w:val="0"/>
        </w:rPr>
      </w:pPr>
    </w:p>
    <w:p w:rsidR="00000000" w:rsidRDefault="00000000">
      <w:pPr>
        <w:spacing w:line="240" w:lineRule="auto"/>
        <w:rPr>
          <w:b/>
          <w:bCs/>
        </w:rPr>
      </w:pPr>
      <w:r>
        <w:rPr>
          <w:b/>
          <w:bCs/>
        </w:rPr>
        <w:t>Пункт 1</w:t>
      </w:r>
    </w:p>
    <w:p w:rsidR="00000000" w:rsidRDefault="00000000">
      <w:pPr>
        <w:spacing w:line="240" w:lineRule="auto"/>
      </w:pPr>
    </w:p>
    <w:p w:rsidR="00000000" w:rsidRDefault="00000000">
      <w:r>
        <w:t>559.</w:t>
      </w:r>
      <w:r>
        <w:tab/>
        <w:t xml:space="preserve">Право каждого на образование гарантировано в статье 33 Хартии, которая гласит следующее:  "Каждый имеет право на образование.  Посещение школы обязательно в течение времени, установленного законом.  Граждане имеют право на бесплатное образование в начальных и средних школах, а также с учетом способностей гражданина и возможностей общества - и в высших учебных заведениях.  Создание частных школ и обучение в них допускается только на условиях, установленных законом;  обучение в таких школах может осуществляться за плату.  Закон устанавливает условия, при которых граждане в период учебы имеют право на помощь государства".  </w:t>
      </w:r>
    </w:p>
    <w:p w:rsidR="00000000" w:rsidRDefault="00000000"/>
    <w:p w:rsidR="00000000" w:rsidRDefault="00000000">
      <w:r>
        <w:t>560.</w:t>
      </w:r>
      <w:r>
        <w:tab/>
        <w:t>Воспитание и образование в начальных и средних школах регламентируется также Законом об учебных заведениях (в разделах 1-4 Закона закреплено право на образование и перечислены учебные заведения, в которых можно осуществлять это право) и соответствующими постановлениями</w:t>
      </w:r>
      <w:r>
        <w:rPr>
          <w:rStyle w:val="FootnoteReference"/>
        </w:rPr>
        <w:footnoteReference w:id="341"/>
      </w:r>
      <w:r>
        <w:t xml:space="preserve">.  Система воспитания и образования включает начальные школы, средние школы, специальные школы и - при их наличии в сети учебных заведений - профессионально-технические училища.  </w:t>
      </w:r>
    </w:p>
    <w:p w:rsidR="00000000" w:rsidRDefault="00000000"/>
    <w:p w:rsidR="00000000" w:rsidRDefault="00000000">
      <w:pPr>
        <w:pStyle w:val="Heading1"/>
        <w:rPr>
          <w:b w:val="0"/>
          <w:i/>
          <w:iCs/>
        </w:rPr>
      </w:pPr>
      <w:r>
        <w:rPr>
          <w:b w:val="0"/>
          <w:i/>
          <w:iCs/>
        </w:rPr>
        <w:t>Детские сады</w:t>
      </w:r>
    </w:p>
    <w:p w:rsidR="00000000" w:rsidRDefault="00000000">
      <w:pPr>
        <w:pStyle w:val="Heading1"/>
        <w:rPr>
          <w:bCs/>
        </w:rPr>
      </w:pPr>
    </w:p>
    <w:p w:rsidR="00000000" w:rsidRDefault="00000000">
      <w:r>
        <w:t>561.</w:t>
      </w:r>
      <w:r>
        <w:tab/>
        <w:t xml:space="preserve">Детские сады в качестве дополнения к воспитанию в семье обеспечивают дошкольное воспитание детей в возрасте, как правило, от трех до шести лет.  Их посещение не является обязательным и осуществляется по выбору родителей ребенка.  Детские сады в значительной степени способствуют выравниванию различий между детьми, которые обусловлены разными культурными традициями и разным социальным положением семей.  </w:t>
      </w:r>
    </w:p>
    <w:p w:rsidR="00000000" w:rsidRDefault="00000000"/>
    <w:p w:rsidR="00000000" w:rsidRDefault="00000000">
      <w:r>
        <w:t>562.</w:t>
      </w:r>
      <w:r>
        <w:tab/>
        <w:t xml:space="preserve">Детские сады в основном посещаются детьми в возрасте от трех до шести лет.  Однако при наличии соответствующих оснований в детские сады могут приниматься и дети в возрасте младше указанного.  Кроме того, в них продолжают получать воспитание дети более старшего возраста, которые по тем или иным причинам позднее других приступают к обязательному школьному образованию;  в последнее время учащаются случаи более позднего начала получения обязательного школьного образования:  в период 1993-1999 годов доля детей, поступивших в начальную школу в возрасте 7 лет, составляла примерно 20%.  Посещение детского сада не является обязательным, хотя время от времени рассматривается вопрос о введении обязательного дошкольного образования в течение последнего года перед поступлением детей в систему обязательного школьного образования.  Тем не менее посещаемость детских садов является довольно высокой, особенно среди детей в возрасте пяти лет и старше.  Посещение дошкольных учреждений облегчает для них переход к начальному школьному образованию.  </w:t>
      </w:r>
    </w:p>
    <w:p w:rsidR="00000000" w:rsidRDefault="00000000"/>
    <w:p w:rsidR="00000000" w:rsidRDefault="00000000">
      <w:pPr>
        <w:jc w:val="center"/>
        <w:rPr>
          <w:lang w:val="en-US"/>
        </w:rPr>
      </w:pPr>
      <w:r>
        <w:rPr>
          <w:b/>
          <w:bCs/>
        </w:rPr>
        <w:t>Число детских садов и детей, которые их посещают</w:t>
      </w:r>
      <w:r>
        <w:t xml:space="preserve"> (в тыс. человек)</w:t>
      </w:r>
    </w:p>
    <w:p w:rsidR="00000000" w:rsidRDefault="00000000">
      <w:pPr>
        <w:rPr>
          <w:lang w:val="en-US"/>
        </w:rPr>
      </w:pP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51" w:type="dxa"/>
        </w:tblCellMar>
        <w:tblLook w:val="0000" w:firstRow="0" w:lastRow="0" w:firstColumn="0" w:lastColumn="0" w:noHBand="0" w:noVBand="0"/>
      </w:tblPr>
      <w:tblGrid>
        <w:gridCol w:w="948"/>
        <w:gridCol w:w="952"/>
        <w:gridCol w:w="952"/>
        <w:gridCol w:w="952"/>
        <w:gridCol w:w="952"/>
        <w:gridCol w:w="951"/>
        <w:gridCol w:w="951"/>
        <w:gridCol w:w="951"/>
        <w:gridCol w:w="951"/>
        <w:gridCol w:w="953"/>
      </w:tblGrid>
      <w:tr w:rsidR="00000000">
        <w:tblPrEx>
          <w:tblCellMar>
            <w:top w:w="0" w:type="dxa"/>
            <w:bottom w:w="0" w:type="dxa"/>
          </w:tblCellMar>
        </w:tblPrEx>
        <w:tc>
          <w:tcPr>
            <w:tcW w:w="498" w:type="pct"/>
            <w:tcBorders>
              <w:top w:val="single" w:sz="4" w:space="0" w:color="auto"/>
              <w:bottom w:val="single" w:sz="4" w:space="0" w:color="auto"/>
            </w:tcBorders>
          </w:tcPr>
          <w:p w:rsidR="00000000" w:rsidRDefault="00000000">
            <w:pPr>
              <w:pStyle w:val="FootnoteText"/>
              <w:spacing w:line="288" w:lineRule="auto"/>
            </w:pPr>
          </w:p>
        </w:tc>
        <w:tc>
          <w:tcPr>
            <w:tcW w:w="500" w:type="pct"/>
            <w:tcBorders>
              <w:top w:val="single" w:sz="4" w:space="0" w:color="auto"/>
              <w:bottom w:val="single" w:sz="4" w:space="0" w:color="auto"/>
            </w:tcBorders>
          </w:tcPr>
          <w:p w:rsidR="00000000" w:rsidRDefault="00000000">
            <w:pPr>
              <w:pStyle w:val="10"/>
              <w:rPr>
                <w:bCs/>
              </w:rPr>
            </w:pPr>
            <w:r>
              <w:rPr>
                <w:bCs/>
              </w:rPr>
              <w:t>1989/90</w:t>
            </w:r>
          </w:p>
        </w:tc>
        <w:tc>
          <w:tcPr>
            <w:tcW w:w="500" w:type="pct"/>
            <w:tcBorders>
              <w:top w:val="single" w:sz="4" w:space="0" w:color="auto"/>
              <w:bottom w:val="single" w:sz="4" w:space="0" w:color="auto"/>
            </w:tcBorders>
          </w:tcPr>
          <w:p w:rsidR="00000000" w:rsidRDefault="00000000">
            <w:pPr>
              <w:jc w:val="center"/>
              <w:rPr>
                <w:b/>
                <w:bCs/>
              </w:rPr>
            </w:pPr>
            <w:r>
              <w:rPr>
                <w:b/>
                <w:bCs/>
              </w:rPr>
              <w:t>1990/91</w:t>
            </w:r>
          </w:p>
        </w:tc>
        <w:tc>
          <w:tcPr>
            <w:tcW w:w="500" w:type="pct"/>
            <w:tcBorders>
              <w:top w:val="single" w:sz="4" w:space="0" w:color="auto"/>
              <w:bottom w:val="single" w:sz="4" w:space="0" w:color="auto"/>
            </w:tcBorders>
          </w:tcPr>
          <w:p w:rsidR="00000000" w:rsidRDefault="00000000">
            <w:pPr>
              <w:jc w:val="center"/>
              <w:rPr>
                <w:b/>
                <w:bCs/>
              </w:rPr>
            </w:pPr>
            <w:r>
              <w:rPr>
                <w:b/>
                <w:bCs/>
              </w:rPr>
              <w:t>1991/92</w:t>
            </w:r>
          </w:p>
        </w:tc>
        <w:tc>
          <w:tcPr>
            <w:tcW w:w="500" w:type="pct"/>
            <w:tcBorders>
              <w:top w:val="single" w:sz="4" w:space="0" w:color="auto"/>
              <w:bottom w:val="single" w:sz="4" w:space="0" w:color="auto"/>
            </w:tcBorders>
          </w:tcPr>
          <w:p w:rsidR="00000000" w:rsidRDefault="00000000">
            <w:pPr>
              <w:jc w:val="center"/>
              <w:rPr>
                <w:b/>
                <w:bCs/>
              </w:rPr>
            </w:pPr>
            <w:r>
              <w:rPr>
                <w:b/>
                <w:bCs/>
              </w:rPr>
              <w:t>1992/93</w:t>
            </w:r>
          </w:p>
        </w:tc>
        <w:tc>
          <w:tcPr>
            <w:tcW w:w="500" w:type="pct"/>
            <w:tcBorders>
              <w:top w:val="single" w:sz="4" w:space="0" w:color="auto"/>
              <w:bottom w:val="single" w:sz="4" w:space="0" w:color="auto"/>
            </w:tcBorders>
          </w:tcPr>
          <w:p w:rsidR="00000000" w:rsidRDefault="00000000">
            <w:pPr>
              <w:jc w:val="center"/>
              <w:rPr>
                <w:b/>
                <w:bCs/>
              </w:rPr>
            </w:pPr>
            <w:r>
              <w:rPr>
                <w:b/>
                <w:bCs/>
              </w:rPr>
              <w:t>1993/94</w:t>
            </w:r>
          </w:p>
        </w:tc>
        <w:tc>
          <w:tcPr>
            <w:tcW w:w="500" w:type="pct"/>
            <w:tcBorders>
              <w:top w:val="single" w:sz="4" w:space="0" w:color="auto"/>
              <w:bottom w:val="single" w:sz="4" w:space="0" w:color="auto"/>
            </w:tcBorders>
          </w:tcPr>
          <w:p w:rsidR="00000000" w:rsidRDefault="00000000">
            <w:pPr>
              <w:jc w:val="center"/>
              <w:rPr>
                <w:b/>
                <w:bCs/>
              </w:rPr>
            </w:pPr>
            <w:r>
              <w:rPr>
                <w:b/>
                <w:bCs/>
              </w:rPr>
              <w:t>1994/95</w:t>
            </w:r>
          </w:p>
        </w:tc>
        <w:tc>
          <w:tcPr>
            <w:tcW w:w="500" w:type="pct"/>
            <w:tcBorders>
              <w:top w:val="single" w:sz="4" w:space="0" w:color="auto"/>
              <w:bottom w:val="single" w:sz="4" w:space="0" w:color="auto"/>
            </w:tcBorders>
          </w:tcPr>
          <w:p w:rsidR="00000000" w:rsidRDefault="00000000">
            <w:pPr>
              <w:jc w:val="center"/>
              <w:rPr>
                <w:b/>
                <w:bCs/>
              </w:rPr>
            </w:pPr>
            <w:r>
              <w:rPr>
                <w:b/>
                <w:bCs/>
              </w:rPr>
              <w:t>1995/96</w:t>
            </w:r>
          </w:p>
        </w:tc>
        <w:tc>
          <w:tcPr>
            <w:tcW w:w="500" w:type="pct"/>
            <w:tcBorders>
              <w:top w:val="single" w:sz="4" w:space="0" w:color="auto"/>
              <w:bottom w:val="single" w:sz="4" w:space="0" w:color="auto"/>
            </w:tcBorders>
          </w:tcPr>
          <w:p w:rsidR="00000000" w:rsidRDefault="00000000">
            <w:pPr>
              <w:jc w:val="center"/>
              <w:rPr>
                <w:b/>
                <w:bCs/>
              </w:rPr>
            </w:pPr>
            <w:r>
              <w:rPr>
                <w:b/>
                <w:bCs/>
              </w:rPr>
              <w:t>1996/97</w:t>
            </w:r>
          </w:p>
        </w:tc>
        <w:tc>
          <w:tcPr>
            <w:tcW w:w="501" w:type="pct"/>
            <w:tcBorders>
              <w:top w:val="single" w:sz="4" w:space="0" w:color="auto"/>
              <w:bottom w:val="single" w:sz="4" w:space="0" w:color="auto"/>
            </w:tcBorders>
          </w:tcPr>
          <w:p w:rsidR="00000000" w:rsidRDefault="00000000">
            <w:pPr>
              <w:jc w:val="center"/>
              <w:rPr>
                <w:b/>
                <w:bCs/>
              </w:rPr>
            </w:pPr>
            <w:r>
              <w:rPr>
                <w:b/>
                <w:bCs/>
              </w:rPr>
              <w:t>1997/98</w:t>
            </w:r>
          </w:p>
        </w:tc>
      </w:tr>
      <w:tr w:rsidR="00000000">
        <w:tblPrEx>
          <w:tblCellMar>
            <w:top w:w="0" w:type="dxa"/>
            <w:bottom w:w="0" w:type="dxa"/>
          </w:tblCellMar>
        </w:tblPrEx>
        <w:tc>
          <w:tcPr>
            <w:tcW w:w="498" w:type="pct"/>
            <w:tcBorders>
              <w:top w:val="single" w:sz="4" w:space="0" w:color="auto"/>
            </w:tcBorders>
          </w:tcPr>
          <w:p w:rsidR="00000000" w:rsidRDefault="00000000">
            <w:r>
              <w:t>Школы</w:t>
            </w:r>
          </w:p>
        </w:tc>
        <w:tc>
          <w:tcPr>
            <w:tcW w:w="500" w:type="pct"/>
            <w:tcBorders>
              <w:top w:val="single" w:sz="4" w:space="0" w:color="auto"/>
            </w:tcBorders>
          </w:tcPr>
          <w:p w:rsidR="00000000" w:rsidRDefault="00000000">
            <w:pPr>
              <w:tabs>
                <w:tab w:val="clear" w:pos="567"/>
                <w:tab w:val="clear" w:pos="1134"/>
                <w:tab w:val="clear" w:pos="1701"/>
                <w:tab w:val="clear" w:pos="2268"/>
                <w:tab w:val="clear" w:pos="6237"/>
              </w:tabs>
              <w:jc w:val="right"/>
            </w:pPr>
            <w:r>
              <w:t>7 328</w:t>
            </w:r>
          </w:p>
        </w:tc>
        <w:tc>
          <w:tcPr>
            <w:tcW w:w="500" w:type="pct"/>
            <w:tcBorders>
              <w:top w:val="single" w:sz="4" w:space="0" w:color="auto"/>
            </w:tcBorders>
          </w:tcPr>
          <w:p w:rsidR="00000000" w:rsidRDefault="00000000">
            <w:pPr>
              <w:tabs>
                <w:tab w:val="clear" w:pos="567"/>
                <w:tab w:val="clear" w:pos="1134"/>
                <w:tab w:val="clear" w:pos="1701"/>
                <w:tab w:val="clear" w:pos="2268"/>
                <w:tab w:val="clear" w:pos="6237"/>
              </w:tabs>
              <w:jc w:val="right"/>
            </w:pPr>
            <w:r>
              <w:t>7 335</w:t>
            </w:r>
          </w:p>
        </w:tc>
        <w:tc>
          <w:tcPr>
            <w:tcW w:w="500" w:type="pct"/>
            <w:tcBorders>
              <w:top w:val="single" w:sz="4" w:space="0" w:color="auto"/>
            </w:tcBorders>
          </w:tcPr>
          <w:p w:rsidR="00000000" w:rsidRDefault="00000000">
            <w:pPr>
              <w:tabs>
                <w:tab w:val="clear" w:pos="567"/>
                <w:tab w:val="clear" w:pos="1134"/>
                <w:tab w:val="clear" w:pos="1701"/>
                <w:tab w:val="clear" w:pos="2268"/>
                <w:tab w:val="clear" w:pos="6237"/>
              </w:tabs>
              <w:jc w:val="right"/>
            </w:pPr>
            <w:r>
              <w:t>6 972</w:t>
            </w:r>
          </w:p>
        </w:tc>
        <w:tc>
          <w:tcPr>
            <w:tcW w:w="500" w:type="pct"/>
            <w:tcBorders>
              <w:top w:val="single" w:sz="4" w:space="0" w:color="auto"/>
            </w:tcBorders>
          </w:tcPr>
          <w:p w:rsidR="00000000" w:rsidRDefault="00000000">
            <w:pPr>
              <w:tabs>
                <w:tab w:val="clear" w:pos="567"/>
                <w:tab w:val="clear" w:pos="1134"/>
                <w:tab w:val="clear" w:pos="1701"/>
                <w:tab w:val="clear" w:pos="2268"/>
                <w:tab w:val="clear" w:pos="6237"/>
              </w:tabs>
              <w:jc w:val="right"/>
            </w:pPr>
            <w:r>
              <w:t>6 827</w:t>
            </w:r>
          </w:p>
        </w:tc>
        <w:tc>
          <w:tcPr>
            <w:tcW w:w="500" w:type="pct"/>
            <w:tcBorders>
              <w:top w:val="single" w:sz="4" w:space="0" w:color="auto"/>
            </w:tcBorders>
          </w:tcPr>
          <w:p w:rsidR="00000000" w:rsidRDefault="00000000">
            <w:pPr>
              <w:tabs>
                <w:tab w:val="clear" w:pos="567"/>
                <w:tab w:val="clear" w:pos="1134"/>
                <w:tab w:val="clear" w:pos="1701"/>
                <w:tab w:val="clear" w:pos="2268"/>
                <w:tab w:val="clear" w:pos="6237"/>
              </w:tabs>
              <w:jc w:val="right"/>
            </w:pPr>
            <w:r>
              <w:t>6 599</w:t>
            </w:r>
          </w:p>
        </w:tc>
        <w:tc>
          <w:tcPr>
            <w:tcW w:w="500" w:type="pct"/>
            <w:tcBorders>
              <w:top w:val="single" w:sz="4" w:space="0" w:color="auto"/>
            </w:tcBorders>
          </w:tcPr>
          <w:p w:rsidR="00000000" w:rsidRDefault="00000000">
            <w:pPr>
              <w:tabs>
                <w:tab w:val="clear" w:pos="567"/>
                <w:tab w:val="clear" w:pos="1134"/>
                <w:tab w:val="clear" w:pos="1701"/>
                <w:tab w:val="clear" w:pos="2268"/>
                <w:tab w:val="clear" w:pos="6237"/>
              </w:tabs>
              <w:jc w:val="right"/>
            </w:pPr>
            <w:r>
              <w:t>6 526</w:t>
            </w:r>
          </w:p>
        </w:tc>
        <w:tc>
          <w:tcPr>
            <w:tcW w:w="500" w:type="pct"/>
            <w:tcBorders>
              <w:top w:val="single" w:sz="4" w:space="0" w:color="auto"/>
            </w:tcBorders>
          </w:tcPr>
          <w:p w:rsidR="00000000" w:rsidRDefault="00000000">
            <w:pPr>
              <w:tabs>
                <w:tab w:val="clear" w:pos="567"/>
                <w:tab w:val="clear" w:pos="1134"/>
                <w:tab w:val="clear" w:pos="1701"/>
                <w:tab w:val="clear" w:pos="2268"/>
                <w:tab w:val="clear" w:pos="6237"/>
              </w:tabs>
              <w:jc w:val="right"/>
            </w:pPr>
            <w:r>
              <w:t>6 474</w:t>
            </w:r>
          </w:p>
        </w:tc>
        <w:tc>
          <w:tcPr>
            <w:tcW w:w="500" w:type="pct"/>
            <w:tcBorders>
              <w:top w:val="single" w:sz="4" w:space="0" w:color="auto"/>
            </w:tcBorders>
          </w:tcPr>
          <w:p w:rsidR="00000000" w:rsidRDefault="00000000">
            <w:pPr>
              <w:tabs>
                <w:tab w:val="clear" w:pos="567"/>
                <w:tab w:val="clear" w:pos="1134"/>
                <w:tab w:val="clear" w:pos="1701"/>
                <w:tab w:val="clear" w:pos="2268"/>
                <w:tab w:val="clear" w:pos="6237"/>
              </w:tabs>
              <w:jc w:val="right"/>
            </w:pPr>
            <w:r>
              <w:t>6 344</w:t>
            </w:r>
          </w:p>
        </w:tc>
        <w:tc>
          <w:tcPr>
            <w:tcW w:w="501" w:type="pct"/>
            <w:tcBorders>
              <w:top w:val="single" w:sz="4" w:space="0" w:color="auto"/>
            </w:tcBorders>
          </w:tcPr>
          <w:p w:rsidR="00000000" w:rsidRDefault="00000000">
            <w:pPr>
              <w:tabs>
                <w:tab w:val="clear" w:pos="567"/>
                <w:tab w:val="clear" w:pos="1134"/>
                <w:tab w:val="clear" w:pos="1701"/>
                <w:tab w:val="clear" w:pos="2268"/>
                <w:tab w:val="clear" w:pos="6237"/>
              </w:tabs>
              <w:jc w:val="right"/>
            </w:pPr>
            <w:r>
              <w:t>6 152</w:t>
            </w:r>
          </w:p>
        </w:tc>
      </w:tr>
      <w:tr w:rsidR="00000000">
        <w:tblPrEx>
          <w:tblCellMar>
            <w:top w:w="0" w:type="dxa"/>
            <w:bottom w:w="0" w:type="dxa"/>
          </w:tblCellMar>
        </w:tblPrEx>
        <w:tc>
          <w:tcPr>
            <w:tcW w:w="498" w:type="pct"/>
          </w:tcPr>
          <w:p w:rsidR="00000000" w:rsidRDefault="00000000">
            <w:r>
              <w:t>Дети</w:t>
            </w:r>
          </w:p>
        </w:tc>
        <w:tc>
          <w:tcPr>
            <w:tcW w:w="500" w:type="pct"/>
          </w:tcPr>
          <w:p w:rsidR="00000000" w:rsidRDefault="00000000">
            <w:pPr>
              <w:tabs>
                <w:tab w:val="clear" w:pos="567"/>
                <w:tab w:val="clear" w:pos="1134"/>
                <w:tab w:val="clear" w:pos="1701"/>
                <w:tab w:val="clear" w:pos="2268"/>
                <w:tab w:val="clear" w:pos="6237"/>
              </w:tabs>
              <w:jc w:val="right"/>
            </w:pPr>
            <w:r>
              <w:t>395,2</w:t>
            </w:r>
          </w:p>
        </w:tc>
        <w:tc>
          <w:tcPr>
            <w:tcW w:w="500" w:type="pct"/>
          </w:tcPr>
          <w:p w:rsidR="00000000" w:rsidRDefault="00000000">
            <w:pPr>
              <w:tabs>
                <w:tab w:val="clear" w:pos="567"/>
                <w:tab w:val="clear" w:pos="1134"/>
                <w:tab w:val="clear" w:pos="1701"/>
                <w:tab w:val="clear" w:pos="2268"/>
                <w:tab w:val="clear" w:pos="6237"/>
              </w:tabs>
              <w:jc w:val="right"/>
            </w:pPr>
            <w:r>
              <w:t>352,1</w:t>
            </w:r>
          </w:p>
        </w:tc>
        <w:tc>
          <w:tcPr>
            <w:tcW w:w="500" w:type="pct"/>
          </w:tcPr>
          <w:p w:rsidR="00000000" w:rsidRDefault="00000000">
            <w:pPr>
              <w:tabs>
                <w:tab w:val="clear" w:pos="567"/>
                <w:tab w:val="clear" w:pos="1134"/>
                <w:tab w:val="clear" w:pos="1701"/>
                <w:tab w:val="clear" w:pos="2268"/>
                <w:tab w:val="clear" w:pos="6237"/>
              </w:tabs>
              <w:jc w:val="right"/>
            </w:pPr>
            <w:r>
              <w:t>323,3</w:t>
            </w:r>
          </w:p>
        </w:tc>
        <w:tc>
          <w:tcPr>
            <w:tcW w:w="500" w:type="pct"/>
          </w:tcPr>
          <w:p w:rsidR="00000000" w:rsidRDefault="00000000">
            <w:pPr>
              <w:tabs>
                <w:tab w:val="clear" w:pos="567"/>
                <w:tab w:val="clear" w:pos="1134"/>
                <w:tab w:val="clear" w:pos="1701"/>
                <w:tab w:val="clear" w:pos="2268"/>
                <w:tab w:val="clear" w:pos="6237"/>
              </w:tabs>
              <w:jc w:val="right"/>
            </w:pPr>
            <w:r>
              <w:t>325,7</w:t>
            </w:r>
          </w:p>
        </w:tc>
        <w:tc>
          <w:tcPr>
            <w:tcW w:w="500" w:type="pct"/>
          </w:tcPr>
          <w:p w:rsidR="00000000" w:rsidRDefault="00000000">
            <w:pPr>
              <w:tabs>
                <w:tab w:val="clear" w:pos="567"/>
                <w:tab w:val="clear" w:pos="1134"/>
                <w:tab w:val="clear" w:pos="1701"/>
                <w:tab w:val="clear" w:pos="2268"/>
                <w:tab w:val="clear" w:pos="6237"/>
              </w:tabs>
              <w:jc w:val="right"/>
            </w:pPr>
            <w:r>
              <w:t>331,5</w:t>
            </w:r>
          </w:p>
        </w:tc>
        <w:tc>
          <w:tcPr>
            <w:tcW w:w="500" w:type="pct"/>
          </w:tcPr>
          <w:p w:rsidR="00000000" w:rsidRDefault="00000000">
            <w:pPr>
              <w:tabs>
                <w:tab w:val="clear" w:pos="567"/>
                <w:tab w:val="clear" w:pos="1134"/>
                <w:tab w:val="clear" w:pos="1701"/>
                <w:tab w:val="clear" w:pos="2268"/>
                <w:tab w:val="clear" w:pos="6237"/>
              </w:tabs>
              <w:jc w:val="right"/>
            </w:pPr>
            <w:r>
              <w:t>338,1</w:t>
            </w:r>
          </w:p>
        </w:tc>
        <w:tc>
          <w:tcPr>
            <w:tcW w:w="500" w:type="pct"/>
          </w:tcPr>
          <w:p w:rsidR="00000000" w:rsidRDefault="00000000">
            <w:pPr>
              <w:tabs>
                <w:tab w:val="clear" w:pos="567"/>
                <w:tab w:val="clear" w:pos="1134"/>
                <w:tab w:val="clear" w:pos="1701"/>
                <w:tab w:val="clear" w:pos="2268"/>
                <w:tab w:val="clear" w:pos="6237"/>
              </w:tabs>
              <w:jc w:val="right"/>
            </w:pPr>
            <w:r>
              <w:t>333,4</w:t>
            </w:r>
          </w:p>
        </w:tc>
        <w:tc>
          <w:tcPr>
            <w:tcW w:w="500" w:type="pct"/>
          </w:tcPr>
          <w:p w:rsidR="00000000" w:rsidRDefault="00000000">
            <w:pPr>
              <w:tabs>
                <w:tab w:val="clear" w:pos="567"/>
                <w:tab w:val="clear" w:pos="1134"/>
                <w:tab w:val="clear" w:pos="1701"/>
                <w:tab w:val="clear" w:pos="2268"/>
                <w:tab w:val="clear" w:pos="6237"/>
              </w:tabs>
              <w:jc w:val="right"/>
            </w:pPr>
            <w:r>
              <w:t>317,2</w:t>
            </w:r>
          </w:p>
        </w:tc>
        <w:tc>
          <w:tcPr>
            <w:tcW w:w="501" w:type="pct"/>
          </w:tcPr>
          <w:p w:rsidR="00000000" w:rsidRDefault="00000000">
            <w:pPr>
              <w:tabs>
                <w:tab w:val="clear" w:pos="567"/>
                <w:tab w:val="clear" w:pos="1134"/>
                <w:tab w:val="clear" w:pos="1701"/>
                <w:tab w:val="clear" w:pos="2268"/>
                <w:tab w:val="clear" w:pos="6237"/>
              </w:tabs>
              <w:jc w:val="right"/>
            </w:pPr>
            <w:r>
              <w:t>307,5</w:t>
            </w:r>
          </w:p>
        </w:tc>
      </w:tr>
    </w:tbl>
    <w:p w:rsidR="00000000" w:rsidRDefault="00000000"/>
    <w:p w:rsidR="00000000" w:rsidRDefault="00000000">
      <w:r>
        <w:tab/>
      </w:r>
      <w:r>
        <w:rPr>
          <w:u w:val="single"/>
        </w:rPr>
        <w:t>Источник</w:t>
      </w:r>
      <w:r>
        <w:t>:  Институт информации в области образования.</w:t>
      </w:r>
    </w:p>
    <w:p w:rsidR="00000000" w:rsidRDefault="00000000"/>
    <w:p w:rsidR="00000000" w:rsidRDefault="00000000">
      <w:r>
        <w:t>563.</w:t>
      </w:r>
      <w:r>
        <w:tab/>
        <w:t>Посещаемость детьми детских садов неуклонно снижа</w:t>
      </w:r>
      <w:r>
        <w:rPr>
          <w:lang w:val="en-US"/>
        </w:rPr>
        <w:t>ется с</w:t>
      </w:r>
      <w:r>
        <w:t xml:space="preserve"> 1991 года, когда явственно проявилось новое отношение к дошкольным учреждениям, обусловленное увеличением продолжительности отпуска по беременности и родам и постепенным формированием новой модели семьи, при которой мать остается дома даже после отпуска по беременности и родам и продолжает сама воспитывать своих детей.  Свою роль сыграла также тенденция к снижению демографических показателей, которая в последнее время является основной причиной сокращения числа детей в детских садах.  По сравнению с 1989 годом число детей в дошкольных учреждениях сократилось на 22%.  Однако, несмотря на сокращение числа детей в дошкольных учреждениях, их все еще посещает 88% всех детей дошкольного возраста, и детские сады по</w:t>
      </w:r>
      <w:r>
        <w:noBreakHyphen/>
        <w:t xml:space="preserve">прежнему играют незаменимую роль в воспитании детей.  В период с 1989/90 учебного года по 1999/2000 год число дошкольных учреждений сократилось на 1 176 единиц, или на 16%.  </w:t>
      </w:r>
    </w:p>
    <w:p w:rsidR="00000000" w:rsidRDefault="00000000"/>
    <w:p w:rsidR="00000000" w:rsidRDefault="00000000">
      <w:pPr>
        <w:pStyle w:val="BodyText"/>
      </w:pPr>
      <w:r>
        <w:t>Число детей, посещающих обычные и специальные детские сады, в сопоставлении с динамикой демографических показателей возрастной группы от трех до пяти лет (в тыс. человек)</w:t>
      </w:r>
    </w:p>
    <w:p w:rsidR="00000000" w:rsidRDefault="00000000">
      <w:r>
        <w:rPr>
          <w:noProof/>
        </w:rPr>
        <w:pict>
          <v:rect id="_x0000_s1137" style="position:absolute;margin-left:9.35pt;margin-top:12.25pt;width:336.6pt;height:165.1pt;z-index:108" filled="f" strokeweight="0">
            <v:stroke color2="black"/>
          </v:rect>
        </w:pict>
      </w:r>
      <w:r>
        <w:rPr>
          <w:noProof/>
        </w:rPr>
        <w:pict>
          <v:rect id="_x0000_s1031" style="position:absolute;margin-left:56.1pt;margin-top:12.25pt;width:289.85pt;height:165.1pt;z-index:2" strokeweight="0">
            <v:fill color2="black"/>
            <v:stroke color2="black"/>
          </v:rect>
        </w:pict>
      </w:r>
      <w:r>
        <w:tab/>
      </w:r>
    </w:p>
    <w:p w:rsidR="00000000" w:rsidRDefault="00000000">
      <w:pPr>
        <w:ind w:right="-1"/>
      </w:pPr>
      <w:r>
        <w:rPr>
          <w:noProof/>
        </w:rPr>
        <w:pict>
          <v:rect id="_x0000_s1136" style="position:absolute;margin-left:252.05pt;margin-top:146.4pt;width:38.7pt;height:9.2pt;z-index:107;mso-wrap-style:none" o:allowincell="f" filled="f" stroked="f">
            <v:textbox style="mso-next-textbox:#_x0000_s1136;mso-rotate-with-shape:t" inset="0,0,0,0">
              <w:txbxContent>
                <w:p w:rsidR="00000000" w:rsidRDefault="00000000">
                  <w:r>
                    <w:rPr>
                      <w:rFonts w:ascii="Arial" w:hAnsi="Arial"/>
                      <w:snapToGrid w:val="0"/>
                      <w:color w:val="000000"/>
                      <w:sz w:val="14"/>
                      <w:lang w:val="en-US"/>
                    </w:rPr>
                    <w:t>Spec. KG</w:t>
                  </w:r>
                </w:p>
              </w:txbxContent>
            </v:textbox>
          </v:rect>
        </w:pict>
      </w:r>
      <w:r>
        <w:rPr>
          <w:noProof/>
        </w:rPr>
        <w:pict>
          <v:rect id="_x0000_s1135" style="position:absolute;margin-left:243.85pt;margin-top:148.35pt;width:5.3pt;height:4.35pt;z-index:106" o:allowincell="f" filled="f" strokeweight=".6pt">
            <v:stroke color2="black"/>
          </v:rect>
        </w:pict>
      </w:r>
      <w:r>
        <w:rPr>
          <w:noProof/>
        </w:rPr>
        <w:pict>
          <v:rect id="_x0000_s1134" style="position:absolute;margin-left:244.45pt;margin-top:148.8pt;width:4.7pt;height:3.9pt;z-index:105" o:allowincell="f" fillcolor="black" stroked="f">
            <v:fill r:id="rId8" o:title="" color2="#936" type="tile"/>
          </v:rect>
        </w:pict>
      </w:r>
      <w:r>
        <w:rPr>
          <w:noProof/>
        </w:rPr>
        <w:pict>
          <v:rect id="_x0000_s1133" style="position:absolute;margin-left:158.85pt;margin-top:146.4pt;width:49.25pt;height:9.2pt;z-index:104;mso-wrap-style:none" o:allowincell="f" filled="f" stroked="f">
            <v:textbox style="mso-next-textbox:#_x0000_s1133;mso-rotate-with-shape:t" inset="0,0,0,0">
              <w:txbxContent>
                <w:p w:rsidR="00000000" w:rsidRDefault="00000000">
                  <w:r>
                    <w:rPr>
                      <w:rFonts w:ascii="Arial" w:hAnsi="Arial"/>
                      <w:snapToGrid w:val="0"/>
                      <w:color w:val="000000"/>
                      <w:sz w:val="14"/>
                      <w:lang w:val="en-US"/>
                    </w:rPr>
                    <w:t xml:space="preserve"> KG (3-5 years)</w:t>
                  </w:r>
                </w:p>
              </w:txbxContent>
            </v:textbox>
          </v:rect>
        </w:pict>
      </w:r>
      <w:r>
        <w:rPr>
          <w:noProof/>
        </w:rPr>
        <w:pict>
          <v:rect id="_x0000_s1132" style="position:absolute;margin-left:150.65pt;margin-top:148.35pt;width:5.25pt;height:4.35pt;z-index:103" o:allowincell="f" filled="f" strokeweight=".6pt">
            <v:stroke color2="black"/>
          </v:rect>
        </w:pict>
      </w:r>
      <w:r>
        <w:rPr>
          <w:noProof/>
        </w:rPr>
        <w:pict>
          <v:rect id="_x0000_s1131" style="position:absolute;margin-left:151.8pt;margin-top:148.8pt;width:4.1pt;height:3.9pt;z-index:102" o:allowincell="f" fillcolor="black" stroked="f">
            <v:fill r:id="rId9" o:title="" color2="#99f" type="tile"/>
          </v:rect>
        </w:pict>
      </w:r>
      <w:r>
        <w:rPr>
          <w:noProof/>
        </w:rPr>
        <w:pict>
          <v:rect id="_x0000_s1130" style="position:absolute;margin-left:77.4pt;margin-top:146.4pt;width:38.1pt;height:9.2pt;z-index:101;mso-wrap-style:none" o:allowincell="f" filled="f" stroked="f">
            <v:textbox style="mso-next-textbox:#_x0000_s1130;mso-rotate-with-shape:t" inset="0,0,0,0">
              <w:txbxContent>
                <w:p w:rsidR="00000000" w:rsidRDefault="00000000">
                  <w:r>
                    <w:rPr>
                      <w:rFonts w:ascii="Arial" w:hAnsi="Arial"/>
                      <w:snapToGrid w:val="0"/>
                      <w:color w:val="000000"/>
                      <w:sz w:val="14"/>
                      <w:lang w:val="en-US"/>
                    </w:rPr>
                    <w:t>Population</w:t>
                  </w:r>
                </w:p>
              </w:txbxContent>
            </v:textbox>
          </v:rect>
        </w:pict>
      </w:r>
      <w:r>
        <w:rPr>
          <w:noProof/>
        </w:rPr>
        <w:pict>
          <v:rect id="_x0000_s1129" style="position:absolute;margin-left:69.15pt;margin-top:148.35pt;width:4.7pt;height:4.35pt;z-index:100" o:allowincell="f" fillcolor="silver" strokeweight=".6pt"/>
        </w:pict>
      </w:r>
      <w:r>
        <w:rPr>
          <w:noProof/>
        </w:rPr>
        <w:pict>
          <v:rect id="_x0000_s1126" style="position:absolute;margin-left:294.25pt;margin-top:130.9pt;width:34pt;height:9.2pt;z-index:97;mso-wrap-style:none" o:allowincell="f" filled="f" stroked="f">
            <v:textbox style="mso-next-textbox:#_x0000_s1126;mso-rotate-with-shape:t" inset="0,0,0,0">
              <w:txbxContent>
                <w:p w:rsidR="00000000" w:rsidRDefault="00000000">
                  <w:r>
                    <w:rPr>
                      <w:rFonts w:ascii="Arial" w:hAnsi="Arial"/>
                      <w:snapToGrid w:val="0"/>
                      <w:color w:val="000000"/>
                      <w:sz w:val="14"/>
                      <w:lang w:val="en-US"/>
                    </w:rPr>
                    <w:t>1997/98</w:t>
                  </w:r>
                </w:p>
              </w:txbxContent>
            </v:textbox>
          </v:rect>
        </w:pict>
      </w:r>
      <w:r>
        <w:rPr>
          <w:noProof/>
        </w:rPr>
        <w:pict>
          <v:rect id="_x0000_s1125" style="position:absolute;margin-left:235.05pt;margin-top:130.9pt;width:34pt;height:9.2pt;z-index:96;mso-wrap-style:none" o:allowincell="f" filled="f" stroked="f">
            <v:textbox style="mso-next-textbox:#_x0000_s1125;mso-rotate-with-shape:t" inset="0,0,0,0">
              <w:txbxContent>
                <w:p w:rsidR="00000000" w:rsidRDefault="00000000">
                  <w:r>
                    <w:rPr>
                      <w:rFonts w:ascii="Arial" w:hAnsi="Arial"/>
                      <w:snapToGrid w:val="0"/>
                      <w:color w:val="000000"/>
                      <w:sz w:val="14"/>
                      <w:lang w:val="en-US"/>
                    </w:rPr>
                    <w:t>1996/97</w:t>
                  </w:r>
                </w:p>
              </w:txbxContent>
            </v:textbox>
          </v:rect>
        </w:pict>
      </w:r>
      <w:r>
        <w:rPr>
          <w:noProof/>
        </w:rPr>
        <w:pict>
          <v:rect id="_x0000_s1124" style="position:absolute;margin-left:174.7pt;margin-top:130.9pt;width:34pt;height:9.2pt;z-index:95;mso-wrap-style:none" o:allowincell="f" filled="f" stroked="f">
            <v:textbox style="mso-next-textbox:#_x0000_s1124;mso-rotate-with-shape:t" inset="0,0,0,0">
              <w:txbxContent>
                <w:p w:rsidR="00000000" w:rsidRDefault="00000000">
                  <w:r>
                    <w:rPr>
                      <w:rFonts w:ascii="Arial" w:hAnsi="Arial"/>
                      <w:snapToGrid w:val="0"/>
                      <w:color w:val="000000"/>
                      <w:sz w:val="14"/>
                      <w:lang w:val="en-US"/>
                    </w:rPr>
                    <w:t>1995/96</w:t>
                  </w:r>
                </w:p>
              </w:txbxContent>
            </v:textbox>
          </v:rect>
        </w:pict>
      </w:r>
      <w:r>
        <w:rPr>
          <w:noProof/>
        </w:rPr>
        <w:pict>
          <v:rect id="_x0000_s1123" style="position:absolute;margin-left:114.9pt;margin-top:130.9pt;width:34pt;height:9.2pt;z-index:94;mso-wrap-style:none" o:allowincell="f" filled="f" stroked="f">
            <v:textbox style="mso-next-textbox:#_x0000_s1123;mso-rotate-with-shape:t" inset="0,0,0,0">
              <w:txbxContent>
                <w:p w:rsidR="00000000" w:rsidRDefault="00000000">
                  <w:r>
                    <w:rPr>
                      <w:rFonts w:ascii="Arial" w:hAnsi="Arial"/>
                      <w:snapToGrid w:val="0"/>
                      <w:color w:val="000000"/>
                      <w:sz w:val="14"/>
                      <w:lang w:val="en-US"/>
                    </w:rPr>
                    <w:t>1994/95</w:t>
                  </w:r>
                </w:p>
              </w:txbxContent>
            </v:textbox>
          </v:rect>
        </w:pict>
      </w:r>
      <w:r>
        <w:rPr>
          <w:noProof/>
        </w:rPr>
        <w:pict>
          <v:rect id="_x0000_s1122" style="position:absolute;margin-left:55.7pt;margin-top:130.9pt;width:34pt;height:9.2pt;z-index:93;mso-wrap-style:none" o:allowincell="f" filled="f" stroked="f">
            <v:textbox style="mso-next-textbox:#_x0000_s1122;mso-rotate-with-shape:t" inset="0,0,0,0">
              <w:txbxContent>
                <w:p w:rsidR="00000000" w:rsidRDefault="00000000">
                  <w:r>
                    <w:rPr>
                      <w:rFonts w:ascii="Arial" w:hAnsi="Arial"/>
                      <w:snapToGrid w:val="0"/>
                      <w:color w:val="000000"/>
                      <w:sz w:val="14"/>
                      <w:lang w:val="en-US"/>
                    </w:rPr>
                    <w:t>1993/94</w:t>
                  </w:r>
                </w:p>
              </w:txbxContent>
            </v:textbox>
          </v:rect>
        </w:pict>
      </w:r>
      <w:r>
        <w:rPr>
          <w:noProof/>
        </w:rPr>
        <w:pict>
          <v:rect id="_x0000_s1121" style="position:absolute;margin-left:20.5pt;margin-top:4.85pt;width:17.6pt;height:9.2pt;z-index:92;mso-wrap-style:none" o:allowincell="f" filled="f" stroked="f">
            <v:textbox style="mso-next-textbox:#_x0000_s1121;mso-rotate-with-shape:t" inset="0,0,0,0">
              <w:txbxContent>
                <w:p w:rsidR="00000000" w:rsidRDefault="00000000">
                  <w:r>
                    <w:rPr>
                      <w:rFonts w:ascii="Arial" w:hAnsi="Arial"/>
                      <w:snapToGrid w:val="0"/>
                      <w:color w:val="000000"/>
                      <w:sz w:val="14"/>
                      <w:lang w:val="en-US"/>
                    </w:rPr>
                    <w:t>450</w:t>
                  </w:r>
                </w:p>
              </w:txbxContent>
            </v:textbox>
          </v:rect>
        </w:pict>
      </w:r>
      <w:r>
        <w:rPr>
          <w:noProof/>
        </w:rPr>
        <w:pict>
          <v:rect id="_x0000_s1120" style="position:absolute;margin-left:20.5pt;margin-top:17.95pt;width:17.6pt;height:9.2pt;z-index:91;mso-wrap-style:none" o:allowincell="f" filled="f" stroked="f">
            <v:textbox style="mso-next-textbox:#_x0000_s1120;mso-rotate-with-shape:t" inset="0,0,0,0">
              <w:txbxContent>
                <w:p w:rsidR="00000000" w:rsidRDefault="00000000">
                  <w:r>
                    <w:rPr>
                      <w:rFonts w:ascii="Arial" w:hAnsi="Arial"/>
                      <w:snapToGrid w:val="0"/>
                      <w:color w:val="000000"/>
                      <w:sz w:val="14"/>
                      <w:lang w:val="en-US"/>
                    </w:rPr>
                    <w:t>400</w:t>
                  </w:r>
                </w:p>
              </w:txbxContent>
            </v:textbox>
          </v:rect>
        </w:pict>
      </w:r>
      <w:r>
        <w:rPr>
          <w:noProof/>
        </w:rPr>
        <w:pict>
          <v:rect id="_x0000_s1119" style="position:absolute;margin-left:20.5pt;margin-top:31pt;width:17.6pt;height:9.2pt;z-index:90;mso-wrap-style:none" o:allowincell="f" filled="f" stroked="f">
            <v:textbox style="mso-next-textbox:#_x0000_s1119;mso-rotate-with-shape:t" inset="0,0,0,0">
              <w:txbxContent>
                <w:p w:rsidR="00000000" w:rsidRDefault="00000000">
                  <w:r>
                    <w:rPr>
                      <w:rFonts w:ascii="Arial" w:hAnsi="Arial"/>
                      <w:snapToGrid w:val="0"/>
                      <w:color w:val="000000"/>
                      <w:sz w:val="14"/>
                      <w:lang w:val="en-US"/>
                    </w:rPr>
                    <w:t>350</w:t>
                  </w:r>
                </w:p>
              </w:txbxContent>
            </v:textbox>
          </v:rect>
        </w:pict>
      </w:r>
      <w:r>
        <w:rPr>
          <w:noProof/>
        </w:rPr>
        <w:pict>
          <v:rect id="_x0000_s1118" style="position:absolute;margin-left:20.5pt;margin-top:43.65pt;width:17.6pt;height:9.2pt;z-index:89;mso-wrap-style:none" o:allowincell="f" filled="f" stroked="f">
            <v:textbox style="mso-next-textbox:#_x0000_s1118;mso-rotate-with-shape:t" inset="0,0,0,0">
              <w:txbxContent>
                <w:p w:rsidR="00000000" w:rsidRDefault="00000000">
                  <w:r>
                    <w:rPr>
                      <w:rFonts w:ascii="Arial" w:hAnsi="Arial"/>
                      <w:snapToGrid w:val="0"/>
                      <w:color w:val="000000"/>
                      <w:sz w:val="14"/>
                      <w:lang w:val="en-US"/>
                    </w:rPr>
                    <w:t>300</w:t>
                  </w:r>
                </w:p>
              </w:txbxContent>
            </v:textbox>
          </v:rect>
        </w:pict>
      </w:r>
      <w:r>
        <w:rPr>
          <w:noProof/>
        </w:rPr>
        <w:pict>
          <v:rect id="_x0000_s1117" style="position:absolute;margin-left:20.5pt;margin-top:56.25pt;width:17.6pt;height:9.2pt;z-index:88;mso-wrap-style:none" o:allowincell="f" filled="f" stroked="f">
            <v:textbox style="mso-next-textbox:#_x0000_s1117;mso-rotate-with-shape:t" inset="0,0,0,0">
              <w:txbxContent>
                <w:p w:rsidR="00000000" w:rsidRDefault="00000000">
                  <w:r>
                    <w:rPr>
                      <w:rFonts w:ascii="Arial" w:hAnsi="Arial"/>
                      <w:snapToGrid w:val="0"/>
                      <w:color w:val="000000"/>
                      <w:sz w:val="14"/>
                      <w:lang w:val="en-US"/>
                    </w:rPr>
                    <w:t>250</w:t>
                  </w:r>
                </w:p>
              </w:txbxContent>
            </v:textbox>
          </v:rect>
        </w:pict>
      </w:r>
      <w:r>
        <w:rPr>
          <w:noProof/>
        </w:rPr>
        <w:pict>
          <v:rect id="_x0000_s1116" style="position:absolute;margin-left:20.5pt;margin-top:69.3pt;width:17.6pt;height:9.2pt;z-index:87;mso-wrap-style:none" o:allowincell="f" filled="f" stroked="f">
            <v:textbox style="mso-next-textbox:#_x0000_s1116;mso-rotate-with-shape:t" inset="0,0,0,0">
              <w:txbxContent>
                <w:p w:rsidR="00000000" w:rsidRDefault="00000000">
                  <w:r>
                    <w:rPr>
                      <w:rFonts w:ascii="Arial" w:hAnsi="Arial"/>
                      <w:snapToGrid w:val="0"/>
                      <w:color w:val="000000"/>
                      <w:sz w:val="14"/>
                      <w:lang w:val="en-US"/>
                    </w:rPr>
                    <w:t>200</w:t>
                  </w:r>
                </w:p>
              </w:txbxContent>
            </v:textbox>
          </v:rect>
        </w:pict>
      </w:r>
      <w:r>
        <w:rPr>
          <w:noProof/>
        </w:rPr>
        <w:pict>
          <v:rect id="_x0000_s1115" style="position:absolute;margin-left:20.5pt;margin-top:82.4pt;width:17.6pt;height:9.2pt;z-index:86;mso-wrap-style:none" o:allowincell="f" filled="f" stroked="f">
            <v:textbox style="mso-next-textbox:#_x0000_s1115;mso-rotate-with-shape:t" inset="0,0,0,0">
              <w:txbxContent>
                <w:p w:rsidR="00000000" w:rsidRDefault="00000000">
                  <w:r>
                    <w:rPr>
                      <w:rFonts w:ascii="Arial" w:hAnsi="Arial"/>
                      <w:snapToGrid w:val="0"/>
                      <w:color w:val="000000"/>
                      <w:sz w:val="14"/>
                      <w:lang w:val="en-US"/>
                    </w:rPr>
                    <w:t>150</w:t>
                  </w:r>
                </w:p>
              </w:txbxContent>
            </v:textbox>
          </v:rect>
        </w:pict>
      </w:r>
      <w:r>
        <w:rPr>
          <w:noProof/>
        </w:rPr>
        <w:pict>
          <v:rect id="_x0000_s1114" style="position:absolute;margin-left:20.5pt;margin-top:95pt;width:17.6pt;height:9.2pt;z-index:85;mso-wrap-style:none" o:allowincell="f" filled="f" stroked="f">
            <v:textbox style="mso-next-textbox:#_x0000_s1114;mso-rotate-with-shape:t" inset="0,0,0,0">
              <w:txbxContent>
                <w:p w:rsidR="00000000" w:rsidRDefault="00000000">
                  <w:r>
                    <w:rPr>
                      <w:rFonts w:ascii="Arial" w:hAnsi="Arial"/>
                      <w:snapToGrid w:val="0"/>
                      <w:color w:val="000000"/>
                      <w:sz w:val="14"/>
                      <w:lang w:val="en-US"/>
                    </w:rPr>
                    <w:t>100</w:t>
                  </w:r>
                </w:p>
              </w:txbxContent>
            </v:textbox>
          </v:rect>
        </w:pict>
      </w:r>
      <w:r>
        <w:rPr>
          <w:noProof/>
        </w:rPr>
        <w:pict>
          <v:rect id="_x0000_s1113" style="position:absolute;margin-left:24.6pt;margin-top:108.1pt;width:12.9pt;height:9.2pt;z-index:84;mso-wrap-style:none" o:allowincell="f" filled="f" stroked="f">
            <v:textbox style="mso-next-textbox:#_x0000_s1113;mso-rotate-with-shape:t" inset="0,0,0,0">
              <w:txbxContent>
                <w:p w:rsidR="00000000" w:rsidRDefault="00000000">
                  <w:r>
                    <w:rPr>
                      <w:rFonts w:ascii="Arial" w:hAnsi="Arial"/>
                      <w:snapToGrid w:val="0"/>
                      <w:color w:val="000000"/>
                      <w:sz w:val="14"/>
                      <w:lang w:val="en-US"/>
                    </w:rPr>
                    <w:t>50</w:t>
                  </w:r>
                </w:p>
              </w:txbxContent>
            </v:textbox>
          </v:rect>
        </w:pict>
      </w:r>
      <w:r>
        <w:rPr>
          <w:noProof/>
        </w:rPr>
        <w:pict>
          <v:rect id="_x0000_s1112" style="position:absolute;margin-left:29.3pt;margin-top:121.2pt;width:8.2pt;height:9.2pt;z-index:83;mso-wrap-style:none" o:allowincell="f" filled="f" stroked="f">
            <v:textbox style="mso-next-textbox:#_x0000_s1112;mso-rotate-with-shape:t" inset="0,0,0,0">
              <w:txbxContent>
                <w:p w:rsidR="00000000" w:rsidRDefault="00000000">
                  <w:r>
                    <w:rPr>
                      <w:rFonts w:ascii="Arial" w:hAnsi="Arial"/>
                      <w:snapToGrid w:val="0"/>
                      <w:color w:val="000000"/>
                      <w:sz w:val="14"/>
                      <w:lang w:val="en-US"/>
                    </w:rPr>
                    <w:t>0</w:t>
                  </w:r>
                </w:p>
              </w:txbxContent>
            </v:textbox>
          </v:rect>
        </w:pict>
      </w:r>
      <w:r>
        <w:rPr>
          <w:noProof/>
        </w:rPr>
        <w:pict>
          <v:rect id="_x0000_s1111" style="position:absolute;margin-left:301.9pt;margin-top:37.35pt;width:15.25pt;height:9.2pt;z-index:82;mso-wrap-style:none" o:allowincell="f" filled="f" stroked="f">
            <v:textbox style="mso-next-textbox:#_x0000_s1111;mso-rotate-with-shape:t" inset="0,0,0,0">
              <w:txbxContent>
                <w:p w:rsidR="00000000" w:rsidRDefault="00000000">
                  <w:r>
                    <w:rPr>
                      <w:rFonts w:ascii="Arial" w:hAnsi="Arial"/>
                      <w:snapToGrid w:val="0"/>
                      <w:color w:val="000000"/>
                      <w:sz w:val="14"/>
                      <w:lang w:val="en-US"/>
                    </w:rPr>
                    <w:t>6,8</w:t>
                  </w:r>
                </w:p>
              </w:txbxContent>
            </v:textbox>
          </v:rect>
        </w:pict>
      </w:r>
      <w:r>
        <w:rPr>
          <w:noProof/>
        </w:rPr>
        <w:pict>
          <v:rect id="_x0000_s1110" style="position:absolute;margin-left:298.35pt;margin-top:33.95pt;width:15.85pt;height:15pt;z-index:81" o:allowincell="f" strokeweight="0">
            <v:fill color2="black"/>
            <v:stroke color2="black"/>
          </v:rect>
        </w:pict>
      </w:r>
      <w:r>
        <w:rPr>
          <w:noProof/>
        </w:rPr>
        <w:pict>
          <v:rect id="_x0000_s1109" style="position:absolute;margin-left:300.1pt;margin-top:48.5pt;width:16.45pt;height:2.4pt;z-index:80" o:allowincell="f" fillcolor="black" stroked="f">
            <v:fill color2="black"/>
          </v:rect>
        </w:pict>
      </w:r>
      <w:r>
        <w:rPr>
          <w:noProof/>
        </w:rPr>
        <w:pict>
          <v:rect id="_x0000_s1108" style="position:absolute;margin-left:313.6pt;margin-top:35.4pt;width:2.95pt;height:15.5pt;z-index:79" o:allowincell="f" fillcolor="black" stroked="f">
            <v:fill color2="black"/>
          </v:rect>
        </w:pict>
      </w:r>
      <w:r>
        <w:rPr>
          <w:noProof/>
        </w:rPr>
        <w:pict>
          <v:rect id="_x0000_s1107" style="position:absolute;margin-left:241.5pt;margin-top:34.9pt;width:15.25pt;height:9.2pt;z-index:78;mso-wrap-style:none" o:allowincell="f" filled="f" stroked="f">
            <v:textbox style="mso-next-textbox:#_x0000_s1107;mso-rotate-with-shape:t" inset="0,0,0,0">
              <w:txbxContent>
                <w:p w:rsidR="00000000" w:rsidRDefault="00000000">
                  <w:r>
                    <w:rPr>
                      <w:rFonts w:ascii="Arial" w:hAnsi="Arial"/>
                      <w:snapToGrid w:val="0"/>
                      <w:color w:val="000000"/>
                      <w:sz w:val="14"/>
                      <w:lang w:val="en-US"/>
                    </w:rPr>
                    <w:t>7,2</w:t>
                  </w:r>
                </w:p>
              </w:txbxContent>
            </v:textbox>
          </v:rect>
        </w:pict>
      </w:r>
      <w:r>
        <w:rPr>
          <w:noProof/>
        </w:rPr>
        <w:pict>
          <v:rect id="_x0000_s1106" style="position:absolute;margin-left:238.55pt;margin-top:31.5pt;width:15.85pt;height:15.05pt;z-index:77" o:allowincell="f" strokeweight="0">
            <v:fill color2="black"/>
            <v:stroke color2="black"/>
          </v:rect>
        </w:pict>
      </w:r>
      <w:r>
        <w:rPr>
          <w:noProof/>
        </w:rPr>
        <w:pict>
          <v:rect id="_x0000_s1105" style="position:absolute;margin-left:240.35pt;margin-top:46.05pt;width:15.8pt;height:2.45pt;z-index:76" o:allowincell="f" fillcolor="black" stroked="f">
            <v:fill color2="black"/>
          </v:rect>
        </w:pict>
      </w:r>
      <w:r>
        <w:rPr>
          <w:noProof/>
        </w:rPr>
        <w:pict>
          <v:rect id="_x0000_s1104" style="position:absolute;margin-left:253.8pt;margin-top:32.95pt;width:2.35pt;height:15.55pt;z-index:75" o:allowincell="f" fillcolor="black" stroked="f">
            <v:fill color2="black"/>
          </v:rect>
        </w:pict>
      </w:r>
      <w:r>
        <w:rPr>
          <w:noProof/>
        </w:rPr>
        <w:pict>
          <v:rect id="_x0000_s1103" style="position:absolute;margin-left:181.7pt;margin-top:31pt;width:15.25pt;height:9.2pt;z-index:74;mso-wrap-style:none" o:allowincell="f" filled="f" stroked="f">
            <v:textbox style="mso-next-textbox:#_x0000_s1103;mso-rotate-with-shape:t" inset="0,0,0,0">
              <w:txbxContent>
                <w:p w:rsidR="00000000" w:rsidRDefault="00000000">
                  <w:r>
                    <w:rPr>
                      <w:rFonts w:ascii="Arial" w:hAnsi="Arial"/>
                      <w:snapToGrid w:val="0"/>
                      <w:color w:val="000000"/>
                      <w:sz w:val="14"/>
                      <w:lang w:val="en-US"/>
                    </w:rPr>
                    <w:t>7,5</w:t>
                  </w:r>
                </w:p>
              </w:txbxContent>
            </v:textbox>
          </v:rect>
        </w:pict>
      </w:r>
      <w:r>
        <w:rPr>
          <w:noProof/>
        </w:rPr>
        <w:pict>
          <v:rect id="_x0000_s1102" style="position:absolute;margin-left:178.8pt;margin-top:28.1pt;width:15.2pt;height:14.55pt;z-index:73" o:allowincell="f" strokeweight="0">
            <v:fill color2="black"/>
            <v:stroke color2="black"/>
          </v:rect>
        </w:pict>
      </w:r>
      <w:r>
        <w:rPr>
          <w:noProof/>
        </w:rPr>
        <w:pict>
          <v:rect id="_x0000_s1101" style="position:absolute;margin-left:179.95pt;margin-top:42.15pt;width:16.4pt;height:2.45pt;z-index:72" o:allowincell="f" fillcolor="black" stroked="f">
            <v:fill color2="black"/>
          </v:rect>
        </w:pict>
      </w:r>
      <w:r>
        <w:rPr>
          <w:noProof/>
        </w:rPr>
        <w:pict>
          <v:rect id="_x0000_s1100" style="position:absolute;margin-left:193.45pt;margin-top:29.1pt;width:2.9pt;height:15.5pt;z-index:71" o:allowincell="f" fillcolor="black" stroked="f">
            <v:fill color2="black"/>
          </v:rect>
        </w:pict>
      </w:r>
      <w:r>
        <w:rPr>
          <w:noProof/>
        </w:rPr>
        <w:pict>
          <v:rect id="_x0000_s1099" style="position:absolute;margin-left:123.7pt;margin-top:31pt;width:15.25pt;height:9.2pt;z-index:70;mso-wrap-style:none" o:allowincell="f" filled="f" stroked="f">
            <v:textbox style="mso-next-textbox:#_x0000_s1099;mso-rotate-with-shape:t" inset="0,0,0,0">
              <w:txbxContent>
                <w:p w:rsidR="00000000" w:rsidRDefault="00000000">
                  <w:r>
                    <w:rPr>
                      <w:rFonts w:ascii="Arial" w:hAnsi="Arial"/>
                      <w:snapToGrid w:val="0"/>
                      <w:color w:val="000000"/>
                      <w:sz w:val="14"/>
                      <w:lang w:val="en-US"/>
                    </w:rPr>
                    <w:t>7,4</w:t>
                  </w:r>
                </w:p>
              </w:txbxContent>
            </v:textbox>
          </v:rect>
        </w:pict>
      </w:r>
      <w:r>
        <w:rPr>
          <w:noProof/>
        </w:rPr>
        <w:pict>
          <v:rect id="_x0000_s1098" style="position:absolute;margin-left:120.75pt;margin-top:28.1pt;width:15.85pt;height:14.55pt;z-index:69" o:allowincell="f" strokeweight="0">
            <v:fill color2="black"/>
            <v:stroke color2="black"/>
          </v:rect>
        </w:pict>
      </w:r>
      <w:r>
        <w:rPr>
          <w:noProof/>
        </w:rPr>
        <w:pict>
          <v:rect id="_x0000_s1097" style="position:absolute;margin-left:122.5pt;margin-top:42.15pt;width:16.4pt;height:2.45pt;z-index:68" o:allowincell="f" fillcolor="black" stroked="f">
            <v:fill color2="black"/>
          </v:rect>
        </w:pict>
      </w:r>
      <w:r>
        <w:rPr>
          <w:noProof/>
        </w:rPr>
        <w:pict>
          <v:rect id="_x0000_s1096" style="position:absolute;margin-left:136pt;margin-top:29.1pt;width:2.9pt;height:15.5pt;z-index:67" o:allowincell="f" fillcolor="black" stroked="f">
            <v:fill color2="black"/>
          </v:rect>
        </w:pict>
      </w:r>
      <w:r>
        <w:rPr>
          <w:noProof/>
        </w:rPr>
        <w:pict>
          <v:rect id="_x0000_s1095" style="position:absolute;margin-left:63.9pt;margin-top:32.95pt;width:15.25pt;height:9.2pt;z-index:66;mso-wrap-style:none" o:allowincell="f" filled="f" stroked="f">
            <v:textbox style="mso-next-textbox:#_x0000_s1095;mso-rotate-with-shape:t" inset="0,0,0,0">
              <w:txbxContent>
                <w:p w:rsidR="00000000" w:rsidRDefault="00000000">
                  <w:r>
                    <w:rPr>
                      <w:rFonts w:ascii="Arial" w:hAnsi="Arial"/>
                      <w:snapToGrid w:val="0"/>
                      <w:color w:val="000000"/>
                      <w:sz w:val="14"/>
                      <w:lang w:val="en-US"/>
                    </w:rPr>
                    <w:t>7,0</w:t>
                  </w:r>
                </w:p>
              </w:txbxContent>
            </v:textbox>
          </v:rect>
        </w:pict>
      </w:r>
      <w:r>
        <w:rPr>
          <w:noProof/>
        </w:rPr>
        <w:pict>
          <v:rect id="_x0000_s1094" style="position:absolute;margin-left:60.95pt;margin-top:29.55pt;width:15.25pt;height:15.05pt;z-index:65" o:allowincell="f" strokeweight="0">
            <v:fill color2="black"/>
            <v:stroke color2="black"/>
          </v:rect>
        </w:pict>
      </w:r>
      <w:r>
        <w:rPr>
          <w:noProof/>
        </w:rPr>
        <w:pict>
          <v:rect id="_x0000_s1093" style="position:absolute;margin-left:62.15pt;margin-top:44.1pt;width:16.4pt;height:2.45pt;z-index:64" o:allowincell="f" fillcolor="black" stroked="f">
            <v:fill color2="black"/>
          </v:rect>
        </w:pict>
      </w:r>
      <w:r>
        <w:rPr>
          <w:noProof/>
        </w:rPr>
        <w:pict>
          <v:rect id="_x0000_s1092" style="position:absolute;margin-left:75.6pt;margin-top:31pt;width:2.95pt;height:15.55pt;z-index:63" o:allowincell="f" fillcolor="black" stroked="f">
            <v:fill color2="black"/>
          </v:rect>
        </w:pict>
      </w:r>
      <w:r>
        <w:rPr>
          <w:noProof/>
        </w:rPr>
        <w:pict>
          <v:rect id="_x0000_s1091" style="position:absolute;margin-left:297.2pt;margin-top:84.85pt;width:24.6pt;height:9.2pt;z-index:62;mso-wrap-style:none" o:allowincell="f" filled="f" stroked="f">
            <v:textbox style="mso-next-textbox:#_x0000_s1091;mso-rotate-with-shape:t" inset="0,0,0,0">
              <w:txbxContent>
                <w:p w:rsidR="00000000" w:rsidRDefault="00000000">
                  <w:r>
                    <w:rPr>
                      <w:rFonts w:ascii="Arial" w:hAnsi="Arial"/>
                      <w:snapToGrid w:val="0"/>
                      <w:color w:val="000000"/>
                      <w:sz w:val="14"/>
                      <w:lang w:val="en-US"/>
                    </w:rPr>
                    <w:t>272,1</w:t>
                  </w:r>
                </w:p>
              </w:txbxContent>
            </v:textbox>
          </v:rect>
        </w:pict>
      </w:r>
      <w:r>
        <w:rPr>
          <w:noProof/>
        </w:rPr>
        <w:pict>
          <v:rect id="_x0000_s1090" style="position:absolute;margin-left:294.25pt;margin-top:81.95pt;width:24.65pt;height:14.5pt;z-index:61" o:allowincell="f" strokeweight="0">
            <v:fill color2="black"/>
            <v:stroke color2="black"/>
          </v:rect>
        </w:pict>
      </w:r>
      <w:r>
        <w:rPr>
          <w:noProof/>
        </w:rPr>
        <w:pict>
          <v:rect id="_x0000_s1089" style="position:absolute;margin-left:295.45pt;margin-top:96pt;width:25.8pt;height:2.4pt;z-index:60" o:allowincell="f" fillcolor="black" stroked="f">
            <v:fill color2="black"/>
          </v:rect>
        </w:pict>
      </w:r>
      <w:r>
        <w:rPr>
          <w:noProof/>
        </w:rPr>
        <w:pict>
          <v:rect id="_x0000_s1088" style="position:absolute;margin-left:318.3pt;margin-top:83.4pt;width:2.95pt;height:15pt;z-index:59" o:allowincell="f" fillcolor="black" stroked="f">
            <v:fill color2="black"/>
          </v:rect>
        </w:pict>
      </w:r>
      <w:r>
        <w:rPr>
          <w:noProof/>
        </w:rPr>
        <w:pict>
          <v:rect id="_x0000_s1087" style="position:absolute;margin-left:236.8pt;margin-top:83.85pt;width:24.6pt;height:9.2pt;z-index:58;mso-wrap-style:none" o:allowincell="f" filled="f" stroked="f">
            <v:textbox style="mso-next-textbox:#_x0000_s1087;mso-rotate-with-shape:t" inset="0,0,0,0">
              <w:txbxContent>
                <w:p w:rsidR="00000000" w:rsidRDefault="00000000">
                  <w:r>
                    <w:rPr>
                      <w:rFonts w:ascii="Arial" w:hAnsi="Arial"/>
                      <w:snapToGrid w:val="0"/>
                      <w:color w:val="000000"/>
                      <w:sz w:val="14"/>
                      <w:lang w:val="en-US"/>
                    </w:rPr>
                    <w:t>280,8</w:t>
                  </w:r>
                </w:p>
              </w:txbxContent>
            </v:textbox>
          </v:rect>
        </w:pict>
      </w:r>
      <w:r>
        <w:rPr>
          <w:noProof/>
        </w:rPr>
        <w:pict>
          <v:rect id="_x0000_s1086" style="position:absolute;margin-left:233.9pt;margin-top:80.45pt;width:24.6pt;height:15.05pt;z-index:57" o:allowincell="f" strokeweight="0">
            <v:fill color2="black"/>
            <v:stroke color2="black"/>
          </v:rect>
        </w:pict>
      </w:r>
      <w:r>
        <w:rPr>
          <w:noProof/>
        </w:rPr>
        <w:pict>
          <v:rect id="_x0000_s1085" style="position:absolute;margin-left:235.65pt;margin-top:95pt;width:25.2pt;height:2.45pt;z-index:56" o:allowincell="f" fillcolor="black" stroked="f">
            <v:fill color2="black"/>
          </v:rect>
        </w:pict>
      </w:r>
      <w:r>
        <w:rPr>
          <w:noProof/>
        </w:rPr>
        <w:pict>
          <v:rect id="_x0000_s1084" style="position:absolute;margin-left:257.9pt;margin-top:81.95pt;width:2.95pt;height:15.5pt;z-index:55" o:allowincell="f" fillcolor="black" stroked="f">
            <v:fill color2="black"/>
          </v:rect>
        </w:pict>
      </w:r>
      <w:r>
        <w:rPr>
          <w:noProof/>
        </w:rPr>
        <w:pict>
          <v:rect id="_x0000_s1083" style="position:absolute;margin-left:177.6pt;margin-top:82.4pt;width:24.6pt;height:9.2pt;z-index:54;mso-wrap-style:none" o:allowincell="f" filled="f" stroked="f">
            <v:textbox style="mso-next-textbox:#_x0000_s1083;mso-rotate-with-shape:t" inset="0,0,0,0">
              <w:txbxContent>
                <w:p w:rsidR="00000000" w:rsidRDefault="00000000">
                  <w:r>
                    <w:rPr>
                      <w:rFonts w:ascii="Arial" w:hAnsi="Arial"/>
                      <w:snapToGrid w:val="0"/>
                      <w:color w:val="000000"/>
                      <w:sz w:val="14"/>
                      <w:lang w:val="en-US"/>
                    </w:rPr>
                    <w:t>292,0</w:t>
                  </w:r>
                </w:p>
              </w:txbxContent>
            </v:textbox>
          </v:rect>
        </w:pict>
      </w:r>
      <w:r>
        <w:rPr>
          <w:noProof/>
        </w:rPr>
        <w:pict>
          <v:rect id="_x0000_s1082" style="position:absolute;margin-left:174.7pt;margin-top:79.5pt;width:24.6pt;height:14.55pt;z-index:53" o:allowincell="f" strokeweight="0">
            <v:fill color2="black"/>
            <v:stroke color2="black"/>
          </v:rect>
        </w:pict>
      </w:r>
      <w:r>
        <w:rPr>
          <w:noProof/>
        </w:rPr>
        <w:pict>
          <v:rect id="_x0000_s1081" style="position:absolute;margin-left:176.45pt;margin-top:93.55pt;width:25.2pt;height:2.45pt;z-index:52" o:allowincell="f" fillcolor="black" stroked="f">
            <v:fill color2="black"/>
          </v:rect>
        </w:pict>
      </w:r>
      <w:r>
        <w:rPr>
          <w:noProof/>
        </w:rPr>
        <w:pict>
          <v:rect id="_x0000_s1080" style="position:absolute;margin-left:198.7pt;margin-top:80.45pt;width:2.95pt;height:15.55pt;z-index:51" o:allowincell="f" fillcolor="black" stroked="f">
            <v:fill color2="black"/>
          </v:rect>
        </w:pict>
      </w:r>
      <w:r>
        <w:rPr>
          <w:noProof/>
        </w:rPr>
        <w:pict>
          <v:rect id="_x0000_s1079" style="position:absolute;margin-left:118.4pt;margin-top:82.4pt;width:24.6pt;height:9.2pt;z-index:50;mso-wrap-style:none" o:allowincell="f" filled="f" stroked="f">
            <v:textbox style="mso-next-textbox:#_x0000_s1079;mso-rotate-with-shape:t" inset="0,0,0,0">
              <w:txbxContent>
                <w:p w:rsidR="00000000" w:rsidRDefault="00000000">
                  <w:r>
                    <w:rPr>
                      <w:rFonts w:ascii="Arial" w:hAnsi="Arial"/>
                      <w:snapToGrid w:val="0"/>
                      <w:color w:val="000000"/>
                      <w:sz w:val="14"/>
                      <w:lang w:val="en-US"/>
                    </w:rPr>
                    <w:t>292,6</w:t>
                  </w:r>
                </w:p>
              </w:txbxContent>
            </v:textbox>
          </v:rect>
        </w:pict>
      </w:r>
      <w:r>
        <w:rPr>
          <w:noProof/>
        </w:rPr>
        <w:pict>
          <v:rect id="_x0000_s1078" style="position:absolute;margin-left:115.5pt;margin-top:79.5pt;width:24.6pt;height:14.55pt;z-index:49" o:allowincell="f" strokeweight="0">
            <v:fill color2="black"/>
            <v:stroke color2="black"/>
          </v:rect>
        </w:pict>
      </w:r>
      <w:r>
        <w:rPr>
          <w:noProof/>
        </w:rPr>
        <w:pict>
          <v:rect id="_x0000_s1077" style="position:absolute;margin-left:117.25pt;margin-top:93.55pt;width:25.2pt;height:2.45pt;z-index:48" o:allowincell="f" fillcolor="black" stroked="f">
            <v:fill color2="black"/>
          </v:rect>
        </w:pict>
      </w:r>
      <w:r>
        <w:rPr>
          <w:noProof/>
        </w:rPr>
        <w:pict>
          <v:rect id="_x0000_s1076" style="position:absolute;margin-left:139.5pt;margin-top:80.45pt;width:2.95pt;height:15.55pt;z-index:47" o:allowincell="f" fillcolor="black" stroked="f">
            <v:fill color2="black"/>
          </v:rect>
        </w:pict>
      </w:r>
      <w:r>
        <w:rPr>
          <w:noProof/>
        </w:rPr>
        <w:pict>
          <v:rect id="_x0000_s1075" style="position:absolute;margin-left:58.6pt;margin-top:83.4pt;width:24.6pt;height:9.2pt;z-index:46;mso-wrap-style:none" o:allowincell="f" filled="f" stroked="f">
            <v:textbox style="mso-next-textbox:#_x0000_s1075;mso-rotate-with-shape:t" inset="0,0,0,0">
              <w:txbxContent>
                <w:p w:rsidR="00000000" w:rsidRDefault="00000000">
                  <w:r>
                    <w:rPr>
                      <w:rFonts w:ascii="Arial" w:hAnsi="Arial"/>
                      <w:snapToGrid w:val="0"/>
                      <w:color w:val="000000"/>
                      <w:sz w:val="14"/>
                      <w:lang w:val="en-US"/>
                    </w:rPr>
                    <w:t>285,3</w:t>
                  </w:r>
                </w:p>
              </w:txbxContent>
            </v:textbox>
          </v:rect>
        </w:pict>
      </w:r>
      <w:r>
        <w:rPr>
          <w:noProof/>
        </w:rPr>
        <w:pict>
          <v:rect id="_x0000_s1074" style="position:absolute;margin-left:55.7pt;margin-top:80pt;width:24.6pt;height:15pt;z-index:45" o:allowincell="f" strokeweight="0">
            <v:fill color2="black"/>
            <v:stroke color2="black"/>
          </v:rect>
        </w:pict>
      </w:r>
      <w:r>
        <w:rPr>
          <w:noProof/>
        </w:rPr>
        <w:pict>
          <v:rect id="_x0000_s1073" style="position:absolute;margin-left:56.85pt;margin-top:94.55pt;width:25.8pt;height:1.9pt;z-index:44" o:allowincell="f" fillcolor="black" stroked="f">
            <v:fill color2="black"/>
          </v:rect>
        </w:pict>
      </w:r>
      <w:r>
        <w:rPr>
          <w:noProof/>
        </w:rPr>
        <w:pict>
          <v:rect id="_x0000_s1072" style="position:absolute;margin-left:79.7pt;margin-top:81.45pt;width:2.95pt;height:15pt;z-index:43" o:allowincell="f" fillcolor="black" stroked="f">
            <v:fill color2="black"/>
          </v:rect>
        </w:pict>
      </w:r>
      <w:r>
        <w:rPr>
          <w:noProof/>
        </w:rPr>
        <w:pict>
          <v:line id="_x0000_s1071" style="position:absolute;flip:y;z-index:42" from="338.2pt,123.6pt" to="338.25pt,127pt" o:allowincell="f" strokeweight="0"/>
        </w:pict>
      </w:r>
      <w:r>
        <w:rPr>
          <w:noProof/>
        </w:rPr>
        <w:pict>
          <v:line id="_x0000_s1070" style="position:absolute;flip:y;z-index:41" from="278.45pt,123.6pt" to="278.5pt,127pt" o:allowincell="f" strokeweight="0"/>
        </w:pict>
      </w:r>
      <w:r>
        <w:rPr>
          <w:noProof/>
        </w:rPr>
        <w:pict>
          <v:line id="_x0000_s1069" style="position:absolute;flip:y;z-index:40" from="219.25pt,123.6pt" to="219.3pt,127pt" o:allowincell="f" strokeweight="0"/>
        </w:pict>
      </w:r>
      <w:r>
        <w:rPr>
          <w:noProof/>
        </w:rPr>
        <w:pict>
          <v:line id="_x0000_s1068" style="position:absolute;flip:y;z-index:39" from="158.85pt,123.6pt" to="158.9pt,127pt" o:allowincell="f" strokeweight="0"/>
        </w:pict>
      </w:r>
      <w:r>
        <w:rPr>
          <w:noProof/>
        </w:rPr>
        <w:pict>
          <v:line id="_x0000_s1067" style="position:absolute;flip:y;z-index:38" from="99.65pt,123.6pt" to="99.7pt,127pt" o:allowincell="f" strokeweight="0"/>
        </w:pict>
      </w:r>
      <w:r>
        <w:rPr>
          <w:noProof/>
        </w:rPr>
        <w:pict>
          <v:line id="_x0000_s1066" style="position:absolute;flip:y;z-index:37" from="39.85pt,123.6pt" to="39.9pt,127pt" o:allowincell="f" strokeweight="0"/>
        </w:pict>
      </w:r>
      <w:r>
        <w:rPr>
          <w:noProof/>
        </w:rPr>
        <w:pict>
          <v:line id="_x0000_s1065" style="position:absolute;z-index:36" from="39.85pt,125.55pt" to="338.2pt,125.6pt" o:allowincell="f" strokeweight="0"/>
        </w:pict>
      </w:r>
      <w:r>
        <w:rPr>
          <w:noProof/>
        </w:rPr>
        <w:pict>
          <v:line id="_x0000_s1064" style="position:absolute;z-index:35" from="37.5pt,9.2pt" to="42.2pt,9.25pt" o:allowincell="f" strokeweight="0"/>
        </w:pict>
      </w:r>
      <w:r>
        <w:rPr>
          <w:noProof/>
        </w:rPr>
        <w:pict>
          <v:line id="_x0000_s1063" style="position:absolute;z-index:34" from="37.5pt,22.3pt" to="42.2pt,22.35pt" o:allowincell="f" strokeweight="0"/>
        </w:pict>
      </w:r>
      <w:r>
        <w:rPr>
          <w:noProof/>
        </w:rPr>
        <w:pict>
          <v:line id="_x0000_s1062" style="position:absolute;z-index:33" from="37.5pt,35.4pt" to="42.2pt,35.45pt" o:allowincell="f" strokeweight="0"/>
        </w:pict>
      </w:r>
      <w:r>
        <w:rPr>
          <w:noProof/>
        </w:rPr>
        <w:pict>
          <v:line id="_x0000_s1061" style="position:absolute;z-index:32" from="37.5pt,48pt" to="42.2pt,48.05pt" o:allowincell="f" strokeweight="0"/>
        </w:pict>
      </w:r>
      <w:r>
        <w:rPr>
          <w:noProof/>
        </w:rPr>
        <w:pict>
          <v:line id="_x0000_s1060" style="position:absolute;z-index:31" from="37.5pt,60.6pt" to="42.2pt,60.65pt" o:allowincell="f" strokeweight="0"/>
        </w:pict>
      </w:r>
      <w:r>
        <w:rPr>
          <w:noProof/>
        </w:rPr>
        <w:pict>
          <v:line id="_x0000_s1059" style="position:absolute;z-index:30" from="37.5pt,73.7pt" to="42.2pt,73.75pt" o:allowincell="f" strokeweight="0"/>
        </w:pict>
      </w:r>
      <w:r>
        <w:rPr>
          <w:noProof/>
        </w:rPr>
        <w:pict>
          <v:line id="_x0000_s1058" style="position:absolute;z-index:29" from="37.5pt,86.75pt" to="42.2pt,86.8pt" o:allowincell="f" strokeweight="0"/>
        </w:pict>
      </w:r>
      <w:r>
        <w:rPr>
          <w:noProof/>
        </w:rPr>
        <w:pict>
          <v:line id="_x0000_s1057" style="position:absolute;z-index:28" from="37.5pt,99.4pt" to="42.2pt,99.45pt" o:allowincell="f" strokeweight="0"/>
        </w:pict>
      </w:r>
      <w:r>
        <w:rPr>
          <w:noProof/>
        </w:rPr>
        <w:pict>
          <v:line id="_x0000_s1056" style="position:absolute;z-index:27" from="37.5pt,112.45pt" to="42.2pt,112.5pt" o:allowincell="f" strokeweight="0"/>
        </w:pict>
      </w:r>
      <w:r>
        <w:rPr>
          <w:noProof/>
        </w:rPr>
        <w:pict>
          <v:line id="_x0000_s1055" style="position:absolute;z-index:26" from="37.5pt,125.55pt" to="42.2pt,125.6pt" o:allowincell="f" strokeweight="0"/>
        </w:pict>
      </w:r>
      <w:r>
        <w:rPr>
          <w:noProof/>
        </w:rPr>
        <w:pict>
          <v:line id="_x0000_s1054" style="position:absolute;z-index:25" from="39.85pt,9.2pt" to="39.9pt,125.55pt" o:allowincell="f" strokeweight="0"/>
        </w:pict>
      </w:r>
      <w:r>
        <w:rPr>
          <w:noProof/>
        </w:rPr>
        <w:pict>
          <v:rect id="_x0000_s1053" style="position:absolute;margin-left:295.45pt;margin-top:53.3pt;width:25.2pt;height:1.95pt;z-index:24" o:allowincell="f" filled="f" strokeweight=".6pt"/>
        </w:pict>
      </w:r>
      <w:r>
        <w:rPr>
          <w:noProof/>
        </w:rPr>
        <w:pict>
          <v:rect id="_x0000_s1052" style="position:absolute;margin-left:295.45pt;margin-top:53.3pt;width:25.2pt;height:1.95pt;z-index:23" o:allowincell="f" fillcolor="black" stroked="f">
            <v:fill r:id="rId8" o:title="" color2="#936" type="tile"/>
          </v:rect>
        </w:pict>
      </w:r>
      <w:r>
        <w:rPr>
          <w:noProof/>
        </w:rPr>
        <w:pict>
          <v:rect id="_x0000_s1051" style="position:absolute;margin-left:236.25pt;margin-top:50.9pt;width:24pt;height:1.95pt;z-index:22" o:allowincell="f" filled="f" strokeweight=".6pt"/>
        </w:pict>
      </w:r>
      <w:r>
        <w:rPr>
          <w:noProof/>
        </w:rPr>
        <w:pict>
          <v:rect id="_x0000_s1050" style="position:absolute;margin-left:236.25pt;margin-top:50.9pt;width:24pt;height:1.95pt;z-index:21" o:allowincell="f" fillcolor="black" stroked="f">
            <v:fill r:id="rId10" o:title="" color2="#936" type="tile"/>
          </v:rect>
        </w:pict>
      </w:r>
      <w:r>
        <w:rPr>
          <w:noProof/>
        </w:rPr>
        <w:pict>
          <v:rect id="_x0000_s1049" style="position:absolute;margin-left:176.45pt;margin-top:48.5pt;width:24.6pt;height:1.9pt;z-index:20" o:allowincell="f" filled="f" strokeweight=".6pt"/>
        </w:pict>
      </w:r>
      <w:r>
        <w:rPr>
          <w:noProof/>
        </w:rPr>
        <w:pict>
          <v:rect id="_x0000_s1048" style="position:absolute;margin-left:176.45pt;margin-top:48.5pt;width:24.6pt;height:1.9pt;z-index:19" o:allowincell="f" fillcolor="black" stroked="f">
            <v:fill r:id="rId10" o:title="" color2="#936" type="tile"/>
          </v:rect>
        </w:pict>
      </w:r>
      <w:r>
        <w:rPr>
          <w:noProof/>
        </w:rPr>
        <w:pict>
          <v:rect id="_x0000_s1047" style="position:absolute;margin-left:117.25pt;margin-top:48pt;width:24pt;height:1.45pt;z-index:18" o:allowincell="f" filled="f" strokeweight=".6pt"/>
        </w:pict>
      </w:r>
      <w:r>
        <w:rPr>
          <w:noProof/>
        </w:rPr>
        <w:pict>
          <v:rect id="_x0000_s1046" style="position:absolute;margin-left:117.25pt;margin-top:48pt;width:24pt;height:1.45pt;z-index:17" o:allowincell="f" fillcolor="black" stroked="f">
            <v:fill r:id="rId11" o:title="" color2="#936" type="tile"/>
          </v:rect>
        </w:pict>
      </w:r>
      <w:r>
        <w:rPr>
          <w:noProof/>
        </w:rPr>
        <w:pict>
          <v:rect id="_x0000_s1045" style="position:absolute;margin-left:56.85pt;margin-top:50.4pt;width:25.2pt;height:1pt;z-index:16" o:allowincell="f" filled="f" strokeweight=".6pt"/>
        </w:pict>
      </w:r>
      <w:r>
        <w:rPr>
          <w:noProof/>
        </w:rPr>
        <w:pict>
          <v:rect id="_x0000_s1044" style="position:absolute;margin-left:56.85pt;margin-top:50.4pt;width:25.2pt;height:1pt;z-index:15" o:allowincell="f" fillcolor="black" stroked="f">
            <v:fill r:id="rId11" o:title="" color2="#936" type="tile"/>
          </v:rect>
        </w:pict>
      </w:r>
      <w:r>
        <w:rPr>
          <w:noProof/>
        </w:rPr>
        <w:pict>
          <v:rect id="_x0000_s1043" style="position:absolute;margin-left:295.45pt;margin-top:55.25pt;width:25.2pt;height:70.3pt;z-index:14" o:allowincell="f" filled="f" strokeweight=".6pt"/>
        </w:pict>
      </w:r>
      <w:r>
        <w:rPr>
          <w:noProof/>
        </w:rPr>
        <w:pict>
          <v:rect id="_x0000_s1042" style="position:absolute;margin-left:295.45pt;margin-top:55.25pt;width:25.2pt;height:70.3pt;z-index:13" o:allowincell="f" fillcolor="black" stroked="f">
            <v:fill r:id="rId9" o:title="" color2="#99f" type="tile"/>
          </v:rect>
        </w:pict>
      </w:r>
      <w:r>
        <w:rPr>
          <w:noProof/>
        </w:rPr>
        <w:pict>
          <v:rect id="_x0000_s1041" style="position:absolute;margin-left:236.25pt;margin-top:52.85pt;width:24pt;height:72.7pt;z-index:12" o:allowincell="f" filled="f" strokeweight=".6pt"/>
        </w:pict>
      </w:r>
      <w:r>
        <w:rPr>
          <w:noProof/>
        </w:rPr>
        <w:pict>
          <v:rect id="_x0000_s1040" style="position:absolute;margin-left:236.25pt;margin-top:52.85pt;width:24pt;height:72.7pt;z-index:11" o:allowincell="f" fillcolor="black" stroked="f">
            <v:fill r:id="rId12" o:title="" color2="#99f" type="tile"/>
          </v:rect>
        </w:pict>
      </w:r>
      <w:r>
        <w:rPr>
          <w:noProof/>
        </w:rPr>
        <w:pict>
          <v:rect id="_x0000_s1039" style="position:absolute;margin-left:176.45pt;margin-top:50.4pt;width:24.6pt;height:75.15pt;z-index:10" o:allowincell="f" filled="f" strokeweight=".6pt"/>
        </w:pict>
      </w:r>
      <w:r>
        <w:rPr>
          <w:noProof/>
        </w:rPr>
        <w:pict>
          <v:rect id="_x0000_s1037" style="position:absolute;margin-left:117.25pt;margin-top:49.45pt;width:24pt;height:76.1pt;z-index:8" o:allowincell="f" filled="f" strokeweight=".6pt"/>
        </w:pict>
      </w:r>
      <w:r>
        <w:rPr>
          <w:noProof/>
        </w:rPr>
        <w:pict>
          <v:rect id="_x0000_s1036" style="position:absolute;margin-left:117.25pt;margin-top:49.45pt;width:24pt;height:76.1pt;z-index:7" o:allowincell="f" fillcolor="black" stroked="f">
            <v:fill r:id="rId9" o:title="" color2="#99f" type="tile"/>
          </v:rect>
        </w:pict>
      </w:r>
      <w:r>
        <w:rPr>
          <w:noProof/>
        </w:rPr>
        <w:pict>
          <v:rect id="_x0000_s1035" style="position:absolute;margin-left:56.85pt;margin-top:51.4pt;width:25.2pt;height:74.15pt;z-index:6" o:allowincell="f" filled="f" strokeweight=".6pt"/>
        </w:pict>
      </w:r>
      <w:r>
        <w:rPr>
          <w:noProof/>
        </w:rPr>
        <w:pict>
          <v:rect id="_x0000_s1034" style="position:absolute;margin-left:56.85pt;margin-top:51.4pt;width:25.2pt;height:74.15pt;z-index:5" o:allowincell="f" fillcolor="black" stroked="f">
            <v:fill r:id="rId9" o:title="" color2="#99f" type="tile"/>
          </v:rect>
        </w:pict>
      </w:r>
      <w:r>
        <w:rPr>
          <w:noProof/>
        </w:rPr>
        <w:pict>
          <v:polyline id="_x0000_s1033" style="position:absolute;z-index:4;mso-position-horizontal-relative:text;mso-position-vertical-relative:text" points="69.75pt,125.55pt,69.75pt,26.65pt,128.95pt,26.65pt,189.35pt,28.1pt,249.15pt,30.55pt,308.35pt,35.85pt,308.35pt,125.55pt,249.15pt,125.55pt,189.35pt,125.55pt,128.95pt,125.55pt,69.75pt,125.55pt" coordsize="4772,1978" o:allowincell="f" filled="f" strokeweight=".6pt">
            <v:path arrowok="t"/>
          </v:polyline>
        </w:pict>
      </w:r>
      <w:r>
        <w:rPr>
          <w:noProof/>
        </w:rPr>
        <w:pict>
          <v:shape id="_x0000_s1032" style="position:absolute;margin-left:69.75pt;margin-top:26.65pt;width:238.6pt;height:98.9pt;z-index:3;mso-position-horizontal-relative:text;mso-position-vertical-relative:text" coordsize="4772,1978" o:allowincell="f" path="m,1978l,,1184,,2392,29,3588,78,4772,184r,1794l3588,1978r-1196,l1184,1978,,1978xe" fillcolor="silver" stroked="f">
            <v:path arrowok="t"/>
          </v:shape>
        </w:pict>
      </w:r>
    </w:p>
    <w:p w:rsidR="00000000" w:rsidRDefault="00000000">
      <w:pPr>
        <w:ind w:right="-1"/>
      </w:pPr>
    </w:p>
    <w:p w:rsidR="00000000" w:rsidRDefault="00000000">
      <w:pPr>
        <w:ind w:right="-1"/>
      </w:pPr>
    </w:p>
    <w:p w:rsidR="00000000" w:rsidRDefault="00000000">
      <w:pPr>
        <w:ind w:right="-1"/>
      </w:pPr>
      <w:r>
        <w:rPr>
          <w:noProof/>
        </w:rPr>
        <w:pict>
          <v:rect id="_x0000_s1127" style="position:absolute;margin-left:-62.3pt;margin-top:-39.25pt;width:35.15pt;height:119.4pt;rotation:270;z-index:98;mso-wrap-style:none" o:allowincell="f" filled="f" stroked="f">
            <v:textbox style="mso-next-textbox:#_x0000_s1127;mso-rotate-with-shape:t" inset="0,0,0,0">
              <w:txbxContent>
                <w:p w:rsidR="00000000" w:rsidRDefault="00000000"/>
              </w:txbxContent>
            </v:textbox>
          </v:rect>
        </w:pict>
      </w:r>
    </w:p>
    <w:p w:rsidR="00000000" w:rsidRDefault="00000000">
      <w:pPr>
        <w:ind w:right="-1"/>
      </w:pPr>
      <w:r>
        <w:rPr>
          <w:noProof/>
        </w:rPr>
        <w:pict>
          <v:rect id="_x0000_s1038" style="position:absolute;margin-left:176.45pt;margin-top:2.7pt;width:24.6pt;height:75.15pt;z-index:9" fillcolor="black" stroked="f">
            <v:fill r:id="rId12" o:title="" color2="#99f" type="tile"/>
          </v:rect>
        </w:pict>
      </w:r>
    </w:p>
    <w:p w:rsidR="00000000" w:rsidRDefault="00000000">
      <w:pPr>
        <w:ind w:right="-1"/>
      </w:pPr>
    </w:p>
    <w:p w:rsidR="00000000" w:rsidRDefault="00000000">
      <w:pPr>
        <w:ind w:right="-1"/>
      </w:pPr>
    </w:p>
    <w:p w:rsidR="00000000" w:rsidRDefault="00000000">
      <w:pPr>
        <w:ind w:right="-1"/>
      </w:pPr>
    </w:p>
    <w:p w:rsidR="00000000" w:rsidRDefault="00000000">
      <w:pPr>
        <w:ind w:right="-1"/>
      </w:pPr>
      <w:r>
        <w:rPr>
          <w:noProof/>
        </w:rPr>
        <w:pict>
          <v:rect id="_x0000_s1128" style="position:absolute;margin-left:65.45pt;margin-top:9.25pt;width:258.5pt;height:13.6pt;z-index:99" strokeweight="0">
            <v:fill color2="black"/>
            <v:stroke color2="black"/>
          </v:rect>
        </w:pict>
      </w:r>
      <w:r>
        <w:tab/>
      </w:r>
    </w:p>
    <w:p w:rsidR="00000000" w:rsidRDefault="00000000">
      <w:pPr>
        <w:ind w:right="-1"/>
      </w:pPr>
    </w:p>
    <w:p w:rsidR="00000000" w:rsidRDefault="00000000">
      <w:r>
        <w:tab/>
      </w:r>
      <w:r>
        <w:rPr>
          <w:u w:val="single"/>
        </w:rPr>
        <w:t>Источник</w:t>
      </w:r>
      <w:r>
        <w:t>:  Институт информации в области образования.</w:t>
      </w:r>
    </w:p>
    <w:p w:rsidR="00000000" w:rsidRDefault="00000000"/>
    <w:p w:rsidR="00000000" w:rsidRDefault="00000000">
      <w:pPr>
        <w:pStyle w:val="BodyText"/>
        <w:rPr>
          <w:b/>
          <w:bCs/>
          <w:snapToGrid w:val="0"/>
        </w:rPr>
      </w:pPr>
      <w:r>
        <w:rPr>
          <w:b/>
          <w:bCs/>
          <w:snapToGrid w:val="0"/>
        </w:rPr>
        <w:tab/>
      </w:r>
      <w:r>
        <w:rPr>
          <w:b/>
          <w:bCs/>
          <w:snapToGrid w:val="0"/>
          <w:u w:val="single"/>
        </w:rPr>
        <w:t>Примечание</w:t>
      </w:r>
      <w:r>
        <w:rPr>
          <w:b/>
          <w:bCs/>
          <w:snapToGrid w:val="0"/>
        </w:rPr>
        <w:t>:  До 1993 года статистические данные относительной возрастной структуры воспитанников детских садов не собирались;  в данных о детях, посещающих специальные детские сады, отсутствует дифференциация по возрасту.</w:t>
      </w:r>
    </w:p>
    <w:p w:rsidR="00000000" w:rsidRDefault="00000000"/>
    <w:p w:rsidR="00000000" w:rsidRDefault="00000000">
      <w:r>
        <w:t>564.</w:t>
      </w:r>
      <w:r>
        <w:tab/>
        <w:t>С 1990/91 года в детские сады принимаются также дети-инвалиды.  Эти дети воспитываются либо среди здоровых детей, либо в специальных и специализированных группах по выбору родителей</w:t>
      </w:r>
      <w:r>
        <w:rPr>
          <w:rStyle w:val="FootnoteReference"/>
        </w:rPr>
        <w:footnoteReference w:id="342"/>
      </w:r>
      <w:r>
        <w:t xml:space="preserve">.  В 1997/98 году число таких детей превысило 7 200 человек, 3 000 из которых были приняты непосредственно в обычные группы.  Чаще всего эти дети страдали дефектами речи и одновременно рядом признаков инвалидности. </w:t>
      </w:r>
    </w:p>
    <w:p w:rsidR="00000000" w:rsidRDefault="00000000"/>
    <w:p w:rsidR="00000000" w:rsidRDefault="00000000">
      <w:pPr>
        <w:pStyle w:val="Heading1"/>
        <w:rPr>
          <w:b w:val="0"/>
          <w:i/>
          <w:iCs/>
        </w:rPr>
      </w:pPr>
      <w:r>
        <w:rPr>
          <w:b w:val="0"/>
          <w:i/>
          <w:iCs/>
        </w:rPr>
        <w:t>Начальные школы</w:t>
      </w:r>
    </w:p>
    <w:p w:rsidR="00000000" w:rsidRDefault="00000000">
      <w:pPr>
        <w:pStyle w:val="Heading1"/>
        <w:rPr>
          <w:bCs/>
        </w:rPr>
      </w:pPr>
    </w:p>
    <w:p w:rsidR="00000000" w:rsidRDefault="00000000">
      <w:r>
        <w:t>565.</w:t>
      </w:r>
      <w:r>
        <w:tab/>
        <w:t>В начальных школах обучаются дети в возрасте, как правило, от 6 до 15 лет.  Согласно законодательству, обязательный период школьного обучения составляет 9 лет.  Одаренные ученики могут переходить из младших классов начальной школы в классические гимназии</w:t>
      </w:r>
      <w:r>
        <w:rPr>
          <w:rStyle w:val="FootnoteReference"/>
        </w:rPr>
        <w:footnoteReference w:id="343"/>
      </w:r>
      <w:r>
        <w:t xml:space="preserve"> и в музыкальные училища и в них завершать последние четыре года обязательного образования. </w:t>
      </w:r>
    </w:p>
    <w:p w:rsidR="00000000" w:rsidRDefault="00000000"/>
    <w:p w:rsidR="00000000" w:rsidRDefault="00000000">
      <w:pPr>
        <w:pStyle w:val="BodyText"/>
        <w:spacing w:line="288" w:lineRule="auto"/>
        <w:jc w:val="center"/>
      </w:pPr>
      <w:r>
        <w:t>Число учащихся в возрасте 6-15 лет, получающих обязательное образование в начальной, средней и специальной школах (в тыс. человек)</w:t>
      </w:r>
    </w:p>
    <w:p w:rsidR="00000000" w:rsidRDefault="00000000"/>
    <w:p w:rsidR="00000000" w:rsidRDefault="00000000">
      <w:r>
        <w:rPr>
          <w:noProof/>
        </w:rPr>
        <w:pict>
          <v:shape id="_x0000_s1139" type="#_x0000_t75" style="position:absolute;margin-left:1.1pt;margin-top:2.9pt;width:468pt;height:199.4pt;z-index:110;visibility:visible;mso-wrap-edited:f" o:allowincell="f">
            <v:imagedata r:id="rId13" o:title=""/>
          </v:shape>
          <o:OLEObject Type="Embed" ProgID="Word.Picture.8" ShapeID="_x0000_s1139" DrawAspect="Content" ObjectID="_1394876852" r:id="rId14"/>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lang w:val="en-US"/>
        </w:rPr>
        <w:tab/>
      </w:r>
      <w:r>
        <w:rPr>
          <w:u w:val="single"/>
        </w:rPr>
        <w:t>Источник</w:t>
      </w:r>
      <w:r>
        <w:t>:  Институт информации в области образования.</w:t>
      </w:r>
    </w:p>
    <w:p w:rsidR="00000000" w:rsidRDefault="00000000">
      <w:pPr>
        <w:pStyle w:val="FootnoteText"/>
        <w:spacing w:line="288" w:lineRule="auto"/>
      </w:pPr>
    </w:p>
    <w:p w:rsidR="00000000" w:rsidRDefault="00000000">
      <w:r>
        <w:t>566.</w:t>
      </w:r>
      <w:r>
        <w:tab/>
        <w:t xml:space="preserve">Относительно быстрое сокращение общего числа учащихся в начальной школе отражает демографические изменения.  Вместе с тем важным фактором сокращения числа учащихся на втором уровне начального образования (6-9 классы) является рост интереса к обучению в классических гимназиях.  </w:t>
      </w:r>
    </w:p>
    <w:p w:rsidR="00000000" w:rsidRDefault="00000000"/>
    <w:p w:rsidR="00000000" w:rsidRDefault="00000000">
      <w:pPr>
        <w:pStyle w:val="BodyText"/>
        <w:spacing w:line="288" w:lineRule="auto"/>
        <w:jc w:val="center"/>
      </w:pPr>
      <w:r>
        <w:br w:type="page"/>
        <w:t>Число учащихся, получающих обязательное образование в классических</w:t>
      </w:r>
    </w:p>
    <w:p w:rsidR="00000000" w:rsidRDefault="00000000">
      <w:pPr>
        <w:pStyle w:val="BodyText"/>
        <w:spacing w:line="288" w:lineRule="auto"/>
        <w:jc w:val="center"/>
      </w:pPr>
      <w:r>
        <w:t>гимназиях (в тыс. человек), и их доля в общем числе учащихся в системе обязательного образования</w:t>
      </w:r>
    </w:p>
    <w:p w:rsidR="00000000" w:rsidRDefault="00000000"/>
    <w:p w:rsidR="00000000" w:rsidRDefault="00000000">
      <w:pPr>
        <w:spacing w:before="120" w:after="120"/>
        <w:rPr>
          <w:b/>
          <w:sz w:val="22"/>
        </w:rPr>
      </w:pPr>
      <w:r>
        <w:rPr>
          <w:noProof/>
        </w:rPr>
        <w:pict>
          <v:shape id="_x0000_s1138" type="#_x0000_t75" style="position:absolute;margin-left:1.1pt;margin-top:3.2pt;width:439.5pt;height:151.2pt;z-index:109;visibility:visible;mso-wrap-edited:f" o:allowincell="f">
            <v:imagedata r:id="rId15" o:title=""/>
          </v:shape>
          <o:OLEObject Type="Embed" ProgID="Word.Picture.8" ShapeID="_x0000_s1138" DrawAspect="Content" ObjectID="_1394876853" r:id="rId16"/>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16"/>
      </w:pPr>
    </w:p>
    <w:p w:rsidR="00000000" w:rsidRDefault="00000000">
      <w:r>
        <w:tab/>
      </w:r>
      <w:r>
        <w:rPr>
          <w:u w:val="single"/>
        </w:rPr>
        <w:t>Источник</w:t>
      </w:r>
      <w:r>
        <w:t>:  Институт информации в области образования.</w:t>
      </w:r>
    </w:p>
    <w:p w:rsidR="00000000" w:rsidRDefault="00000000">
      <w:pPr>
        <w:pStyle w:val="FootnoteText"/>
        <w:spacing w:line="288" w:lineRule="auto"/>
      </w:pPr>
    </w:p>
    <w:p w:rsidR="00000000" w:rsidRDefault="00000000">
      <w:r>
        <w:t>567.</w:t>
      </w:r>
      <w:r>
        <w:tab/>
        <w:t>В период с 1989 года по 1994 год возросло количество начальных школ (в этот период было открыто 295 новых школ), однако в течение двух последующих лет этот рост остановился, а в последние годы число таких школ сократилось.  Рост числа школ был обусловлен быстрым обновлением не полностью укомплектованных школ и школ совместного обучения разных возрастов</w:t>
      </w:r>
      <w:r>
        <w:rPr>
          <w:rStyle w:val="FootnoteReference"/>
        </w:rPr>
        <w:footnoteReference w:id="344"/>
      </w:r>
      <w:r>
        <w:t xml:space="preserve"> (свыше 80% новых школ являются школами такого рода).  В настоящее время доля не полностью укомплектованных школ составляет 40% от всех начальных школ, а доля детей, которые учатся в них, - 8,5% от всех учащихся в системе начального образования.  Эти школы способствуют охвату школьным образованием детей в небольших и отдаленных муниципалитетах и помогают возродить традицию школы в качестве одного из естественных центров муниципальной жизни.  Мнения относительно качества преподавания в недостаточно укомплектованных школах варьируются;  в данном случае оно, более чем в других учебных заведениях, зависит от способностей преподавателя.</w:t>
      </w:r>
    </w:p>
    <w:p w:rsidR="00000000" w:rsidRDefault="00000000"/>
    <w:p w:rsidR="00000000" w:rsidRDefault="00000000">
      <w:pPr>
        <w:pStyle w:val="Heading1"/>
        <w:jc w:val="center"/>
        <w:rPr>
          <w:bCs/>
        </w:rPr>
      </w:pPr>
      <w:r>
        <w:rPr>
          <w:bCs/>
        </w:rPr>
        <w:br w:type="page"/>
        <w:t>Число начальных школ в 1989/90-1997/98 годах</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3"/>
        <w:gridCol w:w="730"/>
        <w:gridCol w:w="731"/>
        <w:gridCol w:w="731"/>
        <w:gridCol w:w="731"/>
        <w:gridCol w:w="731"/>
        <w:gridCol w:w="731"/>
        <w:gridCol w:w="731"/>
        <w:gridCol w:w="731"/>
        <w:gridCol w:w="731"/>
      </w:tblGrid>
      <w:tr w:rsidR="00000000">
        <w:tblPrEx>
          <w:tblCellMar>
            <w:top w:w="0" w:type="dxa"/>
            <w:bottom w:w="0" w:type="dxa"/>
          </w:tblCellMar>
        </w:tblPrEx>
        <w:tc>
          <w:tcPr>
            <w:tcW w:w="2833" w:type="dxa"/>
            <w:tcBorders>
              <w:top w:val="single" w:sz="4" w:space="0" w:color="auto"/>
              <w:bottom w:val="single" w:sz="4" w:space="0" w:color="auto"/>
            </w:tcBorders>
          </w:tcPr>
          <w:p w:rsidR="00000000" w:rsidRDefault="00000000">
            <w:pPr>
              <w:spacing w:line="240" w:lineRule="auto"/>
              <w:jc w:val="center"/>
              <w:rPr>
                <w:sz w:val="18"/>
              </w:rPr>
            </w:pPr>
          </w:p>
        </w:tc>
        <w:tc>
          <w:tcPr>
            <w:tcW w:w="730" w:type="dxa"/>
            <w:tcBorders>
              <w:top w:val="single" w:sz="4" w:space="0" w:color="auto"/>
              <w:bottom w:val="single" w:sz="4" w:space="0" w:color="auto"/>
            </w:tcBorders>
          </w:tcPr>
          <w:p w:rsidR="00000000" w:rsidRDefault="00000000">
            <w:pPr>
              <w:spacing w:line="240" w:lineRule="auto"/>
              <w:jc w:val="center"/>
              <w:rPr>
                <w:sz w:val="18"/>
              </w:rPr>
            </w:pPr>
            <w:r>
              <w:rPr>
                <w:sz w:val="18"/>
              </w:rPr>
              <w:t>1989/90</w:t>
            </w:r>
          </w:p>
        </w:tc>
        <w:tc>
          <w:tcPr>
            <w:tcW w:w="731" w:type="dxa"/>
            <w:tcBorders>
              <w:top w:val="single" w:sz="4" w:space="0" w:color="auto"/>
              <w:bottom w:val="single" w:sz="4" w:space="0" w:color="auto"/>
            </w:tcBorders>
          </w:tcPr>
          <w:p w:rsidR="00000000" w:rsidRDefault="00000000">
            <w:pPr>
              <w:spacing w:line="240" w:lineRule="auto"/>
              <w:jc w:val="center"/>
              <w:rPr>
                <w:sz w:val="18"/>
              </w:rPr>
            </w:pPr>
            <w:r>
              <w:rPr>
                <w:sz w:val="18"/>
              </w:rPr>
              <w:t>1990/91</w:t>
            </w:r>
          </w:p>
        </w:tc>
        <w:tc>
          <w:tcPr>
            <w:tcW w:w="731" w:type="dxa"/>
            <w:tcBorders>
              <w:top w:val="single" w:sz="4" w:space="0" w:color="auto"/>
              <w:bottom w:val="single" w:sz="4" w:space="0" w:color="auto"/>
            </w:tcBorders>
          </w:tcPr>
          <w:p w:rsidR="00000000" w:rsidRDefault="00000000">
            <w:pPr>
              <w:spacing w:line="240" w:lineRule="auto"/>
              <w:jc w:val="center"/>
              <w:rPr>
                <w:sz w:val="18"/>
              </w:rPr>
            </w:pPr>
            <w:r>
              <w:rPr>
                <w:sz w:val="18"/>
              </w:rPr>
              <w:t>1991/92</w:t>
            </w:r>
          </w:p>
        </w:tc>
        <w:tc>
          <w:tcPr>
            <w:tcW w:w="731" w:type="dxa"/>
            <w:tcBorders>
              <w:top w:val="single" w:sz="4" w:space="0" w:color="auto"/>
              <w:bottom w:val="single" w:sz="4" w:space="0" w:color="auto"/>
            </w:tcBorders>
          </w:tcPr>
          <w:p w:rsidR="00000000" w:rsidRDefault="00000000">
            <w:pPr>
              <w:spacing w:line="240" w:lineRule="auto"/>
              <w:jc w:val="center"/>
              <w:rPr>
                <w:sz w:val="18"/>
              </w:rPr>
            </w:pPr>
            <w:r>
              <w:rPr>
                <w:sz w:val="18"/>
              </w:rPr>
              <w:t>1992/93</w:t>
            </w:r>
          </w:p>
        </w:tc>
        <w:tc>
          <w:tcPr>
            <w:tcW w:w="731" w:type="dxa"/>
            <w:tcBorders>
              <w:top w:val="single" w:sz="4" w:space="0" w:color="auto"/>
              <w:bottom w:val="single" w:sz="4" w:space="0" w:color="auto"/>
            </w:tcBorders>
          </w:tcPr>
          <w:p w:rsidR="00000000" w:rsidRDefault="00000000">
            <w:pPr>
              <w:spacing w:line="240" w:lineRule="auto"/>
              <w:jc w:val="center"/>
              <w:rPr>
                <w:sz w:val="18"/>
              </w:rPr>
            </w:pPr>
            <w:r>
              <w:rPr>
                <w:sz w:val="18"/>
              </w:rPr>
              <w:t>1993/94</w:t>
            </w:r>
          </w:p>
        </w:tc>
        <w:tc>
          <w:tcPr>
            <w:tcW w:w="731" w:type="dxa"/>
            <w:tcBorders>
              <w:top w:val="single" w:sz="4" w:space="0" w:color="auto"/>
              <w:bottom w:val="single" w:sz="4" w:space="0" w:color="auto"/>
            </w:tcBorders>
          </w:tcPr>
          <w:p w:rsidR="00000000" w:rsidRDefault="00000000">
            <w:pPr>
              <w:spacing w:line="240" w:lineRule="auto"/>
              <w:jc w:val="center"/>
              <w:rPr>
                <w:sz w:val="18"/>
              </w:rPr>
            </w:pPr>
            <w:r>
              <w:rPr>
                <w:sz w:val="18"/>
              </w:rPr>
              <w:t>1994/95</w:t>
            </w:r>
          </w:p>
        </w:tc>
        <w:tc>
          <w:tcPr>
            <w:tcW w:w="731" w:type="dxa"/>
            <w:tcBorders>
              <w:top w:val="single" w:sz="4" w:space="0" w:color="auto"/>
              <w:bottom w:val="single" w:sz="4" w:space="0" w:color="auto"/>
            </w:tcBorders>
          </w:tcPr>
          <w:p w:rsidR="00000000" w:rsidRDefault="00000000">
            <w:pPr>
              <w:spacing w:line="240" w:lineRule="auto"/>
              <w:jc w:val="center"/>
              <w:rPr>
                <w:sz w:val="18"/>
              </w:rPr>
            </w:pPr>
            <w:r>
              <w:rPr>
                <w:sz w:val="18"/>
              </w:rPr>
              <w:t>1995/96</w:t>
            </w:r>
          </w:p>
        </w:tc>
        <w:tc>
          <w:tcPr>
            <w:tcW w:w="731" w:type="dxa"/>
            <w:tcBorders>
              <w:top w:val="single" w:sz="4" w:space="0" w:color="auto"/>
              <w:bottom w:val="single" w:sz="4" w:space="0" w:color="auto"/>
            </w:tcBorders>
          </w:tcPr>
          <w:p w:rsidR="00000000" w:rsidRDefault="00000000">
            <w:pPr>
              <w:spacing w:line="240" w:lineRule="auto"/>
              <w:jc w:val="center"/>
              <w:rPr>
                <w:sz w:val="18"/>
              </w:rPr>
            </w:pPr>
            <w:r>
              <w:rPr>
                <w:sz w:val="18"/>
              </w:rPr>
              <w:t>1996/97</w:t>
            </w:r>
          </w:p>
        </w:tc>
        <w:tc>
          <w:tcPr>
            <w:tcW w:w="731" w:type="dxa"/>
            <w:tcBorders>
              <w:top w:val="single" w:sz="4" w:space="0" w:color="auto"/>
              <w:bottom w:val="single" w:sz="4" w:space="0" w:color="auto"/>
            </w:tcBorders>
          </w:tcPr>
          <w:p w:rsidR="00000000" w:rsidRDefault="00000000">
            <w:pPr>
              <w:spacing w:line="240" w:lineRule="auto"/>
              <w:jc w:val="center"/>
              <w:rPr>
                <w:sz w:val="18"/>
              </w:rPr>
            </w:pPr>
            <w:r>
              <w:rPr>
                <w:sz w:val="18"/>
              </w:rPr>
              <w:t>1997/98</w:t>
            </w:r>
          </w:p>
        </w:tc>
      </w:tr>
      <w:tr w:rsidR="00000000">
        <w:tblPrEx>
          <w:tblCellMar>
            <w:top w:w="0" w:type="dxa"/>
            <w:bottom w:w="0" w:type="dxa"/>
          </w:tblCellMar>
        </w:tblPrEx>
        <w:tc>
          <w:tcPr>
            <w:tcW w:w="2833" w:type="dxa"/>
            <w:tcBorders>
              <w:top w:val="single" w:sz="4" w:space="0" w:color="auto"/>
            </w:tcBorders>
          </w:tcPr>
          <w:p w:rsidR="00000000" w:rsidRDefault="00000000">
            <w:pPr>
              <w:pStyle w:val="Heading7"/>
              <w:tabs>
                <w:tab w:val="clear" w:pos="567"/>
                <w:tab w:val="clear" w:pos="1134"/>
                <w:tab w:val="clear" w:pos="1701"/>
                <w:tab w:val="clear" w:pos="2268"/>
                <w:tab w:val="left" w:pos="187"/>
              </w:tabs>
              <w:spacing w:line="240" w:lineRule="auto"/>
              <w:ind w:left="187" w:hanging="187"/>
              <w:rPr>
                <w:b w:val="0"/>
                <w:bCs w:val="0"/>
                <w:sz w:val="20"/>
              </w:rPr>
            </w:pPr>
            <w:r>
              <w:rPr>
                <w:b w:val="0"/>
                <w:bCs w:val="0"/>
                <w:sz w:val="20"/>
              </w:rPr>
              <w:t xml:space="preserve">Общее число начальных школ, </w:t>
            </w:r>
          </w:p>
          <w:p w:rsidR="00000000" w:rsidRDefault="00000000">
            <w:pPr>
              <w:pStyle w:val="Heading7"/>
              <w:tabs>
                <w:tab w:val="clear" w:pos="1701"/>
                <w:tab w:val="clear" w:pos="2268"/>
                <w:tab w:val="left" w:pos="187"/>
              </w:tabs>
              <w:spacing w:line="240" w:lineRule="auto"/>
              <w:ind w:left="187" w:hanging="187"/>
              <w:rPr>
                <w:sz w:val="20"/>
              </w:rPr>
            </w:pPr>
            <w:r>
              <w:rPr>
                <w:b w:val="0"/>
                <w:bCs w:val="0"/>
                <w:sz w:val="20"/>
              </w:rPr>
              <w:tab/>
              <w:t>в том числе</w:t>
            </w:r>
          </w:p>
        </w:tc>
        <w:tc>
          <w:tcPr>
            <w:tcW w:w="730" w:type="dxa"/>
            <w:tcBorders>
              <w:top w:val="single" w:sz="4" w:space="0" w:color="auto"/>
            </w:tcBorders>
            <w:vAlign w:val="bottom"/>
          </w:tcPr>
          <w:p w:rsidR="00000000" w:rsidRDefault="00000000">
            <w:pPr>
              <w:tabs>
                <w:tab w:val="clear" w:pos="567"/>
              </w:tabs>
              <w:spacing w:line="240" w:lineRule="auto"/>
              <w:ind w:left="-402" w:right="141"/>
              <w:jc w:val="right"/>
              <w:rPr>
                <w:sz w:val="18"/>
              </w:rPr>
            </w:pPr>
            <w:r>
              <w:rPr>
                <w:sz w:val="18"/>
              </w:rPr>
              <w:t>3 904</w:t>
            </w:r>
          </w:p>
        </w:tc>
        <w:tc>
          <w:tcPr>
            <w:tcW w:w="731" w:type="dxa"/>
            <w:tcBorders>
              <w:top w:val="single" w:sz="4" w:space="0" w:color="auto"/>
            </w:tcBorders>
            <w:vAlign w:val="bottom"/>
          </w:tcPr>
          <w:p w:rsidR="00000000" w:rsidRDefault="00000000">
            <w:pPr>
              <w:tabs>
                <w:tab w:val="clear" w:pos="567"/>
              </w:tabs>
              <w:spacing w:line="240" w:lineRule="auto"/>
              <w:ind w:left="-402" w:right="141"/>
              <w:jc w:val="right"/>
              <w:rPr>
                <w:sz w:val="18"/>
              </w:rPr>
            </w:pPr>
            <w:r>
              <w:rPr>
                <w:sz w:val="18"/>
              </w:rPr>
              <w:t>3 958</w:t>
            </w:r>
          </w:p>
        </w:tc>
        <w:tc>
          <w:tcPr>
            <w:tcW w:w="731" w:type="dxa"/>
            <w:tcBorders>
              <w:top w:val="single" w:sz="4" w:space="0" w:color="auto"/>
            </w:tcBorders>
            <w:vAlign w:val="bottom"/>
          </w:tcPr>
          <w:p w:rsidR="00000000" w:rsidRDefault="00000000">
            <w:pPr>
              <w:tabs>
                <w:tab w:val="clear" w:pos="567"/>
              </w:tabs>
              <w:spacing w:line="240" w:lineRule="auto"/>
              <w:ind w:left="-402" w:right="141"/>
              <w:jc w:val="right"/>
              <w:rPr>
                <w:sz w:val="18"/>
              </w:rPr>
            </w:pPr>
            <w:r>
              <w:rPr>
                <w:sz w:val="18"/>
              </w:rPr>
              <w:t>4 064</w:t>
            </w:r>
          </w:p>
        </w:tc>
        <w:tc>
          <w:tcPr>
            <w:tcW w:w="731" w:type="dxa"/>
            <w:tcBorders>
              <w:top w:val="single" w:sz="4" w:space="0" w:color="auto"/>
            </w:tcBorders>
            <w:vAlign w:val="bottom"/>
          </w:tcPr>
          <w:p w:rsidR="00000000" w:rsidRDefault="00000000">
            <w:pPr>
              <w:tabs>
                <w:tab w:val="clear" w:pos="567"/>
              </w:tabs>
              <w:spacing w:line="240" w:lineRule="auto"/>
              <w:ind w:left="-402" w:right="141"/>
              <w:jc w:val="right"/>
              <w:rPr>
                <w:sz w:val="18"/>
              </w:rPr>
            </w:pPr>
            <w:r>
              <w:rPr>
                <w:sz w:val="18"/>
              </w:rPr>
              <w:t>4 142</w:t>
            </w:r>
          </w:p>
        </w:tc>
        <w:tc>
          <w:tcPr>
            <w:tcW w:w="731" w:type="dxa"/>
            <w:tcBorders>
              <w:top w:val="single" w:sz="4" w:space="0" w:color="auto"/>
            </w:tcBorders>
            <w:vAlign w:val="bottom"/>
          </w:tcPr>
          <w:p w:rsidR="00000000" w:rsidRDefault="00000000">
            <w:pPr>
              <w:tabs>
                <w:tab w:val="clear" w:pos="567"/>
              </w:tabs>
              <w:spacing w:line="240" w:lineRule="auto"/>
              <w:ind w:left="-402" w:right="141"/>
              <w:jc w:val="right"/>
              <w:rPr>
                <w:sz w:val="18"/>
              </w:rPr>
            </w:pPr>
            <w:r>
              <w:rPr>
                <w:sz w:val="18"/>
              </w:rPr>
              <w:t>4 199</w:t>
            </w:r>
          </w:p>
        </w:tc>
        <w:tc>
          <w:tcPr>
            <w:tcW w:w="731" w:type="dxa"/>
            <w:tcBorders>
              <w:top w:val="single" w:sz="4" w:space="0" w:color="auto"/>
            </w:tcBorders>
            <w:vAlign w:val="bottom"/>
          </w:tcPr>
          <w:p w:rsidR="00000000" w:rsidRDefault="00000000">
            <w:pPr>
              <w:tabs>
                <w:tab w:val="clear" w:pos="567"/>
              </w:tabs>
              <w:spacing w:line="240" w:lineRule="auto"/>
              <w:ind w:left="-402" w:right="141"/>
              <w:jc w:val="right"/>
              <w:rPr>
                <w:sz w:val="18"/>
              </w:rPr>
            </w:pPr>
            <w:r>
              <w:rPr>
                <w:sz w:val="18"/>
              </w:rPr>
              <w:t>4 216</w:t>
            </w:r>
          </w:p>
        </w:tc>
        <w:tc>
          <w:tcPr>
            <w:tcW w:w="731" w:type="dxa"/>
            <w:tcBorders>
              <w:top w:val="single" w:sz="4" w:space="0" w:color="auto"/>
            </w:tcBorders>
            <w:vAlign w:val="bottom"/>
          </w:tcPr>
          <w:p w:rsidR="00000000" w:rsidRDefault="00000000">
            <w:pPr>
              <w:tabs>
                <w:tab w:val="clear" w:pos="567"/>
              </w:tabs>
              <w:spacing w:line="240" w:lineRule="auto"/>
              <w:ind w:left="-402" w:right="141"/>
              <w:jc w:val="right"/>
              <w:rPr>
                <w:sz w:val="18"/>
              </w:rPr>
            </w:pPr>
            <w:r>
              <w:rPr>
                <w:sz w:val="18"/>
              </w:rPr>
              <w:t>4 212</w:t>
            </w:r>
          </w:p>
        </w:tc>
        <w:tc>
          <w:tcPr>
            <w:tcW w:w="731" w:type="dxa"/>
            <w:tcBorders>
              <w:top w:val="single" w:sz="4" w:space="0" w:color="auto"/>
            </w:tcBorders>
            <w:vAlign w:val="bottom"/>
          </w:tcPr>
          <w:p w:rsidR="00000000" w:rsidRDefault="00000000">
            <w:pPr>
              <w:tabs>
                <w:tab w:val="clear" w:pos="567"/>
              </w:tabs>
              <w:spacing w:line="240" w:lineRule="auto"/>
              <w:ind w:left="-402" w:right="141"/>
              <w:jc w:val="right"/>
              <w:rPr>
                <w:sz w:val="18"/>
              </w:rPr>
            </w:pPr>
            <w:r>
              <w:rPr>
                <w:sz w:val="18"/>
              </w:rPr>
              <w:t>4 166</w:t>
            </w:r>
          </w:p>
        </w:tc>
        <w:tc>
          <w:tcPr>
            <w:tcW w:w="731" w:type="dxa"/>
            <w:tcBorders>
              <w:top w:val="single" w:sz="4" w:space="0" w:color="auto"/>
            </w:tcBorders>
            <w:vAlign w:val="bottom"/>
          </w:tcPr>
          <w:p w:rsidR="00000000" w:rsidRDefault="00000000">
            <w:pPr>
              <w:tabs>
                <w:tab w:val="clear" w:pos="567"/>
              </w:tabs>
              <w:spacing w:line="240" w:lineRule="auto"/>
              <w:ind w:left="-402" w:right="141"/>
              <w:jc w:val="right"/>
              <w:rPr>
                <w:sz w:val="18"/>
              </w:rPr>
            </w:pPr>
            <w:r>
              <w:rPr>
                <w:sz w:val="18"/>
              </w:rPr>
              <w:t>4 132</w:t>
            </w:r>
          </w:p>
        </w:tc>
      </w:tr>
      <w:tr w:rsidR="00000000">
        <w:tblPrEx>
          <w:tblCellMar>
            <w:top w:w="0" w:type="dxa"/>
            <w:bottom w:w="0" w:type="dxa"/>
          </w:tblCellMar>
        </w:tblPrEx>
        <w:tc>
          <w:tcPr>
            <w:tcW w:w="2833" w:type="dxa"/>
          </w:tcPr>
          <w:p w:rsidR="00000000" w:rsidRDefault="00000000">
            <w:pPr>
              <w:tabs>
                <w:tab w:val="clear" w:pos="1701"/>
                <w:tab w:val="clear" w:pos="2268"/>
                <w:tab w:val="left" w:pos="187"/>
              </w:tabs>
              <w:spacing w:line="240" w:lineRule="auto"/>
              <w:ind w:left="187" w:hanging="187"/>
              <w:rPr>
                <w:sz w:val="20"/>
              </w:rPr>
            </w:pPr>
            <w:r>
              <w:rPr>
                <w:sz w:val="20"/>
              </w:rPr>
              <w:t>только с первым уровнем обучения</w:t>
            </w:r>
          </w:p>
        </w:tc>
        <w:tc>
          <w:tcPr>
            <w:tcW w:w="730" w:type="dxa"/>
            <w:vAlign w:val="bottom"/>
          </w:tcPr>
          <w:p w:rsidR="00000000" w:rsidRDefault="00000000">
            <w:pPr>
              <w:tabs>
                <w:tab w:val="clear" w:pos="567"/>
              </w:tabs>
              <w:spacing w:line="240" w:lineRule="auto"/>
              <w:ind w:left="-402" w:right="141"/>
              <w:jc w:val="right"/>
              <w:rPr>
                <w:sz w:val="18"/>
              </w:rPr>
            </w:pPr>
            <w:r>
              <w:rPr>
                <w:sz w:val="18"/>
              </w:rPr>
              <w:t>1 455</w:t>
            </w:r>
          </w:p>
        </w:tc>
        <w:tc>
          <w:tcPr>
            <w:tcW w:w="731" w:type="dxa"/>
            <w:vAlign w:val="bottom"/>
          </w:tcPr>
          <w:p w:rsidR="00000000" w:rsidRDefault="00000000">
            <w:pPr>
              <w:tabs>
                <w:tab w:val="clear" w:pos="567"/>
              </w:tabs>
              <w:spacing w:line="240" w:lineRule="auto"/>
              <w:ind w:left="-402" w:right="141"/>
              <w:jc w:val="right"/>
              <w:rPr>
                <w:sz w:val="18"/>
              </w:rPr>
            </w:pPr>
            <w:r>
              <w:rPr>
                <w:sz w:val="18"/>
              </w:rPr>
              <w:t>1 496</w:t>
            </w:r>
          </w:p>
        </w:tc>
        <w:tc>
          <w:tcPr>
            <w:tcW w:w="731" w:type="dxa"/>
            <w:vAlign w:val="bottom"/>
          </w:tcPr>
          <w:p w:rsidR="00000000" w:rsidRDefault="00000000">
            <w:pPr>
              <w:tabs>
                <w:tab w:val="clear" w:pos="567"/>
              </w:tabs>
              <w:spacing w:line="240" w:lineRule="auto"/>
              <w:ind w:left="-402" w:right="141"/>
              <w:jc w:val="right"/>
              <w:rPr>
                <w:sz w:val="18"/>
              </w:rPr>
            </w:pPr>
            <w:r>
              <w:rPr>
                <w:sz w:val="18"/>
              </w:rPr>
              <w:t>1 560</w:t>
            </w:r>
          </w:p>
        </w:tc>
        <w:tc>
          <w:tcPr>
            <w:tcW w:w="731" w:type="dxa"/>
            <w:vAlign w:val="bottom"/>
          </w:tcPr>
          <w:p w:rsidR="00000000" w:rsidRDefault="00000000">
            <w:pPr>
              <w:tabs>
                <w:tab w:val="clear" w:pos="567"/>
              </w:tabs>
              <w:spacing w:line="240" w:lineRule="auto"/>
              <w:ind w:left="-402" w:right="141"/>
              <w:jc w:val="right"/>
              <w:rPr>
                <w:sz w:val="18"/>
              </w:rPr>
            </w:pPr>
            <w:r>
              <w:rPr>
                <w:sz w:val="18"/>
              </w:rPr>
              <w:t>1 647</w:t>
            </w:r>
          </w:p>
        </w:tc>
        <w:tc>
          <w:tcPr>
            <w:tcW w:w="731" w:type="dxa"/>
            <w:vAlign w:val="bottom"/>
          </w:tcPr>
          <w:p w:rsidR="00000000" w:rsidRDefault="00000000">
            <w:pPr>
              <w:tabs>
                <w:tab w:val="clear" w:pos="567"/>
              </w:tabs>
              <w:spacing w:line="240" w:lineRule="auto"/>
              <w:ind w:left="-402" w:right="141"/>
              <w:jc w:val="right"/>
              <w:rPr>
                <w:sz w:val="18"/>
              </w:rPr>
            </w:pPr>
            <w:r>
              <w:rPr>
                <w:sz w:val="18"/>
              </w:rPr>
              <w:t>1 677</w:t>
            </w:r>
          </w:p>
        </w:tc>
        <w:tc>
          <w:tcPr>
            <w:tcW w:w="731" w:type="dxa"/>
            <w:vAlign w:val="bottom"/>
          </w:tcPr>
          <w:p w:rsidR="00000000" w:rsidRDefault="00000000">
            <w:pPr>
              <w:tabs>
                <w:tab w:val="clear" w:pos="567"/>
              </w:tabs>
              <w:spacing w:line="240" w:lineRule="auto"/>
              <w:ind w:left="-402" w:right="141"/>
              <w:jc w:val="right"/>
              <w:rPr>
                <w:sz w:val="18"/>
              </w:rPr>
            </w:pPr>
            <w:r>
              <w:rPr>
                <w:sz w:val="18"/>
              </w:rPr>
              <w:t>1 710</w:t>
            </w:r>
          </w:p>
        </w:tc>
        <w:tc>
          <w:tcPr>
            <w:tcW w:w="731" w:type="dxa"/>
            <w:vAlign w:val="bottom"/>
          </w:tcPr>
          <w:p w:rsidR="00000000" w:rsidRDefault="00000000">
            <w:pPr>
              <w:tabs>
                <w:tab w:val="clear" w:pos="567"/>
              </w:tabs>
              <w:spacing w:line="240" w:lineRule="auto"/>
              <w:ind w:left="-402" w:right="141"/>
              <w:jc w:val="right"/>
              <w:rPr>
                <w:sz w:val="18"/>
              </w:rPr>
            </w:pPr>
            <w:r>
              <w:rPr>
                <w:sz w:val="18"/>
              </w:rPr>
              <w:t>1 712</w:t>
            </w:r>
          </w:p>
        </w:tc>
        <w:tc>
          <w:tcPr>
            <w:tcW w:w="731" w:type="dxa"/>
            <w:vAlign w:val="bottom"/>
          </w:tcPr>
          <w:p w:rsidR="00000000" w:rsidRDefault="00000000">
            <w:pPr>
              <w:tabs>
                <w:tab w:val="clear" w:pos="567"/>
              </w:tabs>
              <w:spacing w:line="240" w:lineRule="auto"/>
              <w:ind w:left="-402" w:right="141"/>
              <w:jc w:val="right"/>
              <w:rPr>
                <w:sz w:val="18"/>
              </w:rPr>
            </w:pPr>
            <w:r>
              <w:rPr>
                <w:sz w:val="18"/>
              </w:rPr>
              <w:t>1 672</w:t>
            </w:r>
          </w:p>
        </w:tc>
        <w:tc>
          <w:tcPr>
            <w:tcW w:w="731" w:type="dxa"/>
            <w:vAlign w:val="bottom"/>
          </w:tcPr>
          <w:p w:rsidR="00000000" w:rsidRDefault="00000000">
            <w:pPr>
              <w:tabs>
                <w:tab w:val="clear" w:pos="567"/>
              </w:tabs>
              <w:spacing w:line="240" w:lineRule="auto"/>
              <w:ind w:left="-402" w:right="141"/>
              <w:jc w:val="right"/>
              <w:rPr>
                <w:sz w:val="18"/>
              </w:rPr>
            </w:pPr>
            <w:r>
              <w:rPr>
                <w:sz w:val="18"/>
              </w:rPr>
              <w:t>1 638</w:t>
            </w:r>
          </w:p>
        </w:tc>
      </w:tr>
      <w:tr w:rsidR="00000000">
        <w:tblPrEx>
          <w:tblCellMar>
            <w:top w:w="0" w:type="dxa"/>
            <w:bottom w:w="0" w:type="dxa"/>
          </w:tblCellMar>
        </w:tblPrEx>
        <w:tc>
          <w:tcPr>
            <w:tcW w:w="2833" w:type="dxa"/>
          </w:tcPr>
          <w:p w:rsidR="00000000" w:rsidRDefault="00000000">
            <w:pPr>
              <w:tabs>
                <w:tab w:val="clear" w:pos="1701"/>
                <w:tab w:val="clear" w:pos="2268"/>
                <w:tab w:val="left" w:pos="187"/>
              </w:tabs>
              <w:spacing w:line="240" w:lineRule="auto"/>
              <w:ind w:left="187" w:hanging="187"/>
              <w:rPr>
                <w:sz w:val="20"/>
              </w:rPr>
            </w:pPr>
            <w:r>
              <w:rPr>
                <w:sz w:val="20"/>
              </w:rPr>
              <w:t>только со вторым уровнем обучения</w:t>
            </w:r>
          </w:p>
        </w:tc>
        <w:tc>
          <w:tcPr>
            <w:tcW w:w="730" w:type="dxa"/>
            <w:vAlign w:val="bottom"/>
          </w:tcPr>
          <w:p w:rsidR="00000000" w:rsidRDefault="00000000">
            <w:pPr>
              <w:tabs>
                <w:tab w:val="clear" w:pos="567"/>
              </w:tabs>
              <w:spacing w:line="240" w:lineRule="auto"/>
              <w:ind w:left="-402" w:right="141"/>
              <w:jc w:val="right"/>
              <w:rPr>
                <w:sz w:val="18"/>
              </w:rPr>
            </w:pPr>
            <w:r>
              <w:rPr>
                <w:sz w:val="18"/>
              </w:rPr>
              <w:t>3</w:t>
            </w:r>
          </w:p>
        </w:tc>
        <w:tc>
          <w:tcPr>
            <w:tcW w:w="731" w:type="dxa"/>
            <w:vAlign w:val="bottom"/>
          </w:tcPr>
          <w:p w:rsidR="00000000" w:rsidRDefault="00000000">
            <w:pPr>
              <w:tabs>
                <w:tab w:val="clear" w:pos="567"/>
              </w:tabs>
              <w:spacing w:line="240" w:lineRule="auto"/>
              <w:ind w:left="-402" w:right="141"/>
              <w:jc w:val="right"/>
              <w:rPr>
                <w:sz w:val="18"/>
              </w:rPr>
            </w:pPr>
            <w:r>
              <w:rPr>
                <w:sz w:val="18"/>
              </w:rPr>
              <w:t>5</w:t>
            </w:r>
          </w:p>
        </w:tc>
        <w:tc>
          <w:tcPr>
            <w:tcW w:w="731" w:type="dxa"/>
            <w:vAlign w:val="bottom"/>
          </w:tcPr>
          <w:p w:rsidR="00000000" w:rsidRDefault="00000000">
            <w:pPr>
              <w:tabs>
                <w:tab w:val="clear" w:pos="567"/>
              </w:tabs>
              <w:spacing w:line="240" w:lineRule="auto"/>
              <w:ind w:left="-402" w:right="141"/>
              <w:jc w:val="right"/>
              <w:rPr>
                <w:sz w:val="18"/>
              </w:rPr>
            </w:pPr>
            <w:r>
              <w:rPr>
                <w:sz w:val="18"/>
              </w:rPr>
              <w:t>7</w:t>
            </w:r>
          </w:p>
        </w:tc>
        <w:tc>
          <w:tcPr>
            <w:tcW w:w="731" w:type="dxa"/>
            <w:vAlign w:val="bottom"/>
          </w:tcPr>
          <w:p w:rsidR="00000000" w:rsidRDefault="00000000">
            <w:pPr>
              <w:tabs>
                <w:tab w:val="clear" w:pos="567"/>
              </w:tabs>
              <w:spacing w:line="240" w:lineRule="auto"/>
              <w:ind w:left="-402" w:right="141"/>
              <w:jc w:val="right"/>
              <w:rPr>
                <w:sz w:val="18"/>
              </w:rPr>
            </w:pPr>
            <w:r>
              <w:rPr>
                <w:sz w:val="18"/>
              </w:rPr>
              <w:t>5</w:t>
            </w:r>
          </w:p>
        </w:tc>
        <w:tc>
          <w:tcPr>
            <w:tcW w:w="731" w:type="dxa"/>
            <w:vAlign w:val="bottom"/>
          </w:tcPr>
          <w:p w:rsidR="00000000" w:rsidRDefault="00000000">
            <w:pPr>
              <w:tabs>
                <w:tab w:val="clear" w:pos="567"/>
              </w:tabs>
              <w:spacing w:line="240" w:lineRule="auto"/>
              <w:ind w:left="-402" w:right="141"/>
              <w:jc w:val="right"/>
              <w:rPr>
                <w:sz w:val="18"/>
              </w:rPr>
            </w:pPr>
            <w:r>
              <w:rPr>
                <w:sz w:val="18"/>
              </w:rPr>
              <w:t>9</w:t>
            </w:r>
          </w:p>
        </w:tc>
        <w:tc>
          <w:tcPr>
            <w:tcW w:w="731" w:type="dxa"/>
            <w:vAlign w:val="bottom"/>
          </w:tcPr>
          <w:p w:rsidR="00000000" w:rsidRDefault="00000000">
            <w:pPr>
              <w:tabs>
                <w:tab w:val="clear" w:pos="567"/>
              </w:tabs>
              <w:spacing w:line="240" w:lineRule="auto"/>
              <w:ind w:left="-402" w:right="141"/>
              <w:jc w:val="right"/>
              <w:rPr>
                <w:sz w:val="18"/>
              </w:rPr>
            </w:pPr>
            <w:r>
              <w:rPr>
                <w:sz w:val="18"/>
              </w:rPr>
              <w:t>8</w:t>
            </w:r>
          </w:p>
        </w:tc>
        <w:tc>
          <w:tcPr>
            <w:tcW w:w="731" w:type="dxa"/>
            <w:vAlign w:val="bottom"/>
          </w:tcPr>
          <w:p w:rsidR="00000000" w:rsidRDefault="00000000">
            <w:pPr>
              <w:tabs>
                <w:tab w:val="clear" w:pos="567"/>
              </w:tabs>
              <w:spacing w:line="240" w:lineRule="auto"/>
              <w:ind w:left="-402" w:right="141"/>
              <w:jc w:val="right"/>
              <w:rPr>
                <w:sz w:val="18"/>
              </w:rPr>
            </w:pPr>
            <w:r>
              <w:rPr>
                <w:sz w:val="18"/>
              </w:rPr>
              <w:t>9</w:t>
            </w:r>
          </w:p>
        </w:tc>
        <w:tc>
          <w:tcPr>
            <w:tcW w:w="731" w:type="dxa"/>
            <w:vAlign w:val="bottom"/>
          </w:tcPr>
          <w:p w:rsidR="00000000" w:rsidRDefault="00000000">
            <w:pPr>
              <w:tabs>
                <w:tab w:val="clear" w:pos="567"/>
              </w:tabs>
              <w:spacing w:line="240" w:lineRule="auto"/>
              <w:ind w:left="-402" w:right="141"/>
              <w:jc w:val="right"/>
              <w:rPr>
                <w:sz w:val="18"/>
              </w:rPr>
            </w:pPr>
            <w:r>
              <w:rPr>
                <w:sz w:val="18"/>
              </w:rPr>
              <w:t>4</w:t>
            </w:r>
          </w:p>
        </w:tc>
        <w:tc>
          <w:tcPr>
            <w:tcW w:w="731" w:type="dxa"/>
            <w:vAlign w:val="bottom"/>
          </w:tcPr>
          <w:p w:rsidR="00000000" w:rsidRDefault="00000000">
            <w:pPr>
              <w:tabs>
                <w:tab w:val="clear" w:pos="567"/>
              </w:tabs>
              <w:spacing w:line="240" w:lineRule="auto"/>
              <w:ind w:left="-402" w:right="141"/>
              <w:jc w:val="right"/>
              <w:rPr>
                <w:sz w:val="18"/>
              </w:rPr>
            </w:pPr>
            <w:r>
              <w:rPr>
                <w:sz w:val="18"/>
              </w:rPr>
              <w:t>5</w:t>
            </w:r>
          </w:p>
        </w:tc>
      </w:tr>
      <w:tr w:rsidR="00000000">
        <w:tblPrEx>
          <w:tblCellMar>
            <w:top w:w="0" w:type="dxa"/>
            <w:bottom w:w="0" w:type="dxa"/>
          </w:tblCellMar>
        </w:tblPrEx>
        <w:tc>
          <w:tcPr>
            <w:tcW w:w="2833" w:type="dxa"/>
          </w:tcPr>
          <w:p w:rsidR="00000000" w:rsidRDefault="00000000">
            <w:pPr>
              <w:tabs>
                <w:tab w:val="clear" w:pos="1701"/>
                <w:tab w:val="clear" w:pos="2268"/>
                <w:tab w:val="left" w:pos="187"/>
              </w:tabs>
              <w:spacing w:line="240" w:lineRule="auto"/>
              <w:ind w:left="187" w:hanging="187"/>
              <w:rPr>
                <w:sz w:val="20"/>
              </w:rPr>
            </w:pPr>
            <w:r>
              <w:rPr>
                <w:sz w:val="20"/>
              </w:rPr>
              <w:t>с обоими уровнями</w:t>
            </w:r>
          </w:p>
        </w:tc>
        <w:tc>
          <w:tcPr>
            <w:tcW w:w="730" w:type="dxa"/>
            <w:vAlign w:val="bottom"/>
          </w:tcPr>
          <w:p w:rsidR="00000000" w:rsidRDefault="00000000">
            <w:pPr>
              <w:tabs>
                <w:tab w:val="clear" w:pos="567"/>
              </w:tabs>
              <w:spacing w:line="240" w:lineRule="auto"/>
              <w:ind w:left="-402" w:right="141"/>
              <w:jc w:val="right"/>
              <w:rPr>
                <w:sz w:val="18"/>
              </w:rPr>
            </w:pPr>
            <w:r>
              <w:rPr>
                <w:sz w:val="18"/>
              </w:rPr>
              <w:t>2 446</w:t>
            </w:r>
          </w:p>
        </w:tc>
        <w:tc>
          <w:tcPr>
            <w:tcW w:w="731" w:type="dxa"/>
            <w:vAlign w:val="bottom"/>
          </w:tcPr>
          <w:p w:rsidR="00000000" w:rsidRDefault="00000000">
            <w:pPr>
              <w:tabs>
                <w:tab w:val="clear" w:pos="567"/>
              </w:tabs>
              <w:spacing w:line="240" w:lineRule="auto"/>
              <w:ind w:left="-402" w:right="141"/>
              <w:jc w:val="right"/>
              <w:rPr>
                <w:sz w:val="18"/>
              </w:rPr>
            </w:pPr>
            <w:r>
              <w:rPr>
                <w:sz w:val="18"/>
              </w:rPr>
              <w:t>2 497</w:t>
            </w:r>
          </w:p>
        </w:tc>
        <w:tc>
          <w:tcPr>
            <w:tcW w:w="731" w:type="dxa"/>
            <w:vAlign w:val="bottom"/>
          </w:tcPr>
          <w:p w:rsidR="00000000" w:rsidRDefault="00000000">
            <w:pPr>
              <w:tabs>
                <w:tab w:val="clear" w:pos="567"/>
              </w:tabs>
              <w:spacing w:line="240" w:lineRule="auto"/>
              <w:ind w:left="-402" w:right="141"/>
              <w:jc w:val="right"/>
              <w:rPr>
                <w:sz w:val="18"/>
              </w:rPr>
            </w:pPr>
            <w:r>
              <w:rPr>
                <w:sz w:val="18"/>
              </w:rPr>
              <w:t>2 497</w:t>
            </w:r>
          </w:p>
        </w:tc>
        <w:tc>
          <w:tcPr>
            <w:tcW w:w="731" w:type="dxa"/>
            <w:vAlign w:val="bottom"/>
          </w:tcPr>
          <w:p w:rsidR="00000000" w:rsidRDefault="00000000">
            <w:pPr>
              <w:tabs>
                <w:tab w:val="clear" w:pos="567"/>
              </w:tabs>
              <w:spacing w:line="240" w:lineRule="auto"/>
              <w:ind w:left="-402" w:right="141"/>
              <w:jc w:val="right"/>
              <w:rPr>
                <w:sz w:val="18"/>
              </w:rPr>
            </w:pPr>
            <w:r>
              <w:rPr>
                <w:sz w:val="18"/>
              </w:rPr>
              <w:t>2 490</w:t>
            </w:r>
          </w:p>
        </w:tc>
        <w:tc>
          <w:tcPr>
            <w:tcW w:w="731" w:type="dxa"/>
            <w:vAlign w:val="bottom"/>
          </w:tcPr>
          <w:p w:rsidR="00000000" w:rsidRDefault="00000000">
            <w:pPr>
              <w:tabs>
                <w:tab w:val="clear" w:pos="567"/>
              </w:tabs>
              <w:spacing w:line="240" w:lineRule="auto"/>
              <w:ind w:left="-402" w:right="141"/>
              <w:jc w:val="right"/>
              <w:rPr>
                <w:sz w:val="18"/>
              </w:rPr>
            </w:pPr>
            <w:r>
              <w:rPr>
                <w:sz w:val="18"/>
              </w:rPr>
              <w:t>2 513</w:t>
            </w:r>
          </w:p>
        </w:tc>
        <w:tc>
          <w:tcPr>
            <w:tcW w:w="731" w:type="dxa"/>
            <w:vAlign w:val="bottom"/>
          </w:tcPr>
          <w:p w:rsidR="00000000" w:rsidRDefault="00000000">
            <w:pPr>
              <w:tabs>
                <w:tab w:val="clear" w:pos="567"/>
              </w:tabs>
              <w:spacing w:line="240" w:lineRule="auto"/>
              <w:ind w:left="-402" w:right="141"/>
              <w:jc w:val="right"/>
              <w:rPr>
                <w:sz w:val="18"/>
              </w:rPr>
            </w:pPr>
            <w:r>
              <w:rPr>
                <w:sz w:val="18"/>
              </w:rPr>
              <w:t>2 498</w:t>
            </w:r>
          </w:p>
        </w:tc>
        <w:tc>
          <w:tcPr>
            <w:tcW w:w="731" w:type="dxa"/>
            <w:vAlign w:val="bottom"/>
          </w:tcPr>
          <w:p w:rsidR="00000000" w:rsidRDefault="00000000">
            <w:pPr>
              <w:tabs>
                <w:tab w:val="clear" w:pos="567"/>
              </w:tabs>
              <w:spacing w:line="240" w:lineRule="auto"/>
              <w:ind w:left="-402" w:right="141"/>
              <w:jc w:val="right"/>
              <w:rPr>
                <w:sz w:val="18"/>
              </w:rPr>
            </w:pPr>
            <w:r>
              <w:rPr>
                <w:sz w:val="18"/>
              </w:rPr>
              <w:t>2 491</w:t>
            </w:r>
          </w:p>
        </w:tc>
        <w:tc>
          <w:tcPr>
            <w:tcW w:w="731" w:type="dxa"/>
            <w:vAlign w:val="bottom"/>
          </w:tcPr>
          <w:p w:rsidR="00000000" w:rsidRDefault="00000000">
            <w:pPr>
              <w:tabs>
                <w:tab w:val="clear" w:pos="567"/>
              </w:tabs>
              <w:spacing w:line="240" w:lineRule="auto"/>
              <w:ind w:left="-402" w:right="141"/>
              <w:jc w:val="right"/>
              <w:rPr>
                <w:sz w:val="18"/>
              </w:rPr>
            </w:pPr>
            <w:r>
              <w:rPr>
                <w:sz w:val="18"/>
              </w:rPr>
              <w:t>2 490</w:t>
            </w:r>
          </w:p>
        </w:tc>
        <w:tc>
          <w:tcPr>
            <w:tcW w:w="731" w:type="dxa"/>
            <w:vAlign w:val="bottom"/>
          </w:tcPr>
          <w:p w:rsidR="00000000" w:rsidRDefault="00000000">
            <w:pPr>
              <w:tabs>
                <w:tab w:val="clear" w:pos="567"/>
              </w:tabs>
              <w:spacing w:line="240" w:lineRule="auto"/>
              <w:ind w:left="-402" w:right="141"/>
              <w:jc w:val="right"/>
              <w:rPr>
                <w:sz w:val="18"/>
              </w:rPr>
            </w:pPr>
            <w:r>
              <w:rPr>
                <w:sz w:val="18"/>
              </w:rPr>
              <w:t>2 489</w:t>
            </w:r>
          </w:p>
        </w:tc>
      </w:tr>
      <w:tr w:rsidR="00000000">
        <w:tblPrEx>
          <w:tblCellMar>
            <w:top w:w="0" w:type="dxa"/>
            <w:bottom w:w="0" w:type="dxa"/>
          </w:tblCellMar>
        </w:tblPrEx>
        <w:tc>
          <w:tcPr>
            <w:tcW w:w="2833" w:type="dxa"/>
          </w:tcPr>
          <w:p w:rsidR="00000000" w:rsidRDefault="00000000">
            <w:pPr>
              <w:tabs>
                <w:tab w:val="clear" w:pos="1701"/>
                <w:tab w:val="clear" w:pos="2268"/>
                <w:tab w:val="left" w:pos="187"/>
              </w:tabs>
              <w:spacing w:line="240" w:lineRule="auto"/>
              <w:ind w:left="187" w:hanging="187"/>
              <w:rPr>
                <w:sz w:val="20"/>
              </w:rPr>
            </w:pPr>
            <w:r>
              <w:rPr>
                <w:sz w:val="20"/>
              </w:rPr>
              <w:t>с совместным обучением разных возрастов</w:t>
            </w:r>
          </w:p>
        </w:tc>
        <w:tc>
          <w:tcPr>
            <w:tcW w:w="730" w:type="dxa"/>
            <w:vAlign w:val="bottom"/>
          </w:tcPr>
          <w:p w:rsidR="00000000" w:rsidRDefault="00000000">
            <w:pPr>
              <w:tabs>
                <w:tab w:val="clear" w:pos="567"/>
              </w:tabs>
              <w:spacing w:line="240" w:lineRule="auto"/>
              <w:ind w:left="-402" w:right="141"/>
              <w:jc w:val="right"/>
              <w:rPr>
                <w:sz w:val="18"/>
              </w:rPr>
            </w:pPr>
            <w:r>
              <w:rPr>
                <w:sz w:val="18"/>
              </w:rPr>
              <w:t>1 118</w:t>
            </w:r>
          </w:p>
        </w:tc>
        <w:tc>
          <w:tcPr>
            <w:tcW w:w="731" w:type="dxa"/>
            <w:vAlign w:val="bottom"/>
          </w:tcPr>
          <w:p w:rsidR="00000000" w:rsidRDefault="00000000">
            <w:pPr>
              <w:tabs>
                <w:tab w:val="clear" w:pos="567"/>
              </w:tabs>
              <w:spacing w:line="240" w:lineRule="auto"/>
              <w:ind w:left="-402" w:right="141"/>
              <w:jc w:val="right"/>
              <w:rPr>
                <w:sz w:val="18"/>
              </w:rPr>
            </w:pPr>
            <w:r>
              <w:rPr>
                <w:sz w:val="18"/>
              </w:rPr>
              <w:t>1 118</w:t>
            </w:r>
          </w:p>
        </w:tc>
        <w:tc>
          <w:tcPr>
            <w:tcW w:w="731" w:type="dxa"/>
            <w:vAlign w:val="bottom"/>
          </w:tcPr>
          <w:p w:rsidR="00000000" w:rsidRDefault="00000000">
            <w:pPr>
              <w:tabs>
                <w:tab w:val="clear" w:pos="567"/>
              </w:tabs>
              <w:spacing w:line="240" w:lineRule="auto"/>
              <w:ind w:left="-402" w:right="141"/>
              <w:jc w:val="right"/>
              <w:rPr>
                <w:sz w:val="18"/>
              </w:rPr>
            </w:pPr>
            <w:r>
              <w:rPr>
                <w:sz w:val="18"/>
              </w:rPr>
              <w:t>1 242</w:t>
            </w:r>
          </w:p>
        </w:tc>
        <w:tc>
          <w:tcPr>
            <w:tcW w:w="731" w:type="dxa"/>
            <w:vAlign w:val="bottom"/>
          </w:tcPr>
          <w:p w:rsidR="00000000" w:rsidRDefault="00000000">
            <w:pPr>
              <w:tabs>
                <w:tab w:val="clear" w:pos="567"/>
              </w:tabs>
              <w:spacing w:line="240" w:lineRule="auto"/>
              <w:ind w:left="-402" w:right="141"/>
              <w:jc w:val="right"/>
              <w:rPr>
                <w:sz w:val="18"/>
              </w:rPr>
            </w:pPr>
            <w:r>
              <w:rPr>
                <w:sz w:val="18"/>
              </w:rPr>
              <w:t>1 378</w:t>
            </w:r>
          </w:p>
        </w:tc>
        <w:tc>
          <w:tcPr>
            <w:tcW w:w="731" w:type="dxa"/>
            <w:vAlign w:val="bottom"/>
          </w:tcPr>
          <w:p w:rsidR="00000000" w:rsidRDefault="00000000">
            <w:pPr>
              <w:tabs>
                <w:tab w:val="clear" w:pos="567"/>
              </w:tabs>
              <w:spacing w:line="240" w:lineRule="auto"/>
              <w:ind w:left="-402" w:right="141"/>
              <w:jc w:val="right"/>
              <w:rPr>
                <w:sz w:val="18"/>
              </w:rPr>
            </w:pPr>
            <w:r>
              <w:rPr>
                <w:sz w:val="18"/>
              </w:rPr>
              <w:t>1 300</w:t>
            </w:r>
          </w:p>
        </w:tc>
        <w:tc>
          <w:tcPr>
            <w:tcW w:w="731" w:type="dxa"/>
            <w:vAlign w:val="bottom"/>
          </w:tcPr>
          <w:p w:rsidR="00000000" w:rsidRDefault="00000000">
            <w:pPr>
              <w:tabs>
                <w:tab w:val="clear" w:pos="567"/>
              </w:tabs>
              <w:spacing w:line="240" w:lineRule="auto"/>
              <w:ind w:left="-402" w:right="141"/>
              <w:jc w:val="right"/>
              <w:rPr>
                <w:sz w:val="18"/>
              </w:rPr>
            </w:pPr>
            <w:r>
              <w:rPr>
                <w:sz w:val="18"/>
              </w:rPr>
              <w:t>1 349</w:t>
            </w:r>
          </w:p>
        </w:tc>
        <w:tc>
          <w:tcPr>
            <w:tcW w:w="731" w:type="dxa"/>
            <w:vAlign w:val="bottom"/>
          </w:tcPr>
          <w:p w:rsidR="00000000" w:rsidRDefault="00000000">
            <w:pPr>
              <w:tabs>
                <w:tab w:val="clear" w:pos="567"/>
              </w:tabs>
              <w:spacing w:line="240" w:lineRule="auto"/>
              <w:ind w:left="-402" w:right="141"/>
              <w:jc w:val="right"/>
              <w:rPr>
                <w:sz w:val="18"/>
              </w:rPr>
            </w:pPr>
            <w:r>
              <w:rPr>
                <w:sz w:val="18"/>
              </w:rPr>
              <w:t>1 399</w:t>
            </w:r>
          </w:p>
        </w:tc>
        <w:tc>
          <w:tcPr>
            <w:tcW w:w="731" w:type="dxa"/>
            <w:vAlign w:val="bottom"/>
          </w:tcPr>
          <w:p w:rsidR="00000000" w:rsidRDefault="00000000">
            <w:pPr>
              <w:tabs>
                <w:tab w:val="clear" w:pos="567"/>
              </w:tabs>
              <w:spacing w:line="240" w:lineRule="auto"/>
              <w:ind w:left="-402" w:right="141"/>
              <w:jc w:val="right"/>
              <w:rPr>
                <w:sz w:val="18"/>
              </w:rPr>
            </w:pPr>
            <w:r>
              <w:rPr>
                <w:sz w:val="18"/>
              </w:rPr>
              <w:t>1 463</w:t>
            </w:r>
          </w:p>
        </w:tc>
        <w:tc>
          <w:tcPr>
            <w:tcW w:w="731" w:type="dxa"/>
            <w:vAlign w:val="bottom"/>
          </w:tcPr>
          <w:p w:rsidR="00000000" w:rsidRDefault="00000000">
            <w:pPr>
              <w:tabs>
                <w:tab w:val="clear" w:pos="567"/>
              </w:tabs>
              <w:spacing w:line="240" w:lineRule="auto"/>
              <w:ind w:left="-402" w:right="141"/>
              <w:jc w:val="right"/>
              <w:rPr>
                <w:sz w:val="18"/>
              </w:rPr>
            </w:pPr>
            <w:r>
              <w:rPr>
                <w:sz w:val="18"/>
              </w:rPr>
              <w:t>1 482</w:t>
            </w:r>
          </w:p>
        </w:tc>
      </w:tr>
    </w:tbl>
    <w:p w:rsidR="00000000" w:rsidRDefault="00000000">
      <w:pPr>
        <w:pStyle w:val="FootnoteText"/>
        <w:spacing w:line="288" w:lineRule="auto"/>
      </w:pPr>
    </w:p>
    <w:p w:rsidR="00000000" w:rsidRDefault="00000000">
      <w:r>
        <w:tab/>
      </w:r>
      <w:r>
        <w:rPr>
          <w:u w:val="single"/>
        </w:rPr>
        <w:t>Источник</w:t>
      </w:r>
      <w:r>
        <w:t>:  Институт информации в области образования.</w:t>
      </w:r>
    </w:p>
    <w:p w:rsidR="00000000" w:rsidRDefault="00000000">
      <w:pPr>
        <w:pStyle w:val="FootnoteText"/>
        <w:spacing w:line="288" w:lineRule="auto"/>
      </w:pPr>
    </w:p>
    <w:p w:rsidR="00000000" w:rsidRDefault="00000000">
      <w:r>
        <w:t>568.</w:t>
      </w:r>
      <w:r>
        <w:tab/>
        <w:t>На уровне начального образования доля негосударственных школ, т.е. частных и приходских школ, является относительно низкой.  В 1997/98 учебном году в системе начального образования имелось только 32 частные и 19 приходских школ, которые составляли 1,2% от всех начальных школ;  это соотношение сохранялось в течение ряда лет.  Доля учащихся в негосударственных школах также является стабильной - менее 0,5%.  Наиболее существенным фактором, сдерживающим развитие негосударственных начальных школ, является наличие густой сети государственных начальных школ и традиционно оказываемое им предпочтение.  Кроме того, деятельность организаторов негосударственных школ сужается также вследствие сокращения численности населения и оттока учащихся в классические гимназии.  Такие организаторы занимаются в основном особыми сферами образования:  например, обучением детей, отстающих в умственном развитии;  детей, растущих в условиях, которые отличаются от условий обычной семьи;  или детей, которые по психологическим или социальным причинам не способны адаптироваться к условиям стандартной начальной школы.  Одним из таких примеров является приходская начальная школа "Поемисл питтер" в Остраве, в которой обучаются в основном дети рома.</w:t>
      </w:r>
    </w:p>
    <w:p w:rsidR="00000000" w:rsidRDefault="00000000"/>
    <w:p w:rsidR="00000000" w:rsidRDefault="00000000">
      <w:r>
        <w:t>569.</w:t>
      </w:r>
      <w:r>
        <w:tab/>
        <w:t>Учащиеся, получившие в начальной школе обязательное образование ниже уровня девятого класса или не сдавшие экзамены за девятый класс, могут проходить подготовительные курсы для поступления в профессионально-техническое училище, где их учат ручному труду, не требующему особой квалификации.  Такая подготовка завершается сдачей экзаменов.  Теоретически возможно дополнить свое незаконченное начальное образование (включая специальное образование) на курсах, которые имеет право организовывать одна школа в каждом районе.  Однако посещать такие курсы могут лишь лица, успешно прошедшие предварительное собеседование.  Лица, не завершившие курс начального образования, по</w:t>
      </w:r>
      <w:r>
        <w:noBreakHyphen/>
        <w:t>прежнему находятся в неблагоприятном положении как в отношении возможности обучения на курсах переквалификации, так и на рынке труда в целом.</w:t>
      </w:r>
    </w:p>
    <w:p w:rsidR="00000000" w:rsidRDefault="00000000"/>
    <w:p w:rsidR="00000000" w:rsidRDefault="00000000">
      <w:pPr>
        <w:pStyle w:val="Heading1"/>
        <w:rPr>
          <w:b w:val="0"/>
          <w:i/>
          <w:iCs/>
        </w:rPr>
      </w:pPr>
      <w:r>
        <w:rPr>
          <w:b w:val="0"/>
          <w:i/>
          <w:iCs/>
        </w:rPr>
        <w:t>Средние школы</w:t>
      </w:r>
    </w:p>
    <w:p w:rsidR="00000000" w:rsidRDefault="00000000">
      <w:pPr>
        <w:pStyle w:val="Heading1"/>
        <w:rPr>
          <w:bCs/>
        </w:rPr>
      </w:pPr>
    </w:p>
    <w:p w:rsidR="00000000" w:rsidRDefault="00000000">
      <w:r>
        <w:t>570.</w:t>
      </w:r>
      <w:r>
        <w:tab/>
        <w:t xml:space="preserve">Большинство учащихся, завершивших курс обязательного образования, продолжают учебу в средней школе, и прямое пополнение ими рабочей силы является скорее исключением.  Наибольшим рискам на рынке труда подвергаются группы молодых людей с низким образовательным уровнем.  Средние школы дают знания и навыки, необходимые для выбранной профессии или дальнейшего образования.  Как правило, среднее образование начинается в возрасте 15 лет и длится, в зависимости от типа учебного заведения, от двух до шести лет.  Средние учебные заведения делятся на средние профессионально-технические училища, классические гимназии и техникумы.  </w:t>
      </w:r>
    </w:p>
    <w:p w:rsidR="00000000" w:rsidRDefault="00000000"/>
    <w:p w:rsidR="00000000" w:rsidRDefault="00000000">
      <w:r>
        <w:t>571.</w:t>
      </w:r>
      <w:r>
        <w:tab/>
        <w:t>Средние профессионально-технические училища готовят учащихся рабочим профессиям и разным специальностям.  Учеба завершается сдачей экзаменов.  Классическая гимназия является общеобразовательной школой, которая готовит учащихся для учебы в послесредних профессиональных учебных заведениях или университетах.  Обучение в ней длится четыре, шесть или восемь лет и обычно завершается выдачей выпускнику аттестата (как правило, в возрасте 19 лет).  Техникумы готовят специалистов в разных областях, при этом курс дневной формы обучения рассчитан на период не более четырех лет, по завершении которых выдается аттестат.  Особым видом среднего профессионального учебного заведения является консерватория, в которой учащиеся обучаются пению, музыке, танцевальному или драматическому искусству.  Срок обучения длится от шести до восьми лет и завершается выдачей аттестата.</w:t>
      </w:r>
    </w:p>
    <w:p w:rsidR="00000000" w:rsidRDefault="00000000">
      <w:pPr>
        <w:spacing w:line="240" w:lineRule="auto"/>
      </w:pPr>
    </w:p>
    <w:p w:rsidR="00000000" w:rsidRDefault="00000000">
      <w:pPr>
        <w:pStyle w:val="Heading1"/>
        <w:spacing w:line="240" w:lineRule="auto"/>
        <w:jc w:val="center"/>
        <w:rPr>
          <w:bCs/>
        </w:rPr>
      </w:pPr>
      <w:r>
        <w:rPr>
          <w:bCs/>
        </w:rPr>
        <w:t>Число средних учебных заведений в 1993-1998 годах и число учащихся в них</w:t>
      </w:r>
    </w:p>
    <w:p w:rsidR="00000000" w:rsidRDefault="00000000">
      <w:pPr>
        <w:pStyle w:val="10"/>
        <w:spacing w:line="240" w:lineRule="auto"/>
        <w:rPr>
          <w:bCs/>
        </w:rPr>
      </w:pPr>
      <w:r>
        <w:rPr>
          <w:bCs/>
        </w:rPr>
        <w:t>(в тыс. человек)</w:t>
      </w:r>
    </w:p>
    <w:p w:rsidR="00000000" w:rsidRDefault="00000000">
      <w:pPr>
        <w:spacing w:line="240" w:lineRule="auto"/>
        <w:jc w:val="center"/>
        <w:rPr>
          <w:b/>
          <w:bCs/>
        </w:rPr>
      </w:pPr>
    </w:p>
    <w:tbl>
      <w:tblPr>
        <w:tblW w:w="9402" w:type="dxa"/>
        <w:tblInd w:w="108" w:type="dxa"/>
        <w:tblBorders>
          <w:top w:val="single" w:sz="4" w:space="0" w:color="auto"/>
          <w:bottom w:val="single" w:sz="4" w:space="0" w:color="auto"/>
        </w:tblBorders>
        <w:tblLayout w:type="fixed"/>
        <w:tblCellMar>
          <w:left w:w="56" w:type="dxa"/>
          <w:right w:w="56" w:type="dxa"/>
        </w:tblCellMar>
        <w:tblLook w:val="0000" w:firstRow="0" w:lastRow="0" w:firstColumn="0" w:lastColumn="0" w:noHBand="0" w:noVBand="0"/>
      </w:tblPr>
      <w:tblGrid>
        <w:gridCol w:w="1922"/>
        <w:gridCol w:w="748"/>
        <w:gridCol w:w="748"/>
        <w:gridCol w:w="748"/>
        <w:gridCol w:w="748"/>
        <w:gridCol w:w="748"/>
        <w:gridCol w:w="748"/>
        <w:gridCol w:w="748"/>
        <w:gridCol w:w="748"/>
        <w:gridCol w:w="748"/>
        <w:gridCol w:w="748"/>
      </w:tblGrid>
      <w:tr w:rsidR="00000000">
        <w:tblPrEx>
          <w:tblCellMar>
            <w:top w:w="0" w:type="dxa"/>
            <w:bottom w:w="0" w:type="dxa"/>
          </w:tblCellMar>
        </w:tblPrEx>
        <w:trPr>
          <w:cantSplit/>
        </w:trPr>
        <w:tc>
          <w:tcPr>
            <w:tcW w:w="1922" w:type="dxa"/>
            <w:tcBorders>
              <w:top w:val="single" w:sz="4" w:space="0" w:color="auto"/>
              <w:left w:val="single" w:sz="4" w:space="0" w:color="auto"/>
              <w:bottom w:val="nil"/>
              <w:right w:val="single" w:sz="4" w:space="0" w:color="auto"/>
            </w:tcBorders>
          </w:tcPr>
          <w:p w:rsidR="00000000" w:rsidRDefault="00000000">
            <w:pPr>
              <w:spacing w:line="240" w:lineRule="auto"/>
              <w:rPr>
                <w:sz w:val="20"/>
              </w:rPr>
            </w:pPr>
          </w:p>
        </w:tc>
        <w:tc>
          <w:tcPr>
            <w:tcW w:w="1496"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b/>
                <w:bCs/>
                <w:sz w:val="20"/>
              </w:rPr>
              <w:t>1993/94</w:t>
            </w:r>
          </w:p>
        </w:tc>
        <w:tc>
          <w:tcPr>
            <w:tcW w:w="1496"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b/>
                <w:bCs/>
                <w:sz w:val="20"/>
              </w:rPr>
              <w:t>1994/95</w:t>
            </w:r>
          </w:p>
        </w:tc>
        <w:tc>
          <w:tcPr>
            <w:tcW w:w="1496"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b/>
                <w:bCs/>
                <w:sz w:val="20"/>
              </w:rPr>
              <w:t>1995/96</w:t>
            </w:r>
          </w:p>
        </w:tc>
        <w:tc>
          <w:tcPr>
            <w:tcW w:w="1496"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b/>
                <w:bCs/>
                <w:sz w:val="20"/>
              </w:rPr>
              <w:t>1996/97</w:t>
            </w:r>
          </w:p>
        </w:tc>
        <w:tc>
          <w:tcPr>
            <w:tcW w:w="1496"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b/>
                <w:bCs/>
                <w:sz w:val="20"/>
              </w:rPr>
              <w:t>1997/98</w:t>
            </w:r>
          </w:p>
        </w:tc>
      </w:tr>
      <w:tr w:rsidR="00000000">
        <w:tblPrEx>
          <w:tblCellMar>
            <w:top w:w="0" w:type="dxa"/>
            <w:bottom w:w="0" w:type="dxa"/>
          </w:tblCellMar>
        </w:tblPrEx>
        <w:tc>
          <w:tcPr>
            <w:tcW w:w="1922" w:type="dxa"/>
            <w:tcBorders>
              <w:top w:val="nil"/>
              <w:left w:val="single" w:sz="4" w:space="0" w:color="auto"/>
              <w:bottom w:val="single" w:sz="4" w:space="0" w:color="auto"/>
              <w:right w:val="single" w:sz="4" w:space="0" w:color="auto"/>
            </w:tcBorders>
          </w:tcPr>
          <w:p w:rsidR="00000000" w:rsidRDefault="00000000">
            <w:pPr>
              <w:spacing w:line="240" w:lineRule="auto"/>
              <w:rPr>
                <w:sz w:val="20"/>
              </w:rPr>
            </w:pP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0"/>
              </w:rPr>
            </w:pPr>
            <w:r>
              <w:rPr>
                <w:sz w:val="20"/>
              </w:rPr>
              <w:t>Уч.зав.</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0"/>
              </w:rPr>
            </w:pPr>
            <w:r>
              <w:rPr>
                <w:sz w:val="20"/>
              </w:rPr>
              <w:t>Учащ.</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0"/>
              </w:rPr>
            </w:pPr>
            <w:r>
              <w:rPr>
                <w:sz w:val="20"/>
              </w:rPr>
              <w:t>Уч.зав.</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0"/>
              </w:rPr>
            </w:pPr>
            <w:r>
              <w:rPr>
                <w:sz w:val="20"/>
              </w:rPr>
              <w:t>Учащ.</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0"/>
              </w:rPr>
            </w:pPr>
            <w:r>
              <w:rPr>
                <w:sz w:val="20"/>
              </w:rPr>
              <w:t>Уч.зав.</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0"/>
              </w:rPr>
            </w:pPr>
            <w:r>
              <w:rPr>
                <w:sz w:val="20"/>
              </w:rPr>
              <w:t>Учащ.</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0"/>
              </w:rPr>
            </w:pPr>
            <w:r>
              <w:rPr>
                <w:sz w:val="20"/>
              </w:rPr>
              <w:t>Уч.зав.</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0"/>
              </w:rPr>
            </w:pPr>
            <w:r>
              <w:rPr>
                <w:sz w:val="20"/>
              </w:rPr>
              <w:t>Учащ.</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0"/>
              </w:rPr>
            </w:pPr>
            <w:r>
              <w:rPr>
                <w:sz w:val="20"/>
              </w:rPr>
              <w:t>Уч.зав.</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0"/>
              </w:rPr>
            </w:pPr>
            <w:r>
              <w:rPr>
                <w:sz w:val="20"/>
              </w:rPr>
              <w:t>Учащ.</w:t>
            </w:r>
          </w:p>
        </w:tc>
      </w:tr>
      <w:tr w:rsidR="00000000">
        <w:tblPrEx>
          <w:tblCellMar>
            <w:top w:w="0" w:type="dxa"/>
            <w:bottom w:w="0" w:type="dxa"/>
          </w:tblCellMar>
        </w:tblPrEx>
        <w:tc>
          <w:tcPr>
            <w:tcW w:w="1922" w:type="dxa"/>
            <w:tcBorders>
              <w:top w:val="single" w:sz="4" w:space="0" w:color="auto"/>
              <w:left w:val="single" w:sz="4" w:space="0" w:color="auto"/>
              <w:bottom w:val="nil"/>
              <w:right w:val="single" w:sz="4" w:space="0" w:color="auto"/>
            </w:tcBorders>
          </w:tcPr>
          <w:p w:rsidR="00000000" w:rsidRDefault="00000000">
            <w:pPr>
              <w:tabs>
                <w:tab w:val="clear" w:pos="567"/>
                <w:tab w:val="left" w:pos="79"/>
              </w:tabs>
              <w:spacing w:line="240" w:lineRule="auto"/>
              <w:ind w:left="79" w:hanging="79"/>
              <w:rPr>
                <w:b/>
                <w:bCs/>
                <w:sz w:val="22"/>
              </w:rPr>
            </w:pPr>
            <w:r>
              <w:rPr>
                <w:sz w:val="22"/>
              </w:rPr>
              <w:t>Классические гимназии</w:t>
            </w:r>
            <w:r>
              <w:rPr>
                <w:b/>
                <w:bCs/>
                <w:sz w:val="22"/>
                <w:vertAlign w:val="superscript"/>
              </w:rPr>
              <w:t>а</w:t>
            </w:r>
          </w:p>
        </w:tc>
        <w:tc>
          <w:tcPr>
            <w:tcW w:w="748" w:type="dxa"/>
            <w:tcBorders>
              <w:top w:val="single" w:sz="4" w:space="0" w:color="auto"/>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324</w:t>
            </w:r>
          </w:p>
        </w:tc>
        <w:tc>
          <w:tcPr>
            <w:tcW w:w="748" w:type="dxa"/>
            <w:tcBorders>
              <w:top w:val="single" w:sz="4" w:space="0" w:color="auto"/>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122</w:t>
            </w:r>
          </w:p>
        </w:tc>
        <w:tc>
          <w:tcPr>
            <w:tcW w:w="748" w:type="dxa"/>
            <w:tcBorders>
              <w:top w:val="single" w:sz="4" w:space="0" w:color="auto"/>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349</w:t>
            </w:r>
          </w:p>
        </w:tc>
        <w:tc>
          <w:tcPr>
            <w:tcW w:w="748" w:type="dxa"/>
            <w:tcBorders>
              <w:top w:val="single" w:sz="4" w:space="0" w:color="auto"/>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128</w:t>
            </w:r>
          </w:p>
        </w:tc>
        <w:tc>
          <w:tcPr>
            <w:tcW w:w="748" w:type="dxa"/>
            <w:tcBorders>
              <w:top w:val="single" w:sz="4" w:space="0" w:color="auto"/>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361</w:t>
            </w:r>
          </w:p>
        </w:tc>
        <w:tc>
          <w:tcPr>
            <w:tcW w:w="748" w:type="dxa"/>
            <w:tcBorders>
              <w:top w:val="single" w:sz="4" w:space="0" w:color="auto"/>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133</w:t>
            </w:r>
          </w:p>
        </w:tc>
        <w:tc>
          <w:tcPr>
            <w:tcW w:w="748" w:type="dxa"/>
            <w:tcBorders>
              <w:top w:val="single" w:sz="4" w:space="0" w:color="auto"/>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367</w:t>
            </w:r>
          </w:p>
        </w:tc>
        <w:tc>
          <w:tcPr>
            <w:tcW w:w="748" w:type="dxa"/>
            <w:tcBorders>
              <w:top w:val="single" w:sz="4" w:space="0" w:color="auto"/>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126</w:t>
            </w:r>
          </w:p>
        </w:tc>
        <w:tc>
          <w:tcPr>
            <w:tcW w:w="748" w:type="dxa"/>
            <w:tcBorders>
              <w:top w:val="single" w:sz="4" w:space="0" w:color="auto"/>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364</w:t>
            </w:r>
          </w:p>
        </w:tc>
        <w:tc>
          <w:tcPr>
            <w:tcW w:w="748" w:type="dxa"/>
            <w:tcBorders>
              <w:top w:val="single" w:sz="4" w:space="0" w:color="auto"/>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126</w:t>
            </w:r>
          </w:p>
        </w:tc>
      </w:tr>
      <w:tr w:rsidR="00000000">
        <w:tblPrEx>
          <w:tblCellMar>
            <w:top w:w="0" w:type="dxa"/>
            <w:bottom w:w="0" w:type="dxa"/>
          </w:tblCellMar>
        </w:tblPrEx>
        <w:tc>
          <w:tcPr>
            <w:tcW w:w="1922" w:type="dxa"/>
            <w:tcBorders>
              <w:top w:val="nil"/>
              <w:left w:val="single" w:sz="4" w:space="0" w:color="auto"/>
              <w:bottom w:val="nil"/>
              <w:right w:val="single" w:sz="4" w:space="0" w:color="auto"/>
            </w:tcBorders>
          </w:tcPr>
          <w:p w:rsidR="00000000" w:rsidRDefault="00000000">
            <w:pPr>
              <w:tabs>
                <w:tab w:val="clear" w:pos="567"/>
                <w:tab w:val="left" w:pos="79"/>
              </w:tabs>
              <w:spacing w:line="240" w:lineRule="auto"/>
              <w:ind w:left="79" w:hanging="79"/>
              <w:rPr>
                <w:sz w:val="22"/>
              </w:rPr>
            </w:pPr>
            <w:r>
              <w:rPr>
                <w:sz w:val="22"/>
              </w:rPr>
              <w:t>Техникумы</w:t>
            </w:r>
          </w:p>
        </w:tc>
        <w:tc>
          <w:tcPr>
            <w:tcW w:w="748" w:type="dxa"/>
            <w:tcBorders>
              <w:top w:val="nil"/>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821</w:t>
            </w:r>
          </w:p>
        </w:tc>
        <w:tc>
          <w:tcPr>
            <w:tcW w:w="748" w:type="dxa"/>
            <w:tcBorders>
              <w:top w:val="nil"/>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219</w:t>
            </w:r>
          </w:p>
        </w:tc>
        <w:tc>
          <w:tcPr>
            <w:tcW w:w="748" w:type="dxa"/>
            <w:tcBorders>
              <w:top w:val="nil"/>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800</w:t>
            </w:r>
          </w:p>
        </w:tc>
        <w:tc>
          <w:tcPr>
            <w:tcW w:w="748" w:type="dxa"/>
            <w:tcBorders>
              <w:top w:val="nil"/>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222</w:t>
            </w:r>
          </w:p>
        </w:tc>
        <w:tc>
          <w:tcPr>
            <w:tcW w:w="748" w:type="dxa"/>
            <w:tcBorders>
              <w:top w:val="nil"/>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832</w:t>
            </w:r>
          </w:p>
        </w:tc>
        <w:tc>
          <w:tcPr>
            <w:tcW w:w="748" w:type="dxa"/>
            <w:tcBorders>
              <w:top w:val="nil"/>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230</w:t>
            </w:r>
          </w:p>
        </w:tc>
        <w:tc>
          <w:tcPr>
            <w:tcW w:w="748" w:type="dxa"/>
            <w:tcBorders>
              <w:top w:val="nil"/>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809</w:t>
            </w:r>
          </w:p>
        </w:tc>
        <w:tc>
          <w:tcPr>
            <w:tcW w:w="748" w:type="dxa"/>
            <w:tcBorders>
              <w:top w:val="nil"/>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179</w:t>
            </w:r>
          </w:p>
        </w:tc>
        <w:tc>
          <w:tcPr>
            <w:tcW w:w="748" w:type="dxa"/>
            <w:tcBorders>
              <w:top w:val="nil"/>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756</w:t>
            </w:r>
          </w:p>
        </w:tc>
        <w:tc>
          <w:tcPr>
            <w:tcW w:w="748" w:type="dxa"/>
            <w:tcBorders>
              <w:top w:val="nil"/>
              <w:left w:val="single" w:sz="4" w:space="0" w:color="auto"/>
              <w:bottom w:val="nil"/>
              <w:right w:val="single" w:sz="4" w:space="0" w:color="auto"/>
            </w:tcBorders>
          </w:tcPr>
          <w:p w:rsidR="00000000" w:rsidRDefault="00000000">
            <w:pPr>
              <w:spacing w:line="240" w:lineRule="auto"/>
              <w:jc w:val="center"/>
              <w:rPr>
                <w:sz w:val="22"/>
                <w:lang w:val="en-US"/>
              </w:rPr>
            </w:pPr>
            <w:r>
              <w:rPr>
                <w:sz w:val="22"/>
                <w:lang w:val="en-US"/>
              </w:rPr>
              <w:t>174</w:t>
            </w:r>
          </w:p>
        </w:tc>
      </w:tr>
      <w:tr w:rsidR="00000000">
        <w:tblPrEx>
          <w:tblCellMar>
            <w:top w:w="0" w:type="dxa"/>
            <w:bottom w:w="0" w:type="dxa"/>
          </w:tblCellMar>
        </w:tblPrEx>
        <w:tc>
          <w:tcPr>
            <w:tcW w:w="1922" w:type="dxa"/>
            <w:tcBorders>
              <w:top w:val="nil"/>
              <w:left w:val="single" w:sz="4" w:space="0" w:color="auto"/>
              <w:bottom w:val="single" w:sz="4" w:space="0" w:color="auto"/>
              <w:right w:val="single" w:sz="4" w:space="0" w:color="auto"/>
            </w:tcBorders>
          </w:tcPr>
          <w:p w:rsidR="00000000" w:rsidRDefault="00000000">
            <w:pPr>
              <w:tabs>
                <w:tab w:val="clear" w:pos="567"/>
                <w:tab w:val="left" w:pos="79"/>
              </w:tabs>
              <w:spacing w:line="240" w:lineRule="auto"/>
              <w:ind w:left="79" w:hanging="79"/>
              <w:rPr>
                <w:sz w:val="22"/>
              </w:rPr>
            </w:pPr>
            <w:r>
              <w:rPr>
                <w:sz w:val="22"/>
              </w:rPr>
              <w:t>Комплексные средние учебные заведения</w:t>
            </w:r>
          </w:p>
        </w:tc>
        <w:tc>
          <w:tcPr>
            <w:tcW w:w="748" w:type="dxa"/>
            <w:tcBorders>
              <w:top w:val="nil"/>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lang w:val="en-US"/>
              </w:rPr>
              <w:t>x</w:t>
            </w:r>
          </w:p>
        </w:tc>
        <w:tc>
          <w:tcPr>
            <w:tcW w:w="748" w:type="dxa"/>
            <w:tcBorders>
              <w:top w:val="nil"/>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lang w:val="en-US"/>
              </w:rPr>
              <w:t>x</w:t>
            </w:r>
          </w:p>
        </w:tc>
        <w:tc>
          <w:tcPr>
            <w:tcW w:w="748" w:type="dxa"/>
            <w:tcBorders>
              <w:top w:val="nil"/>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lang w:val="en-US"/>
              </w:rPr>
              <w:t>x</w:t>
            </w:r>
          </w:p>
        </w:tc>
        <w:tc>
          <w:tcPr>
            <w:tcW w:w="748" w:type="dxa"/>
            <w:tcBorders>
              <w:top w:val="nil"/>
              <w:left w:val="single" w:sz="4" w:space="0" w:color="auto"/>
              <w:bottom w:val="single" w:sz="4" w:space="0" w:color="auto"/>
              <w:right w:val="single" w:sz="4" w:space="0" w:color="auto"/>
            </w:tcBorders>
          </w:tcPr>
          <w:p w:rsidR="00000000" w:rsidRDefault="00000000">
            <w:pPr>
              <w:spacing w:line="240" w:lineRule="auto"/>
              <w:jc w:val="center"/>
              <w:rPr>
                <w:sz w:val="22"/>
                <w:lang w:val="en-US"/>
              </w:rPr>
            </w:pPr>
            <w:r>
              <w:rPr>
                <w:sz w:val="22"/>
                <w:lang w:val="en-US"/>
              </w:rPr>
              <w:t>x</w:t>
            </w:r>
          </w:p>
        </w:tc>
        <w:tc>
          <w:tcPr>
            <w:tcW w:w="748" w:type="dxa"/>
            <w:tcBorders>
              <w:top w:val="nil"/>
              <w:left w:val="single" w:sz="4" w:space="0" w:color="auto"/>
              <w:bottom w:val="single" w:sz="4" w:space="0" w:color="auto"/>
              <w:right w:val="single" w:sz="4" w:space="0" w:color="auto"/>
            </w:tcBorders>
          </w:tcPr>
          <w:p w:rsidR="00000000" w:rsidRDefault="00000000">
            <w:pPr>
              <w:spacing w:line="240" w:lineRule="auto"/>
              <w:jc w:val="center"/>
              <w:rPr>
                <w:sz w:val="22"/>
                <w:lang w:val="en-US"/>
              </w:rPr>
            </w:pPr>
            <w:r>
              <w:rPr>
                <w:sz w:val="22"/>
                <w:lang w:val="en-US"/>
              </w:rPr>
              <w:t>201</w:t>
            </w:r>
          </w:p>
        </w:tc>
        <w:tc>
          <w:tcPr>
            <w:tcW w:w="748" w:type="dxa"/>
            <w:tcBorders>
              <w:top w:val="nil"/>
              <w:left w:val="single" w:sz="4" w:space="0" w:color="auto"/>
              <w:bottom w:val="single" w:sz="4" w:space="0" w:color="auto"/>
              <w:right w:val="single" w:sz="4" w:space="0" w:color="auto"/>
            </w:tcBorders>
          </w:tcPr>
          <w:p w:rsidR="00000000" w:rsidRDefault="00000000">
            <w:pPr>
              <w:spacing w:line="240" w:lineRule="auto"/>
              <w:jc w:val="center"/>
              <w:rPr>
                <w:sz w:val="22"/>
                <w:lang w:val="en-US"/>
              </w:rPr>
            </w:pPr>
            <w:r>
              <w:rPr>
                <w:sz w:val="22"/>
                <w:lang w:val="en-US"/>
              </w:rPr>
              <w:t>107</w:t>
            </w:r>
          </w:p>
        </w:tc>
        <w:tc>
          <w:tcPr>
            <w:tcW w:w="748" w:type="dxa"/>
            <w:tcBorders>
              <w:top w:val="nil"/>
              <w:left w:val="single" w:sz="4" w:space="0" w:color="auto"/>
              <w:bottom w:val="single" w:sz="4" w:space="0" w:color="auto"/>
              <w:right w:val="single" w:sz="4" w:space="0" w:color="auto"/>
            </w:tcBorders>
          </w:tcPr>
          <w:p w:rsidR="00000000" w:rsidRDefault="00000000">
            <w:pPr>
              <w:spacing w:line="240" w:lineRule="auto"/>
              <w:jc w:val="center"/>
              <w:rPr>
                <w:sz w:val="22"/>
                <w:lang w:val="en-US"/>
              </w:rPr>
            </w:pPr>
            <w:r>
              <w:rPr>
                <w:sz w:val="22"/>
                <w:lang w:val="en-US"/>
              </w:rPr>
              <w:t>202</w:t>
            </w:r>
          </w:p>
        </w:tc>
        <w:tc>
          <w:tcPr>
            <w:tcW w:w="748" w:type="dxa"/>
            <w:tcBorders>
              <w:top w:val="nil"/>
              <w:left w:val="single" w:sz="4" w:space="0" w:color="auto"/>
              <w:bottom w:val="single" w:sz="4" w:space="0" w:color="auto"/>
              <w:right w:val="single" w:sz="4" w:space="0" w:color="auto"/>
            </w:tcBorders>
          </w:tcPr>
          <w:p w:rsidR="00000000" w:rsidRDefault="00000000">
            <w:pPr>
              <w:spacing w:line="240" w:lineRule="auto"/>
              <w:jc w:val="center"/>
              <w:rPr>
                <w:sz w:val="22"/>
                <w:lang w:val="en-US"/>
              </w:rPr>
            </w:pPr>
            <w:r>
              <w:rPr>
                <w:sz w:val="22"/>
                <w:lang w:val="en-US"/>
              </w:rPr>
              <w:t>87</w:t>
            </w:r>
          </w:p>
        </w:tc>
        <w:tc>
          <w:tcPr>
            <w:tcW w:w="748" w:type="dxa"/>
            <w:tcBorders>
              <w:top w:val="nil"/>
              <w:left w:val="single" w:sz="4" w:space="0" w:color="auto"/>
              <w:bottom w:val="single" w:sz="4" w:space="0" w:color="auto"/>
              <w:right w:val="single" w:sz="4" w:space="0" w:color="auto"/>
            </w:tcBorders>
          </w:tcPr>
          <w:p w:rsidR="00000000" w:rsidRDefault="00000000">
            <w:pPr>
              <w:spacing w:line="240" w:lineRule="auto"/>
              <w:jc w:val="center"/>
              <w:rPr>
                <w:sz w:val="22"/>
                <w:lang w:val="en-US"/>
              </w:rPr>
            </w:pPr>
            <w:r>
              <w:rPr>
                <w:sz w:val="22"/>
                <w:lang w:val="en-US"/>
              </w:rPr>
              <w:t>177</w:t>
            </w:r>
          </w:p>
        </w:tc>
        <w:tc>
          <w:tcPr>
            <w:tcW w:w="748" w:type="dxa"/>
            <w:tcBorders>
              <w:top w:val="nil"/>
              <w:left w:val="single" w:sz="4" w:space="0" w:color="auto"/>
              <w:bottom w:val="single" w:sz="4" w:space="0" w:color="auto"/>
              <w:right w:val="single" w:sz="4" w:space="0" w:color="auto"/>
            </w:tcBorders>
          </w:tcPr>
          <w:p w:rsidR="00000000" w:rsidRDefault="00000000">
            <w:pPr>
              <w:spacing w:line="240" w:lineRule="auto"/>
              <w:jc w:val="center"/>
              <w:rPr>
                <w:sz w:val="22"/>
                <w:lang w:val="en-US"/>
              </w:rPr>
            </w:pPr>
            <w:r>
              <w:rPr>
                <w:sz w:val="22"/>
                <w:lang w:val="en-US"/>
              </w:rPr>
              <w:t>73</w:t>
            </w:r>
          </w:p>
        </w:tc>
      </w:tr>
    </w:tbl>
    <w:p w:rsidR="00000000" w:rsidRDefault="00000000">
      <w:pPr>
        <w:pStyle w:val="FootnoteText"/>
        <w:rPr>
          <w:lang w:val="en-US"/>
        </w:rPr>
      </w:pPr>
    </w:p>
    <w:p w:rsidR="00000000" w:rsidRDefault="00000000">
      <w:pPr>
        <w:pStyle w:val="FootnoteText"/>
      </w:pPr>
      <w:r>
        <w:rPr>
          <w:b/>
          <w:bCs/>
          <w:vertAlign w:val="superscript"/>
          <w:lang w:val="en-US"/>
        </w:rPr>
        <w:t>a</w:t>
      </w:r>
      <w:r>
        <w:rPr>
          <w:b/>
          <w:bCs/>
          <w:vertAlign w:val="superscript"/>
        </w:rPr>
        <w:tab/>
      </w:r>
      <w:r>
        <w:t>Включая гимназии с восьмилетним и шестилетним циклами обучения.</w:t>
      </w:r>
    </w:p>
    <w:p w:rsidR="00000000" w:rsidRDefault="00000000">
      <w:pPr>
        <w:pStyle w:val="FootnoteText"/>
      </w:pPr>
    </w:p>
    <w:p w:rsidR="00000000" w:rsidRDefault="00000000">
      <w:pPr>
        <w:pStyle w:val="FootnoteText"/>
      </w:pPr>
      <w:r>
        <w:tab/>
        <w:t>Уч. зав. - численность учебных заведений, учащ. - число учащихся.</w:t>
      </w:r>
    </w:p>
    <w:p w:rsidR="00000000" w:rsidRDefault="00000000">
      <w:pPr>
        <w:pStyle w:val="FootnoteText"/>
      </w:pPr>
    </w:p>
    <w:p w:rsidR="00000000" w:rsidRDefault="00000000">
      <w:pPr>
        <w:pStyle w:val="FootnoteText"/>
        <w:spacing w:line="288" w:lineRule="auto"/>
      </w:pPr>
      <w:r>
        <w:br w:type="page"/>
        <w:t>572.</w:t>
      </w:r>
      <w:r>
        <w:tab/>
        <w:t>В 1997/98 учебном году в Чешской Республике функционировали 499 средних профессионально-технических училищ, в которых получали профессии 122 000 учащихся.  В 1998/99 учебном году имелось 614 средних профтехучилищ со 150 000 учащихся.  Примерно 40% учащихся составляли девушки.</w:t>
      </w:r>
    </w:p>
    <w:p w:rsidR="00000000" w:rsidRDefault="00000000">
      <w:pPr>
        <w:pStyle w:val="FootnoteText"/>
        <w:spacing w:line="288" w:lineRule="auto"/>
      </w:pPr>
    </w:p>
    <w:p w:rsidR="00000000" w:rsidRDefault="00000000">
      <w:pPr>
        <w:pStyle w:val="FootnoteText"/>
        <w:spacing w:line="288" w:lineRule="auto"/>
        <w:rPr>
          <w:i/>
          <w:iCs/>
        </w:rPr>
      </w:pPr>
      <w:r>
        <w:rPr>
          <w:i/>
          <w:iCs/>
        </w:rPr>
        <w:t>Послесредние профессиональные училища</w:t>
      </w:r>
    </w:p>
    <w:p w:rsidR="00000000" w:rsidRDefault="00000000">
      <w:pPr>
        <w:pStyle w:val="FootnoteText"/>
        <w:spacing w:line="288" w:lineRule="auto"/>
      </w:pPr>
    </w:p>
    <w:p w:rsidR="00000000" w:rsidRDefault="00000000">
      <w:pPr>
        <w:pStyle w:val="FootnoteText"/>
        <w:spacing w:line="288" w:lineRule="auto"/>
      </w:pPr>
      <w:r>
        <w:t>573.</w:t>
      </w:r>
      <w:r>
        <w:tab/>
        <w:t>Послесредние профессиональные училища предоставляют специализированное послесреднее профессиональное образование и подготовку.  Курс обучения длится от 2 до 3,5 лет и завершается выдачей аттестата.  За обучение в этих училищах может взиматься плата, размеры и порядок внесения которой определяются постановлением правительства, если училище является государственным, или муниципалитетом согласно общеобязательной директиве, если училище находится в ведении муниципалитета.</w:t>
      </w:r>
    </w:p>
    <w:p w:rsidR="00000000" w:rsidRDefault="00000000">
      <w:pPr>
        <w:pStyle w:val="FootnoteText"/>
        <w:spacing w:line="288" w:lineRule="auto"/>
      </w:pPr>
    </w:p>
    <w:p w:rsidR="00000000" w:rsidRDefault="00000000">
      <w:pPr>
        <w:pStyle w:val="FootnoteText"/>
        <w:spacing w:line="288" w:lineRule="auto"/>
      </w:pPr>
      <w:r>
        <w:t>574.</w:t>
      </w:r>
      <w:r>
        <w:tab/>
        <w:t>В 1996/97 году имелось 158 послесредних профессиональных училищ, в которых обучалось почти 15 000 учащихся, а годом позже в 154 училищах обучалось уже почти 24 000 учащихся.  В 1998/99 учебном году в Чешской Республике функционировало 166 послесредних профессиональных училищ, в которых обучались почти 30 000 учащихся.  Примерно две трети учащихся в течение всего отчетного периода составляли девушки.</w:t>
      </w:r>
    </w:p>
    <w:p w:rsidR="00000000" w:rsidRDefault="00000000">
      <w:pPr>
        <w:pStyle w:val="FootnoteText"/>
        <w:spacing w:line="288" w:lineRule="auto"/>
      </w:pPr>
    </w:p>
    <w:p w:rsidR="00000000" w:rsidRDefault="00000000">
      <w:pPr>
        <w:pStyle w:val="FootnoteText"/>
        <w:spacing w:line="288" w:lineRule="auto"/>
        <w:rPr>
          <w:i/>
          <w:iCs/>
        </w:rPr>
      </w:pPr>
      <w:r>
        <w:rPr>
          <w:i/>
          <w:iCs/>
        </w:rPr>
        <w:t>Университеты</w:t>
      </w:r>
    </w:p>
    <w:p w:rsidR="00000000" w:rsidRDefault="00000000">
      <w:pPr>
        <w:pStyle w:val="FootnoteText"/>
        <w:spacing w:line="288" w:lineRule="auto"/>
      </w:pPr>
    </w:p>
    <w:p w:rsidR="00000000" w:rsidRDefault="00000000">
      <w:pPr>
        <w:pStyle w:val="FootnoteText"/>
        <w:spacing w:line="288" w:lineRule="auto"/>
      </w:pPr>
      <w:r>
        <w:t>575.</w:t>
      </w:r>
      <w:r>
        <w:tab/>
        <w:t>Обучение в университетах дает возможность получить университетское образование и ученую степень.  Учеба в университетах осуществляется по утвержденной учебной программе в соответствии с учебным планом и по установленной форме.  Как правило, курс обучения делится на две части - три года и два года.  Для окончания аспирантуры необходимо учиться еще не менее трех лет.  Количество университетов в период 1993</w:t>
      </w:r>
      <w:r>
        <w:noBreakHyphen/>
        <w:t xml:space="preserve">1998 годов не менялось и составляло 23 университета.  Однако количество факультетов в университетах возросло с 105 в 1993/94 году до 112 в 1998/99 году.  </w:t>
      </w:r>
    </w:p>
    <w:p w:rsidR="00000000" w:rsidRDefault="00000000">
      <w:pPr>
        <w:pStyle w:val="FootnoteText"/>
        <w:spacing w:line="288" w:lineRule="auto"/>
      </w:pPr>
    </w:p>
    <w:p w:rsidR="00000000" w:rsidRDefault="00000000">
      <w:pPr>
        <w:pStyle w:val="FootnoteText"/>
        <w:spacing w:line="288" w:lineRule="auto"/>
      </w:pPr>
      <w:r>
        <w:t>576.</w:t>
      </w:r>
      <w:r>
        <w:tab/>
        <w:t>В начале отчетного периода в чешских университетах обучалось в общей сложности 127 000 студентов, а к концу этого периода - свыше 174 000 (включая иностранных студентов).  В 1998/99 учебном году на первый курс университета было принято примерно 46 000 абитуриентов (не считая лиц, поступивших в аспирантуру), а в послесредние профессиональные училища - около 12 500 учащихся.  Таким образом, доля поступивших абитуриентов среди лиц 18-летнего возраста (150 644 человека) составляет соответственно 30,5% и 8,3%.  Это означает, что в систему послесреднего образования было принято в общей сложности 38,8% всех лиц в возрасте 18 лет.  Как и в предыдущие годы, поступить удалось примерно половине желающих.</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Университеты</w:t>
      </w:r>
    </w:p>
    <w:p w:rsidR="00000000" w:rsidRDefault="00000000">
      <w:pPr>
        <w:pStyle w:val="FootnoteText"/>
        <w:spacing w:line="288" w:lineRule="auto"/>
        <w:jc w:val="center"/>
      </w:pPr>
    </w:p>
    <w:tbl>
      <w:tblPr>
        <w:tblW w:w="0" w:type="auto"/>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043"/>
        <w:gridCol w:w="1496"/>
        <w:gridCol w:w="1309"/>
        <w:gridCol w:w="1309"/>
        <w:gridCol w:w="935"/>
        <w:gridCol w:w="1122"/>
        <w:gridCol w:w="1122"/>
        <w:gridCol w:w="1235"/>
      </w:tblGrid>
      <w:tr w:rsidR="00000000">
        <w:tblPrEx>
          <w:tblCellMar>
            <w:top w:w="0" w:type="dxa"/>
            <w:bottom w:w="0" w:type="dxa"/>
          </w:tblCellMar>
        </w:tblPrEx>
        <w:trPr>
          <w:cantSplit/>
        </w:trPr>
        <w:tc>
          <w:tcPr>
            <w:tcW w:w="1043" w:type="dxa"/>
            <w:vMerge w:val="restart"/>
            <w:tcBorders>
              <w:left w:val="single" w:sz="4" w:space="0" w:color="auto"/>
              <w:right w:val="single" w:sz="4" w:space="0" w:color="auto"/>
            </w:tcBorders>
            <w:vAlign w:val="center"/>
          </w:tcPr>
          <w:p w:rsidR="00000000" w:rsidRDefault="00000000">
            <w:pPr>
              <w:pStyle w:val="FootnoteText"/>
              <w:jc w:val="center"/>
              <w:rPr>
                <w:sz w:val="18"/>
              </w:rPr>
            </w:pPr>
            <w:r>
              <w:rPr>
                <w:sz w:val="18"/>
              </w:rPr>
              <w:t>Учебный год</w:t>
            </w:r>
          </w:p>
        </w:tc>
        <w:tc>
          <w:tcPr>
            <w:tcW w:w="1496" w:type="dxa"/>
            <w:vMerge w:val="restart"/>
            <w:tcBorders>
              <w:left w:val="single" w:sz="4" w:space="0" w:color="auto"/>
              <w:right w:val="single" w:sz="4" w:space="0" w:color="auto"/>
            </w:tcBorders>
            <w:vAlign w:val="center"/>
          </w:tcPr>
          <w:p w:rsidR="00000000" w:rsidRDefault="00000000">
            <w:pPr>
              <w:pStyle w:val="FootnoteText"/>
              <w:jc w:val="center"/>
              <w:rPr>
                <w:sz w:val="18"/>
              </w:rPr>
            </w:pPr>
            <w:r>
              <w:rPr>
                <w:sz w:val="18"/>
              </w:rPr>
              <w:t>Количество университетов</w:t>
            </w:r>
          </w:p>
        </w:tc>
        <w:tc>
          <w:tcPr>
            <w:tcW w:w="1309" w:type="dxa"/>
            <w:vMerge w:val="restart"/>
            <w:tcBorders>
              <w:left w:val="single" w:sz="4" w:space="0" w:color="auto"/>
              <w:right w:val="single" w:sz="4" w:space="0" w:color="auto"/>
            </w:tcBorders>
            <w:vAlign w:val="center"/>
          </w:tcPr>
          <w:p w:rsidR="00000000" w:rsidRDefault="00000000">
            <w:pPr>
              <w:pStyle w:val="FootnoteText"/>
              <w:jc w:val="center"/>
              <w:rPr>
                <w:sz w:val="18"/>
              </w:rPr>
            </w:pPr>
            <w:r>
              <w:rPr>
                <w:sz w:val="18"/>
              </w:rPr>
              <w:t>Количество факультетов</w:t>
            </w:r>
          </w:p>
        </w:tc>
        <w:tc>
          <w:tcPr>
            <w:tcW w:w="1309" w:type="dxa"/>
            <w:vMerge w:val="restart"/>
            <w:tcBorders>
              <w:left w:val="single" w:sz="4" w:space="0" w:color="auto"/>
              <w:right w:val="single" w:sz="4" w:space="0" w:color="auto"/>
            </w:tcBorders>
            <w:vAlign w:val="center"/>
          </w:tcPr>
          <w:p w:rsidR="00000000" w:rsidRDefault="00000000">
            <w:pPr>
              <w:pStyle w:val="FootnoteText"/>
              <w:jc w:val="center"/>
              <w:rPr>
                <w:sz w:val="18"/>
              </w:rPr>
            </w:pPr>
            <w:r>
              <w:rPr>
                <w:sz w:val="18"/>
              </w:rPr>
              <w:t>Количество</w:t>
            </w:r>
          </w:p>
          <w:p w:rsidR="00000000" w:rsidRDefault="00000000">
            <w:pPr>
              <w:pStyle w:val="FootnoteText"/>
              <w:jc w:val="center"/>
              <w:rPr>
                <w:sz w:val="18"/>
              </w:rPr>
            </w:pPr>
            <w:r>
              <w:rPr>
                <w:sz w:val="18"/>
              </w:rPr>
              <w:t>студентов</w:t>
            </w:r>
          </w:p>
        </w:tc>
        <w:tc>
          <w:tcPr>
            <w:tcW w:w="4414" w:type="dxa"/>
            <w:gridSpan w:val="4"/>
            <w:tcBorders>
              <w:left w:val="single" w:sz="4" w:space="0" w:color="auto"/>
              <w:right w:val="single" w:sz="4" w:space="0" w:color="auto"/>
            </w:tcBorders>
          </w:tcPr>
          <w:p w:rsidR="00000000" w:rsidRDefault="00000000">
            <w:pPr>
              <w:pStyle w:val="FootnoteText"/>
              <w:jc w:val="center"/>
              <w:rPr>
                <w:sz w:val="18"/>
              </w:rPr>
            </w:pPr>
            <w:r>
              <w:rPr>
                <w:sz w:val="18"/>
              </w:rPr>
              <w:t>В разбивке по программам</w:t>
            </w:r>
          </w:p>
        </w:tc>
      </w:tr>
      <w:tr w:rsidR="00000000">
        <w:tblPrEx>
          <w:tblCellMar>
            <w:top w:w="0" w:type="dxa"/>
            <w:bottom w:w="0" w:type="dxa"/>
          </w:tblCellMar>
        </w:tblPrEx>
        <w:trPr>
          <w:cantSplit/>
        </w:trPr>
        <w:tc>
          <w:tcPr>
            <w:tcW w:w="1043" w:type="dxa"/>
            <w:vMerge/>
            <w:tcBorders>
              <w:left w:val="single" w:sz="4" w:space="0" w:color="auto"/>
              <w:right w:val="single" w:sz="4" w:space="0" w:color="auto"/>
            </w:tcBorders>
          </w:tcPr>
          <w:p w:rsidR="00000000" w:rsidRDefault="00000000">
            <w:pPr>
              <w:pStyle w:val="FootnoteText"/>
              <w:jc w:val="center"/>
              <w:rPr>
                <w:sz w:val="18"/>
              </w:rPr>
            </w:pPr>
          </w:p>
        </w:tc>
        <w:tc>
          <w:tcPr>
            <w:tcW w:w="1496" w:type="dxa"/>
            <w:vMerge/>
            <w:tcBorders>
              <w:left w:val="single" w:sz="4" w:space="0" w:color="auto"/>
              <w:right w:val="single" w:sz="4" w:space="0" w:color="auto"/>
            </w:tcBorders>
          </w:tcPr>
          <w:p w:rsidR="00000000" w:rsidRDefault="00000000">
            <w:pPr>
              <w:pStyle w:val="FootnoteText"/>
              <w:jc w:val="center"/>
              <w:rPr>
                <w:sz w:val="18"/>
              </w:rPr>
            </w:pPr>
          </w:p>
        </w:tc>
        <w:tc>
          <w:tcPr>
            <w:tcW w:w="1309" w:type="dxa"/>
            <w:vMerge/>
            <w:tcBorders>
              <w:left w:val="single" w:sz="4" w:space="0" w:color="auto"/>
              <w:right w:val="single" w:sz="4" w:space="0" w:color="auto"/>
            </w:tcBorders>
          </w:tcPr>
          <w:p w:rsidR="00000000" w:rsidRDefault="00000000">
            <w:pPr>
              <w:pStyle w:val="FootnoteText"/>
              <w:jc w:val="center"/>
              <w:rPr>
                <w:sz w:val="18"/>
              </w:rPr>
            </w:pPr>
          </w:p>
        </w:tc>
        <w:tc>
          <w:tcPr>
            <w:tcW w:w="1309" w:type="dxa"/>
            <w:vMerge/>
            <w:tcBorders>
              <w:left w:val="single" w:sz="4" w:space="0" w:color="auto"/>
              <w:right w:val="single" w:sz="4" w:space="0" w:color="auto"/>
            </w:tcBorders>
          </w:tcPr>
          <w:p w:rsidR="00000000" w:rsidRDefault="00000000">
            <w:pPr>
              <w:pStyle w:val="FootnoteText"/>
              <w:jc w:val="center"/>
              <w:rPr>
                <w:sz w:val="18"/>
              </w:rPr>
            </w:pPr>
          </w:p>
        </w:tc>
        <w:tc>
          <w:tcPr>
            <w:tcW w:w="3179" w:type="dxa"/>
            <w:gridSpan w:val="3"/>
            <w:tcBorders>
              <w:left w:val="single" w:sz="4" w:space="0" w:color="auto"/>
              <w:right w:val="single" w:sz="4" w:space="0" w:color="auto"/>
            </w:tcBorders>
          </w:tcPr>
          <w:p w:rsidR="00000000" w:rsidRDefault="00000000">
            <w:pPr>
              <w:pStyle w:val="FootnoteText"/>
              <w:jc w:val="center"/>
              <w:rPr>
                <w:sz w:val="18"/>
              </w:rPr>
            </w:pPr>
            <w:r>
              <w:rPr>
                <w:sz w:val="18"/>
              </w:rPr>
              <w:t>Дневная форма обучения</w:t>
            </w:r>
          </w:p>
        </w:tc>
        <w:tc>
          <w:tcPr>
            <w:tcW w:w="1235" w:type="dxa"/>
            <w:tcBorders>
              <w:left w:val="single" w:sz="4" w:space="0" w:color="auto"/>
              <w:bottom w:val="nil"/>
              <w:right w:val="single" w:sz="4" w:space="0" w:color="auto"/>
            </w:tcBorders>
            <w:vAlign w:val="center"/>
          </w:tcPr>
          <w:p w:rsidR="00000000" w:rsidRDefault="00000000">
            <w:pPr>
              <w:pStyle w:val="FootnoteText"/>
              <w:jc w:val="center"/>
              <w:rPr>
                <w:sz w:val="18"/>
              </w:rPr>
            </w:pPr>
          </w:p>
        </w:tc>
      </w:tr>
      <w:tr w:rsidR="00000000">
        <w:tblPrEx>
          <w:tblCellMar>
            <w:top w:w="0" w:type="dxa"/>
            <w:bottom w:w="0" w:type="dxa"/>
          </w:tblCellMar>
        </w:tblPrEx>
        <w:trPr>
          <w:cantSplit/>
        </w:trPr>
        <w:tc>
          <w:tcPr>
            <w:tcW w:w="1043" w:type="dxa"/>
            <w:vMerge/>
            <w:tcBorders>
              <w:left w:val="single" w:sz="4" w:space="0" w:color="auto"/>
              <w:right w:val="single" w:sz="4" w:space="0" w:color="auto"/>
            </w:tcBorders>
          </w:tcPr>
          <w:p w:rsidR="00000000" w:rsidRDefault="00000000">
            <w:pPr>
              <w:pStyle w:val="FootnoteText"/>
              <w:spacing w:line="288" w:lineRule="auto"/>
              <w:jc w:val="center"/>
              <w:rPr>
                <w:sz w:val="18"/>
              </w:rPr>
            </w:pPr>
          </w:p>
        </w:tc>
        <w:tc>
          <w:tcPr>
            <w:tcW w:w="1496" w:type="dxa"/>
            <w:vMerge/>
            <w:tcBorders>
              <w:left w:val="single" w:sz="4" w:space="0" w:color="auto"/>
              <w:right w:val="single" w:sz="4" w:space="0" w:color="auto"/>
            </w:tcBorders>
          </w:tcPr>
          <w:p w:rsidR="00000000" w:rsidRDefault="00000000">
            <w:pPr>
              <w:pStyle w:val="FootnoteText"/>
              <w:spacing w:line="288" w:lineRule="auto"/>
              <w:jc w:val="center"/>
              <w:rPr>
                <w:sz w:val="18"/>
              </w:rPr>
            </w:pPr>
          </w:p>
        </w:tc>
        <w:tc>
          <w:tcPr>
            <w:tcW w:w="1309" w:type="dxa"/>
            <w:vMerge/>
            <w:tcBorders>
              <w:left w:val="single" w:sz="4" w:space="0" w:color="auto"/>
              <w:right w:val="single" w:sz="4" w:space="0" w:color="auto"/>
            </w:tcBorders>
          </w:tcPr>
          <w:p w:rsidR="00000000" w:rsidRDefault="00000000">
            <w:pPr>
              <w:pStyle w:val="FootnoteText"/>
              <w:spacing w:line="288" w:lineRule="auto"/>
              <w:jc w:val="center"/>
              <w:rPr>
                <w:sz w:val="18"/>
              </w:rPr>
            </w:pPr>
          </w:p>
        </w:tc>
        <w:tc>
          <w:tcPr>
            <w:tcW w:w="1309" w:type="dxa"/>
            <w:vMerge/>
            <w:tcBorders>
              <w:left w:val="single" w:sz="4" w:space="0" w:color="auto"/>
              <w:right w:val="single" w:sz="4" w:space="0" w:color="auto"/>
            </w:tcBorders>
          </w:tcPr>
          <w:p w:rsidR="00000000" w:rsidRDefault="00000000">
            <w:pPr>
              <w:pStyle w:val="FootnoteText"/>
              <w:spacing w:line="288" w:lineRule="auto"/>
              <w:jc w:val="center"/>
              <w:rPr>
                <w:sz w:val="18"/>
              </w:rPr>
            </w:pPr>
          </w:p>
        </w:tc>
        <w:tc>
          <w:tcPr>
            <w:tcW w:w="2057" w:type="dxa"/>
            <w:gridSpan w:val="2"/>
            <w:tcBorders>
              <w:left w:val="single" w:sz="4" w:space="0" w:color="auto"/>
              <w:right w:val="single" w:sz="4" w:space="0" w:color="auto"/>
            </w:tcBorders>
          </w:tcPr>
          <w:p w:rsidR="00000000" w:rsidRDefault="00000000">
            <w:pPr>
              <w:pStyle w:val="FootnoteText"/>
              <w:jc w:val="center"/>
              <w:rPr>
                <w:sz w:val="18"/>
              </w:rPr>
            </w:pPr>
            <w:r>
              <w:rPr>
                <w:sz w:val="18"/>
              </w:rPr>
              <w:t>Чешские граждане</w:t>
            </w:r>
          </w:p>
        </w:tc>
        <w:tc>
          <w:tcPr>
            <w:tcW w:w="1122" w:type="dxa"/>
            <w:vMerge w:val="restart"/>
            <w:tcBorders>
              <w:left w:val="single" w:sz="4" w:space="0" w:color="auto"/>
              <w:right w:val="single" w:sz="4" w:space="0" w:color="auto"/>
            </w:tcBorders>
            <w:vAlign w:val="center"/>
          </w:tcPr>
          <w:p w:rsidR="00000000" w:rsidRDefault="00000000">
            <w:pPr>
              <w:pStyle w:val="FootnoteText"/>
              <w:jc w:val="center"/>
              <w:rPr>
                <w:sz w:val="18"/>
              </w:rPr>
            </w:pPr>
            <w:r>
              <w:rPr>
                <w:sz w:val="18"/>
              </w:rPr>
              <w:t>Прочие формы обучения</w:t>
            </w:r>
            <w:r>
              <w:rPr>
                <w:b/>
                <w:bCs/>
                <w:sz w:val="18"/>
                <w:vertAlign w:val="superscript"/>
              </w:rPr>
              <w:t>a</w:t>
            </w:r>
          </w:p>
        </w:tc>
        <w:tc>
          <w:tcPr>
            <w:tcW w:w="1235" w:type="dxa"/>
            <w:vMerge w:val="restart"/>
            <w:tcBorders>
              <w:top w:val="nil"/>
              <w:left w:val="single" w:sz="4" w:space="0" w:color="auto"/>
              <w:right w:val="single" w:sz="4" w:space="0" w:color="auto"/>
            </w:tcBorders>
            <w:vAlign w:val="center"/>
          </w:tcPr>
          <w:p w:rsidR="00000000" w:rsidRDefault="00000000">
            <w:pPr>
              <w:pStyle w:val="FootnoteText"/>
              <w:jc w:val="center"/>
              <w:rPr>
                <w:sz w:val="18"/>
              </w:rPr>
            </w:pPr>
            <w:r>
              <w:rPr>
                <w:spacing w:val="-4"/>
                <w:sz w:val="18"/>
              </w:rPr>
              <w:t xml:space="preserve">Иностранные </w:t>
            </w:r>
            <w:r>
              <w:rPr>
                <w:sz w:val="18"/>
              </w:rPr>
              <w:t>студенты</w:t>
            </w:r>
          </w:p>
        </w:tc>
      </w:tr>
      <w:tr w:rsidR="00000000">
        <w:tblPrEx>
          <w:tblCellMar>
            <w:top w:w="0" w:type="dxa"/>
            <w:bottom w:w="0" w:type="dxa"/>
          </w:tblCellMar>
        </w:tblPrEx>
        <w:trPr>
          <w:cantSplit/>
        </w:trPr>
        <w:tc>
          <w:tcPr>
            <w:tcW w:w="1043" w:type="dxa"/>
            <w:vMerge/>
            <w:tcBorders>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p>
        </w:tc>
        <w:tc>
          <w:tcPr>
            <w:tcW w:w="1496" w:type="dxa"/>
            <w:vMerge/>
            <w:tcBorders>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p>
        </w:tc>
        <w:tc>
          <w:tcPr>
            <w:tcW w:w="1309" w:type="dxa"/>
            <w:vMerge/>
            <w:tcBorders>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p>
        </w:tc>
        <w:tc>
          <w:tcPr>
            <w:tcW w:w="1309" w:type="dxa"/>
            <w:vMerge/>
            <w:tcBorders>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p>
        </w:tc>
        <w:tc>
          <w:tcPr>
            <w:tcW w:w="935" w:type="dxa"/>
            <w:tcBorders>
              <w:left w:val="single" w:sz="4" w:space="0" w:color="auto"/>
              <w:bottom w:val="single" w:sz="4" w:space="0" w:color="auto"/>
              <w:right w:val="single" w:sz="4" w:space="0" w:color="auto"/>
            </w:tcBorders>
          </w:tcPr>
          <w:p w:rsidR="00000000" w:rsidRDefault="00000000">
            <w:pPr>
              <w:pStyle w:val="FootnoteText"/>
              <w:jc w:val="center"/>
              <w:rPr>
                <w:sz w:val="20"/>
              </w:rPr>
            </w:pPr>
            <w:r>
              <w:rPr>
                <w:sz w:val="20"/>
              </w:rPr>
              <w:t>Всего</w:t>
            </w:r>
          </w:p>
        </w:tc>
        <w:tc>
          <w:tcPr>
            <w:tcW w:w="1122" w:type="dxa"/>
            <w:tcBorders>
              <w:left w:val="single" w:sz="4" w:space="0" w:color="auto"/>
              <w:bottom w:val="single" w:sz="4" w:space="0" w:color="auto"/>
              <w:right w:val="single" w:sz="4" w:space="0" w:color="auto"/>
            </w:tcBorders>
          </w:tcPr>
          <w:p w:rsidR="00000000" w:rsidRDefault="00000000">
            <w:pPr>
              <w:pStyle w:val="FootnoteText"/>
              <w:jc w:val="center"/>
              <w:rPr>
                <w:sz w:val="20"/>
              </w:rPr>
            </w:pPr>
            <w:r>
              <w:rPr>
                <w:sz w:val="20"/>
              </w:rPr>
              <w:t>Число женщин</w:t>
            </w:r>
          </w:p>
        </w:tc>
        <w:tc>
          <w:tcPr>
            <w:tcW w:w="1122" w:type="dxa"/>
            <w:vMerge/>
            <w:tcBorders>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p>
        </w:tc>
        <w:tc>
          <w:tcPr>
            <w:tcW w:w="1235" w:type="dxa"/>
            <w:vMerge/>
            <w:tcBorders>
              <w:left w:val="single" w:sz="4" w:space="0" w:color="auto"/>
              <w:bottom w:val="single" w:sz="4" w:space="0" w:color="auto"/>
              <w:right w:val="single" w:sz="4" w:space="0" w:color="auto"/>
            </w:tcBorders>
          </w:tcPr>
          <w:p w:rsidR="00000000" w:rsidRDefault="00000000">
            <w:pPr>
              <w:pStyle w:val="FootnoteText"/>
              <w:spacing w:line="288" w:lineRule="auto"/>
              <w:jc w:val="center"/>
              <w:rPr>
                <w:sz w:val="20"/>
              </w:rPr>
            </w:pPr>
          </w:p>
        </w:tc>
      </w:tr>
      <w:tr w:rsidR="00000000">
        <w:tblPrEx>
          <w:tblCellMar>
            <w:top w:w="0" w:type="dxa"/>
            <w:bottom w:w="0" w:type="dxa"/>
          </w:tblCellMar>
        </w:tblPrEx>
        <w:tc>
          <w:tcPr>
            <w:tcW w:w="1043" w:type="dxa"/>
            <w:tcBorders>
              <w:left w:val="single" w:sz="4" w:space="0" w:color="auto"/>
              <w:bottom w:val="nil"/>
              <w:right w:val="single" w:sz="4" w:space="0" w:color="auto"/>
            </w:tcBorders>
          </w:tcPr>
          <w:p w:rsidR="00000000" w:rsidRDefault="00000000">
            <w:pPr>
              <w:pStyle w:val="FootnoteText"/>
              <w:rPr>
                <w:sz w:val="20"/>
                <w:lang w:val="en-US"/>
              </w:rPr>
            </w:pPr>
            <w:r>
              <w:rPr>
                <w:sz w:val="20"/>
                <w:lang w:val="en-US"/>
              </w:rPr>
              <w:t>1990/91</w:t>
            </w:r>
          </w:p>
        </w:tc>
        <w:tc>
          <w:tcPr>
            <w:tcW w:w="1496" w:type="dxa"/>
            <w:tcBorders>
              <w:left w:val="single" w:sz="4" w:space="0" w:color="auto"/>
              <w:bottom w:val="nil"/>
              <w:right w:val="single" w:sz="4" w:space="0" w:color="auto"/>
            </w:tcBorders>
          </w:tcPr>
          <w:p w:rsidR="00000000" w:rsidRDefault="00000000">
            <w:pPr>
              <w:pStyle w:val="FootnoteText"/>
              <w:jc w:val="center"/>
              <w:rPr>
                <w:sz w:val="20"/>
                <w:lang w:val="en-US"/>
              </w:rPr>
            </w:pPr>
            <w:r>
              <w:rPr>
                <w:sz w:val="20"/>
                <w:lang w:val="en-US"/>
              </w:rPr>
              <w:t>24</w:t>
            </w:r>
          </w:p>
        </w:tc>
        <w:tc>
          <w:tcPr>
            <w:tcW w:w="1309" w:type="dxa"/>
            <w:tcBorders>
              <w:left w:val="single" w:sz="4" w:space="0" w:color="auto"/>
              <w:bottom w:val="nil"/>
              <w:right w:val="single" w:sz="4" w:space="0" w:color="auto"/>
            </w:tcBorders>
          </w:tcPr>
          <w:p w:rsidR="00000000" w:rsidRDefault="00000000">
            <w:pPr>
              <w:pStyle w:val="FootnoteText"/>
              <w:jc w:val="center"/>
              <w:rPr>
                <w:sz w:val="20"/>
                <w:lang w:val="en-US"/>
              </w:rPr>
            </w:pPr>
            <w:r>
              <w:rPr>
                <w:sz w:val="20"/>
                <w:lang w:val="en-US"/>
              </w:rPr>
              <w:t>82</w:t>
            </w:r>
          </w:p>
        </w:tc>
        <w:tc>
          <w:tcPr>
            <w:tcW w:w="1309" w:type="dxa"/>
            <w:tcBorders>
              <w:left w:val="single" w:sz="4" w:space="0" w:color="auto"/>
              <w:bottom w:val="nil"/>
              <w:right w:val="single" w:sz="4" w:space="0" w:color="auto"/>
            </w:tcBorders>
          </w:tcPr>
          <w:p w:rsidR="00000000" w:rsidRDefault="00000000">
            <w:pPr>
              <w:pStyle w:val="FootnoteText"/>
              <w:tabs>
                <w:tab w:val="clear" w:pos="1134"/>
              </w:tabs>
              <w:ind w:right="266"/>
              <w:jc w:val="right"/>
              <w:rPr>
                <w:sz w:val="20"/>
                <w:lang w:val="en-US"/>
              </w:rPr>
            </w:pPr>
            <w:r>
              <w:rPr>
                <w:sz w:val="20"/>
                <w:lang w:val="en-US"/>
              </w:rPr>
              <w:t>118 194</w:t>
            </w:r>
          </w:p>
        </w:tc>
        <w:tc>
          <w:tcPr>
            <w:tcW w:w="935" w:type="dxa"/>
            <w:tcBorders>
              <w:left w:val="single" w:sz="4" w:space="0" w:color="auto"/>
              <w:bottom w:val="nil"/>
              <w:right w:val="single" w:sz="4" w:space="0" w:color="auto"/>
            </w:tcBorders>
          </w:tcPr>
          <w:p w:rsidR="00000000" w:rsidRDefault="00000000">
            <w:pPr>
              <w:pStyle w:val="FootnoteText"/>
              <w:tabs>
                <w:tab w:val="clear" w:pos="567"/>
              </w:tabs>
              <w:ind w:left="-295" w:right="79"/>
              <w:jc w:val="right"/>
              <w:rPr>
                <w:sz w:val="20"/>
                <w:lang w:val="en-US"/>
              </w:rPr>
            </w:pPr>
            <w:r>
              <w:rPr>
                <w:sz w:val="20"/>
                <w:lang w:val="en-US"/>
              </w:rPr>
              <w:t>96 379</w:t>
            </w:r>
          </w:p>
        </w:tc>
        <w:tc>
          <w:tcPr>
            <w:tcW w:w="1122" w:type="dxa"/>
            <w:tcBorders>
              <w:left w:val="single" w:sz="4" w:space="0" w:color="auto"/>
              <w:bottom w:val="nil"/>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42 850</w:t>
            </w:r>
          </w:p>
        </w:tc>
        <w:tc>
          <w:tcPr>
            <w:tcW w:w="1122" w:type="dxa"/>
            <w:tcBorders>
              <w:left w:val="single" w:sz="4" w:space="0" w:color="auto"/>
              <w:bottom w:val="nil"/>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3 122</w:t>
            </w:r>
          </w:p>
        </w:tc>
        <w:tc>
          <w:tcPr>
            <w:tcW w:w="1235" w:type="dxa"/>
            <w:tcBorders>
              <w:left w:val="single" w:sz="4" w:space="0" w:color="auto"/>
              <w:bottom w:val="nil"/>
              <w:right w:val="single" w:sz="4" w:space="0" w:color="auto"/>
            </w:tcBorders>
          </w:tcPr>
          <w:p w:rsidR="00000000" w:rsidRDefault="00000000">
            <w:pPr>
              <w:pStyle w:val="FootnoteText"/>
              <w:tabs>
                <w:tab w:val="clear" w:pos="1134"/>
              </w:tabs>
              <w:ind w:left="-108" w:right="194"/>
              <w:jc w:val="right"/>
              <w:rPr>
                <w:sz w:val="20"/>
                <w:lang w:val="en-US"/>
              </w:rPr>
            </w:pPr>
            <w:r>
              <w:rPr>
                <w:sz w:val="20"/>
                <w:lang w:val="en-US"/>
              </w:rPr>
              <w:t>18 693</w:t>
            </w:r>
          </w:p>
        </w:tc>
      </w:tr>
      <w:tr w:rsidR="00000000">
        <w:tblPrEx>
          <w:tblCellMar>
            <w:top w:w="0" w:type="dxa"/>
            <w:bottom w:w="0" w:type="dxa"/>
          </w:tblCellMar>
        </w:tblPrEx>
        <w:tc>
          <w:tcPr>
            <w:tcW w:w="1043" w:type="dxa"/>
            <w:tcBorders>
              <w:top w:val="nil"/>
              <w:left w:val="single" w:sz="4" w:space="0" w:color="auto"/>
              <w:bottom w:val="nil"/>
              <w:right w:val="single" w:sz="4" w:space="0" w:color="auto"/>
            </w:tcBorders>
          </w:tcPr>
          <w:p w:rsidR="00000000" w:rsidRDefault="00000000">
            <w:pPr>
              <w:pStyle w:val="FootnoteText"/>
              <w:rPr>
                <w:sz w:val="20"/>
                <w:lang w:val="en-US"/>
              </w:rPr>
            </w:pPr>
            <w:r>
              <w:rPr>
                <w:sz w:val="20"/>
                <w:lang w:val="en-US"/>
              </w:rPr>
              <w:t>1993/94</w:t>
            </w:r>
          </w:p>
        </w:tc>
        <w:tc>
          <w:tcPr>
            <w:tcW w:w="1496" w:type="dxa"/>
            <w:tcBorders>
              <w:top w:val="nil"/>
              <w:left w:val="single" w:sz="4" w:space="0" w:color="auto"/>
              <w:bottom w:val="nil"/>
              <w:right w:val="single" w:sz="4" w:space="0" w:color="auto"/>
            </w:tcBorders>
          </w:tcPr>
          <w:p w:rsidR="00000000" w:rsidRDefault="00000000">
            <w:pPr>
              <w:pStyle w:val="FootnoteText"/>
              <w:jc w:val="center"/>
              <w:rPr>
                <w:sz w:val="20"/>
                <w:lang w:val="en-US"/>
              </w:rPr>
            </w:pPr>
            <w:r>
              <w:rPr>
                <w:sz w:val="20"/>
                <w:lang w:val="en-US"/>
              </w:rPr>
              <w:t>23</w:t>
            </w:r>
          </w:p>
        </w:tc>
        <w:tc>
          <w:tcPr>
            <w:tcW w:w="1309" w:type="dxa"/>
            <w:tcBorders>
              <w:top w:val="nil"/>
              <w:left w:val="single" w:sz="4" w:space="0" w:color="auto"/>
              <w:bottom w:val="nil"/>
              <w:right w:val="single" w:sz="4" w:space="0" w:color="auto"/>
            </w:tcBorders>
          </w:tcPr>
          <w:p w:rsidR="00000000" w:rsidRDefault="00000000">
            <w:pPr>
              <w:pStyle w:val="FootnoteText"/>
              <w:jc w:val="center"/>
              <w:rPr>
                <w:sz w:val="20"/>
                <w:lang w:val="en-US"/>
              </w:rPr>
            </w:pPr>
            <w:r>
              <w:rPr>
                <w:sz w:val="20"/>
                <w:lang w:val="en-US"/>
              </w:rPr>
              <w:t>105</w:t>
            </w:r>
          </w:p>
        </w:tc>
        <w:tc>
          <w:tcPr>
            <w:tcW w:w="1309" w:type="dxa"/>
            <w:tcBorders>
              <w:top w:val="nil"/>
              <w:left w:val="single" w:sz="4" w:space="0" w:color="auto"/>
              <w:bottom w:val="nil"/>
              <w:right w:val="single" w:sz="4" w:space="0" w:color="auto"/>
            </w:tcBorders>
          </w:tcPr>
          <w:p w:rsidR="00000000" w:rsidRDefault="00000000">
            <w:pPr>
              <w:pStyle w:val="FootnoteText"/>
              <w:tabs>
                <w:tab w:val="clear" w:pos="1134"/>
              </w:tabs>
              <w:ind w:right="266"/>
              <w:jc w:val="right"/>
              <w:rPr>
                <w:sz w:val="20"/>
                <w:lang w:val="en-US"/>
              </w:rPr>
            </w:pPr>
            <w:r>
              <w:rPr>
                <w:sz w:val="20"/>
                <w:lang w:val="en-US"/>
              </w:rPr>
              <w:t>127 137</w:t>
            </w:r>
          </w:p>
        </w:tc>
        <w:tc>
          <w:tcPr>
            <w:tcW w:w="935" w:type="dxa"/>
            <w:tcBorders>
              <w:top w:val="nil"/>
              <w:left w:val="single" w:sz="4" w:space="0" w:color="auto"/>
              <w:bottom w:val="nil"/>
              <w:right w:val="single" w:sz="4" w:space="0" w:color="auto"/>
            </w:tcBorders>
          </w:tcPr>
          <w:p w:rsidR="00000000" w:rsidRDefault="00000000">
            <w:pPr>
              <w:pStyle w:val="FootnoteText"/>
              <w:tabs>
                <w:tab w:val="clear" w:pos="567"/>
              </w:tabs>
              <w:ind w:left="-295" w:right="79"/>
              <w:jc w:val="right"/>
              <w:rPr>
                <w:sz w:val="20"/>
                <w:lang w:val="en-US"/>
              </w:rPr>
            </w:pPr>
            <w:r>
              <w:rPr>
                <w:sz w:val="20"/>
                <w:lang w:val="en-US"/>
              </w:rPr>
              <w:t>109 471</w:t>
            </w:r>
          </w:p>
        </w:tc>
        <w:tc>
          <w:tcPr>
            <w:tcW w:w="1122" w:type="dxa"/>
            <w:tcBorders>
              <w:top w:val="nil"/>
              <w:left w:val="single" w:sz="4" w:space="0" w:color="auto"/>
              <w:bottom w:val="nil"/>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48 137</w:t>
            </w:r>
          </w:p>
        </w:tc>
        <w:tc>
          <w:tcPr>
            <w:tcW w:w="1122" w:type="dxa"/>
            <w:tcBorders>
              <w:top w:val="nil"/>
              <w:left w:val="single" w:sz="4" w:space="0" w:color="auto"/>
              <w:bottom w:val="nil"/>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3 614</w:t>
            </w:r>
          </w:p>
        </w:tc>
        <w:tc>
          <w:tcPr>
            <w:tcW w:w="1235" w:type="dxa"/>
            <w:tcBorders>
              <w:top w:val="nil"/>
              <w:left w:val="single" w:sz="4" w:space="0" w:color="auto"/>
              <w:bottom w:val="nil"/>
              <w:right w:val="single" w:sz="4" w:space="0" w:color="auto"/>
            </w:tcBorders>
          </w:tcPr>
          <w:p w:rsidR="00000000" w:rsidRDefault="00000000">
            <w:pPr>
              <w:pStyle w:val="FootnoteText"/>
              <w:tabs>
                <w:tab w:val="clear" w:pos="1134"/>
              </w:tabs>
              <w:ind w:left="-108" w:right="194"/>
              <w:jc w:val="right"/>
              <w:rPr>
                <w:sz w:val="20"/>
                <w:lang w:val="en-US"/>
              </w:rPr>
            </w:pPr>
            <w:r>
              <w:rPr>
                <w:sz w:val="20"/>
                <w:lang w:val="en-US"/>
              </w:rPr>
              <w:t>14 052</w:t>
            </w:r>
          </w:p>
        </w:tc>
      </w:tr>
      <w:tr w:rsidR="00000000">
        <w:tblPrEx>
          <w:tblCellMar>
            <w:top w:w="0" w:type="dxa"/>
            <w:bottom w:w="0" w:type="dxa"/>
          </w:tblCellMar>
        </w:tblPrEx>
        <w:tc>
          <w:tcPr>
            <w:tcW w:w="1043" w:type="dxa"/>
            <w:tcBorders>
              <w:top w:val="nil"/>
              <w:left w:val="single" w:sz="4" w:space="0" w:color="auto"/>
              <w:bottom w:val="nil"/>
              <w:right w:val="single" w:sz="4" w:space="0" w:color="auto"/>
            </w:tcBorders>
          </w:tcPr>
          <w:p w:rsidR="00000000" w:rsidRDefault="00000000">
            <w:pPr>
              <w:pStyle w:val="FootnoteText"/>
              <w:rPr>
                <w:sz w:val="20"/>
                <w:lang w:val="en-US"/>
              </w:rPr>
            </w:pPr>
            <w:r>
              <w:rPr>
                <w:sz w:val="20"/>
                <w:lang w:val="en-US"/>
              </w:rPr>
              <w:t>1994/95</w:t>
            </w:r>
          </w:p>
        </w:tc>
        <w:tc>
          <w:tcPr>
            <w:tcW w:w="1496" w:type="dxa"/>
            <w:tcBorders>
              <w:top w:val="nil"/>
              <w:left w:val="single" w:sz="4" w:space="0" w:color="auto"/>
              <w:bottom w:val="nil"/>
              <w:right w:val="single" w:sz="4" w:space="0" w:color="auto"/>
            </w:tcBorders>
          </w:tcPr>
          <w:p w:rsidR="00000000" w:rsidRDefault="00000000">
            <w:pPr>
              <w:pStyle w:val="FootnoteText"/>
              <w:jc w:val="center"/>
              <w:rPr>
                <w:sz w:val="20"/>
                <w:lang w:val="en-US"/>
              </w:rPr>
            </w:pPr>
            <w:r>
              <w:rPr>
                <w:sz w:val="20"/>
                <w:lang w:val="en-US"/>
              </w:rPr>
              <w:t>23</w:t>
            </w:r>
          </w:p>
        </w:tc>
        <w:tc>
          <w:tcPr>
            <w:tcW w:w="1309" w:type="dxa"/>
            <w:tcBorders>
              <w:top w:val="nil"/>
              <w:left w:val="single" w:sz="4" w:space="0" w:color="auto"/>
              <w:bottom w:val="nil"/>
              <w:right w:val="single" w:sz="4" w:space="0" w:color="auto"/>
            </w:tcBorders>
          </w:tcPr>
          <w:p w:rsidR="00000000" w:rsidRDefault="00000000">
            <w:pPr>
              <w:pStyle w:val="FootnoteText"/>
              <w:jc w:val="center"/>
              <w:rPr>
                <w:sz w:val="20"/>
                <w:lang w:val="en-US"/>
              </w:rPr>
            </w:pPr>
            <w:r>
              <w:rPr>
                <w:sz w:val="20"/>
                <w:lang w:val="en-US"/>
              </w:rPr>
              <w:t>106</w:t>
            </w:r>
          </w:p>
        </w:tc>
        <w:tc>
          <w:tcPr>
            <w:tcW w:w="1309" w:type="dxa"/>
            <w:tcBorders>
              <w:top w:val="nil"/>
              <w:left w:val="single" w:sz="4" w:space="0" w:color="auto"/>
              <w:bottom w:val="nil"/>
              <w:right w:val="single" w:sz="4" w:space="0" w:color="auto"/>
            </w:tcBorders>
          </w:tcPr>
          <w:p w:rsidR="00000000" w:rsidRDefault="00000000">
            <w:pPr>
              <w:pStyle w:val="FootnoteText"/>
              <w:tabs>
                <w:tab w:val="clear" w:pos="1134"/>
              </w:tabs>
              <w:ind w:right="266"/>
              <w:jc w:val="right"/>
              <w:rPr>
                <w:sz w:val="20"/>
                <w:lang w:val="en-US"/>
              </w:rPr>
            </w:pPr>
            <w:r>
              <w:rPr>
                <w:sz w:val="20"/>
                <w:lang w:val="en-US"/>
              </w:rPr>
              <w:t>129 453</w:t>
            </w:r>
          </w:p>
        </w:tc>
        <w:tc>
          <w:tcPr>
            <w:tcW w:w="935" w:type="dxa"/>
            <w:tcBorders>
              <w:top w:val="nil"/>
              <w:left w:val="single" w:sz="4" w:space="0" w:color="auto"/>
              <w:bottom w:val="nil"/>
              <w:right w:val="single" w:sz="4" w:space="0" w:color="auto"/>
            </w:tcBorders>
          </w:tcPr>
          <w:p w:rsidR="00000000" w:rsidRDefault="00000000">
            <w:pPr>
              <w:pStyle w:val="FootnoteText"/>
              <w:tabs>
                <w:tab w:val="clear" w:pos="567"/>
              </w:tabs>
              <w:ind w:left="-295" w:right="79"/>
              <w:jc w:val="right"/>
              <w:rPr>
                <w:sz w:val="20"/>
                <w:lang w:val="en-US"/>
              </w:rPr>
            </w:pPr>
            <w:r>
              <w:rPr>
                <w:sz w:val="20"/>
                <w:lang w:val="en-US"/>
              </w:rPr>
              <w:t>115 888</w:t>
            </w:r>
          </w:p>
        </w:tc>
        <w:tc>
          <w:tcPr>
            <w:tcW w:w="1122" w:type="dxa"/>
            <w:tcBorders>
              <w:top w:val="nil"/>
              <w:left w:val="single" w:sz="4" w:space="0" w:color="auto"/>
              <w:bottom w:val="nil"/>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50 840</w:t>
            </w:r>
          </w:p>
        </w:tc>
        <w:tc>
          <w:tcPr>
            <w:tcW w:w="1122" w:type="dxa"/>
            <w:tcBorders>
              <w:top w:val="nil"/>
              <w:left w:val="single" w:sz="4" w:space="0" w:color="auto"/>
              <w:bottom w:val="nil"/>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2 871</w:t>
            </w:r>
          </w:p>
        </w:tc>
        <w:tc>
          <w:tcPr>
            <w:tcW w:w="1235" w:type="dxa"/>
            <w:tcBorders>
              <w:top w:val="nil"/>
              <w:left w:val="single" w:sz="4" w:space="0" w:color="auto"/>
              <w:bottom w:val="nil"/>
              <w:right w:val="single" w:sz="4" w:space="0" w:color="auto"/>
            </w:tcBorders>
          </w:tcPr>
          <w:p w:rsidR="00000000" w:rsidRDefault="00000000">
            <w:pPr>
              <w:pStyle w:val="FootnoteText"/>
              <w:tabs>
                <w:tab w:val="clear" w:pos="1134"/>
              </w:tabs>
              <w:ind w:left="-108" w:right="194"/>
              <w:jc w:val="right"/>
              <w:rPr>
                <w:sz w:val="20"/>
                <w:lang w:val="en-US"/>
              </w:rPr>
            </w:pPr>
            <w:r>
              <w:rPr>
                <w:sz w:val="20"/>
                <w:lang w:val="en-US"/>
              </w:rPr>
              <w:t>10 694</w:t>
            </w:r>
          </w:p>
        </w:tc>
      </w:tr>
      <w:tr w:rsidR="00000000">
        <w:tblPrEx>
          <w:tblCellMar>
            <w:top w:w="0" w:type="dxa"/>
            <w:bottom w:w="0" w:type="dxa"/>
          </w:tblCellMar>
        </w:tblPrEx>
        <w:tc>
          <w:tcPr>
            <w:tcW w:w="1043" w:type="dxa"/>
            <w:tcBorders>
              <w:top w:val="nil"/>
              <w:left w:val="single" w:sz="4" w:space="0" w:color="auto"/>
              <w:bottom w:val="nil"/>
              <w:right w:val="single" w:sz="4" w:space="0" w:color="auto"/>
            </w:tcBorders>
          </w:tcPr>
          <w:p w:rsidR="00000000" w:rsidRDefault="00000000">
            <w:pPr>
              <w:pStyle w:val="FootnoteText"/>
              <w:rPr>
                <w:sz w:val="20"/>
                <w:lang w:val="en-US"/>
              </w:rPr>
            </w:pPr>
            <w:r>
              <w:rPr>
                <w:sz w:val="20"/>
                <w:lang w:val="en-US"/>
              </w:rPr>
              <w:t>1995/96</w:t>
            </w:r>
          </w:p>
        </w:tc>
        <w:tc>
          <w:tcPr>
            <w:tcW w:w="1496" w:type="dxa"/>
            <w:tcBorders>
              <w:top w:val="nil"/>
              <w:left w:val="single" w:sz="4" w:space="0" w:color="auto"/>
              <w:bottom w:val="nil"/>
              <w:right w:val="single" w:sz="4" w:space="0" w:color="auto"/>
            </w:tcBorders>
          </w:tcPr>
          <w:p w:rsidR="00000000" w:rsidRDefault="00000000">
            <w:pPr>
              <w:pStyle w:val="FootnoteText"/>
              <w:jc w:val="center"/>
              <w:rPr>
                <w:sz w:val="20"/>
                <w:lang w:val="en-US"/>
              </w:rPr>
            </w:pPr>
            <w:r>
              <w:rPr>
                <w:sz w:val="20"/>
                <w:lang w:val="en-US"/>
              </w:rPr>
              <w:t>23</w:t>
            </w:r>
          </w:p>
        </w:tc>
        <w:tc>
          <w:tcPr>
            <w:tcW w:w="1309" w:type="dxa"/>
            <w:tcBorders>
              <w:top w:val="nil"/>
              <w:left w:val="single" w:sz="4" w:space="0" w:color="auto"/>
              <w:bottom w:val="nil"/>
              <w:right w:val="single" w:sz="4" w:space="0" w:color="auto"/>
            </w:tcBorders>
          </w:tcPr>
          <w:p w:rsidR="00000000" w:rsidRDefault="00000000">
            <w:pPr>
              <w:pStyle w:val="FootnoteText"/>
              <w:jc w:val="center"/>
              <w:rPr>
                <w:sz w:val="20"/>
                <w:lang w:val="en-US"/>
              </w:rPr>
            </w:pPr>
            <w:r>
              <w:rPr>
                <w:sz w:val="20"/>
                <w:lang w:val="en-US"/>
              </w:rPr>
              <w:t>110</w:t>
            </w:r>
          </w:p>
        </w:tc>
        <w:tc>
          <w:tcPr>
            <w:tcW w:w="1309" w:type="dxa"/>
            <w:tcBorders>
              <w:top w:val="nil"/>
              <w:left w:val="single" w:sz="4" w:space="0" w:color="auto"/>
              <w:bottom w:val="nil"/>
              <w:right w:val="single" w:sz="4" w:space="0" w:color="auto"/>
            </w:tcBorders>
          </w:tcPr>
          <w:p w:rsidR="00000000" w:rsidRDefault="00000000">
            <w:pPr>
              <w:pStyle w:val="FootnoteText"/>
              <w:tabs>
                <w:tab w:val="clear" w:pos="1134"/>
              </w:tabs>
              <w:ind w:right="266"/>
              <w:jc w:val="right"/>
              <w:rPr>
                <w:sz w:val="20"/>
                <w:lang w:val="en-US"/>
              </w:rPr>
            </w:pPr>
            <w:r>
              <w:rPr>
                <w:sz w:val="20"/>
                <w:lang w:val="en-US"/>
              </w:rPr>
              <w:t>139 774</w:t>
            </w:r>
          </w:p>
        </w:tc>
        <w:tc>
          <w:tcPr>
            <w:tcW w:w="935" w:type="dxa"/>
            <w:tcBorders>
              <w:top w:val="nil"/>
              <w:left w:val="single" w:sz="4" w:space="0" w:color="auto"/>
              <w:bottom w:val="nil"/>
              <w:right w:val="single" w:sz="4" w:space="0" w:color="auto"/>
            </w:tcBorders>
          </w:tcPr>
          <w:p w:rsidR="00000000" w:rsidRDefault="00000000">
            <w:pPr>
              <w:pStyle w:val="FootnoteText"/>
              <w:tabs>
                <w:tab w:val="clear" w:pos="567"/>
              </w:tabs>
              <w:ind w:left="-295" w:right="79"/>
              <w:jc w:val="right"/>
              <w:rPr>
                <w:sz w:val="20"/>
                <w:lang w:val="en-US"/>
              </w:rPr>
            </w:pPr>
            <w:r>
              <w:rPr>
                <w:sz w:val="20"/>
                <w:lang w:val="en-US"/>
              </w:rPr>
              <w:t>123 460</w:t>
            </w:r>
          </w:p>
        </w:tc>
        <w:tc>
          <w:tcPr>
            <w:tcW w:w="1122" w:type="dxa"/>
            <w:tcBorders>
              <w:top w:val="nil"/>
              <w:left w:val="single" w:sz="4" w:space="0" w:color="auto"/>
              <w:bottom w:val="nil"/>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54 670</w:t>
            </w:r>
          </w:p>
        </w:tc>
        <w:tc>
          <w:tcPr>
            <w:tcW w:w="1122" w:type="dxa"/>
            <w:tcBorders>
              <w:top w:val="nil"/>
              <w:left w:val="single" w:sz="4" w:space="0" w:color="auto"/>
              <w:bottom w:val="nil"/>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2 885</w:t>
            </w:r>
          </w:p>
        </w:tc>
        <w:tc>
          <w:tcPr>
            <w:tcW w:w="1235" w:type="dxa"/>
            <w:tcBorders>
              <w:top w:val="nil"/>
              <w:left w:val="single" w:sz="4" w:space="0" w:color="auto"/>
              <w:bottom w:val="nil"/>
              <w:right w:val="single" w:sz="4" w:space="0" w:color="auto"/>
            </w:tcBorders>
          </w:tcPr>
          <w:p w:rsidR="00000000" w:rsidRDefault="00000000">
            <w:pPr>
              <w:pStyle w:val="FootnoteText"/>
              <w:tabs>
                <w:tab w:val="clear" w:pos="1134"/>
              </w:tabs>
              <w:ind w:left="-108" w:right="194"/>
              <w:jc w:val="right"/>
              <w:rPr>
                <w:sz w:val="20"/>
                <w:lang w:val="en-US"/>
              </w:rPr>
            </w:pPr>
            <w:r>
              <w:rPr>
                <w:sz w:val="20"/>
                <w:lang w:val="en-US"/>
              </w:rPr>
              <w:t>13 429</w:t>
            </w:r>
          </w:p>
        </w:tc>
      </w:tr>
      <w:tr w:rsidR="00000000">
        <w:tblPrEx>
          <w:tblCellMar>
            <w:top w:w="0" w:type="dxa"/>
            <w:bottom w:w="0" w:type="dxa"/>
          </w:tblCellMar>
        </w:tblPrEx>
        <w:tc>
          <w:tcPr>
            <w:tcW w:w="1043" w:type="dxa"/>
            <w:tcBorders>
              <w:top w:val="nil"/>
              <w:left w:val="single" w:sz="4" w:space="0" w:color="auto"/>
              <w:bottom w:val="nil"/>
              <w:right w:val="single" w:sz="4" w:space="0" w:color="auto"/>
            </w:tcBorders>
          </w:tcPr>
          <w:p w:rsidR="00000000" w:rsidRDefault="00000000">
            <w:pPr>
              <w:pStyle w:val="FootnoteText"/>
              <w:rPr>
                <w:sz w:val="20"/>
                <w:lang w:val="en-US"/>
              </w:rPr>
            </w:pPr>
            <w:r>
              <w:rPr>
                <w:sz w:val="20"/>
                <w:lang w:val="en-US"/>
              </w:rPr>
              <w:t>1996/97</w:t>
            </w:r>
          </w:p>
        </w:tc>
        <w:tc>
          <w:tcPr>
            <w:tcW w:w="1496" w:type="dxa"/>
            <w:tcBorders>
              <w:top w:val="nil"/>
              <w:left w:val="single" w:sz="4" w:space="0" w:color="auto"/>
              <w:bottom w:val="nil"/>
              <w:right w:val="single" w:sz="4" w:space="0" w:color="auto"/>
            </w:tcBorders>
          </w:tcPr>
          <w:p w:rsidR="00000000" w:rsidRDefault="00000000">
            <w:pPr>
              <w:pStyle w:val="FootnoteText"/>
              <w:jc w:val="center"/>
              <w:rPr>
                <w:sz w:val="20"/>
                <w:lang w:val="en-US"/>
              </w:rPr>
            </w:pPr>
            <w:r>
              <w:rPr>
                <w:sz w:val="20"/>
                <w:lang w:val="en-US"/>
              </w:rPr>
              <w:t>23</w:t>
            </w:r>
          </w:p>
        </w:tc>
        <w:tc>
          <w:tcPr>
            <w:tcW w:w="1309" w:type="dxa"/>
            <w:tcBorders>
              <w:top w:val="nil"/>
              <w:left w:val="single" w:sz="4" w:space="0" w:color="auto"/>
              <w:bottom w:val="nil"/>
              <w:right w:val="single" w:sz="4" w:space="0" w:color="auto"/>
            </w:tcBorders>
          </w:tcPr>
          <w:p w:rsidR="00000000" w:rsidRDefault="00000000">
            <w:pPr>
              <w:pStyle w:val="FootnoteText"/>
              <w:jc w:val="center"/>
              <w:rPr>
                <w:sz w:val="20"/>
                <w:lang w:val="en-US"/>
              </w:rPr>
            </w:pPr>
            <w:r>
              <w:rPr>
                <w:sz w:val="20"/>
                <w:lang w:val="en-US"/>
              </w:rPr>
              <w:t>111</w:t>
            </w:r>
          </w:p>
        </w:tc>
        <w:tc>
          <w:tcPr>
            <w:tcW w:w="1309" w:type="dxa"/>
            <w:tcBorders>
              <w:top w:val="nil"/>
              <w:left w:val="single" w:sz="4" w:space="0" w:color="auto"/>
              <w:bottom w:val="nil"/>
              <w:right w:val="single" w:sz="4" w:space="0" w:color="auto"/>
            </w:tcBorders>
          </w:tcPr>
          <w:p w:rsidR="00000000" w:rsidRDefault="00000000">
            <w:pPr>
              <w:pStyle w:val="FootnoteText"/>
              <w:tabs>
                <w:tab w:val="clear" w:pos="1134"/>
              </w:tabs>
              <w:ind w:right="266"/>
              <w:jc w:val="right"/>
              <w:rPr>
                <w:sz w:val="20"/>
                <w:lang w:val="en-US"/>
              </w:rPr>
            </w:pPr>
            <w:r>
              <w:rPr>
                <w:sz w:val="20"/>
                <w:lang w:val="en-US"/>
              </w:rPr>
              <w:t>155 868</w:t>
            </w:r>
          </w:p>
        </w:tc>
        <w:tc>
          <w:tcPr>
            <w:tcW w:w="935" w:type="dxa"/>
            <w:tcBorders>
              <w:top w:val="nil"/>
              <w:left w:val="single" w:sz="4" w:space="0" w:color="auto"/>
              <w:bottom w:val="nil"/>
              <w:right w:val="single" w:sz="4" w:space="0" w:color="auto"/>
            </w:tcBorders>
          </w:tcPr>
          <w:p w:rsidR="00000000" w:rsidRDefault="00000000">
            <w:pPr>
              <w:pStyle w:val="FootnoteText"/>
              <w:tabs>
                <w:tab w:val="clear" w:pos="567"/>
              </w:tabs>
              <w:ind w:left="-295" w:right="79"/>
              <w:jc w:val="right"/>
              <w:rPr>
                <w:sz w:val="20"/>
                <w:lang w:val="en-US"/>
              </w:rPr>
            </w:pPr>
            <w:r>
              <w:rPr>
                <w:sz w:val="20"/>
                <w:lang w:val="en-US"/>
              </w:rPr>
              <w:t>136 763</w:t>
            </w:r>
          </w:p>
        </w:tc>
        <w:tc>
          <w:tcPr>
            <w:tcW w:w="1122" w:type="dxa"/>
            <w:tcBorders>
              <w:top w:val="nil"/>
              <w:left w:val="single" w:sz="4" w:space="0" w:color="auto"/>
              <w:bottom w:val="nil"/>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60 555</w:t>
            </w:r>
          </w:p>
        </w:tc>
        <w:tc>
          <w:tcPr>
            <w:tcW w:w="1122" w:type="dxa"/>
            <w:tcBorders>
              <w:top w:val="nil"/>
              <w:left w:val="single" w:sz="4" w:space="0" w:color="auto"/>
              <w:bottom w:val="nil"/>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3 266</w:t>
            </w:r>
          </w:p>
        </w:tc>
        <w:tc>
          <w:tcPr>
            <w:tcW w:w="1235" w:type="dxa"/>
            <w:tcBorders>
              <w:top w:val="nil"/>
              <w:left w:val="single" w:sz="4" w:space="0" w:color="auto"/>
              <w:bottom w:val="nil"/>
              <w:right w:val="single" w:sz="4" w:space="0" w:color="auto"/>
            </w:tcBorders>
          </w:tcPr>
          <w:p w:rsidR="00000000" w:rsidRDefault="00000000">
            <w:pPr>
              <w:pStyle w:val="FootnoteText"/>
              <w:tabs>
                <w:tab w:val="clear" w:pos="1134"/>
              </w:tabs>
              <w:ind w:left="-108" w:right="194"/>
              <w:jc w:val="right"/>
              <w:rPr>
                <w:sz w:val="20"/>
                <w:lang w:val="en-US"/>
              </w:rPr>
            </w:pPr>
            <w:r>
              <w:rPr>
                <w:sz w:val="20"/>
                <w:lang w:val="en-US"/>
              </w:rPr>
              <w:t>15 839</w:t>
            </w:r>
          </w:p>
        </w:tc>
      </w:tr>
      <w:tr w:rsidR="00000000">
        <w:tblPrEx>
          <w:tblCellMar>
            <w:top w:w="0" w:type="dxa"/>
            <w:bottom w:w="0" w:type="dxa"/>
          </w:tblCellMar>
        </w:tblPrEx>
        <w:tc>
          <w:tcPr>
            <w:tcW w:w="1043" w:type="dxa"/>
            <w:tcBorders>
              <w:top w:val="nil"/>
              <w:left w:val="single" w:sz="4" w:space="0" w:color="auto"/>
              <w:bottom w:val="nil"/>
              <w:right w:val="single" w:sz="4" w:space="0" w:color="auto"/>
            </w:tcBorders>
          </w:tcPr>
          <w:p w:rsidR="00000000" w:rsidRDefault="00000000">
            <w:pPr>
              <w:pStyle w:val="FootnoteText"/>
              <w:rPr>
                <w:sz w:val="20"/>
                <w:lang w:val="en-US"/>
              </w:rPr>
            </w:pPr>
            <w:r>
              <w:rPr>
                <w:sz w:val="20"/>
                <w:lang w:val="en-US"/>
              </w:rPr>
              <w:t>1997/98</w:t>
            </w:r>
          </w:p>
        </w:tc>
        <w:tc>
          <w:tcPr>
            <w:tcW w:w="1496" w:type="dxa"/>
            <w:tcBorders>
              <w:top w:val="nil"/>
              <w:left w:val="single" w:sz="4" w:space="0" w:color="auto"/>
              <w:bottom w:val="nil"/>
              <w:right w:val="single" w:sz="4" w:space="0" w:color="auto"/>
            </w:tcBorders>
          </w:tcPr>
          <w:p w:rsidR="00000000" w:rsidRDefault="00000000">
            <w:pPr>
              <w:pStyle w:val="FootnoteText"/>
              <w:jc w:val="center"/>
              <w:rPr>
                <w:sz w:val="20"/>
                <w:lang w:val="en-US"/>
              </w:rPr>
            </w:pPr>
            <w:r>
              <w:rPr>
                <w:sz w:val="20"/>
                <w:lang w:val="en-US"/>
              </w:rPr>
              <w:t>23</w:t>
            </w:r>
          </w:p>
        </w:tc>
        <w:tc>
          <w:tcPr>
            <w:tcW w:w="1309" w:type="dxa"/>
            <w:tcBorders>
              <w:top w:val="nil"/>
              <w:left w:val="single" w:sz="4" w:space="0" w:color="auto"/>
              <w:bottom w:val="nil"/>
              <w:right w:val="single" w:sz="4" w:space="0" w:color="auto"/>
            </w:tcBorders>
          </w:tcPr>
          <w:p w:rsidR="00000000" w:rsidRDefault="00000000">
            <w:pPr>
              <w:pStyle w:val="FootnoteText"/>
              <w:jc w:val="center"/>
              <w:rPr>
                <w:sz w:val="20"/>
                <w:lang w:val="en-US"/>
              </w:rPr>
            </w:pPr>
            <w:r>
              <w:rPr>
                <w:sz w:val="20"/>
                <w:lang w:val="en-US"/>
              </w:rPr>
              <w:t>112</w:t>
            </w:r>
          </w:p>
        </w:tc>
        <w:tc>
          <w:tcPr>
            <w:tcW w:w="1309" w:type="dxa"/>
            <w:tcBorders>
              <w:top w:val="nil"/>
              <w:left w:val="single" w:sz="4" w:space="0" w:color="auto"/>
              <w:bottom w:val="nil"/>
              <w:right w:val="single" w:sz="4" w:space="0" w:color="auto"/>
            </w:tcBorders>
          </w:tcPr>
          <w:p w:rsidR="00000000" w:rsidRDefault="00000000">
            <w:pPr>
              <w:pStyle w:val="FootnoteText"/>
              <w:tabs>
                <w:tab w:val="clear" w:pos="1134"/>
              </w:tabs>
              <w:ind w:right="266"/>
              <w:jc w:val="right"/>
              <w:rPr>
                <w:sz w:val="20"/>
                <w:lang w:val="en-US"/>
              </w:rPr>
            </w:pPr>
            <w:r>
              <w:rPr>
                <w:sz w:val="20"/>
                <w:lang w:val="en-US"/>
              </w:rPr>
              <w:t>165 754</w:t>
            </w:r>
          </w:p>
        </w:tc>
        <w:tc>
          <w:tcPr>
            <w:tcW w:w="935" w:type="dxa"/>
            <w:tcBorders>
              <w:top w:val="nil"/>
              <w:left w:val="single" w:sz="4" w:space="0" w:color="auto"/>
              <w:bottom w:val="nil"/>
              <w:right w:val="single" w:sz="4" w:space="0" w:color="auto"/>
            </w:tcBorders>
          </w:tcPr>
          <w:p w:rsidR="00000000" w:rsidRDefault="00000000">
            <w:pPr>
              <w:pStyle w:val="FootnoteText"/>
              <w:tabs>
                <w:tab w:val="clear" w:pos="567"/>
              </w:tabs>
              <w:ind w:left="-295" w:right="79"/>
              <w:jc w:val="right"/>
              <w:rPr>
                <w:sz w:val="20"/>
                <w:lang w:val="en-US"/>
              </w:rPr>
            </w:pPr>
            <w:r>
              <w:rPr>
                <w:sz w:val="20"/>
                <w:lang w:val="en-US"/>
              </w:rPr>
              <w:t>145 097</w:t>
            </w:r>
          </w:p>
        </w:tc>
        <w:tc>
          <w:tcPr>
            <w:tcW w:w="1122" w:type="dxa"/>
            <w:tcBorders>
              <w:top w:val="nil"/>
              <w:left w:val="single" w:sz="4" w:space="0" w:color="auto"/>
              <w:bottom w:val="nil"/>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64 794</w:t>
            </w:r>
          </w:p>
        </w:tc>
        <w:tc>
          <w:tcPr>
            <w:tcW w:w="1122" w:type="dxa"/>
            <w:tcBorders>
              <w:top w:val="nil"/>
              <w:left w:val="single" w:sz="4" w:space="0" w:color="auto"/>
              <w:bottom w:val="nil"/>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3 381</w:t>
            </w:r>
          </w:p>
        </w:tc>
        <w:tc>
          <w:tcPr>
            <w:tcW w:w="1235" w:type="dxa"/>
            <w:tcBorders>
              <w:top w:val="nil"/>
              <w:left w:val="single" w:sz="4" w:space="0" w:color="auto"/>
              <w:bottom w:val="nil"/>
              <w:right w:val="single" w:sz="4" w:space="0" w:color="auto"/>
            </w:tcBorders>
          </w:tcPr>
          <w:p w:rsidR="00000000" w:rsidRDefault="00000000">
            <w:pPr>
              <w:pStyle w:val="FootnoteText"/>
              <w:tabs>
                <w:tab w:val="clear" w:pos="1134"/>
              </w:tabs>
              <w:ind w:left="-108" w:right="194"/>
              <w:jc w:val="right"/>
              <w:rPr>
                <w:sz w:val="20"/>
                <w:lang w:val="en-US"/>
              </w:rPr>
            </w:pPr>
            <w:r>
              <w:rPr>
                <w:sz w:val="20"/>
                <w:lang w:val="en-US"/>
              </w:rPr>
              <w:t>17 276</w:t>
            </w:r>
          </w:p>
        </w:tc>
      </w:tr>
      <w:tr w:rsidR="00000000">
        <w:tblPrEx>
          <w:tblCellMar>
            <w:top w:w="0" w:type="dxa"/>
            <w:bottom w:w="0" w:type="dxa"/>
          </w:tblCellMar>
        </w:tblPrEx>
        <w:tc>
          <w:tcPr>
            <w:tcW w:w="1043" w:type="dxa"/>
            <w:tcBorders>
              <w:top w:val="nil"/>
              <w:left w:val="single" w:sz="4" w:space="0" w:color="auto"/>
              <w:right w:val="single" w:sz="4" w:space="0" w:color="auto"/>
            </w:tcBorders>
          </w:tcPr>
          <w:p w:rsidR="00000000" w:rsidRDefault="00000000">
            <w:pPr>
              <w:pStyle w:val="FootnoteText"/>
              <w:rPr>
                <w:sz w:val="20"/>
                <w:lang w:val="en-US"/>
              </w:rPr>
            </w:pPr>
            <w:r>
              <w:rPr>
                <w:sz w:val="20"/>
                <w:lang w:val="en-US"/>
              </w:rPr>
              <w:t>1998/99</w:t>
            </w:r>
          </w:p>
        </w:tc>
        <w:tc>
          <w:tcPr>
            <w:tcW w:w="1496" w:type="dxa"/>
            <w:tcBorders>
              <w:top w:val="nil"/>
              <w:left w:val="single" w:sz="4" w:space="0" w:color="auto"/>
              <w:right w:val="single" w:sz="4" w:space="0" w:color="auto"/>
            </w:tcBorders>
          </w:tcPr>
          <w:p w:rsidR="00000000" w:rsidRDefault="00000000">
            <w:pPr>
              <w:pStyle w:val="FootnoteText"/>
              <w:jc w:val="center"/>
              <w:rPr>
                <w:sz w:val="20"/>
                <w:lang w:val="en-US"/>
              </w:rPr>
            </w:pPr>
            <w:r>
              <w:rPr>
                <w:sz w:val="20"/>
                <w:lang w:val="en-US"/>
              </w:rPr>
              <w:t>23</w:t>
            </w:r>
          </w:p>
        </w:tc>
        <w:tc>
          <w:tcPr>
            <w:tcW w:w="1309" w:type="dxa"/>
            <w:tcBorders>
              <w:top w:val="nil"/>
              <w:left w:val="single" w:sz="4" w:space="0" w:color="auto"/>
              <w:right w:val="single" w:sz="4" w:space="0" w:color="auto"/>
            </w:tcBorders>
          </w:tcPr>
          <w:p w:rsidR="00000000" w:rsidRDefault="00000000">
            <w:pPr>
              <w:pStyle w:val="FootnoteText"/>
              <w:jc w:val="center"/>
              <w:rPr>
                <w:sz w:val="20"/>
                <w:lang w:val="en-US"/>
              </w:rPr>
            </w:pPr>
            <w:r>
              <w:rPr>
                <w:sz w:val="20"/>
                <w:lang w:val="en-US"/>
              </w:rPr>
              <w:t>112</w:t>
            </w:r>
          </w:p>
        </w:tc>
        <w:tc>
          <w:tcPr>
            <w:tcW w:w="1309" w:type="dxa"/>
            <w:tcBorders>
              <w:top w:val="nil"/>
              <w:left w:val="single" w:sz="4" w:space="0" w:color="auto"/>
              <w:right w:val="single" w:sz="4" w:space="0" w:color="auto"/>
            </w:tcBorders>
          </w:tcPr>
          <w:p w:rsidR="00000000" w:rsidRDefault="00000000">
            <w:pPr>
              <w:pStyle w:val="FootnoteText"/>
              <w:tabs>
                <w:tab w:val="clear" w:pos="1134"/>
              </w:tabs>
              <w:ind w:right="266"/>
              <w:jc w:val="right"/>
              <w:rPr>
                <w:sz w:val="20"/>
                <w:lang w:val="en-US"/>
              </w:rPr>
            </w:pPr>
            <w:r>
              <w:rPr>
                <w:sz w:val="20"/>
                <w:lang w:val="en-US"/>
              </w:rPr>
              <w:t>174 229</w:t>
            </w:r>
          </w:p>
        </w:tc>
        <w:tc>
          <w:tcPr>
            <w:tcW w:w="935" w:type="dxa"/>
            <w:tcBorders>
              <w:top w:val="nil"/>
              <w:left w:val="single" w:sz="4" w:space="0" w:color="auto"/>
              <w:right w:val="single" w:sz="4" w:space="0" w:color="auto"/>
            </w:tcBorders>
          </w:tcPr>
          <w:p w:rsidR="00000000" w:rsidRDefault="00000000">
            <w:pPr>
              <w:pStyle w:val="FootnoteText"/>
              <w:tabs>
                <w:tab w:val="clear" w:pos="567"/>
              </w:tabs>
              <w:ind w:left="-295" w:right="79"/>
              <w:jc w:val="right"/>
              <w:rPr>
                <w:sz w:val="20"/>
                <w:lang w:val="en-US"/>
              </w:rPr>
            </w:pPr>
            <w:r>
              <w:rPr>
                <w:sz w:val="20"/>
                <w:lang w:val="en-US"/>
              </w:rPr>
              <w:t>151 719</w:t>
            </w:r>
          </w:p>
        </w:tc>
        <w:tc>
          <w:tcPr>
            <w:tcW w:w="1122" w:type="dxa"/>
            <w:tcBorders>
              <w:top w:val="nil"/>
              <w:left w:val="single" w:sz="4" w:space="0" w:color="auto"/>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69 200</w:t>
            </w:r>
          </w:p>
        </w:tc>
        <w:tc>
          <w:tcPr>
            <w:tcW w:w="1122" w:type="dxa"/>
            <w:tcBorders>
              <w:top w:val="nil"/>
              <w:left w:val="single" w:sz="4" w:space="0" w:color="auto"/>
              <w:right w:val="single" w:sz="4" w:space="0" w:color="auto"/>
            </w:tcBorders>
          </w:tcPr>
          <w:p w:rsidR="00000000" w:rsidRDefault="00000000">
            <w:pPr>
              <w:pStyle w:val="FootnoteText"/>
              <w:tabs>
                <w:tab w:val="clear" w:pos="567"/>
              </w:tabs>
              <w:ind w:left="-108" w:right="194"/>
              <w:jc w:val="right"/>
              <w:rPr>
                <w:sz w:val="20"/>
                <w:lang w:val="en-US"/>
              </w:rPr>
            </w:pPr>
            <w:r>
              <w:rPr>
                <w:sz w:val="20"/>
                <w:lang w:val="en-US"/>
              </w:rPr>
              <w:t>3 693</w:t>
            </w:r>
          </w:p>
        </w:tc>
        <w:tc>
          <w:tcPr>
            <w:tcW w:w="1235" w:type="dxa"/>
            <w:tcBorders>
              <w:top w:val="nil"/>
              <w:left w:val="single" w:sz="4" w:space="0" w:color="auto"/>
              <w:right w:val="single" w:sz="4" w:space="0" w:color="auto"/>
            </w:tcBorders>
          </w:tcPr>
          <w:p w:rsidR="00000000" w:rsidRDefault="00000000">
            <w:pPr>
              <w:pStyle w:val="FootnoteText"/>
              <w:tabs>
                <w:tab w:val="clear" w:pos="1134"/>
              </w:tabs>
              <w:ind w:left="-108" w:right="194"/>
              <w:jc w:val="right"/>
              <w:rPr>
                <w:sz w:val="20"/>
                <w:lang w:val="en-US"/>
              </w:rPr>
            </w:pPr>
            <w:r>
              <w:rPr>
                <w:sz w:val="20"/>
                <w:lang w:val="en-US"/>
              </w:rPr>
              <w:t>18 817</w:t>
            </w:r>
          </w:p>
        </w:tc>
      </w:tr>
    </w:tbl>
    <w:p w:rsidR="00000000" w:rsidRDefault="00000000">
      <w:pPr>
        <w:pStyle w:val="FootnoteText"/>
        <w:rPr>
          <w:lang w:val="en-US"/>
        </w:rPr>
      </w:pPr>
    </w:p>
    <w:p w:rsidR="00000000" w:rsidRDefault="00000000">
      <w:pPr>
        <w:pStyle w:val="FootnoteText"/>
        <w:spacing w:line="288" w:lineRule="auto"/>
      </w:pPr>
      <w:r>
        <w:rPr>
          <w:lang w:val="en-US"/>
        </w:rPr>
        <w:tab/>
      </w:r>
      <w:r>
        <w:rPr>
          <w:b/>
          <w:bCs/>
          <w:vertAlign w:val="superscript"/>
          <w:lang w:val="en-US"/>
        </w:rPr>
        <w:t>a</w:t>
      </w:r>
      <w:r>
        <w:tab/>
        <w:t>Включая обучение без отрыва от производства.</w:t>
      </w:r>
    </w:p>
    <w:p w:rsidR="00000000" w:rsidRDefault="00000000">
      <w:pPr>
        <w:pStyle w:val="FootnoteText"/>
        <w:spacing w:line="288" w:lineRule="auto"/>
      </w:pPr>
    </w:p>
    <w:p w:rsidR="00000000" w:rsidRDefault="00000000">
      <w:pPr>
        <w:pStyle w:val="FootnoteText"/>
        <w:spacing w:line="288" w:lineRule="auto"/>
      </w:pPr>
      <w:r>
        <w:t>577.</w:t>
      </w:r>
      <w:r>
        <w:tab/>
        <w:t>Во второй половине 1998 года вступил в силу новый Закон об университетах</w:t>
      </w:r>
      <w:r>
        <w:rPr>
          <w:rStyle w:val="FootnoteReference"/>
        </w:rPr>
        <w:footnoteReference w:id="345"/>
      </w:r>
      <w:r>
        <w:t>.  Он соответствует изменениям, которые претерпели чешские университеты и которые отражают всемирный процесс развития.  Самое главное из них состоит в широком развитии университетского образования, обусловленном ростом интереса к учебе в университетах.  Основная проблема состоит в том, как удовлетворить растущий спрос и при этом сохранить желаемое качество обучения.  Это требование удовлетворяется путем адекватной диверсификации университетского образования, состоящей в том, что, помимо пятилетних программ обучения, создаются возможности для выбора профессионального специализированного обучения по трехлетним программам.  Диверсификация университетской системы балансируется путем утверждения государственными органами всех учебных программ, а также предоставления университетам полномочий для создания преподавательских должностей в той или иной области (на двух уровнях:  доцента и профессора).  Такая процедура введена недавно с целью обеспечения качества университетского образования.  Университетское образование делится на такие основные категории, как программы подготовки бакалавра, магистра или аспиранта.  Программа подготовки бакалавра конкретно направлена на обучение профессиям с непосредственным усвоением необходимой информации и методики работы.  Программа подготовки магистра нацелена на приобретение более глубоких теоретических знаний, а программа подготовки аспиранта предусматривает обучение в области научных исследований и самостоятельной творческой работы.</w:t>
      </w:r>
    </w:p>
    <w:p w:rsidR="00000000" w:rsidRDefault="00000000">
      <w:pPr>
        <w:pStyle w:val="FootnoteText"/>
        <w:spacing w:line="288" w:lineRule="auto"/>
      </w:pPr>
    </w:p>
    <w:p w:rsidR="00000000" w:rsidRDefault="00000000">
      <w:pPr>
        <w:pStyle w:val="Heading1"/>
        <w:spacing w:line="240" w:lineRule="auto"/>
        <w:jc w:val="center"/>
        <w:rPr>
          <w:b w:val="0"/>
        </w:rPr>
      </w:pPr>
      <w:r>
        <w:rPr>
          <w:bCs/>
        </w:rPr>
        <w:t>Университетская система в 1998/99 году в разбивке по изучаемым дисциплинам</w:t>
      </w:r>
      <w:r>
        <w:rPr>
          <w:b w:val="0"/>
        </w:rPr>
        <w:t xml:space="preserve"> </w:t>
      </w:r>
      <w:r>
        <w:rPr>
          <w:bCs/>
        </w:rPr>
        <w:t>(учтены только учащиеся, имеющие чешское гражданство)</w:t>
      </w:r>
    </w:p>
    <w:p w:rsidR="00000000" w:rsidRDefault="00000000">
      <w:pPr>
        <w:spacing w:line="240" w:lineRule="auto"/>
      </w:pPr>
    </w:p>
    <w:tbl>
      <w:tblPr>
        <w:tblW w:w="0" w:type="auto"/>
        <w:tblBorders>
          <w:top w:val="single" w:sz="4" w:space="0" w:color="auto"/>
        </w:tblBorders>
        <w:tblCellMar>
          <w:left w:w="57" w:type="dxa"/>
          <w:right w:w="57" w:type="dxa"/>
        </w:tblCellMar>
        <w:tblLook w:val="0000" w:firstRow="0" w:lastRow="0" w:firstColumn="0" w:lastColumn="0" w:noHBand="0" w:noVBand="0"/>
      </w:tblPr>
      <w:tblGrid>
        <w:gridCol w:w="4544"/>
        <w:gridCol w:w="1122"/>
        <w:gridCol w:w="1122"/>
        <w:gridCol w:w="1635"/>
        <w:gridCol w:w="1045"/>
      </w:tblGrid>
      <w:tr w:rsidR="00000000">
        <w:tblPrEx>
          <w:tblCellMar>
            <w:top w:w="0" w:type="dxa"/>
            <w:bottom w:w="0" w:type="dxa"/>
          </w:tblCellMar>
        </w:tblPrEx>
        <w:tc>
          <w:tcPr>
            <w:tcW w:w="454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sz w:val="22"/>
              </w:rPr>
            </w:pPr>
            <w:r>
              <w:rPr>
                <w:sz w:val="22"/>
              </w:rPr>
              <w:t>Изучаемые дисциплины</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sz w:val="22"/>
              </w:rPr>
            </w:pPr>
            <w:r>
              <w:rPr>
                <w:sz w:val="22"/>
              </w:rPr>
              <w:t>Всего учащихся</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16"/>
              <w:spacing w:line="216" w:lineRule="auto"/>
              <w:rPr>
                <w:sz w:val="22"/>
              </w:rPr>
            </w:pPr>
            <w:r>
              <w:rPr>
                <w:sz w:val="22"/>
              </w:rPr>
              <w:t>Из них число женщин</w:t>
            </w:r>
          </w:p>
        </w:tc>
        <w:tc>
          <w:tcPr>
            <w:tcW w:w="16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sz w:val="22"/>
              </w:rPr>
            </w:pPr>
            <w:r>
              <w:rPr>
                <w:sz w:val="22"/>
              </w:rPr>
              <w:t>Число выпускников за предыдущий учебный год</w:t>
            </w:r>
          </w:p>
        </w:tc>
        <w:tc>
          <w:tcPr>
            <w:tcW w:w="104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sz w:val="22"/>
              </w:rPr>
            </w:pPr>
            <w:r>
              <w:rPr>
                <w:sz w:val="22"/>
              </w:rPr>
              <w:t>Из них женщин</w:t>
            </w:r>
          </w:p>
        </w:tc>
      </w:tr>
      <w:tr w:rsidR="00000000">
        <w:tblPrEx>
          <w:tblCellMar>
            <w:top w:w="0" w:type="dxa"/>
            <w:bottom w:w="0" w:type="dxa"/>
          </w:tblCellMar>
        </w:tblPrEx>
        <w:tc>
          <w:tcPr>
            <w:tcW w:w="4545" w:type="dxa"/>
            <w:tcBorders>
              <w:top w:val="single" w:sz="4" w:space="0" w:color="auto"/>
              <w:left w:val="single" w:sz="4" w:space="0" w:color="auto"/>
              <w:right w:val="single" w:sz="4" w:space="0" w:color="auto"/>
            </w:tcBorders>
          </w:tcPr>
          <w:p w:rsidR="00000000" w:rsidRDefault="00000000">
            <w:pPr>
              <w:tabs>
                <w:tab w:val="clear" w:pos="567"/>
                <w:tab w:val="left" w:pos="187"/>
              </w:tabs>
              <w:spacing w:line="240" w:lineRule="auto"/>
              <w:ind w:left="187" w:hanging="187"/>
              <w:rPr>
                <w:sz w:val="22"/>
              </w:rPr>
            </w:pPr>
            <w:r>
              <w:rPr>
                <w:sz w:val="22"/>
              </w:rPr>
              <w:t>Всего в университетах</w:t>
            </w:r>
          </w:p>
        </w:tc>
        <w:tc>
          <w:tcPr>
            <w:tcW w:w="1122" w:type="dxa"/>
            <w:tcBorders>
              <w:top w:val="single" w:sz="4" w:space="0" w:color="auto"/>
              <w:left w:val="single" w:sz="4" w:space="0" w:color="auto"/>
              <w:right w:val="single" w:sz="4" w:space="0" w:color="auto"/>
            </w:tcBorders>
          </w:tcPr>
          <w:p w:rsidR="00000000" w:rsidRDefault="00000000">
            <w:pPr>
              <w:tabs>
                <w:tab w:val="clear" w:pos="1134"/>
                <w:tab w:val="left" w:pos="691"/>
              </w:tabs>
              <w:spacing w:line="240" w:lineRule="auto"/>
              <w:ind w:right="130"/>
              <w:jc w:val="right"/>
              <w:rPr>
                <w:sz w:val="22"/>
              </w:rPr>
            </w:pPr>
            <w:r>
              <w:rPr>
                <w:sz w:val="22"/>
              </w:rPr>
              <w:t>170 536</w:t>
            </w:r>
          </w:p>
        </w:tc>
        <w:tc>
          <w:tcPr>
            <w:tcW w:w="1122" w:type="dxa"/>
            <w:tcBorders>
              <w:top w:val="single" w:sz="4" w:space="0" w:color="auto"/>
              <w:left w:val="single" w:sz="4" w:space="0" w:color="auto"/>
              <w:right w:val="single" w:sz="4" w:space="0" w:color="auto"/>
            </w:tcBorders>
          </w:tcPr>
          <w:p w:rsidR="00000000" w:rsidRDefault="00000000">
            <w:pPr>
              <w:tabs>
                <w:tab w:val="clear" w:pos="1134"/>
                <w:tab w:val="left" w:pos="878"/>
              </w:tabs>
              <w:spacing w:line="240" w:lineRule="auto"/>
              <w:ind w:right="130"/>
              <w:jc w:val="right"/>
              <w:rPr>
                <w:sz w:val="22"/>
              </w:rPr>
            </w:pPr>
            <w:r>
              <w:rPr>
                <w:sz w:val="22"/>
              </w:rPr>
              <w:t>79 699</w:t>
            </w:r>
          </w:p>
        </w:tc>
        <w:tc>
          <w:tcPr>
            <w:tcW w:w="1635"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right="456"/>
              <w:jc w:val="right"/>
              <w:rPr>
                <w:sz w:val="22"/>
              </w:rPr>
            </w:pPr>
            <w:r>
              <w:rPr>
                <w:sz w:val="22"/>
              </w:rPr>
              <w:t>25 960</w:t>
            </w:r>
          </w:p>
        </w:tc>
        <w:tc>
          <w:tcPr>
            <w:tcW w:w="1045"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s>
              <w:spacing w:line="240" w:lineRule="auto"/>
              <w:ind w:left="-196" w:right="192"/>
              <w:jc w:val="right"/>
              <w:rPr>
                <w:sz w:val="22"/>
              </w:rPr>
            </w:pPr>
            <w:r>
              <w:rPr>
                <w:sz w:val="22"/>
              </w:rPr>
              <w:t>12 934</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pPr>
              <w:tabs>
                <w:tab w:val="clear" w:pos="567"/>
                <w:tab w:val="left" w:pos="187"/>
              </w:tabs>
              <w:spacing w:line="240" w:lineRule="auto"/>
              <w:ind w:left="187" w:hanging="187"/>
              <w:rPr>
                <w:sz w:val="22"/>
              </w:rPr>
            </w:pPr>
            <w:r>
              <w:rPr>
                <w:sz w:val="22"/>
              </w:rPr>
              <w:t>Естественные науки</w:t>
            </w:r>
          </w:p>
        </w:tc>
        <w:tc>
          <w:tcPr>
            <w:tcW w:w="1122" w:type="dxa"/>
            <w:tcBorders>
              <w:left w:val="single" w:sz="4" w:space="0" w:color="auto"/>
              <w:right w:val="single" w:sz="4" w:space="0" w:color="auto"/>
            </w:tcBorders>
          </w:tcPr>
          <w:p w:rsidR="00000000" w:rsidRDefault="00000000">
            <w:pPr>
              <w:tabs>
                <w:tab w:val="clear" w:pos="1134"/>
                <w:tab w:val="left" w:pos="691"/>
              </w:tabs>
              <w:spacing w:line="240" w:lineRule="auto"/>
              <w:ind w:right="130"/>
              <w:jc w:val="right"/>
              <w:rPr>
                <w:sz w:val="22"/>
              </w:rPr>
            </w:pPr>
            <w:r>
              <w:rPr>
                <w:sz w:val="22"/>
              </w:rPr>
              <w:t>11 602</w:t>
            </w:r>
          </w:p>
        </w:tc>
        <w:tc>
          <w:tcPr>
            <w:tcW w:w="1122" w:type="dxa"/>
            <w:tcBorders>
              <w:left w:val="single" w:sz="4" w:space="0" w:color="auto"/>
              <w:right w:val="single" w:sz="4" w:space="0" w:color="auto"/>
            </w:tcBorders>
          </w:tcPr>
          <w:p w:rsidR="00000000" w:rsidRDefault="00000000">
            <w:pPr>
              <w:tabs>
                <w:tab w:val="clear" w:pos="1134"/>
                <w:tab w:val="left" w:pos="878"/>
              </w:tabs>
              <w:spacing w:line="240" w:lineRule="auto"/>
              <w:ind w:right="130"/>
              <w:jc w:val="right"/>
              <w:rPr>
                <w:sz w:val="22"/>
              </w:rPr>
            </w:pPr>
            <w:r>
              <w:rPr>
                <w:sz w:val="22"/>
              </w:rPr>
              <w:t>4 040</w:t>
            </w:r>
          </w:p>
        </w:tc>
        <w:tc>
          <w:tcPr>
            <w:tcW w:w="1635" w:type="dxa"/>
            <w:tcBorders>
              <w:left w:val="single" w:sz="4" w:space="0" w:color="auto"/>
              <w:right w:val="single" w:sz="4" w:space="0" w:color="auto"/>
            </w:tcBorders>
          </w:tcPr>
          <w:p w:rsidR="00000000" w:rsidRDefault="00000000">
            <w:pPr>
              <w:spacing w:line="240" w:lineRule="auto"/>
              <w:ind w:right="456"/>
              <w:jc w:val="right"/>
              <w:rPr>
                <w:sz w:val="22"/>
              </w:rPr>
            </w:pPr>
            <w:r>
              <w:rPr>
                <w:sz w:val="22"/>
              </w:rPr>
              <w:t>1 464</w:t>
            </w:r>
          </w:p>
        </w:tc>
        <w:tc>
          <w:tcPr>
            <w:tcW w:w="1045" w:type="dxa"/>
            <w:tcBorders>
              <w:left w:val="single" w:sz="4" w:space="0" w:color="auto"/>
              <w:right w:val="single" w:sz="4" w:space="0" w:color="auto"/>
            </w:tcBorders>
          </w:tcPr>
          <w:p w:rsidR="00000000" w:rsidRDefault="00000000">
            <w:pPr>
              <w:spacing w:line="240" w:lineRule="auto"/>
              <w:ind w:left="-196" w:right="192"/>
              <w:jc w:val="right"/>
              <w:rPr>
                <w:sz w:val="22"/>
              </w:rPr>
            </w:pPr>
            <w:r>
              <w:rPr>
                <w:sz w:val="22"/>
              </w:rPr>
              <w:t>538</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pPr>
              <w:tabs>
                <w:tab w:val="clear" w:pos="567"/>
                <w:tab w:val="left" w:pos="187"/>
              </w:tabs>
              <w:spacing w:line="240" w:lineRule="auto"/>
              <w:ind w:left="187" w:hanging="187"/>
              <w:rPr>
                <w:sz w:val="22"/>
              </w:rPr>
            </w:pPr>
            <w:r>
              <w:rPr>
                <w:sz w:val="22"/>
              </w:rPr>
              <w:t>Технические науки и дисциплины</w:t>
            </w:r>
          </w:p>
        </w:tc>
        <w:tc>
          <w:tcPr>
            <w:tcW w:w="1122" w:type="dxa"/>
            <w:tcBorders>
              <w:left w:val="single" w:sz="4" w:space="0" w:color="auto"/>
              <w:right w:val="single" w:sz="4" w:space="0" w:color="auto"/>
            </w:tcBorders>
          </w:tcPr>
          <w:p w:rsidR="00000000" w:rsidRDefault="00000000">
            <w:pPr>
              <w:tabs>
                <w:tab w:val="clear" w:pos="1134"/>
                <w:tab w:val="left" w:pos="691"/>
              </w:tabs>
              <w:spacing w:line="240" w:lineRule="auto"/>
              <w:ind w:right="130"/>
              <w:jc w:val="right"/>
              <w:rPr>
                <w:sz w:val="22"/>
              </w:rPr>
            </w:pPr>
            <w:r>
              <w:rPr>
                <w:sz w:val="22"/>
              </w:rPr>
              <w:t>48 043</w:t>
            </w:r>
          </w:p>
        </w:tc>
        <w:tc>
          <w:tcPr>
            <w:tcW w:w="1122" w:type="dxa"/>
            <w:tcBorders>
              <w:left w:val="single" w:sz="4" w:space="0" w:color="auto"/>
              <w:right w:val="single" w:sz="4" w:space="0" w:color="auto"/>
            </w:tcBorders>
          </w:tcPr>
          <w:p w:rsidR="00000000" w:rsidRDefault="00000000">
            <w:pPr>
              <w:tabs>
                <w:tab w:val="clear" w:pos="1134"/>
                <w:tab w:val="left" w:pos="878"/>
              </w:tabs>
              <w:spacing w:line="240" w:lineRule="auto"/>
              <w:ind w:right="130"/>
              <w:jc w:val="right"/>
              <w:rPr>
                <w:sz w:val="22"/>
              </w:rPr>
            </w:pPr>
            <w:r>
              <w:rPr>
                <w:sz w:val="22"/>
              </w:rPr>
              <w:t>9 484</w:t>
            </w:r>
          </w:p>
        </w:tc>
        <w:tc>
          <w:tcPr>
            <w:tcW w:w="1635" w:type="dxa"/>
            <w:tcBorders>
              <w:left w:val="single" w:sz="4" w:space="0" w:color="auto"/>
              <w:right w:val="single" w:sz="4" w:space="0" w:color="auto"/>
            </w:tcBorders>
          </w:tcPr>
          <w:p w:rsidR="00000000" w:rsidRDefault="00000000">
            <w:pPr>
              <w:spacing w:line="240" w:lineRule="auto"/>
              <w:ind w:right="456"/>
              <w:jc w:val="right"/>
              <w:rPr>
                <w:sz w:val="22"/>
              </w:rPr>
            </w:pPr>
            <w:r>
              <w:rPr>
                <w:sz w:val="22"/>
              </w:rPr>
              <w:t>5 729</w:t>
            </w:r>
          </w:p>
        </w:tc>
        <w:tc>
          <w:tcPr>
            <w:tcW w:w="1045" w:type="dxa"/>
            <w:tcBorders>
              <w:left w:val="single" w:sz="4" w:space="0" w:color="auto"/>
              <w:right w:val="single" w:sz="4" w:space="0" w:color="auto"/>
            </w:tcBorders>
          </w:tcPr>
          <w:p w:rsidR="00000000" w:rsidRDefault="00000000">
            <w:pPr>
              <w:spacing w:line="240" w:lineRule="auto"/>
              <w:ind w:left="-196" w:right="192"/>
              <w:jc w:val="right"/>
              <w:rPr>
                <w:sz w:val="22"/>
              </w:rPr>
            </w:pPr>
            <w:r>
              <w:rPr>
                <w:sz w:val="22"/>
              </w:rPr>
              <w:t>1 210</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pPr>
              <w:tabs>
                <w:tab w:val="clear" w:pos="567"/>
                <w:tab w:val="left" w:pos="187"/>
              </w:tabs>
              <w:spacing w:line="240" w:lineRule="auto"/>
              <w:ind w:left="187" w:hanging="187"/>
              <w:rPr>
                <w:sz w:val="22"/>
              </w:rPr>
            </w:pPr>
            <w:r>
              <w:rPr>
                <w:sz w:val="22"/>
              </w:rPr>
              <w:t>Сельскохозяйственные/лесохозяйственные и ветеринарные науки и дисциплины</w:t>
            </w:r>
          </w:p>
        </w:tc>
        <w:tc>
          <w:tcPr>
            <w:tcW w:w="1122" w:type="dxa"/>
            <w:tcBorders>
              <w:left w:val="single" w:sz="4" w:space="0" w:color="auto"/>
              <w:right w:val="single" w:sz="4" w:space="0" w:color="auto"/>
            </w:tcBorders>
          </w:tcPr>
          <w:p w:rsidR="00000000" w:rsidRDefault="00000000">
            <w:pPr>
              <w:tabs>
                <w:tab w:val="clear" w:pos="1134"/>
                <w:tab w:val="left" w:pos="691"/>
              </w:tabs>
              <w:spacing w:line="240" w:lineRule="auto"/>
              <w:ind w:right="130"/>
              <w:jc w:val="right"/>
              <w:rPr>
                <w:sz w:val="22"/>
              </w:rPr>
            </w:pPr>
            <w:r>
              <w:rPr>
                <w:sz w:val="22"/>
              </w:rPr>
              <w:t>9 700</w:t>
            </w:r>
          </w:p>
        </w:tc>
        <w:tc>
          <w:tcPr>
            <w:tcW w:w="1122" w:type="dxa"/>
            <w:tcBorders>
              <w:left w:val="single" w:sz="4" w:space="0" w:color="auto"/>
              <w:right w:val="single" w:sz="4" w:space="0" w:color="auto"/>
            </w:tcBorders>
          </w:tcPr>
          <w:p w:rsidR="00000000" w:rsidRDefault="00000000">
            <w:pPr>
              <w:tabs>
                <w:tab w:val="clear" w:pos="1134"/>
                <w:tab w:val="left" w:pos="878"/>
              </w:tabs>
              <w:spacing w:line="240" w:lineRule="auto"/>
              <w:ind w:right="130"/>
              <w:jc w:val="right"/>
              <w:rPr>
                <w:sz w:val="22"/>
              </w:rPr>
            </w:pPr>
            <w:r>
              <w:rPr>
                <w:sz w:val="22"/>
              </w:rPr>
              <w:t>5 005</w:t>
            </w:r>
          </w:p>
        </w:tc>
        <w:tc>
          <w:tcPr>
            <w:tcW w:w="1635" w:type="dxa"/>
            <w:tcBorders>
              <w:left w:val="single" w:sz="4" w:space="0" w:color="auto"/>
              <w:right w:val="single" w:sz="4" w:space="0" w:color="auto"/>
            </w:tcBorders>
          </w:tcPr>
          <w:p w:rsidR="00000000" w:rsidRDefault="00000000">
            <w:pPr>
              <w:spacing w:line="240" w:lineRule="auto"/>
              <w:ind w:right="456"/>
              <w:jc w:val="right"/>
              <w:rPr>
                <w:sz w:val="22"/>
              </w:rPr>
            </w:pPr>
            <w:r>
              <w:rPr>
                <w:sz w:val="22"/>
              </w:rPr>
              <w:t>1 416</w:t>
            </w:r>
          </w:p>
        </w:tc>
        <w:tc>
          <w:tcPr>
            <w:tcW w:w="1045" w:type="dxa"/>
            <w:tcBorders>
              <w:left w:val="single" w:sz="4" w:space="0" w:color="auto"/>
              <w:right w:val="single" w:sz="4" w:space="0" w:color="auto"/>
            </w:tcBorders>
          </w:tcPr>
          <w:p w:rsidR="00000000" w:rsidRDefault="00000000">
            <w:pPr>
              <w:spacing w:line="240" w:lineRule="auto"/>
              <w:ind w:left="-196" w:right="192"/>
              <w:jc w:val="right"/>
              <w:rPr>
                <w:sz w:val="22"/>
              </w:rPr>
            </w:pPr>
            <w:r>
              <w:rPr>
                <w:sz w:val="22"/>
              </w:rPr>
              <w:t>597</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pPr>
              <w:tabs>
                <w:tab w:val="clear" w:pos="567"/>
                <w:tab w:val="left" w:pos="187"/>
              </w:tabs>
              <w:spacing w:line="240" w:lineRule="auto"/>
              <w:ind w:left="187" w:hanging="187"/>
              <w:rPr>
                <w:sz w:val="22"/>
              </w:rPr>
            </w:pPr>
            <w:r>
              <w:rPr>
                <w:sz w:val="22"/>
              </w:rPr>
              <w:t>Здравоохранение, медицинские и фармацевтические науки и дисциплины</w:t>
            </w:r>
          </w:p>
        </w:tc>
        <w:tc>
          <w:tcPr>
            <w:tcW w:w="1122" w:type="dxa"/>
            <w:tcBorders>
              <w:left w:val="single" w:sz="4" w:space="0" w:color="auto"/>
              <w:right w:val="single" w:sz="4" w:space="0" w:color="auto"/>
            </w:tcBorders>
          </w:tcPr>
          <w:p w:rsidR="00000000" w:rsidRDefault="00000000">
            <w:pPr>
              <w:tabs>
                <w:tab w:val="clear" w:pos="1134"/>
                <w:tab w:val="left" w:pos="691"/>
              </w:tabs>
              <w:spacing w:line="240" w:lineRule="auto"/>
              <w:ind w:right="130"/>
              <w:jc w:val="right"/>
              <w:rPr>
                <w:sz w:val="22"/>
              </w:rPr>
            </w:pPr>
            <w:r>
              <w:rPr>
                <w:sz w:val="22"/>
              </w:rPr>
              <w:t>10 773</w:t>
            </w:r>
          </w:p>
        </w:tc>
        <w:tc>
          <w:tcPr>
            <w:tcW w:w="1122" w:type="dxa"/>
            <w:tcBorders>
              <w:left w:val="single" w:sz="4" w:space="0" w:color="auto"/>
              <w:right w:val="single" w:sz="4" w:space="0" w:color="auto"/>
            </w:tcBorders>
          </w:tcPr>
          <w:p w:rsidR="00000000" w:rsidRDefault="00000000">
            <w:pPr>
              <w:tabs>
                <w:tab w:val="clear" w:pos="1134"/>
                <w:tab w:val="left" w:pos="878"/>
              </w:tabs>
              <w:spacing w:line="240" w:lineRule="auto"/>
              <w:ind w:right="130"/>
              <w:jc w:val="right"/>
              <w:rPr>
                <w:sz w:val="22"/>
              </w:rPr>
            </w:pPr>
            <w:r>
              <w:rPr>
                <w:sz w:val="22"/>
              </w:rPr>
              <w:t>7 204</w:t>
            </w:r>
          </w:p>
        </w:tc>
        <w:tc>
          <w:tcPr>
            <w:tcW w:w="1635" w:type="dxa"/>
            <w:tcBorders>
              <w:left w:val="single" w:sz="4" w:space="0" w:color="auto"/>
              <w:right w:val="single" w:sz="4" w:space="0" w:color="auto"/>
            </w:tcBorders>
          </w:tcPr>
          <w:p w:rsidR="00000000" w:rsidRDefault="00000000">
            <w:pPr>
              <w:spacing w:line="240" w:lineRule="auto"/>
              <w:ind w:right="456"/>
              <w:jc w:val="right"/>
              <w:rPr>
                <w:sz w:val="22"/>
              </w:rPr>
            </w:pPr>
            <w:r>
              <w:rPr>
                <w:sz w:val="22"/>
              </w:rPr>
              <w:t>1 650</w:t>
            </w:r>
          </w:p>
        </w:tc>
        <w:tc>
          <w:tcPr>
            <w:tcW w:w="1045" w:type="dxa"/>
            <w:tcBorders>
              <w:left w:val="single" w:sz="4" w:space="0" w:color="auto"/>
              <w:right w:val="single" w:sz="4" w:space="0" w:color="auto"/>
            </w:tcBorders>
          </w:tcPr>
          <w:p w:rsidR="00000000" w:rsidRDefault="00000000">
            <w:pPr>
              <w:spacing w:line="240" w:lineRule="auto"/>
              <w:ind w:left="-196" w:right="192"/>
              <w:jc w:val="right"/>
              <w:rPr>
                <w:sz w:val="22"/>
              </w:rPr>
            </w:pPr>
            <w:r>
              <w:rPr>
                <w:sz w:val="22"/>
              </w:rPr>
              <w:t>1 075</w:t>
            </w:r>
          </w:p>
        </w:tc>
      </w:tr>
      <w:tr w:rsidR="00000000">
        <w:tblPrEx>
          <w:tblCellMar>
            <w:top w:w="0" w:type="dxa"/>
            <w:bottom w:w="0" w:type="dxa"/>
          </w:tblCellMar>
        </w:tblPrEx>
        <w:tc>
          <w:tcPr>
            <w:tcW w:w="4545" w:type="dxa"/>
            <w:tcBorders>
              <w:left w:val="single" w:sz="4" w:space="0" w:color="auto"/>
              <w:bottom w:val="nil"/>
              <w:right w:val="single" w:sz="4" w:space="0" w:color="auto"/>
            </w:tcBorders>
          </w:tcPr>
          <w:p w:rsidR="00000000" w:rsidRDefault="00000000">
            <w:pPr>
              <w:tabs>
                <w:tab w:val="clear" w:pos="567"/>
                <w:tab w:val="left" w:pos="187"/>
              </w:tabs>
              <w:spacing w:line="240" w:lineRule="auto"/>
              <w:ind w:left="187" w:hanging="187"/>
              <w:rPr>
                <w:sz w:val="22"/>
              </w:rPr>
            </w:pPr>
            <w:r>
              <w:rPr>
                <w:sz w:val="22"/>
              </w:rPr>
              <w:t>Социальные науки, дисциплины и службы</w:t>
            </w:r>
          </w:p>
        </w:tc>
        <w:tc>
          <w:tcPr>
            <w:tcW w:w="1122" w:type="dxa"/>
            <w:tcBorders>
              <w:left w:val="single" w:sz="4" w:space="0" w:color="auto"/>
              <w:bottom w:val="nil"/>
              <w:right w:val="single" w:sz="4" w:space="0" w:color="auto"/>
            </w:tcBorders>
          </w:tcPr>
          <w:p w:rsidR="00000000" w:rsidRDefault="00000000">
            <w:pPr>
              <w:tabs>
                <w:tab w:val="clear" w:pos="1134"/>
                <w:tab w:val="left" w:pos="691"/>
              </w:tabs>
              <w:spacing w:line="240" w:lineRule="auto"/>
              <w:ind w:right="130"/>
              <w:jc w:val="right"/>
              <w:rPr>
                <w:sz w:val="22"/>
              </w:rPr>
            </w:pPr>
            <w:r>
              <w:rPr>
                <w:sz w:val="22"/>
              </w:rPr>
              <w:t>86 401</w:t>
            </w:r>
          </w:p>
        </w:tc>
        <w:tc>
          <w:tcPr>
            <w:tcW w:w="1122" w:type="dxa"/>
            <w:tcBorders>
              <w:left w:val="single" w:sz="4" w:space="0" w:color="auto"/>
              <w:bottom w:val="nil"/>
              <w:right w:val="single" w:sz="4" w:space="0" w:color="auto"/>
            </w:tcBorders>
          </w:tcPr>
          <w:p w:rsidR="00000000" w:rsidRDefault="00000000">
            <w:pPr>
              <w:tabs>
                <w:tab w:val="clear" w:pos="1134"/>
                <w:tab w:val="left" w:pos="878"/>
              </w:tabs>
              <w:spacing w:line="240" w:lineRule="auto"/>
              <w:ind w:right="130"/>
              <w:jc w:val="right"/>
              <w:rPr>
                <w:sz w:val="22"/>
              </w:rPr>
            </w:pPr>
            <w:r>
              <w:rPr>
                <w:sz w:val="22"/>
              </w:rPr>
              <w:t>51 787</w:t>
            </w:r>
          </w:p>
        </w:tc>
        <w:tc>
          <w:tcPr>
            <w:tcW w:w="1635" w:type="dxa"/>
            <w:tcBorders>
              <w:left w:val="single" w:sz="4" w:space="0" w:color="auto"/>
              <w:bottom w:val="nil"/>
              <w:right w:val="single" w:sz="4" w:space="0" w:color="auto"/>
            </w:tcBorders>
          </w:tcPr>
          <w:p w:rsidR="00000000" w:rsidRDefault="00000000">
            <w:pPr>
              <w:spacing w:line="240" w:lineRule="auto"/>
              <w:ind w:right="456"/>
              <w:jc w:val="right"/>
              <w:rPr>
                <w:sz w:val="22"/>
              </w:rPr>
            </w:pPr>
            <w:r>
              <w:rPr>
                <w:sz w:val="22"/>
              </w:rPr>
              <w:t>15 033</w:t>
            </w:r>
          </w:p>
        </w:tc>
        <w:tc>
          <w:tcPr>
            <w:tcW w:w="1045" w:type="dxa"/>
            <w:tcBorders>
              <w:left w:val="single" w:sz="4" w:space="0" w:color="auto"/>
              <w:bottom w:val="nil"/>
              <w:right w:val="single" w:sz="4" w:space="0" w:color="auto"/>
            </w:tcBorders>
          </w:tcPr>
          <w:p w:rsidR="00000000" w:rsidRDefault="00000000">
            <w:pPr>
              <w:spacing w:line="240" w:lineRule="auto"/>
              <w:ind w:left="-196" w:right="192"/>
              <w:jc w:val="right"/>
              <w:rPr>
                <w:sz w:val="22"/>
              </w:rPr>
            </w:pPr>
            <w:r>
              <w:rPr>
                <w:sz w:val="22"/>
              </w:rPr>
              <w:t>9 114</w:t>
            </w:r>
          </w:p>
        </w:tc>
      </w:tr>
      <w:tr w:rsidR="00000000">
        <w:tblPrEx>
          <w:tblCellMar>
            <w:top w:w="0" w:type="dxa"/>
            <w:bottom w:w="0" w:type="dxa"/>
          </w:tblCellMar>
        </w:tblPrEx>
        <w:tc>
          <w:tcPr>
            <w:tcW w:w="4545" w:type="dxa"/>
            <w:tcBorders>
              <w:top w:val="nil"/>
              <w:left w:val="single" w:sz="4" w:space="0" w:color="auto"/>
              <w:bottom w:val="single" w:sz="4" w:space="0" w:color="auto"/>
              <w:right w:val="single" w:sz="4" w:space="0" w:color="auto"/>
            </w:tcBorders>
          </w:tcPr>
          <w:p w:rsidR="00000000" w:rsidRDefault="00000000">
            <w:pPr>
              <w:tabs>
                <w:tab w:val="clear" w:pos="567"/>
                <w:tab w:val="left" w:pos="187"/>
              </w:tabs>
              <w:spacing w:line="240" w:lineRule="auto"/>
              <w:ind w:left="187" w:hanging="187"/>
              <w:rPr>
                <w:sz w:val="22"/>
              </w:rPr>
            </w:pPr>
            <w:r>
              <w:rPr>
                <w:sz w:val="22"/>
              </w:rPr>
              <w:t>Науки и дисциплины в области искусства</w:t>
            </w:r>
          </w:p>
        </w:tc>
        <w:tc>
          <w:tcPr>
            <w:tcW w:w="1122" w:type="dxa"/>
            <w:tcBorders>
              <w:top w:val="nil"/>
              <w:left w:val="single" w:sz="4" w:space="0" w:color="auto"/>
              <w:bottom w:val="single" w:sz="4" w:space="0" w:color="auto"/>
              <w:right w:val="single" w:sz="4" w:space="0" w:color="auto"/>
            </w:tcBorders>
          </w:tcPr>
          <w:p w:rsidR="00000000" w:rsidRDefault="00000000">
            <w:pPr>
              <w:tabs>
                <w:tab w:val="clear" w:pos="1134"/>
                <w:tab w:val="left" w:pos="691"/>
              </w:tabs>
              <w:spacing w:line="240" w:lineRule="auto"/>
              <w:ind w:right="130"/>
              <w:jc w:val="right"/>
              <w:rPr>
                <w:sz w:val="22"/>
              </w:rPr>
            </w:pPr>
            <w:r>
              <w:rPr>
                <w:sz w:val="22"/>
              </w:rPr>
              <w:t>4 017</w:t>
            </w:r>
          </w:p>
        </w:tc>
        <w:tc>
          <w:tcPr>
            <w:tcW w:w="1122" w:type="dxa"/>
            <w:tcBorders>
              <w:top w:val="nil"/>
              <w:left w:val="single" w:sz="4" w:space="0" w:color="auto"/>
              <w:bottom w:val="single" w:sz="4" w:space="0" w:color="auto"/>
              <w:right w:val="single" w:sz="4" w:space="0" w:color="auto"/>
            </w:tcBorders>
          </w:tcPr>
          <w:p w:rsidR="00000000" w:rsidRDefault="00000000">
            <w:pPr>
              <w:tabs>
                <w:tab w:val="clear" w:pos="1134"/>
                <w:tab w:val="left" w:pos="878"/>
              </w:tabs>
              <w:spacing w:line="240" w:lineRule="auto"/>
              <w:ind w:right="130"/>
              <w:jc w:val="right"/>
              <w:rPr>
                <w:sz w:val="22"/>
              </w:rPr>
            </w:pPr>
            <w:r>
              <w:rPr>
                <w:sz w:val="22"/>
              </w:rPr>
              <w:t>2 179</w:t>
            </w:r>
          </w:p>
        </w:tc>
        <w:tc>
          <w:tcPr>
            <w:tcW w:w="1635" w:type="dxa"/>
            <w:tcBorders>
              <w:top w:val="nil"/>
              <w:left w:val="single" w:sz="4" w:space="0" w:color="auto"/>
              <w:bottom w:val="single" w:sz="4" w:space="0" w:color="auto"/>
              <w:right w:val="single" w:sz="4" w:space="0" w:color="auto"/>
            </w:tcBorders>
          </w:tcPr>
          <w:p w:rsidR="00000000" w:rsidRDefault="00000000">
            <w:pPr>
              <w:spacing w:line="240" w:lineRule="auto"/>
              <w:ind w:right="456"/>
              <w:jc w:val="right"/>
              <w:rPr>
                <w:sz w:val="22"/>
              </w:rPr>
            </w:pPr>
            <w:r>
              <w:rPr>
                <w:sz w:val="22"/>
              </w:rPr>
              <w:t>668</w:t>
            </w:r>
          </w:p>
        </w:tc>
        <w:tc>
          <w:tcPr>
            <w:tcW w:w="1045" w:type="dxa"/>
            <w:tcBorders>
              <w:top w:val="nil"/>
              <w:left w:val="single" w:sz="4" w:space="0" w:color="auto"/>
              <w:bottom w:val="single" w:sz="4" w:space="0" w:color="auto"/>
              <w:right w:val="single" w:sz="4" w:space="0" w:color="auto"/>
            </w:tcBorders>
          </w:tcPr>
          <w:p w:rsidR="00000000" w:rsidRDefault="00000000">
            <w:pPr>
              <w:spacing w:line="240" w:lineRule="auto"/>
              <w:ind w:left="-196" w:right="192"/>
              <w:jc w:val="right"/>
              <w:rPr>
                <w:sz w:val="22"/>
              </w:rPr>
            </w:pPr>
            <w:r>
              <w:rPr>
                <w:sz w:val="22"/>
              </w:rPr>
              <w:t>345</w:t>
            </w:r>
          </w:p>
        </w:tc>
      </w:tr>
    </w:tbl>
    <w:p w:rsidR="00000000" w:rsidRDefault="00000000">
      <w:pPr>
        <w:pStyle w:val="FootnoteText"/>
        <w:spacing w:line="288" w:lineRule="auto"/>
      </w:pPr>
    </w:p>
    <w:p w:rsidR="00000000" w:rsidRDefault="00000000">
      <w:r>
        <w:t>578.</w:t>
      </w:r>
      <w:r>
        <w:tab/>
        <w:t>В 1998 году принятие Закона об университетах</w:t>
      </w:r>
      <w:r>
        <w:rPr>
          <w:rStyle w:val="FootnoteReference"/>
        </w:rPr>
        <w:footnoteReference w:id="346"/>
      </w:r>
      <w:r>
        <w:t xml:space="preserve"> создало нормативную основу для учреждения и функционирования частных университетов.  Согласно статье 39 этого закона министерство образования, по делам молодежи и спорта может от имени государства предоставлять юридическому лицу, адрес которого зарегистрирован на территории Чешской Республики, разрешение на функционирование в качестве частного университета.  Помимо предоставления разрешения от имени государства министерство также утверждает учебные программы.</w:t>
      </w:r>
    </w:p>
    <w:p w:rsidR="00000000" w:rsidRDefault="00000000"/>
    <w:p w:rsidR="00000000" w:rsidRDefault="00000000">
      <w:r>
        <w:t>579.</w:t>
      </w:r>
      <w:r>
        <w:tab/>
        <w:t>С января 1999 года к министерству образования, по делам молодежи и спорта обратилось за разрешением открыть частные университеты девять юридических лиц, но только четыре из них соответствовали установленным требованиям.  Эти четыре частных университета не могут выдавать дипломы об окончании университета, что означает, что они получили право на подготовку выпускников средних учебных заведений по учебным программам бакалавра и присваивают своим выпускникам ученую степень "бакалавр".</w:t>
      </w:r>
    </w:p>
    <w:p w:rsidR="00000000" w:rsidRDefault="00000000"/>
    <w:p w:rsidR="00000000" w:rsidRDefault="00000000">
      <w:r>
        <w:t>580.</w:t>
      </w:r>
      <w:r>
        <w:tab/>
        <w:t>В основном подготовка в частных университетах выпускников системы среднего образования по учебным программам бакалавра преследует цель дать им экономическое образование (два из этих учебных заведений готовят специалистов в сферах финансов и управления, а одно - в сфере гостиничных услуг).  Как ожидается, в первый год своей работы частные университеты примут примерно от 550 до 600 абитуриентов.</w:t>
      </w:r>
    </w:p>
    <w:p w:rsidR="00000000" w:rsidRDefault="00000000"/>
    <w:p w:rsidR="00000000" w:rsidRDefault="00000000">
      <w:r>
        <w:br w:type="page"/>
        <w:t>581.</w:t>
      </w:r>
      <w:r>
        <w:tab/>
        <w:t>Доступ к образованию в частных университетах обеспечивается на основе таких же принципов, как и в государственных университетах, и учащиеся частных университетов обладают таким же статусом, как и учащиеся государственных университетов (например, они имеют право на социальное пособие, медицинское страхование, участие в трудовой деятельности).  Плата за обучение составляет от 26 400 до 66 000 чешских крон за академический год.</w:t>
      </w:r>
    </w:p>
    <w:p w:rsidR="00000000" w:rsidRDefault="00000000"/>
    <w:p w:rsidR="00000000" w:rsidRDefault="00000000">
      <w:r>
        <w:t>582.</w:t>
      </w:r>
      <w:r>
        <w:tab/>
        <w:t>Одна из основных целей политики правительства Чешской Республики в области образования состоит в том, чтобы к 2005 году обеспечить для половины граждан в возрасте 19 лет возможность продолжить учебу после окончания среднего образования в том или ином учебном заведении.  Наряду с этой целью ставится задача к этому же времени создать необходимые условия для того, чтобы от двух третей до трех четвертей молодых людей могли получить аттестат об окончании общеобразовательного или профессионального среднего учебного заведения.</w:t>
      </w:r>
    </w:p>
    <w:p w:rsidR="00000000" w:rsidRDefault="00000000"/>
    <w:p w:rsidR="00000000" w:rsidRDefault="00000000">
      <w:pPr>
        <w:pStyle w:val="Heading1"/>
        <w:rPr>
          <w:b w:val="0"/>
          <w:i/>
          <w:iCs/>
        </w:rPr>
      </w:pPr>
      <w:r>
        <w:rPr>
          <w:b w:val="0"/>
          <w:i/>
          <w:iCs/>
        </w:rPr>
        <w:t>Учебные заведения для учащихся из числа меньшинств</w:t>
      </w:r>
    </w:p>
    <w:p w:rsidR="00000000" w:rsidRDefault="00000000">
      <w:pPr>
        <w:pStyle w:val="Heading1"/>
        <w:rPr>
          <w:bCs/>
        </w:rPr>
      </w:pPr>
    </w:p>
    <w:p w:rsidR="00000000" w:rsidRDefault="00000000">
      <w:r>
        <w:t>583.</w:t>
      </w:r>
      <w:r>
        <w:tab/>
        <w:t>Статья 3 Закона об учебных заведениях гарантирует учащимся из числа меньшинств право на получение образования на своем родном языке.  Обучение на языках меньшинств может организовываться вплоть до уровня средних школ.  В настоящее время имеются школы с преподаванием на польском языке, а также одна школа с преподаванием на словацком языке.</w:t>
      </w:r>
    </w:p>
    <w:p w:rsidR="00000000" w:rsidRDefault="00000000"/>
    <w:p w:rsidR="00000000" w:rsidRDefault="00000000">
      <w:r>
        <w:t>584.</w:t>
      </w:r>
      <w:r>
        <w:tab/>
        <w:t>Закон об учебных заведениях предусматривает создание школ или классов для обучения на родном языке детей нечешской национальности в том случае, если их родители являются гражданами Чешской Республики.  Однако создание и функционирование таких школ и классов, как правило, всегда зависит от заинтересованности родителей, которые выражают ее надлежащим образом </w:t>
      </w:r>
      <w:r>
        <w:noBreakHyphen/>
        <w:t xml:space="preserve"> в большинстве случаев через свои гражданские ассоциации.  Пункт 2 статьи 3 Закона об учебных заведениях гласит следующее:  "Учащимся из числа меньшинств предоставляется право получать образование на своем родном языке, осуществление которого соразмерно развитию их национального самосознания".  В государственной системе образования представители меньшинств имеют право обучаться на своем родном языке бесплатно.  На практике это право осуществляется в рамках системы стандартных государственных школ (школ с преподаванием на языке меньшинств, школ с преподаванием на языке меньшинств избранных дисциплин, отдельные классы с преподаванием на языке меньшинств) или школ с преподаванием на двух языках.</w:t>
      </w:r>
    </w:p>
    <w:p w:rsidR="00000000" w:rsidRDefault="00000000"/>
    <w:p w:rsidR="00000000" w:rsidRDefault="00000000">
      <w:r>
        <w:t>585.</w:t>
      </w:r>
      <w:r>
        <w:tab/>
        <w:t>В настоящее время департамент по правам человека канцелярии правительства готовит основные направления законопроекта о меньшинствах, который будет представлен на утверждение правительства к концу марта 2000 года.  Этот закон, разрабатываемый на основе действующих конституционных гарантий прав меньшинств, будет соответствовать Европейской рамочной конвенции о защите национальных меньшинств, которую уже приняла Чешская Республика, а также Европейской хартии о региональных языках и языках меньшинств, к процессу ратификации которой уже приступили чешские государственные органы.  В новом законе о школах будет определено минимальное число учащихся, при наличии которого государство будет обязано создавать классы с обучением на языке того или иного меньшинства и при отсутствии которого оно может расформировывать такие классы, при этом такое число учащихся является меньшим, чем установленное для создания классов в школах с преподаванием на чешском языке.  Новый закон о защите прав меньшинств будет регламентировать права представителей меньшинств в области использования своего языка, развития своей культуры и самоуправления, а также будет предусматривать для них возможность принятия индивидуальных или совместных решений по вопросам, касающимся культуры, языка и образования лиц из числа меньшинств.</w:t>
      </w:r>
    </w:p>
    <w:p w:rsidR="00000000" w:rsidRDefault="00000000"/>
    <w:p w:rsidR="00000000" w:rsidRDefault="00000000">
      <w:r>
        <w:t>586.</w:t>
      </w:r>
      <w:r>
        <w:tab/>
        <w:t>В Чешской Республике полномасштабное преподавание на родном языке меньшинств достигнуто только в отношении польского меньшинства, которое компактно проживает в Карвинском и Фридек-Мистекском районах.  Разработка методики обучения, публикация учебников и методологических пособий для школ с преподаванием на польском языке осуществляются Польским педагогическим центром в Чески-Тешине, который был создан министерством образования, по делам молодежи и спорта.</w:t>
      </w:r>
    </w:p>
    <w:p w:rsidR="00000000" w:rsidRDefault="00000000">
      <w:pPr>
        <w:pStyle w:val="FootnoteText"/>
        <w:spacing w:line="288" w:lineRule="auto"/>
      </w:pPr>
    </w:p>
    <w:p w:rsidR="00000000" w:rsidRDefault="00000000">
      <w:pPr>
        <w:pStyle w:val="BodyText"/>
        <w:jc w:val="center"/>
      </w:pPr>
      <w:r>
        <w:t>Учебные заведения и классы с преподаванием на польском языке в 1998/99 учебном году</w:t>
      </w:r>
    </w:p>
    <w:p w:rsidR="00000000" w:rsidRDefault="00000000">
      <w:pPr>
        <w:pStyle w:val="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4913"/>
        <w:gridCol w:w="1309"/>
        <w:gridCol w:w="1309"/>
        <w:gridCol w:w="1309"/>
      </w:tblGrid>
      <w:tr w:rsidR="00000000">
        <w:tblPrEx>
          <w:tblCellMar>
            <w:top w:w="0" w:type="dxa"/>
            <w:bottom w:w="0" w:type="dxa"/>
          </w:tblCellMar>
        </w:tblPrEx>
        <w:trPr>
          <w:jc w:val="center"/>
        </w:trPr>
        <w:tc>
          <w:tcPr>
            <w:tcW w:w="4913" w:type="dxa"/>
            <w:tcBorders>
              <w:bottom w:val="single" w:sz="4" w:space="0" w:color="auto"/>
            </w:tcBorders>
            <w:vAlign w:val="center"/>
          </w:tcPr>
          <w:p w:rsidR="00000000" w:rsidRDefault="00000000">
            <w:pPr>
              <w:pStyle w:val="10"/>
              <w:spacing w:line="216" w:lineRule="auto"/>
              <w:rPr>
                <w:b w:val="0"/>
              </w:rPr>
            </w:pPr>
            <w:r>
              <w:rPr>
                <w:b w:val="0"/>
              </w:rPr>
              <w:t>Вид учебного заведения</w:t>
            </w:r>
          </w:p>
        </w:tc>
        <w:tc>
          <w:tcPr>
            <w:tcW w:w="1309" w:type="dxa"/>
            <w:tcBorders>
              <w:bottom w:val="single" w:sz="4" w:space="0" w:color="auto"/>
            </w:tcBorders>
            <w:vAlign w:val="center"/>
          </w:tcPr>
          <w:p w:rsidR="00000000" w:rsidRDefault="00000000">
            <w:pPr>
              <w:spacing w:line="216" w:lineRule="auto"/>
              <w:jc w:val="center"/>
            </w:pPr>
            <w:r>
              <w:t>Число учебных заведений</w:t>
            </w:r>
          </w:p>
        </w:tc>
        <w:tc>
          <w:tcPr>
            <w:tcW w:w="1309" w:type="dxa"/>
            <w:tcBorders>
              <w:bottom w:val="single" w:sz="4" w:space="0" w:color="auto"/>
            </w:tcBorders>
            <w:vAlign w:val="center"/>
          </w:tcPr>
          <w:p w:rsidR="00000000" w:rsidRDefault="00000000">
            <w:pPr>
              <w:spacing w:line="216" w:lineRule="auto"/>
              <w:jc w:val="center"/>
            </w:pPr>
            <w:r>
              <w:t>Число классов</w:t>
            </w:r>
          </w:p>
        </w:tc>
        <w:tc>
          <w:tcPr>
            <w:tcW w:w="1309" w:type="dxa"/>
            <w:tcBorders>
              <w:bottom w:val="single" w:sz="4" w:space="0" w:color="auto"/>
            </w:tcBorders>
            <w:vAlign w:val="center"/>
          </w:tcPr>
          <w:p w:rsidR="00000000" w:rsidRDefault="00000000">
            <w:pPr>
              <w:spacing w:line="216" w:lineRule="auto"/>
              <w:jc w:val="center"/>
            </w:pPr>
            <w:r>
              <w:t>Число учащихся</w:t>
            </w:r>
          </w:p>
        </w:tc>
      </w:tr>
      <w:tr w:rsidR="00000000">
        <w:tblPrEx>
          <w:tblCellMar>
            <w:top w:w="0" w:type="dxa"/>
            <w:bottom w:w="0" w:type="dxa"/>
          </w:tblCellMar>
        </w:tblPrEx>
        <w:trPr>
          <w:jc w:val="center"/>
        </w:trPr>
        <w:tc>
          <w:tcPr>
            <w:tcW w:w="4913" w:type="dxa"/>
            <w:tcBorders>
              <w:bottom w:val="nil"/>
            </w:tcBorders>
          </w:tcPr>
          <w:p w:rsidR="00000000" w:rsidRDefault="00000000">
            <w:pPr>
              <w:pStyle w:val="FootnoteText"/>
            </w:pPr>
            <w:r>
              <w:t>Детские сады</w:t>
            </w:r>
          </w:p>
        </w:tc>
        <w:tc>
          <w:tcPr>
            <w:tcW w:w="1309" w:type="dxa"/>
            <w:tcBorders>
              <w:bottom w:val="nil"/>
            </w:tcBorders>
          </w:tcPr>
          <w:p w:rsidR="00000000" w:rsidRDefault="00000000">
            <w:pPr>
              <w:tabs>
                <w:tab w:val="clear" w:pos="1701"/>
              </w:tabs>
              <w:spacing w:line="240" w:lineRule="auto"/>
              <w:ind w:right="499"/>
              <w:jc w:val="right"/>
            </w:pPr>
            <w:r>
              <w:t>-</w:t>
            </w:r>
          </w:p>
        </w:tc>
        <w:tc>
          <w:tcPr>
            <w:tcW w:w="1309" w:type="dxa"/>
            <w:tcBorders>
              <w:bottom w:val="nil"/>
            </w:tcBorders>
          </w:tcPr>
          <w:p w:rsidR="00000000" w:rsidRDefault="00000000">
            <w:pPr>
              <w:tabs>
                <w:tab w:val="clear" w:pos="1701"/>
              </w:tabs>
              <w:spacing w:line="240" w:lineRule="auto"/>
              <w:ind w:right="499"/>
              <w:jc w:val="right"/>
            </w:pPr>
            <w:r>
              <w:t>38</w:t>
            </w:r>
          </w:p>
        </w:tc>
        <w:tc>
          <w:tcPr>
            <w:tcW w:w="1309" w:type="dxa"/>
            <w:tcBorders>
              <w:bottom w:val="nil"/>
            </w:tcBorders>
          </w:tcPr>
          <w:p w:rsidR="00000000" w:rsidRDefault="00000000">
            <w:pPr>
              <w:tabs>
                <w:tab w:val="clear" w:pos="1701"/>
              </w:tabs>
              <w:spacing w:line="240" w:lineRule="auto"/>
              <w:ind w:right="499"/>
              <w:jc w:val="right"/>
            </w:pPr>
            <w:r>
              <w:t>590</w:t>
            </w:r>
          </w:p>
        </w:tc>
      </w:tr>
      <w:tr w:rsidR="00000000">
        <w:tblPrEx>
          <w:tblCellMar>
            <w:top w:w="0" w:type="dxa"/>
            <w:bottom w:w="0" w:type="dxa"/>
          </w:tblCellMar>
        </w:tblPrEx>
        <w:trPr>
          <w:jc w:val="center"/>
        </w:trPr>
        <w:tc>
          <w:tcPr>
            <w:tcW w:w="4913" w:type="dxa"/>
            <w:tcBorders>
              <w:top w:val="nil"/>
              <w:bottom w:val="nil"/>
            </w:tcBorders>
          </w:tcPr>
          <w:p w:rsidR="00000000" w:rsidRDefault="00000000">
            <w:pPr>
              <w:pStyle w:val="FootnoteText"/>
            </w:pPr>
            <w:r>
              <w:t>Начальные школы</w:t>
            </w:r>
          </w:p>
        </w:tc>
        <w:tc>
          <w:tcPr>
            <w:tcW w:w="1309" w:type="dxa"/>
            <w:tcBorders>
              <w:top w:val="nil"/>
              <w:bottom w:val="nil"/>
            </w:tcBorders>
          </w:tcPr>
          <w:p w:rsidR="00000000" w:rsidRDefault="00000000">
            <w:pPr>
              <w:tabs>
                <w:tab w:val="clear" w:pos="1701"/>
              </w:tabs>
              <w:spacing w:line="240" w:lineRule="auto"/>
              <w:ind w:right="499"/>
              <w:jc w:val="right"/>
            </w:pPr>
            <w:r>
              <w:t>29</w:t>
            </w:r>
          </w:p>
        </w:tc>
        <w:tc>
          <w:tcPr>
            <w:tcW w:w="1309" w:type="dxa"/>
            <w:tcBorders>
              <w:top w:val="nil"/>
              <w:bottom w:val="nil"/>
            </w:tcBorders>
          </w:tcPr>
          <w:p w:rsidR="00000000" w:rsidRDefault="00000000">
            <w:pPr>
              <w:tabs>
                <w:tab w:val="clear" w:pos="1701"/>
              </w:tabs>
              <w:spacing w:line="240" w:lineRule="auto"/>
              <w:ind w:right="499"/>
              <w:jc w:val="right"/>
            </w:pPr>
            <w:r>
              <w:t>152</w:t>
            </w:r>
          </w:p>
        </w:tc>
        <w:tc>
          <w:tcPr>
            <w:tcW w:w="1309" w:type="dxa"/>
            <w:tcBorders>
              <w:top w:val="nil"/>
              <w:bottom w:val="nil"/>
            </w:tcBorders>
          </w:tcPr>
          <w:p w:rsidR="00000000" w:rsidRDefault="00000000">
            <w:pPr>
              <w:tabs>
                <w:tab w:val="clear" w:pos="1701"/>
              </w:tabs>
              <w:spacing w:line="240" w:lineRule="auto"/>
              <w:ind w:right="499"/>
              <w:jc w:val="right"/>
            </w:pPr>
            <w:r>
              <w:t>2 642</w:t>
            </w:r>
          </w:p>
        </w:tc>
      </w:tr>
      <w:tr w:rsidR="00000000">
        <w:tblPrEx>
          <w:tblCellMar>
            <w:top w:w="0" w:type="dxa"/>
            <w:bottom w:w="0" w:type="dxa"/>
          </w:tblCellMar>
        </w:tblPrEx>
        <w:trPr>
          <w:jc w:val="center"/>
        </w:trPr>
        <w:tc>
          <w:tcPr>
            <w:tcW w:w="4913" w:type="dxa"/>
            <w:tcBorders>
              <w:top w:val="nil"/>
              <w:bottom w:val="nil"/>
            </w:tcBorders>
          </w:tcPr>
          <w:p w:rsidR="00000000" w:rsidRDefault="00000000">
            <w:pPr>
              <w:pStyle w:val="FootnoteText"/>
            </w:pPr>
            <w:r>
              <w:t>Средние учебные заведения:</w:t>
            </w:r>
          </w:p>
        </w:tc>
        <w:tc>
          <w:tcPr>
            <w:tcW w:w="1309" w:type="dxa"/>
            <w:tcBorders>
              <w:top w:val="nil"/>
              <w:bottom w:val="nil"/>
            </w:tcBorders>
          </w:tcPr>
          <w:p w:rsidR="00000000" w:rsidRDefault="00000000">
            <w:pPr>
              <w:tabs>
                <w:tab w:val="clear" w:pos="1701"/>
              </w:tabs>
              <w:spacing w:line="240" w:lineRule="auto"/>
              <w:ind w:right="499"/>
              <w:jc w:val="right"/>
            </w:pPr>
            <w:r>
              <w:t>-</w:t>
            </w:r>
          </w:p>
        </w:tc>
        <w:tc>
          <w:tcPr>
            <w:tcW w:w="1309" w:type="dxa"/>
            <w:tcBorders>
              <w:top w:val="nil"/>
              <w:bottom w:val="nil"/>
            </w:tcBorders>
          </w:tcPr>
          <w:p w:rsidR="00000000" w:rsidRDefault="00000000">
            <w:pPr>
              <w:tabs>
                <w:tab w:val="clear" w:pos="1701"/>
              </w:tabs>
              <w:spacing w:line="240" w:lineRule="auto"/>
              <w:ind w:right="499"/>
              <w:jc w:val="right"/>
            </w:pPr>
            <w:r>
              <w:t>-</w:t>
            </w:r>
          </w:p>
        </w:tc>
        <w:tc>
          <w:tcPr>
            <w:tcW w:w="1309" w:type="dxa"/>
            <w:tcBorders>
              <w:top w:val="nil"/>
              <w:bottom w:val="nil"/>
            </w:tcBorders>
          </w:tcPr>
          <w:p w:rsidR="00000000" w:rsidRDefault="00000000">
            <w:pPr>
              <w:tabs>
                <w:tab w:val="clear" w:pos="1701"/>
              </w:tabs>
              <w:spacing w:line="240" w:lineRule="auto"/>
              <w:ind w:right="499"/>
              <w:jc w:val="right"/>
            </w:pPr>
            <w:r>
              <w:t>-</w:t>
            </w:r>
          </w:p>
        </w:tc>
      </w:tr>
      <w:tr w:rsidR="00000000">
        <w:tblPrEx>
          <w:tblCellMar>
            <w:top w:w="0" w:type="dxa"/>
            <w:bottom w:w="0" w:type="dxa"/>
          </w:tblCellMar>
        </w:tblPrEx>
        <w:trPr>
          <w:jc w:val="center"/>
        </w:trPr>
        <w:tc>
          <w:tcPr>
            <w:tcW w:w="4913" w:type="dxa"/>
            <w:tcBorders>
              <w:top w:val="nil"/>
              <w:bottom w:val="nil"/>
            </w:tcBorders>
          </w:tcPr>
          <w:p w:rsidR="00000000" w:rsidRDefault="00000000">
            <w:pPr>
              <w:pStyle w:val="FootnoteText"/>
              <w:tabs>
                <w:tab w:val="left" w:pos="374"/>
              </w:tabs>
            </w:pPr>
            <w:r>
              <w:tab/>
              <w:t>Классические гимназии</w:t>
            </w:r>
          </w:p>
        </w:tc>
        <w:tc>
          <w:tcPr>
            <w:tcW w:w="1309" w:type="dxa"/>
            <w:tcBorders>
              <w:top w:val="nil"/>
              <w:bottom w:val="nil"/>
            </w:tcBorders>
          </w:tcPr>
          <w:p w:rsidR="00000000" w:rsidRDefault="00000000">
            <w:pPr>
              <w:tabs>
                <w:tab w:val="clear" w:pos="1701"/>
              </w:tabs>
              <w:spacing w:line="240" w:lineRule="auto"/>
              <w:ind w:right="499"/>
              <w:jc w:val="right"/>
            </w:pPr>
            <w:r>
              <w:t>1</w:t>
            </w:r>
          </w:p>
        </w:tc>
        <w:tc>
          <w:tcPr>
            <w:tcW w:w="1309" w:type="dxa"/>
            <w:tcBorders>
              <w:top w:val="nil"/>
              <w:bottom w:val="nil"/>
            </w:tcBorders>
          </w:tcPr>
          <w:p w:rsidR="00000000" w:rsidRDefault="00000000">
            <w:pPr>
              <w:tabs>
                <w:tab w:val="clear" w:pos="1701"/>
              </w:tabs>
              <w:spacing w:line="240" w:lineRule="auto"/>
              <w:ind w:right="499"/>
              <w:jc w:val="right"/>
            </w:pPr>
            <w:r>
              <w:t>11</w:t>
            </w:r>
          </w:p>
        </w:tc>
        <w:tc>
          <w:tcPr>
            <w:tcW w:w="1309" w:type="dxa"/>
            <w:tcBorders>
              <w:top w:val="nil"/>
              <w:bottom w:val="nil"/>
            </w:tcBorders>
          </w:tcPr>
          <w:p w:rsidR="00000000" w:rsidRDefault="00000000">
            <w:pPr>
              <w:tabs>
                <w:tab w:val="clear" w:pos="1701"/>
              </w:tabs>
              <w:spacing w:line="240" w:lineRule="auto"/>
              <w:ind w:right="499"/>
              <w:jc w:val="right"/>
            </w:pPr>
            <w:r>
              <w:t>271</w:t>
            </w:r>
          </w:p>
        </w:tc>
      </w:tr>
      <w:tr w:rsidR="00000000">
        <w:tblPrEx>
          <w:tblCellMar>
            <w:top w:w="0" w:type="dxa"/>
            <w:bottom w:w="0" w:type="dxa"/>
          </w:tblCellMar>
        </w:tblPrEx>
        <w:trPr>
          <w:jc w:val="center"/>
        </w:trPr>
        <w:tc>
          <w:tcPr>
            <w:tcW w:w="4913" w:type="dxa"/>
            <w:tcBorders>
              <w:top w:val="nil"/>
              <w:bottom w:val="nil"/>
            </w:tcBorders>
          </w:tcPr>
          <w:p w:rsidR="00000000" w:rsidRDefault="00000000">
            <w:pPr>
              <w:pStyle w:val="FootnoteText"/>
              <w:tabs>
                <w:tab w:val="left" w:pos="374"/>
              </w:tabs>
            </w:pPr>
            <w:r>
              <w:tab/>
              <w:t>Школы бизнеса</w:t>
            </w:r>
          </w:p>
        </w:tc>
        <w:tc>
          <w:tcPr>
            <w:tcW w:w="1309" w:type="dxa"/>
            <w:tcBorders>
              <w:top w:val="nil"/>
              <w:bottom w:val="nil"/>
            </w:tcBorders>
          </w:tcPr>
          <w:p w:rsidR="00000000" w:rsidRDefault="00000000">
            <w:pPr>
              <w:tabs>
                <w:tab w:val="clear" w:pos="1701"/>
              </w:tabs>
              <w:spacing w:line="240" w:lineRule="auto"/>
              <w:ind w:right="499"/>
              <w:jc w:val="right"/>
            </w:pPr>
            <w:r>
              <w:t>-</w:t>
            </w:r>
          </w:p>
        </w:tc>
        <w:tc>
          <w:tcPr>
            <w:tcW w:w="1309" w:type="dxa"/>
            <w:tcBorders>
              <w:top w:val="nil"/>
              <w:bottom w:val="nil"/>
            </w:tcBorders>
          </w:tcPr>
          <w:p w:rsidR="00000000" w:rsidRDefault="00000000">
            <w:pPr>
              <w:tabs>
                <w:tab w:val="clear" w:pos="1701"/>
              </w:tabs>
              <w:spacing w:line="240" w:lineRule="auto"/>
              <w:ind w:right="499"/>
              <w:jc w:val="right"/>
            </w:pPr>
            <w:r>
              <w:t>-</w:t>
            </w:r>
          </w:p>
        </w:tc>
        <w:tc>
          <w:tcPr>
            <w:tcW w:w="1309" w:type="dxa"/>
            <w:tcBorders>
              <w:top w:val="nil"/>
              <w:bottom w:val="nil"/>
            </w:tcBorders>
          </w:tcPr>
          <w:p w:rsidR="00000000" w:rsidRDefault="00000000">
            <w:pPr>
              <w:tabs>
                <w:tab w:val="clear" w:pos="1701"/>
              </w:tabs>
              <w:spacing w:line="240" w:lineRule="auto"/>
              <w:ind w:right="499"/>
              <w:jc w:val="right"/>
            </w:pPr>
            <w:r>
              <w:t>91</w:t>
            </w:r>
          </w:p>
        </w:tc>
      </w:tr>
      <w:tr w:rsidR="00000000">
        <w:tblPrEx>
          <w:tblCellMar>
            <w:top w:w="0" w:type="dxa"/>
            <w:bottom w:w="0" w:type="dxa"/>
          </w:tblCellMar>
        </w:tblPrEx>
        <w:trPr>
          <w:jc w:val="center"/>
        </w:trPr>
        <w:tc>
          <w:tcPr>
            <w:tcW w:w="4913" w:type="dxa"/>
            <w:tcBorders>
              <w:top w:val="nil"/>
              <w:bottom w:val="nil"/>
            </w:tcBorders>
          </w:tcPr>
          <w:p w:rsidR="00000000" w:rsidRDefault="00000000">
            <w:pPr>
              <w:pStyle w:val="FootnoteText"/>
              <w:tabs>
                <w:tab w:val="left" w:pos="374"/>
              </w:tabs>
            </w:pPr>
            <w:r>
              <w:tab/>
              <w:t>Средние технические училища</w:t>
            </w:r>
          </w:p>
        </w:tc>
        <w:tc>
          <w:tcPr>
            <w:tcW w:w="1309" w:type="dxa"/>
            <w:tcBorders>
              <w:top w:val="nil"/>
              <w:bottom w:val="nil"/>
            </w:tcBorders>
          </w:tcPr>
          <w:p w:rsidR="00000000" w:rsidRDefault="00000000">
            <w:pPr>
              <w:tabs>
                <w:tab w:val="clear" w:pos="1701"/>
              </w:tabs>
              <w:spacing w:line="240" w:lineRule="auto"/>
              <w:ind w:right="499"/>
              <w:jc w:val="right"/>
            </w:pPr>
            <w:r>
              <w:t>-</w:t>
            </w:r>
          </w:p>
        </w:tc>
        <w:tc>
          <w:tcPr>
            <w:tcW w:w="1309" w:type="dxa"/>
            <w:tcBorders>
              <w:top w:val="nil"/>
              <w:bottom w:val="nil"/>
            </w:tcBorders>
          </w:tcPr>
          <w:p w:rsidR="00000000" w:rsidRDefault="00000000">
            <w:pPr>
              <w:tabs>
                <w:tab w:val="clear" w:pos="1701"/>
              </w:tabs>
              <w:spacing w:line="240" w:lineRule="auto"/>
              <w:ind w:right="499"/>
              <w:jc w:val="right"/>
            </w:pPr>
            <w:r>
              <w:t>-</w:t>
            </w:r>
          </w:p>
        </w:tc>
        <w:tc>
          <w:tcPr>
            <w:tcW w:w="1309" w:type="dxa"/>
            <w:tcBorders>
              <w:top w:val="nil"/>
              <w:bottom w:val="nil"/>
            </w:tcBorders>
          </w:tcPr>
          <w:p w:rsidR="00000000" w:rsidRDefault="00000000">
            <w:pPr>
              <w:tabs>
                <w:tab w:val="clear" w:pos="1701"/>
              </w:tabs>
              <w:spacing w:line="240" w:lineRule="auto"/>
              <w:ind w:right="499"/>
              <w:jc w:val="right"/>
            </w:pPr>
            <w:r>
              <w:t>73</w:t>
            </w:r>
          </w:p>
        </w:tc>
      </w:tr>
      <w:tr w:rsidR="00000000">
        <w:tblPrEx>
          <w:tblCellMar>
            <w:top w:w="0" w:type="dxa"/>
            <w:bottom w:w="0" w:type="dxa"/>
          </w:tblCellMar>
        </w:tblPrEx>
        <w:trPr>
          <w:jc w:val="center"/>
        </w:trPr>
        <w:tc>
          <w:tcPr>
            <w:tcW w:w="4913" w:type="dxa"/>
            <w:tcBorders>
              <w:top w:val="nil"/>
              <w:bottom w:val="nil"/>
            </w:tcBorders>
          </w:tcPr>
          <w:p w:rsidR="00000000" w:rsidRDefault="00000000">
            <w:pPr>
              <w:pStyle w:val="FootnoteText"/>
              <w:tabs>
                <w:tab w:val="left" w:pos="374"/>
              </w:tabs>
            </w:pPr>
            <w:r>
              <w:tab/>
              <w:t>Средние медицинские училища</w:t>
            </w:r>
          </w:p>
        </w:tc>
        <w:tc>
          <w:tcPr>
            <w:tcW w:w="1309" w:type="dxa"/>
            <w:tcBorders>
              <w:top w:val="nil"/>
              <w:bottom w:val="nil"/>
            </w:tcBorders>
          </w:tcPr>
          <w:p w:rsidR="00000000" w:rsidRDefault="00000000">
            <w:pPr>
              <w:tabs>
                <w:tab w:val="clear" w:pos="1701"/>
              </w:tabs>
              <w:spacing w:line="240" w:lineRule="auto"/>
              <w:ind w:right="499"/>
              <w:jc w:val="right"/>
            </w:pPr>
            <w:r>
              <w:t>-</w:t>
            </w:r>
          </w:p>
        </w:tc>
        <w:tc>
          <w:tcPr>
            <w:tcW w:w="1309" w:type="dxa"/>
            <w:tcBorders>
              <w:top w:val="nil"/>
              <w:bottom w:val="nil"/>
            </w:tcBorders>
          </w:tcPr>
          <w:p w:rsidR="00000000" w:rsidRDefault="00000000">
            <w:pPr>
              <w:tabs>
                <w:tab w:val="clear" w:pos="1701"/>
              </w:tabs>
              <w:spacing w:line="240" w:lineRule="auto"/>
              <w:ind w:right="499"/>
              <w:jc w:val="right"/>
            </w:pPr>
            <w:r>
              <w:t>-</w:t>
            </w:r>
          </w:p>
        </w:tc>
        <w:tc>
          <w:tcPr>
            <w:tcW w:w="1309" w:type="dxa"/>
            <w:tcBorders>
              <w:top w:val="nil"/>
              <w:bottom w:val="nil"/>
            </w:tcBorders>
          </w:tcPr>
          <w:p w:rsidR="00000000" w:rsidRDefault="00000000">
            <w:pPr>
              <w:tabs>
                <w:tab w:val="clear" w:pos="1701"/>
              </w:tabs>
              <w:spacing w:line="240" w:lineRule="auto"/>
              <w:ind w:right="499"/>
              <w:jc w:val="right"/>
            </w:pPr>
            <w:r>
              <w:t>51</w:t>
            </w:r>
          </w:p>
        </w:tc>
      </w:tr>
      <w:tr w:rsidR="00000000">
        <w:tblPrEx>
          <w:tblCellMar>
            <w:top w:w="0" w:type="dxa"/>
            <w:bottom w:w="0" w:type="dxa"/>
          </w:tblCellMar>
        </w:tblPrEx>
        <w:trPr>
          <w:jc w:val="center"/>
        </w:trPr>
        <w:tc>
          <w:tcPr>
            <w:tcW w:w="4913" w:type="dxa"/>
            <w:tcBorders>
              <w:top w:val="nil"/>
            </w:tcBorders>
          </w:tcPr>
          <w:p w:rsidR="00000000" w:rsidRDefault="00000000">
            <w:pPr>
              <w:pStyle w:val="FootnoteText"/>
              <w:tabs>
                <w:tab w:val="left" w:pos="374"/>
              </w:tabs>
            </w:pPr>
            <w:r>
              <w:tab/>
              <w:t>Средние сельскохозяйственные училища</w:t>
            </w:r>
          </w:p>
        </w:tc>
        <w:tc>
          <w:tcPr>
            <w:tcW w:w="1309" w:type="dxa"/>
            <w:tcBorders>
              <w:top w:val="nil"/>
            </w:tcBorders>
          </w:tcPr>
          <w:p w:rsidR="00000000" w:rsidRDefault="00000000">
            <w:pPr>
              <w:tabs>
                <w:tab w:val="clear" w:pos="1701"/>
              </w:tabs>
              <w:spacing w:line="240" w:lineRule="auto"/>
              <w:ind w:right="499"/>
              <w:jc w:val="right"/>
            </w:pPr>
            <w:r>
              <w:t>-</w:t>
            </w:r>
          </w:p>
        </w:tc>
        <w:tc>
          <w:tcPr>
            <w:tcW w:w="1309" w:type="dxa"/>
            <w:tcBorders>
              <w:top w:val="nil"/>
            </w:tcBorders>
          </w:tcPr>
          <w:p w:rsidR="00000000" w:rsidRDefault="00000000">
            <w:pPr>
              <w:tabs>
                <w:tab w:val="clear" w:pos="1701"/>
              </w:tabs>
              <w:spacing w:line="240" w:lineRule="auto"/>
              <w:ind w:right="499"/>
              <w:jc w:val="right"/>
            </w:pPr>
            <w:r>
              <w:t>-</w:t>
            </w:r>
          </w:p>
        </w:tc>
        <w:tc>
          <w:tcPr>
            <w:tcW w:w="1309" w:type="dxa"/>
            <w:tcBorders>
              <w:top w:val="nil"/>
            </w:tcBorders>
          </w:tcPr>
          <w:p w:rsidR="00000000" w:rsidRDefault="00000000">
            <w:pPr>
              <w:tabs>
                <w:tab w:val="clear" w:pos="1701"/>
              </w:tabs>
              <w:spacing w:line="240" w:lineRule="auto"/>
              <w:ind w:right="499"/>
              <w:jc w:val="right"/>
            </w:pPr>
            <w:r>
              <w:t>16</w:t>
            </w:r>
          </w:p>
        </w:tc>
      </w:tr>
    </w:tbl>
    <w:p w:rsidR="00000000" w:rsidRDefault="00000000">
      <w:pPr>
        <w:pStyle w:val="FootnoteText"/>
        <w:spacing w:line="288" w:lineRule="auto"/>
      </w:pPr>
    </w:p>
    <w:p w:rsidR="00000000" w:rsidRDefault="00000000">
      <w:pPr>
        <w:pStyle w:val="FootnoteText"/>
        <w:spacing w:line="288" w:lineRule="auto"/>
      </w:pPr>
      <w:r>
        <w:br w:type="page"/>
        <w:t>587.</w:t>
      </w:r>
      <w:r>
        <w:tab/>
        <w:t>Ввиду высокой степени ассимиляции и некомпактного проживания словацкое меньшинство не имеет четко разработанной образовательной программы.  Имеется только одна начальная школы в Карвине, в которой обучается всего лишь примерно 50 учащихся.  Министерство образования, по делам молодежи и спорта создало условия для открытия в Праге словацкой академической высшей школы и для начала преподавания в ней в 1997/98 учебном году.  Однако эти планы не увенчались успехом вследствие отсутствия заинтересованности со стороны учащихся и родителей.  До настоящего времени имеется только одно частное среднее училище социальных работников для детей рома в Колине.  Его цель заключается в профессиональной подготовке социальных работников из числа рома, которые специализируются на работе в общине рома;  однако преподавание в нем ведется на чешском языке.</w:t>
      </w:r>
    </w:p>
    <w:p w:rsidR="00000000" w:rsidRDefault="00000000">
      <w:pPr>
        <w:pStyle w:val="FootnoteText"/>
        <w:spacing w:line="216" w:lineRule="auto"/>
      </w:pPr>
    </w:p>
    <w:p w:rsidR="00000000" w:rsidRDefault="00000000">
      <w:pPr>
        <w:pStyle w:val="FootnoteText"/>
        <w:spacing w:line="216" w:lineRule="auto"/>
        <w:rPr>
          <w:i/>
          <w:iCs/>
        </w:rPr>
      </w:pPr>
      <w:r>
        <w:rPr>
          <w:i/>
          <w:iCs/>
        </w:rPr>
        <w:t>Специальные школы</w:t>
      </w:r>
    </w:p>
    <w:p w:rsidR="00000000" w:rsidRDefault="00000000">
      <w:pPr>
        <w:pStyle w:val="FootnoteText"/>
        <w:spacing w:line="216" w:lineRule="auto"/>
        <w:rPr>
          <w:b/>
          <w:bCs/>
        </w:rPr>
      </w:pPr>
    </w:p>
    <w:p w:rsidR="00000000" w:rsidRDefault="00000000">
      <w:pPr>
        <w:pStyle w:val="FootnoteText"/>
        <w:spacing w:line="288" w:lineRule="auto"/>
        <w:rPr>
          <w:i/>
          <w:iCs/>
        </w:rPr>
      </w:pPr>
      <w:r>
        <w:t>588.</w:t>
      </w:r>
      <w:r>
        <w:tab/>
        <w:t>Учащиеся с физическими и психическими недостатками имеют возможность получать образование в начальных и средних специальных школах.  Согласно статье 28 Закона об учебных заведениях, специальные школы "обеспечивают воспитание и образование посредством специальных воспитательных и учебных методик, средств и форм обучения учащихся, обладающих умственными или физическими недостатками и страдающих расстройством органов чувств, учащихся с дефектами речи, учащихся с множественными дефектами, трудновоспитуемых учащихся и больных и ослабленных учащихся, помещенных в медицинские учреждения;  они готовят их для участия в трудовом процессе и жизни в обществе.  Образование в этих школах соответствует образованию, получаемому в начальных школах и других средних школах".</w:t>
      </w:r>
    </w:p>
    <w:p w:rsidR="00000000" w:rsidRDefault="00000000">
      <w:pPr>
        <w:pStyle w:val="FootnoteText"/>
        <w:spacing w:line="216" w:lineRule="auto"/>
      </w:pPr>
    </w:p>
    <w:p w:rsidR="00000000" w:rsidRDefault="00000000">
      <w:pPr>
        <w:pStyle w:val="FootnoteText"/>
        <w:spacing w:line="216" w:lineRule="auto"/>
        <w:jc w:val="center"/>
        <w:rPr>
          <w:b/>
          <w:bCs/>
          <w:lang w:val="en-US"/>
        </w:rPr>
      </w:pPr>
      <w:r>
        <w:rPr>
          <w:b/>
          <w:bCs/>
        </w:rPr>
        <w:t>Число специальных школ в 1991/92-1997/98 годах</w:t>
      </w:r>
    </w:p>
    <w:p w:rsidR="00000000" w:rsidRDefault="00000000">
      <w:pPr>
        <w:pStyle w:val="FootnoteText"/>
        <w:spacing w:line="216" w:lineRule="auto"/>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3892"/>
        <w:gridCol w:w="1112"/>
        <w:gridCol w:w="1113"/>
        <w:gridCol w:w="1113"/>
        <w:gridCol w:w="1113"/>
        <w:gridCol w:w="1113"/>
      </w:tblGrid>
      <w:tr w:rsidR="00000000">
        <w:tblPrEx>
          <w:tblCellMar>
            <w:top w:w="0" w:type="dxa"/>
            <w:bottom w:w="0" w:type="dxa"/>
          </w:tblCellMar>
        </w:tblPrEx>
        <w:tc>
          <w:tcPr>
            <w:tcW w:w="3893" w:type="dxa"/>
            <w:tcBorders>
              <w:left w:val="single" w:sz="4" w:space="0" w:color="auto"/>
              <w:bottom w:val="single" w:sz="4" w:space="0" w:color="auto"/>
              <w:right w:val="single" w:sz="4" w:space="0" w:color="auto"/>
            </w:tcBorders>
          </w:tcPr>
          <w:p w:rsidR="00000000" w:rsidRDefault="00000000">
            <w:pPr>
              <w:pStyle w:val="FootnoteText"/>
              <w:rPr>
                <w:sz w:val="22"/>
              </w:rPr>
            </w:pPr>
          </w:p>
        </w:tc>
        <w:tc>
          <w:tcPr>
            <w:tcW w:w="1112" w:type="dxa"/>
            <w:tcBorders>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1993/94</w:t>
            </w:r>
          </w:p>
        </w:tc>
        <w:tc>
          <w:tcPr>
            <w:tcW w:w="1113" w:type="dxa"/>
            <w:tcBorders>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1994/95</w:t>
            </w:r>
          </w:p>
        </w:tc>
        <w:tc>
          <w:tcPr>
            <w:tcW w:w="1113" w:type="dxa"/>
            <w:tcBorders>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1995/96</w:t>
            </w:r>
          </w:p>
        </w:tc>
        <w:tc>
          <w:tcPr>
            <w:tcW w:w="1113" w:type="dxa"/>
            <w:tcBorders>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1996/97</w:t>
            </w:r>
          </w:p>
        </w:tc>
        <w:tc>
          <w:tcPr>
            <w:tcW w:w="1113" w:type="dxa"/>
            <w:tcBorders>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1997/98</w:t>
            </w:r>
          </w:p>
        </w:tc>
      </w:tr>
      <w:tr w:rsidR="00000000">
        <w:tblPrEx>
          <w:tblCellMar>
            <w:top w:w="0" w:type="dxa"/>
            <w:bottom w:w="0" w:type="dxa"/>
          </w:tblCellMar>
        </w:tblPrEx>
        <w:tc>
          <w:tcPr>
            <w:tcW w:w="3893" w:type="dxa"/>
            <w:tcBorders>
              <w:top w:val="single" w:sz="4" w:space="0" w:color="auto"/>
              <w:left w:val="single" w:sz="4" w:space="0" w:color="auto"/>
              <w:bottom w:val="nil"/>
              <w:right w:val="single" w:sz="4" w:space="0" w:color="auto"/>
            </w:tcBorders>
          </w:tcPr>
          <w:p w:rsidR="00000000" w:rsidRDefault="00000000">
            <w:pPr>
              <w:pStyle w:val="FootnoteText"/>
              <w:tabs>
                <w:tab w:val="clear" w:pos="567"/>
                <w:tab w:val="left" w:pos="187"/>
              </w:tabs>
              <w:ind w:left="187" w:hanging="187"/>
              <w:rPr>
                <w:sz w:val="22"/>
              </w:rPr>
            </w:pPr>
            <w:r>
              <w:rPr>
                <w:sz w:val="22"/>
              </w:rPr>
              <w:t>Число учебных заведений</w:t>
            </w:r>
          </w:p>
        </w:tc>
        <w:tc>
          <w:tcPr>
            <w:tcW w:w="1112" w:type="dxa"/>
            <w:tcBorders>
              <w:top w:val="single" w:sz="4" w:space="0" w:color="auto"/>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979</w:t>
            </w:r>
          </w:p>
        </w:tc>
        <w:tc>
          <w:tcPr>
            <w:tcW w:w="1113" w:type="dxa"/>
            <w:tcBorders>
              <w:top w:val="single" w:sz="4" w:space="0" w:color="auto"/>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975</w:t>
            </w:r>
          </w:p>
        </w:tc>
        <w:tc>
          <w:tcPr>
            <w:tcW w:w="1113" w:type="dxa"/>
            <w:tcBorders>
              <w:top w:val="single" w:sz="4" w:space="0" w:color="auto"/>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1 027</w:t>
            </w:r>
          </w:p>
        </w:tc>
        <w:tc>
          <w:tcPr>
            <w:tcW w:w="1113" w:type="dxa"/>
            <w:tcBorders>
              <w:top w:val="single" w:sz="4" w:space="0" w:color="auto"/>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1 002</w:t>
            </w:r>
          </w:p>
        </w:tc>
        <w:tc>
          <w:tcPr>
            <w:tcW w:w="1113" w:type="dxa"/>
            <w:tcBorders>
              <w:top w:val="single" w:sz="4" w:space="0" w:color="auto"/>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986</w:t>
            </w:r>
          </w:p>
        </w:tc>
      </w:tr>
      <w:tr w:rsidR="00000000">
        <w:tblPrEx>
          <w:tblCellMar>
            <w:top w:w="0" w:type="dxa"/>
            <w:bottom w:w="0" w:type="dxa"/>
          </w:tblCellMar>
        </w:tblPrEx>
        <w:tc>
          <w:tcPr>
            <w:tcW w:w="3893" w:type="dxa"/>
            <w:tcBorders>
              <w:top w:val="nil"/>
              <w:left w:val="single" w:sz="4" w:space="0" w:color="auto"/>
              <w:bottom w:val="nil"/>
              <w:right w:val="single" w:sz="4" w:space="0" w:color="auto"/>
            </w:tcBorders>
          </w:tcPr>
          <w:p w:rsidR="00000000" w:rsidRDefault="00000000">
            <w:pPr>
              <w:pStyle w:val="FootnoteText"/>
              <w:tabs>
                <w:tab w:val="clear" w:pos="567"/>
                <w:tab w:val="left" w:pos="187"/>
              </w:tabs>
              <w:ind w:left="187" w:hanging="187"/>
              <w:rPr>
                <w:sz w:val="22"/>
              </w:rPr>
            </w:pPr>
            <w:r>
              <w:rPr>
                <w:sz w:val="22"/>
              </w:rPr>
              <w:t>Детские сады</w:t>
            </w:r>
          </w:p>
        </w:tc>
        <w:tc>
          <w:tcPr>
            <w:tcW w:w="1112"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235</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240</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253</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263</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259</w:t>
            </w:r>
          </w:p>
        </w:tc>
      </w:tr>
      <w:tr w:rsidR="00000000">
        <w:tblPrEx>
          <w:tblCellMar>
            <w:top w:w="0" w:type="dxa"/>
            <w:bottom w:w="0" w:type="dxa"/>
          </w:tblCellMar>
        </w:tblPrEx>
        <w:tc>
          <w:tcPr>
            <w:tcW w:w="3893" w:type="dxa"/>
            <w:tcBorders>
              <w:top w:val="nil"/>
              <w:left w:val="single" w:sz="4" w:space="0" w:color="auto"/>
              <w:bottom w:val="nil"/>
              <w:right w:val="single" w:sz="4" w:space="0" w:color="auto"/>
            </w:tcBorders>
          </w:tcPr>
          <w:p w:rsidR="00000000" w:rsidRDefault="00000000">
            <w:pPr>
              <w:pStyle w:val="FootnoteText"/>
              <w:tabs>
                <w:tab w:val="clear" w:pos="567"/>
                <w:tab w:val="left" w:pos="187"/>
              </w:tabs>
              <w:ind w:left="187" w:hanging="187"/>
              <w:rPr>
                <w:sz w:val="22"/>
              </w:rPr>
            </w:pPr>
            <w:r>
              <w:rPr>
                <w:sz w:val="22"/>
              </w:rPr>
              <w:t>Общее число начальных и специальных школ,</w:t>
            </w:r>
          </w:p>
        </w:tc>
        <w:tc>
          <w:tcPr>
            <w:tcW w:w="1112"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700</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679</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693</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678</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667</w:t>
            </w:r>
          </w:p>
        </w:tc>
      </w:tr>
      <w:tr w:rsidR="00000000">
        <w:tblPrEx>
          <w:tblCellMar>
            <w:top w:w="0" w:type="dxa"/>
            <w:bottom w:w="0" w:type="dxa"/>
          </w:tblCellMar>
        </w:tblPrEx>
        <w:tc>
          <w:tcPr>
            <w:tcW w:w="3893" w:type="dxa"/>
            <w:tcBorders>
              <w:top w:val="nil"/>
              <w:left w:val="single" w:sz="4" w:space="0" w:color="auto"/>
              <w:bottom w:val="nil"/>
              <w:right w:val="single" w:sz="4" w:space="0" w:color="auto"/>
            </w:tcBorders>
          </w:tcPr>
          <w:p w:rsidR="00000000" w:rsidRDefault="00000000">
            <w:pPr>
              <w:pStyle w:val="FootnoteText"/>
              <w:tabs>
                <w:tab w:val="clear" w:pos="567"/>
                <w:tab w:val="left" w:pos="187"/>
              </w:tabs>
              <w:ind w:left="187" w:hanging="187"/>
              <w:rPr>
                <w:sz w:val="22"/>
              </w:rPr>
            </w:pPr>
            <w:r>
              <w:rPr>
                <w:sz w:val="22"/>
              </w:rPr>
              <w:t>в том числе</w:t>
            </w:r>
          </w:p>
          <w:p w:rsidR="00000000" w:rsidRDefault="00000000">
            <w:pPr>
              <w:pStyle w:val="FootnoteText"/>
              <w:tabs>
                <w:tab w:val="clear" w:pos="567"/>
                <w:tab w:val="left" w:pos="187"/>
              </w:tabs>
              <w:ind w:left="187" w:hanging="187"/>
              <w:rPr>
                <w:sz w:val="22"/>
              </w:rPr>
            </w:pPr>
            <w:r>
              <w:rPr>
                <w:sz w:val="22"/>
              </w:rPr>
              <w:t xml:space="preserve">   специальные начальные школы</w:t>
            </w:r>
          </w:p>
        </w:tc>
        <w:tc>
          <w:tcPr>
            <w:tcW w:w="1112"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p>
          <w:p w:rsidR="00000000" w:rsidRDefault="00000000">
            <w:pPr>
              <w:pStyle w:val="FootnoteText"/>
              <w:tabs>
                <w:tab w:val="clear" w:pos="567"/>
                <w:tab w:val="clear" w:pos="1134"/>
              </w:tabs>
              <w:ind w:left="-425" w:right="227"/>
              <w:jc w:val="right"/>
              <w:rPr>
                <w:sz w:val="22"/>
              </w:rPr>
            </w:pPr>
            <w:r>
              <w:rPr>
                <w:sz w:val="22"/>
              </w:rPr>
              <w:t>-</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p>
          <w:p w:rsidR="00000000" w:rsidRDefault="00000000">
            <w:pPr>
              <w:pStyle w:val="FootnoteText"/>
              <w:tabs>
                <w:tab w:val="clear" w:pos="567"/>
                <w:tab w:val="clear" w:pos="1134"/>
              </w:tabs>
              <w:ind w:left="-425" w:right="227"/>
              <w:jc w:val="right"/>
              <w:rPr>
                <w:sz w:val="22"/>
              </w:rPr>
            </w:pPr>
            <w:r>
              <w:rPr>
                <w:sz w:val="22"/>
              </w:rPr>
              <w:t>215</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p>
          <w:p w:rsidR="00000000" w:rsidRDefault="00000000">
            <w:pPr>
              <w:pStyle w:val="FootnoteText"/>
              <w:tabs>
                <w:tab w:val="clear" w:pos="567"/>
                <w:tab w:val="clear" w:pos="1134"/>
              </w:tabs>
              <w:ind w:left="-425" w:right="227"/>
              <w:jc w:val="right"/>
              <w:rPr>
                <w:sz w:val="22"/>
              </w:rPr>
            </w:pPr>
            <w:r>
              <w:rPr>
                <w:sz w:val="22"/>
              </w:rPr>
              <w:t>218</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p>
          <w:p w:rsidR="00000000" w:rsidRDefault="00000000">
            <w:pPr>
              <w:pStyle w:val="FootnoteText"/>
              <w:tabs>
                <w:tab w:val="clear" w:pos="567"/>
                <w:tab w:val="clear" w:pos="1134"/>
              </w:tabs>
              <w:ind w:left="-425" w:right="227"/>
              <w:jc w:val="right"/>
              <w:rPr>
                <w:sz w:val="22"/>
              </w:rPr>
            </w:pPr>
            <w:r>
              <w:rPr>
                <w:sz w:val="22"/>
              </w:rPr>
              <w:t>216</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p>
          <w:p w:rsidR="00000000" w:rsidRDefault="00000000">
            <w:pPr>
              <w:pStyle w:val="FootnoteText"/>
              <w:tabs>
                <w:tab w:val="clear" w:pos="567"/>
                <w:tab w:val="clear" w:pos="1134"/>
              </w:tabs>
              <w:ind w:left="-425" w:right="227"/>
              <w:jc w:val="right"/>
              <w:rPr>
                <w:sz w:val="22"/>
              </w:rPr>
            </w:pPr>
            <w:r>
              <w:rPr>
                <w:sz w:val="22"/>
              </w:rPr>
              <w:t>210</w:t>
            </w:r>
          </w:p>
        </w:tc>
      </w:tr>
      <w:tr w:rsidR="00000000">
        <w:tblPrEx>
          <w:tblCellMar>
            <w:top w:w="0" w:type="dxa"/>
            <w:bottom w:w="0" w:type="dxa"/>
          </w:tblCellMar>
        </w:tblPrEx>
        <w:tc>
          <w:tcPr>
            <w:tcW w:w="3893" w:type="dxa"/>
            <w:tcBorders>
              <w:top w:val="nil"/>
              <w:left w:val="single" w:sz="4" w:space="0" w:color="auto"/>
              <w:bottom w:val="nil"/>
              <w:right w:val="single" w:sz="4" w:space="0" w:color="auto"/>
            </w:tcBorders>
          </w:tcPr>
          <w:p w:rsidR="00000000" w:rsidRDefault="00000000">
            <w:pPr>
              <w:pStyle w:val="FootnoteText"/>
              <w:tabs>
                <w:tab w:val="clear" w:pos="567"/>
                <w:tab w:val="left" w:pos="187"/>
              </w:tabs>
              <w:ind w:left="187" w:hanging="187"/>
              <w:rPr>
                <w:sz w:val="22"/>
              </w:rPr>
            </w:pPr>
            <w:r>
              <w:rPr>
                <w:sz w:val="22"/>
              </w:rPr>
              <w:t>Специальные школы</w:t>
            </w:r>
          </w:p>
        </w:tc>
        <w:tc>
          <w:tcPr>
            <w:tcW w:w="1112"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464</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475</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462</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457</w:t>
            </w:r>
          </w:p>
        </w:tc>
      </w:tr>
      <w:tr w:rsidR="00000000">
        <w:tblPrEx>
          <w:tblCellMar>
            <w:top w:w="0" w:type="dxa"/>
            <w:bottom w:w="0" w:type="dxa"/>
          </w:tblCellMar>
        </w:tblPrEx>
        <w:tc>
          <w:tcPr>
            <w:tcW w:w="3893" w:type="dxa"/>
            <w:tcBorders>
              <w:top w:val="nil"/>
              <w:left w:val="single" w:sz="4" w:space="0" w:color="auto"/>
              <w:bottom w:val="nil"/>
              <w:right w:val="single" w:sz="4" w:space="0" w:color="auto"/>
            </w:tcBorders>
          </w:tcPr>
          <w:p w:rsidR="00000000" w:rsidRDefault="00000000">
            <w:pPr>
              <w:pStyle w:val="FootnoteText"/>
              <w:tabs>
                <w:tab w:val="clear" w:pos="567"/>
                <w:tab w:val="left" w:pos="187"/>
              </w:tabs>
              <w:ind w:left="187" w:hanging="187"/>
              <w:rPr>
                <w:sz w:val="22"/>
              </w:rPr>
            </w:pPr>
            <w:r>
              <w:rPr>
                <w:sz w:val="22"/>
              </w:rPr>
              <w:t>Школы дополнительного обучения</w:t>
            </w:r>
          </w:p>
        </w:tc>
        <w:tc>
          <w:tcPr>
            <w:tcW w:w="1112"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118</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127</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93</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151</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153</w:t>
            </w:r>
          </w:p>
        </w:tc>
      </w:tr>
      <w:tr w:rsidR="00000000">
        <w:tblPrEx>
          <w:tblCellMar>
            <w:top w:w="0" w:type="dxa"/>
            <w:bottom w:w="0" w:type="dxa"/>
          </w:tblCellMar>
        </w:tblPrEx>
        <w:tc>
          <w:tcPr>
            <w:tcW w:w="3893" w:type="dxa"/>
            <w:tcBorders>
              <w:top w:val="nil"/>
              <w:left w:val="single" w:sz="4" w:space="0" w:color="auto"/>
              <w:bottom w:val="nil"/>
              <w:right w:val="single" w:sz="4" w:space="0" w:color="auto"/>
            </w:tcBorders>
          </w:tcPr>
          <w:p w:rsidR="00000000" w:rsidRDefault="00000000">
            <w:pPr>
              <w:pStyle w:val="FootnoteText"/>
              <w:tabs>
                <w:tab w:val="clear" w:pos="567"/>
                <w:tab w:val="left" w:pos="187"/>
              </w:tabs>
              <w:ind w:left="187" w:hanging="187"/>
              <w:rPr>
                <w:sz w:val="22"/>
              </w:rPr>
            </w:pPr>
            <w:r>
              <w:rPr>
                <w:sz w:val="22"/>
              </w:rPr>
              <w:t xml:space="preserve">Классические гимназии и средние техникумы </w:t>
            </w:r>
          </w:p>
        </w:tc>
        <w:tc>
          <w:tcPr>
            <w:tcW w:w="1112"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70</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89</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106</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122</w:t>
            </w:r>
          </w:p>
        </w:tc>
        <w:tc>
          <w:tcPr>
            <w:tcW w:w="1113" w:type="dxa"/>
            <w:tcBorders>
              <w:top w:val="nil"/>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139</w:t>
            </w:r>
          </w:p>
        </w:tc>
      </w:tr>
      <w:tr w:rsidR="00000000">
        <w:tblPrEx>
          <w:tblCellMar>
            <w:top w:w="0" w:type="dxa"/>
            <w:bottom w:w="0" w:type="dxa"/>
          </w:tblCellMar>
        </w:tblPrEx>
        <w:tc>
          <w:tcPr>
            <w:tcW w:w="3893" w:type="dxa"/>
            <w:tcBorders>
              <w:top w:val="nil"/>
              <w:left w:val="single" w:sz="4" w:space="0" w:color="auto"/>
              <w:bottom w:val="single" w:sz="4" w:space="0" w:color="auto"/>
              <w:right w:val="single" w:sz="4" w:space="0" w:color="auto"/>
            </w:tcBorders>
          </w:tcPr>
          <w:p w:rsidR="00000000" w:rsidRDefault="00000000">
            <w:pPr>
              <w:pStyle w:val="FootnoteText"/>
              <w:tabs>
                <w:tab w:val="clear" w:pos="567"/>
                <w:tab w:val="left" w:pos="187"/>
              </w:tabs>
              <w:ind w:left="187" w:hanging="187"/>
              <w:rPr>
                <w:sz w:val="22"/>
              </w:rPr>
            </w:pPr>
            <w:r>
              <w:rPr>
                <w:sz w:val="22"/>
              </w:rPr>
              <w:t xml:space="preserve">Средние профессионально-технические училища и профессиональные школы </w:t>
            </w:r>
          </w:p>
        </w:tc>
        <w:tc>
          <w:tcPr>
            <w:tcW w:w="1112" w:type="dxa"/>
            <w:tcBorders>
              <w:top w:val="nil"/>
              <w:left w:val="single" w:sz="4" w:space="0" w:color="auto"/>
              <w:bottom w:val="single" w:sz="4" w:space="0" w:color="auto"/>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127</w:t>
            </w:r>
          </w:p>
        </w:tc>
        <w:tc>
          <w:tcPr>
            <w:tcW w:w="1113" w:type="dxa"/>
            <w:tcBorders>
              <w:top w:val="nil"/>
              <w:left w:val="single" w:sz="4" w:space="0" w:color="auto"/>
              <w:bottom w:val="single" w:sz="4" w:space="0" w:color="auto"/>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111</w:t>
            </w:r>
          </w:p>
        </w:tc>
        <w:tc>
          <w:tcPr>
            <w:tcW w:w="1113" w:type="dxa"/>
            <w:tcBorders>
              <w:top w:val="nil"/>
              <w:left w:val="single" w:sz="4" w:space="0" w:color="auto"/>
              <w:bottom w:val="single" w:sz="4" w:space="0" w:color="auto"/>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148</w:t>
            </w:r>
          </w:p>
        </w:tc>
        <w:tc>
          <w:tcPr>
            <w:tcW w:w="1113" w:type="dxa"/>
            <w:tcBorders>
              <w:top w:val="nil"/>
              <w:left w:val="single" w:sz="4" w:space="0" w:color="auto"/>
              <w:bottom w:val="single" w:sz="4" w:space="0" w:color="auto"/>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156</w:t>
            </w:r>
          </w:p>
        </w:tc>
        <w:tc>
          <w:tcPr>
            <w:tcW w:w="1113" w:type="dxa"/>
            <w:tcBorders>
              <w:top w:val="nil"/>
              <w:left w:val="single" w:sz="4" w:space="0" w:color="auto"/>
              <w:bottom w:val="single" w:sz="4" w:space="0" w:color="auto"/>
              <w:right w:val="single" w:sz="4" w:space="0" w:color="auto"/>
            </w:tcBorders>
            <w:tcMar>
              <w:right w:w="147" w:type="dxa"/>
            </w:tcMar>
          </w:tcPr>
          <w:p w:rsidR="00000000" w:rsidRDefault="00000000">
            <w:pPr>
              <w:pStyle w:val="FootnoteText"/>
              <w:tabs>
                <w:tab w:val="clear" w:pos="567"/>
                <w:tab w:val="clear" w:pos="1134"/>
              </w:tabs>
              <w:ind w:left="-425" w:right="227"/>
              <w:jc w:val="right"/>
              <w:rPr>
                <w:sz w:val="22"/>
              </w:rPr>
            </w:pPr>
            <w:r>
              <w:rPr>
                <w:sz w:val="22"/>
              </w:rPr>
              <w:t>158</w:t>
            </w:r>
          </w:p>
        </w:tc>
      </w:tr>
    </w:tbl>
    <w:p w:rsidR="00000000" w:rsidRDefault="00000000">
      <w:pPr>
        <w:pStyle w:val="FootnoteText"/>
        <w:ind w:left="567" w:hanging="567"/>
        <w:rPr>
          <w:sz w:val="22"/>
        </w:rPr>
      </w:pPr>
    </w:p>
    <w:p w:rsidR="00000000" w:rsidRDefault="00000000">
      <w:pPr>
        <w:pStyle w:val="FootnoteText"/>
      </w:pPr>
      <w:r>
        <w:tab/>
      </w:r>
      <w:r>
        <w:rPr>
          <w:u w:val="single"/>
        </w:rPr>
        <w:t>Примечание</w:t>
      </w:r>
      <w:r>
        <w:t>:  Число учебных заведений не соответствует общему числу используемых ими зданий, поскольку специальные учебные заведения различных уровней могут размещаться в одном здании с другими учреждениями.  До 1993/1994 учебного года не проводилось отдельного статистического подсчета начальных и специальных школ.</w:t>
      </w:r>
    </w:p>
    <w:p w:rsidR="00000000" w:rsidRDefault="00000000">
      <w:pPr>
        <w:pStyle w:val="FootnoteText"/>
        <w:ind w:left="567" w:hanging="567"/>
      </w:pPr>
    </w:p>
    <w:p w:rsidR="00000000" w:rsidRDefault="00000000">
      <w:pPr>
        <w:pStyle w:val="FootnoteText"/>
        <w:spacing w:line="288" w:lineRule="auto"/>
      </w:pPr>
      <w:r>
        <w:t>589.</w:t>
      </w:r>
      <w:r>
        <w:tab/>
        <w:t>Согласно Закону об учебных заведениях, глухим и слепым лицам обеспечивается право на образование на родном языке с использованием кинетической речи или азбуки Брайля.  Согласно Закону о кинетической речи</w:t>
      </w:r>
      <w:r>
        <w:rPr>
          <w:rStyle w:val="FootnoteReference"/>
        </w:rPr>
        <w:footnoteReference w:id="347"/>
      </w:r>
      <w:r>
        <w:t>, глухие имеют право пользоваться кинетической речью, получать образование с использованием кинетической речи и преподавать с применением кинетической речи.  Слабослышащим учащимся в средних учебных заведениях и профессиональных училищах и техникумах бесплатно обеспечивается сурдоперевод.  Включение таких учащихся в обычные классы было апробировано на экспериментальной основе в некоторых начальных школах начиная с 1990/91 учебного года, однако оно всегда зависит от вида и тяжести дефекта и от возможностей учебных заведений удовлетворять эти особые потребности</w:t>
      </w:r>
      <w:r>
        <w:rPr>
          <w:rStyle w:val="FootnoteReference"/>
        </w:rPr>
        <w:footnoteReference w:id="348"/>
      </w:r>
      <w:r>
        <w:t>.</w:t>
      </w:r>
    </w:p>
    <w:p w:rsidR="00000000" w:rsidRDefault="00000000">
      <w:pPr>
        <w:pStyle w:val="FootnoteText"/>
        <w:spacing w:line="288" w:lineRule="auto"/>
      </w:pPr>
    </w:p>
    <w:p w:rsidR="00000000" w:rsidRDefault="00000000">
      <w:pPr>
        <w:pStyle w:val="FootnoteText"/>
        <w:spacing w:line="288" w:lineRule="auto"/>
      </w:pPr>
      <w:r>
        <w:t>590.</w:t>
      </w:r>
      <w:r>
        <w:tab/>
        <w:t xml:space="preserve">Включение детей-инвалидов в коллектив здоровых детей имеет очень важное значение для их социализации.  Однако это создает дополнительные финансовые и технические трудности и требует от преподавателя индивидуального подхода;  поэтому такой процесс требует внесения поправок в механизмы финансирования.  Число таких детей, включаемых в обычные классы, увеличивается, хотя число детей в специальных и специализированных классах начальных школ остается прежним.  Преподаватели и родители охотно соглашаются на прием детей-инвалидов в начальные школы;  кроме того, это оказывает положительное воздействие на работу специальных школ, которые могут предоставлять больше мест детям с более серьезными формами инвалидности и более сложными дефектами.  </w:t>
      </w:r>
    </w:p>
    <w:p w:rsidR="00000000" w:rsidRDefault="00000000">
      <w:pPr>
        <w:pStyle w:val="FootnoteText"/>
        <w:spacing w:line="288" w:lineRule="auto"/>
      </w:pPr>
    </w:p>
    <w:p w:rsidR="00000000" w:rsidRDefault="00000000">
      <w:pPr>
        <w:pStyle w:val="FootnoteText"/>
        <w:jc w:val="center"/>
        <w:rPr>
          <w:lang w:val="en-US"/>
        </w:rPr>
      </w:pPr>
      <w:r>
        <w:rPr>
          <w:b/>
          <w:bCs/>
        </w:rPr>
        <w:t xml:space="preserve">Число детей-инвалидов, принятых в обычные, специальные и специализированные классы </w:t>
      </w:r>
      <w:r>
        <w:t>(в тыс. человек)</w:t>
      </w:r>
    </w:p>
    <w:p w:rsidR="00000000" w:rsidRDefault="00000000">
      <w:pPr>
        <w:pStyle w:val="FootnoteText"/>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3603"/>
        <w:gridCol w:w="1122"/>
        <w:gridCol w:w="1122"/>
        <w:gridCol w:w="1309"/>
        <w:gridCol w:w="1309"/>
        <w:gridCol w:w="991"/>
      </w:tblGrid>
      <w:tr w:rsidR="00000000">
        <w:tblPrEx>
          <w:tblCellMar>
            <w:top w:w="0" w:type="dxa"/>
            <w:bottom w:w="0" w:type="dxa"/>
          </w:tblCellMar>
        </w:tblPrEx>
        <w:tc>
          <w:tcPr>
            <w:tcW w:w="3604" w:type="dxa"/>
            <w:tcBorders>
              <w:left w:val="single" w:sz="4" w:space="0" w:color="auto"/>
              <w:bottom w:val="single" w:sz="4" w:space="0" w:color="auto"/>
              <w:right w:val="single" w:sz="4" w:space="0" w:color="auto"/>
            </w:tcBorders>
          </w:tcPr>
          <w:p w:rsidR="00000000" w:rsidRDefault="00000000">
            <w:pPr>
              <w:pStyle w:val="FootnoteText"/>
            </w:pPr>
          </w:p>
        </w:tc>
        <w:tc>
          <w:tcPr>
            <w:tcW w:w="1122" w:type="dxa"/>
            <w:tcBorders>
              <w:left w:val="single" w:sz="4" w:space="0" w:color="auto"/>
              <w:bottom w:val="single" w:sz="4" w:space="0" w:color="auto"/>
              <w:right w:val="single" w:sz="4" w:space="0" w:color="auto"/>
            </w:tcBorders>
          </w:tcPr>
          <w:p w:rsidR="00000000" w:rsidRDefault="00000000">
            <w:pPr>
              <w:pStyle w:val="FootnoteText"/>
              <w:jc w:val="center"/>
            </w:pPr>
            <w:r>
              <w:t>1993/94</w:t>
            </w:r>
          </w:p>
        </w:tc>
        <w:tc>
          <w:tcPr>
            <w:tcW w:w="1122" w:type="dxa"/>
            <w:tcBorders>
              <w:left w:val="single" w:sz="4" w:space="0" w:color="auto"/>
              <w:bottom w:val="single" w:sz="4" w:space="0" w:color="auto"/>
              <w:right w:val="single" w:sz="4" w:space="0" w:color="auto"/>
            </w:tcBorders>
          </w:tcPr>
          <w:p w:rsidR="00000000" w:rsidRDefault="00000000">
            <w:pPr>
              <w:pStyle w:val="FootnoteText"/>
              <w:jc w:val="center"/>
            </w:pPr>
            <w:r>
              <w:t>1994/95</w:t>
            </w:r>
          </w:p>
        </w:tc>
        <w:tc>
          <w:tcPr>
            <w:tcW w:w="1309" w:type="dxa"/>
            <w:tcBorders>
              <w:left w:val="single" w:sz="4" w:space="0" w:color="auto"/>
              <w:bottom w:val="single" w:sz="4" w:space="0" w:color="auto"/>
              <w:right w:val="single" w:sz="4" w:space="0" w:color="auto"/>
            </w:tcBorders>
          </w:tcPr>
          <w:p w:rsidR="00000000" w:rsidRDefault="00000000">
            <w:pPr>
              <w:pStyle w:val="FootnoteText"/>
              <w:jc w:val="center"/>
            </w:pPr>
            <w:r>
              <w:t>1995/96</w:t>
            </w:r>
          </w:p>
        </w:tc>
        <w:tc>
          <w:tcPr>
            <w:tcW w:w="1309" w:type="dxa"/>
            <w:tcBorders>
              <w:left w:val="single" w:sz="4" w:space="0" w:color="auto"/>
              <w:bottom w:val="single" w:sz="4" w:space="0" w:color="auto"/>
              <w:right w:val="single" w:sz="4" w:space="0" w:color="auto"/>
            </w:tcBorders>
          </w:tcPr>
          <w:p w:rsidR="00000000" w:rsidRDefault="00000000">
            <w:pPr>
              <w:pStyle w:val="FootnoteText"/>
              <w:jc w:val="center"/>
            </w:pPr>
            <w:r>
              <w:t>1996/97</w:t>
            </w:r>
          </w:p>
        </w:tc>
        <w:tc>
          <w:tcPr>
            <w:tcW w:w="991" w:type="dxa"/>
            <w:tcBorders>
              <w:left w:val="single" w:sz="4" w:space="0" w:color="auto"/>
              <w:bottom w:val="single" w:sz="4" w:space="0" w:color="auto"/>
              <w:right w:val="single" w:sz="4" w:space="0" w:color="auto"/>
            </w:tcBorders>
          </w:tcPr>
          <w:p w:rsidR="00000000" w:rsidRDefault="00000000">
            <w:pPr>
              <w:pStyle w:val="FootnoteText"/>
              <w:jc w:val="center"/>
            </w:pPr>
            <w:r>
              <w:t>1997/98</w:t>
            </w:r>
          </w:p>
        </w:tc>
      </w:tr>
      <w:tr w:rsidR="00000000">
        <w:tblPrEx>
          <w:tblCellMar>
            <w:top w:w="0" w:type="dxa"/>
            <w:bottom w:w="0" w:type="dxa"/>
          </w:tblCellMar>
        </w:tblPrEx>
        <w:tc>
          <w:tcPr>
            <w:tcW w:w="3604" w:type="dxa"/>
            <w:tcBorders>
              <w:top w:val="single" w:sz="4" w:space="0" w:color="auto"/>
              <w:left w:val="single" w:sz="4" w:space="0" w:color="auto"/>
              <w:bottom w:val="nil"/>
              <w:right w:val="single" w:sz="4" w:space="0" w:color="auto"/>
            </w:tcBorders>
          </w:tcPr>
          <w:p w:rsidR="00000000" w:rsidRDefault="00000000">
            <w:pPr>
              <w:pStyle w:val="FootnoteText"/>
            </w:pPr>
            <w:r>
              <w:t>Общее число принятых детей</w:t>
            </w:r>
          </w:p>
        </w:tc>
        <w:tc>
          <w:tcPr>
            <w:tcW w:w="1122" w:type="dxa"/>
            <w:tcBorders>
              <w:top w:val="single" w:sz="4" w:space="0" w:color="auto"/>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238" w:right="227"/>
              <w:jc w:val="right"/>
            </w:pPr>
            <w:r>
              <w:t>40,1</w:t>
            </w:r>
          </w:p>
        </w:tc>
        <w:tc>
          <w:tcPr>
            <w:tcW w:w="1122" w:type="dxa"/>
            <w:tcBorders>
              <w:top w:val="single" w:sz="4" w:space="0" w:color="auto"/>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238" w:right="227"/>
              <w:jc w:val="right"/>
            </w:pPr>
            <w:r>
              <w:t>16,6</w:t>
            </w:r>
          </w:p>
        </w:tc>
        <w:tc>
          <w:tcPr>
            <w:tcW w:w="1309" w:type="dxa"/>
            <w:tcBorders>
              <w:top w:val="single" w:sz="4" w:space="0" w:color="auto"/>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238" w:right="227"/>
              <w:jc w:val="right"/>
            </w:pPr>
            <w:r>
              <w:t>41,3</w:t>
            </w:r>
          </w:p>
        </w:tc>
        <w:tc>
          <w:tcPr>
            <w:tcW w:w="1309" w:type="dxa"/>
            <w:tcBorders>
              <w:top w:val="single" w:sz="4" w:space="0" w:color="auto"/>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238" w:right="227"/>
              <w:jc w:val="right"/>
            </w:pPr>
            <w:r>
              <w:t>51,2</w:t>
            </w:r>
          </w:p>
        </w:tc>
        <w:tc>
          <w:tcPr>
            <w:tcW w:w="991" w:type="dxa"/>
            <w:tcBorders>
              <w:top w:val="single" w:sz="4" w:space="0" w:color="auto"/>
              <w:left w:val="single" w:sz="4" w:space="0" w:color="auto"/>
              <w:bottom w:val="nil"/>
              <w:right w:val="single" w:sz="4" w:space="0" w:color="auto"/>
            </w:tcBorders>
            <w:tcMar>
              <w:right w:w="147" w:type="dxa"/>
            </w:tcMar>
          </w:tcPr>
          <w:p w:rsidR="00000000" w:rsidRDefault="00000000">
            <w:pPr>
              <w:pStyle w:val="FootnoteText"/>
              <w:tabs>
                <w:tab w:val="clear" w:pos="567"/>
                <w:tab w:val="clear" w:pos="1134"/>
              </w:tabs>
              <w:ind w:left="-238" w:right="227"/>
              <w:jc w:val="right"/>
            </w:pPr>
            <w:r>
              <w:t>54,4</w:t>
            </w:r>
          </w:p>
        </w:tc>
      </w:tr>
      <w:tr w:rsidR="00000000">
        <w:tblPrEx>
          <w:tblCellMar>
            <w:top w:w="0" w:type="dxa"/>
            <w:bottom w:w="0" w:type="dxa"/>
          </w:tblCellMar>
        </w:tblPrEx>
        <w:tc>
          <w:tcPr>
            <w:tcW w:w="3604" w:type="dxa"/>
            <w:tcBorders>
              <w:top w:val="nil"/>
              <w:left w:val="single" w:sz="4" w:space="0" w:color="auto"/>
              <w:bottom w:val="nil"/>
              <w:right w:val="single" w:sz="4" w:space="0" w:color="auto"/>
            </w:tcBorders>
          </w:tcPr>
          <w:p w:rsidR="00000000" w:rsidRDefault="00000000">
            <w:pPr>
              <w:pStyle w:val="FootnoteText"/>
            </w:pPr>
            <w:r>
              <w:t xml:space="preserve">Дети, принятые в обычные </w:t>
            </w:r>
          </w:p>
          <w:p w:rsidR="00000000" w:rsidRDefault="00000000">
            <w:pPr>
              <w:pStyle w:val="FootnoteText"/>
            </w:pPr>
            <w:r>
              <w:t xml:space="preserve">   классы</w:t>
            </w:r>
          </w:p>
        </w:tc>
        <w:tc>
          <w:tcPr>
            <w:tcW w:w="1122" w:type="dxa"/>
            <w:tcBorders>
              <w:top w:val="nil"/>
              <w:left w:val="single" w:sz="4" w:space="0" w:color="auto"/>
              <w:bottom w:val="nil"/>
              <w:right w:val="single" w:sz="4" w:space="0" w:color="auto"/>
            </w:tcBorders>
            <w:tcMar>
              <w:right w:w="147" w:type="dxa"/>
            </w:tcMar>
            <w:vAlign w:val="bottom"/>
          </w:tcPr>
          <w:p w:rsidR="00000000" w:rsidRDefault="00000000">
            <w:pPr>
              <w:pStyle w:val="FootnoteText"/>
              <w:tabs>
                <w:tab w:val="clear" w:pos="567"/>
                <w:tab w:val="clear" w:pos="1134"/>
              </w:tabs>
              <w:ind w:left="-238" w:right="227"/>
              <w:jc w:val="right"/>
            </w:pPr>
            <w:r>
              <w:t>30,4</w:t>
            </w:r>
          </w:p>
        </w:tc>
        <w:tc>
          <w:tcPr>
            <w:tcW w:w="1122" w:type="dxa"/>
            <w:tcBorders>
              <w:top w:val="nil"/>
              <w:left w:val="single" w:sz="4" w:space="0" w:color="auto"/>
              <w:bottom w:val="nil"/>
              <w:right w:val="single" w:sz="4" w:space="0" w:color="auto"/>
            </w:tcBorders>
            <w:tcMar>
              <w:right w:w="147" w:type="dxa"/>
            </w:tcMar>
            <w:vAlign w:val="bottom"/>
          </w:tcPr>
          <w:p w:rsidR="00000000" w:rsidRDefault="00000000">
            <w:pPr>
              <w:pStyle w:val="FootnoteText"/>
              <w:tabs>
                <w:tab w:val="clear" w:pos="567"/>
                <w:tab w:val="clear" w:pos="1134"/>
              </w:tabs>
              <w:ind w:left="-238" w:right="227"/>
              <w:jc w:val="right"/>
            </w:pPr>
            <w:r>
              <w:t>5,5</w:t>
            </w:r>
          </w:p>
        </w:tc>
        <w:tc>
          <w:tcPr>
            <w:tcW w:w="1309" w:type="dxa"/>
            <w:tcBorders>
              <w:top w:val="nil"/>
              <w:left w:val="single" w:sz="4" w:space="0" w:color="auto"/>
              <w:bottom w:val="nil"/>
              <w:right w:val="single" w:sz="4" w:space="0" w:color="auto"/>
            </w:tcBorders>
            <w:tcMar>
              <w:right w:w="147" w:type="dxa"/>
            </w:tcMar>
            <w:vAlign w:val="bottom"/>
          </w:tcPr>
          <w:p w:rsidR="00000000" w:rsidRDefault="00000000">
            <w:pPr>
              <w:pStyle w:val="FootnoteText"/>
              <w:tabs>
                <w:tab w:val="clear" w:pos="567"/>
                <w:tab w:val="clear" w:pos="1134"/>
              </w:tabs>
              <w:ind w:left="-238" w:right="227"/>
              <w:jc w:val="right"/>
            </w:pPr>
            <w:r>
              <w:t>30,4</w:t>
            </w:r>
          </w:p>
        </w:tc>
        <w:tc>
          <w:tcPr>
            <w:tcW w:w="1309" w:type="dxa"/>
            <w:tcBorders>
              <w:top w:val="nil"/>
              <w:left w:val="single" w:sz="4" w:space="0" w:color="auto"/>
              <w:bottom w:val="nil"/>
              <w:right w:val="single" w:sz="4" w:space="0" w:color="auto"/>
            </w:tcBorders>
            <w:tcMar>
              <w:right w:w="147" w:type="dxa"/>
            </w:tcMar>
            <w:vAlign w:val="bottom"/>
          </w:tcPr>
          <w:p w:rsidR="00000000" w:rsidRDefault="00000000">
            <w:pPr>
              <w:pStyle w:val="FootnoteText"/>
              <w:tabs>
                <w:tab w:val="clear" w:pos="567"/>
                <w:tab w:val="clear" w:pos="1134"/>
              </w:tabs>
              <w:ind w:left="-238" w:right="227"/>
              <w:jc w:val="right"/>
            </w:pPr>
            <w:r>
              <w:t>38,8</w:t>
            </w:r>
          </w:p>
        </w:tc>
        <w:tc>
          <w:tcPr>
            <w:tcW w:w="991" w:type="dxa"/>
            <w:tcBorders>
              <w:top w:val="nil"/>
              <w:left w:val="single" w:sz="4" w:space="0" w:color="auto"/>
              <w:bottom w:val="nil"/>
              <w:right w:val="single" w:sz="4" w:space="0" w:color="auto"/>
            </w:tcBorders>
            <w:tcMar>
              <w:right w:w="147" w:type="dxa"/>
            </w:tcMar>
            <w:vAlign w:val="bottom"/>
          </w:tcPr>
          <w:p w:rsidR="00000000" w:rsidRDefault="00000000">
            <w:pPr>
              <w:pStyle w:val="FootnoteText"/>
              <w:tabs>
                <w:tab w:val="clear" w:pos="567"/>
                <w:tab w:val="clear" w:pos="1134"/>
              </w:tabs>
              <w:ind w:left="-238" w:right="227"/>
              <w:jc w:val="right"/>
            </w:pPr>
            <w:r>
              <w:t>42,2</w:t>
            </w:r>
          </w:p>
        </w:tc>
      </w:tr>
      <w:tr w:rsidR="00000000">
        <w:tblPrEx>
          <w:tblCellMar>
            <w:top w:w="0" w:type="dxa"/>
            <w:bottom w:w="0" w:type="dxa"/>
          </w:tblCellMar>
        </w:tblPrEx>
        <w:tc>
          <w:tcPr>
            <w:tcW w:w="3604" w:type="dxa"/>
            <w:tcBorders>
              <w:top w:val="nil"/>
              <w:left w:val="single" w:sz="4" w:space="0" w:color="auto"/>
              <w:bottom w:val="single" w:sz="4" w:space="0" w:color="auto"/>
              <w:right w:val="single" w:sz="4" w:space="0" w:color="auto"/>
            </w:tcBorders>
          </w:tcPr>
          <w:p w:rsidR="00000000" w:rsidRDefault="00000000">
            <w:pPr>
              <w:pStyle w:val="FootnoteText"/>
            </w:pPr>
            <w:r>
              <w:t xml:space="preserve">Дети, обучающиеся в </w:t>
            </w:r>
          </w:p>
          <w:p w:rsidR="00000000" w:rsidRDefault="00000000">
            <w:pPr>
              <w:pStyle w:val="FootnoteText"/>
            </w:pPr>
            <w:r>
              <w:t xml:space="preserve">   специальных и </w:t>
            </w:r>
          </w:p>
          <w:p w:rsidR="00000000" w:rsidRDefault="00000000">
            <w:pPr>
              <w:pStyle w:val="FootnoteText"/>
            </w:pPr>
            <w:r>
              <w:t xml:space="preserve">   специализированных классах</w:t>
            </w:r>
          </w:p>
        </w:tc>
        <w:tc>
          <w:tcPr>
            <w:tcW w:w="1122" w:type="dxa"/>
            <w:tcBorders>
              <w:top w:val="nil"/>
              <w:left w:val="single" w:sz="4" w:space="0" w:color="auto"/>
              <w:bottom w:val="single" w:sz="4" w:space="0" w:color="auto"/>
              <w:right w:val="single" w:sz="4" w:space="0" w:color="auto"/>
            </w:tcBorders>
            <w:tcMar>
              <w:right w:w="147" w:type="dxa"/>
            </w:tcMar>
            <w:vAlign w:val="bottom"/>
          </w:tcPr>
          <w:p w:rsidR="00000000" w:rsidRDefault="00000000">
            <w:pPr>
              <w:pStyle w:val="FootnoteText"/>
              <w:tabs>
                <w:tab w:val="clear" w:pos="567"/>
                <w:tab w:val="clear" w:pos="1134"/>
              </w:tabs>
              <w:ind w:left="-238" w:right="227"/>
              <w:jc w:val="right"/>
            </w:pPr>
            <w:r>
              <w:t>9,7</w:t>
            </w:r>
          </w:p>
        </w:tc>
        <w:tc>
          <w:tcPr>
            <w:tcW w:w="1122" w:type="dxa"/>
            <w:tcBorders>
              <w:top w:val="nil"/>
              <w:left w:val="single" w:sz="4" w:space="0" w:color="auto"/>
              <w:bottom w:val="single" w:sz="4" w:space="0" w:color="auto"/>
              <w:right w:val="single" w:sz="4" w:space="0" w:color="auto"/>
            </w:tcBorders>
            <w:tcMar>
              <w:right w:w="147" w:type="dxa"/>
            </w:tcMar>
            <w:vAlign w:val="bottom"/>
          </w:tcPr>
          <w:p w:rsidR="00000000" w:rsidRDefault="00000000">
            <w:pPr>
              <w:pStyle w:val="FootnoteText"/>
              <w:tabs>
                <w:tab w:val="clear" w:pos="567"/>
                <w:tab w:val="clear" w:pos="1134"/>
              </w:tabs>
              <w:ind w:left="-238" w:right="227"/>
              <w:jc w:val="right"/>
            </w:pPr>
            <w:r>
              <w:t>11,1</w:t>
            </w:r>
          </w:p>
        </w:tc>
        <w:tc>
          <w:tcPr>
            <w:tcW w:w="1309" w:type="dxa"/>
            <w:tcBorders>
              <w:top w:val="nil"/>
              <w:left w:val="single" w:sz="4" w:space="0" w:color="auto"/>
              <w:bottom w:val="single" w:sz="4" w:space="0" w:color="auto"/>
              <w:right w:val="single" w:sz="4" w:space="0" w:color="auto"/>
            </w:tcBorders>
            <w:tcMar>
              <w:right w:w="147" w:type="dxa"/>
            </w:tcMar>
            <w:vAlign w:val="bottom"/>
          </w:tcPr>
          <w:p w:rsidR="00000000" w:rsidRDefault="00000000">
            <w:pPr>
              <w:pStyle w:val="FootnoteText"/>
              <w:tabs>
                <w:tab w:val="clear" w:pos="567"/>
                <w:tab w:val="clear" w:pos="1134"/>
              </w:tabs>
              <w:ind w:left="-238" w:right="227"/>
              <w:jc w:val="right"/>
            </w:pPr>
            <w:r>
              <w:t>10,9</w:t>
            </w:r>
          </w:p>
        </w:tc>
        <w:tc>
          <w:tcPr>
            <w:tcW w:w="1309" w:type="dxa"/>
            <w:tcBorders>
              <w:top w:val="nil"/>
              <w:left w:val="single" w:sz="4" w:space="0" w:color="auto"/>
              <w:bottom w:val="single" w:sz="4" w:space="0" w:color="auto"/>
              <w:right w:val="single" w:sz="4" w:space="0" w:color="auto"/>
            </w:tcBorders>
            <w:tcMar>
              <w:right w:w="147" w:type="dxa"/>
            </w:tcMar>
            <w:vAlign w:val="bottom"/>
          </w:tcPr>
          <w:p w:rsidR="00000000" w:rsidRDefault="00000000">
            <w:pPr>
              <w:pStyle w:val="FootnoteText"/>
              <w:tabs>
                <w:tab w:val="clear" w:pos="567"/>
                <w:tab w:val="clear" w:pos="1134"/>
              </w:tabs>
              <w:ind w:left="-238" w:right="227"/>
              <w:jc w:val="right"/>
            </w:pPr>
            <w:r>
              <w:t>12,4</w:t>
            </w:r>
          </w:p>
        </w:tc>
        <w:tc>
          <w:tcPr>
            <w:tcW w:w="991" w:type="dxa"/>
            <w:tcBorders>
              <w:top w:val="nil"/>
              <w:left w:val="single" w:sz="4" w:space="0" w:color="auto"/>
              <w:bottom w:val="single" w:sz="4" w:space="0" w:color="auto"/>
              <w:right w:val="single" w:sz="4" w:space="0" w:color="auto"/>
            </w:tcBorders>
            <w:tcMar>
              <w:right w:w="147" w:type="dxa"/>
            </w:tcMar>
            <w:vAlign w:val="bottom"/>
          </w:tcPr>
          <w:p w:rsidR="00000000" w:rsidRDefault="00000000">
            <w:pPr>
              <w:pStyle w:val="FootnoteText"/>
              <w:tabs>
                <w:tab w:val="clear" w:pos="567"/>
                <w:tab w:val="clear" w:pos="1134"/>
              </w:tabs>
              <w:ind w:left="-238" w:right="227"/>
              <w:jc w:val="right"/>
            </w:pPr>
            <w:r>
              <w:t>12,1</w:t>
            </w:r>
          </w:p>
        </w:tc>
      </w:tr>
    </w:tbl>
    <w:p w:rsidR="00000000" w:rsidRDefault="00000000">
      <w:pPr>
        <w:pStyle w:val="FootnoteText"/>
      </w:pPr>
    </w:p>
    <w:p w:rsidR="00000000" w:rsidRDefault="00000000">
      <w:pPr>
        <w:pStyle w:val="FootnoteText"/>
      </w:pPr>
      <w:r>
        <w:tab/>
      </w:r>
      <w:r>
        <w:rPr>
          <w:u w:val="single"/>
        </w:rPr>
        <w:t>Источник</w:t>
      </w:r>
      <w:r>
        <w:t>:  Институт информации в области образования.</w:t>
      </w:r>
    </w:p>
    <w:p w:rsidR="00000000" w:rsidRDefault="00000000">
      <w:pPr>
        <w:pStyle w:val="FootnoteText"/>
      </w:pPr>
    </w:p>
    <w:p w:rsidR="00000000" w:rsidRDefault="00000000">
      <w:pPr>
        <w:pStyle w:val="FootnoteText"/>
        <w:spacing w:line="288" w:lineRule="auto"/>
      </w:pPr>
      <w:r>
        <w:br w:type="page"/>
        <w:t>591.</w:t>
      </w:r>
      <w:r>
        <w:tab/>
        <w:t>1 сентября 1998 года министерство образования, по делам молодежи и спорта согласно статье 58 Закона об учебных заведениях приступило к рассчитанному на пятилетний учебный период экспериментальному тестированию особых организационных форм начального образования, а именно так называемого образования на дому.  В 1998/99 учебном году такой эксперимент проводился в двух начальных школах, а в 1999/2000 году - в трех школах.  В настоящее время таким вариантом образования пользуются примерно 120 учащихся.  В 1998 году министерство разработало условия для экспериментальной проверки знаний в целях аттестации таких учащихся.</w:t>
      </w:r>
    </w:p>
    <w:p w:rsidR="00000000" w:rsidRDefault="00000000">
      <w:pPr>
        <w:pStyle w:val="FootnoteText"/>
        <w:spacing w:line="288" w:lineRule="auto"/>
      </w:pPr>
    </w:p>
    <w:p w:rsidR="00000000" w:rsidRDefault="00000000">
      <w:pPr>
        <w:pStyle w:val="FootnoteText"/>
        <w:spacing w:line="288" w:lineRule="auto"/>
      </w:pPr>
      <w:r>
        <w:t>592.</w:t>
      </w:r>
      <w:r>
        <w:tab/>
        <w:t>В соответствии со статьями 5 и 7 Закона об учебных заведениях одним из компонентов учебных материалов являются принципы воспитания взаимопонимания, терпимости и дружбы между всеми народами, а также расовыми, этническими и религиозными группами.  Кроме того, воспитание в духе терпимости предусмотрено также Законом о радиовещании и телевидении</w:t>
      </w:r>
      <w:r>
        <w:rPr>
          <w:rStyle w:val="FootnoteReference"/>
        </w:rPr>
        <w:footnoteReference w:id="349"/>
      </w:r>
      <w:r>
        <w:t>, который в своей статье 5 возлагает на органы вещания обязанность не допускать в своих программах подстрекательства к войне или такого освещения жестокого и иного бесчеловечного поведения, которое способствует его популяризации, оправданию или одобрению.  Статьи 6-8 Закона регламентируют обязанности при трансляции рекламных и спонсорских программ:  рекламные выпуски должны быть легко различимы и четко отделены от других программ, и органы вещания обязаны следить за тем, чтобы сторона, заказывающая рекламу, не могла каким-либо образом влиять на содержание других программ или состав персонала, обслуживающего ту или иную программу.</w:t>
      </w:r>
    </w:p>
    <w:p w:rsidR="00000000" w:rsidRDefault="00000000">
      <w:pPr>
        <w:pStyle w:val="FootnoteText"/>
        <w:spacing w:line="288" w:lineRule="auto"/>
      </w:pPr>
    </w:p>
    <w:p w:rsidR="00000000" w:rsidRDefault="00000000">
      <w:r>
        <w:t>593.</w:t>
      </w:r>
      <w:r>
        <w:tab/>
        <w:t xml:space="preserve">Оценка роли образования в воспитании религиозной терпимости и взаимопонимания осуществляется соответствующим государственным административным органом, в данном случае - министерством образования, по делам молодежи и спорта.  Министерство культуры как орган с широкими полномочиями в церковных делах не занимается контролем в этой области на регулярной основе. </w:t>
      </w:r>
    </w:p>
    <w:p w:rsidR="00000000" w:rsidRDefault="00000000"/>
    <w:p w:rsidR="00000000" w:rsidRDefault="00000000">
      <w:r>
        <w:t>594.</w:t>
      </w:r>
      <w:r>
        <w:tab/>
        <w:t>Определенные проблемы возникли при публикации справочника по истории церкви</w:t>
      </w:r>
      <w:r>
        <w:rPr>
          <w:rStyle w:val="FootnoteReference"/>
        </w:rPr>
        <w:footnoteReference w:id="350"/>
      </w:r>
      <w:r>
        <w:t>, который был рекомендован министерством образования, по делам молодежи и спорта и вызвал негативную реакцию со стороны общественности, в частности еврейских общин и евангелистов.  Вследствие этой негативной реакции и переоценки содержания публикации министерство образования, по делам молодежи и спорта в марте 1995 года отозвало свою рекомендацию в отношении его публикации.</w:t>
      </w:r>
    </w:p>
    <w:p w:rsidR="00000000" w:rsidRDefault="00000000"/>
    <w:p w:rsidR="00000000" w:rsidRDefault="00000000">
      <w:r>
        <w:t>595.</w:t>
      </w:r>
      <w:r>
        <w:tab/>
        <w:t>В 1999 году исполнительный комитет Братской общины баптистов проинформировал министерство культуры о том, что члены этой признаваемой государством и на всемирном уровне церкви были неправильно охарактеризованы в учебнике начальной школы по обществоведению для девятого класса</w:t>
      </w:r>
      <w:r>
        <w:rPr>
          <w:rStyle w:val="FootnoteReference"/>
        </w:rPr>
        <w:footnoteReference w:id="351"/>
      </w:r>
      <w:r>
        <w:t>.  Содержание данного отрывка учебника противоречило статье 13 Пакта, в которой содержится требование о том, чтобы образование способствовало взаимопониманию.  Согласно заявлению министра образования, по делам молодежи и спорта, издатель в сотрудничестве с автором внесут изменения в неудобный текст, и перед следующим изданием учебника переработанный текст будет представлен для оценки Экуменическому совету церквей и, при необходимости, вновь изменен.</w:t>
      </w:r>
    </w:p>
    <w:p w:rsidR="00000000" w:rsidRDefault="00000000"/>
    <w:p w:rsidR="00000000" w:rsidRDefault="00000000">
      <w:r>
        <w:t>596.</w:t>
      </w:r>
      <w:r>
        <w:tab/>
        <w:t>Закон об учебных заведениях обязывает государственные начальные и средние школы разрешать религиозное образование.  Эти же нормы дают зарегистрированным в государственных органах церквам и религиозным обществам право создавать приходские начальные и средние школы, которые субсидируются государством</w:t>
      </w:r>
      <w:r>
        <w:rPr>
          <w:rStyle w:val="FootnoteReference"/>
        </w:rPr>
        <w:footnoteReference w:id="352"/>
      </w:r>
      <w:r>
        <w:t xml:space="preserve">.  В Чешской Республике не было отмечено никаких действительно серьезных систематических противоречий между нормами, касающимися обязательного образования, и церковными и религиозными предписаниями.  </w:t>
      </w:r>
    </w:p>
    <w:p w:rsidR="00000000" w:rsidRDefault="00000000"/>
    <w:p w:rsidR="00000000" w:rsidRDefault="00000000">
      <w:r>
        <w:t>597.</w:t>
      </w:r>
      <w:r>
        <w:tab/>
        <w:t>Правительство Чешской Республики уделяет повышенное внимание сосуществованию различных этнических групп в обществе.  Об этом свидетельствуют меры, принятые для совершенствования защиты прав человека в Чешской Республике</w:t>
      </w:r>
      <w:r>
        <w:rPr>
          <w:rStyle w:val="FootnoteReference"/>
        </w:rPr>
        <w:footnoteReference w:id="353"/>
      </w:r>
      <w:r>
        <w:t>, меры в отношении меньшинства рома</w:t>
      </w:r>
      <w:r>
        <w:rPr>
          <w:rStyle w:val="FootnoteReference"/>
        </w:rPr>
        <w:footnoteReference w:id="354"/>
      </w:r>
      <w:r>
        <w:t>, направления государственной политики в отношении представителей общины рома, содействующей их интеграции в общество</w:t>
      </w:r>
      <w:r>
        <w:rPr>
          <w:rStyle w:val="FootnoteReference"/>
        </w:rPr>
        <w:footnoteReference w:id="355"/>
      </w:r>
      <w:r>
        <w:t>, меры по борьбе с действиями, направленными на ущемление прав и свобод граждан</w:t>
      </w:r>
      <w:r>
        <w:rPr>
          <w:rStyle w:val="FootnoteReference"/>
        </w:rPr>
        <w:footnoteReference w:id="356"/>
      </w:r>
      <w:r>
        <w:t>, подготовка кампании по борьбе против расизма</w:t>
      </w:r>
      <w:r>
        <w:rPr>
          <w:rStyle w:val="FootnoteReference"/>
        </w:rPr>
        <w:footnoteReference w:id="357"/>
      </w:r>
      <w:r>
        <w:t xml:space="preserve"> и т.п.</w:t>
      </w:r>
    </w:p>
    <w:p w:rsidR="00000000" w:rsidRDefault="00000000"/>
    <w:p w:rsidR="00000000" w:rsidRDefault="00000000">
      <w:r>
        <w:t>598.</w:t>
      </w:r>
      <w:r>
        <w:tab/>
        <w:t>На циклической основе осуществляются специальные программы переподготовки преподавателей начальной и средней школы - так называемые летние курсы по вопросам терпимости, - в ходе которых преподаватели, среди прочего, знакомятся с историей меньшинств, проживающих в Чешской Республике.  В 1992 году министерство образования и Совет по делам системы послесреднего образования совместно учредили программу субсидий - Фонд развития системы послесреднего образования, из которого, в частности, финансируется подготовка преподавателей.  Эта программа включает также вопросы, связанные с образованием представителей меньшинств и защитой прав человека.</w:t>
      </w:r>
    </w:p>
    <w:p w:rsidR="00000000" w:rsidRDefault="00000000"/>
    <w:p w:rsidR="00000000" w:rsidRDefault="00000000">
      <w:r>
        <w:t>599.</w:t>
      </w:r>
      <w:r>
        <w:tab/>
        <w:t>После разделения Чехословацкой Федерации 1 января 1993 года правительство Чешской Республики разработало принципы политики в отношении меньшинств в политическом документе "Основы государственного подхода к вопросам меньшинств в Чешской Республике"</w:t>
      </w:r>
      <w:r>
        <w:rPr>
          <w:rStyle w:val="FootnoteReference"/>
        </w:rPr>
        <w:footnoteReference w:id="358"/>
      </w:r>
      <w:r>
        <w:t>.  В этом документе содержатся основные направления государственной политики в отношении меньшинств, включая принципы регулирования статуса меньшинств и защиты их прав.</w:t>
      </w:r>
    </w:p>
    <w:p w:rsidR="00000000" w:rsidRDefault="00000000"/>
    <w:p w:rsidR="00000000" w:rsidRDefault="00000000">
      <w:pPr>
        <w:pStyle w:val="BodyText"/>
        <w:spacing w:line="288" w:lineRule="auto"/>
      </w:pPr>
      <w:r>
        <w:t>Пункт 2 а)</w:t>
      </w:r>
    </w:p>
    <w:p w:rsidR="00000000" w:rsidRDefault="00000000"/>
    <w:p w:rsidR="00000000" w:rsidRDefault="00000000">
      <w:r>
        <w:t>600.</w:t>
      </w:r>
      <w:r>
        <w:tab/>
        <w:t xml:space="preserve">Согласно статье 34 Закона об учебных заведениях начальное образование является обязательным.  Для ребенка период обязательного образования начинается в начале учебного года после достижения им шестилетнего возраста и продолжается девять лет.  При наличии оправданных причин ребенок может приступать к обязательному образованию в более позднем возрасте (например, если он недостаточно развит в умственном или физическом отношении).  Согласно статье 36 Закона об учебных заведениях, юридический представитель ребенка, достигшего возраста обязательного школьного образования, обязан обеспечить его поступление в школу и следить за тем, чтобы он регулярно и своевременно посещал ее.  Он также обязан выразить свое мнение относительно зачисления ребенка в среднюю школу.  </w:t>
      </w:r>
    </w:p>
    <w:p w:rsidR="00000000" w:rsidRDefault="00000000"/>
    <w:p w:rsidR="00000000" w:rsidRDefault="00000000">
      <w:r>
        <w:t>601.</w:t>
      </w:r>
      <w:r>
        <w:tab/>
        <w:t>Что касается образования детей иностранцев, проживающих в ЧР, за исключением граждан СР, которые получают образование в соответствии с положениями Соглашения между правительством Чешской Республики и правительством Словацкой Республики о сотрудничестве в области образования от 29 октября 1992 года, то их образование регламентируется инструкцией министерства образования, по делам молодежи и спорта об образовании иностранцев в начальных и средних школах и высших профессиональных училищах, включая специальные школы</w:t>
      </w:r>
      <w:r>
        <w:rPr>
          <w:rStyle w:val="FootnoteReference"/>
        </w:rPr>
        <w:footnoteReference w:id="359"/>
      </w:r>
      <w:r>
        <w:t>.  Инструкция гласит, что на таких же условиях, как и граждане Чешской Республики, в начальной и средней школах получают образование следующие категории иностранцев:  иностранцы с постоянным или долгосрочным видом на жительство, иностранцы, временно обладающие статусом беженца, а также иностранцы, которые обратились с ходатайством о предоставлении им статуса беженца или получили его в Чешской Республике.</w:t>
      </w:r>
    </w:p>
    <w:p w:rsidR="00000000" w:rsidRDefault="00000000"/>
    <w:p w:rsidR="00000000" w:rsidRDefault="00000000">
      <w:r>
        <w:t>602.</w:t>
      </w:r>
      <w:r>
        <w:tab/>
        <w:t>Дети и несовершеннолетние, претендующие на статус беженца и не окончившие начальную школу, могут бесплатно учиться до получения ими обязательного  образования, включая образование в интернатах и воспитательных домах закрытого типа.  Во всех лагерях беженцев для детей дошкольного возраста созданы детские центры.  Эти центры оборудованы таким же образом, как и детские сады.  Дети могут заниматься активным досугом, развивать навыки, соответствующие их возрасту, а также свои языковые способности.  Перед поступлением в начальную школу дети, находящиеся в лагерях беженцев, проходят курс чешского языка продолжительностью от одной до трех недель.</w:t>
      </w:r>
    </w:p>
    <w:p w:rsidR="00000000" w:rsidRDefault="00000000"/>
    <w:p w:rsidR="00000000" w:rsidRDefault="00000000">
      <w:r>
        <w:t>603.</w:t>
      </w:r>
      <w:r>
        <w:tab/>
        <w:t>Несовершеннолетние лица во время процедур получения убежища не имеют доступа к среднему образованию.  Эти претенденты на статус беженца имеют возможность посещать курсы чешского языка в лагерях беженцев.</w:t>
      </w:r>
    </w:p>
    <w:p w:rsidR="00000000" w:rsidRDefault="00000000"/>
    <w:p w:rsidR="00000000" w:rsidRDefault="00000000">
      <w:r>
        <w:t>604.</w:t>
      </w:r>
      <w:r>
        <w:tab/>
        <w:t>Согласно пункту 6 статьи 3 Постановления министерства образования, по делам молодежи и спорта о начальных школах</w:t>
      </w:r>
      <w:r>
        <w:rPr>
          <w:rStyle w:val="FootnoteReference"/>
        </w:rPr>
        <w:footnoteReference w:id="360"/>
      </w:r>
      <w:r>
        <w:t>, директор школы помещает детей</w:t>
      </w:r>
      <w:r>
        <w:noBreakHyphen/>
        <w:t>иностранцев в соответствующий класс после определения уровня полученного ими ранее образования и знания языка, на котором ведется преподавание.</w:t>
      </w:r>
    </w:p>
    <w:p w:rsidR="00000000" w:rsidRDefault="00000000"/>
    <w:p w:rsidR="00000000" w:rsidRDefault="00000000">
      <w:pPr>
        <w:rPr>
          <w:b/>
          <w:bCs/>
        </w:rPr>
      </w:pPr>
      <w:r>
        <w:rPr>
          <w:b/>
          <w:bCs/>
        </w:rPr>
        <w:br w:type="page"/>
        <w:t xml:space="preserve">Пункт 2 </w:t>
      </w:r>
      <w:r>
        <w:rPr>
          <w:b/>
          <w:bCs/>
          <w:lang w:val="en-US"/>
        </w:rPr>
        <w:t>b</w:t>
      </w:r>
      <w:r>
        <w:rPr>
          <w:b/>
          <w:bCs/>
        </w:rPr>
        <w:t>)</w:t>
      </w:r>
    </w:p>
    <w:p w:rsidR="00000000" w:rsidRDefault="00000000">
      <w:pPr>
        <w:rPr>
          <w:u w:val="single"/>
        </w:rPr>
      </w:pPr>
    </w:p>
    <w:p w:rsidR="00000000" w:rsidRDefault="00000000">
      <w:r>
        <w:t>605.</w:t>
      </w:r>
      <w:r>
        <w:tab/>
        <w:t>Как предусматривает вышеупомянутая статья 33 Хартии и статья 4 Закона об учебных заведениях, среднее образование является бесплатным во всех видах учебных заведений, находящихся в ведении государства.  В частных и приходских средних школах образование можно получить за плату в соответствии с этими положениями.</w:t>
      </w:r>
    </w:p>
    <w:p w:rsidR="00000000" w:rsidRDefault="00000000"/>
    <w:p w:rsidR="00000000" w:rsidRDefault="00000000">
      <w:pPr>
        <w:rPr>
          <w:b/>
          <w:bCs/>
        </w:rPr>
      </w:pPr>
      <w:r>
        <w:rPr>
          <w:b/>
          <w:bCs/>
        </w:rPr>
        <w:t xml:space="preserve">Пункт 2 </w:t>
      </w:r>
      <w:r>
        <w:rPr>
          <w:b/>
          <w:bCs/>
          <w:lang w:val="en-US"/>
        </w:rPr>
        <w:t>c</w:t>
      </w:r>
      <w:r>
        <w:rPr>
          <w:b/>
          <w:bCs/>
        </w:rPr>
        <w:t>)</w:t>
      </w:r>
    </w:p>
    <w:p w:rsidR="00000000" w:rsidRDefault="00000000"/>
    <w:p w:rsidR="00000000" w:rsidRDefault="00000000">
      <w:r>
        <w:t>606.</w:t>
      </w:r>
      <w:r>
        <w:tab/>
        <w:t>Доступность высшего профессионального образования вытекает из статьи 27а) Закона об учебных заведениях.  Учащиеся высшей профессиональной школы частично участвуют в расходах на образование, внося определенную плату</w:t>
      </w:r>
      <w:r>
        <w:rPr>
          <w:rStyle w:val="FootnoteReference"/>
        </w:rPr>
        <w:footnoteReference w:id="361"/>
      </w:r>
      <w:r>
        <w:t>.</w:t>
      </w:r>
    </w:p>
    <w:p w:rsidR="00000000" w:rsidRDefault="00000000">
      <w:pPr>
        <w:spacing w:line="240" w:lineRule="auto"/>
      </w:pPr>
    </w:p>
    <w:p w:rsidR="00000000" w:rsidRDefault="00000000">
      <w:pPr>
        <w:spacing w:line="240" w:lineRule="auto"/>
        <w:jc w:val="center"/>
        <w:rPr>
          <w:b/>
          <w:bCs/>
        </w:rPr>
      </w:pPr>
      <w:r>
        <w:rPr>
          <w:b/>
          <w:bCs/>
        </w:rPr>
        <w:t>Число учеников и учащихся в разбивке по уровням образования (в тыс. человек)</w:t>
      </w:r>
    </w:p>
    <w:p w:rsidR="00000000" w:rsidRDefault="00000000">
      <w:pPr>
        <w:spacing w:line="240" w:lineRule="auto"/>
        <w:rPr>
          <w:b/>
          <w:bCs/>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20"/>
        <w:gridCol w:w="1010"/>
        <w:gridCol w:w="1011"/>
        <w:gridCol w:w="1011"/>
        <w:gridCol w:w="1011"/>
        <w:gridCol w:w="1011"/>
        <w:gridCol w:w="1011"/>
        <w:gridCol w:w="1011"/>
      </w:tblGrid>
      <w:tr w:rsidR="00000000">
        <w:tblPrEx>
          <w:tblCellMar>
            <w:top w:w="0" w:type="dxa"/>
            <w:bottom w:w="0" w:type="dxa"/>
          </w:tblCellMar>
        </w:tblPrEx>
        <w:tc>
          <w:tcPr>
            <w:tcW w:w="2420" w:type="dxa"/>
          </w:tcPr>
          <w:p w:rsidR="00000000" w:rsidRDefault="00000000">
            <w:pPr>
              <w:spacing w:line="240" w:lineRule="auto"/>
              <w:jc w:val="center"/>
            </w:pPr>
            <w:r>
              <w:t>Учебные заведения</w:t>
            </w:r>
          </w:p>
        </w:tc>
        <w:tc>
          <w:tcPr>
            <w:tcW w:w="1010" w:type="dxa"/>
          </w:tcPr>
          <w:p w:rsidR="00000000" w:rsidRDefault="00000000">
            <w:pPr>
              <w:spacing w:line="240" w:lineRule="auto"/>
              <w:jc w:val="center"/>
            </w:pPr>
            <w:r>
              <w:t>1990/91</w:t>
            </w:r>
          </w:p>
        </w:tc>
        <w:tc>
          <w:tcPr>
            <w:tcW w:w="1011" w:type="dxa"/>
          </w:tcPr>
          <w:p w:rsidR="00000000" w:rsidRDefault="00000000">
            <w:pPr>
              <w:spacing w:line="240" w:lineRule="auto"/>
              <w:jc w:val="center"/>
            </w:pPr>
            <w:r>
              <w:t>1993/94</w:t>
            </w:r>
          </w:p>
        </w:tc>
        <w:tc>
          <w:tcPr>
            <w:tcW w:w="1011" w:type="dxa"/>
          </w:tcPr>
          <w:p w:rsidR="00000000" w:rsidRDefault="00000000">
            <w:pPr>
              <w:spacing w:line="240" w:lineRule="auto"/>
              <w:jc w:val="center"/>
            </w:pPr>
            <w:r>
              <w:t>1994/95</w:t>
            </w:r>
          </w:p>
        </w:tc>
        <w:tc>
          <w:tcPr>
            <w:tcW w:w="1011" w:type="dxa"/>
          </w:tcPr>
          <w:p w:rsidR="00000000" w:rsidRDefault="00000000">
            <w:pPr>
              <w:spacing w:line="240" w:lineRule="auto"/>
              <w:jc w:val="center"/>
            </w:pPr>
            <w:r>
              <w:t>1995/96</w:t>
            </w:r>
          </w:p>
        </w:tc>
        <w:tc>
          <w:tcPr>
            <w:tcW w:w="1011" w:type="dxa"/>
          </w:tcPr>
          <w:p w:rsidR="00000000" w:rsidRDefault="00000000">
            <w:pPr>
              <w:spacing w:line="240" w:lineRule="auto"/>
              <w:jc w:val="center"/>
            </w:pPr>
            <w:r>
              <w:t>1996/97</w:t>
            </w:r>
          </w:p>
        </w:tc>
        <w:tc>
          <w:tcPr>
            <w:tcW w:w="1011" w:type="dxa"/>
          </w:tcPr>
          <w:p w:rsidR="00000000" w:rsidRDefault="00000000">
            <w:pPr>
              <w:spacing w:line="240" w:lineRule="auto"/>
              <w:jc w:val="center"/>
            </w:pPr>
            <w:r>
              <w:t>1997/98</w:t>
            </w:r>
          </w:p>
        </w:tc>
        <w:tc>
          <w:tcPr>
            <w:tcW w:w="1011" w:type="dxa"/>
          </w:tcPr>
          <w:p w:rsidR="00000000" w:rsidRDefault="00000000">
            <w:pPr>
              <w:spacing w:line="240" w:lineRule="auto"/>
              <w:jc w:val="center"/>
            </w:pPr>
            <w:r>
              <w:t>1998/99</w:t>
            </w:r>
          </w:p>
        </w:tc>
      </w:tr>
      <w:tr w:rsidR="00000000">
        <w:tblPrEx>
          <w:tblCellMar>
            <w:top w:w="0" w:type="dxa"/>
            <w:bottom w:w="0" w:type="dxa"/>
          </w:tblCellMar>
        </w:tblPrEx>
        <w:tc>
          <w:tcPr>
            <w:tcW w:w="2420" w:type="dxa"/>
            <w:tcBorders>
              <w:bottom w:val="nil"/>
            </w:tcBorders>
          </w:tcPr>
          <w:p w:rsidR="00000000" w:rsidRDefault="00000000">
            <w:pPr>
              <w:spacing w:line="240" w:lineRule="auto"/>
            </w:pPr>
            <w:r>
              <w:t>Детские сады</w:t>
            </w:r>
          </w:p>
        </w:tc>
        <w:tc>
          <w:tcPr>
            <w:tcW w:w="1010" w:type="dxa"/>
            <w:tcBorders>
              <w:bottom w:val="nil"/>
            </w:tcBorders>
          </w:tcPr>
          <w:p w:rsidR="00000000" w:rsidRDefault="00000000">
            <w:pPr>
              <w:tabs>
                <w:tab w:val="clear" w:pos="567"/>
              </w:tabs>
              <w:spacing w:line="240" w:lineRule="auto"/>
              <w:ind w:left="11" w:right="170"/>
              <w:jc w:val="right"/>
            </w:pPr>
            <w:r>
              <w:t>352</w:t>
            </w:r>
          </w:p>
        </w:tc>
        <w:tc>
          <w:tcPr>
            <w:tcW w:w="1011" w:type="dxa"/>
            <w:tcBorders>
              <w:bottom w:val="nil"/>
            </w:tcBorders>
          </w:tcPr>
          <w:p w:rsidR="00000000" w:rsidRDefault="00000000">
            <w:pPr>
              <w:tabs>
                <w:tab w:val="clear" w:pos="567"/>
              </w:tabs>
              <w:spacing w:line="240" w:lineRule="auto"/>
              <w:ind w:right="170"/>
              <w:jc w:val="right"/>
            </w:pPr>
            <w:r>
              <w:t>332</w:t>
            </w:r>
          </w:p>
        </w:tc>
        <w:tc>
          <w:tcPr>
            <w:tcW w:w="1011" w:type="dxa"/>
            <w:tcBorders>
              <w:bottom w:val="nil"/>
            </w:tcBorders>
          </w:tcPr>
          <w:p w:rsidR="00000000" w:rsidRDefault="00000000">
            <w:pPr>
              <w:tabs>
                <w:tab w:val="clear" w:pos="567"/>
              </w:tabs>
              <w:spacing w:line="240" w:lineRule="auto"/>
              <w:ind w:right="170"/>
              <w:jc w:val="right"/>
            </w:pPr>
            <w:r>
              <w:t>339</w:t>
            </w:r>
          </w:p>
        </w:tc>
        <w:tc>
          <w:tcPr>
            <w:tcW w:w="1011" w:type="dxa"/>
            <w:tcBorders>
              <w:bottom w:val="nil"/>
            </w:tcBorders>
          </w:tcPr>
          <w:p w:rsidR="00000000" w:rsidRDefault="00000000">
            <w:pPr>
              <w:tabs>
                <w:tab w:val="clear" w:pos="567"/>
              </w:tabs>
              <w:spacing w:line="240" w:lineRule="auto"/>
              <w:ind w:right="170"/>
              <w:jc w:val="right"/>
            </w:pPr>
            <w:r>
              <w:t>333</w:t>
            </w:r>
          </w:p>
        </w:tc>
        <w:tc>
          <w:tcPr>
            <w:tcW w:w="1011" w:type="dxa"/>
            <w:tcBorders>
              <w:bottom w:val="nil"/>
            </w:tcBorders>
          </w:tcPr>
          <w:p w:rsidR="00000000" w:rsidRDefault="00000000">
            <w:pPr>
              <w:tabs>
                <w:tab w:val="clear" w:pos="567"/>
              </w:tabs>
              <w:spacing w:line="240" w:lineRule="auto"/>
              <w:ind w:right="170"/>
              <w:jc w:val="right"/>
            </w:pPr>
            <w:r>
              <w:t>317</w:t>
            </w:r>
          </w:p>
        </w:tc>
        <w:tc>
          <w:tcPr>
            <w:tcW w:w="1011" w:type="dxa"/>
            <w:tcBorders>
              <w:bottom w:val="nil"/>
            </w:tcBorders>
          </w:tcPr>
          <w:p w:rsidR="00000000" w:rsidRDefault="00000000">
            <w:pPr>
              <w:tabs>
                <w:tab w:val="clear" w:pos="567"/>
              </w:tabs>
              <w:spacing w:line="240" w:lineRule="auto"/>
              <w:ind w:right="170"/>
              <w:jc w:val="right"/>
            </w:pPr>
            <w:r>
              <w:t>308</w:t>
            </w:r>
          </w:p>
        </w:tc>
        <w:tc>
          <w:tcPr>
            <w:tcW w:w="1011" w:type="dxa"/>
            <w:tcBorders>
              <w:bottom w:val="nil"/>
            </w:tcBorders>
          </w:tcPr>
          <w:p w:rsidR="00000000" w:rsidRDefault="00000000">
            <w:pPr>
              <w:tabs>
                <w:tab w:val="clear" w:pos="567"/>
              </w:tabs>
              <w:spacing w:line="240" w:lineRule="auto"/>
              <w:ind w:right="170"/>
              <w:jc w:val="right"/>
            </w:pPr>
            <w:r>
              <w:t>303</w:t>
            </w:r>
          </w:p>
        </w:tc>
      </w:tr>
      <w:tr w:rsidR="00000000">
        <w:tblPrEx>
          <w:tblCellMar>
            <w:top w:w="0" w:type="dxa"/>
            <w:bottom w:w="0" w:type="dxa"/>
          </w:tblCellMar>
        </w:tblPrEx>
        <w:tc>
          <w:tcPr>
            <w:tcW w:w="2420" w:type="dxa"/>
            <w:tcBorders>
              <w:top w:val="nil"/>
              <w:bottom w:val="nil"/>
            </w:tcBorders>
          </w:tcPr>
          <w:p w:rsidR="00000000" w:rsidRDefault="00000000">
            <w:pPr>
              <w:spacing w:line="240" w:lineRule="auto"/>
            </w:pPr>
            <w:r>
              <w:t>Начальные школы</w:t>
            </w:r>
          </w:p>
        </w:tc>
        <w:tc>
          <w:tcPr>
            <w:tcW w:w="1010" w:type="dxa"/>
            <w:tcBorders>
              <w:top w:val="nil"/>
              <w:bottom w:val="nil"/>
            </w:tcBorders>
          </w:tcPr>
          <w:p w:rsidR="00000000" w:rsidRDefault="00000000">
            <w:pPr>
              <w:tabs>
                <w:tab w:val="clear" w:pos="567"/>
              </w:tabs>
              <w:spacing w:line="240" w:lineRule="auto"/>
              <w:ind w:right="170"/>
              <w:jc w:val="right"/>
            </w:pPr>
            <w:r>
              <w:t>1 195</w:t>
            </w:r>
          </w:p>
        </w:tc>
        <w:tc>
          <w:tcPr>
            <w:tcW w:w="1011" w:type="dxa"/>
            <w:tcBorders>
              <w:top w:val="nil"/>
              <w:bottom w:val="nil"/>
            </w:tcBorders>
          </w:tcPr>
          <w:p w:rsidR="00000000" w:rsidRDefault="00000000">
            <w:pPr>
              <w:tabs>
                <w:tab w:val="clear" w:pos="567"/>
              </w:tabs>
              <w:spacing w:line="240" w:lineRule="auto"/>
              <w:ind w:right="170"/>
              <w:jc w:val="right"/>
            </w:pPr>
            <w:r>
              <w:t>1 061</w:t>
            </w:r>
          </w:p>
        </w:tc>
        <w:tc>
          <w:tcPr>
            <w:tcW w:w="1011" w:type="dxa"/>
            <w:tcBorders>
              <w:top w:val="nil"/>
              <w:bottom w:val="nil"/>
            </w:tcBorders>
          </w:tcPr>
          <w:p w:rsidR="00000000" w:rsidRDefault="00000000">
            <w:pPr>
              <w:tabs>
                <w:tab w:val="clear" w:pos="567"/>
              </w:tabs>
              <w:spacing w:line="240" w:lineRule="auto"/>
              <w:ind w:right="170"/>
              <w:jc w:val="right"/>
            </w:pPr>
            <w:r>
              <w:t>1 028</w:t>
            </w:r>
          </w:p>
        </w:tc>
        <w:tc>
          <w:tcPr>
            <w:tcW w:w="1011" w:type="dxa"/>
            <w:tcBorders>
              <w:top w:val="nil"/>
              <w:bottom w:val="nil"/>
            </w:tcBorders>
          </w:tcPr>
          <w:p w:rsidR="00000000" w:rsidRDefault="00000000">
            <w:pPr>
              <w:tabs>
                <w:tab w:val="clear" w:pos="567"/>
              </w:tabs>
              <w:spacing w:line="240" w:lineRule="auto"/>
              <w:ind w:right="170"/>
              <w:jc w:val="right"/>
            </w:pPr>
            <w:r>
              <w:t>1 005</w:t>
            </w:r>
          </w:p>
        </w:tc>
        <w:tc>
          <w:tcPr>
            <w:tcW w:w="1011" w:type="dxa"/>
            <w:tcBorders>
              <w:top w:val="nil"/>
              <w:bottom w:val="nil"/>
            </w:tcBorders>
          </w:tcPr>
          <w:p w:rsidR="00000000" w:rsidRDefault="00000000">
            <w:pPr>
              <w:tabs>
                <w:tab w:val="clear" w:pos="567"/>
              </w:tabs>
              <w:spacing w:line="240" w:lineRule="auto"/>
              <w:ind w:right="170"/>
              <w:jc w:val="right"/>
            </w:pPr>
            <w:r>
              <w:t>1 100</w:t>
            </w:r>
          </w:p>
        </w:tc>
        <w:tc>
          <w:tcPr>
            <w:tcW w:w="1011" w:type="dxa"/>
            <w:tcBorders>
              <w:top w:val="nil"/>
              <w:bottom w:val="nil"/>
            </w:tcBorders>
          </w:tcPr>
          <w:p w:rsidR="00000000" w:rsidRDefault="00000000">
            <w:pPr>
              <w:tabs>
                <w:tab w:val="clear" w:pos="567"/>
              </w:tabs>
              <w:spacing w:line="240" w:lineRule="auto"/>
              <w:ind w:right="170"/>
              <w:jc w:val="right"/>
            </w:pPr>
            <w:r>
              <w:t>1 092</w:t>
            </w:r>
          </w:p>
        </w:tc>
        <w:tc>
          <w:tcPr>
            <w:tcW w:w="1011" w:type="dxa"/>
            <w:tcBorders>
              <w:top w:val="nil"/>
              <w:bottom w:val="nil"/>
            </w:tcBorders>
          </w:tcPr>
          <w:p w:rsidR="00000000" w:rsidRDefault="00000000">
            <w:pPr>
              <w:tabs>
                <w:tab w:val="clear" w:pos="567"/>
              </w:tabs>
              <w:spacing w:line="240" w:lineRule="auto"/>
              <w:ind w:right="170"/>
              <w:jc w:val="right"/>
            </w:pPr>
            <w:r>
              <w:t>1 082</w:t>
            </w:r>
          </w:p>
        </w:tc>
      </w:tr>
      <w:tr w:rsidR="00000000">
        <w:tblPrEx>
          <w:tblCellMar>
            <w:top w:w="0" w:type="dxa"/>
            <w:bottom w:w="0" w:type="dxa"/>
          </w:tblCellMar>
        </w:tblPrEx>
        <w:tc>
          <w:tcPr>
            <w:tcW w:w="2420" w:type="dxa"/>
            <w:tcBorders>
              <w:top w:val="nil"/>
              <w:bottom w:val="nil"/>
            </w:tcBorders>
          </w:tcPr>
          <w:p w:rsidR="00000000" w:rsidRDefault="00000000">
            <w:pPr>
              <w:tabs>
                <w:tab w:val="left" w:pos="227"/>
              </w:tabs>
              <w:spacing w:line="240" w:lineRule="auto"/>
              <w:ind w:left="227" w:hanging="227"/>
              <w:rPr>
                <w:sz w:val="16"/>
              </w:rPr>
            </w:pPr>
            <w:r>
              <w:t>Классические гимназии</w:t>
            </w:r>
          </w:p>
        </w:tc>
        <w:tc>
          <w:tcPr>
            <w:tcW w:w="1010" w:type="dxa"/>
            <w:tcBorders>
              <w:top w:val="nil"/>
              <w:bottom w:val="nil"/>
            </w:tcBorders>
          </w:tcPr>
          <w:p w:rsidR="00000000" w:rsidRDefault="00000000">
            <w:pPr>
              <w:tabs>
                <w:tab w:val="clear" w:pos="567"/>
              </w:tabs>
              <w:spacing w:line="240" w:lineRule="auto"/>
              <w:ind w:right="170"/>
              <w:jc w:val="right"/>
            </w:pPr>
            <w:r>
              <w:t>111</w:t>
            </w:r>
          </w:p>
        </w:tc>
        <w:tc>
          <w:tcPr>
            <w:tcW w:w="1011" w:type="dxa"/>
            <w:tcBorders>
              <w:top w:val="nil"/>
              <w:bottom w:val="nil"/>
            </w:tcBorders>
          </w:tcPr>
          <w:p w:rsidR="00000000" w:rsidRDefault="00000000">
            <w:pPr>
              <w:tabs>
                <w:tab w:val="clear" w:pos="567"/>
              </w:tabs>
              <w:spacing w:line="240" w:lineRule="auto"/>
              <w:ind w:right="170"/>
              <w:jc w:val="right"/>
            </w:pPr>
            <w:r>
              <w:t>122</w:t>
            </w:r>
          </w:p>
        </w:tc>
        <w:tc>
          <w:tcPr>
            <w:tcW w:w="1011" w:type="dxa"/>
            <w:tcBorders>
              <w:top w:val="nil"/>
              <w:bottom w:val="nil"/>
            </w:tcBorders>
          </w:tcPr>
          <w:p w:rsidR="00000000" w:rsidRDefault="00000000">
            <w:pPr>
              <w:tabs>
                <w:tab w:val="clear" w:pos="567"/>
              </w:tabs>
              <w:spacing w:line="240" w:lineRule="auto"/>
              <w:ind w:right="170"/>
              <w:jc w:val="right"/>
            </w:pPr>
            <w:r>
              <w:t>128</w:t>
            </w:r>
          </w:p>
        </w:tc>
        <w:tc>
          <w:tcPr>
            <w:tcW w:w="1011" w:type="dxa"/>
            <w:tcBorders>
              <w:top w:val="nil"/>
              <w:bottom w:val="nil"/>
            </w:tcBorders>
          </w:tcPr>
          <w:p w:rsidR="00000000" w:rsidRDefault="00000000">
            <w:pPr>
              <w:tabs>
                <w:tab w:val="clear" w:pos="567"/>
              </w:tabs>
              <w:spacing w:line="240" w:lineRule="auto"/>
              <w:ind w:right="170"/>
              <w:jc w:val="right"/>
            </w:pPr>
            <w:r>
              <w:t>133</w:t>
            </w:r>
          </w:p>
        </w:tc>
        <w:tc>
          <w:tcPr>
            <w:tcW w:w="1011" w:type="dxa"/>
            <w:tcBorders>
              <w:top w:val="nil"/>
              <w:bottom w:val="nil"/>
            </w:tcBorders>
          </w:tcPr>
          <w:p w:rsidR="00000000" w:rsidRDefault="00000000">
            <w:pPr>
              <w:tabs>
                <w:tab w:val="clear" w:pos="567"/>
              </w:tabs>
              <w:spacing w:line="240" w:lineRule="auto"/>
              <w:ind w:right="170"/>
              <w:jc w:val="right"/>
            </w:pPr>
            <w:r>
              <w:t>126</w:t>
            </w:r>
          </w:p>
        </w:tc>
        <w:tc>
          <w:tcPr>
            <w:tcW w:w="1011" w:type="dxa"/>
            <w:tcBorders>
              <w:top w:val="nil"/>
              <w:bottom w:val="nil"/>
            </w:tcBorders>
          </w:tcPr>
          <w:p w:rsidR="00000000" w:rsidRDefault="00000000">
            <w:pPr>
              <w:tabs>
                <w:tab w:val="clear" w:pos="567"/>
              </w:tabs>
              <w:spacing w:line="240" w:lineRule="auto"/>
              <w:ind w:right="170"/>
              <w:jc w:val="right"/>
            </w:pPr>
            <w:r>
              <w:t>127</w:t>
            </w:r>
          </w:p>
        </w:tc>
        <w:tc>
          <w:tcPr>
            <w:tcW w:w="1011" w:type="dxa"/>
            <w:tcBorders>
              <w:top w:val="nil"/>
              <w:bottom w:val="nil"/>
            </w:tcBorders>
          </w:tcPr>
          <w:p w:rsidR="00000000" w:rsidRDefault="00000000">
            <w:pPr>
              <w:tabs>
                <w:tab w:val="clear" w:pos="567"/>
              </w:tabs>
              <w:spacing w:line="240" w:lineRule="auto"/>
              <w:ind w:right="170"/>
              <w:jc w:val="right"/>
            </w:pPr>
            <w:r>
              <w:t>126</w:t>
            </w:r>
          </w:p>
        </w:tc>
      </w:tr>
      <w:tr w:rsidR="00000000">
        <w:tblPrEx>
          <w:tblCellMar>
            <w:top w:w="0" w:type="dxa"/>
            <w:bottom w:w="0" w:type="dxa"/>
          </w:tblCellMar>
        </w:tblPrEx>
        <w:tc>
          <w:tcPr>
            <w:tcW w:w="2420" w:type="dxa"/>
            <w:tcBorders>
              <w:top w:val="nil"/>
              <w:bottom w:val="nil"/>
            </w:tcBorders>
          </w:tcPr>
          <w:p w:rsidR="00000000" w:rsidRDefault="00000000">
            <w:pPr>
              <w:tabs>
                <w:tab w:val="left" w:pos="227"/>
              </w:tabs>
              <w:spacing w:line="240" w:lineRule="auto"/>
              <w:ind w:left="227" w:hanging="227"/>
            </w:pPr>
            <w:r>
              <w:tab/>
              <w:t>в том числе лица женского пола</w:t>
            </w:r>
          </w:p>
        </w:tc>
        <w:tc>
          <w:tcPr>
            <w:tcW w:w="1010" w:type="dxa"/>
            <w:tcBorders>
              <w:top w:val="nil"/>
              <w:bottom w:val="nil"/>
            </w:tcBorders>
          </w:tcPr>
          <w:p w:rsidR="00000000" w:rsidRDefault="00000000">
            <w:pPr>
              <w:tabs>
                <w:tab w:val="clear" w:pos="567"/>
              </w:tabs>
              <w:spacing w:line="240" w:lineRule="auto"/>
              <w:ind w:right="170"/>
              <w:jc w:val="right"/>
            </w:pPr>
            <w:r>
              <w:t xml:space="preserve"> 67</w:t>
            </w:r>
          </w:p>
        </w:tc>
        <w:tc>
          <w:tcPr>
            <w:tcW w:w="1011" w:type="dxa"/>
            <w:tcBorders>
              <w:top w:val="nil"/>
              <w:bottom w:val="nil"/>
            </w:tcBorders>
          </w:tcPr>
          <w:p w:rsidR="00000000" w:rsidRDefault="00000000">
            <w:pPr>
              <w:pStyle w:val="FootnoteText"/>
              <w:tabs>
                <w:tab w:val="clear" w:pos="567"/>
              </w:tabs>
              <w:ind w:right="170"/>
              <w:jc w:val="right"/>
            </w:pPr>
            <w:r>
              <w:t>73</w:t>
            </w:r>
          </w:p>
        </w:tc>
        <w:tc>
          <w:tcPr>
            <w:tcW w:w="1011" w:type="dxa"/>
            <w:tcBorders>
              <w:top w:val="nil"/>
              <w:bottom w:val="nil"/>
            </w:tcBorders>
          </w:tcPr>
          <w:p w:rsidR="00000000" w:rsidRDefault="00000000">
            <w:pPr>
              <w:tabs>
                <w:tab w:val="clear" w:pos="567"/>
              </w:tabs>
              <w:spacing w:line="240" w:lineRule="auto"/>
              <w:ind w:right="170"/>
              <w:jc w:val="right"/>
            </w:pPr>
            <w:r>
              <w:t>76</w:t>
            </w:r>
          </w:p>
        </w:tc>
        <w:tc>
          <w:tcPr>
            <w:tcW w:w="1011" w:type="dxa"/>
            <w:tcBorders>
              <w:top w:val="nil"/>
              <w:bottom w:val="nil"/>
            </w:tcBorders>
          </w:tcPr>
          <w:p w:rsidR="00000000" w:rsidRDefault="00000000">
            <w:pPr>
              <w:tabs>
                <w:tab w:val="clear" w:pos="567"/>
              </w:tabs>
              <w:spacing w:line="240" w:lineRule="auto"/>
              <w:ind w:right="170"/>
              <w:jc w:val="right"/>
            </w:pPr>
            <w:r>
              <w:t>79</w:t>
            </w:r>
          </w:p>
        </w:tc>
        <w:tc>
          <w:tcPr>
            <w:tcW w:w="1011" w:type="dxa"/>
            <w:tcBorders>
              <w:top w:val="nil"/>
              <w:bottom w:val="nil"/>
            </w:tcBorders>
          </w:tcPr>
          <w:p w:rsidR="00000000" w:rsidRDefault="00000000">
            <w:pPr>
              <w:tabs>
                <w:tab w:val="clear" w:pos="567"/>
              </w:tabs>
              <w:spacing w:line="240" w:lineRule="auto"/>
              <w:ind w:right="170"/>
              <w:jc w:val="right"/>
            </w:pPr>
            <w:r>
              <w:t>74</w:t>
            </w:r>
          </w:p>
        </w:tc>
        <w:tc>
          <w:tcPr>
            <w:tcW w:w="1011" w:type="dxa"/>
            <w:tcBorders>
              <w:top w:val="nil"/>
              <w:bottom w:val="nil"/>
            </w:tcBorders>
          </w:tcPr>
          <w:p w:rsidR="00000000" w:rsidRDefault="00000000">
            <w:pPr>
              <w:tabs>
                <w:tab w:val="clear" w:pos="567"/>
              </w:tabs>
              <w:spacing w:line="240" w:lineRule="auto"/>
              <w:ind w:right="170"/>
              <w:jc w:val="right"/>
            </w:pPr>
            <w:r>
              <w:t>73</w:t>
            </w:r>
          </w:p>
        </w:tc>
        <w:tc>
          <w:tcPr>
            <w:tcW w:w="1011" w:type="dxa"/>
            <w:tcBorders>
              <w:top w:val="nil"/>
              <w:bottom w:val="nil"/>
            </w:tcBorders>
          </w:tcPr>
          <w:p w:rsidR="00000000" w:rsidRDefault="00000000">
            <w:pPr>
              <w:tabs>
                <w:tab w:val="clear" w:pos="567"/>
              </w:tabs>
              <w:spacing w:line="240" w:lineRule="auto"/>
              <w:ind w:right="170"/>
              <w:jc w:val="right"/>
            </w:pPr>
            <w:r>
              <w:t>74</w:t>
            </w:r>
          </w:p>
        </w:tc>
      </w:tr>
      <w:tr w:rsidR="00000000">
        <w:tblPrEx>
          <w:tblCellMar>
            <w:top w:w="0" w:type="dxa"/>
            <w:bottom w:w="0" w:type="dxa"/>
          </w:tblCellMar>
        </w:tblPrEx>
        <w:tc>
          <w:tcPr>
            <w:tcW w:w="2420" w:type="dxa"/>
            <w:tcBorders>
              <w:top w:val="nil"/>
              <w:bottom w:val="nil"/>
            </w:tcBorders>
          </w:tcPr>
          <w:p w:rsidR="00000000" w:rsidRDefault="00000000">
            <w:pPr>
              <w:tabs>
                <w:tab w:val="left" w:pos="227"/>
              </w:tabs>
              <w:spacing w:line="240" w:lineRule="auto"/>
              <w:ind w:left="227" w:hanging="227"/>
              <w:rPr>
                <w:sz w:val="16"/>
              </w:rPr>
            </w:pPr>
            <w:r>
              <w:t>Средние технические учебные заведения</w:t>
            </w:r>
          </w:p>
        </w:tc>
        <w:tc>
          <w:tcPr>
            <w:tcW w:w="1010" w:type="dxa"/>
            <w:tcBorders>
              <w:top w:val="nil"/>
              <w:bottom w:val="nil"/>
            </w:tcBorders>
          </w:tcPr>
          <w:p w:rsidR="00000000" w:rsidRDefault="00000000">
            <w:pPr>
              <w:tabs>
                <w:tab w:val="clear" w:pos="567"/>
              </w:tabs>
              <w:spacing w:line="240" w:lineRule="auto"/>
              <w:ind w:right="170"/>
              <w:jc w:val="right"/>
            </w:pPr>
            <w:r>
              <w:t>191</w:t>
            </w:r>
          </w:p>
        </w:tc>
        <w:tc>
          <w:tcPr>
            <w:tcW w:w="1011" w:type="dxa"/>
            <w:tcBorders>
              <w:top w:val="nil"/>
              <w:bottom w:val="nil"/>
            </w:tcBorders>
          </w:tcPr>
          <w:p w:rsidR="00000000" w:rsidRDefault="00000000">
            <w:pPr>
              <w:tabs>
                <w:tab w:val="clear" w:pos="567"/>
              </w:tabs>
              <w:spacing w:line="240" w:lineRule="auto"/>
              <w:ind w:right="170"/>
              <w:jc w:val="right"/>
            </w:pPr>
            <w:r>
              <w:t>219</w:t>
            </w:r>
          </w:p>
        </w:tc>
        <w:tc>
          <w:tcPr>
            <w:tcW w:w="1011" w:type="dxa"/>
            <w:tcBorders>
              <w:top w:val="nil"/>
              <w:bottom w:val="nil"/>
            </w:tcBorders>
          </w:tcPr>
          <w:p w:rsidR="00000000" w:rsidRDefault="00000000">
            <w:pPr>
              <w:tabs>
                <w:tab w:val="clear" w:pos="567"/>
              </w:tabs>
              <w:spacing w:line="240" w:lineRule="auto"/>
              <w:ind w:right="170"/>
              <w:jc w:val="right"/>
            </w:pPr>
            <w:r>
              <w:t>247</w:t>
            </w:r>
          </w:p>
        </w:tc>
        <w:tc>
          <w:tcPr>
            <w:tcW w:w="1011" w:type="dxa"/>
            <w:tcBorders>
              <w:top w:val="nil"/>
              <w:bottom w:val="nil"/>
            </w:tcBorders>
          </w:tcPr>
          <w:p w:rsidR="00000000" w:rsidRDefault="00000000">
            <w:pPr>
              <w:tabs>
                <w:tab w:val="clear" w:pos="567"/>
              </w:tabs>
              <w:spacing w:line="240" w:lineRule="auto"/>
              <w:ind w:right="170"/>
              <w:jc w:val="right"/>
            </w:pPr>
            <w:r>
              <w:t>259</w:t>
            </w:r>
          </w:p>
        </w:tc>
        <w:tc>
          <w:tcPr>
            <w:tcW w:w="1011" w:type="dxa"/>
            <w:tcBorders>
              <w:top w:val="nil"/>
              <w:bottom w:val="nil"/>
            </w:tcBorders>
          </w:tcPr>
          <w:p w:rsidR="00000000" w:rsidRDefault="00000000">
            <w:pPr>
              <w:tabs>
                <w:tab w:val="clear" w:pos="567"/>
              </w:tabs>
              <w:spacing w:line="240" w:lineRule="auto"/>
              <w:ind w:right="170"/>
              <w:jc w:val="right"/>
            </w:pPr>
            <w:r>
              <w:t>205</w:t>
            </w:r>
          </w:p>
        </w:tc>
        <w:tc>
          <w:tcPr>
            <w:tcW w:w="1011" w:type="dxa"/>
            <w:tcBorders>
              <w:top w:val="nil"/>
              <w:bottom w:val="nil"/>
            </w:tcBorders>
          </w:tcPr>
          <w:p w:rsidR="00000000" w:rsidRDefault="00000000">
            <w:pPr>
              <w:tabs>
                <w:tab w:val="clear" w:pos="567"/>
              </w:tabs>
              <w:spacing w:line="240" w:lineRule="auto"/>
              <w:ind w:right="170"/>
              <w:jc w:val="right"/>
            </w:pPr>
            <w:r>
              <w:t>200</w:t>
            </w:r>
          </w:p>
        </w:tc>
        <w:tc>
          <w:tcPr>
            <w:tcW w:w="1011" w:type="dxa"/>
            <w:tcBorders>
              <w:top w:val="nil"/>
              <w:bottom w:val="nil"/>
            </w:tcBorders>
          </w:tcPr>
          <w:p w:rsidR="00000000" w:rsidRDefault="00000000">
            <w:pPr>
              <w:tabs>
                <w:tab w:val="clear" w:pos="567"/>
              </w:tabs>
              <w:spacing w:line="240" w:lineRule="auto"/>
              <w:ind w:right="170"/>
              <w:jc w:val="right"/>
            </w:pPr>
            <w:r>
              <w:t>192</w:t>
            </w:r>
          </w:p>
        </w:tc>
      </w:tr>
      <w:tr w:rsidR="00000000">
        <w:tblPrEx>
          <w:tblCellMar>
            <w:top w:w="0" w:type="dxa"/>
            <w:bottom w:w="0" w:type="dxa"/>
          </w:tblCellMar>
        </w:tblPrEx>
        <w:tc>
          <w:tcPr>
            <w:tcW w:w="2420" w:type="dxa"/>
            <w:tcBorders>
              <w:top w:val="nil"/>
              <w:bottom w:val="nil"/>
            </w:tcBorders>
          </w:tcPr>
          <w:p w:rsidR="00000000" w:rsidRDefault="00000000">
            <w:pPr>
              <w:tabs>
                <w:tab w:val="left" w:pos="227"/>
              </w:tabs>
              <w:spacing w:line="240" w:lineRule="auto"/>
              <w:ind w:left="227" w:hanging="227"/>
            </w:pPr>
            <w:r>
              <w:tab/>
              <w:t>в том числе лица женского пола</w:t>
            </w:r>
          </w:p>
        </w:tc>
        <w:tc>
          <w:tcPr>
            <w:tcW w:w="1010" w:type="dxa"/>
            <w:tcBorders>
              <w:top w:val="nil"/>
              <w:bottom w:val="nil"/>
            </w:tcBorders>
          </w:tcPr>
          <w:p w:rsidR="00000000" w:rsidRDefault="00000000">
            <w:pPr>
              <w:tabs>
                <w:tab w:val="clear" w:pos="567"/>
              </w:tabs>
              <w:spacing w:line="240" w:lineRule="auto"/>
              <w:ind w:right="170"/>
              <w:jc w:val="right"/>
            </w:pPr>
            <w:r>
              <w:t>121</w:t>
            </w:r>
          </w:p>
        </w:tc>
        <w:tc>
          <w:tcPr>
            <w:tcW w:w="1011" w:type="dxa"/>
            <w:tcBorders>
              <w:top w:val="nil"/>
              <w:bottom w:val="nil"/>
            </w:tcBorders>
          </w:tcPr>
          <w:p w:rsidR="00000000" w:rsidRDefault="00000000">
            <w:pPr>
              <w:tabs>
                <w:tab w:val="clear" w:pos="567"/>
              </w:tabs>
              <w:spacing w:line="240" w:lineRule="auto"/>
              <w:ind w:right="170"/>
              <w:jc w:val="right"/>
            </w:pPr>
            <w:r>
              <w:t>138</w:t>
            </w:r>
          </w:p>
        </w:tc>
        <w:tc>
          <w:tcPr>
            <w:tcW w:w="1011" w:type="dxa"/>
            <w:tcBorders>
              <w:top w:val="nil"/>
              <w:bottom w:val="nil"/>
            </w:tcBorders>
          </w:tcPr>
          <w:p w:rsidR="00000000" w:rsidRDefault="00000000">
            <w:pPr>
              <w:tabs>
                <w:tab w:val="clear" w:pos="567"/>
              </w:tabs>
              <w:spacing w:line="240" w:lineRule="auto"/>
              <w:ind w:right="170"/>
              <w:jc w:val="right"/>
            </w:pPr>
            <w:r>
              <w:t>154</w:t>
            </w:r>
          </w:p>
        </w:tc>
        <w:tc>
          <w:tcPr>
            <w:tcW w:w="1011" w:type="dxa"/>
            <w:tcBorders>
              <w:top w:val="nil"/>
              <w:bottom w:val="nil"/>
            </w:tcBorders>
          </w:tcPr>
          <w:p w:rsidR="00000000" w:rsidRDefault="00000000">
            <w:pPr>
              <w:tabs>
                <w:tab w:val="clear" w:pos="567"/>
              </w:tabs>
              <w:spacing w:line="240" w:lineRule="auto"/>
              <w:ind w:right="170"/>
              <w:jc w:val="right"/>
            </w:pPr>
            <w:r>
              <w:t>161</w:t>
            </w:r>
          </w:p>
        </w:tc>
        <w:tc>
          <w:tcPr>
            <w:tcW w:w="1011" w:type="dxa"/>
            <w:tcBorders>
              <w:top w:val="nil"/>
              <w:bottom w:val="nil"/>
            </w:tcBorders>
          </w:tcPr>
          <w:p w:rsidR="00000000" w:rsidRDefault="00000000">
            <w:pPr>
              <w:tabs>
                <w:tab w:val="clear" w:pos="567"/>
              </w:tabs>
              <w:spacing w:line="240" w:lineRule="auto"/>
              <w:ind w:right="170"/>
              <w:jc w:val="right"/>
            </w:pPr>
            <w:r>
              <w:t>126</w:t>
            </w:r>
          </w:p>
        </w:tc>
        <w:tc>
          <w:tcPr>
            <w:tcW w:w="1011" w:type="dxa"/>
            <w:tcBorders>
              <w:top w:val="nil"/>
              <w:bottom w:val="nil"/>
            </w:tcBorders>
          </w:tcPr>
          <w:p w:rsidR="00000000" w:rsidRDefault="00000000">
            <w:pPr>
              <w:tabs>
                <w:tab w:val="clear" w:pos="567"/>
              </w:tabs>
              <w:spacing w:line="240" w:lineRule="auto"/>
              <w:ind w:right="170"/>
              <w:jc w:val="right"/>
            </w:pPr>
            <w:r>
              <w:t>118</w:t>
            </w:r>
          </w:p>
        </w:tc>
        <w:tc>
          <w:tcPr>
            <w:tcW w:w="1011" w:type="dxa"/>
            <w:tcBorders>
              <w:top w:val="nil"/>
              <w:bottom w:val="nil"/>
            </w:tcBorders>
          </w:tcPr>
          <w:p w:rsidR="00000000" w:rsidRDefault="00000000">
            <w:pPr>
              <w:tabs>
                <w:tab w:val="clear" w:pos="567"/>
              </w:tabs>
              <w:spacing w:line="240" w:lineRule="auto"/>
              <w:ind w:right="170"/>
              <w:jc w:val="right"/>
            </w:pPr>
            <w:r>
              <w:t>111</w:t>
            </w:r>
          </w:p>
        </w:tc>
      </w:tr>
      <w:tr w:rsidR="00000000">
        <w:tblPrEx>
          <w:tblCellMar>
            <w:top w:w="0" w:type="dxa"/>
            <w:bottom w:w="0" w:type="dxa"/>
          </w:tblCellMar>
        </w:tblPrEx>
        <w:tc>
          <w:tcPr>
            <w:tcW w:w="2420" w:type="dxa"/>
            <w:tcBorders>
              <w:top w:val="nil"/>
              <w:bottom w:val="nil"/>
            </w:tcBorders>
          </w:tcPr>
          <w:p w:rsidR="00000000" w:rsidRDefault="00000000">
            <w:pPr>
              <w:tabs>
                <w:tab w:val="left" w:pos="227"/>
              </w:tabs>
              <w:spacing w:line="240" w:lineRule="auto"/>
              <w:ind w:left="227" w:hanging="227"/>
              <w:rPr>
                <w:sz w:val="16"/>
              </w:rPr>
            </w:pPr>
            <w:r>
              <w:t>Послесредние профессиональные училища</w:t>
            </w:r>
          </w:p>
        </w:tc>
        <w:tc>
          <w:tcPr>
            <w:tcW w:w="1010" w:type="dxa"/>
            <w:tcBorders>
              <w:top w:val="nil"/>
              <w:bottom w:val="nil"/>
            </w:tcBorders>
          </w:tcPr>
          <w:p w:rsidR="00000000" w:rsidRDefault="00000000">
            <w:pPr>
              <w:tabs>
                <w:tab w:val="clear" w:pos="567"/>
              </w:tabs>
              <w:spacing w:line="240" w:lineRule="auto"/>
              <w:ind w:right="170"/>
              <w:jc w:val="right"/>
            </w:pPr>
            <w:r>
              <w:t>-</w:t>
            </w:r>
          </w:p>
        </w:tc>
        <w:tc>
          <w:tcPr>
            <w:tcW w:w="1011" w:type="dxa"/>
            <w:tcBorders>
              <w:top w:val="nil"/>
              <w:bottom w:val="nil"/>
            </w:tcBorders>
          </w:tcPr>
          <w:p w:rsidR="00000000" w:rsidRDefault="00000000">
            <w:pPr>
              <w:tabs>
                <w:tab w:val="clear" w:pos="567"/>
              </w:tabs>
              <w:spacing w:line="240" w:lineRule="auto"/>
              <w:ind w:right="170"/>
              <w:jc w:val="right"/>
            </w:pPr>
            <w:r>
              <w:t>-</w:t>
            </w:r>
          </w:p>
        </w:tc>
        <w:tc>
          <w:tcPr>
            <w:tcW w:w="1011" w:type="dxa"/>
            <w:tcBorders>
              <w:top w:val="nil"/>
              <w:bottom w:val="nil"/>
            </w:tcBorders>
          </w:tcPr>
          <w:p w:rsidR="00000000" w:rsidRDefault="00000000">
            <w:pPr>
              <w:tabs>
                <w:tab w:val="clear" w:pos="567"/>
              </w:tabs>
              <w:spacing w:line="240" w:lineRule="auto"/>
              <w:ind w:right="170"/>
              <w:jc w:val="right"/>
            </w:pPr>
            <w:r>
              <w:t>-</w:t>
            </w:r>
          </w:p>
        </w:tc>
        <w:tc>
          <w:tcPr>
            <w:tcW w:w="1011" w:type="dxa"/>
            <w:tcBorders>
              <w:top w:val="nil"/>
              <w:bottom w:val="nil"/>
            </w:tcBorders>
          </w:tcPr>
          <w:p w:rsidR="00000000" w:rsidRDefault="00000000">
            <w:pPr>
              <w:tabs>
                <w:tab w:val="clear" w:pos="567"/>
              </w:tabs>
              <w:spacing w:line="240" w:lineRule="auto"/>
              <w:ind w:right="170"/>
              <w:jc w:val="right"/>
            </w:pPr>
            <w:r>
              <w:t>-</w:t>
            </w:r>
          </w:p>
        </w:tc>
        <w:tc>
          <w:tcPr>
            <w:tcW w:w="1011" w:type="dxa"/>
            <w:tcBorders>
              <w:top w:val="nil"/>
              <w:bottom w:val="nil"/>
            </w:tcBorders>
          </w:tcPr>
          <w:p w:rsidR="00000000" w:rsidRDefault="00000000">
            <w:pPr>
              <w:tabs>
                <w:tab w:val="clear" w:pos="567"/>
              </w:tabs>
              <w:spacing w:line="240" w:lineRule="auto"/>
              <w:ind w:right="170"/>
              <w:jc w:val="right"/>
            </w:pPr>
            <w:r>
              <w:t>15</w:t>
            </w:r>
          </w:p>
        </w:tc>
        <w:tc>
          <w:tcPr>
            <w:tcW w:w="1011" w:type="dxa"/>
            <w:tcBorders>
              <w:top w:val="nil"/>
              <w:bottom w:val="nil"/>
            </w:tcBorders>
          </w:tcPr>
          <w:p w:rsidR="00000000" w:rsidRDefault="00000000">
            <w:pPr>
              <w:tabs>
                <w:tab w:val="clear" w:pos="567"/>
              </w:tabs>
              <w:spacing w:line="240" w:lineRule="auto"/>
              <w:ind w:right="170"/>
              <w:jc w:val="right"/>
            </w:pPr>
            <w:r>
              <w:t>24</w:t>
            </w:r>
          </w:p>
        </w:tc>
        <w:tc>
          <w:tcPr>
            <w:tcW w:w="1011" w:type="dxa"/>
            <w:tcBorders>
              <w:top w:val="nil"/>
              <w:bottom w:val="nil"/>
            </w:tcBorders>
          </w:tcPr>
          <w:p w:rsidR="00000000" w:rsidRDefault="00000000">
            <w:pPr>
              <w:tabs>
                <w:tab w:val="clear" w:pos="567"/>
              </w:tabs>
              <w:spacing w:line="240" w:lineRule="auto"/>
              <w:ind w:right="170"/>
              <w:jc w:val="right"/>
            </w:pPr>
            <w:r>
              <w:t>30</w:t>
            </w:r>
          </w:p>
        </w:tc>
      </w:tr>
      <w:tr w:rsidR="00000000">
        <w:tblPrEx>
          <w:tblCellMar>
            <w:top w:w="0" w:type="dxa"/>
            <w:bottom w:w="0" w:type="dxa"/>
          </w:tblCellMar>
        </w:tblPrEx>
        <w:tc>
          <w:tcPr>
            <w:tcW w:w="2420" w:type="dxa"/>
            <w:tcBorders>
              <w:top w:val="nil"/>
              <w:bottom w:val="nil"/>
            </w:tcBorders>
          </w:tcPr>
          <w:p w:rsidR="00000000" w:rsidRDefault="00000000">
            <w:pPr>
              <w:tabs>
                <w:tab w:val="left" w:pos="227"/>
              </w:tabs>
              <w:spacing w:line="240" w:lineRule="auto"/>
              <w:ind w:left="227" w:hanging="227"/>
            </w:pPr>
            <w:r>
              <w:tab/>
              <w:t>в том числе лица женского пола</w:t>
            </w:r>
          </w:p>
        </w:tc>
        <w:tc>
          <w:tcPr>
            <w:tcW w:w="1010" w:type="dxa"/>
            <w:tcBorders>
              <w:top w:val="nil"/>
              <w:bottom w:val="nil"/>
            </w:tcBorders>
          </w:tcPr>
          <w:p w:rsidR="00000000" w:rsidRDefault="00000000">
            <w:pPr>
              <w:tabs>
                <w:tab w:val="clear" w:pos="567"/>
              </w:tabs>
              <w:spacing w:line="240" w:lineRule="auto"/>
              <w:ind w:right="170"/>
              <w:jc w:val="right"/>
            </w:pPr>
            <w:r>
              <w:t>-</w:t>
            </w:r>
          </w:p>
        </w:tc>
        <w:tc>
          <w:tcPr>
            <w:tcW w:w="1011" w:type="dxa"/>
            <w:tcBorders>
              <w:top w:val="nil"/>
              <w:bottom w:val="nil"/>
            </w:tcBorders>
          </w:tcPr>
          <w:p w:rsidR="00000000" w:rsidRDefault="00000000">
            <w:pPr>
              <w:pStyle w:val="FootnoteText"/>
              <w:tabs>
                <w:tab w:val="clear" w:pos="567"/>
              </w:tabs>
              <w:ind w:right="170"/>
              <w:jc w:val="right"/>
            </w:pPr>
            <w:r>
              <w:t>-</w:t>
            </w:r>
          </w:p>
        </w:tc>
        <w:tc>
          <w:tcPr>
            <w:tcW w:w="1011" w:type="dxa"/>
            <w:tcBorders>
              <w:top w:val="nil"/>
              <w:bottom w:val="nil"/>
            </w:tcBorders>
          </w:tcPr>
          <w:p w:rsidR="00000000" w:rsidRDefault="00000000">
            <w:pPr>
              <w:tabs>
                <w:tab w:val="clear" w:pos="567"/>
              </w:tabs>
              <w:spacing w:line="240" w:lineRule="auto"/>
              <w:ind w:right="170"/>
              <w:jc w:val="right"/>
            </w:pPr>
            <w:r>
              <w:t>-</w:t>
            </w:r>
          </w:p>
        </w:tc>
        <w:tc>
          <w:tcPr>
            <w:tcW w:w="1011" w:type="dxa"/>
            <w:tcBorders>
              <w:top w:val="nil"/>
              <w:bottom w:val="nil"/>
            </w:tcBorders>
          </w:tcPr>
          <w:p w:rsidR="00000000" w:rsidRDefault="00000000">
            <w:pPr>
              <w:tabs>
                <w:tab w:val="clear" w:pos="567"/>
              </w:tabs>
              <w:spacing w:line="240" w:lineRule="auto"/>
              <w:ind w:right="170"/>
              <w:jc w:val="right"/>
            </w:pPr>
            <w:r>
              <w:t>-</w:t>
            </w:r>
          </w:p>
        </w:tc>
        <w:tc>
          <w:tcPr>
            <w:tcW w:w="1011" w:type="dxa"/>
            <w:tcBorders>
              <w:top w:val="nil"/>
              <w:bottom w:val="nil"/>
            </w:tcBorders>
          </w:tcPr>
          <w:p w:rsidR="00000000" w:rsidRDefault="00000000">
            <w:pPr>
              <w:tabs>
                <w:tab w:val="clear" w:pos="567"/>
              </w:tabs>
              <w:spacing w:line="240" w:lineRule="auto"/>
              <w:ind w:right="170"/>
              <w:jc w:val="right"/>
            </w:pPr>
            <w:r>
              <w:t>10</w:t>
            </w:r>
          </w:p>
        </w:tc>
        <w:tc>
          <w:tcPr>
            <w:tcW w:w="1011" w:type="dxa"/>
            <w:tcBorders>
              <w:top w:val="nil"/>
              <w:bottom w:val="nil"/>
            </w:tcBorders>
          </w:tcPr>
          <w:p w:rsidR="00000000" w:rsidRDefault="00000000">
            <w:pPr>
              <w:tabs>
                <w:tab w:val="clear" w:pos="567"/>
              </w:tabs>
              <w:spacing w:line="240" w:lineRule="auto"/>
              <w:ind w:right="170"/>
              <w:jc w:val="right"/>
            </w:pPr>
            <w:r>
              <w:t>16</w:t>
            </w:r>
          </w:p>
        </w:tc>
        <w:tc>
          <w:tcPr>
            <w:tcW w:w="1011" w:type="dxa"/>
            <w:tcBorders>
              <w:top w:val="nil"/>
              <w:bottom w:val="nil"/>
            </w:tcBorders>
          </w:tcPr>
          <w:p w:rsidR="00000000" w:rsidRDefault="00000000">
            <w:pPr>
              <w:tabs>
                <w:tab w:val="clear" w:pos="567"/>
              </w:tabs>
              <w:spacing w:line="240" w:lineRule="auto"/>
              <w:ind w:right="170"/>
              <w:jc w:val="right"/>
            </w:pPr>
            <w:r>
              <w:t>20</w:t>
            </w:r>
          </w:p>
        </w:tc>
      </w:tr>
      <w:tr w:rsidR="00000000">
        <w:tblPrEx>
          <w:tblCellMar>
            <w:top w:w="0" w:type="dxa"/>
            <w:bottom w:w="0" w:type="dxa"/>
          </w:tblCellMar>
        </w:tblPrEx>
        <w:tc>
          <w:tcPr>
            <w:tcW w:w="2420" w:type="dxa"/>
            <w:tcBorders>
              <w:top w:val="nil"/>
              <w:bottom w:val="nil"/>
            </w:tcBorders>
          </w:tcPr>
          <w:p w:rsidR="00000000" w:rsidRDefault="00000000">
            <w:pPr>
              <w:tabs>
                <w:tab w:val="left" w:pos="227"/>
              </w:tabs>
              <w:spacing w:line="240" w:lineRule="auto"/>
              <w:ind w:left="227" w:hanging="227"/>
              <w:rPr>
                <w:sz w:val="16"/>
              </w:rPr>
            </w:pPr>
            <w:r>
              <w:t>Университеты (дневная форма обучения)</w:t>
            </w:r>
          </w:p>
        </w:tc>
        <w:tc>
          <w:tcPr>
            <w:tcW w:w="1010" w:type="dxa"/>
            <w:tcBorders>
              <w:top w:val="nil"/>
              <w:bottom w:val="nil"/>
            </w:tcBorders>
          </w:tcPr>
          <w:p w:rsidR="00000000" w:rsidRDefault="00000000">
            <w:pPr>
              <w:tabs>
                <w:tab w:val="clear" w:pos="567"/>
              </w:tabs>
              <w:spacing w:line="240" w:lineRule="auto"/>
              <w:ind w:right="170"/>
              <w:jc w:val="right"/>
            </w:pPr>
            <w:r>
              <w:t>100</w:t>
            </w:r>
          </w:p>
        </w:tc>
        <w:tc>
          <w:tcPr>
            <w:tcW w:w="1011" w:type="dxa"/>
            <w:tcBorders>
              <w:top w:val="nil"/>
              <w:bottom w:val="nil"/>
            </w:tcBorders>
          </w:tcPr>
          <w:p w:rsidR="00000000" w:rsidRDefault="00000000">
            <w:pPr>
              <w:tabs>
                <w:tab w:val="clear" w:pos="567"/>
              </w:tabs>
              <w:spacing w:line="240" w:lineRule="auto"/>
              <w:ind w:right="170"/>
              <w:jc w:val="right"/>
            </w:pPr>
            <w:r>
              <w:t>113</w:t>
            </w:r>
          </w:p>
        </w:tc>
        <w:tc>
          <w:tcPr>
            <w:tcW w:w="1011" w:type="dxa"/>
            <w:tcBorders>
              <w:top w:val="nil"/>
              <w:bottom w:val="nil"/>
            </w:tcBorders>
          </w:tcPr>
          <w:p w:rsidR="00000000" w:rsidRDefault="00000000">
            <w:pPr>
              <w:tabs>
                <w:tab w:val="clear" w:pos="567"/>
              </w:tabs>
              <w:spacing w:line="240" w:lineRule="auto"/>
              <w:ind w:right="170"/>
              <w:jc w:val="right"/>
            </w:pPr>
            <w:r>
              <w:t>119</w:t>
            </w:r>
          </w:p>
        </w:tc>
        <w:tc>
          <w:tcPr>
            <w:tcW w:w="1011" w:type="dxa"/>
            <w:tcBorders>
              <w:top w:val="nil"/>
              <w:bottom w:val="nil"/>
            </w:tcBorders>
          </w:tcPr>
          <w:p w:rsidR="00000000" w:rsidRDefault="00000000">
            <w:pPr>
              <w:tabs>
                <w:tab w:val="clear" w:pos="567"/>
              </w:tabs>
              <w:spacing w:line="240" w:lineRule="auto"/>
              <w:ind w:right="170"/>
              <w:jc w:val="right"/>
            </w:pPr>
            <w:r>
              <w:t>126</w:t>
            </w:r>
          </w:p>
        </w:tc>
        <w:tc>
          <w:tcPr>
            <w:tcW w:w="1011" w:type="dxa"/>
            <w:tcBorders>
              <w:top w:val="nil"/>
              <w:bottom w:val="nil"/>
            </w:tcBorders>
          </w:tcPr>
          <w:p w:rsidR="00000000" w:rsidRDefault="00000000">
            <w:pPr>
              <w:tabs>
                <w:tab w:val="clear" w:pos="567"/>
              </w:tabs>
              <w:spacing w:line="240" w:lineRule="auto"/>
              <w:ind w:right="170"/>
              <w:jc w:val="right"/>
            </w:pPr>
            <w:r>
              <w:t>139</w:t>
            </w:r>
          </w:p>
        </w:tc>
        <w:tc>
          <w:tcPr>
            <w:tcW w:w="1011" w:type="dxa"/>
            <w:tcBorders>
              <w:top w:val="nil"/>
              <w:bottom w:val="nil"/>
            </w:tcBorders>
          </w:tcPr>
          <w:p w:rsidR="00000000" w:rsidRDefault="00000000">
            <w:pPr>
              <w:tabs>
                <w:tab w:val="clear" w:pos="567"/>
              </w:tabs>
              <w:spacing w:line="240" w:lineRule="auto"/>
              <w:ind w:right="170"/>
              <w:jc w:val="right"/>
            </w:pPr>
            <w:r>
              <w:t>148</w:t>
            </w:r>
          </w:p>
        </w:tc>
        <w:tc>
          <w:tcPr>
            <w:tcW w:w="1011" w:type="dxa"/>
            <w:tcBorders>
              <w:top w:val="nil"/>
              <w:bottom w:val="nil"/>
            </w:tcBorders>
          </w:tcPr>
          <w:p w:rsidR="00000000" w:rsidRDefault="00000000">
            <w:pPr>
              <w:tabs>
                <w:tab w:val="clear" w:pos="567"/>
              </w:tabs>
              <w:spacing w:line="240" w:lineRule="auto"/>
              <w:ind w:right="170"/>
              <w:jc w:val="right"/>
            </w:pPr>
            <w:r>
              <w:t>155</w:t>
            </w:r>
          </w:p>
        </w:tc>
      </w:tr>
      <w:tr w:rsidR="00000000">
        <w:tblPrEx>
          <w:tblCellMar>
            <w:top w:w="0" w:type="dxa"/>
            <w:bottom w:w="0" w:type="dxa"/>
          </w:tblCellMar>
        </w:tblPrEx>
        <w:tc>
          <w:tcPr>
            <w:tcW w:w="2420" w:type="dxa"/>
            <w:tcBorders>
              <w:top w:val="nil"/>
            </w:tcBorders>
          </w:tcPr>
          <w:p w:rsidR="00000000" w:rsidRDefault="00000000">
            <w:pPr>
              <w:tabs>
                <w:tab w:val="left" w:pos="227"/>
              </w:tabs>
              <w:spacing w:line="240" w:lineRule="auto"/>
              <w:ind w:left="227" w:hanging="227"/>
            </w:pPr>
            <w:r>
              <w:tab/>
              <w:t>в том числе лица женского пола</w:t>
            </w:r>
          </w:p>
        </w:tc>
        <w:tc>
          <w:tcPr>
            <w:tcW w:w="1010" w:type="dxa"/>
            <w:tcBorders>
              <w:top w:val="nil"/>
            </w:tcBorders>
          </w:tcPr>
          <w:p w:rsidR="00000000" w:rsidRDefault="00000000">
            <w:pPr>
              <w:tabs>
                <w:tab w:val="clear" w:pos="567"/>
              </w:tabs>
              <w:spacing w:line="240" w:lineRule="auto"/>
              <w:ind w:right="170"/>
              <w:jc w:val="right"/>
            </w:pPr>
            <w:r>
              <w:t>43</w:t>
            </w:r>
          </w:p>
        </w:tc>
        <w:tc>
          <w:tcPr>
            <w:tcW w:w="1011" w:type="dxa"/>
            <w:tcBorders>
              <w:top w:val="nil"/>
            </w:tcBorders>
          </w:tcPr>
          <w:p w:rsidR="00000000" w:rsidRDefault="00000000">
            <w:pPr>
              <w:pStyle w:val="FootnoteText"/>
              <w:tabs>
                <w:tab w:val="clear" w:pos="567"/>
              </w:tabs>
              <w:ind w:right="170"/>
              <w:jc w:val="right"/>
            </w:pPr>
            <w:r>
              <w:t>48</w:t>
            </w:r>
          </w:p>
        </w:tc>
        <w:tc>
          <w:tcPr>
            <w:tcW w:w="1011" w:type="dxa"/>
            <w:tcBorders>
              <w:top w:val="nil"/>
            </w:tcBorders>
          </w:tcPr>
          <w:p w:rsidR="00000000" w:rsidRDefault="00000000">
            <w:pPr>
              <w:tabs>
                <w:tab w:val="clear" w:pos="567"/>
              </w:tabs>
              <w:spacing w:line="240" w:lineRule="auto"/>
              <w:ind w:right="170"/>
              <w:jc w:val="right"/>
            </w:pPr>
            <w:r>
              <w:t>51</w:t>
            </w:r>
          </w:p>
        </w:tc>
        <w:tc>
          <w:tcPr>
            <w:tcW w:w="1011" w:type="dxa"/>
            <w:tcBorders>
              <w:top w:val="nil"/>
            </w:tcBorders>
          </w:tcPr>
          <w:p w:rsidR="00000000" w:rsidRDefault="00000000">
            <w:pPr>
              <w:tabs>
                <w:tab w:val="clear" w:pos="567"/>
              </w:tabs>
              <w:spacing w:line="240" w:lineRule="auto"/>
              <w:ind w:right="170"/>
              <w:jc w:val="right"/>
            </w:pPr>
            <w:r>
              <w:t>55</w:t>
            </w:r>
          </w:p>
        </w:tc>
        <w:tc>
          <w:tcPr>
            <w:tcW w:w="1011" w:type="dxa"/>
            <w:tcBorders>
              <w:top w:val="nil"/>
            </w:tcBorders>
          </w:tcPr>
          <w:p w:rsidR="00000000" w:rsidRDefault="00000000">
            <w:pPr>
              <w:tabs>
                <w:tab w:val="clear" w:pos="567"/>
              </w:tabs>
              <w:spacing w:line="240" w:lineRule="auto"/>
              <w:ind w:right="170"/>
              <w:jc w:val="right"/>
            </w:pPr>
            <w:r>
              <w:t>61</w:t>
            </w:r>
          </w:p>
        </w:tc>
        <w:tc>
          <w:tcPr>
            <w:tcW w:w="1011" w:type="dxa"/>
            <w:tcBorders>
              <w:top w:val="nil"/>
            </w:tcBorders>
          </w:tcPr>
          <w:p w:rsidR="00000000" w:rsidRDefault="00000000">
            <w:pPr>
              <w:tabs>
                <w:tab w:val="clear" w:pos="567"/>
              </w:tabs>
              <w:spacing w:line="240" w:lineRule="auto"/>
              <w:ind w:right="170"/>
              <w:jc w:val="right"/>
            </w:pPr>
            <w:r>
              <w:t>65</w:t>
            </w:r>
          </w:p>
        </w:tc>
        <w:tc>
          <w:tcPr>
            <w:tcW w:w="1011" w:type="dxa"/>
            <w:tcBorders>
              <w:top w:val="nil"/>
            </w:tcBorders>
          </w:tcPr>
          <w:p w:rsidR="00000000" w:rsidRDefault="00000000">
            <w:pPr>
              <w:tabs>
                <w:tab w:val="clear" w:pos="567"/>
              </w:tabs>
              <w:spacing w:line="240" w:lineRule="auto"/>
              <w:ind w:right="170"/>
              <w:jc w:val="right"/>
            </w:pPr>
            <w:r>
              <w:t>69</w:t>
            </w:r>
          </w:p>
        </w:tc>
      </w:tr>
    </w:tbl>
    <w:p w:rsidR="00000000" w:rsidRDefault="00000000">
      <w:pPr>
        <w:spacing w:line="240" w:lineRule="auto"/>
        <w:rPr>
          <w:i/>
          <w:iCs/>
        </w:rPr>
      </w:pPr>
    </w:p>
    <w:p w:rsidR="00000000" w:rsidRDefault="00000000">
      <w:pPr>
        <w:spacing w:line="240" w:lineRule="auto"/>
        <w:rPr>
          <w:lang w:val="en-US"/>
        </w:rPr>
      </w:pPr>
      <w:r>
        <w:tab/>
      </w:r>
      <w:r>
        <w:rPr>
          <w:u w:val="single"/>
        </w:rPr>
        <w:t>Источник</w:t>
      </w:r>
      <w:r>
        <w:rPr>
          <w:lang w:val="en-US"/>
        </w:rPr>
        <w:t>:  St</w:t>
      </w:r>
      <w:r>
        <w:t>а</w:t>
      </w:r>
      <w:r>
        <w:rPr>
          <w:lang w:val="en-US"/>
        </w:rPr>
        <w:t>tistical Yearbook of the CR, 1999.</w:t>
      </w:r>
    </w:p>
    <w:p w:rsidR="00000000" w:rsidRDefault="00000000">
      <w:pPr>
        <w:rPr>
          <w:lang w:val="en-US"/>
        </w:rPr>
      </w:pPr>
    </w:p>
    <w:p w:rsidR="00000000" w:rsidRDefault="00000000">
      <w:pPr>
        <w:rPr>
          <w:lang w:val="en-US"/>
        </w:rPr>
      </w:pPr>
    </w:p>
    <w:p w:rsidR="00000000" w:rsidRDefault="00000000">
      <w:pPr>
        <w:rPr>
          <w:b/>
          <w:bCs/>
        </w:rPr>
      </w:pPr>
      <w:r>
        <w:rPr>
          <w:b/>
          <w:bCs/>
        </w:rPr>
        <w:t>Пункт 2 d)</w:t>
      </w:r>
    </w:p>
    <w:p w:rsidR="00000000" w:rsidRDefault="00000000"/>
    <w:p w:rsidR="00000000" w:rsidRDefault="00000000">
      <w:r>
        <w:t>607.</w:t>
      </w:r>
      <w:r>
        <w:tab/>
        <w:t>Для лиц, которые не могут посещать начальные школы или не окончили курс начальной школы, в соответствии со статьями 17 и 28</w:t>
      </w:r>
      <w:r>
        <w:sym w:font="Symbol" w:char="F02D"/>
      </w:r>
      <w:r>
        <w:t>33 Закона об учебных заведениях</w:t>
      </w:r>
      <w:r>
        <w:rPr>
          <w:rStyle w:val="FootnoteReference"/>
        </w:rPr>
        <w:footnoteReference w:id="362"/>
      </w:r>
      <w:r>
        <w:t xml:space="preserve"> создана система специализированных и специальных школ.</w:t>
      </w:r>
    </w:p>
    <w:p w:rsidR="00000000" w:rsidRDefault="00000000"/>
    <w:p w:rsidR="00000000" w:rsidRDefault="00000000">
      <w:r>
        <w:t>608.</w:t>
      </w:r>
      <w:r>
        <w:tab/>
        <w:t>Хотя в специализированных начальных школах предоставляется такое же образование, как и в начальных школах, выпускники специальных школ (статья 31 Закона об учебных заведениях) могут получить только "упрощенное начальное образование", позволяющее им продолжать образование только в профессиональных или практических школах, которые предназначены специально для выпускников специальных школ.  На конец отчетного периода в Чешской Республике функционировало почти 500 таких школ, предоставлявших подготовку по более чем 70 рабочим профессиям, не требующим высокой квалификации.  Выпускники получают определенную квалификацию в избранной ими сфере труда.</w:t>
      </w:r>
    </w:p>
    <w:p w:rsidR="00000000" w:rsidRDefault="00000000"/>
    <w:p w:rsidR="00000000" w:rsidRDefault="00000000">
      <w:pPr>
        <w:pStyle w:val="Heading1"/>
        <w:spacing w:line="240" w:lineRule="auto"/>
        <w:jc w:val="center"/>
        <w:rPr>
          <w:bCs/>
        </w:rPr>
      </w:pPr>
      <w:r>
        <w:rPr>
          <w:bCs/>
        </w:rPr>
        <w:t>Число учащихся в специальных школах</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1779"/>
        <w:gridCol w:w="1169"/>
        <w:gridCol w:w="1170"/>
        <w:gridCol w:w="1170"/>
        <w:gridCol w:w="2060"/>
        <w:gridCol w:w="2118"/>
      </w:tblGrid>
      <w:tr w:rsidR="00000000">
        <w:tblPrEx>
          <w:tblCellMar>
            <w:top w:w="0" w:type="dxa"/>
            <w:bottom w:w="0" w:type="dxa"/>
          </w:tblCellMar>
        </w:tblPrEx>
        <w:trPr>
          <w:cantSplit/>
        </w:trPr>
        <w:tc>
          <w:tcPr>
            <w:tcW w:w="1780" w:type="dxa"/>
          </w:tcPr>
          <w:p w:rsidR="00000000" w:rsidRDefault="00000000">
            <w:pPr>
              <w:spacing w:line="216" w:lineRule="auto"/>
            </w:pPr>
            <w:r>
              <w:t>Учебный год</w:t>
            </w:r>
          </w:p>
        </w:tc>
        <w:tc>
          <w:tcPr>
            <w:tcW w:w="3509" w:type="dxa"/>
            <w:gridSpan w:val="3"/>
          </w:tcPr>
          <w:p w:rsidR="00000000" w:rsidRDefault="00000000">
            <w:pPr>
              <w:pStyle w:val="10"/>
              <w:spacing w:line="216" w:lineRule="auto"/>
              <w:rPr>
                <w:b w:val="0"/>
              </w:rPr>
            </w:pPr>
            <w:r>
              <w:rPr>
                <w:b w:val="0"/>
              </w:rPr>
              <w:t>Число учащихся</w:t>
            </w:r>
          </w:p>
          <w:p w:rsidR="00000000" w:rsidRDefault="00000000">
            <w:pPr>
              <w:pStyle w:val="10"/>
              <w:spacing w:line="216" w:lineRule="auto"/>
              <w:rPr>
                <w:b w:val="0"/>
              </w:rPr>
            </w:pPr>
            <w:r>
              <w:rPr>
                <w:b w:val="0"/>
              </w:rPr>
              <w:t>(в тыс. человек)</w:t>
            </w:r>
          </w:p>
        </w:tc>
        <w:tc>
          <w:tcPr>
            <w:tcW w:w="4178" w:type="dxa"/>
            <w:gridSpan w:val="2"/>
          </w:tcPr>
          <w:p w:rsidR="00000000" w:rsidRDefault="00000000">
            <w:pPr>
              <w:pStyle w:val="10"/>
              <w:spacing w:line="216" w:lineRule="auto"/>
              <w:rPr>
                <w:b w:val="0"/>
              </w:rPr>
            </w:pPr>
            <w:r>
              <w:rPr>
                <w:b w:val="0"/>
              </w:rPr>
              <w:t>Доля учащихся специальных школ в общем числе детей, получающих обязательное образование (в %)</w:t>
            </w:r>
          </w:p>
        </w:tc>
      </w:tr>
      <w:tr w:rsidR="00000000">
        <w:tblPrEx>
          <w:tblCellMar>
            <w:top w:w="0" w:type="dxa"/>
            <w:bottom w:w="0" w:type="dxa"/>
          </w:tblCellMar>
        </w:tblPrEx>
        <w:tc>
          <w:tcPr>
            <w:tcW w:w="1780" w:type="dxa"/>
            <w:tcBorders>
              <w:bottom w:val="single" w:sz="4" w:space="0" w:color="auto"/>
            </w:tcBorders>
          </w:tcPr>
          <w:p w:rsidR="00000000" w:rsidRDefault="00000000">
            <w:pPr>
              <w:pStyle w:val="FootnoteText"/>
            </w:pPr>
          </w:p>
        </w:tc>
        <w:tc>
          <w:tcPr>
            <w:tcW w:w="1169" w:type="dxa"/>
            <w:tcBorders>
              <w:bottom w:val="single" w:sz="4" w:space="0" w:color="auto"/>
            </w:tcBorders>
          </w:tcPr>
          <w:p w:rsidR="00000000" w:rsidRDefault="00000000">
            <w:pPr>
              <w:pStyle w:val="16"/>
              <w:spacing w:line="240" w:lineRule="auto"/>
            </w:pPr>
          </w:p>
          <w:p w:rsidR="00000000" w:rsidRDefault="00000000">
            <w:pPr>
              <w:pStyle w:val="16"/>
              <w:spacing w:line="240" w:lineRule="auto"/>
            </w:pPr>
            <w:r>
              <w:t>Всего</w:t>
            </w:r>
          </w:p>
        </w:tc>
        <w:tc>
          <w:tcPr>
            <w:tcW w:w="1170" w:type="dxa"/>
            <w:tcBorders>
              <w:bottom w:val="single" w:sz="4" w:space="0" w:color="auto"/>
            </w:tcBorders>
          </w:tcPr>
          <w:p w:rsidR="00000000" w:rsidRDefault="00000000">
            <w:pPr>
              <w:spacing w:line="240" w:lineRule="auto"/>
              <w:jc w:val="center"/>
            </w:pPr>
          </w:p>
          <w:p w:rsidR="00000000" w:rsidRDefault="00000000">
            <w:pPr>
              <w:spacing w:line="240" w:lineRule="auto"/>
              <w:jc w:val="center"/>
            </w:pPr>
            <w:r>
              <w:t>Девочки</w:t>
            </w:r>
          </w:p>
        </w:tc>
        <w:tc>
          <w:tcPr>
            <w:tcW w:w="1170" w:type="dxa"/>
            <w:tcBorders>
              <w:bottom w:val="single" w:sz="4" w:space="0" w:color="auto"/>
            </w:tcBorders>
          </w:tcPr>
          <w:p w:rsidR="00000000" w:rsidRDefault="00000000">
            <w:pPr>
              <w:spacing w:line="240" w:lineRule="auto"/>
              <w:jc w:val="center"/>
            </w:pPr>
            <w:r>
              <w:t>Доля девочек в %</w:t>
            </w:r>
          </w:p>
        </w:tc>
        <w:tc>
          <w:tcPr>
            <w:tcW w:w="2060" w:type="dxa"/>
            <w:tcBorders>
              <w:bottom w:val="single" w:sz="4" w:space="0" w:color="auto"/>
            </w:tcBorders>
          </w:tcPr>
          <w:p w:rsidR="00000000" w:rsidRDefault="00000000">
            <w:pPr>
              <w:pStyle w:val="FootnoteText"/>
              <w:jc w:val="center"/>
            </w:pPr>
          </w:p>
          <w:p w:rsidR="00000000" w:rsidRDefault="00000000">
            <w:pPr>
              <w:pStyle w:val="FootnoteText"/>
              <w:jc w:val="center"/>
            </w:pPr>
            <w:r>
              <w:t>Мальчики</w:t>
            </w:r>
          </w:p>
        </w:tc>
        <w:tc>
          <w:tcPr>
            <w:tcW w:w="2118" w:type="dxa"/>
            <w:tcBorders>
              <w:bottom w:val="single" w:sz="4" w:space="0" w:color="auto"/>
            </w:tcBorders>
          </w:tcPr>
          <w:p w:rsidR="00000000" w:rsidRDefault="00000000">
            <w:pPr>
              <w:spacing w:line="240" w:lineRule="auto"/>
              <w:jc w:val="center"/>
            </w:pPr>
          </w:p>
          <w:p w:rsidR="00000000" w:rsidRDefault="00000000">
            <w:pPr>
              <w:spacing w:line="240" w:lineRule="auto"/>
              <w:jc w:val="center"/>
            </w:pPr>
            <w:r>
              <w:t>Девочки</w:t>
            </w:r>
          </w:p>
        </w:tc>
      </w:tr>
      <w:tr w:rsidR="00000000">
        <w:tblPrEx>
          <w:tblCellMar>
            <w:top w:w="0" w:type="dxa"/>
            <w:bottom w:w="0" w:type="dxa"/>
          </w:tblCellMar>
        </w:tblPrEx>
        <w:tc>
          <w:tcPr>
            <w:tcW w:w="1780" w:type="dxa"/>
            <w:tcBorders>
              <w:bottom w:val="nil"/>
            </w:tcBorders>
          </w:tcPr>
          <w:p w:rsidR="00000000" w:rsidRDefault="00000000">
            <w:pPr>
              <w:spacing w:line="240" w:lineRule="auto"/>
            </w:pPr>
            <w:r>
              <w:t>1995/96</w:t>
            </w:r>
          </w:p>
        </w:tc>
        <w:tc>
          <w:tcPr>
            <w:tcW w:w="1169" w:type="dxa"/>
            <w:tcBorders>
              <w:bottom w:val="nil"/>
            </w:tcBorders>
          </w:tcPr>
          <w:p w:rsidR="00000000" w:rsidRDefault="00000000">
            <w:pPr>
              <w:spacing w:line="240" w:lineRule="auto"/>
              <w:jc w:val="center"/>
            </w:pPr>
            <w:r>
              <w:t>34 732</w:t>
            </w:r>
          </w:p>
        </w:tc>
        <w:tc>
          <w:tcPr>
            <w:tcW w:w="1170" w:type="dxa"/>
            <w:tcBorders>
              <w:bottom w:val="nil"/>
            </w:tcBorders>
          </w:tcPr>
          <w:p w:rsidR="00000000" w:rsidRDefault="00000000">
            <w:pPr>
              <w:spacing w:line="240" w:lineRule="auto"/>
              <w:jc w:val="center"/>
            </w:pPr>
            <w:r>
              <w:t>14 009</w:t>
            </w:r>
          </w:p>
        </w:tc>
        <w:tc>
          <w:tcPr>
            <w:tcW w:w="1170" w:type="dxa"/>
            <w:tcBorders>
              <w:bottom w:val="nil"/>
            </w:tcBorders>
          </w:tcPr>
          <w:p w:rsidR="00000000" w:rsidRDefault="00000000">
            <w:pPr>
              <w:spacing w:line="240" w:lineRule="auto"/>
              <w:jc w:val="center"/>
            </w:pPr>
            <w:r>
              <w:t>40,3</w:t>
            </w:r>
          </w:p>
        </w:tc>
        <w:tc>
          <w:tcPr>
            <w:tcW w:w="2060" w:type="dxa"/>
            <w:tcBorders>
              <w:bottom w:val="nil"/>
            </w:tcBorders>
          </w:tcPr>
          <w:p w:rsidR="00000000" w:rsidRDefault="00000000">
            <w:pPr>
              <w:spacing w:line="240" w:lineRule="auto"/>
              <w:jc w:val="center"/>
            </w:pPr>
            <w:r>
              <w:t>3,8</w:t>
            </w:r>
          </w:p>
        </w:tc>
        <w:tc>
          <w:tcPr>
            <w:tcW w:w="2118" w:type="dxa"/>
            <w:tcBorders>
              <w:bottom w:val="nil"/>
            </w:tcBorders>
          </w:tcPr>
          <w:p w:rsidR="00000000" w:rsidRDefault="00000000">
            <w:pPr>
              <w:spacing w:line="240" w:lineRule="auto"/>
              <w:jc w:val="center"/>
            </w:pPr>
            <w:r>
              <w:t>2,8</w:t>
            </w:r>
          </w:p>
        </w:tc>
      </w:tr>
      <w:tr w:rsidR="00000000">
        <w:tblPrEx>
          <w:tblCellMar>
            <w:top w:w="0" w:type="dxa"/>
            <w:bottom w:w="0" w:type="dxa"/>
          </w:tblCellMar>
        </w:tblPrEx>
        <w:tc>
          <w:tcPr>
            <w:tcW w:w="1780" w:type="dxa"/>
            <w:tcBorders>
              <w:top w:val="nil"/>
              <w:bottom w:val="nil"/>
            </w:tcBorders>
          </w:tcPr>
          <w:p w:rsidR="00000000" w:rsidRDefault="00000000">
            <w:pPr>
              <w:pStyle w:val="FootnoteText"/>
            </w:pPr>
            <w:r>
              <w:t>1996/97</w:t>
            </w:r>
          </w:p>
        </w:tc>
        <w:tc>
          <w:tcPr>
            <w:tcW w:w="1169" w:type="dxa"/>
            <w:tcBorders>
              <w:top w:val="nil"/>
              <w:bottom w:val="nil"/>
            </w:tcBorders>
          </w:tcPr>
          <w:p w:rsidR="00000000" w:rsidRDefault="00000000">
            <w:pPr>
              <w:spacing w:line="240" w:lineRule="auto"/>
              <w:jc w:val="center"/>
            </w:pPr>
            <w:r>
              <w:t>35 020</w:t>
            </w:r>
          </w:p>
        </w:tc>
        <w:tc>
          <w:tcPr>
            <w:tcW w:w="1170" w:type="dxa"/>
            <w:tcBorders>
              <w:top w:val="nil"/>
              <w:bottom w:val="nil"/>
            </w:tcBorders>
          </w:tcPr>
          <w:p w:rsidR="00000000" w:rsidRDefault="00000000">
            <w:pPr>
              <w:spacing w:line="240" w:lineRule="auto"/>
              <w:jc w:val="center"/>
            </w:pPr>
            <w:r>
              <w:t>14 142</w:t>
            </w:r>
          </w:p>
        </w:tc>
        <w:tc>
          <w:tcPr>
            <w:tcW w:w="1170" w:type="dxa"/>
            <w:tcBorders>
              <w:top w:val="nil"/>
              <w:bottom w:val="nil"/>
            </w:tcBorders>
          </w:tcPr>
          <w:p w:rsidR="00000000" w:rsidRDefault="00000000">
            <w:pPr>
              <w:spacing w:line="240" w:lineRule="auto"/>
              <w:jc w:val="center"/>
            </w:pPr>
            <w:r>
              <w:t>40,4</w:t>
            </w:r>
          </w:p>
        </w:tc>
        <w:tc>
          <w:tcPr>
            <w:tcW w:w="2060" w:type="dxa"/>
            <w:tcBorders>
              <w:top w:val="nil"/>
              <w:bottom w:val="nil"/>
            </w:tcBorders>
          </w:tcPr>
          <w:p w:rsidR="00000000" w:rsidRDefault="00000000">
            <w:pPr>
              <w:spacing w:line="240" w:lineRule="auto"/>
              <w:jc w:val="center"/>
            </w:pPr>
            <w:r>
              <w:t>3,6</w:t>
            </w:r>
          </w:p>
        </w:tc>
        <w:tc>
          <w:tcPr>
            <w:tcW w:w="2118" w:type="dxa"/>
            <w:tcBorders>
              <w:top w:val="nil"/>
              <w:bottom w:val="nil"/>
            </w:tcBorders>
          </w:tcPr>
          <w:p w:rsidR="00000000" w:rsidRDefault="00000000">
            <w:pPr>
              <w:spacing w:line="240" w:lineRule="auto"/>
              <w:jc w:val="center"/>
            </w:pPr>
            <w:r>
              <w:t>2,5</w:t>
            </w:r>
          </w:p>
        </w:tc>
      </w:tr>
      <w:tr w:rsidR="00000000">
        <w:tblPrEx>
          <w:tblCellMar>
            <w:top w:w="0" w:type="dxa"/>
            <w:bottom w:w="0" w:type="dxa"/>
          </w:tblCellMar>
        </w:tblPrEx>
        <w:tc>
          <w:tcPr>
            <w:tcW w:w="1780" w:type="dxa"/>
            <w:tcBorders>
              <w:top w:val="nil"/>
            </w:tcBorders>
          </w:tcPr>
          <w:p w:rsidR="00000000" w:rsidRDefault="00000000">
            <w:pPr>
              <w:spacing w:line="240" w:lineRule="auto"/>
            </w:pPr>
            <w:r>
              <w:t>1998/99</w:t>
            </w:r>
          </w:p>
        </w:tc>
        <w:tc>
          <w:tcPr>
            <w:tcW w:w="1169" w:type="dxa"/>
            <w:tcBorders>
              <w:top w:val="nil"/>
            </w:tcBorders>
          </w:tcPr>
          <w:p w:rsidR="00000000" w:rsidRDefault="00000000">
            <w:pPr>
              <w:spacing w:line="240" w:lineRule="auto"/>
              <w:jc w:val="center"/>
            </w:pPr>
            <w:r>
              <w:t>32 721</w:t>
            </w:r>
          </w:p>
        </w:tc>
        <w:tc>
          <w:tcPr>
            <w:tcW w:w="1170" w:type="dxa"/>
            <w:tcBorders>
              <w:top w:val="nil"/>
            </w:tcBorders>
          </w:tcPr>
          <w:p w:rsidR="00000000" w:rsidRDefault="00000000">
            <w:pPr>
              <w:spacing w:line="240" w:lineRule="auto"/>
              <w:jc w:val="center"/>
            </w:pPr>
            <w:r>
              <w:t>13 205</w:t>
            </w:r>
          </w:p>
        </w:tc>
        <w:tc>
          <w:tcPr>
            <w:tcW w:w="1170" w:type="dxa"/>
            <w:tcBorders>
              <w:top w:val="nil"/>
            </w:tcBorders>
          </w:tcPr>
          <w:p w:rsidR="00000000" w:rsidRDefault="00000000">
            <w:pPr>
              <w:spacing w:line="240" w:lineRule="auto"/>
              <w:jc w:val="center"/>
            </w:pPr>
            <w:r>
              <w:t>40,4</w:t>
            </w:r>
          </w:p>
        </w:tc>
        <w:tc>
          <w:tcPr>
            <w:tcW w:w="2060" w:type="dxa"/>
            <w:tcBorders>
              <w:top w:val="nil"/>
            </w:tcBorders>
          </w:tcPr>
          <w:p w:rsidR="00000000" w:rsidRDefault="00000000">
            <w:pPr>
              <w:spacing w:line="240" w:lineRule="auto"/>
              <w:jc w:val="center"/>
            </w:pPr>
            <w:r>
              <w:t>3,3</w:t>
            </w:r>
          </w:p>
        </w:tc>
        <w:tc>
          <w:tcPr>
            <w:tcW w:w="2118" w:type="dxa"/>
            <w:tcBorders>
              <w:top w:val="nil"/>
            </w:tcBorders>
          </w:tcPr>
          <w:p w:rsidR="00000000" w:rsidRDefault="00000000">
            <w:pPr>
              <w:spacing w:line="240" w:lineRule="auto"/>
              <w:jc w:val="center"/>
            </w:pPr>
            <w:r>
              <w:t>2,4</w:t>
            </w:r>
          </w:p>
        </w:tc>
      </w:tr>
    </w:tbl>
    <w:p w:rsidR="00000000" w:rsidRDefault="00000000">
      <w:pPr>
        <w:spacing w:line="240" w:lineRule="auto"/>
      </w:pPr>
    </w:p>
    <w:p w:rsidR="00000000" w:rsidRDefault="00000000"/>
    <w:p w:rsidR="00000000" w:rsidRDefault="00000000">
      <w:r>
        <w:t>609.</w:t>
      </w:r>
      <w:r>
        <w:tab/>
        <w:t>В настоящее время в специальные школы помещаются также другие дети со специальными потребностями в области образования, чей интеллектуальный уровень превышает установленный для этой категории учащихся.  К ним относятся, например, учащиеся со многими одновременно проявляющимися дефектами, учащиеся, которым врачами поставлен диагноз "аутизм", или с признаками аутизма, учащиеся, которые страдают более серьезными формами психических отклонений или серьезными заболеваниями (например, эпилепсией, диабетом, аллергией и т.п.), дети, испытывающие трудности с усвоением учебного материала, и дети с отклонениями в поведении, а также дети из семей, находящихся в неблагоприятном социально-культурном положении.  Зачастую специальные школы посещают в основном ученики, которые не способны овладеть элементарным учебным материалом в установленные для этого обычные сроки.</w:t>
      </w:r>
    </w:p>
    <w:p w:rsidR="00000000" w:rsidRDefault="00000000"/>
    <w:p w:rsidR="00000000" w:rsidRDefault="00000000">
      <w:r>
        <w:t>610.</w:t>
      </w:r>
      <w:r>
        <w:tab/>
        <w:t>К таким категориям относится большое число детей рома, посещающих специальные школы, и этим объясняется наличие в таких школах большой доли этих детей</w:t>
      </w:r>
      <w:r>
        <w:rPr>
          <w:rStyle w:val="FootnoteReference"/>
        </w:rPr>
        <w:footnoteReference w:id="363"/>
      </w:r>
      <w:r>
        <w:t>, поскольку в обычной начальной школе невозможно адаптировать методику обучения к конкретным потребностям детей из другой социально-культурной среды или детей, сталкивающихся с языковым барьером.  Дети рома переводятся в специальные школы на основе стандартной процедуры, а именно после психологического обследования и с согласия родителей.  Однако существует проблема, связанная не только с методом тестирования и обоснованностью его результатов</w:t>
      </w:r>
      <w:r>
        <w:rPr>
          <w:rStyle w:val="FootnoteReference"/>
        </w:rPr>
        <w:footnoteReference w:id="364"/>
      </w:r>
      <w:r>
        <w:t>, но и с тем фактом, что родители из числа рома не считают, что их дети, посещая специальные школы, оказываются в неблагоприятном положении, поскольку они сами зачастую являются их выпускниками и не всегда в достаточной степени информированы о последствиях своего согласия для дальнейших возможностей в плане продолжения образования и профессиональной подготовки их детей после окончания специальных школ.</w:t>
      </w:r>
    </w:p>
    <w:p w:rsidR="00000000" w:rsidRDefault="00000000"/>
    <w:p w:rsidR="00000000" w:rsidRDefault="00000000">
      <w:r>
        <w:t>611.</w:t>
      </w:r>
      <w:r>
        <w:tab/>
        <w:t>10 октября 1997 года Комитет по правам ребенка выразил свое неудовлетворение в связи с неадекватными мерами, принимаемыми в Чешской Республике для предупреждения всех форм дискриминации в отношении детей из числа меньшинств, включая детей рома, и борьбы с ней, и рекомендовал правительству Чешской Республики прилагать более активные усилия для ликвидации практики дискриминации в отношении рома.  19 марта 1998 года Комитет по ликвидации расовой дискриминации (КЛРД) после рассмотрения первоначального и второго периодического докладов Чешской Республики об осуществлении Международной конвенции о ликвидации всех форм расовой дискриминации также выразил свое мнение по вопросу о функционировании чешских специальных школ.  КЛРД с неудовлетворением отметил маргинализацию общины рома в сфере образования.  В заключении КЛРД отмечается, что помещение большого числа рома в специальные школы, которое приводит к расовой сегрегации де</w:t>
      </w:r>
      <w:r>
        <w:noBreakHyphen/>
        <w:t>факто, а также высокая степень недопредставленности рома в системах среднего и высшего образования дают основание сомневаться в полном осуществлении статьи 5 Конвенции о правах ребенка.</w:t>
      </w:r>
    </w:p>
    <w:p w:rsidR="00000000" w:rsidRDefault="00000000"/>
    <w:p w:rsidR="00000000" w:rsidRDefault="00000000">
      <w:r>
        <w:t>612.</w:t>
      </w:r>
      <w:r>
        <w:tab/>
        <w:t>Европейский центр в защиту прав рома в Будапеште также отметил несоответствие между практикой и правами, гарантированными в чешской Конституции и Европейской конвенции о защите прав человека и основных свобод.  По его рекомендации родители 12 детей рома из Остравы представили в Конституционный суд Чешской Республики жалобу в связи с помещением их детей в специальные школы (жалоба представлена 15 июня 1999 года).  В этой жалобе также отмечался тот факт, что родители не были в достаточной степени предупреждены относительно последствий окончания не начальной, а специальной школы в плане дальнейшего образования и участия в трудовой деятельности.  8 ноября 1999 года Конституционный суд отклонил жалобу, заявив, что он не обладает полной юрисдикцией в отношении удовлетворения жалобы;  при этом Суд счел, что часть жалобы, касающаяся конкретных решений руководителей специальных школ, явно является необоснованной.  Конституционный суд рекомендовал урегулировать те части жалобы, в отношении которых он не обладает юрисдикцией, с соответствующими административными органами Чешской Республики.</w:t>
      </w:r>
    </w:p>
    <w:p w:rsidR="00000000" w:rsidRDefault="00000000"/>
    <w:p w:rsidR="00000000" w:rsidRDefault="00000000">
      <w:r>
        <w:t>613.</w:t>
      </w:r>
      <w:r>
        <w:tab/>
        <w:t>В связи с этим в конце 1999 года парламент Чешской Республики внес поправки в Закон об учебных заведениях</w:t>
      </w:r>
      <w:r>
        <w:rPr>
          <w:rStyle w:val="FootnoteReference"/>
        </w:rPr>
        <w:footnoteReference w:id="365"/>
      </w:r>
      <w:r>
        <w:t>, которые вступили в силу 18 февраля 2000 года.  Эти поправки предусматривают расширение возможностей для перевода учащихся в другие учебные заведения системы образования и дает всем лицам, завершившим обязательное образование, право свободного выбора в отношении дальнейшей учебы или свободного выбора профессии.  После принятия этих поправок в средние школы уже не будут зачислять только лиц, успешно окончивших начальную школу, а будут принимать также лиц, соответствующих условиям избранной профессии или критериям приема в среднюю школу.  Таким образом, выпускники специальных школ</w:t>
      </w:r>
      <w:r>
        <w:rPr>
          <w:rStyle w:val="FootnoteReference"/>
        </w:rPr>
        <w:footnoteReference w:id="366"/>
      </w:r>
      <w:r>
        <w:t xml:space="preserve"> также смогут поступать в средние школы.  В связи с этим министерство образования, по делам молодежи и спорта направило во все школьные канцелярии информацию о процедурах приема в среднюю школу учащихся и других лиц, усвоивших курс обязательного образования, но не окончивших начальную школу.</w:t>
      </w:r>
    </w:p>
    <w:p w:rsidR="00000000" w:rsidRDefault="00000000"/>
    <w:p w:rsidR="00000000" w:rsidRDefault="00000000">
      <w:r>
        <w:t>614.</w:t>
      </w:r>
      <w:r>
        <w:tab/>
        <w:t>С тем чтобы создать условия для успешной учебы в начальной школе детей из находящихся в неблагоприятном социально-культурном положении семей (особенно детей рома), детей с другим родным языком, а также других детей, например, зачисленных в систему обязательного образования с отсрочкой, согласно обновленной в 1992 году статье 58 а) Закона об учебных заведениях, были на экспериментальной основе созданы подготовительные классы в начальных и специальных школах</w:t>
      </w:r>
      <w:r>
        <w:rPr>
          <w:rStyle w:val="FootnoteReference"/>
        </w:rPr>
        <w:footnoteReference w:id="367"/>
      </w:r>
      <w:r>
        <w:t xml:space="preserve"> и, в исключительных случаях, также в детских садах</w:t>
      </w:r>
      <w:r>
        <w:rPr>
          <w:rStyle w:val="FootnoteReference"/>
        </w:rPr>
        <w:footnoteReference w:id="368"/>
      </w:r>
      <w:r>
        <w:t xml:space="preserve">.  Цель подготовительных классов состоит в систематической подготовке детей к беспроблемному включению в процесс обучения в первом классе начальной школы.  Главная задача преподавания в подготовительных классах состоит в преодолении языковых трудностей, с которыми, например, сталкиваются учащиеся из числа рома, а также в обеспечении учета индивидуальных потребностей детей.  Таким образом, посещение подготовительных классов призвано устранить недостатки в семейной подготовке детей, поступающих в первый класс начальной школы, в результате которых они зачастую без особой необходимости помещаются в специальные школы.  </w:t>
      </w:r>
    </w:p>
    <w:p w:rsidR="00000000" w:rsidRDefault="00000000"/>
    <w:p w:rsidR="00000000" w:rsidRDefault="00000000">
      <w:r>
        <w:t>615.</w:t>
      </w:r>
      <w:r>
        <w:tab/>
        <w:t>Чаще всего подготовительные классы организуются в населенных пунктах компактного проживания народа рома</w:t>
      </w:r>
      <w:r>
        <w:rPr>
          <w:rStyle w:val="FootnoteReference"/>
        </w:rPr>
        <w:footnoteReference w:id="369"/>
      </w:r>
      <w:r>
        <w:t xml:space="preserve">.  Большая доля выпускников подготовительных классов успешно начинают посещать начальную школу.  В 1998/99 учебном году в Чешской Республике функционировало 100 подготовительных классов, в которых обучались 1 237 детей, при этом 50 таких классов было создано в начальных школах, четыре класса - в начальных специальных школах, 37 классов - в специальных школах и 9 классов - в детских садах.  </w:t>
      </w:r>
    </w:p>
    <w:p w:rsidR="00000000" w:rsidRDefault="00000000"/>
    <w:p w:rsidR="00000000" w:rsidRDefault="00000000">
      <w:r>
        <w:t>616.</w:t>
      </w:r>
      <w:r>
        <w:tab/>
        <w:t>Начиная с 1997 года для детей, поступающих в подготовительные классы и продолжающих образование, в школе может учреждаться должность педагога-ассистента из числа рома, с тем чтобы облегчить детям преодоление коммуникационного, адаптационного и других барьеров</w:t>
      </w:r>
      <w:r>
        <w:rPr>
          <w:rStyle w:val="FootnoteReference"/>
        </w:rPr>
        <w:footnoteReference w:id="370"/>
      </w:r>
      <w:r>
        <w:t>.  Работа этого ассистента состоит в следующем:</w:t>
      </w:r>
    </w:p>
    <w:p w:rsidR="00000000" w:rsidRDefault="00000000"/>
    <w:p w:rsidR="00000000" w:rsidRDefault="00000000">
      <w:pPr>
        <w:ind w:left="1134" w:hanging="1134"/>
      </w:pPr>
      <w:r>
        <w:tab/>
        <w:t>-</w:t>
      </w:r>
      <w:r>
        <w:tab/>
        <w:t>оказывать помощь в социальном воспитании, в общении с детьми рома, в индивидуализации педагогического процесса и в устранении социальных и образовательных проблем;</w:t>
      </w:r>
    </w:p>
    <w:p w:rsidR="00000000" w:rsidRDefault="00000000">
      <w:pPr>
        <w:ind w:left="1134" w:hanging="1134"/>
      </w:pPr>
    </w:p>
    <w:p w:rsidR="00000000" w:rsidRDefault="00000000">
      <w:pPr>
        <w:ind w:left="1134" w:hanging="1134"/>
      </w:pPr>
      <w:r>
        <w:tab/>
        <w:t>-</w:t>
      </w:r>
      <w:r>
        <w:tab/>
        <w:t>помогать в организации внеклассных и внешкольных мероприятий;</w:t>
      </w:r>
    </w:p>
    <w:p w:rsidR="00000000" w:rsidRDefault="00000000">
      <w:pPr>
        <w:ind w:left="1134" w:hanging="1134"/>
      </w:pPr>
    </w:p>
    <w:p w:rsidR="00000000" w:rsidRDefault="00000000">
      <w:pPr>
        <w:ind w:left="1134" w:hanging="1134"/>
      </w:pPr>
      <w:r>
        <w:tab/>
        <w:t>-</w:t>
      </w:r>
      <w:r>
        <w:tab/>
        <w:t>сотрудничать с родителями;</w:t>
      </w:r>
    </w:p>
    <w:p w:rsidR="00000000" w:rsidRDefault="00000000">
      <w:pPr>
        <w:ind w:left="1134" w:hanging="1134"/>
      </w:pPr>
    </w:p>
    <w:p w:rsidR="00000000" w:rsidRDefault="00000000">
      <w:pPr>
        <w:ind w:left="1134" w:hanging="1134"/>
      </w:pPr>
      <w:r>
        <w:tab/>
        <w:t>-</w:t>
      </w:r>
      <w:r>
        <w:tab/>
        <w:t>сотрудничать с местной общиной рома.</w:t>
      </w:r>
    </w:p>
    <w:p w:rsidR="00000000" w:rsidRDefault="00000000">
      <w:pPr>
        <w:ind w:left="1134" w:hanging="1134"/>
      </w:pPr>
    </w:p>
    <w:p w:rsidR="00000000" w:rsidRDefault="00000000">
      <w:r>
        <w:t>617.</w:t>
      </w:r>
      <w:r>
        <w:tab/>
        <w:t>На должности ассистентов принимаются лица в возрасте старше 18 лет, не имеющие уголовного прошлого и окончившие десятидневные курсы по основам педагогики.  Создание должности ассистента инициируется директором школы;  отдел образования утверждает заявку директора и препровождает ее в министерство образования на предмет утверждения, сопроводив своей рекомендацией в отношении выделения средств.  В постановлении об экспериментальном тестировании в подготовительных классах (№ 14169/98-22) отменено требование о том, чтобы на должность педагога-ассистента из числа рома принимались лица, получившие среднее образование.  По состоянию на 1 сентября 1999 года, в школах работало 146 таких ассистентов из числа рома;  их оклады выплачиваются из средств министерства образования, по делам молодежи и спорта.  Размеры оклада ассистента устанавливаются по предложению директора школы.</w:t>
      </w:r>
    </w:p>
    <w:p w:rsidR="00000000" w:rsidRDefault="00000000"/>
    <w:p w:rsidR="00000000" w:rsidRDefault="00000000">
      <w:r>
        <w:t>618.</w:t>
      </w:r>
      <w:r>
        <w:tab/>
        <w:t>Для детей-инвалидов или детей, находящихся в неблагоприятном социальном положении, очень важно перед началом школьного образования посещать детские сады.  Воспитание в дошкольном учреждении прежде всего помогает детям в социальной адаптации, приобретении знаний и развитии навыков, необходимых для посещения начальной школы.  Основные направления нового Закона об учебных заведениях предусматривают право ребенка на дошкольное воспитание в течение года, предшествующего поступлению в систему обязательного образования.</w:t>
      </w:r>
    </w:p>
    <w:p w:rsidR="00000000" w:rsidRDefault="00000000">
      <w:pPr>
        <w:spacing w:line="240" w:lineRule="auto"/>
      </w:pPr>
    </w:p>
    <w:p w:rsidR="00000000" w:rsidRDefault="00000000">
      <w:pPr>
        <w:pStyle w:val="FootnoteText"/>
        <w:spacing w:line="288" w:lineRule="auto"/>
      </w:pPr>
      <w:r>
        <w:t>619.</w:t>
      </w:r>
      <w:r>
        <w:tab/>
        <w:t>В соответствии со статьей 60 Закона об учебных заведениях в начальной или средней школе могут организовываться курсы начального образования для лиц, которые не получили начального образования или не закончили его.  Эти курсы предназначены для всех лиц, которые получили образование ниже девятого класса (в том числе второгодников) или не сдали экзамены за девятый класс.  В соответствии с инструкцией министерства образования эти курсы могут посещать также выпускники специальных школ</w:t>
      </w:r>
      <w:r>
        <w:rPr>
          <w:rStyle w:val="FootnoteReference"/>
        </w:rPr>
        <w:footnoteReference w:id="371"/>
      </w:r>
      <w:r>
        <w:t>.  Курсы для получения (дополнительного) начального образования, которые организуются в специальных школах</w:t>
      </w:r>
      <w:r>
        <w:rPr>
          <w:rStyle w:val="FootnoteReference"/>
        </w:rPr>
        <w:footnoteReference w:id="372"/>
      </w:r>
      <w:r>
        <w:t>, также способствовали расширению возможностей в плане получения образования.</w:t>
      </w:r>
    </w:p>
    <w:p w:rsidR="00000000" w:rsidRDefault="00000000">
      <w:pPr>
        <w:pStyle w:val="10"/>
        <w:spacing w:line="240" w:lineRule="auto"/>
        <w:rPr>
          <w:bCs/>
        </w:rPr>
      </w:pPr>
    </w:p>
    <w:p w:rsidR="00000000" w:rsidRDefault="00000000">
      <w:pPr>
        <w:pStyle w:val="10"/>
        <w:spacing w:line="240" w:lineRule="auto"/>
        <w:rPr>
          <w:bCs/>
        </w:rPr>
      </w:pPr>
      <w:r>
        <w:rPr>
          <w:bCs/>
        </w:rPr>
        <w:t>Число учащихся, получивших обязательное образование</w:t>
      </w:r>
    </w:p>
    <w:p w:rsidR="00000000" w:rsidRDefault="00000000">
      <w:pPr>
        <w:spacing w:line="240" w:lineRule="auto"/>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4"/>
        <w:gridCol w:w="5049"/>
        <w:gridCol w:w="2244"/>
      </w:tblGrid>
      <w:tr w:rsidR="00000000">
        <w:tblPrEx>
          <w:tblCellMar>
            <w:top w:w="0" w:type="dxa"/>
            <w:bottom w:w="0" w:type="dxa"/>
          </w:tblCellMar>
        </w:tblPrEx>
        <w:tc>
          <w:tcPr>
            <w:tcW w:w="1604" w:type="dxa"/>
            <w:tcBorders>
              <w:bottom w:val="single" w:sz="4" w:space="0" w:color="auto"/>
            </w:tcBorders>
            <w:vAlign w:val="center"/>
          </w:tcPr>
          <w:p w:rsidR="00000000" w:rsidRDefault="00000000">
            <w:pPr>
              <w:pStyle w:val="16"/>
              <w:spacing w:line="240" w:lineRule="auto"/>
            </w:pPr>
            <w:r>
              <w:t>Учебный год</w:t>
            </w:r>
          </w:p>
        </w:tc>
        <w:tc>
          <w:tcPr>
            <w:tcW w:w="5049" w:type="dxa"/>
            <w:tcBorders>
              <w:bottom w:val="single" w:sz="4" w:space="0" w:color="auto"/>
            </w:tcBorders>
            <w:vAlign w:val="center"/>
          </w:tcPr>
          <w:p w:rsidR="00000000" w:rsidRDefault="00000000">
            <w:pPr>
              <w:pStyle w:val="16"/>
              <w:spacing w:line="240" w:lineRule="auto"/>
            </w:pPr>
            <w:r>
              <w:t>Учебное заведение</w:t>
            </w:r>
          </w:p>
        </w:tc>
        <w:tc>
          <w:tcPr>
            <w:tcW w:w="2244" w:type="dxa"/>
            <w:tcBorders>
              <w:bottom w:val="single" w:sz="4" w:space="0" w:color="auto"/>
            </w:tcBorders>
            <w:vAlign w:val="center"/>
          </w:tcPr>
          <w:p w:rsidR="00000000" w:rsidRDefault="00000000">
            <w:pPr>
              <w:pStyle w:val="16"/>
              <w:spacing w:line="240" w:lineRule="auto"/>
            </w:pPr>
            <w:r>
              <w:t>Число учащихся</w:t>
            </w:r>
          </w:p>
        </w:tc>
      </w:tr>
      <w:tr w:rsidR="00000000">
        <w:tblPrEx>
          <w:tblCellMar>
            <w:top w:w="0" w:type="dxa"/>
            <w:bottom w:w="0" w:type="dxa"/>
          </w:tblCellMar>
        </w:tblPrEx>
        <w:tc>
          <w:tcPr>
            <w:tcW w:w="1604" w:type="dxa"/>
            <w:tcBorders>
              <w:bottom w:val="nil"/>
            </w:tcBorders>
          </w:tcPr>
          <w:p w:rsidR="00000000" w:rsidRDefault="00000000">
            <w:pPr>
              <w:spacing w:line="240" w:lineRule="auto"/>
            </w:pPr>
            <w:r>
              <w:t>1996/97</w:t>
            </w:r>
          </w:p>
        </w:tc>
        <w:tc>
          <w:tcPr>
            <w:tcW w:w="5049" w:type="dxa"/>
            <w:tcBorders>
              <w:bottom w:val="nil"/>
            </w:tcBorders>
          </w:tcPr>
          <w:p w:rsidR="00000000" w:rsidRDefault="00000000">
            <w:pPr>
              <w:spacing w:line="240" w:lineRule="auto"/>
              <w:ind w:left="79"/>
            </w:pPr>
            <w:r>
              <w:t>Всего</w:t>
            </w:r>
            <w:r>
              <w:rPr>
                <w:b/>
                <w:bCs/>
                <w:vertAlign w:val="superscript"/>
              </w:rPr>
              <w:t>а b с</w:t>
            </w:r>
          </w:p>
        </w:tc>
        <w:tc>
          <w:tcPr>
            <w:tcW w:w="2244" w:type="dxa"/>
            <w:tcBorders>
              <w:bottom w:val="nil"/>
            </w:tcBorders>
          </w:tcPr>
          <w:p w:rsidR="00000000" w:rsidRDefault="00000000">
            <w:pPr>
              <w:tabs>
                <w:tab w:val="clear" w:pos="1134"/>
                <w:tab w:val="clear" w:pos="1701"/>
              </w:tabs>
              <w:spacing w:line="240" w:lineRule="auto"/>
              <w:ind w:right="640"/>
              <w:jc w:val="right"/>
            </w:pPr>
            <w:r>
              <w:t>136 777</w:t>
            </w:r>
          </w:p>
        </w:tc>
      </w:tr>
      <w:tr w:rsidR="00000000">
        <w:tblPrEx>
          <w:tblCellMar>
            <w:top w:w="0" w:type="dxa"/>
            <w:bottom w:w="0" w:type="dxa"/>
          </w:tblCellMar>
        </w:tblPrEx>
        <w:tc>
          <w:tcPr>
            <w:tcW w:w="1604" w:type="dxa"/>
            <w:tcBorders>
              <w:top w:val="nil"/>
              <w:bottom w:val="nil"/>
            </w:tcBorders>
          </w:tcPr>
          <w:p w:rsidR="00000000" w:rsidRDefault="00000000">
            <w:pPr>
              <w:spacing w:line="240" w:lineRule="auto"/>
            </w:pPr>
          </w:p>
        </w:tc>
        <w:tc>
          <w:tcPr>
            <w:tcW w:w="5049" w:type="dxa"/>
            <w:tcBorders>
              <w:top w:val="nil"/>
              <w:bottom w:val="nil"/>
            </w:tcBorders>
          </w:tcPr>
          <w:p w:rsidR="00000000" w:rsidRDefault="00000000">
            <w:pPr>
              <w:spacing w:line="240" w:lineRule="auto"/>
              <w:ind w:left="79"/>
            </w:pPr>
            <w:r>
              <w:t>Из них в начальных школах</w:t>
            </w:r>
            <w:r>
              <w:rPr>
                <w:b/>
                <w:bCs/>
                <w:vertAlign w:val="superscript"/>
              </w:rPr>
              <w:t>d</w:t>
            </w:r>
          </w:p>
        </w:tc>
        <w:tc>
          <w:tcPr>
            <w:tcW w:w="2244" w:type="dxa"/>
            <w:tcBorders>
              <w:top w:val="nil"/>
              <w:bottom w:val="nil"/>
            </w:tcBorders>
          </w:tcPr>
          <w:p w:rsidR="00000000" w:rsidRDefault="00000000">
            <w:pPr>
              <w:tabs>
                <w:tab w:val="clear" w:pos="1134"/>
                <w:tab w:val="clear" w:pos="1701"/>
              </w:tabs>
              <w:spacing w:line="240" w:lineRule="auto"/>
              <w:ind w:right="640"/>
              <w:jc w:val="right"/>
            </w:pPr>
            <w:r>
              <w:t>129 501</w:t>
            </w:r>
          </w:p>
        </w:tc>
      </w:tr>
      <w:tr w:rsidR="00000000">
        <w:tblPrEx>
          <w:tblCellMar>
            <w:top w:w="0" w:type="dxa"/>
            <w:bottom w:w="0" w:type="dxa"/>
          </w:tblCellMar>
        </w:tblPrEx>
        <w:tc>
          <w:tcPr>
            <w:tcW w:w="1604" w:type="dxa"/>
            <w:tcBorders>
              <w:top w:val="nil"/>
              <w:bottom w:val="nil"/>
            </w:tcBorders>
          </w:tcPr>
          <w:p w:rsidR="00000000" w:rsidRDefault="00000000">
            <w:pPr>
              <w:spacing w:line="240" w:lineRule="auto"/>
            </w:pPr>
          </w:p>
        </w:tc>
        <w:tc>
          <w:tcPr>
            <w:tcW w:w="5049" w:type="dxa"/>
            <w:tcBorders>
              <w:top w:val="nil"/>
              <w:bottom w:val="nil"/>
            </w:tcBorders>
          </w:tcPr>
          <w:p w:rsidR="00000000" w:rsidRDefault="00000000">
            <w:pPr>
              <w:spacing w:line="240" w:lineRule="auto"/>
              <w:ind w:left="638"/>
            </w:pPr>
            <w:r>
              <w:t>специализированных школах</w:t>
            </w:r>
            <w:r>
              <w:rPr>
                <w:b/>
                <w:bCs/>
                <w:vertAlign w:val="superscript"/>
              </w:rPr>
              <w:t>а</w:t>
            </w:r>
          </w:p>
        </w:tc>
        <w:tc>
          <w:tcPr>
            <w:tcW w:w="2244" w:type="dxa"/>
            <w:tcBorders>
              <w:top w:val="nil"/>
              <w:bottom w:val="nil"/>
            </w:tcBorders>
          </w:tcPr>
          <w:p w:rsidR="00000000" w:rsidRDefault="00000000">
            <w:pPr>
              <w:tabs>
                <w:tab w:val="clear" w:pos="1134"/>
                <w:tab w:val="clear" w:pos="1701"/>
              </w:tabs>
              <w:spacing w:line="240" w:lineRule="auto"/>
              <w:ind w:right="640"/>
              <w:jc w:val="right"/>
            </w:pPr>
            <w:r>
              <w:t>6 753</w:t>
            </w:r>
          </w:p>
        </w:tc>
      </w:tr>
      <w:tr w:rsidR="00000000">
        <w:tblPrEx>
          <w:tblCellMar>
            <w:top w:w="0" w:type="dxa"/>
            <w:bottom w:w="0" w:type="dxa"/>
          </w:tblCellMar>
        </w:tblPrEx>
        <w:tc>
          <w:tcPr>
            <w:tcW w:w="1604" w:type="dxa"/>
            <w:tcBorders>
              <w:top w:val="nil"/>
              <w:bottom w:val="nil"/>
            </w:tcBorders>
          </w:tcPr>
          <w:p w:rsidR="00000000" w:rsidRDefault="00000000">
            <w:pPr>
              <w:spacing w:line="240" w:lineRule="auto"/>
            </w:pPr>
          </w:p>
        </w:tc>
        <w:tc>
          <w:tcPr>
            <w:tcW w:w="5049" w:type="dxa"/>
            <w:tcBorders>
              <w:top w:val="nil"/>
              <w:bottom w:val="nil"/>
            </w:tcBorders>
          </w:tcPr>
          <w:p w:rsidR="00000000" w:rsidRDefault="00000000">
            <w:pPr>
              <w:spacing w:line="240" w:lineRule="auto"/>
              <w:ind w:left="638"/>
            </w:pPr>
            <w:r>
              <w:t>других учебных заведениях</w:t>
            </w:r>
            <w:r>
              <w:rPr>
                <w:b/>
                <w:bCs/>
                <w:vertAlign w:val="superscript"/>
              </w:rPr>
              <w:t>е</w:t>
            </w:r>
          </w:p>
        </w:tc>
        <w:tc>
          <w:tcPr>
            <w:tcW w:w="2244" w:type="dxa"/>
            <w:tcBorders>
              <w:top w:val="nil"/>
              <w:bottom w:val="nil"/>
            </w:tcBorders>
          </w:tcPr>
          <w:p w:rsidR="00000000" w:rsidRDefault="00000000">
            <w:pPr>
              <w:pStyle w:val="FootnoteText"/>
              <w:tabs>
                <w:tab w:val="clear" w:pos="1134"/>
                <w:tab w:val="clear" w:pos="1701"/>
              </w:tabs>
              <w:ind w:right="640"/>
              <w:jc w:val="right"/>
            </w:pPr>
            <w:r>
              <w:t>523</w:t>
            </w:r>
          </w:p>
        </w:tc>
      </w:tr>
      <w:tr w:rsidR="00000000">
        <w:tblPrEx>
          <w:tblCellMar>
            <w:top w:w="0" w:type="dxa"/>
            <w:bottom w:w="0" w:type="dxa"/>
          </w:tblCellMar>
        </w:tblPrEx>
        <w:tc>
          <w:tcPr>
            <w:tcW w:w="1604" w:type="dxa"/>
            <w:tcBorders>
              <w:top w:val="nil"/>
              <w:bottom w:val="nil"/>
            </w:tcBorders>
          </w:tcPr>
          <w:p w:rsidR="00000000" w:rsidRDefault="00000000">
            <w:pPr>
              <w:pStyle w:val="FootnoteText"/>
            </w:pPr>
            <w:r>
              <w:t>1997/98</w:t>
            </w:r>
          </w:p>
        </w:tc>
        <w:tc>
          <w:tcPr>
            <w:tcW w:w="5049" w:type="dxa"/>
            <w:tcBorders>
              <w:top w:val="nil"/>
              <w:bottom w:val="nil"/>
            </w:tcBorders>
          </w:tcPr>
          <w:p w:rsidR="00000000" w:rsidRDefault="00000000">
            <w:pPr>
              <w:pStyle w:val="FootnoteText"/>
              <w:ind w:left="79"/>
            </w:pPr>
            <w:r>
              <w:t>Всего</w:t>
            </w:r>
            <w:r>
              <w:rPr>
                <w:b/>
                <w:bCs/>
                <w:vertAlign w:val="superscript"/>
              </w:rPr>
              <w:t>а b с</w:t>
            </w:r>
          </w:p>
        </w:tc>
        <w:tc>
          <w:tcPr>
            <w:tcW w:w="2244" w:type="dxa"/>
            <w:tcBorders>
              <w:top w:val="nil"/>
              <w:bottom w:val="nil"/>
            </w:tcBorders>
          </w:tcPr>
          <w:p w:rsidR="00000000" w:rsidRDefault="00000000">
            <w:pPr>
              <w:pStyle w:val="FootnoteText"/>
              <w:tabs>
                <w:tab w:val="clear" w:pos="1134"/>
                <w:tab w:val="clear" w:pos="1701"/>
              </w:tabs>
              <w:ind w:right="640"/>
              <w:jc w:val="right"/>
            </w:pPr>
            <w:r>
              <w:t>132 740</w:t>
            </w:r>
          </w:p>
        </w:tc>
      </w:tr>
      <w:tr w:rsidR="00000000">
        <w:tblPrEx>
          <w:tblCellMar>
            <w:top w:w="0" w:type="dxa"/>
            <w:bottom w:w="0" w:type="dxa"/>
          </w:tblCellMar>
        </w:tblPrEx>
        <w:tc>
          <w:tcPr>
            <w:tcW w:w="1604" w:type="dxa"/>
            <w:tcBorders>
              <w:top w:val="nil"/>
              <w:bottom w:val="nil"/>
            </w:tcBorders>
          </w:tcPr>
          <w:p w:rsidR="00000000" w:rsidRDefault="00000000">
            <w:pPr>
              <w:spacing w:line="240" w:lineRule="auto"/>
            </w:pPr>
          </w:p>
        </w:tc>
        <w:tc>
          <w:tcPr>
            <w:tcW w:w="5049" w:type="dxa"/>
            <w:tcBorders>
              <w:top w:val="nil"/>
              <w:bottom w:val="nil"/>
            </w:tcBorders>
          </w:tcPr>
          <w:p w:rsidR="00000000" w:rsidRDefault="00000000">
            <w:pPr>
              <w:spacing w:line="240" w:lineRule="auto"/>
              <w:ind w:left="79"/>
            </w:pPr>
            <w:r>
              <w:t>Из них в начальных школах</w:t>
            </w:r>
            <w:r>
              <w:rPr>
                <w:b/>
                <w:bCs/>
                <w:vertAlign w:val="superscript"/>
              </w:rPr>
              <w:t>d</w:t>
            </w:r>
          </w:p>
        </w:tc>
        <w:tc>
          <w:tcPr>
            <w:tcW w:w="2244" w:type="dxa"/>
            <w:tcBorders>
              <w:top w:val="nil"/>
              <w:bottom w:val="nil"/>
            </w:tcBorders>
          </w:tcPr>
          <w:p w:rsidR="00000000" w:rsidRDefault="00000000">
            <w:pPr>
              <w:pStyle w:val="FootnoteText"/>
              <w:tabs>
                <w:tab w:val="clear" w:pos="1134"/>
                <w:tab w:val="clear" w:pos="1701"/>
              </w:tabs>
              <w:ind w:right="640"/>
              <w:jc w:val="right"/>
            </w:pPr>
            <w:r>
              <w:t>125 348</w:t>
            </w:r>
          </w:p>
        </w:tc>
      </w:tr>
      <w:tr w:rsidR="00000000">
        <w:tblPrEx>
          <w:tblCellMar>
            <w:top w:w="0" w:type="dxa"/>
            <w:bottom w:w="0" w:type="dxa"/>
          </w:tblCellMar>
        </w:tblPrEx>
        <w:tc>
          <w:tcPr>
            <w:tcW w:w="1604" w:type="dxa"/>
            <w:tcBorders>
              <w:top w:val="nil"/>
              <w:bottom w:val="nil"/>
            </w:tcBorders>
          </w:tcPr>
          <w:p w:rsidR="00000000" w:rsidRDefault="00000000">
            <w:pPr>
              <w:spacing w:line="240" w:lineRule="auto"/>
            </w:pPr>
          </w:p>
        </w:tc>
        <w:tc>
          <w:tcPr>
            <w:tcW w:w="5049" w:type="dxa"/>
            <w:tcBorders>
              <w:top w:val="nil"/>
              <w:bottom w:val="nil"/>
            </w:tcBorders>
          </w:tcPr>
          <w:p w:rsidR="00000000" w:rsidRDefault="00000000">
            <w:pPr>
              <w:spacing w:line="240" w:lineRule="auto"/>
              <w:ind w:left="638"/>
            </w:pPr>
            <w:r>
              <w:t>специализированных школах</w:t>
            </w:r>
            <w:r>
              <w:rPr>
                <w:b/>
                <w:bCs/>
                <w:vertAlign w:val="superscript"/>
              </w:rPr>
              <w:t>а</w:t>
            </w:r>
          </w:p>
        </w:tc>
        <w:tc>
          <w:tcPr>
            <w:tcW w:w="2244" w:type="dxa"/>
            <w:tcBorders>
              <w:top w:val="nil"/>
              <w:bottom w:val="nil"/>
            </w:tcBorders>
          </w:tcPr>
          <w:p w:rsidR="00000000" w:rsidRDefault="00000000">
            <w:pPr>
              <w:pStyle w:val="FootnoteText"/>
              <w:tabs>
                <w:tab w:val="clear" w:pos="1134"/>
                <w:tab w:val="clear" w:pos="1701"/>
              </w:tabs>
              <w:ind w:right="640"/>
              <w:jc w:val="right"/>
            </w:pPr>
            <w:r>
              <w:t>6 731</w:t>
            </w:r>
          </w:p>
        </w:tc>
      </w:tr>
      <w:tr w:rsidR="00000000">
        <w:tblPrEx>
          <w:tblCellMar>
            <w:top w:w="0" w:type="dxa"/>
            <w:bottom w:w="0" w:type="dxa"/>
          </w:tblCellMar>
        </w:tblPrEx>
        <w:tc>
          <w:tcPr>
            <w:tcW w:w="1604" w:type="dxa"/>
            <w:tcBorders>
              <w:top w:val="nil"/>
            </w:tcBorders>
          </w:tcPr>
          <w:p w:rsidR="00000000" w:rsidRDefault="00000000">
            <w:pPr>
              <w:spacing w:line="240" w:lineRule="auto"/>
            </w:pPr>
          </w:p>
        </w:tc>
        <w:tc>
          <w:tcPr>
            <w:tcW w:w="5049" w:type="dxa"/>
            <w:tcBorders>
              <w:top w:val="nil"/>
            </w:tcBorders>
          </w:tcPr>
          <w:p w:rsidR="00000000" w:rsidRDefault="00000000">
            <w:pPr>
              <w:spacing w:line="240" w:lineRule="auto"/>
              <w:ind w:left="638"/>
            </w:pPr>
            <w:r>
              <w:t>других учебных заведениях</w:t>
            </w:r>
            <w:r>
              <w:rPr>
                <w:b/>
                <w:bCs/>
                <w:vertAlign w:val="superscript"/>
              </w:rPr>
              <w:t>е</w:t>
            </w:r>
          </w:p>
        </w:tc>
        <w:tc>
          <w:tcPr>
            <w:tcW w:w="2244" w:type="dxa"/>
            <w:tcBorders>
              <w:top w:val="nil"/>
            </w:tcBorders>
          </w:tcPr>
          <w:p w:rsidR="00000000" w:rsidRDefault="00000000">
            <w:pPr>
              <w:pStyle w:val="FootnoteText"/>
              <w:tabs>
                <w:tab w:val="clear" w:pos="1134"/>
                <w:tab w:val="clear" w:pos="1701"/>
              </w:tabs>
              <w:ind w:right="640"/>
              <w:jc w:val="right"/>
            </w:pPr>
            <w:r>
              <w:t>661</w:t>
            </w:r>
          </w:p>
        </w:tc>
      </w:tr>
    </w:tbl>
    <w:p w:rsidR="00000000" w:rsidRDefault="00000000">
      <w:pPr>
        <w:spacing w:line="240" w:lineRule="auto"/>
        <w:rPr>
          <w:b/>
          <w:bCs/>
        </w:rPr>
      </w:pPr>
    </w:p>
    <w:p w:rsidR="00000000" w:rsidRDefault="00000000">
      <w:pPr>
        <w:spacing w:line="240" w:lineRule="auto"/>
      </w:pPr>
      <w:r>
        <w:tab/>
      </w:r>
      <w:r>
        <w:rPr>
          <w:u w:val="single"/>
        </w:rPr>
        <w:t>Источник</w:t>
      </w:r>
      <w:r>
        <w:t>:  Институт информации в области образования.</w:t>
      </w:r>
    </w:p>
    <w:p w:rsidR="00000000" w:rsidRDefault="00000000">
      <w:pPr>
        <w:spacing w:line="240" w:lineRule="auto"/>
      </w:pPr>
    </w:p>
    <w:p w:rsidR="00000000" w:rsidRDefault="00000000">
      <w:pPr>
        <w:spacing w:line="240" w:lineRule="auto"/>
      </w:pPr>
      <w:r>
        <w:rPr>
          <w:b/>
          <w:bCs/>
          <w:vertAlign w:val="superscript"/>
        </w:rPr>
        <w:t>а</w:t>
      </w:r>
      <w:r>
        <w:tab/>
        <w:t>Без посещения реабилитационной школы или подготовительного класса.</w:t>
      </w:r>
    </w:p>
    <w:p w:rsidR="00000000" w:rsidRDefault="00000000">
      <w:pPr>
        <w:spacing w:line="240" w:lineRule="auto"/>
      </w:pPr>
    </w:p>
    <w:p w:rsidR="00000000" w:rsidRDefault="00000000">
      <w:pPr>
        <w:spacing w:line="240" w:lineRule="auto"/>
      </w:pPr>
      <w:r>
        <w:rPr>
          <w:b/>
          <w:bCs/>
          <w:vertAlign w:val="superscript"/>
        </w:rPr>
        <w:t>b</w:t>
      </w:r>
      <w:r>
        <w:tab/>
        <w:t>Данные за 1996/97 учебный год включают учащихся, переведенных в специальные школы.</w:t>
      </w:r>
    </w:p>
    <w:p w:rsidR="00000000" w:rsidRDefault="00000000">
      <w:pPr>
        <w:spacing w:line="240" w:lineRule="auto"/>
      </w:pPr>
    </w:p>
    <w:p w:rsidR="00000000" w:rsidRDefault="00000000">
      <w:pPr>
        <w:spacing w:line="240" w:lineRule="auto"/>
      </w:pPr>
      <w:r>
        <w:rPr>
          <w:b/>
          <w:bCs/>
          <w:vertAlign w:val="superscript"/>
        </w:rPr>
        <w:t>с</w:t>
      </w:r>
      <w:r>
        <w:tab/>
        <w:t>Специальные школы с десятилетним курсом обучения для слабослышащих и слабовидящих учащихся.</w:t>
      </w:r>
    </w:p>
    <w:p w:rsidR="00000000" w:rsidRDefault="00000000">
      <w:pPr>
        <w:spacing w:line="240" w:lineRule="auto"/>
      </w:pPr>
    </w:p>
    <w:p w:rsidR="00000000" w:rsidRDefault="00000000">
      <w:pPr>
        <w:spacing w:line="240" w:lineRule="auto"/>
      </w:pPr>
      <w:r>
        <w:rPr>
          <w:b/>
          <w:bCs/>
          <w:vertAlign w:val="superscript"/>
        </w:rPr>
        <w:t>d</w:t>
      </w:r>
      <w:r>
        <w:tab/>
        <w:t>Обычные и специализированные классы.</w:t>
      </w:r>
    </w:p>
    <w:p w:rsidR="00000000" w:rsidRDefault="00000000">
      <w:pPr>
        <w:spacing w:line="240" w:lineRule="auto"/>
      </w:pPr>
    </w:p>
    <w:p w:rsidR="00000000" w:rsidRDefault="00000000">
      <w:pPr>
        <w:spacing w:line="240" w:lineRule="auto"/>
      </w:pPr>
      <w:r>
        <w:rPr>
          <w:b/>
          <w:bCs/>
          <w:vertAlign w:val="superscript"/>
        </w:rPr>
        <w:t>е</w:t>
      </w:r>
      <w:r>
        <w:tab/>
        <w:t>Интернаты и другие детские учреждения закрытого типа.</w:t>
      </w:r>
    </w:p>
    <w:p w:rsidR="00000000" w:rsidRDefault="00000000">
      <w:pPr>
        <w:spacing w:line="240" w:lineRule="auto"/>
      </w:pPr>
    </w:p>
    <w:p w:rsidR="00000000" w:rsidRDefault="00000000">
      <w:pPr>
        <w:pStyle w:val="Heading1"/>
        <w:spacing w:line="240" w:lineRule="auto"/>
        <w:jc w:val="center"/>
      </w:pPr>
      <w:r>
        <w:t>Курсы дополнительного начального образования</w:t>
      </w:r>
    </w:p>
    <w:p w:rsidR="00000000" w:rsidRDefault="00000000">
      <w:pPr>
        <w:spacing w:line="240" w:lineRule="auto"/>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740"/>
        <w:gridCol w:w="2244"/>
        <w:gridCol w:w="935"/>
        <w:gridCol w:w="935"/>
        <w:gridCol w:w="935"/>
        <w:gridCol w:w="935"/>
        <w:gridCol w:w="986"/>
        <w:gridCol w:w="861"/>
      </w:tblGrid>
      <w:tr w:rsidR="00000000">
        <w:tblPrEx>
          <w:tblCellMar>
            <w:top w:w="0" w:type="dxa"/>
            <w:bottom w:w="0" w:type="dxa"/>
          </w:tblCellMar>
        </w:tblPrEx>
        <w:trPr>
          <w:tblHeader/>
        </w:trPr>
        <w:tc>
          <w:tcPr>
            <w:tcW w:w="1740" w:type="dxa"/>
            <w:tcBorders>
              <w:bottom w:val="single" w:sz="4" w:space="0" w:color="auto"/>
            </w:tcBorders>
          </w:tcPr>
          <w:p w:rsidR="00000000" w:rsidRDefault="00000000">
            <w:pPr>
              <w:spacing w:line="240" w:lineRule="auto"/>
              <w:rPr>
                <w:sz w:val="22"/>
              </w:rPr>
            </w:pPr>
            <w:r>
              <w:rPr>
                <w:sz w:val="22"/>
              </w:rPr>
              <w:t>Учебный год</w:t>
            </w:r>
          </w:p>
        </w:tc>
        <w:tc>
          <w:tcPr>
            <w:tcW w:w="2244" w:type="dxa"/>
            <w:tcBorders>
              <w:bottom w:val="single" w:sz="4" w:space="0" w:color="auto"/>
            </w:tcBorders>
          </w:tcPr>
          <w:p w:rsidR="00000000" w:rsidRDefault="00000000">
            <w:pPr>
              <w:spacing w:line="240" w:lineRule="auto"/>
              <w:rPr>
                <w:sz w:val="22"/>
              </w:rPr>
            </w:pPr>
          </w:p>
        </w:tc>
        <w:tc>
          <w:tcPr>
            <w:tcW w:w="935" w:type="dxa"/>
            <w:tcBorders>
              <w:bottom w:val="single" w:sz="4" w:space="0" w:color="auto"/>
            </w:tcBorders>
          </w:tcPr>
          <w:p w:rsidR="00000000" w:rsidRDefault="00000000">
            <w:pPr>
              <w:spacing w:line="240" w:lineRule="auto"/>
              <w:jc w:val="right"/>
              <w:rPr>
                <w:sz w:val="22"/>
              </w:rPr>
            </w:pPr>
            <w:r>
              <w:rPr>
                <w:sz w:val="22"/>
              </w:rPr>
              <w:t>1993/94</w:t>
            </w:r>
          </w:p>
        </w:tc>
        <w:tc>
          <w:tcPr>
            <w:tcW w:w="935" w:type="dxa"/>
            <w:tcBorders>
              <w:bottom w:val="single" w:sz="4" w:space="0" w:color="auto"/>
            </w:tcBorders>
          </w:tcPr>
          <w:p w:rsidR="00000000" w:rsidRDefault="00000000">
            <w:pPr>
              <w:spacing w:line="240" w:lineRule="auto"/>
              <w:jc w:val="right"/>
              <w:rPr>
                <w:sz w:val="22"/>
              </w:rPr>
            </w:pPr>
            <w:r>
              <w:rPr>
                <w:sz w:val="22"/>
              </w:rPr>
              <w:t>1994/95</w:t>
            </w:r>
          </w:p>
        </w:tc>
        <w:tc>
          <w:tcPr>
            <w:tcW w:w="935" w:type="dxa"/>
            <w:tcBorders>
              <w:bottom w:val="single" w:sz="4" w:space="0" w:color="auto"/>
            </w:tcBorders>
          </w:tcPr>
          <w:p w:rsidR="00000000" w:rsidRDefault="00000000">
            <w:pPr>
              <w:spacing w:line="240" w:lineRule="auto"/>
              <w:jc w:val="right"/>
              <w:rPr>
                <w:sz w:val="22"/>
              </w:rPr>
            </w:pPr>
            <w:r>
              <w:rPr>
                <w:sz w:val="22"/>
              </w:rPr>
              <w:t>1995/96</w:t>
            </w:r>
          </w:p>
        </w:tc>
        <w:tc>
          <w:tcPr>
            <w:tcW w:w="935" w:type="dxa"/>
            <w:tcBorders>
              <w:bottom w:val="single" w:sz="4" w:space="0" w:color="auto"/>
            </w:tcBorders>
          </w:tcPr>
          <w:p w:rsidR="00000000" w:rsidRDefault="00000000">
            <w:pPr>
              <w:spacing w:line="240" w:lineRule="auto"/>
              <w:jc w:val="right"/>
              <w:rPr>
                <w:sz w:val="22"/>
              </w:rPr>
            </w:pPr>
            <w:r>
              <w:rPr>
                <w:sz w:val="22"/>
              </w:rPr>
              <w:t>1996/97</w:t>
            </w:r>
          </w:p>
        </w:tc>
        <w:tc>
          <w:tcPr>
            <w:tcW w:w="986" w:type="dxa"/>
            <w:tcBorders>
              <w:bottom w:val="single" w:sz="4" w:space="0" w:color="auto"/>
            </w:tcBorders>
          </w:tcPr>
          <w:p w:rsidR="00000000" w:rsidRDefault="00000000">
            <w:pPr>
              <w:spacing w:line="240" w:lineRule="auto"/>
              <w:jc w:val="right"/>
              <w:rPr>
                <w:sz w:val="22"/>
              </w:rPr>
            </w:pPr>
            <w:r>
              <w:rPr>
                <w:sz w:val="22"/>
              </w:rPr>
              <w:t>1997/98</w:t>
            </w:r>
          </w:p>
        </w:tc>
        <w:tc>
          <w:tcPr>
            <w:tcW w:w="861" w:type="dxa"/>
            <w:tcBorders>
              <w:bottom w:val="single" w:sz="4" w:space="0" w:color="auto"/>
            </w:tcBorders>
          </w:tcPr>
          <w:p w:rsidR="00000000" w:rsidRDefault="00000000">
            <w:pPr>
              <w:spacing w:line="240" w:lineRule="auto"/>
              <w:jc w:val="right"/>
              <w:rPr>
                <w:sz w:val="22"/>
              </w:rPr>
            </w:pPr>
            <w:r>
              <w:rPr>
                <w:sz w:val="22"/>
              </w:rPr>
              <w:t>1998/99</w:t>
            </w:r>
          </w:p>
        </w:tc>
      </w:tr>
      <w:tr w:rsidR="00000000">
        <w:tblPrEx>
          <w:tblCellMar>
            <w:top w:w="0" w:type="dxa"/>
            <w:bottom w:w="0" w:type="dxa"/>
          </w:tblCellMar>
        </w:tblPrEx>
        <w:tc>
          <w:tcPr>
            <w:tcW w:w="1740" w:type="dxa"/>
            <w:tcBorders>
              <w:bottom w:val="nil"/>
              <w:right w:val="single" w:sz="4" w:space="0" w:color="auto"/>
            </w:tcBorders>
          </w:tcPr>
          <w:p w:rsidR="00000000" w:rsidRDefault="00000000">
            <w:pPr>
              <w:spacing w:line="240" w:lineRule="auto"/>
              <w:rPr>
                <w:sz w:val="22"/>
              </w:rPr>
            </w:pPr>
            <w:r>
              <w:rPr>
                <w:sz w:val="22"/>
              </w:rPr>
              <w:t>Учебные заведения</w:t>
            </w:r>
            <w:r>
              <w:rPr>
                <w:b/>
                <w:bCs/>
                <w:sz w:val="22"/>
                <w:vertAlign w:val="superscript"/>
              </w:rPr>
              <w:t>а</w:t>
            </w:r>
          </w:p>
        </w:tc>
        <w:tc>
          <w:tcPr>
            <w:tcW w:w="2244" w:type="dxa"/>
            <w:tcBorders>
              <w:left w:val="single" w:sz="4" w:space="0" w:color="auto"/>
              <w:bottom w:val="nil"/>
              <w:right w:val="single" w:sz="4" w:space="0" w:color="auto"/>
            </w:tcBorders>
            <w:vAlign w:val="bottom"/>
          </w:tcPr>
          <w:p w:rsidR="00000000" w:rsidRDefault="00000000">
            <w:pPr>
              <w:spacing w:line="240" w:lineRule="auto"/>
              <w:rPr>
                <w:sz w:val="22"/>
              </w:rPr>
            </w:pPr>
            <w:r>
              <w:rPr>
                <w:sz w:val="22"/>
              </w:rPr>
              <w:t>Всего</w:t>
            </w:r>
          </w:p>
        </w:tc>
        <w:tc>
          <w:tcPr>
            <w:tcW w:w="935" w:type="dxa"/>
            <w:tcBorders>
              <w:left w:val="single" w:sz="4" w:space="0" w:color="auto"/>
              <w:bottom w:val="nil"/>
              <w:right w:val="single" w:sz="4" w:space="0" w:color="auto"/>
            </w:tcBorders>
            <w:vAlign w:val="bottom"/>
          </w:tcPr>
          <w:p w:rsidR="00000000" w:rsidRDefault="00000000">
            <w:pPr>
              <w:spacing w:line="240" w:lineRule="auto"/>
              <w:jc w:val="right"/>
              <w:rPr>
                <w:sz w:val="22"/>
                <w:lang w:val="en-US"/>
              </w:rPr>
            </w:pPr>
            <w:r>
              <w:rPr>
                <w:sz w:val="22"/>
                <w:lang w:val="en-US"/>
              </w:rPr>
              <w:t>67</w:t>
            </w:r>
          </w:p>
        </w:tc>
        <w:tc>
          <w:tcPr>
            <w:tcW w:w="935" w:type="dxa"/>
            <w:tcBorders>
              <w:left w:val="single" w:sz="4" w:space="0" w:color="auto"/>
              <w:bottom w:val="nil"/>
              <w:right w:val="single" w:sz="4" w:space="0" w:color="auto"/>
            </w:tcBorders>
            <w:vAlign w:val="bottom"/>
          </w:tcPr>
          <w:p w:rsidR="00000000" w:rsidRDefault="00000000">
            <w:pPr>
              <w:spacing w:line="240" w:lineRule="auto"/>
              <w:jc w:val="right"/>
              <w:rPr>
                <w:sz w:val="22"/>
              </w:rPr>
            </w:pPr>
            <w:r>
              <w:rPr>
                <w:sz w:val="22"/>
              </w:rPr>
              <w:t>126</w:t>
            </w:r>
          </w:p>
        </w:tc>
        <w:tc>
          <w:tcPr>
            <w:tcW w:w="935" w:type="dxa"/>
            <w:tcBorders>
              <w:left w:val="single" w:sz="4" w:space="0" w:color="auto"/>
              <w:bottom w:val="nil"/>
              <w:right w:val="single" w:sz="4" w:space="0" w:color="auto"/>
            </w:tcBorders>
            <w:vAlign w:val="bottom"/>
          </w:tcPr>
          <w:p w:rsidR="00000000" w:rsidRDefault="00000000">
            <w:pPr>
              <w:spacing w:line="240" w:lineRule="auto"/>
              <w:jc w:val="right"/>
              <w:rPr>
                <w:sz w:val="22"/>
              </w:rPr>
            </w:pPr>
            <w:r>
              <w:rPr>
                <w:sz w:val="22"/>
              </w:rPr>
              <w:t>120</w:t>
            </w:r>
          </w:p>
        </w:tc>
        <w:tc>
          <w:tcPr>
            <w:tcW w:w="935" w:type="dxa"/>
            <w:tcBorders>
              <w:left w:val="single" w:sz="4" w:space="0" w:color="auto"/>
              <w:bottom w:val="nil"/>
              <w:right w:val="single" w:sz="4" w:space="0" w:color="auto"/>
            </w:tcBorders>
            <w:vAlign w:val="bottom"/>
          </w:tcPr>
          <w:p w:rsidR="00000000" w:rsidRDefault="00000000">
            <w:pPr>
              <w:spacing w:line="240" w:lineRule="auto"/>
              <w:jc w:val="right"/>
              <w:rPr>
                <w:sz w:val="22"/>
              </w:rPr>
            </w:pPr>
            <w:r>
              <w:rPr>
                <w:sz w:val="22"/>
              </w:rPr>
              <w:t>64</w:t>
            </w:r>
          </w:p>
        </w:tc>
        <w:tc>
          <w:tcPr>
            <w:tcW w:w="986" w:type="dxa"/>
            <w:tcBorders>
              <w:left w:val="single" w:sz="4" w:space="0" w:color="auto"/>
              <w:bottom w:val="nil"/>
              <w:right w:val="single" w:sz="4" w:space="0" w:color="auto"/>
            </w:tcBorders>
            <w:vAlign w:val="bottom"/>
          </w:tcPr>
          <w:p w:rsidR="00000000" w:rsidRDefault="00000000">
            <w:pPr>
              <w:spacing w:line="240" w:lineRule="auto"/>
              <w:jc w:val="right"/>
              <w:rPr>
                <w:sz w:val="22"/>
              </w:rPr>
            </w:pPr>
            <w:r>
              <w:rPr>
                <w:sz w:val="22"/>
              </w:rPr>
              <w:t>95</w:t>
            </w:r>
          </w:p>
        </w:tc>
        <w:tc>
          <w:tcPr>
            <w:tcW w:w="861" w:type="dxa"/>
            <w:tcBorders>
              <w:left w:val="single" w:sz="4" w:space="0" w:color="auto"/>
              <w:bottom w:val="nil"/>
            </w:tcBorders>
            <w:vAlign w:val="bottom"/>
          </w:tcPr>
          <w:p w:rsidR="00000000" w:rsidRDefault="00000000">
            <w:pPr>
              <w:spacing w:line="240" w:lineRule="auto"/>
              <w:jc w:val="right"/>
              <w:rPr>
                <w:sz w:val="22"/>
              </w:rPr>
            </w:pPr>
            <w:r>
              <w:rPr>
                <w:sz w:val="22"/>
              </w:rPr>
              <w:t>204</w:t>
            </w:r>
          </w:p>
        </w:tc>
      </w:tr>
      <w:tr w:rsidR="00000000">
        <w:tblPrEx>
          <w:tblCellMar>
            <w:top w:w="0" w:type="dxa"/>
            <w:bottom w:w="0" w:type="dxa"/>
          </w:tblCellMar>
        </w:tblPrEx>
        <w:tc>
          <w:tcPr>
            <w:tcW w:w="1740" w:type="dxa"/>
            <w:tcBorders>
              <w:top w:val="nil"/>
              <w:bottom w:val="nil"/>
              <w:right w:val="single" w:sz="4" w:space="0" w:color="auto"/>
            </w:tcBorders>
          </w:tcPr>
          <w:p w:rsidR="00000000" w:rsidRDefault="00000000">
            <w:pPr>
              <w:spacing w:line="240" w:lineRule="auto"/>
              <w:rPr>
                <w:sz w:val="22"/>
              </w:rPr>
            </w:pPr>
          </w:p>
        </w:tc>
        <w:tc>
          <w:tcPr>
            <w:tcW w:w="2244" w:type="dxa"/>
            <w:tcBorders>
              <w:top w:val="nil"/>
              <w:left w:val="single" w:sz="4" w:space="0" w:color="auto"/>
              <w:bottom w:val="nil"/>
              <w:right w:val="single" w:sz="4" w:space="0" w:color="auto"/>
            </w:tcBorders>
          </w:tcPr>
          <w:p w:rsidR="00000000" w:rsidRDefault="00000000">
            <w:pPr>
              <w:spacing w:line="240" w:lineRule="auto"/>
              <w:rPr>
                <w:sz w:val="22"/>
              </w:rPr>
            </w:pPr>
            <w:r>
              <w:rPr>
                <w:sz w:val="22"/>
              </w:rPr>
              <w:t xml:space="preserve">Начальные </w:t>
            </w:r>
            <w:r>
              <w:rPr>
                <w:b/>
                <w:bCs/>
                <w:sz w:val="22"/>
                <w:vertAlign w:val="superscript"/>
              </w:rPr>
              <w:t>b</w:t>
            </w:r>
            <w:r>
              <w:rPr>
                <w:sz w:val="22"/>
              </w:rPr>
              <w:t xml:space="preserve"> </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67</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126</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120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64</w:t>
            </w:r>
          </w:p>
        </w:tc>
        <w:tc>
          <w:tcPr>
            <w:tcW w:w="986"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62</w:t>
            </w:r>
          </w:p>
        </w:tc>
        <w:tc>
          <w:tcPr>
            <w:tcW w:w="861" w:type="dxa"/>
            <w:tcBorders>
              <w:top w:val="nil"/>
              <w:left w:val="single" w:sz="4" w:space="0" w:color="auto"/>
              <w:bottom w:val="nil"/>
            </w:tcBorders>
          </w:tcPr>
          <w:p w:rsidR="00000000" w:rsidRDefault="00000000">
            <w:pPr>
              <w:spacing w:line="240" w:lineRule="auto"/>
              <w:jc w:val="right"/>
              <w:rPr>
                <w:sz w:val="22"/>
              </w:rPr>
            </w:pPr>
            <w:r>
              <w:rPr>
                <w:sz w:val="22"/>
              </w:rPr>
              <w:t>124</w:t>
            </w:r>
          </w:p>
        </w:tc>
      </w:tr>
      <w:tr w:rsidR="00000000">
        <w:tblPrEx>
          <w:tblCellMar>
            <w:top w:w="0" w:type="dxa"/>
            <w:bottom w:w="0" w:type="dxa"/>
          </w:tblCellMar>
        </w:tblPrEx>
        <w:tc>
          <w:tcPr>
            <w:tcW w:w="1740" w:type="dxa"/>
            <w:tcBorders>
              <w:top w:val="nil"/>
              <w:bottom w:val="single" w:sz="4" w:space="0" w:color="auto"/>
              <w:right w:val="single" w:sz="4" w:space="0" w:color="auto"/>
            </w:tcBorders>
          </w:tcPr>
          <w:p w:rsidR="00000000" w:rsidRDefault="00000000">
            <w:pPr>
              <w:spacing w:line="240" w:lineRule="auto"/>
              <w:rPr>
                <w:sz w:val="22"/>
              </w:rPr>
            </w:pPr>
          </w:p>
        </w:tc>
        <w:tc>
          <w:tcPr>
            <w:tcW w:w="2244" w:type="dxa"/>
            <w:tcBorders>
              <w:top w:val="nil"/>
              <w:left w:val="single" w:sz="4" w:space="0" w:color="auto"/>
              <w:bottom w:val="single" w:sz="4" w:space="0" w:color="auto"/>
              <w:right w:val="single" w:sz="4" w:space="0" w:color="auto"/>
            </w:tcBorders>
          </w:tcPr>
          <w:p w:rsidR="00000000" w:rsidRDefault="00000000">
            <w:pPr>
              <w:spacing w:line="240" w:lineRule="auto"/>
              <w:rPr>
                <w:sz w:val="22"/>
              </w:rPr>
            </w:pPr>
            <w:r>
              <w:rPr>
                <w:sz w:val="22"/>
              </w:rPr>
              <w:t>Специальные</w:t>
            </w:r>
          </w:p>
        </w:tc>
        <w:tc>
          <w:tcPr>
            <w:tcW w:w="935" w:type="dxa"/>
            <w:tcBorders>
              <w:top w:val="nil"/>
              <w:left w:val="single" w:sz="4" w:space="0" w:color="auto"/>
              <w:bottom w:val="single" w:sz="4" w:space="0" w:color="auto"/>
              <w:right w:val="single" w:sz="4" w:space="0" w:color="auto"/>
            </w:tcBorders>
          </w:tcPr>
          <w:p w:rsidR="00000000" w:rsidRDefault="00000000">
            <w:pPr>
              <w:spacing w:line="240" w:lineRule="auto"/>
              <w:jc w:val="right"/>
              <w:rPr>
                <w:sz w:val="22"/>
              </w:rPr>
            </w:pPr>
            <w:r>
              <w:rPr>
                <w:sz w:val="22"/>
                <w:lang w:val="en-US"/>
              </w:rPr>
              <w:t>x</w:t>
            </w:r>
          </w:p>
        </w:tc>
        <w:tc>
          <w:tcPr>
            <w:tcW w:w="935" w:type="dxa"/>
            <w:tcBorders>
              <w:top w:val="nil"/>
              <w:left w:val="single" w:sz="4" w:space="0" w:color="auto"/>
              <w:bottom w:val="single" w:sz="4" w:space="0" w:color="auto"/>
              <w:right w:val="single" w:sz="4" w:space="0" w:color="auto"/>
            </w:tcBorders>
          </w:tcPr>
          <w:p w:rsidR="00000000" w:rsidRDefault="00000000">
            <w:pPr>
              <w:spacing w:line="240" w:lineRule="auto"/>
              <w:jc w:val="right"/>
              <w:rPr>
                <w:sz w:val="22"/>
              </w:rPr>
            </w:pPr>
            <w:r>
              <w:rPr>
                <w:sz w:val="22"/>
                <w:lang w:val="en-US"/>
              </w:rPr>
              <w:t>x</w:t>
            </w:r>
          </w:p>
        </w:tc>
        <w:tc>
          <w:tcPr>
            <w:tcW w:w="935" w:type="dxa"/>
            <w:tcBorders>
              <w:top w:val="nil"/>
              <w:left w:val="single" w:sz="4" w:space="0" w:color="auto"/>
              <w:bottom w:val="single" w:sz="4" w:space="0" w:color="auto"/>
              <w:right w:val="single" w:sz="4" w:space="0" w:color="auto"/>
            </w:tcBorders>
          </w:tcPr>
          <w:p w:rsidR="00000000" w:rsidRDefault="00000000">
            <w:pPr>
              <w:spacing w:line="240" w:lineRule="auto"/>
              <w:jc w:val="right"/>
              <w:rPr>
                <w:sz w:val="22"/>
              </w:rPr>
            </w:pPr>
            <w:r>
              <w:rPr>
                <w:sz w:val="22"/>
                <w:lang w:val="en-US"/>
              </w:rPr>
              <w:t>x</w:t>
            </w:r>
          </w:p>
        </w:tc>
        <w:tc>
          <w:tcPr>
            <w:tcW w:w="935" w:type="dxa"/>
            <w:tcBorders>
              <w:top w:val="nil"/>
              <w:left w:val="single" w:sz="4" w:space="0" w:color="auto"/>
              <w:bottom w:val="single" w:sz="4" w:space="0" w:color="auto"/>
              <w:right w:val="single" w:sz="4" w:space="0" w:color="auto"/>
            </w:tcBorders>
          </w:tcPr>
          <w:p w:rsidR="00000000" w:rsidRDefault="00000000">
            <w:pPr>
              <w:spacing w:line="240" w:lineRule="auto"/>
              <w:jc w:val="right"/>
              <w:rPr>
                <w:sz w:val="22"/>
              </w:rPr>
            </w:pPr>
            <w:r>
              <w:rPr>
                <w:sz w:val="22"/>
                <w:lang w:val="en-US"/>
              </w:rPr>
              <w:t>x</w:t>
            </w:r>
          </w:p>
        </w:tc>
        <w:tc>
          <w:tcPr>
            <w:tcW w:w="986" w:type="dxa"/>
            <w:tcBorders>
              <w:top w:val="nil"/>
              <w:left w:val="single" w:sz="4" w:space="0" w:color="auto"/>
              <w:bottom w:val="single" w:sz="4" w:space="0" w:color="auto"/>
              <w:right w:val="single" w:sz="4" w:space="0" w:color="auto"/>
            </w:tcBorders>
          </w:tcPr>
          <w:p w:rsidR="00000000" w:rsidRDefault="00000000">
            <w:pPr>
              <w:spacing w:line="240" w:lineRule="auto"/>
              <w:jc w:val="right"/>
              <w:rPr>
                <w:sz w:val="22"/>
              </w:rPr>
            </w:pPr>
            <w:r>
              <w:rPr>
                <w:sz w:val="22"/>
              </w:rPr>
              <w:t>33</w:t>
            </w:r>
          </w:p>
        </w:tc>
        <w:tc>
          <w:tcPr>
            <w:tcW w:w="861" w:type="dxa"/>
            <w:tcBorders>
              <w:top w:val="nil"/>
              <w:left w:val="single" w:sz="4" w:space="0" w:color="auto"/>
              <w:bottom w:val="single" w:sz="4" w:space="0" w:color="auto"/>
            </w:tcBorders>
          </w:tcPr>
          <w:p w:rsidR="00000000" w:rsidRDefault="00000000">
            <w:pPr>
              <w:spacing w:line="240" w:lineRule="auto"/>
              <w:jc w:val="right"/>
              <w:rPr>
                <w:sz w:val="22"/>
              </w:rPr>
            </w:pPr>
            <w:r>
              <w:rPr>
                <w:sz w:val="22"/>
              </w:rPr>
              <w:t>80</w:t>
            </w:r>
          </w:p>
        </w:tc>
      </w:tr>
      <w:tr w:rsidR="00000000">
        <w:tblPrEx>
          <w:tblCellMar>
            <w:top w:w="0" w:type="dxa"/>
            <w:bottom w:w="0" w:type="dxa"/>
          </w:tblCellMar>
        </w:tblPrEx>
        <w:tc>
          <w:tcPr>
            <w:tcW w:w="1740" w:type="dxa"/>
            <w:tcBorders>
              <w:top w:val="single" w:sz="4" w:space="0" w:color="auto"/>
              <w:bottom w:val="nil"/>
              <w:right w:val="single" w:sz="4" w:space="0" w:color="auto"/>
            </w:tcBorders>
          </w:tcPr>
          <w:p w:rsidR="00000000" w:rsidRDefault="00000000">
            <w:pPr>
              <w:keepNext/>
              <w:spacing w:line="240" w:lineRule="auto"/>
              <w:rPr>
                <w:sz w:val="22"/>
              </w:rPr>
            </w:pPr>
            <w:r>
              <w:rPr>
                <w:sz w:val="22"/>
              </w:rPr>
              <w:t>Курсы</w:t>
            </w:r>
            <w:r>
              <w:rPr>
                <w:b/>
                <w:bCs/>
                <w:sz w:val="22"/>
                <w:vertAlign w:val="superscript"/>
              </w:rPr>
              <w:t>а</w:t>
            </w:r>
          </w:p>
        </w:tc>
        <w:tc>
          <w:tcPr>
            <w:tcW w:w="2244" w:type="dxa"/>
            <w:tcBorders>
              <w:top w:val="single" w:sz="4" w:space="0" w:color="auto"/>
              <w:left w:val="single" w:sz="4" w:space="0" w:color="auto"/>
              <w:bottom w:val="nil"/>
              <w:right w:val="single" w:sz="4" w:space="0" w:color="auto"/>
            </w:tcBorders>
          </w:tcPr>
          <w:p w:rsidR="00000000" w:rsidRDefault="00000000">
            <w:pPr>
              <w:spacing w:line="240" w:lineRule="auto"/>
              <w:rPr>
                <w:sz w:val="22"/>
              </w:rPr>
            </w:pPr>
            <w:r>
              <w:rPr>
                <w:sz w:val="22"/>
              </w:rPr>
              <w:t>Всего</w:t>
            </w:r>
          </w:p>
        </w:tc>
        <w:tc>
          <w:tcPr>
            <w:tcW w:w="935" w:type="dxa"/>
            <w:tcBorders>
              <w:top w:val="single" w:sz="4" w:space="0" w:color="auto"/>
              <w:left w:val="single" w:sz="4" w:space="0" w:color="auto"/>
              <w:bottom w:val="nil"/>
              <w:right w:val="single" w:sz="4" w:space="0" w:color="auto"/>
            </w:tcBorders>
          </w:tcPr>
          <w:p w:rsidR="00000000" w:rsidRDefault="00000000">
            <w:pPr>
              <w:spacing w:line="240" w:lineRule="auto"/>
              <w:jc w:val="right"/>
              <w:rPr>
                <w:sz w:val="22"/>
              </w:rPr>
            </w:pPr>
            <w:r>
              <w:rPr>
                <w:sz w:val="22"/>
              </w:rPr>
              <w:t>263</w:t>
            </w:r>
          </w:p>
        </w:tc>
        <w:tc>
          <w:tcPr>
            <w:tcW w:w="935" w:type="dxa"/>
            <w:tcBorders>
              <w:top w:val="single" w:sz="4" w:space="0" w:color="auto"/>
              <w:left w:val="single" w:sz="4" w:space="0" w:color="auto"/>
              <w:bottom w:val="nil"/>
              <w:right w:val="single" w:sz="4" w:space="0" w:color="auto"/>
            </w:tcBorders>
          </w:tcPr>
          <w:p w:rsidR="00000000" w:rsidRDefault="00000000">
            <w:pPr>
              <w:spacing w:line="240" w:lineRule="auto"/>
              <w:jc w:val="right"/>
              <w:rPr>
                <w:sz w:val="22"/>
              </w:rPr>
            </w:pPr>
            <w:r>
              <w:rPr>
                <w:sz w:val="22"/>
              </w:rPr>
              <w:t>452</w:t>
            </w:r>
          </w:p>
        </w:tc>
        <w:tc>
          <w:tcPr>
            <w:tcW w:w="935" w:type="dxa"/>
            <w:tcBorders>
              <w:top w:val="single" w:sz="4" w:space="0" w:color="auto"/>
              <w:left w:val="single" w:sz="4" w:space="0" w:color="auto"/>
              <w:bottom w:val="nil"/>
              <w:right w:val="single" w:sz="4" w:space="0" w:color="auto"/>
            </w:tcBorders>
          </w:tcPr>
          <w:p w:rsidR="00000000" w:rsidRDefault="00000000">
            <w:pPr>
              <w:spacing w:line="240" w:lineRule="auto"/>
              <w:jc w:val="right"/>
              <w:rPr>
                <w:sz w:val="22"/>
              </w:rPr>
            </w:pPr>
            <w:r>
              <w:rPr>
                <w:sz w:val="22"/>
              </w:rPr>
              <w:t>582</w:t>
            </w:r>
          </w:p>
        </w:tc>
        <w:tc>
          <w:tcPr>
            <w:tcW w:w="935" w:type="dxa"/>
            <w:tcBorders>
              <w:top w:val="single" w:sz="4" w:space="0" w:color="auto"/>
              <w:left w:val="single" w:sz="4" w:space="0" w:color="auto"/>
              <w:bottom w:val="nil"/>
              <w:right w:val="single" w:sz="4" w:space="0" w:color="auto"/>
            </w:tcBorders>
          </w:tcPr>
          <w:p w:rsidR="00000000" w:rsidRDefault="00000000">
            <w:pPr>
              <w:spacing w:line="240" w:lineRule="auto"/>
              <w:jc w:val="right"/>
              <w:rPr>
                <w:sz w:val="22"/>
              </w:rPr>
            </w:pPr>
            <w:r>
              <w:rPr>
                <w:sz w:val="22"/>
              </w:rPr>
              <w:t>235</w:t>
            </w:r>
          </w:p>
        </w:tc>
        <w:tc>
          <w:tcPr>
            <w:tcW w:w="986" w:type="dxa"/>
            <w:tcBorders>
              <w:top w:val="single" w:sz="4" w:space="0" w:color="auto"/>
              <w:left w:val="single" w:sz="4" w:space="0" w:color="auto"/>
              <w:bottom w:val="nil"/>
              <w:right w:val="single" w:sz="4" w:space="0" w:color="auto"/>
            </w:tcBorders>
          </w:tcPr>
          <w:p w:rsidR="00000000" w:rsidRDefault="00000000">
            <w:pPr>
              <w:spacing w:line="240" w:lineRule="auto"/>
              <w:jc w:val="right"/>
              <w:rPr>
                <w:sz w:val="22"/>
              </w:rPr>
            </w:pPr>
            <w:r>
              <w:rPr>
                <w:sz w:val="22"/>
              </w:rPr>
              <w:t>271</w:t>
            </w:r>
          </w:p>
        </w:tc>
        <w:tc>
          <w:tcPr>
            <w:tcW w:w="861" w:type="dxa"/>
            <w:tcBorders>
              <w:top w:val="single" w:sz="4" w:space="0" w:color="auto"/>
              <w:left w:val="single" w:sz="4" w:space="0" w:color="auto"/>
              <w:bottom w:val="nil"/>
            </w:tcBorders>
          </w:tcPr>
          <w:p w:rsidR="00000000" w:rsidRDefault="00000000">
            <w:pPr>
              <w:spacing w:line="240" w:lineRule="auto"/>
              <w:jc w:val="right"/>
              <w:rPr>
                <w:sz w:val="22"/>
              </w:rPr>
            </w:pPr>
            <w:r>
              <w:rPr>
                <w:sz w:val="22"/>
              </w:rPr>
              <w:t>291</w:t>
            </w:r>
          </w:p>
        </w:tc>
      </w:tr>
      <w:tr w:rsidR="00000000">
        <w:tblPrEx>
          <w:tblCellMar>
            <w:top w:w="0" w:type="dxa"/>
            <w:bottom w:w="0" w:type="dxa"/>
          </w:tblCellMar>
        </w:tblPrEx>
        <w:tc>
          <w:tcPr>
            <w:tcW w:w="1740" w:type="dxa"/>
            <w:tcBorders>
              <w:top w:val="nil"/>
              <w:bottom w:val="nil"/>
              <w:right w:val="single" w:sz="4" w:space="0" w:color="auto"/>
            </w:tcBorders>
          </w:tcPr>
          <w:p w:rsidR="00000000" w:rsidRDefault="00000000">
            <w:pPr>
              <w:spacing w:line="240" w:lineRule="auto"/>
              <w:rPr>
                <w:sz w:val="22"/>
              </w:rPr>
            </w:pPr>
          </w:p>
        </w:tc>
        <w:tc>
          <w:tcPr>
            <w:tcW w:w="2244" w:type="dxa"/>
            <w:tcBorders>
              <w:top w:val="nil"/>
              <w:left w:val="single" w:sz="4" w:space="0" w:color="auto"/>
              <w:bottom w:val="nil"/>
              <w:right w:val="single" w:sz="4" w:space="0" w:color="auto"/>
            </w:tcBorders>
          </w:tcPr>
          <w:p w:rsidR="00000000" w:rsidRDefault="00000000">
            <w:pPr>
              <w:spacing w:line="240" w:lineRule="auto"/>
              <w:rPr>
                <w:sz w:val="22"/>
              </w:rPr>
            </w:pPr>
            <w:r>
              <w:rPr>
                <w:sz w:val="22"/>
              </w:rPr>
              <w:t xml:space="preserve">Начальные </w:t>
            </w:r>
            <w:r>
              <w:rPr>
                <w:b/>
                <w:bCs/>
                <w:sz w:val="22"/>
                <w:vertAlign w:val="superscript"/>
              </w:rPr>
              <w:t>b</w:t>
            </w:r>
            <w:r>
              <w:rPr>
                <w:sz w:val="22"/>
              </w:rPr>
              <w:t xml:space="preserve"> </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263</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452</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582</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235</w:t>
            </w:r>
          </w:p>
        </w:tc>
        <w:tc>
          <w:tcPr>
            <w:tcW w:w="986"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188</w:t>
            </w:r>
          </w:p>
        </w:tc>
        <w:tc>
          <w:tcPr>
            <w:tcW w:w="861" w:type="dxa"/>
            <w:tcBorders>
              <w:top w:val="nil"/>
              <w:left w:val="single" w:sz="4" w:space="0" w:color="auto"/>
              <w:bottom w:val="nil"/>
            </w:tcBorders>
          </w:tcPr>
          <w:p w:rsidR="00000000" w:rsidRDefault="00000000">
            <w:pPr>
              <w:spacing w:line="240" w:lineRule="auto"/>
              <w:jc w:val="right"/>
              <w:rPr>
                <w:sz w:val="22"/>
              </w:rPr>
            </w:pPr>
            <w:r>
              <w:rPr>
                <w:sz w:val="22"/>
              </w:rPr>
              <w:t>187</w:t>
            </w:r>
          </w:p>
        </w:tc>
      </w:tr>
      <w:tr w:rsidR="00000000">
        <w:tblPrEx>
          <w:tblCellMar>
            <w:top w:w="0" w:type="dxa"/>
            <w:bottom w:w="0" w:type="dxa"/>
          </w:tblCellMar>
        </w:tblPrEx>
        <w:tc>
          <w:tcPr>
            <w:tcW w:w="1740" w:type="dxa"/>
            <w:tcBorders>
              <w:top w:val="nil"/>
              <w:bottom w:val="nil"/>
              <w:right w:val="single" w:sz="4" w:space="0" w:color="auto"/>
            </w:tcBorders>
          </w:tcPr>
          <w:p w:rsidR="00000000" w:rsidRDefault="00000000">
            <w:pPr>
              <w:spacing w:line="240" w:lineRule="auto"/>
              <w:rPr>
                <w:sz w:val="22"/>
              </w:rPr>
            </w:pPr>
          </w:p>
        </w:tc>
        <w:tc>
          <w:tcPr>
            <w:tcW w:w="2244" w:type="dxa"/>
            <w:tcBorders>
              <w:top w:val="nil"/>
              <w:left w:val="single" w:sz="4" w:space="0" w:color="auto"/>
              <w:bottom w:val="nil"/>
              <w:right w:val="single" w:sz="4" w:space="0" w:color="auto"/>
            </w:tcBorders>
          </w:tcPr>
          <w:p w:rsidR="00000000" w:rsidRDefault="00000000">
            <w:pPr>
              <w:spacing w:line="240" w:lineRule="auto"/>
              <w:rPr>
                <w:sz w:val="22"/>
              </w:rPr>
            </w:pPr>
            <w:r>
              <w:rPr>
                <w:sz w:val="22"/>
              </w:rPr>
              <w:t>Специальные</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lang w:val="en-US"/>
              </w:rPr>
              <w:t>x</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lang w:val="en-US"/>
              </w:rPr>
              <w:t>x</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lang w:val="en-US"/>
              </w:rPr>
              <w:t>x</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lang w:val="en-US"/>
              </w:rPr>
              <w:t>x</w:t>
            </w:r>
          </w:p>
        </w:tc>
        <w:tc>
          <w:tcPr>
            <w:tcW w:w="986"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83</w:t>
            </w:r>
          </w:p>
        </w:tc>
        <w:tc>
          <w:tcPr>
            <w:tcW w:w="861" w:type="dxa"/>
            <w:tcBorders>
              <w:top w:val="nil"/>
              <w:left w:val="single" w:sz="4" w:space="0" w:color="auto"/>
              <w:bottom w:val="nil"/>
            </w:tcBorders>
          </w:tcPr>
          <w:p w:rsidR="00000000" w:rsidRDefault="00000000">
            <w:pPr>
              <w:spacing w:line="240" w:lineRule="auto"/>
              <w:jc w:val="right"/>
              <w:rPr>
                <w:sz w:val="22"/>
              </w:rPr>
            </w:pPr>
            <w:r>
              <w:rPr>
                <w:sz w:val="22"/>
              </w:rPr>
              <w:t>104</w:t>
            </w:r>
          </w:p>
        </w:tc>
      </w:tr>
      <w:tr w:rsidR="00000000">
        <w:tblPrEx>
          <w:tblCellMar>
            <w:top w:w="0" w:type="dxa"/>
            <w:bottom w:w="0" w:type="dxa"/>
          </w:tblCellMar>
        </w:tblPrEx>
        <w:tc>
          <w:tcPr>
            <w:tcW w:w="1740" w:type="dxa"/>
            <w:tcBorders>
              <w:top w:val="nil"/>
              <w:bottom w:val="nil"/>
              <w:right w:val="single" w:sz="4" w:space="0" w:color="auto"/>
            </w:tcBorders>
          </w:tcPr>
          <w:p w:rsidR="00000000" w:rsidRDefault="00000000">
            <w:pPr>
              <w:spacing w:line="240" w:lineRule="auto"/>
              <w:rPr>
                <w:sz w:val="22"/>
              </w:rPr>
            </w:pPr>
            <w:r>
              <w:rPr>
                <w:sz w:val="22"/>
              </w:rPr>
              <w:t>Учащиеся</w:t>
            </w:r>
            <w:r>
              <w:rPr>
                <w:b/>
                <w:bCs/>
                <w:sz w:val="22"/>
                <w:vertAlign w:val="superscript"/>
              </w:rPr>
              <w:t>а</w:t>
            </w:r>
          </w:p>
        </w:tc>
        <w:tc>
          <w:tcPr>
            <w:tcW w:w="2244" w:type="dxa"/>
            <w:tcBorders>
              <w:top w:val="nil"/>
              <w:left w:val="single" w:sz="4" w:space="0" w:color="auto"/>
              <w:bottom w:val="nil"/>
              <w:right w:val="single" w:sz="4" w:space="0" w:color="auto"/>
            </w:tcBorders>
          </w:tcPr>
          <w:p w:rsidR="00000000" w:rsidRDefault="00000000">
            <w:pPr>
              <w:spacing w:line="240" w:lineRule="auto"/>
              <w:rPr>
                <w:sz w:val="22"/>
              </w:rPr>
            </w:pPr>
            <w:r>
              <w:rPr>
                <w:sz w:val="22"/>
              </w:rPr>
              <w:t>Всего</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5 060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7 266</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8 504</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3 384</w:t>
            </w:r>
          </w:p>
        </w:tc>
        <w:tc>
          <w:tcPr>
            <w:tcW w:w="986"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3 375</w:t>
            </w:r>
          </w:p>
        </w:tc>
        <w:tc>
          <w:tcPr>
            <w:tcW w:w="861" w:type="dxa"/>
            <w:tcBorders>
              <w:top w:val="nil"/>
              <w:left w:val="single" w:sz="4" w:space="0" w:color="auto"/>
              <w:bottom w:val="nil"/>
            </w:tcBorders>
          </w:tcPr>
          <w:p w:rsidR="00000000" w:rsidRDefault="00000000">
            <w:pPr>
              <w:spacing w:line="240" w:lineRule="auto"/>
              <w:jc w:val="right"/>
              <w:rPr>
                <w:sz w:val="22"/>
              </w:rPr>
            </w:pPr>
            <w:r>
              <w:rPr>
                <w:sz w:val="22"/>
              </w:rPr>
              <w:t>5 234</w:t>
            </w:r>
          </w:p>
        </w:tc>
      </w:tr>
      <w:tr w:rsidR="00000000">
        <w:tblPrEx>
          <w:tblCellMar>
            <w:top w:w="0" w:type="dxa"/>
            <w:bottom w:w="0" w:type="dxa"/>
          </w:tblCellMar>
        </w:tblPrEx>
        <w:tc>
          <w:tcPr>
            <w:tcW w:w="1740" w:type="dxa"/>
            <w:tcBorders>
              <w:top w:val="nil"/>
              <w:bottom w:val="nil"/>
              <w:right w:val="single" w:sz="4" w:space="0" w:color="auto"/>
            </w:tcBorders>
          </w:tcPr>
          <w:p w:rsidR="00000000" w:rsidRDefault="00000000">
            <w:pPr>
              <w:spacing w:line="240" w:lineRule="auto"/>
              <w:rPr>
                <w:sz w:val="22"/>
              </w:rPr>
            </w:pPr>
          </w:p>
        </w:tc>
        <w:tc>
          <w:tcPr>
            <w:tcW w:w="2244" w:type="dxa"/>
            <w:tcBorders>
              <w:top w:val="nil"/>
              <w:left w:val="single" w:sz="4" w:space="0" w:color="auto"/>
              <w:bottom w:val="nil"/>
              <w:right w:val="single" w:sz="4" w:space="0" w:color="auto"/>
            </w:tcBorders>
          </w:tcPr>
          <w:p w:rsidR="00000000" w:rsidRDefault="00000000">
            <w:pPr>
              <w:spacing w:line="240" w:lineRule="auto"/>
              <w:rPr>
                <w:sz w:val="22"/>
              </w:rPr>
            </w:pPr>
            <w:r>
              <w:rPr>
                <w:sz w:val="22"/>
              </w:rPr>
              <w:t xml:space="preserve">В начальной школе </w:t>
            </w:r>
            <w:r>
              <w:rPr>
                <w:b/>
                <w:bCs/>
                <w:sz w:val="22"/>
                <w:vertAlign w:val="superscript"/>
              </w:rPr>
              <w:t>b</w:t>
            </w:r>
            <w:r>
              <w:rPr>
                <w:sz w:val="22"/>
              </w:rPr>
              <w:t xml:space="preserve"> </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5 060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7 266</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8 504</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3 384</w:t>
            </w:r>
          </w:p>
        </w:tc>
        <w:tc>
          <w:tcPr>
            <w:tcW w:w="986" w:type="dxa"/>
            <w:tcBorders>
              <w:top w:val="nil"/>
              <w:left w:val="single" w:sz="4" w:space="0" w:color="auto"/>
              <w:bottom w:val="nil"/>
              <w:right w:val="single" w:sz="4" w:space="0" w:color="auto"/>
            </w:tcBorders>
          </w:tcPr>
          <w:p w:rsidR="00000000" w:rsidRDefault="00000000">
            <w:pPr>
              <w:spacing w:line="240" w:lineRule="auto"/>
              <w:jc w:val="right"/>
              <w:rPr>
                <w:sz w:val="22"/>
              </w:rPr>
            </w:pPr>
            <w:r>
              <w:rPr>
                <w:sz w:val="22"/>
              </w:rPr>
              <w:t>2 269</w:t>
            </w:r>
          </w:p>
        </w:tc>
        <w:tc>
          <w:tcPr>
            <w:tcW w:w="861" w:type="dxa"/>
            <w:tcBorders>
              <w:top w:val="nil"/>
              <w:left w:val="single" w:sz="4" w:space="0" w:color="auto"/>
              <w:bottom w:val="nil"/>
            </w:tcBorders>
          </w:tcPr>
          <w:p w:rsidR="00000000" w:rsidRDefault="00000000">
            <w:pPr>
              <w:spacing w:line="240" w:lineRule="auto"/>
              <w:jc w:val="right"/>
              <w:rPr>
                <w:sz w:val="22"/>
              </w:rPr>
            </w:pPr>
            <w:r>
              <w:rPr>
                <w:sz w:val="22"/>
              </w:rPr>
              <w:t>3 785</w:t>
            </w:r>
          </w:p>
        </w:tc>
      </w:tr>
      <w:tr w:rsidR="00000000">
        <w:tblPrEx>
          <w:tblCellMar>
            <w:top w:w="0" w:type="dxa"/>
            <w:bottom w:w="0" w:type="dxa"/>
          </w:tblCellMar>
        </w:tblPrEx>
        <w:tc>
          <w:tcPr>
            <w:tcW w:w="1740" w:type="dxa"/>
            <w:tcBorders>
              <w:top w:val="nil"/>
              <w:right w:val="single" w:sz="4" w:space="0" w:color="auto"/>
            </w:tcBorders>
          </w:tcPr>
          <w:p w:rsidR="00000000" w:rsidRDefault="00000000">
            <w:pPr>
              <w:spacing w:line="240" w:lineRule="auto"/>
              <w:rPr>
                <w:sz w:val="22"/>
              </w:rPr>
            </w:pPr>
          </w:p>
        </w:tc>
        <w:tc>
          <w:tcPr>
            <w:tcW w:w="2244" w:type="dxa"/>
            <w:tcBorders>
              <w:top w:val="nil"/>
              <w:left w:val="single" w:sz="4" w:space="0" w:color="auto"/>
              <w:right w:val="single" w:sz="4" w:space="0" w:color="auto"/>
            </w:tcBorders>
          </w:tcPr>
          <w:p w:rsidR="00000000" w:rsidRDefault="00000000">
            <w:pPr>
              <w:spacing w:line="240" w:lineRule="auto"/>
              <w:rPr>
                <w:sz w:val="22"/>
              </w:rPr>
            </w:pPr>
            <w:r>
              <w:rPr>
                <w:sz w:val="22"/>
              </w:rPr>
              <w:t>В специальной школе</w:t>
            </w:r>
          </w:p>
        </w:tc>
        <w:tc>
          <w:tcPr>
            <w:tcW w:w="935" w:type="dxa"/>
            <w:tcBorders>
              <w:top w:val="nil"/>
              <w:left w:val="single" w:sz="4" w:space="0" w:color="auto"/>
              <w:right w:val="single" w:sz="4" w:space="0" w:color="auto"/>
            </w:tcBorders>
          </w:tcPr>
          <w:p w:rsidR="00000000" w:rsidRDefault="00000000">
            <w:pPr>
              <w:spacing w:line="240" w:lineRule="auto"/>
              <w:jc w:val="right"/>
              <w:rPr>
                <w:sz w:val="22"/>
              </w:rPr>
            </w:pPr>
            <w:r>
              <w:rPr>
                <w:sz w:val="22"/>
                <w:lang w:val="en-US"/>
              </w:rPr>
              <w:t>x</w:t>
            </w:r>
          </w:p>
        </w:tc>
        <w:tc>
          <w:tcPr>
            <w:tcW w:w="935" w:type="dxa"/>
            <w:tcBorders>
              <w:top w:val="nil"/>
              <w:left w:val="single" w:sz="4" w:space="0" w:color="auto"/>
              <w:right w:val="single" w:sz="4" w:space="0" w:color="auto"/>
            </w:tcBorders>
          </w:tcPr>
          <w:p w:rsidR="00000000" w:rsidRDefault="00000000">
            <w:pPr>
              <w:spacing w:line="240" w:lineRule="auto"/>
              <w:jc w:val="right"/>
              <w:rPr>
                <w:sz w:val="22"/>
              </w:rPr>
            </w:pPr>
            <w:r>
              <w:rPr>
                <w:sz w:val="22"/>
                <w:lang w:val="en-US"/>
              </w:rPr>
              <w:t>x</w:t>
            </w:r>
          </w:p>
        </w:tc>
        <w:tc>
          <w:tcPr>
            <w:tcW w:w="935" w:type="dxa"/>
            <w:tcBorders>
              <w:top w:val="nil"/>
              <w:left w:val="single" w:sz="4" w:space="0" w:color="auto"/>
              <w:right w:val="single" w:sz="4" w:space="0" w:color="auto"/>
            </w:tcBorders>
          </w:tcPr>
          <w:p w:rsidR="00000000" w:rsidRDefault="00000000">
            <w:pPr>
              <w:spacing w:line="240" w:lineRule="auto"/>
              <w:jc w:val="right"/>
              <w:rPr>
                <w:sz w:val="22"/>
              </w:rPr>
            </w:pPr>
            <w:r>
              <w:rPr>
                <w:sz w:val="22"/>
                <w:lang w:val="en-US"/>
              </w:rPr>
              <w:t>x</w:t>
            </w:r>
          </w:p>
        </w:tc>
        <w:tc>
          <w:tcPr>
            <w:tcW w:w="935" w:type="dxa"/>
            <w:tcBorders>
              <w:top w:val="nil"/>
              <w:left w:val="single" w:sz="4" w:space="0" w:color="auto"/>
              <w:right w:val="single" w:sz="4" w:space="0" w:color="auto"/>
            </w:tcBorders>
          </w:tcPr>
          <w:p w:rsidR="00000000" w:rsidRDefault="00000000">
            <w:pPr>
              <w:spacing w:line="240" w:lineRule="auto"/>
              <w:jc w:val="right"/>
              <w:rPr>
                <w:sz w:val="22"/>
              </w:rPr>
            </w:pPr>
            <w:r>
              <w:rPr>
                <w:sz w:val="22"/>
                <w:lang w:val="en-US"/>
              </w:rPr>
              <w:t>x</w:t>
            </w:r>
          </w:p>
        </w:tc>
        <w:tc>
          <w:tcPr>
            <w:tcW w:w="986" w:type="dxa"/>
            <w:tcBorders>
              <w:top w:val="nil"/>
              <w:left w:val="single" w:sz="4" w:space="0" w:color="auto"/>
              <w:right w:val="single" w:sz="4" w:space="0" w:color="auto"/>
            </w:tcBorders>
          </w:tcPr>
          <w:p w:rsidR="00000000" w:rsidRDefault="00000000">
            <w:pPr>
              <w:spacing w:line="240" w:lineRule="auto"/>
              <w:jc w:val="right"/>
              <w:rPr>
                <w:sz w:val="22"/>
                <w:lang w:val="en-US"/>
              </w:rPr>
            </w:pPr>
            <w:r>
              <w:rPr>
                <w:sz w:val="22"/>
                <w:lang w:val="en-US"/>
              </w:rPr>
              <w:t>1 106</w:t>
            </w:r>
          </w:p>
        </w:tc>
        <w:tc>
          <w:tcPr>
            <w:tcW w:w="861" w:type="dxa"/>
            <w:tcBorders>
              <w:top w:val="nil"/>
              <w:left w:val="single" w:sz="4" w:space="0" w:color="auto"/>
            </w:tcBorders>
          </w:tcPr>
          <w:p w:rsidR="00000000" w:rsidRDefault="00000000">
            <w:pPr>
              <w:spacing w:line="240" w:lineRule="auto"/>
              <w:jc w:val="right"/>
              <w:rPr>
                <w:sz w:val="22"/>
                <w:lang w:val="en-US"/>
              </w:rPr>
            </w:pPr>
            <w:r>
              <w:rPr>
                <w:sz w:val="22"/>
                <w:lang w:val="en-US"/>
              </w:rPr>
              <w:t>1 449</w:t>
            </w:r>
          </w:p>
        </w:tc>
      </w:tr>
    </w:tbl>
    <w:p w:rsidR="00000000" w:rsidRDefault="00000000">
      <w:pPr>
        <w:pStyle w:val="FootnoteText"/>
      </w:pPr>
    </w:p>
    <w:p w:rsidR="00000000" w:rsidRDefault="00000000">
      <w:pPr>
        <w:pStyle w:val="FootnoteText"/>
      </w:pPr>
      <w:r>
        <w:tab/>
      </w:r>
      <w:r>
        <w:rPr>
          <w:u w:val="single"/>
        </w:rPr>
        <w:t>Источник</w:t>
      </w:r>
      <w:r>
        <w:t>:  Институт информации в области образования.</w:t>
      </w:r>
    </w:p>
    <w:p w:rsidR="00000000" w:rsidRDefault="00000000">
      <w:pPr>
        <w:pStyle w:val="FootnoteText"/>
      </w:pPr>
    </w:p>
    <w:p w:rsidR="00000000" w:rsidRDefault="00000000">
      <w:pPr>
        <w:pStyle w:val="FootnoteText"/>
      </w:pPr>
      <w:r>
        <w:rPr>
          <w:b/>
          <w:bCs/>
          <w:vertAlign w:val="superscript"/>
        </w:rPr>
        <w:tab/>
        <w:t>а</w:t>
      </w:r>
      <w:r>
        <w:tab/>
        <w:t>Обучение в начальной или специальной школе.  С 1999/2000 учебного года дополнительное образование можно будет получить также в реабилитационных школах.</w:t>
      </w:r>
    </w:p>
    <w:p w:rsidR="00000000" w:rsidRDefault="00000000">
      <w:pPr>
        <w:pStyle w:val="FootnoteText"/>
      </w:pPr>
    </w:p>
    <w:p w:rsidR="00000000" w:rsidRDefault="00000000">
      <w:pPr>
        <w:pStyle w:val="FootnoteText"/>
      </w:pPr>
      <w:r>
        <w:rPr>
          <w:b/>
          <w:bCs/>
          <w:vertAlign w:val="superscript"/>
        </w:rPr>
        <w:tab/>
        <w:t>b</w:t>
      </w:r>
      <w:r>
        <w:tab/>
        <w:t>Курсы дополнительного начального образования на базе начальной школы можно будет также посещать в специальной школе, среднем техникуме, общеобразовательной средней школе, среднем профтехучилище и профессиональной школе.</w:t>
      </w:r>
    </w:p>
    <w:p w:rsidR="00000000" w:rsidRDefault="00000000">
      <w:pPr>
        <w:pStyle w:val="FootnoteText"/>
        <w:spacing w:line="288" w:lineRule="auto"/>
      </w:pPr>
    </w:p>
    <w:p w:rsidR="00000000" w:rsidRDefault="00000000">
      <w:pPr>
        <w:pStyle w:val="FootnoteText"/>
        <w:spacing w:line="288" w:lineRule="auto"/>
      </w:pPr>
      <w:r>
        <w:t>620.</w:t>
      </w:r>
      <w:r>
        <w:tab/>
        <w:t>Получение дополнительного образования в начальной школе (для детей из специальных школ) и дополнительного образования в специальной школе (для выпускников практической школы и лиц, получивших обязательное образование до уровня, ниже девятого класса начальной или специальной школы, или не сдавших экзамены за девятый класс) регламентируется инструкциями министерства образования, по делам молодежи и спорта</w:t>
      </w:r>
      <w:r>
        <w:rPr>
          <w:rStyle w:val="FootnoteReference"/>
        </w:rPr>
        <w:footnoteReference w:id="373"/>
      </w:r>
      <w:r>
        <w:t>.  Одним из условий приема на курсы является завершение обязательного образования и рекомендация со стороны педагогико-психологического консультативного бюро.  Перед началом посещения курсов школа проверяет объем знаний и уровень способностей поступающего учащегося, с тем чтобы оценить желательность изучения полной программы курсов, а также способность приобрести знания, необходимые для выпускных экзаменов, путем самостоятельной учебы.  Срок обучения на курсах дополнительного начального образования составляет один учебный год.  Согласно Закону о государственном и местном управлении в сфере образования финансовые расходы по организации курсов несет уполномоченный отдел образования, ведающий начальными и специальными школами.</w:t>
      </w:r>
    </w:p>
    <w:p w:rsidR="00000000" w:rsidRDefault="00000000">
      <w:pPr>
        <w:pStyle w:val="FootnoteText"/>
        <w:spacing w:line="288" w:lineRule="auto"/>
      </w:pPr>
    </w:p>
    <w:p w:rsidR="00000000" w:rsidRDefault="00000000">
      <w:pPr>
        <w:pStyle w:val="FootnoteText"/>
        <w:spacing w:line="288" w:lineRule="auto"/>
        <w:rPr>
          <w:i/>
          <w:iCs/>
        </w:rPr>
      </w:pPr>
      <w:r>
        <w:t>621.</w:t>
      </w:r>
      <w:r>
        <w:tab/>
        <w:t>Кроме того, школьная система предусматривает создание наилучших возможных условий для образования детей с тяжелыми формами инвалидности.  В поправках к законодательству об учебных заведениях от 1995 года была учтена, среди прочего, одна из наиболее трудных задач, поставленных в Национальном плане мер по сокращению негативных последствий инвалидности</w:t>
      </w:r>
      <w:r>
        <w:rPr>
          <w:rStyle w:val="FootnoteReference"/>
        </w:rPr>
        <w:footnoteReference w:id="374"/>
      </w:r>
      <w:r>
        <w:t>, которая была определена следующим образом:  "Организовать обучение детей с особенно тяжелыми формами инвалидности, которые могут освобождаться от обязательного образования в соответствии с Законом об учебных заведениях, таким образом, чтобы эти дети также могли осуществлять свое право на образование в самом широком смысле".</w:t>
      </w:r>
    </w:p>
    <w:p w:rsidR="00000000" w:rsidRDefault="00000000">
      <w:pPr>
        <w:pStyle w:val="FootnoteText"/>
        <w:spacing w:line="288" w:lineRule="auto"/>
        <w:rPr>
          <w:i/>
          <w:iCs/>
        </w:rPr>
      </w:pPr>
    </w:p>
    <w:p w:rsidR="00000000" w:rsidRDefault="00000000">
      <w:pPr>
        <w:pStyle w:val="FootnoteText"/>
        <w:spacing w:line="288" w:lineRule="auto"/>
        <w:rPr>
          <w:i/>
          <w:iCs/>
        </w:rPr>
      </w:pPr>
      <w:r>
        <w:t>622.</w:t>
      </w:r>
      <w:r>
        <w:tab/>
        <w:t>Формулировка предыдущих положений статьи 37 Закона об учебных заведениях, регламентирующих освобождение от обязательного образования, гласившая, что "национальные комитеты освобождают от обязательного образования ребенка, который вследствие своего умственного состояния не способен к учебе", была заменена в проекте нового Закона об учебных заведениях новым текстом, согласно которому "директор отдела образования может освобождать ребенка с особенно тяжелой формой инвалидности от обязательного образования на определенный период на основе заключения экспертов и согласия юридических представителей ребенка.  Одновременно он определяет форму образования, которая соответствует умственным и физическим способностям ребенка".</w:t>
      </w:r>
    </w:p>
    <w:p w:rsidR="00000000" w:rsidRDefault="00000000">
      <w:pPr>
        <w:pStyle w:val="FootnoteText"/>
        <w:spacing w:line="288" w:lineRule="auto"/>
        <w:rPr>
          <w:i/>
          <w:iCs/>
        </w:rPr>
      </w:pPr>
    </w:p>
    <w:p w:rsidR="00000000" w:rsidRDefault="00000000">
      <w:pPr>
        <w:pStyle w:val="FootnoteText"/>
        <w:spacing w:line="288" w:lineRule="auto"/>
      </w:pPr>
      <w:r>
        <w:t>623.</w:t>
      </w:r>
      <w:r>
        <w:tab/>
        <w:t>Поправки к Закону об учебных заведениях 1995 года позволили детям с тяжелыми психическими расстройствами перед поступлением в реабилитационную школу или перед освобождением от обязательного образования проходить подготовку к учебе в течение одного-трех лет (так называемый подготовительный уровень реабилитационной школы).  Аналогичным образом были созданы также специальные классы для учащихся, страдающих аутизмом, и специальные классы для глухих и незрячих детей.</w:t>
      </w:r>
    </w:p>
    <w:p w:rsidR="00000000" w:rsidRDefault="00000000">
      <w:pPr>
        <w:pStyle w:val="FootnoteText"/>
        <w:spacing w:line="288" w:lineRule="auto"/>
      </w:pPr>
    </w:p>
    <w:p w:rsidR="00000000" w:rsidRDefault="00000000">
      <w:pPr>
        <w:pStyle w:val="FootnoteText"/>
        <w:spacing w:line="288" w:lineRule="auto"/>
      </w:pPr>
      <w:r>
        <w:t>624.</w:t>
      </w:r>
      <w:r>
        <w:tab/>
        <w:t>В 1998 году министерство образования, по делам молодежи и спорта решением заместителя министра</w:t>
      </w:r>
      <w:r>
        <w:rPr>
          <w:rStyle w:val="FootnoteReference"/>
        </w:rPr>
        <w:footnoteReference w:id="375"/>
      </w:r>
      <w:r>
        <w:t xml:space="preserve"> расширило возможности получения дополнительного начального образования на уровне начальной школы</w:t>
      </w:r>
      <w:r>
        <w:rPr>
          <w:rStyle w:val="FootnoteReference"/>
        </w:rPr>
        <w:footnoteReference w:id="376"/>
      </w:r>
      <w:r>
        <w:t xml:space="preserve"> или специальной школы</w:t>
      </w:r>
      <w:r>
        <w:rPr>
          <w:rStyle w:val="FootnoteReference"/>
        </w:rPr>
        <w:footnoteReference w:id="377"/>
      </w:r>
      <w:r>
        <w:t xml:space="preserve"> для лиц с тяжелыми формами инвалидности.  Реабилитационные и специальные школы осуществляют это решение главным образом посредством организации учебных курсов в специальной и реабилитационной школе в порядке эксперимента в соответствии со статьей 58 а) Закона об учебных заведениях.</w:t>
      </w:r>
    </w:p>
    <w:p w:rsidR="00000000" w:rsidRDefault="00000000">
      <w:pPr>
        <w:pStyle w:val="FootnoteText"/>
        <w:spacing w:line="288" w:lineRule="auto"/>
      </w:pPr>
    </w:p>
    <w:p w:rsidR="00000000" w:rsidRDefault="00000000">
      <w:pPr>
        <w:pStyle w:val="FootnoteText"/>
        <w:spacing w:line="288" w:lineRule="auto"/>
        <w:rPr>
          <w:b/>
          <w:bCs/>
        </w:rPr>
      </w:pPr>
      <w:r>
        <w:rPr>
          <w:b/>
          <w:bCs/>
        </w:rPr>
        <w:t>Пункт 2 е)</w:t>
      </w:r>
    </w:p>
    <w:p w:rsidR="00000000" w:rsidRDefault="00000000">
      <w:pPr>
        <w:pStyle w:val="FootnoteText"/>
        <w:spacing w:line="288" w:lineRule="auto"/>
      </w:pPr>
    </w:p>
    <w:p w:rsidR="00000000" w:rsidRDefault="00000000">
      <w:pPr>
        <w:pStyle w:val="FootnoteText"/>
        <w:spacing w:line="288" w:lineRule="auto"/>
      </w:pPr>
      <w:r>
        <w:t>625.</w:t>
      </w:r>
      <w:r>
        <w:tab/>
        <w:t>Одной из важных программ международного сотрудничества является "Программа Леонардо да Винчи"</w:t>
      </w:r>
      <w:r>
        <w:rPr>
          <w:rStyle w:val="FootnoteReference"/>
        </w:rPr>
        <w:footnoteReference w:id="378"/>
      </w:r>
      <w:r>
        <w:t>, цель которой состоит в содействии повышению качества, новаторству и учету европейских ценностей в системе и практике профессионального образования посредством осуществления национальных проектов в области образования.  Эти проекты рассматриваются и оцениваются Европейской комиссией.  При этом условия международного сотрудничества между партнерами всегда имеют важное значение - разработчик проекта обязан найти двух партнеров для осуществления его проекта, включая не менее одного из Европейского союза.  Помимо учебных заведений, компаний, отделов по трудоустройству, социальных партнеров (а именно профсоюзов и организаций работодателей), претендовать на получение помощи в рамках программы могут также некоммерческие неправительственные организации.  Чешская Республика участвует в осуществлении программы с конца 1997 года.</w:t>
      </w:r>
    </w:p>
    <w:p w:rsidR="00000000" w:rsidRDefault="00000000"/>
    <w:p w:rsidR="00000000" w:rsidRDefault="00000000">
      <w:r>
        <w:t>626.</w:t>
      </w:r>
      <w:r>
        <w:tab/>
        <w:t xml:space="preserve">В отчетный период для чешской системы послесреднего образования важное значение имело участие в программе </w:t>
      </w:r>
      <w:r>
        <w:rPr>
          <w:lang w:val="en-US"/>
        </w:rPr>
        <w:t>Tempus</w:t>
      </w:r>
      <w:r>
        <w:t xml:space="preserve"> </w:t>
      </w:r>
      <w:r>
        <w:rPr>
          <w:lang w:val="en-US"/>
        </w:rPr>
        <w:t>PHARE</w:t>
      </w:r>
      <w:r>
        <w:t xml:space="preserve">;  эта программа обеспечивала финансирование подготовки учащихся, преподавателей и молодых ученых в иностранных университетах.  В 1999 году сотрудничество в этой области с большинством европейских партнеров стало осуществляться по другой программе </w:t>
      </w:r>
      <w:r>
        <w:noBreakHyphen/>
        <w:t xml:space="preserve"> программе "Сократ".</w:t>
      </w:r>
    </w:p>
    <w:p w:rsidR="00000000" w:rsidRDefault="00000000"/>
    <w:p w:rsidR="00000000" w:rsidRDefault="00000000">
      <w:r>
        <w:t>627.</w:t>
      </w:r>
      <w:r>
        <w:tab/>
        <w:t xml:space="preserve">В 1994 году при поддержке европейской программы </w:t>
      </w:r>
      <w:r>
        <w:rPr>
          <w:lang w:val="en-US"/>
        </w:rPr>
        <w:t>PHARE</w:t>
      </w:r>
      <w:r>
        <w:t xml:space="preserve"> министр труда и социальных дел учредил Национальный фонд в области образования, который в 1999 году был преобразован в благотворительное общество.  Его задача состоит в поддержке преобразования общества и экономики и в содействии процессу европейской интеграции путем развития людских ресурсов в Чешской Республике, а также в содействии обеспечению условий для образования в любом возрасте путем поддержки всех форм продолжения учебы.</w:t>
      </w:r>
    </w:p>
    <w:p w:rsidR="00000000" w:rsidRDefault="00000000"/>
    <w:p w:rsidR="00000000" w:rsidRDefault="00000000">
      <w:r>
        <w:t>628.</w:t>
      </w:r>
      <w:r>
        <w:tab/>
        <w:t>Ответственность за функционирование и развитие системы учебных заведений возлагается на министерство образования, по делам молодежи и спорта, которое в соответствии со статьей 7 Закона о разграничении полномочий</w:t>
      </w:r>
      <w:r>
        <w:rPr>
          <w:rStyle w:val="FootnoteReference"/>
        </w:rPr>
        <w:footnoteReference w:id="379"/>
      </w:r>
      <w:r>
        <w:t xml:space="preserve"> является центральным государственным административным органом, ведающим дошкольными учреждениями, зданиями учебных заведений, начальными школами, средними школами и учебными заведениями системы послесреднего образования, а также отвечающим за политику в области науки, исследовательской деятельности и разработками, включая международное сотрудничество в этой сфере.  </w:t>
      </w:r>
    </w:p>
    <w:p w:rsidR="00000000" w:rsidRDefault="00000000"/>
    <w:p w:rsidR="00000000" w:rsidRDefault="00000000">
      <w:r>
        <w:t>629.</w:t>
      </w:r>
      <w:r>
        <w:tab/>
        <w:t>Деятельность по созданию и развитию системы учебных заведений проводится на основе отдельных решений в соответствии с Законом о государственном и местном управлении в области образования, который в статье 3 определяет обязанности директоров учебных заведений, в статьях 5</w:t>
      </w:r>
      <w:r>
        <w:noBreakHyphen/>
        <w:t xml:space="preserve">11 </w:t>
      </w:r>
      <w:r>
        <w:noBreakHyphen/>
        <w:t xml:space="preserve"> отделов образования, в статьях 12</w:t>
      </w:r>
      <w:r>
        <w:noBreakHyphen/>
        <w:t>13 </w:t>
      </w:r>
      <w:r>
        <w:rPr>
          <w:lang w:val="en-US"/>
        </w:rPr>
        <w:t>c</w:t>
      </w:r>
      <w:r>
        <w:t>) </w:t>
      </w:r>
      <w:r>
        <w:noBreakHyphen/>
        <w:t xml:space="preserve"> министерства образования и в статьях 14 и 15 </w:t>
      </w:r>
      <w:r>
        <w:noBreakHyphen/>
        <w:t xml:space="preserve"> муниципалитетов.  Учредитель учебного заведения в соответствии с пунктом 2 статьи 13 </w:t>
      </w:r>
      <w:r>
        <w:rPr>
          <w:lang w:val="en-US"/>
        </w:rPr>
        <w:t>a</w:t>
      </w:r>
      <w:r>
        <w:t>) закона представляет через соответствующие государственные органы образования на утверждение министерства образования, по делам молодежи и спорта заявления о присвоении учебному заведению той или иной категории или об изменении категории учебного заведения, к которому прилагается программа учебных мероприятий.  Кроме того, развитие системы учебных заведений подробно регламентируется в статье 11 Закона об учебных заведениях, в котором для учредителей средних профтехучилищ определяется ряд задач, связанных с подготовкой молодых людей в области профессиональной деятельности, их обязанность создавать благоприятные условия для развития способностей и инициативности учащихся, а также порядок закрытия, разделения или слияния таких учебных заведений.</w:t>
      </w:r>
    </w:p>
    <w:p w:rsidR="00000000" w:rsidRDefault="00000000"/>
    <w:p w:rsidR="00000000" w:rsidRDefault="00000000">
      <w:r>
        <w:t>630.</w:t>
      </w:r>
      <w:r>
        <w:tab/>
        <w:t>Финансовое и материальное обеспечение учащихся средних учебных заведений, которое включает стипендии для учащихся классических гимназий и средних техникумов, регламентируется Законом об учебных заведениях.  Согласно пункту 2 статьи 24 учащиеся классической гимназии и среднего техникума могут получать стипендию и материальное обеспечение в зависимости от социального положения и успеваемости.  Материальное обеспечение включает, в частности, питание и жилище.  Стипендии и материальное обеспечение могут предоставляться из средств государственного бюджета  или из средств организаций.  Кроме того, материальное обеспечение может предоставляться и в период каникул.</w:t>
      </w:r>
    </w:p>
    <w:p w:rsidR="00000000" w:rsidRDefault="00000000"/>
    <w:p w:rsidR="00000000" w:rsidRDefault="00000000">
      <w:r>
        <w:t>631.</w:t>
      </w:r>
      <w:r>
        <w:tab/>
        <w:t>Создание материальных условий для преподавателей осуществляется за счет средств, выделяемых министерством образования для учебных заведений в соответствии со статьей 12 Закона о государственном и местном управлении в области образования или в соответствии со статьей 12 Закона об учебных заведениях.  Размеры оплаты труда преподавателей и персонала в государственных учебных заведениях регламентируются Законом о ставках заработной платы и вознаграждении за сверхурочный труд в организациях, финансируемых из государственного бюджета, а также некоторых других организациях и органах.</w:t>
      </w:r>
    </w:p>
    <w:p w:rsidR="00000000" w:rsidRDefault="00000000"/>
    <w:p w:rsidR="00000000" w:rsidRDefault="00000000">
      <w:r>
        <w:t>632.</w:t>
      </w:r>
      <w:r>
        <w:tab/>
        <w:t>Ставки оплаты труда работников образования ниже, чем средняя заработная плата работников государственного сектора (см. объяснения и таблицу по статье 7 Пакта), что находится в противоречии с их среднем уровнем образования (для работы преподавателем на всех уровнях образования необходимо окончить учебное заведение в системе послесреднего образования).  Это обстоятельство часто считается причиной высокой доли женщин в системе образования, а также причиной ухода из этой системы многих выпускников педагогических учебных заведений.  Преимущества относительно более короткого рабочего дня и более длительных отпусков не в достаточной степени компенсируют меньшие размеры заработной платы.  Однако относительно низкие оклады являются проблемой не только в системе образования, но и в других сферах государственного сектора (здравоохранение, культура, государственные административные органы, особенно на местном уровне, и т.п.).</w:t>
      </w:r>
    </w:p>
    <w:p w:rsidR="00000000" w:rsidRDefault="00000000">
      <w:pPr>
        <w:rPr>
          <w:lang w:val="en-US"/>
        </w:rPr>
      </w:pPr>
    </w:p>
    <w:p w:rsidR="00000000" w:rsidRDefault="00000000">
      <w:r>
        <w:t>633.</w:t>
      </w:r>
      <w:r>
        <w:tab/>
        <w:t>Условия и уровни субсидирования частных школ, дошкольных учреждений и расходов на содержание и оборудование учебных заведений регламентируются инструкцией правительства</w:t>
      </w:r>
      <w:r>
        <w:rPr>
          <w:rStyle w:val="FootnoteReference"/>
        </w:rPr>
        <w:footnoteReference w:id="380"/>
      </w:r>
      <w:r>
        <w:t>.</w:t>
      </w:r>
    </w:p>
    <w:p w:rsidR="00000000" w:rsidRDefault="00000000"/>
    <w:p w:rsidR="00000000" w:rsidRDefault="00000000">
      <w:pPr>
        <w:pStyle w:val="10"/>
        <w:spacing w:line="240" w:lineRule="auto"/>
        <w:rPr>
          <w:bCs/>
        </w:rPr>
      </w:pPr>
      <w:r>
        <w:rPr>
          <w:bCs/>
        </w:rPr>
        <w:t>Расходы на образование как доля ВВП и государственных</w:t>
      </w:r>
    </w:p>
    <w:p w:rsidR="00000000" w:rsidRDefault="00000000">
      <w:pPr>
        <w:spacing w:line="240" w:lineRule="auto"/>
        <w:jc w:val="center"/>
        <w:rPr>
          <w:b/>
          <w:bCs/>
          <w:lang w:val="en-US"/>
        </w:rPr>
      </w:pPr>
      <w:r>
        <w:rPr>
          <w:b/>
          <w:bCs/>
        </w:rPr>
        <w:t>бюджетных расходов (в млрд. чешских крон)</w:t>
      </w:r>
    </w:p>
    <w:p w:rsidR="00000000" w:rsidRDefault="00000000">
      <w:pPr>
        <w:spacing w:line="240" w:lineRule="auto"/>
        <w:jc w:val="center"/>
        <w:rPr>
          <w:b/>
          <w:bC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3795"/>
        <w:gridCol w:w="935"/>
        <w:gridCol w:w="935"/>
        <w:gridCol w:w="935"/>
        <w:gridCol w:w="935"/>
        <w:gridCol w:w="935"/>
        <w:gridCol w:w="996"/>
      </w:tblGrid>
      <w:tr w:rsidR="00000000">
        <w:tblPrEx>
          <w:tblCellMar>
            <w:top w:w="0" w:type="dxa"/>
            <w:bottom w:w="0" w:type="dxa"/>
          </w:tblCellMar>
        </w:tblPrEx>
        <w:trPr>
          <w:tblHeader/>
        </w:trPr>
        <w:tc>
          <w:tcPr>
            <w:tcW w:w="3796" w:type="dxa"/>
          </w:tcPr>
          <w:p w:rsidR="00000000" w:rsidRDefault="00000000">
            <w:pPr>
              <w:pStyle w:val="16"/>
              <w:spacing w:line="240" w:lineRule="auto"/>
            </w:pPr>
          </w:p>
        </w:tc>
        <w:tc>
          <w:tcPr>
            <w:tcW w:w="935" w:type="dxa"/>
          </w:tcPr>
          <w:p w:rsidR="00000000" w:rsidRDefault="00000000">
            <w:pPr>
              <w:pStyle w:val="10"/>
              <w:spacing w:line="240" w:lineRule="auto"/>
              <w:rPr>
                <w:b w:val="0"/>
              </w:rPr>
            </w:pPr>
            <w:r>
              <w:rPr>
                <w:b w:val="0"/>
              </w:rPr>
              <w:t>1993</w:t>
            </w:r>
          </w:p>
        </w:tc>
        <w:tc>
          <w:tcPr>
            <w:tcW w:w="935" w:type="dxa"/>
          </w:tcPr>
          <w:p w:rsidR="00000000" w:rsidRDefault="00000000">
            <w:pPr>
              <w:spacing w:line="240" w:lineRule="auto"/>
              <w:jc w:val="center"/>
            </w:pPr>
            <w:r>
              <w:t>1994</w:t>
            </w:r>
          </w:p>
        </w:tc>
        <w:tc>
          <w:tcPr>
            <w:tcW w:w="935" w:type="dxa"/>
          </w:tcPr>
          <w:p w:rsidR="00000000" w:rsidRDefault="00000000">
            <w:pPr>
              <w:spacing w:line="240" w:lineRule="auto"/>
              <w:jc w:val="center"/>
            </w:pPr>
            <w:r>
              <w:t>1995</w:t>
            </w:r>
          </w:p>
        </w:tc>
        <w:tc>
          <w:tcPr>
            <w:tcW w:w="935" w:type="dxa"/>
          </w:tcPr>
          <w:p w:rsidR="00000000" w:rsidRDefault="00000000">
            <w:pPr>
              <w:spacing w:line="240" w:lineRule="auto"/>
              <w:jc w:val="center"/>
            </w:pPr>
            <w:r>
              <w:t>1996</w:t>
            </w:r>
          </w:p>
        </w:tc>
        <w:tc>
          <w:tcPr>
            <w:tcW w:w="935" w:type="dxa"/>
          </w:tcPr>
          <w:p w:rsidR="00000000" w:rsidRDefault="00000000">
            <w:pPr>
              <w:spacing w:line="240" w:lineRule="auto"/>
              <w:jc w:val="center"/>
            </w:pPr>
            <w:r>
              <w:t>1997</w:t>
            </w:r>
          </w:p>
        </w:tc>
        <w:tc>
          <w:tcPr>
            <w:tcW w:w="996" w:type="dxa"/>
          </w:tcPr>
          <w:p w:rsidR="00000000" w:rsidRDefault="00000000">
            <w:pPr>
              <w:spacing w:line="240" w:lineRule="auto"/>
              <w:jc w:val="center"/>
            </w:pPr>
            <w:r>
              <w:t>1998</w:t>
            </w:r>
          </w:p>
        </w:tc>
      </w:tr>
      <w:tr w:rsidR="00000000">
        <w:tblPrEx>
          <w:tblCellMar>
            <w:top w:w="0" w:type="dxa"/>
            <w:bottom w:w="0" w:type="dxa"/>
          </w:tblCellMar>
        </w:tblPrEx>
        <w:tc>
          <w:tcPr>
            <w:tcW w:w="3796" w:type="dxa"/>
          </w:tcPr>
          <w:p w:rsidR="00000000" w:rsidRDefault="00000000">
            <w:pPr>
              <w:pStyle w:val="16"/>
              <w:spacing w:line="240" w:lineRule="auto"/>
              <w:jc w:val="left"/>
            </w:pPr>
            <w:r>
              <w:t>Валовой внутренний продукт</w:t>
            </w:r>
            <w:r>
              <w:rPr>
                <w:b/>
                <w:bCs/>
                <w:vertAlign w:val="superscript"/>
                <w:lang w:val="en-US"/>
              </w:rPr>
              <w:t>a</w:t>
            </w:r>
          </w:p>
        </w:tc>
        <w:tc>
          <w:tcPr>
            <w:tcW w:w="935" w:type="dxa"/>
          </w:tcPr>
          <w:p w:rsidR="00000000" w:rsidRDefault="00000000">
            <w:pPr>
              <w:spacing w:line="240" w:lineRule="auto"/>
              <w:jc w:val="right"/>
            </w:pPr>
            <w:r>
              <w:t>1 002,3</w:t>
            </w:r>
          </w:p>
        </w:tc>
        <w:tc>
          <w:tcPr>
            <w:tcW w:w="935" w:type="dxa"/>
          </w:tcPr>
          <w:p w:rsidR="00000000" w:rsidRDefault="00000000">
            <w:pPr>
              <w:spacing w:line="240" w:lineRule="auto"/>
              <w:jc w:val="right"/>
            </w:pPr>
            <w:r>
              <w:t>1 148,6</w:t>
            </w:r>
          </w:p>
        </w:tc>
        <w:tc>
          <w:tcPr>
            <w:tcW w:w="935" w:type="dxa"/>
          </w:tcPr>
          <w:p w:rsidR="00000000" w:rsidRDefault="00000000">
            <w:pPr>
              <w:spacing w:line="240" w:lineRule="auto"/>
              <w:jc w:val="right"/>
            </w:pPr>
            <w:r>
              <w:t>1 348,7</w:t>
            </w:r>
          </w:p>
        </w:tc>
        <w:tc>
          <w:tcPr>
            <w:tcW w:w="935" w:type="dxa"/>
          </w:tcPr>
          <w:p w:rsidR="00000000" w:rsidRDefault="00000000">
            <w:pPr>
              <w:spacing w:line="240" w:lineRule="auto"/>
              <w:jc w:val="right"/>
            </w:pPr>
            <w:r>
              <w:t>1 532,6</w:t>
            </w:r>
          </w:p>
        </w:tc>
        <w:tc>
          <w:tcPr>
            <w:tcW w:w="935" w:type="dxa"/>
          </w:tcPr>
          <w:p w:rsidR="00000000" w:rsidRDefault="00000000">
            <w:pPr>
              <w:spacing w:line="240" w:lineRule="auto"/>
              <w:jc w:val="right"/>
            </w:pPr>
            <w:r>
              <w:t>1 649,5</w:t>
            </w:r>
          </w:p>
        </w:tc>
        <w:tc>
          <w:tcPr>
            <w:tcW w:w="996" w:type="dxa"/>
          </w:tcPr>
          <w:p w:rsidR="00000000" w:rsidRDefault="00000000">
            <w:pPr>
              <w:spacing w:line="240" w:lineRule="auto"/>
              <w:jc w:val="right"/>
            </w:pPr>
            <w:r>
              <w:t>1 770,7</w:t>
            </w:r>
          </w:p>
        </w:tc>
      </w:tr>
      <w:tr w:rsidR="00000000">
        <w:tblPrEx>
          <w:tblCellMar>
            <w:top w:w="0" w:type="dxa"/>
            <w:bottom w:w="0" w:type="dxa"/>
          </w:tblCellMar>
        </w:tblPrEx>
        <w:tc>
          <w:tcPr>
            <w:tcW w:w="3796" w:type="dxa"/>
          </w:tcPr>
          <w:p w:rsidR="00000000" w:rsidRDefault="00000000">
            <w:pPr>
              <w:pStyle w:val="16"/>
              <w:spacing w:line="240" w:lineRule="auto"/>
              <w:jc w:val="left"/>
            </w:pPr>
            <w:r>
              <w:t>Расходы на образование</w:t>
            </w:r>
            <w:r>
              <w:rPr>
                <w:b/>
                <w:bCs/>
                <w:vertAlign w:val="superscript"/>
                <w:lang w:val="en-US"/>
              </w:rPr>
              <w:t>b</w:t>
            </w:r>
          </w:p>
        </w:tc>
        <w:tc>
          <w:tcPr>
            <w:tcW w:w="935" w:type="dxa"/>
          </w:tcPr>
          <w:p w:rsidR="00000000" w:rsidRDefault="00000000">
            <w:pPr>
              <w:spacing w:line="240" w:lineRule="auto"/>
              <w:jc w:val="right"/>
            </w:pPr>
            <w:r>
              <w:t>53,6</w:t>
            </w:r>
          </w:p>
        </w:tc>
        <w:tc>
          <w:tcPr>
            <w:tcW w:w="935" w:type="dxa"/>
          </w:tcPr>
          <w:p w:rsidR="00000000" w:rsidRDefault="00000000">
            <w:pPr>
              <w:spacing w:line="240" w:lineRule="auto"/>
              <w:jc w:val="right"/>
            </w:pPr>
            <w:r>
              <w:t>63,2</w:t>
            </w:r>
          </w:p>
        </w:tc>
        <w:tc>
          <w:tcPr>
            <w:tcW w:w="935" w:type="dxa"/>
          </w:tcPr>
          <w:p w:rsidR="00000000" w:rsidRDefault="00000000">
            <w:pPr>
              <w:spacing w:line="240" w:lineRule="auto"/>
              <w:jc w:val="right"/>
            </w:pPr>
            <w:r>
              <w:t>71,9</w:t>
            </w:r>
          </w:p>
        </w:tc>
        <w:tc>
          <w:tcPr>
            <w:tcW w:w="935" w:type="dxa"/>
          </w:tcPr>
          <w:p w:rsidR="00000000" w:rsidRDefault="00000000">
            <w:pPr>
              <w:spacing w:line="240" w:lineRule="auto"/>
              <w:jc w:val="right"/>
            </w:pPr>
            <w:r>
              <w:t>81,7</w:t>
            </w:r>
          </w:p>
        </w:tc>
        <w:tc>
          <w:tcPr>
            <w:tcW w:w="935" w:type="dxa"/>
          </w:tcPr>
          <w:p w:rsidR="00000000" w:rsidRDefault="00000000">
            <w:pPr>
              <w:spacing w:line="240" w:lineRule="auto"/>
              <w:jc w:val="right"/>
            </w:pPr>
            <w:r>
              <w:t>78,9</w:t>
            </w:r>
          </w:p>
        </w:tc>
        <w:tc>
          <w:tcPr>
            <w:tcW w:w="996" w:type="dxa"/>
          </w:tcPr>
          <w:p w:rsidR="00000000" w:rsidRDefault="00000000">
            <w:pPr>
              <w:spacing w:line="240" w:lineRule="auto"/>
              <w:jc w:val="right"/>
            </w:pPr>
            <w:r>
              <w:t>80,3</w:t>
            </w:r>
          </w:p>
        </w:tc>
      </w:tr>
      <w:tr w:rsidR="00000000">
        <w:tblPrEx>
          <w:tblCellMar>
            <w:top w:w="0" w:type="dxa"/>
            <w:bottom w:w="0" w:type="dxa"/>
          </w:tblCellMar>
        </w:tblPrEx>
        <w:tc>
          <w:tcPr>
            <w:tcW w:w="3796" w:type="dxa"/>
          </w:tcPr>
          <w:p w:rsidR="00000000" w:rsidRDefault="00000000">
            <w:pPr>
              <w:pStyle w:val="FootnoteText"/>
            </w:pPr>
            <w:r>
              <w:t>В том числе из бюджета</w:t>
            </w:r>
          </w:p>
        </w:tc>
        <w:tc>
          <w:tcPr>
            <w:tcW w:w="935" w:type="dxa"/>
          </w:tcPr>
          <w:p w:rsidR="00000000" w:rsidRDefault="00000000">
            <w:pPr>
              <w:spacing w:line="240" w:lineRule="auto"/>
              <w:jc w:val="right"/>
            </w:pPr>
          </w:p>
        </w:tc>
        <w:tc>
          <w:tcPr>
            <w:tcW w:w="935" w:type="dxa"/>
          </w:tcPr>
          <w:p w:rsidR="00000000" w:rsidRDefault="00000000">
            <w:pPr>
              <w:spacing w:line="240" w:lineRule="auto"/>
              <w:jc w:val="right"/>
            </w:pPr>
          </w:p>
        </w:tc>
        <w:tc>
          <w:tcPr>
            <w:tcW w:w="935" w:type="dxa"/>
          </w:tcPr>
          <w:p w:rsidR="00000000" w:rsidRDefault="00000000">
            <w:pPr>
              <w:spacing w:line="240" w:lineRule="auto"/>
              <w:jc w:val="right"/>
            </w:pPr>
          </w:p>
        </w:tc>
        <w:tc>
          <w:tcPr>
            <w:tcW w:w="935" w:type="dxa"/>
          </w:tcPr>
          <w:p w:rsidR="00000000" w:rsidRDefault="00000000">
            <w:pPr>
              <w:spacing w:line="240" w:lineRule="auto"/>
              <w:jc w:val="right"/>
            </w:pPr>
          </w:p>
        </w:tc>
        <w:tc>
          <w:tcPr>
            <w:tcW w:w="935" w:type="dxa"/>
          </w:tcPr>
          <w:p w:rsidR="00000000" w:rsidRDefault="00000000">
            <w:pPr>
              <w:spacing w:line="240" w:lineRule="auto"/>
              <w:jc w:val="right"/>
            </w:pPr>
          </w:p>
        </w:tc>
        <w:tc>
          <w:tcPr>
            <w:tcW w:w="996" w:type="dxa"/>
          </w:tcPr>
          <w:p w:rsidR="00000000" w:rsidRDefault="00000000">
            <w:pPr>
              <w:spacing w:line="240" w:lineRule="auto"/>
              <w:jc w:val="right"/>
            </w:pPr>
          </w:p>
        </w:tc>
      </w:tr>
      <w:tr w:rsidR="00000000">
        <w:tblPrEx>
          <w:tblCellMar>
            <w:top w:w="0" w:type="dxa"/>
            <w:bottom w:w="0" w:type="dxa"/>
          </w:tblCellMar>
        </w:tblPrEx>
        <w:tc>
          <w:tcPr>
            <w:tcW w:w="3796" w:type="dxa"/>
          </w:tcPr>
          <w:p w:rsidR="00000000" w:rsidRDefault="00000000">
            <w:pPr>
              <w:pStyle w:val="FootnoteText"/>
            </w:pPr>
            <w:r>
              <w:tab/>
              <w:t>министерства образования</w:t>
            </w:r>
          </w:p>
        </w:tc>
        <w:tc>
          <w:tcPr>
            <w:tcW w:w="935" w:type="dxa"/>
          </w:tcPr>
          <w:p w:rsidR="00000000" w:rsidRDefault="00000000">
            <w:pPr>
              <w:spacing w:line="240" w:lineRule="auto"/>
              <w:jc w:val="right"/>
            </w:pPr>
            <w:r>
              <w:t>41,1</w:t>
            </w:r>
          </w:p>
        </w:tc>
        <w:tc>
          <w:tcPr>
            <w:tcW w:w="935" w:type="dxa"/>
          </w:tcPr>
          <w:p w:rsidR="00000000" w:rsidRDefault="00000000">
            <w:pPr>
              <w:spacing w:line="240" w:lineRule="auto"/>
              <w:jc w:val="right"/>
            </w:pPr>
            <w:r>
              <w:t>43,2</w:t>
            </w:r>
          </w:p>
        </w:tc>
        <w:tc>
          <w:tcPr>
            <w:tcW w:w="935" w:type="dxa"/>
          </w:tcPr>
          <w:p w:rsidR="00000000" w:rsidRDefault="00000000">
            <w:pPr>
              <w:spacing w:line="240" w:lineRule="auto"/>
              <w:jc w:val="right"/>
            </w:pPr>
            <w:r>
              <w:t>49,3</w:t>
            </w:r>
          </w:p>
        </w:tc>
        <w:tc>
          <w:tcPr>
            <w:tcW w:w="935" w:type="dxa"/>
          </w:tcPr>
          <w:p w:rsidR="00000000" w:rsidRDefault="00000000">
            <w:pPr>
              <w:spacing w:line="240" w:lineRule="auto"/>
              <w:jc w:val="right"/>
            </w:pPr>
            <w:r>
              <w:t>63,8</w:t>
            </w:r>
          </w:p>
        </w:tc>
        <w:tc>
          <w:tcPr>
            <w:tcW w:w="935" w:type="dxa"/>
          </w:tcPr>
          <w:p w:rsidR="00000000" w:rsidRDefault="00000000">
            <w:pPr>
              <w:spacing w:line="240" w:lineRule="auto"/>
              <w:jc w:val="right"/>
            </w:pPr>
            <w:r>
              <w:t>62,8</w:t>
            </w:r>
          </w:p>
        </w:tc>
        <w:tc>
          <w:tcPr>
            <w:tcW w:w="996" w:type="dxa"/>
          </w:tcPr>
          <w:p w:rsidR="00000000" w:rsidRDefault="00000000">
            <w:pPr>
              <w:spacing w:line="240" w:lineRule="auto"/>
              <w:jc w:val="right"/>
            </w:pPr>
            <w:r>
              <w:t>63,9</w:t>
            </w:r>
          </w:p>
        </w:tc>
      </w:tr>
      <w:tr w:rsidR="00000000">
        <w:tblPrEx>
          <w:tblCellMar>
            <w:top w:w="0" w:type="dxa"/>
            <w:bottom w:w="0" w:type="dxa"/>
          </w:tblCellMar>
        </w:tblPrEx>
        <w:tc>
          <w:tcPr>
            <w:tcW w:w="3796" w:type="dxa"/>
          </w:tcPr>
          <w:p w:rsidR="00000000" w:rsidRDefault="00000000">
            <w:pPr>
              <w:spacing w:line="240" w:lineRule="auto"/>
              <w:ind w:left="567" w:hanging="567"/>
            </w:pPr>
            <w:r>
              <w:tab/>
              <w:t>министерства экономики</w:t>
            </w:r>
          </w:p>
        </w:tc>
        <w:tc>
          <w:tcPr>
            <w:tcW w:w="935" w:type="dxa"/>
          </w:tcPr>
          <w:p w:rsidR="00000000" w:rsidRDefault="00000000">
            <w:pPr>
              <w:spacing w:line="240" w:lineRule="auto"/>
              <w:jc w:val="right"/>
            </w:pPr>
            <w:r>
              <w:t>-</w:t>
            </w:r>
          </w:p>
        </w:tc>
        <w:tc>
          <w:tcPr>
            <w:tcW w:w="935" w:type="dxa"/>
          </w:tcPr>
          <w:p w:rsidR="00000000" w:rsidRDefault="00000000">
            <w:pPr>
              <w:spacing w:line="240" w:lineRule="auto"/>
              <w:jc w:val="right"/>
            </w:pPr>
            <w:r>
              <w:t>5,7</w:t>
            </w:r>
          </w:p>
        </w:tc>
        <w:tc>
          <w:tcPr>
            <w:tcW w:w="935" w:type="dxa"/>
          </w:tcPr>
          <w:p w:rsidR="00000000" w:rsidRDefault="00000000">
            <w:pPr>
              <w:spacing w:line="240" w:lineRule="auto"/>
              <w:jc w:val="right"/>
            </w:pPr>
            <w:r>
              <w:t>6,4</w:t>
            </w:r>
          </w:p>
        </w:tc>
        <w:tc>
          <w:tcPr>
            <w:tcW w:w="935" w:type="dxa"/>
          </w:tcPr>
          <w:p w:rsidR="00000000" w:rsidRDefault="00000000">
            <w:pPr>
              <w:spacing w:line="240" w:lineRule="auto"/>
              <w:jc w:val="right"/>
            </w:pPr>
            <w:r>
              <w:t>-</w:t>
            </w:r>
          </w:p>
        </w:tc>
        <w:tc>
          <w:tcPr>
            <w:tcW w:w="935" w:type="dxa"/>
          </w:tcPr>
          <w:p w:rsidR="00000000" w:rsidRDefault="00000000">
            <w:pPr>
              <w:spacing w:line="240" w:lineRule="auto"/>
              <w:jc w:val="right"/>
            </w:pPr>
            <w:r>
              <w:t>-</w:t>
            </w:r>
          </w:p>
        </w:tc>
        <w:tc>
          <w:tcPr>
            <w:tcW w:w="996" w:type="dxa"/>
          </w:tcPr>
          <w:p w:rsidR="00000000" w:rsidRDefault="00000000">
            <w:pPr>
              <w:spacing w:line="240" w:lineRule="auto"/>
              <w:jc w:val="right"/>
            </w:pPr>
            <w:r>
              <w:t>-</w:t>
            </w:r>
          </w:p>
        </w:tc>
      </w:tr>
      <w:tr w:rsidR="00000000">
        <w:tblPrEx>
          <w:tblCellMar>
            <w:top w:w="0" w:type="dxa"/>
            <w:bottom w:w="0" w:type="dxa"/>
          </w:tblCellMar>
        </w:tblPrEx>
        <w:tc>
          <w:tcPr>
            <w:tcW w:w="3796" w:type="dxa"/>
          </w:tcPr>
          <w:p w:rsidR="00000000" w:rsidRDefault="00000000">
            <w:pPr>
              <w:spacing w:line="240" w:lineRule="auto"/>
              <w:ind w:left="567" w:hanging="567"/>
            </w:pPr>
            <w:r>
              <w:tab/>
              <w:t>министерства здравоохранения</w:t>
            </w:r>
          </w:p>
        </w:tc>
        <w:tc>
          <w:tcPr>
            <w:tcW w:w="935" w:type="dxa"/>
          </w:tcPr>
          <w:p w:rsidR="00000000" w:rsidRDefault="00000000">
            <w:pPr>
              <w:pStyle w:val="16"/>
              <w:spacing w:line="240" w:lineRule="auto"/>
              <w:jc w:val="right"/>
            </w:pPr>
            <w:r>
              <w:t>0,7</w:t>
            </w:r>
          </w:p>
        </w:tc>
        <w:tc>
          <w:tcPr>
            <w:tcW w:w="935" w:type="dxa"/>
          </w:tcPr>
          <w:p w:rsidR="00000000" w:rsidRDefault="00000000">
            <w:pPr>
              <w:spacing w:line="240" w:lineRule="auto"/>
              <w:jc w:val="right"/>
            </w:pPr>
            <w:r>
              <w:t>0,8</w:t>
            </w:r>
          </w:p>
        </w:tc>
        <w:tc>
          <w:tcPr>
            <w:tcW w:w="935" w:type="dxa"/>
          </w:tcPr>
          <w:p w:rsidR="00000000" w:rsidRDefault="00000000">
            <w:pPr>
              <w:spacing w:line="240" w:lineRule="auto"/>
              <w:jc w:val="right"/>
            </w:pPr>
            <w:r>
              <w:t>0,9</w:t>
            </w:r>
          </w:p>
        </w:tc>
        <w:tc>
          <w:tcPr>
            <w:tcW w:w="935" w:type="dxa"/>
          </w:tcPr>
          <w:p w:rsidR="00000000" w:rsidRDefault="00000000">
            <w:pPr>
              <w:spacing w:line="240" w:lineRule="auto"/>
              <w:jc w:val="right"/>
            </w:pPr>
            <w:r>
              <w:t>-</w:t>
            </w:r>
          </w:p>
        </w:tc>
        <w:tc>
          <w:tcPr>
            <w:tcW w:w="935" w:type="dxa"/>
          </w:tcPr>
          <w:p w:rsidR="00000000" w:rsidRDefault="00000000">
            <w:pPr>
              <w:spacing w:line="240" w:lineRule="auto"/>
              <w:jc w:val="right"/>
            </w:pPr>
            <w:r>
              <w:t>-</w:t>
            </w:r>
          </w:p>
        </w:tc>
        <w:tc>
          <w:tcPr>
            <w:tcW w:w="996" w:type="dxa"/>
          </w:tcPr>
          <w:p w:rsidR="00000000" w:rsidRDefault="00000000">
            <w:pPr>
              <w:spacing w:line="240" w:lineRule="auto"/>
              <w:jc w:val="right"/>
            </w:pPr>
            <w:r>
              <w:t>-</w:t>
            </w:r>
          </w:p>
        </w:tc>
      </w:tr>
      <w:tr w:rsidR="00000000">
        <w:tblPrEx>
          <w:tblCellMar>
            <w:top w:w="0" w:type="dxa"/>
            <w:bottom w:w="0" w:type="dxa"/>
          </w:tblCellMar>
        </w:tblPrEx>
        <w:tc>
          <w:tcPr>
            <w:tcW w:w="3796" w:type="dxa"/>
          </w:tcPr>
          <w:p w:rsidR="00000000" w:rsidRDefault="00000000">
            <w:pPr>
              <w:keepNext/>
              <w:spacing w:line="240" w:lineRule="auto"/>
              <w:ind w:left="567" w:hanging="567"/>
            </w:pPr>
            <w:r>
              <w:tab/>
              <w:t>министерства сельского хозяйства</w:t>
            </w:r>
          </w:p>
        </w:tc>
        <w:tc>
          <w:tcPr>
            <w:tcW w:w="935" w:type="dxa"/>
          </w:tcPr>
          <w:p w:rsidR="00000000" w:rsidRDefault="00000000">
            <w:pPr>
              <w:spacing w:line="240" w:lineRule="auto"/>
              <w:jc w:val="right"/>
            </w:pPr>
            <w:r>
              <w:t>0,7</w:t>
            </w:r>
          </w:p>
        </w:tc>
        <w:tc>
          <w:tcPr>
            <w:tcW w:w="935" w:type="dxa"/>
          </w:tcPr>
          <w:p w:rsidR="00000000" w:rsidRDefault="00000000">
            <w:pPr>
              <w:spacing w:line="240" w:lineRule="auto"/>
              <w:jc w:val="right"/>
            </w:pPr>
            <w:r>
              <w:t>1,4</w:t>
            </w:r>
          </w:p>
        </w:tc>
        <w:tc>
          <w:tcPr>
            <w:tcW w:w="935" w:type="dxa"/>
          </w:tcPr>
          <w:p w:rsidR="00000000" w:rsidRDefault="00000000">
            <w:pPr>
              <w:spacing w:line="240" w:lineRule="auto"/>
              <w:jc w:val="right"/>
            </w:pPr>
            <w:r>
              <w:t>1,5</w:t>
            </w:r>
          </w:p>
        </w:tc>
        <w:tc>
          <w:tcPr>
            <w:tcW w:w="935" w:type="dxa"/>
          </w:tcPr>
          <w:p w:rsidR="00000000" w:rsidRDefault="00000000">
            <w:pPr>
              <w:spacing w:line="240" w:lineRule="auto"/>
              <w:jc w:val="right"/>
            </w:pPr>
            <w:r>
              <w:t>1,8</w:t>
            </w:r>
          </w:p>
        </w:tc>
        <w:tc>
          <w:tcPr>
            <w:tcW w:w="935" w:type="dxa"/>
          </w:tcPr>
          <w:p w:rsidR="00000000" w:rsidRDefault="00000000">
            <w:pPr>
              <w:spacing w:line="240" w:lineRule="auto"/>
              <w:jc w:val="right"/>
            </w:pPr>
            <w:r>
              <w:t>1,6</w:t>
            </w:r>
          </w:p>
        </w:tc>
        <w:tc>
          <w:tcPr>
            <w:tcW w:w="996" w:type="dxa"/>
          </w:tcPr>
          <w:p w:rsidR="00000000" w:rsidRDefault="00000000">
            <w:pPr>
              <w:spacing w:line="240" w:lineRule="auto"/>
              <w:jc w:val="right"/>
            </w:pPr>
            <w:r>
              <w:t>1,5</w:t>
            </w:r>
          </w:p>
        </w:tc>
      </w:tr>
      <w:tr w:rsidR="00000000">
        <w:tblPrEx>
          <w:tblCellMar>
            <w:top w:w="0" w:type="dxa"/>
            <w:bottom w:w="0" w:type="dxa"/>
          </w:tblCellMar>
        </w:tblPrEx>
        <w:tc>
          <w:tcPr>
            <w:tcW w:w="3796" w:type="dxa"/>
          </w:tcPr>
          <w:p w:rsidR="00000000" w:rsidRDefault="00000000">
            <w:pPr>
              <w:spacing w:line="240" w:lineRule="auto"/>
              <w:ind w:left="567" w:hanging="567"/>
            </w:pPr>
            <w:r>
              <w:tab/>
              <w:t>министерства обороны</w:t>
            </w:r>
          </w:p>
        </w:tc>
        <w:tc>
          <w:tcPr>
            <w:tcW w:w="935" w:type="dxa"/>
          </w:tcPr>
          <w:p w:rsidR="00000000" w:rsidRDefault="00000000">
            <w:pPr>
              <w:spacing w:line="240" w:lineRule="auto"/>
              <w:jc w:val="right"/>
            </w:pPr>
            <w:r>
              <w:t>-</w:t>
            </w:r>
          </w:p>
        </w:tc>
        <w:tc>
          <w:tcPr>
            <w:tcW w:w="935" w:type="dxa"/>
          </w:tcPr>
          <w:p w:rsidR="00000000" w:rsidRDefault="00000000">
            <w:pPr>
              <w:spacing w:line="240" w:lineRule="auto"/>
              <w:jc w:val="right"/>
            </w:pPr>
            <w:r>
              <w:t>-</w:t>
            </w:r>
          </w:p>
        </w:tc>
        <w:tc>
          <w:tcPr>
            <w:tcW w:w="935" w:type="dxa"/>
          </w:tcPr>
          <w:p w:rsidR="00000000" w:rsidRDefault="00000000">
            <w:pPr>
              <w:spacing w:line="240" w:lineRule="auto"/>
              <w:jc w:val="right"/>
            </w:pPr>
            <w:r>
              <w:t>-</w:t>
            </w:r>
          </w:p>
        </w:tc>
        <w:tc>
          <w:tcPr>
            <w:tcW w:w="935" w:type="dxa"/>
          </w:tcPr>
          <w:p w:rsidR="00000000" w:rsidRDefault="00000000">
            <w:pPr>
              <w:spacing w:line="240" w:lineRule="auto"/>
              <w:jc w:val="right"/>
            </w:pPr>
            <w:r>
              <w:t>-</w:t>
            </w:r>
          </w:p>
        </w:tc>
        <w:tc>
          <w:tcPr>
            <w:tcW w:w="935" w:type="dxa"/>
          </w:tcPr>
          <w:p w:rsidR="00000000" w:rsidRDefault="00000000">
            <w:pPr>
              <w:spacing w:line="240" w:lineRule="auto"/>
              <w:jc w:val="right"/>
            </w:pPr>
            <w:r>
              <w:t>0,8</w:t>
            </w:r>
          </w:p>
        </w:tc>
        <w:tc>
          <w:tcPr>
            <w:tcW w:w="996" w:type="dxa"/>
          </w:tcPr>
          <w:p w:rsidR="00000000" w:rsidRDefault="00000000">
            <w:pPr>
              <w:spacing w:line="240" w:lineRule="auto"/>
              <w:jc w:val="right"/>
            </w:pPr>
            <w:r>
              <w:t>1,0</w:t>
            </w:r>
          </w:p>
        </w:tc>
      </w:tr>
      <w:tr w:rsidR="00000000">
        <w:tblPrEx>
          <w:tblCellMar>
            <w:top w:w="0" w:type="dxa"/>
            <w:bottom w:w="0" w:type="dxa"/>
          </w:tblCellMar>
        </w:tblPrEx>
        <w:tc>
          <w:tcPr>
            <w:tcW w:w="3796" w:type="dxa"/>
          </w:tcPr>
          <w:p w:rsidR="00000000" w:rsidRDefault="00000000">
            <w:pPr>
              <w:spacing w:line="240" w:lineRule="auto"/>
            </w:pPr>
            <w:r>
              <w:tab/>
              <w:t>муниципалитетов</w:t>
            </w:r>
          </w:p>
        </w:tc>
        <w:tc>
          <w:tcPr>
            <w:tcW w:w="935" w:type="dxa"/>
          </w:tcPr>
          <w:p w:rsidR="00000000" w:rsidRDefault="00000000">
            <w:pPr>
              <w:pStyle w:val="16"/>
              <w:spacing w:line="240" w:lineRule="auto"/>
              <w:jc w:val="right"/>
              <w:rPr>
                <w:lang w:val="en-US"/>
              </w:rPr>
            </w:pPr>
            <w:r>
              <w:rPr>
                <w:lang w:val="en-US"/>
              </w:rPr>
              <w:t>11,1</w:t>
            </w:r>
          </w:p>
        </w:tc>
        <w:tc>
          <w:tcPr>
            <w:tcW w:w="935" w:type="dxa"/>
          </w:tcPr>
          <w:p w:rsidR="00000000" w:rsidRDefault="00000000">
            <w:pPr>
              <w:spacing w:line="240" w:lineRule="auto"/>
              <w:jc w:val="right"/>
              <w:rPr>
                <w:lang w:val="en-US"/>
              </w:rPr>
            </w:pPr>
            <w:r>
              <w:rPr>
                <w:lang w:val="en-US"/>
              </w:rPr>
              <w:t>12,1</w:t>
            </w:r>
          </w:p>
        </w:tc>
        <w:tc>
          <w:tcPr>
            <w:tcW w:w="935" w:type="dxa"/>
          </w:tcPr>
          <w:p w:rsidR="00000000" w:rsidRDefault="00000000">
            <w:pPr>
              <w:spacing w:line="240" w:lineRule="auto"/>
              <w:jc w:val="right"/>
              <w:rPr>
                <w:lang w:val="en-US"/>
              </w:rPr>
            </w:pPr>
            <w:r>
              <w:rPr>
                <w:lang w:val="en-US"/>
              </w:rPr>
              <w:t>13,7</w:t>
            </w:r>
          </w:p>
        </w:tc>
        <w:tc>
          <w:tcPr>
            <w:tcW w:w="935" w:type="dxa"/>
          </w:tcPr>
          <w:p w:rsidR="00000000" w:rsidRDefault="00000000">
            <w:pPr>
              <w:spacing w:line="240" w:lineRule="auto"/>
              <w:jc w:val="right"/>
              <w:rPr>
                <w:lang w:val="en-US"/>
              </w:rPr>
            </w:pPr>
            <w:r>
              <w:rPr>
                <w:lang w:val="en-US"/>
              </w:rPr>
              <w:t>16,1</w:t>
            </w:r>
          </w:p>
        </w:tc>
        <w:tc>
          <w:tcPr>
            <w:tcW w:w="935" w:type="dxa"/>
          </w:tcPr>
          <w:p w:rsidR="00000000" w:rsidRDefault="00000000">
            <w:pPr>
              <w:spacing w:line="240" w:lineRule="auto"/>
              <w:jc w:val="right"/>
              <w:rPr>
                <w:lang w:val="en-US"/>
              </w:rPr>
            </w:pPr>
            <w:r>
              <w:rPr>
                <w:lang w:val="en-US"/>
              </w:rPr>
              <w:t>13,7</w:t>
            </w:r>
          </w:p>
        </w:tc>
        <w:tc>
          <w:tcPr>
            <w:tcW w:w="996" w:type="dxa"/>
          </w:tcPr>
          <w:p w:rsidR="00000000" w:rsidRDefault="00000000">
            <w:pPr>
              <w:spacing w:line="240" w:lineRule="auto"/>
              <w:jc w:val="right"/>
              <w:rPr>
                <w:lang w:val="en-US"/>
              </w:rPr>
            </w:pPr>
            <w:r>
              <w:rPr>
                <w:lang w:val="en-US"/>
              </w:rPr>
              <w:t>13,9</w:t>
            </w:r>
          </w:p>
        </w:tc>
      </w:tr>
      <w:tr w:rsidR="00000000">
        <w:tblPrEx>
          <w:tblCellMar>
            <w:top w:w="0" w:type="dxa"/>
            <w:bottom w:w="0" w:type="dxa"/>
          </w:tblCellMar>
        </w:tblPrEx>
        <w:tc>
          <w:tcPr>
            <w:tcW w:w="3796" w:type="dxa"/>
          </w:tcPr>
          <w:p w:rsidR="00000000" w:rsidRDefault="00000000">
            <w:pPr>
              <w:spacing w:line="240" w:lineRule="auto"/>
            </w:pPr>
            <w:r>
              <w:t>Из них расходы на социальное обеспечение и медицинское страхование в % от ВВП</w:t>
            </w:r>
          </w:p>
        </w:tc>
        <w:tc>
          <w:tcPr>
            <w:tcW w:w="935" w:type="dxa"/>
          </w:tcPr>
          <w:p w:rsidR="00000000" w:rsidRDefault="00000000">
            <w:pPr>
              <w:spacing w:line="240" w:lineRule="auto"/>
              <w:jc w:val="right"/>
              <w:rPr>
                <w:lang w:val="en-US"/>
              </w:rPr>
            </w:pPr>
            <w:r>
              <w:rPr>
                <w:lang w:val="en-US"/>
              </w:rPr>
              <w:t>6,8</w:t>
            </w:r>
          </w:p>
          <w:p w:rsidR="00000000" w:rsidRDefault="00000000">
            <w:pPr>
              <w:spacing w:line="240" w:lineRule="auto"/>
              <w:jc w:val="right"/>
              <w:rPr>
                <w:lang w:val="en-US"/>
              </w:rPr>
            </w:pPr>
          </w:p>
          <w:p w:rsidR="00000000" w:rsidRDefault="00000000">
            <w:pPr>
              <w:spacing w:line="240" w:lineRule="auto"/>
              <w:jc w:val="right"/>
              <w:rPr>
                <w:lang w:val="en-US"/>
              </w:rPr>
            </w:pPr>
            <w:r>
              <w:rPr>
                <w:lang w:val="en-US"/>
              </w:rPr>
              <w:t>0,7</w:t>
            </w:r>
          </w:p>
        </w:tc>
        <w:tc>
          <w:tcPr>
            <w:tcW w:w="935" w:type="dxa"/>
          </w:tcPr>
          <w:p w:rsidR="00000000" w:rsidRDefault="00000000">
            <w:pPr>
              <w:spacing w:line="240" w:lineRule="auto"/>
              <w:jc w:val="right"/>
              <w:rPr>
                <w:lang w:val="en-US"/>
              </w:rPr>
            </w:pPr>
            <w:r>
              <w:rPr>
                <w:lang w:val="en-US"/>
              </w:rPr>
              <w:t>9,1</w:t>
            </w:r>
          </w:p>
          <w:p w:rsidR="00000000" w:rsidRDefault="00000000">
            <w:pPr>
              <w:spacing w:line="240" w:lineRule="auto"/>
              <w:jc w:val="right"/>
              <w:rPr>
                <w:lang w:val="en-US"/>
              </w:rPr>
            </w:pPr>
          </w:p>
          <w:p w:rsidR="00000000" w:rsidRDefault="00000000">
            <w:pPr>
              <w:spacing w:line="240" w:lineRule="auto"/>
              <w:jc w:val="right"/>
              <w:rPr>
                <w:lang w:val="en-US"/>
              </w:rPr>
            </w:pPr>
            <w:r>
              <w:rPr>
                <w:lang w:val="en-US"/>
              </w:rPr>
              <w:t>0,8</w:t>
            </w:r>
          </w:p>
        </w:tc>
        <w:tc>
          <w:tcPr>
            <w:tcW w:w="935" w:type="dxa"/>
          </w:tcPr>
          <w:p w:rsidR="00000000" w:rsidRDefault="00000000">
            <w:pPr>
              <w:spacing w:line="240" w:lineRule="auto"/>
              <w:jc w:val="right"/>
              <w:rPr>
                <w:lang w:val="en-US"/>
              </w:rPr>
            </w:pPr>
            <w:r>
              <w:rPr>
                <w:lang w:val="en-US"/>
              </w:rPr>
              <w:t>10,5</w:t>
            </w:r>
          </w:p>
          <w:p w:rsidR="00000000" w:rsidRDefault="00000000">
            <w:pPr>
              <w:spacing w:line="240" w:lineRule="auto"/>
              <w:jc w:val="right"/>
              <w:rPr>
                <w:lang w:val="en-US"/>
              </w:rPr>
            </w:pPr>
          </w:p>
          <w:p w:rsidR="00000000" w:rsidRDefault="00000000">
            <w:pPr>
              <w:spacing w:line="240" w:lineRule="auto"/>
              <w:jc w:val="right"/>
              <w:rPr>
                <w:lang w:val="en-US"/>
              </w:rPr>
            </w:pPr>
            <w:r>
              <w:rPr>
                <w:lang w:val="en-US"/>
              </w:rPr>
              <w:t>0,8</w:t>
            </w:r>
          </w:p>
        </w:tc>
        <w:tc>
          <w:tcPr>
            <w:tcW w:w="935" w:type="dxa"/>
          </w:tcPr>
          <w:p w:rsidR="00000000" w:rsidRDefault="00000000">
            <w:pPr>
              <w:spacing w:line="240" w:lineRule="auto"/>
              <w:jc w:val="right"/>
              <w:rPr>
                <w:lang w:val="en-US"/>
              </w:rPr>
            </w:pPr>
            <w:r>
              <w:rPr>
                <w:lang w:val="en-US"/>
              </w:rPr>
              <w:t>11,8</w:t>
            </w:r>
          </w:p>
          <w:p w:rsidR="00000000" w:rsidRDefault="00000000">
            <w:pPr>
              <w:spacing w:line="240" w:lineRule="auto"/>
              <w:jc w:val="right"/>
              <w:rPr>
                <w:lang w:val="en-US"/>
              </w:rPr>
            </w:pPr>
          </w:p>
          <w:p w:rsidR="00000000" w:rsidRDefault="00000000">
            <w:pPr>
              <w:spacing w:line="240" w:lineRule="auto"/>
              <w:jc w:val="right"/>
              <w:rPr>
                <w:lang w:val="en-US"/>
              </w:rPr>
            </w:pPr>
            <w:r>
              <w:rPr>
                <w:lang w:val="en-US"/>
              </w:rPr>
              <w:t>0,8</w:t>
            </w:r>
          </w:p>
        </w:tc>
        <w:tc>
          <w:tcPr>
            <w:tcW w:w="935" w:type="dxa"/>
          </w:tcPr>
          <w:p w:rsidR="00000000" w:rsidRDefault="00000000">
            <w:pPr>
              <w:spacing w:line="240" w:lineRule="auto"/>
              <w:jc w:val="right"/>
              <w:rPr>
                <w:lang w:val="en-US"/>
              </w:rPr>
            </w:pPr>
            <w:r>
              <w:rPr>
                <w:lang w:val="en-US"/>
              </w:rPr>
              <w:t>12,1</w:t>
            </w:r>
          </w:p>
          <w:p w:rsidR="00000000" w:rsidRDefault="00000000">
            <w:pPr>
              <w:spacing w:line="240" w:lineRule="auto"/>
              <w:jc w:val="right"/>
              <w:rPr>
                <w:lang w:val="en-US"/>
              </w:rPr>
            </w:pPr>
          </w:p>
          <w:p w:rsidR="00000000" w:rsidRDefault="00000000">
            <w:pPr>
              <w:spacing w:line="240" w:lineRule="auto"/>
              <w:jc w:val="right"/>
              <w:rPr>
                <w:lang w:val="en-US"/>
              </w:rPr>
            </w:pPr>
            <w:r>
              <w:rPr>
                <w:lang w:val="en-US"/>
              </w:rPr>
              <w:t>0,7</w:t>
            </w:r>
          </w:p>
        </w:tc>
        <w:tc>
          <w:tcPr>
            <w:tcW w:w="996" w:type="dxa"/>
          </w:tcPr>
          <w:p w:rsidR="00000000" w:rsidRDefault="00000000">
            <w:pPr>
              <w:spacing w:line="240" w:lineRule="auto"/>
              <w:jc w:val="right"/>
              <w:rPr>
                <w:lang w:val="en-US"/>
              </w:rPr>
            </w:pPr>
            <w:r>
              <w:rPr>
                <w:lang w:val="en-US"/>
              </w:rPr>
              <w:t>12,3</w:t>
            </w:r>
          </w:p>
          <w:p w:rsidR="00000000" w:rsidRDefault="00000000">
            <w:pPr>
              <w:spacing w:line="240" w:lineRule="auto"/>
              <w:jc w:val="right"/>
              <w:rPr>
                <w:lang w:val="en-US"/>
              </w:rPr>
            </w:pPr>
          </w:p>
          <w:p w:rsidR="00000000" w:rsidRDefault="00000000">
            <w:pPr>
              <w:spacing w:line="240" w:lineRule="auto"/>
              <w:jc w:val="right"/>
              <w:rPr>
                <w:lang w:val="en-US"/>
              </w:rPr>
            </w:pPr>
            <w:r>
              <w:rPr>
                <w:lang w:val="en-US"/>
              </w:rPr>
              <w:t>0,7</w:t>
            </w:r>
          </w:p>
        </w:tc>
      </w:tr>
      <w:tr w:rsidR="00000000">
        <w:tblPrEx>
          <w:tblCellMar>
            <w:top w:w="0" w:type="dxa"/>
            <w:bottom w:w="0" w:type="dxa"/>
          </w:tblCellMar>
        </w:tblPrEx>
        <w:tc>
          <w:tcPr>
            <w:tcW w:w="3796" w:type="dxa"/>
          </w:tcPr>
          <w:p w:rsidR="00000000" w:rsidRDefault="00000000">
            <w:pPr>
              <w:spacing w:line="240" w:lineRule="auto"/>
            </w:pPr>
            <w:r>
              <w:t>Расходы на образование в % от ВВП</w:t>
            </w:r>
          </w:p>
        </w:tc>
        <w:tc>
          <w:tcPr>
            <w:tcW w:w="935" w:type="dxa"/>
          </w:tcPr>
          <w:p w:rsidR="00000000" w:rsidRDefault="00000000">
            <w:pPr>
              <w:spacing w:line="240" w:lineRule="auto"/>
              <w:jc w:val="right"/>
              <w:rPr>
                <w:lang w:val="en-US"/>
              </w:rPr>
            </w:pPr>
            <w:r>
              <w:rPr>
                <w:lang w:val="en-US"/>
              </w:rPr>
              <w:t>5,3</w:t>
            </w:r>
          </w:p>
        </w:tc>
        <w:tc>
          <w:tcPr>
            <w:tcW w:w="935" w:type="dxa"/>
          </w:tcPr>
          <w:p w:rsidR="00000000" w:rsidRDefault="00000000">
            <w:pPr>
              <w:spacing w:line="240" w:lineRule="auto"/>
              <w:jc w:val="right"/>
              <w:rPr>
                <w:lang w:val="en-US"/>
              </w:rPr>
            </w:pPr>
            <w:r>
              <w:rPr>
                <w:lang w:val="en-US"/>
              </w:rPr>
              <w:t>5,5</w:t>
            </w:r>
          </w:p>
        </w:tc>
        <w:tc>
          <w:tcPr>
            <w:tcW w:w="935" w:type="dxa"/>
          </w:tcPr>
          <w:p w:rsidR="00000000" w:rsidRDefault="00000000">
            <w:pPr>
              <w:spacing w:line="240" w:lineRule="auto"/>
              <w:jc w:val="right"/>
              <w:rPr>
                <w:lang w:val="en-US"/>
              </w:rPr>
            </w:pPr>
            <w:r>
              <w:rPr>
                <w:lang w:val="en-US"/>
              </w:rPr>
              <w:t>5.3</w:t>
            </w:r>
          </w:p>
        </w:tc>
        <w:tc>
          <w:tcPr>
            <w:tcW w:w="935" w:type="dxa"/>
          </w:tcPr>
          <w:p w:rsidR="00000000" w:rsidRDefault="00000000">
            <w:pPr>
              <w:spacing w:line="240" w:lineRule="auto"/>
              <w:jc w:val="right"/>
              <w:rPr>
                <w:lang w:val="en-US"/>
              </w:rPr>
            </w:pPr>
            <w:r>
              <w:rPr>
                <w:lang w:val="en-US"/>
              </w:rPr>
              <w:t>5,3</w:t>
            </w:r>
          </w:p>
        </w:tc>
        <w:tc>
          <w:tcPr>
            <w:tcW w:w="935" w:type="dxa"/>
          </w:tcPr>
          <w:p w:rsidR="00000000" w:rsidRDefault="00000000">
            <w:pPr>
              <w:spacing w:line="240" w:lineRule="auto"/>
              <w:jc w:val="right"/>
              <w:rPr>
                <w:lang w:val="en-US"/>
              </w:rPr>
            </w:pPr>
            <w:r>
              <w:rPr>
                <w:lang w:val="en-US"/>
              </w:rPr>
              <w:t>4,8</w:t>
            </w:r>
          </w:p>
        </w:tc>
        <w:tc>
          <w:tcPr>
            <w:tcW w:w="996" w:type="dxa"/>
          </w:tcPr>
          <w:p w:rsidR="00000000" w:rsidRDefault="00000000">
            <w:pPr>
              <w:spacing w:line="240" w:lineRule="auto"/>
              <w:jc w:val="right"/>
              <w:rPr>
                <w:lang w:val="en-US"/>
              </w:rPr>
            </w:pPr>
            <w:r>
              <w:rPr>
                <w:lang w:val="en-US"/>
              </w:rPr>
              <w:t>4,6</w:t>
            </w:r>
          </w:p>
        </w:tc>
      </w:tr>
      <w:tr w:rsidR="00000000">
        <w:tblPrEx>
          <w:tblCellMar>
            <w:top w:w="0" w:type="dxa"/>
            <w:bottom w:w="0" w:type="dxa"/>
          </w:tblCellMar>
        </w:tblPrEx>
        <w:tc>
          <w:tcPr>
            <w:tcW w:w="3796" w:type="dxa"/>
          </w:tcPr>
          <w:p w:rsidR="00000000" w:rsidRDefault="00000000">
            <w:pPr>
              <w:spacing w:line="240" w:lineRule="auto"/>
            </w:pPr>
            <w:r>
              <w:t>Общие государственные расходы по бюджету</w:t>
            </w:r>
          </w:p>
        </w:tc>
        <w:tc>
          <w:tcPr>
            <w:tcW w:w="935" w:type="dxa"/>
          </w:tcPr>
          <w:p w:rsidR="00000000" w:rsidRDefault="00000000">
            <w:pPr>
              <w:spacing w:line="240" w:lineRule="auto"/>
              <w:jc w:val="right"/>
            </w:pPr>
            <w:r>
              <w:t>356,9</w:t>
            </w:r>
          </w:p>
        </w:tc>
        <w:tc>
          <w:tcPr>
            <w:tcW w:w="935" w:type="dxa"/>
          </w:tcPr>
          <w:p w:rsidR="00000000" w:rsidRDefault="00000000">
            <w:pPr>
              <w:spacing w:line="240" w:lineRule="auto"/>
              <w:jc w:val="right"/>
            </w:pPr>
            <w:r>
              <w:t>380,1</w:t>
            </w:r>
          </w:p>
        </w:tc>
        <w:tc>
          <w:tcPr>
            <w:tcW w:w="935" w:type="dxa"/>
          </w:tcPr>
          <w:p w:rsidR="00000000" w:rsidRDefault="00000000">
            <w:pPr>
              <w:spacing w:line="240" w:lineRule="auto"/>
              <w:jc w:val="right"/>
            </w:pPr>
            <w:r>
              <w:t>432,7</w:t>
            </w:r>
          </w:p>
        </w:tc>
        <w:tc>
          <w:tcPr>
            <w:tcW w:w="935" w:type="dxa"/>
          </w:tcPr>
          <w:p w:rsidR="00000000" w:rsidRDefault="00000000">
            <w:pPr>
              <w:spacing w:line="240" w:lineRule="auto"/>
              <w:jc w:val="right"/>
            </w:pPr>
            <w:r>
              <w:t>484,4</w:t>
            </w:r>
          </w:p>
        </w:tc>
        <w:tc>
          <w:tcPr>
            <w:tcW w:w="935" w:type="dxa"/>
          </w:tcPr>
          <w:p w:rsidR="00000000" w:rsidRDefault="00000000">
            <w:pPr>
              <w:spacing w:line="240" w:lineRule="auto"/>
              <w:jc w:val="right"/>
            </w:pPr>
            <w:r>
              <w:t>524,7</w:t>
            </w:r>
          </w:p>
        </w:tc>
        <w:tc>
          <w:tcPr>
            <w:tcW w:w="996" w:type="dxa"/>
          </w:tcPr>
          <w:p w:rsidR="00000000" w:rsidRDefault="00000000">
            <w:pPr>
              <w:spacing w:line="240" w:lineRule="auto"/>
              <w:jc w:val="right"/>
            </w:pPr>
            <w:r>
              <w:t>566,7</w:t>
            </w:r>
          </w:p>
        </w:tc>
      </w:tr>
      <w:tr w:rsidR="00000000">
        <w:tblPrEx>
          <w:tblCellMar>
            <w:top w:w="0" w:type="dxa"/>
            <w:bottom w:w="0" w:type="dxa"/>
          </w:tblCellMar>
        </w:tblPrEx>
        <w:tc>
          <w:tcPr>
            <w:tcW w:w="3796" w:type="dxa"/>
          </w:tcPr>
          <w:p w:rsidR="00000000" w:rsidRDefault="00000000">
            <w:pPr>
              <w:spacing w:line="240" w:lineRule="auto"/>
            </w:pPr>
            <w:r>
              <w:t>Расходы в % от государственного бюджета</w:t>
            </w:r>
          </w:p>
        </w:tc>
        <w:tc>
          <w:tcPr>
            <w:tcW w:w="935" w:type="dxa"/>
          </w:tcPr>
          <w:p w:rsidR="00000000" w:rsidRDefault="00000000">
            <w:pPr>
              <w:spacing w:line="240" w:lineRule="auto"/>
              <w:jc w:val="right"/>
            </w:pPr>
            <w:r>
              <w:t>15,0</w:t>
            </w:r>
          </w:p>
        </w:tc>
        <w:tc>
          <w:tcPr>
            <w:tcW w:w="935" w:type="dxa"/>
          </w:tcPr>
          <w:p w:rsidR="00000000" w:rsidRDefault="00000000">
            <w:pPr>
              <w:spacing w:line="240" w:lineRule="auto"/>
              <w:jc w:val="right"/>
            </w:pPr>
            <w:r>
              <w:t>16,6</w:t>
            </w:r>
          </w:p>
        </w:tc>
        <w:tc>
          <w:tcPr>
            <w:tcW w:w="935" w:type="dxa"/>
          </w:tcPr>
          <w:p w:rsidR="00000000" w:rsidRDefault="00000000">
            <w:pPr>
              <w:spacing w:line="240" w:lineRule="auto"/>
              <w:jc w:val="right"/>
            </w:pPr>
            <w:r>
              <w:t>16,6</w:t>
            </w:r>
          </w:p>
        </w:tc>
        <w:tc>
          <w:tcPr>
            <w:tcW w:w="935" w:type="dxa"/>
          </w:tcPr>
          <w:p w:rsidR="00000000" w:rsidRDefault="00000000">
            <w:pPr>
              <w:spacing w:line="240" w:lineRule="auto"/>
              <w:jc w:val="right"/>
            </w:pPr>
            <w:r>
              <w:t>16,9</w:t>
            </w:r>
          </w:p>
        </w:tc>
        <w:tc>
          <w:tcPr>
            <w:tcW w:w="935" w:type="dxa"/>
          </w:tcPr>
          <w:p w:rsidR="00000000" w:rsidRDefault="00000000">
            <w:pPr>
              <w:spacing w:line="240" w:lineRule="auto"/>
              <w:jc w:val="right"/>
            </w:pPr>
            <w:r>
              <w:t>15,0</w:t>
            </w:r>
          </w:p>
        </w:tc>
        <w:tc>
          <w:tcPr>
            <w:tcW w:w="996" w:type="dxa"/>
          </w:tcPr>
          <w:p w:rsidR="00000000" w:rsidRDefault="00000000">
            <w:pPr>
              <w:spacing w:line="240" w:lineRule="auto"/>
              <w:jc w:val="right"/>
            </w:pPr>
            <w:r>
              <w:t>14,2</w:t>
            </w:r>
          </w:p>
        </w:tc>
      </w:tr>
    </w:tbl>
    <w:p w:rsidR="00000000" w:rsidRDefault="00000000">
      <w:pPr>
        <w:rPr>
          <w:lang w:val="en-US"/>
        </w:rPr>
      </w:pPr>
    </w:p>
    <w:p w:rsidR="00000000" w:rsidRDefault="00000000">
      <w:pPr>
        <w:spacing w:line="240" w:lineRule="auto"/>
      </w:pPr>
      <w:r>
        <w:rPr>
          <w:vertAlign w:val="superscript"/>
        </w:rPr>
        <w:tab/>
      </w:r>
      <w:r>
        <w:rPr>
          <w:b/>
          <w:bCs/>
          <w:vertAlign w:val="superscript"/>
          <w:lang w:val="en-US"/>
        </w:rPr>
        <w:t>a</w:t>
      </w:r>
      <w:r>
        <w:tab/>
        <w:t>С 1994 года для расчета ВВП используется новая методика.</w:t>
      </w:r>
    </w:p>
    <w:p w:rsidR="00000000" w:rsidRDefault="00000000">
      <w:pPr>
        <w:spacing w:line="240" w:lineRule="auto"/>
      </w:pPr>
    </w:p>
    <w:p w:rsidR="00000000" w:rsidRDefault="00000000">
      <w:pPr>
        <w:spacing w:line="240" w:lineRule="auto"/>
      </w:pPr>
      <w:r>
        <w:rPr>
          <w:b/>
          <w:bCs/>
          <w:vertAlign w:val="superscript"/>
        </w:rPr>
        <w:tab/>
      </w:r>
      <w:r>
        <w:rPr>
          <w:b/>
          <w:bCs/>
          <w:vertAlign w:val="superscript"/>
          <w:lang w:val="en-US"/>
        </w:rPr>
        <w:t>b</w:t>
      </w:r>
      <w:r>
        <w:tab/>
        <w:t>Государственные расходы на образование, а именно расходы министерства образования, муниципалитетов и других министерств, включая расходы на функционирование частных и приходских школ, приведены без учета расходов частных учреждений, учащихся и родителей.</w:t>
      </w:r>
    </w:p>
    <w:p w:rsidR="00000000" w:rsidRDefault="00000000"/>
    <w:p w:rsidR="00000000" w:rsidRDefault="00000000">
      <w:pPr>
        <w:pStyle w:val="Heading1"/>
        <w:rPr>
          <w:bCs/>
        </w:rPr>
      </w:pPr>
      <w:r>
        <w:rPr>
          <w:bCs/>
        </w:rPr>
        <w:t>Пункты 3 и 4</w:t>
      </w:r>
    </w:p>
    <w:p w:rsidR="00000000" w:rsidRDefault="00000000">
      <w:pPr>
        <w:rPr>
          <w:u w:val="single"/>
        </w:rPr>
      </w:pPr>
    </w:p>
    <w:p w:rsidR="00000000" w:rsidRDefault="00000000">
      <w:r>
        <w:t>634.</w:t>
      </w:r>
      <w:r>
        <w:tab/>
        <w:t xml:space="preserve">Система учебных заведений Чешской Республики включает также школы, учредителем которых не является государство, а именно приходские и частные школы, в которых дети обучаются по свободному выбору самих учащихся или их родителей.  В соответствии со статьей 57 а) и </w:t>
      </w:r>
      <w:r>
        <w:rPr>
          <w:lang w:val="en-US"/>
        </w:rPr>
        <w:t>b</w:t>
      </w:r>
      <w:r>
        <w:t>) Закона об учебных заведениях юридические представители детей при желании могут зачислять их не только в государственные, но и в другие учебные заведения.  Статья 57 с) Закона гарантирует соответствие образования во всех учебных заведениях, независимо от их учредителей.  Кроме того, вышеупомянутые положения дают этим учебным заведениям определенную степень самостоятельности, хотя и предусматривают постоянный государственный контроль за уровнем образования для обеспечения того, чтобы получаемое в них образование соответствовало государственным требованиям в отношении образованности населения.</w:t>
      </w:r>
    </w:p>
    <w:p w:rsidR="00000000" w:rsidRDefault="00000000"/>
    <w:p w:rsidR="00000000" w:rsidRDefault="00000000">
      <w:r>
        <w:t>635.</w:t>
      </w:r>
      <w:r>
        <w:tab/>
        <w:t>Кроме того, равенство образования гарантируется путем соблюдения общих принципов воспитания и образования, провозглашенных в основных положениях нового Закона об учебных заведениях.  Основная цель состоит в развитии личности учащегося соразмерно его возрасту путем освоения соответствующих знаний и привития соответствующих навыков для личной и общественной жизни, культуры и ценностей, выработанных в процессе развития общества, воспитания уважения к европейским культурным традициям и ценностям, таким, как терпимость, свобода и ответственность, к принципам демократии и ценности прав человека.  Эти общие принципы образования применяются к образованию и воспитанию в учебных заведениях всех уровней, а именно:  в начальных, средних и послесредних профессиональных учебных заведениях, равно как и в других учебных заведениях или учебных заведениях, учреждаемых любым другим субъектом.</w:t>
      </w:r>
    </w:p>
    <w:p w:rsidR="00000000" w:rsidRDefault="00000000"/>
    <w:p w:rsidR="00000000" w:rsidRDefault="00000000">
      <w:r>
        <w:t>636.</w:t>
      </w:r>
      <w:r>
        <w:tab/>
        <w:t>Задачи образования и воспитания являются составной частью учебных программ каждой отдельной школы и других видов учебных заведений.  В основных положениях нового закона об учебных заведениях и подзаконного акта, который находится в процессе подготовки, есть особые формулировки, касающиеся защиты прав детей, учащихся или их юридических представителей при одновременном соблюдении всех положений международных договоров, имеющих для Чешской Республики обязательную юридическую силу:  Конвенции о правах ребенка, Европейской конвенции о защите прав человека и основных свобод, Конвенции о ликвидации всех форм дискриминации в отношении женщин и т.д.  Кроме того, в проекте законодательства регламентируются права и обязанности учебных заведений, учащихся и их юридических представителей, гарантируется право на бесплатное образование в начальных и средних учебных заведениях, учрежденных государством, а также право на религиозное образование в масштабах и на условиях, оговоренных Законом, гарантируются равные права для всех лиц без различий по признакам пола, религии, расы и т.п.  Кроме того, проект законодательства содержит также положения о запрещении всех форм дискриминации и об обеспечении защиты и соблюдения прав и обязанностей каждого ребенка/ученика/учащегося вне зависимости от его пола.  В таком же духе будут разработаны или изменены связанные с этим законодательством предписания и постановления.</w:t>
      </w:r>
    </w:p>
    <w:p w:rsidR="00000000" w:rsidRDefault="00000000"/>
    <w:p w:rsidR="00000000" w:rsidRDefault="00000000">
      <w:r>
        <w:t>637.</w:t>
      </w:r>
      <w:r>
        <w:tab/>
        <w:t>Министерство образования включает негосударственные учебные заведения в систему образования в том случае, если они соответствуют требованиям, установленным в статье 13 </w:t>
      </w:r>
      <w:r>
        <w:rPr>
          <w:lang w:val="en-US"/>
        </w:rPr>
        <w:t>b</w:t>
      </w:r>
      <w:r>
        <w:t>) Закона о государственном и местном управлении в области образования.  Условия для их интеграции в систему образования и вытекающие из этого права на финансовую поддержку со стороны государства включают утверждение учебных планов и тематики учебного процесса или целей образования министерством, которое является гарантом соблюдения государственных требований.</w:t>
      </w:r>
    </w:p>
    <w:p w:rsidR="00000000" w:rsidRDefault="00000000"/>
    <w:p w:rsidR="00000000" w:rsidRDefault="00000000">
      <w:r>
        <w:t>638.</w:t>
      </w:r>
      <w:r>
        <w:tab/>
        <w:t>Однако в этой связи необходимо отметить, что согласно условиям, установленным законом для регистрации религиозных организаций (10 000 членов), зарегистрированным религиозным организациям или обществам не разрешается создавать религиозные школы или требовать соблюдения их внутренних религиозных норм в системе обязательного образования</w:t>
      </w:r>
      <w:r>
        <w:rPr>
          <w:rStyle w:val="FootnoteReference"/>
        </w:rPr>
        <w:footnoteReference w:id="381"/>
      </w:r>
      <w:r>
        <w:t>.  Однако религиозные организации и общества могут выполнять свою миссию обучения религии и учреждать свои собственные школы на условиях, изложенных в общих предписаниях, которые имеют обязательную юридическую силу.  Условия регистрации религиозных организаций и обществ никоим образом не затрагивают право частных или других юридических лиц учреждать частные школы в соответствии с Законом об учебных заведениях.</w:t>
      </w:r>
    </w:p>
    <w:p w:rsidR="00000000" w:rsidRDefault="00000000"/>
    <w:p w:rsidR="00000000" w:rsidRDefault="00000000">
      <w:r>
        <w:t>639.</w:t>
      </w:r>
      <w:r>
        <w:tab/>
        <w:t>Согласно постановлению правительства, в котором устанавливаются условия и размеры субсидий</w:t>
      </w:r>
      <w:r>
        <w:rPr>
          <w:rStyle w:val="FootnoteReference"/>
        </w:rPr>
        <w:footnoteReference w:id="382"/>
      </w:r>
      <w:r>
        <w:t>, предоставляемых частным учебным заведениям, эти учебные заведения имеют право на государственные субсидии, если они включены в систему образования и на конец ноября каждого года заключают с отделом образования соглашение о предоставлении субсидий на следующий учебный год.  Государство предоставляет субсидии для покрытия неинвестиционных расходов, связанных с воспитанием и образованием, а также с обеспечением нормального функционирования учебных заведений.  Размеры субсидирования определяются исходя из фактического числа учащихся и составляют долевую сумму, рассчитанную на основе нормативных расходов на одного учащегося в государственных учебных заведениях.  Размеры субсидий увеличиваются, если учебное заведение посещают учащиеся-инвалиды и оно получает хорошую оценку Чешской инспекции учебных заведений</w:t>
      </w:r>
      <w:r>
        <w:rPr>
          <w:rStyle w:val="FootnoteReference"/>
        </w:rPr>
        <w:footnoteReference w:id="383"/>
      </w:r>
      <w:r>
        <w:t>, а также и в других случаях, оговоренных в постановлении.  Для начальных частных и приходских школ основная сумма субсидии составляет 60% от норматива государственного учебного заведения из расчета на одного учащегося, а для центральных учебных заведений </w:t>
      </w:r>
      <w:r>
        <w:noBreakHyphen/>
        <w:t xml:space="preserve"> 40%.</w:t>
      </w:r>
    </w:p>
    <w:p w:rsidR="00000000" w:rsidRDefault="00000000"/>
    <w:p w:rsidR="00000000" w:rsidRDefault="00000000">
      <w:r>
        <w:t>640.</w:t>
      </w:r>
      <w:r>
        <w:tab/>
        <w:t>Качество образования, получаемого во всех видах начальных и средних учебных заведений, вне зависимости от их учредителей, оценивается и проверяется Чешской инспекцией учебных заведений.</w:t>
      </w:r>
    </w:p>
    <w:p w:rsidR="00000000" w:rsidRDefault="00000000">
      <w:pPr>
        <w:spacing w:line="240" w:lineRule="auto"/>
      </w:pPr>
    </w:p>
    <w:p w:rsidR="00000000" w:rsidRDefault="00000000">
      <w:pPr>
        <w:pStyle w:val="BodyText"/>
        <w:jc w:val="center"/>
      </w:pPr>
      <w:r>
        <w:t>Приходские и частные школы - число учебных заведений,</w:t>
      </w:r>
    </w:p>
    <w:p w:rsidR="00000000" w:rsidRDefault="00000000">
      <w:pPr>
        <w:pStyle w:val="BodyText"/>
        <w:jc w:val="center"/>
        <w:rPr>
          <w:lang w:val="en-US"/>
        </w:rPr>
      </w:pPr>
      <w:r>
        <w:t>учащихся и преподавателей</w:t>
      </w:r>
    </w:p>
    <w:p w:rsidR="00000000" w:rsidRDefault="00000000">
      <w:pPr>
        <w:pStyle w:val="BodyText"/>
        <w:jc w:val="cente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2"/>
        <w:gridCol w:w="1119"/>
        <w:gridCol w:w="1125"/>
        <w:gridCol w:w="1119"/>
        <w:gridCol w:w="1122"/>
        <w:gridCol w:w="1125"/>
        <w:gridCol w:w="1048"/>
      </w:tblGrid>
      <w:tr w:rsidR="00000000">
        <w:tblPrEx>
          <w:tblCellMar>
            <w:top w:w="0" w:type="dxa"/>
            <w:bottom w:w="0" w:type="dxa"/>
          </w:tblCellMar>
        </w:tblPrEx>
        <w:tc>
          <w:tcPr>
            <w:tcW w:w="2913" w:type="dxa"/>
            <w:tcBorders>
              <w:bottom w:val="single" w:sz="4" w:space="0" w:color="auto"/>
            </w:tcBorders>
          </w:tcPr>
          <w:p w:rsidR="00000000" w:rsidRDefault="00000000">
            <w:pPr>
              <w:spacing w:line="240" w:lineRule="auto"/>
            </w:pPr>
          </w:p>
        </w:tc>
        <w:tc>
          <w:tcPr>
            <w:tcW w:w="1119" w:type="dxa"/>
            <w:tcBorders>
              <w:bottom w:val="single" w:sz="4" w:space="0" w:color="auto"/>
            </w:tcBorders>
          </w:tcPr>
          <w:p w:rsidR="00000000" w:rsidRDefault="00000000">
            <w:pPr>
              <w:spacing w:line="240" w:lineRule="auto"/>
              <w:jc w:val="center"/>
            </w:pPr>
            <w:r>
              <w:t>1990/91</w:t>
            </w:r>
          </w:p>
        </w:tc>
        <w:tc>
          <w:tcPr>
            <w:tcW w:w="1125" w:type="dxa"/>
            <w:tcBorders>
              <w:bottom w:val="single" w:sz="4" w:space="0" w:color="auto"/>
            </w:tcBorders>
          </w:tcPr>
          <w:p w:rsidR="00000000" w:rsidRDefault="00000000">
            <w:pPr>
              <w:spacing w:line="240" w:lineRule="auto"/>
              <w:jc w:val="center"/>
            </w:pPr>
            <w:r>
              <w:t>1994/95</w:t>
            </w:r>
          </w:p>
        </w:tc>
        <w:tc>
          <w:tcPr>
            <w:tcW w:w="1119" w:type="dxa"/>
            <w:tcBorders>
              <w:bottom w:val="single" w:sz="4" w:space="0" w:color="auto"/>
            </w:tcBorders>
          </w:tcPr>
          <w:p w:rsidR="00000000" w:rsidRDefault="00000000">
            <w:pPr>
              <w:spacing w:line="240" w:lineRule="auto"/>
              <w:jc w:val="center"/>
            </w:pPr>
            <w:r>
              <w:t>1995/96</w:t>
            </w:r>
          </w:p>
        </w:tc>
        <w:tc>
          <w:tcPr>
            <w:tcW w:w="1122" w:type="dxa"/>
            <w:tcBorders>
              <w:bottom w:val="single" w:sz="4" w:space="0" w:color="auto"/>
            </w:tcBorders>
          </w:tcPr>
          <w:p w:rsidR="00000000" w:rsidRDefault="00000000">
            <w:pPr>
              <w:spacing w:line="240" w:lineRule="auto"/>
              <w:jc w:val="center"/>
            </w:pPr>
            <w:r>
              <w:t>1996/97</w:t>
            </w:r>
          </w:p>
        </w:tc>
        <w:tc>
          <w:tcPr>
            <w:tcW w:w="1125" w:type="dxa"/>
            <w:tcBorders>
              <w:bottom w:val="single" w:sz="4" w:space="0" w:color="auto"/>
            </w:tcBorders>
          </w:tcPr>
          <w:p w:rsidR="00000000" w:rsidRDefault="00000000">
            <w:pPr>
              <w:spacing w:line="240" w:lineRule="auto"/>
              <w:jc w:val="center"/>
            </w:pPr>
            <w:r>
              <w:t>1997/98</w:t>
            </w:r>
          </w:p>
        </w:tc>
        <w:tc>
          <w:tcPr>
            <w:tcW w:w="1048" w:type="dxa"/>
            <w:tcBorders>
              <w:bottom w:val="single" w:sz="4" w:space="0" w:color="auto"/>
            </w:tcBorders>
          </w:tcPr>
          <w:p w:rsidR="00000000" w:rsidRDefault="00000000">
            <w:pPr>
              <w:spacing w:line="240" w:lineRule="auto"/>
              <w:jc w:val="center"/>
            </w:pPr>
            <w:r>
              <w:t>1998/99</w:t>
            </w:r>
          </w:p>
        </w:tc>
      </w:tr>
      <w:tr w:rsidR="00000000">
        <w:tblPrEx>
          <w:tblCellMar>
            <w:top w:w="0" w:type="dxa"/>
            <w:bottom w:w="0" w:type="dxa"/>
          </w:tblCellMar>
        </w:tblPrEx>
        <w:tc>
          <w:tcPr>
            <w:tcW w:w="2913" w:type="dxa"/>
            <w:tcBorders>
              <w:bottom w:val="nil"/>
              <w:right w:val="single" w:sz="4" w:space="0" w:color="auto"/>
            </w:tcBorders>
          </w:tcPr>
          <w:p w:rsidR="00000000" w:rsidRDefault="00000000">
            <w:pPr>
              <w:spacing w:line="240" w:lineRule="auto"/>
            </w:pPr>
            <w:r>
              <w:t>Начальные школы</w:t>
            </w:r>
          </w:p>
        </w:tc>
        <w:tc>
          <w:tcPr>
            <w:tcW w:w="1119" w:type="dxa"/>
            <w:tcBorders>
              <w:left w:val="single" w:sz="4" w:space="0" w:color="auto"/>
              <w:bottom w:val="nil"/>
              <w:right w:val="single" w:sz="4" w:space="0" w:color="auto"/>
            </w:tcBorders>
          </w:tcPr>
          <w:p w:rsidR="00000000" w:rsidRDefault="00000000">
            <w:pPr>
              <w:tabs>
                <w:tab w:val="clear" w:pos="567"/>
              </w:tabs>
              <w:spacing w:line="240" w:lineRule="auto"/>
              <w:jc w:val="right"/>
            </w:pPr>
          </w:p>
        </w:tc>
        <w:tc>
          <w:tcPr>
            <w:tcW w:w="1125" w:type="dxa"/>
            <w:tcBorders>
              <w:left w:val="single" w:sz="4" w:space="0" w:color="auto"/>
              <w:bottom w:val="nil"/>
              <w:right w:val="single" w:sz="4" w:space="0" w:color="auto"/>
            </w:tcBorders>
          </w:tcPr>
          <w:p w:rsidR="00000000" w:rsidRDefault="00000000">
            <w:pPr>
              <w:spacing w:line="240" w:lineRule="auto"/>
              <w:jc w:val="right"/>
            </w:pPr>
          </w:p>
        </w:tc>
        <w:tc>
          <w:tcPr>
            <w:tcW w:w="1119" w:type="dxa"/>
            <w:tcBorders>
              <w:left w:val="single" w:sz="4" w:space="0" w:color="auto"/>
              <w:bottom w:val="nil"/>
              <w:right w:val="single" w:sz="4" w:space="0" w:color="auto"/>
            </w:tcBorders>
          </w:tcPr>
          <w:p w:rsidR="00000000" w:rsidRDefault="00000000">
            <w:pPr>
              <w:spacing w:line="240" w:lineRule="auto"/>
              <w:jc w:val="right"/>
            </w:pPr>
          </w:p>
        </w:tc>
        <w:tc>
          <w:tcPr>
            <w:tcW w:w="1122" w:type="dxa"/>
            <w:tcBorders>
              <w:left w:val="single" w:sz="4" w:space="0" w:color="auto"/>
              <w:bottom w:val="nil"/>
              <w:right w:val="single" w:sz="4" w:space="0" w:color="auto"/>
            </w:tcBorders>
          </w:tcPr>
          <w:p w:rsidR="00000000" w:rsidRDefault="00000000">
            <w:pPr>
              <w:spacing w:line="240" w:lineRule="auto"/>
              <w:jc w:val="right"/>
            </w:pPr>
          </w:p>
        </w:tc>
        <w:tc>
          <w:tcPr>
            <w:tcW w:w="1125" w:type="dxa"/>
            <w:tcBorders>
              <w:left w:val="single" w:sz="4" w:space="0" w:color="auto"/>
              <w:bottom w:val="nil"/>
              <w:right w:val="single" w:sz="4" w:space="0" w:color="auto"/>
            </w:tcBorders>
          </w:tcPr>
          <w:p w:rsidR="00000000" w:rsidRDefault="00000000">
            <w:pPr>
              <w:spacing w:line="240" w:lineRule="auto"/>
              <w:jc w:val="right"/>
            </w:pPr>
          </w:p>
        </w:tc>
        <w:tc>
          <w:tcPr>
            <w:tcW w:w="1048" w:type="dxa"/>
            <w:tcBorders>
              <w:left w:val="single" w:sz="4" w:space="0" w:color="auto"/>
              <w:bottom w:val="nil"/>
            </w:tcBorders>
          </w:tcPr>
          <w:p w:rsidR="00000000" w:rsidRDefault="00000000">
            <w:pPr>
              <w:spacing w:line="240" w:lineRule="auto"/>
              <w:jc w:val="right"/>
            </w:pPr>
          </w:p>
        </w:tc>
      </w:tr>
      <w:tr w:rsidR="00000000">
        <w:tblPrEx>
          <w:tblCellMar>
            <w:top w:w="0" w:type="dxa"/>
            <w:bottom w:w="0" w:type="dxa"/>
          </w:tblCellMar>
        </w:tblPrEx>
        <w:tc>
          <w:tcPr>
            <w:tcW w:w="2913" w:type="dxa"/>
            <w:tcBorders>
              <w:top w:val="nil"/>
              <w:bottom w:val="nil"/>
              <w:right w:val="single" w:sz="4" w:space="0" w:color="auto"/>
            </w:tcBorders>
          </w:tcPr>
          <w:p w:rsidR="00000000" w:rsidRDefault="00000000">
            <w:pPr>
              <w:spacing w:line="240" w:lineRule="auto"/>
            </w:pPr>
            <w:r>
              <w:rPr>
                <w:lang w:val="en-US"/>
              </w:rPr>
              <w:tab/>
            </w:r>
            <w:r>
              <w:t>Учебные заведения</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3</w:t>
            </w:r>
          </w:p>
        </w:tc>
        <w:tc>
          <w:tcPr>
            <w:tcW w:w="112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6"/>
              <w:jc w:val="right"/>
            </w:pPr>
            <w:r>
              <w:t>53</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55</w:t>
            </w:r>
          </w:p>
        </w:tc>
        <w:tc>
          <w:tcPr>
            <w:tcW w:w="1122" w:type="dxa"/>
            <w:tcBorders>
              <w:top w:val="nil"/>
              <w:left w:val="single" w:sz="4" w:space="0" w:color="auto"/>
              <w:bottom w:val="nil"/>
              <w:right w:val="single" w:sz="4" w:space="0" w:color="auto"/>
            </w:tcBorders>
          </w:tcPr>
          <w:p w:rsidR="00000000" w:rsidRDefault="00000000">
            <w:pPr>
              <w:spacing w:line="240" w:lineRule="auto"/>
              <w:ind w:left="-295" w:right="263"/>
              <w:jc w:val="right"/>
            </w:pPr>
            <w:r>
              <w:t>50</w:t>
            </w:r>
          </w:p>
        </w:tc>
        <w:tc>
          <w:tcPr>
            <w:tcW w:w="1125" w:type="dxa"/>
            <w:tcBorders>
              <w:top w:val="nil"/>
              <w:left w:val="single" w:sz="4" w:space="0" w:color="auto"/>
              <w:bottom w:val="nil"/>
              <w:right w:val="single" w:sz="4" w:space="0" w:color="auto"/>
            </w:tcBorders>
          </w:tcPr>
          <w:p w:rsidR="00000000" w:rsidRDefault="00000000">
            <w:pPr>
              <w:spacing w:line="240" w:lineRule="auto"/>
              <w:ind w:left="-295" w:right="263"/>
              <w:jc w:val="right"/>
            </w:pPr>
            <w:r>
              <w:t>51</w:t>
            </w:r>
          </w:p>
        </w:tc>
        <w:tc>
          <w:tcPr>
            <w:tcW w:w="1048" w:type="dxa"/>
            <w:tcBorders>
              <w:top w:val="nil"/>
              <w:left w:val="single" w:sz="4" w:space="0" w:color="auto"/>
              <w:bottom w:val="nil"/>
            </w:tcBorders>
          </w:tcPr>
          <w:p w:rsidR="00000000" w:rsidRDefault="00000000">
            <w:pPr>
              <w:spacing w:line="240" w:lineRule="auto"/>
              <w:ind w:left="-295" w:right="263"/>
              <w:jc w:val="right"/>
            </w:pPr>
            <w:r>
              <w:t>55</w:t>
            </w:r>
          </w:p>
        </w:tc>
      </w:tr>
      <w:tr w:rsidR="00000000">
        <w:tblPrEx>
          <w:tblCellMar>
            <w:top w:w="0" w:type="dxa"/>
            <w:bottom w:w="0" w:type="dxa"/>
          </w:tblCellMar>
        </w:tblPrEx>
        <w:tc>
          <w:tcPr>
            <w:tcW w:w="2913" w:type="dxa"/>
            <w:tcBorders>
              <w:top w:val="nil"/>
              <w:bottom w:val="nil"/>
              <w:right w:val="single" w:sz="4" w:space="0" w:color="auto"/>
            </w:tcBorders>
          </w:tcPr>
          <w:p w:rsidR="00000000" w:rsidRDefault="00000000">
            <w:pPr>
              <w:spacing w:line="240" w:lineRule="auto"/>
            </w:pPr>
            <w:r>
              <w:rPr>
                <w:lang w:val="en-US"/>
              </w:rPr>
              <w:tab/>
            </w:r>
            <w:r>
              <w:t>Учащиеся</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472</w:t>
            </w:r>
          </w:p>
        </w:tc>
        <w:tc>
          <w:tcPr>
            <w:tcW w:w="112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6"/>
              <w:jc w:val="right"/>
            </w:pPr>
            <w:r>
              <w:t>4 137</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4 354</w:t>
            </w:r>
          </w:p>
        </w:tc>
        <w:tc>
          <w:tcPr>
            <w:tcW w:w="1122" w:type="dxa"/>
            <w:tcBorders>
              <w:top w:val="nil"/>
              <w:left w:val="single" w:sz="4" w:space="0" w:color="auto"/>
              <w:bottom w:val="nil"/>
              <w:right w:val="single" w:sz="4" w:space="0" w:color="auto"/>
            </w:tcBorders>
          </w:tcPr>
          <w:p w:rsidR="00000000" w:rsidRDefault="00000000">
            <w:pPr>
              <w:spacing w:line="240" w:lineRule="auto"/>
              <w:ind w:left="-295" w:right="263"/>
              <w:jc w:val="right"/>
            </w:pPr>
            <w:r>
              <w:t>4 718</w:t>
            </w:r>
          </w:p>
        </w:tc>
        <w:tc>
          <w:tcPr>
            <w:tcW w:w="1125" w:type="dxa"/>
            <w:tcBorders>
              <w:top w:val="nil"/>
              <w:left w:val="single" w:sz="4" w:space="0" w:color="auto"/>
              <w:bottom w:val="nil"/>
              <w:right w:val="single" w:sz="4" w:space="0" w:color="auto"/>
            </w:tcBorders>
          </w:tcPr>
          <w:p w:rsidR="00000000" w:rsidRDefault="00000000">
            <w:pPr>
              <w:spacing w:line="240" w:lineRule="auto"/>
              <w:ind w:left="-295" w:right="263"/>
              <w:jc w:val="right"/>
            </w:pPr>
            <w:r>
              <w:t>5 281</w:t>
            </w:r>
          </w:p>
        </w:tc>
        <w:tc>
          <w:tcPr>
            <w:tcW w:w="1048" w:type="dxa"/>
            <w:tcBorders>
              <w:top w:val="nil"/>
              <w:left w:val="single" w:sz="4" w:space="0" w:color="auto"/>
              <w:bottom w:val="nil"/>
            </w:tcBorders>
          </w:tcPr>
          <w:p w:rsidR="00000000" w:rsidRDefault="00000000">
            <w:pPr>
              <w:spacing w:line="240" w:lineRule="auto"/>
              <w:ind w:left="-295" w:right="263"/>
              <w:jc w:val="right"/>
            </w:pPr>
            <w:r>
              <w:t>5 795</w:t>
            </w:r>
          </w:p>
        </w:tc>
      </w:tr>
      <w:tr w:rsidR="00000000">
        <w:tblPrEx>
          <w:tblCellMar>
            <w:top w:w="0" w:type="dxa"/>
            <w:bottom w:w="0" w:type="dxa"/>
          </w:tblCellMar>
        </w:tblPrEx>
        <w:tc>
          <w:tcPr>
            <w:tcW w:w="2913" w:type="dxa"/>
            <w:tcBorders>
              <w:top w:val="nil"/>
              <w:bottom w:val="nil"/>
              <w:right w:val="single" w:sz="4" w:space="0" w:color="auto"/>
            </w:tcBorders>
          </w:tcPr>
          <w:p w:rsidR="00000000" w:rsidRDefault="00000000">
            <w:pPr>
              <w:spacing w:line="240" w:lineRule="auto"/>
            </w:pPr>
            <w:r>
              <w:rPr>
                <w:lang w:val="en-US"/>
              </w:rPr>
              <w:tab/>
            </w:r>
            <w:r>
              <w:t>Преподаватели</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rPr>
                <w:lang w:val="en-US"/>
              </w:rPr>
            </w:pPr>
            <w:r>
              <w:t>-</w:t>
            </w:r>
          </w:p>
        </w:tc>
        <w:tc>
          <w:tcPr>
            <w:tcW w:w="112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6"/>
              <w:jc w:val="right"/>
            </w:pPr>
            <w:r>
              <w:t>427</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500</w:t>
            </w:r>
          </w:p>
        </w:tc>
        <w:tc>
          <w:tcPr>
            <w:tcW w:w="1122" w:type="dxa"/>
            <w:tcBorders>
              <w:top w:val="nil"/>
              <w:left w:val="single" w:sz="4" w:space="0" w:color="auto"/>
              <w:bottom w:val="nil"/>
              <w:right w:val="single" w:sz="4" w:space="0" w:color="auto"/>
            </w:tcBorders>
          </w:tcPr>
          <w:p w:rsidR="00000000" w:rsidRDefault="00000000">
            <w:pPr>
              <w:spacing w:line="240" w:lineRule="auto"/>
              <w:ind w:left="-295" w:right="263"/>
              <w:jc w:val="right"/>
            </w:pPr>
            <w:r>
              <w:t>500</w:t>
            </w:r>
          </w:p>
        </w:tc>
        <w:tc>
          <w:tcPr>
            <w:tcW w:w="1125" w:type="dxa"/>
            <w:tcBorders>
              <w:top w:val="nil"/>
              <w:left w:val="single" w:sz="4" w:space="0" w:color="auto"/>
              <w:bottom w:val="nil"/>
              <w:right w:val="single" w:sz="4" w:space="0" w:color="auto"/>
            </w:tcBorders>
          </w:tcPr>
          <w:p w:rsidR="00000000" w:rsidRDefault="00000000">
            <w:pPr>
              <w:spacing w:line="240" w:lineRule="auto"/>
              <w:ind w:left="-295" w:right="263"/>
              <w:jc w:val="right"/>
            </w:pPr>
            <w:r>
              <w:t>549</w:t>
            </w:r>
          </w:p>
        </w:tc>
        <w:tc>
          <w:tcPr>
            <w:tcW w:w="1048" w:type="dxa"/>
            <w:tcBorders>
              <w:top w:val="nil"/>
              <w:left w:val="single" w:sz="4" w:space="0" w:color="auto"/>
              <w:bottom w:val="nil"/>
            </w:tcBorders>
          </w:tcPr>
          <w:p w:rsidR="00000000" w:rsidRDefault="00000000">
            <w:pPr>
              <w:spacing w:line="240" w:lineRule="auto"/>
              <w:ind w:left="-295" w:right="263"/>
              <w:jc w:val="right"/>
            </w:pPr>
            <w:r>
              <w:t>589</w:t>
            </w:r>
          </w:p>
        </w:tc>
      </w:tr>
      <w:tr w:rsidR="00000000">
        <w:tblPrEx>
          <w:tblCellMar>
            <w:top w:w="0" w:type="dxa"/>
            <w:bottom w:w="0" w:type="dxa"/>
          </w:tblCellMar>
        </w:tblPrEx>
        <w:tc>
          <w:tcPr>
            <w:tcW w:w="2913" w:type="dxa"/>
            <w:tcBorders>
              <w:top w:val="nil"/>
              <w:bottom w:val="nil"/>
              <w:right w:val="single" w:sz="4" w:space="0" w:color="auto"/>
            </w:tcBorders>
          </w:tcPr>
          <w:p w:rsidR="00000000" w:rsidRDefault="00000000">
            <w:pPr>
              <w:spacing w:line="240" w:lineRule="auto"/>
            </w:pPr>
            <w:r>
              <w:t>Классические гимназии</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p>
        </w:tc>
        <w:tc>
          <w:tcPr>
            <w:tcW w:w="112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6"/>
              <w:jc w:val="right"/>
            </w:pP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p>
        </w:tc>
        <w:tc>
          <w:tcPr>
            <w:tcW w:w="1122" w:type="dxa"/>
            <w:tcBorders>
              <w:top w:val="nil"/>
              <w:left w:val="single" w:sz="4" w:space="0" w:color="auto"/>
              <w:bottom w:val="nil"/>
              <w:right w:val="single" w:sz="4" w:space="0" w:color="auto"/>
            </w:tcBorders>
          </w:tcPr>
          <w:p w:rsidR="00000000" w:rsidRDefault="00000000">
            <w:pPr>
              <w:spacing w:line="240" w:lineRule="auto"/>
              <w:ind w:left="-295" w:right="263"/>
              <w:jc w:val="right"/>
            </w:pPr>
          </w:p>
        </w:tc>
        <w:tc>
          <w:tcPr>
            <w:tcW w:w="1125" w:type="dxa"/>
            <w:tcBorders>
              <w:top w:val="nil"/>
              <w:left w:val="single" w:sz="4" w:space="0" w:color="auto"/>
              <w:bottom w:val="nil"/>
              <w:right w:val="single" w:sz="4" w:space="0" w:color="auto"/>
            </w:tcBorders>
          </w:tcPr>
          <w:p w:rsidR="00000000" w:rsidRDefault="00000000">
            <w:pPr>
              <w:spacing w:line="240" w:lineRule="auto"/>
              <w:ind w:left="-295" w:right="263"/>
              <w:jc w:val="right"/>
            </w:pPr>
          </w:p>
        </w:tc>
        <w:tc>
          <w:tcPr>
            <w:tcW w:w="1048" w:type="dxa"/>
            <w:tcBorders>
              <w:top w:val="nil"/>
              <w:left w:val="single" w:sz="4" w:space="0" w:color="auto"/>
              <w:bottom w:val="nil"/>
            </w:tcBorders>
          </w:tcPr>
          <w:p w:rsidR="00000000" w:rsidRDefault="00000000">
            <w:pPr>
              <w:spacing w:line="240" w:lineRule="auto"/>
              <w:ind w:left="-295" w:right="263"/>
              <w:jc w:val="right"/>
            </w:pPr>
          </w:p>
        </w:tc>
      </w:tr>
      <w:tr w:rsidR="00000000">
        <w:tblPrEx>
          <w:tblCellMar>
            <w:top w:w="0" w:type="dxa"/>
            <w:bottom w:w="0" w:type="dxa"/>
          </w:tblCellMar>
        </w:tblPrEx>
        <w:tc>
          <w:tcPr>
            <w:tcW w:w="2913" w:type="dxa"/>
            <w:tcBorders>
              <w:top w:val="nil"/>
              <w:bottom w:val="nil"/>
              <w:right w:val="single" w:sz="4" w:space="0" w:color="auto"/>
            </w:tcBorders>
          </w:tcPr>
          <w:p w:rsidR="00000000" w:rsidRDefault="00000000">
            <w:pPr>
              <w:spacing w:line="240" w:lineRule="auto"/>
            </w:pPr>
            <w:r>
              <w:rPr>
                <w:lang w:val="en-US"/>
              </w:rPr>
              <w:tab/>
            </w:r>
            <w:r>
              <w:t>Учебные заведения</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2</w:t>
            </w:r>
          </w:p>
        </w:tc>
        <w:tc>
          <w:tcPr>
            <w:tcW w:w="112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6"/>
              <w:jc w:val="right"/>
            </w:pPr>
            <w:r>
              <w:t>73</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79</w:t>
            </w:r>
          </w:p>
        </w:tc>
        <w:tc>
          <w:tcPr>
            <w:tcW w:w="1122" w:type="dxa"/>
            <w:tcBorders>
              <w:top w:val="nil"/>
              <w:left w:val="single" w:sz="4" w:space="0" w:color="auto"/>
              <w:bottom w:val="nil"/>
              <w:right w:val="single" w:sz="4" w:space="0" w:color="auto"/>
            </w:tcBorders>
          </w:tcPr>
          <w:p w:rsidR="00000000" w:rsidRDefault="00000000">
            <w:pPr>
              <w:spacing w:line="240" w:lineRule="auto"/>
              <w:ind w:left="-295" w:right="263"/>
              <w:jc w:val="right"/>
            </w:pPr>
            <w:r>
              <w:t>84</w:t>
            </w:r>
          </w:p>
        </w:tc>
        <w:tc>
          <w:tcPr>
            <w:tcW w:w="1125" w:type="dxa"/>
            <w:tcBorders>
              <w:top w:val="nil"/>
              <w:left w:val="single" w:sz="4" w:space="0" w:color="auto"/>
              <w:bottom w:val="nil"/>
              <w:right w:val="single" w:sz="4" w:space="0" w:color="auto"/>
            </w:tcBorders>
          </w:tcPr>
          <w:p w:rsidR="00000000" w:rsidRDefault="00000000">
            <w:pPr>
              <w:spacing w:line="240" w:lineRule="auto"/>
              <w:ind w:left="-295" w:right="263"/>
              <w:jc w:val="right"/>
            </w:pPr>
            <w:r>
              <w:t>64</w:t>
            </w:r>
          </w:p>
        </w:tc>
        <w:tc>
          <w:tcPr>
            <w:tcW w:w="1048" w:type="dxa"/>
            <w:tcBorders>
              <w:top w:val="nil"/>
              <w:left w:val="single" w:sz="4" w:space="0" w:color="auto"/>
              <w:bottom w:val="nil"/>
            </w:tcBorders>
          </w:tcPr>
          <w:p w:rsidR="00000000" w:rsidRDefault="00000000">
            <w:pPr>
              <w:spacing w:line="240" w:lineRule="auto"/>
              <w:ind w:left="-295" w:right="263"/>
              <w:jc w:val="right"/>
            </w:pPr>
            <w:r>
              <w:t>78</w:t>
            </w:r>
          </w:p>
        </w:tc>
      </w:tr>
      <w:tr w:rsidR="00000000">
        <w:tblPrEx>
          <w:tblCellMar>
            <w:top w:w="0" w:type="dxa"/>
            <w:bottom w:w="0" w:type="dxa"/>
          </w:tblCellMar>
        </w:tblPrEx>
        <w:tc>
          <w:tcPr>
            <w:tcW w:w="2913" w:type="dxa"/>
            <w:tcBorders>
              <w:top w:val="nil"/>
              <w:bottom w:val="nil"/>
              <w:right w:val="single" w:sz="4" w:space="0" w:color="auto"/>
            </w:tcBorders>
          </w:tcPr>
          <w:p w:rsidR="00000000" w:rsidRDefault="00000000">
            <w:pPr>
              <w:spacing w:line="240" w:lineRule="auto"/>
            </w:pPr>
            <w:r>
              <w:rPr>
                <w:lang w:val="en-US"/>
              </w:rPr>
              <w:tab/>
            </w:r>
            <w:r>
              <w:t>Учащиеся</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162</w:t>
            </w:r>
          </w:p>
        </w:tc>
        <w:tc>
          <w:tcPr>
            <w:tcW w:w="112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6"/>
              <w:jc w:val="right"/>
            </w:pPr>
            <w:r>
              <w:t>13 576</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15 124</w:t>
            </w:r>
          </w:p>
        </w:tc>
        <w:tc>
          <w:tcPr>
            <w:tcW w:w="1122" w:type="dxa"/>
            <w:tcBorders>
              <w:top w:val="nil"/>
              <w:left w:val="single" w:sz="4" w:space="0" w:color="auto"/>
              <w:bottom w:val="nil"/>
              <w:right w:val="single" w:sz="4" w:space="0" w:color="auto"/>
            </w:tcBorders>
          </w:tcPr>
          <w:p w:rsidR="00000000" w:rsidRDefault="00000000">
            <w:pPr>
              <w:spacing w:line="240" w:lineRule="auto"/>
              <w:ind w:left="-295" w:right="263"/>
              <w:jc w:val="right"/>
            </w:pPr>
            <w:r>
              <w:t>14 488</w:t>
            </w:r>
          </w:p>
        </w:tc>
        <w:tc>
          <w:tcPr>
            <w:tcW w:w="1125" w:type="dxa"/>
            <w:tcBorders>
              <w:top w:val="nil"/>
              <w:left w:val="single" w:sz="4" w:space="0" w:color="auto"/>
              <w:bottom w:val="nil"/>
              <w:right w:val="single" w:sz="4" w:space="0" w:color="auto"/>
            </w:tcBorders>
          </w:tcPr>
          <w:p w:rsidR="00000000" w:rsidRDefault="00000000">
            <w:pPr>
              <w:spacing w:line="240" w:lineRule="auto"/>
              <w:ind w:left="-295" w:right="263"/>
              <w:jc w:val="right"/>
            </w:pPr>
            <w:r>
              <w:t>14 026</w:t>
            </w:r>
          </w:p>
        </w:tc>
        <w:tc>
          <w:tcPr>
            <w:tcW w:w="1048" w:type="dxa"/>
            <w:tcBorders>
              <w:top w:val="nil"/>
              <w:left w:val="single" w:sz="4" w:space="0" w:color="auto"/>
              <w:bottom w:val="nil"/>
            </w:tcBorders>
          </w:tcPr>
          <w:p w:rsidR="00000000" w:rsidRDefault="00000000">
            <w:pPr>
              <w:spacing w:line="240" w:lineRule="auto"/>
              <w:ind w:left="-295" w:right="263"/>
              <w:jc w:val="right"/>
            </w:pPr>
            <w:r>
              <w:t>13 605</w:t>
            </w:r>
          </w:p>
        </w:tc>
      </w:tr>
      <w:tr w:rsidR="00000000">
        <w:tblPrEx>
          <w:tblCellMar>
            <w:top w:w="0" w:type="dxa"/>
            <w:bottom w:w="0" w:type="dxa"/>
          </w:tblCellMar>
        </w:tblPrEx>
        <w:tc>
          <w:tcPr>
            <w:tcW w:w="2913" w:type="dxa"/>
            <w:tcBorders>
              <w:top w:val="nil"/>
              <w:bottom w:val="nil"/>
              <w:right w:val="single" w:sz="4" w:space="0" w:color="auto"/>
            </w:tcBorders>
          </w:tcPr>
          <w:p w:rsidR="00000000" w:rsidRDefault="00000000">
            <w:pPr>
              <w:spacing w:line="240" w:lineRule="auto"/>
            </w:pPr>
            <w:r>
              <w:rPr>
                <w:lang w:val="en-US"/>
              </w:rPr>
              <w:tab/>
            </w:r>
            <w:r>
              <w:t>Преподаватели</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37</w:t>
            </w:r>
          </w:p>
        </w:tc>
        <w:tc>
          <w:tcPr>
            <w:tcW w:w="112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6"/>
              <w:jc w:val="right"/>
            </w:pPr>
            <w:r>
              <w:t>2 058</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2 353</w:t>
            </w:r>
          </w:p>
        </w:tc>
        <w:tc>
          <w:tcPr>
            <w:tcW w:w="1122" w:type="dxa"/>
            <w:tcBorders>
              <w:top w:val="nil"/>
              <w:left w:val="single" w:sz="4" w:space="0" w:color="auto"/>
              <w:bottom w:val="nil"/>
              <w:right w:val="single" w:sz="4" w:space="0" w:color="auto"/>
            </w:tcBorders>
          </w:tcPr>
          <w:p w:rsidR="00000000" w:rsidRDefault="00000000">
            <w:pPr>
              <w:spacing w:line="240" w:lineRule="auto"/>
              <w:ind w:left="-295" w:right="263"/>
              <w:jc w:val="right"/>
            </w:pPr>
            <w:r>
              <w:t>2 212</w:t>
            </w:r>
          </w:p>
        </w:tc>
        <w:tc>
          <w:tcPr>
            <w:tcW w:w="1125" w:type="dxa"/>
            <w:tcBorders>
              <w:top w:val="nil"/>
              <w:left w:val="single" w:sz="4" w:space="0" w:color="auto"/>
              <w:bottom w:val="nil"/>
              <w:right w:val="single" w:sz="4" w:space="0" w:color="auto"/>
            </w:tcBorders>
          </w:tcPr>
          <w:p w:rsidR="00000000" w:rsidRDefault="00000000">
            <w:pPr>
              <w:spacing w:line="240" w:lineRule="auto"/>
              <w:ind w:left="-295" w:right="263"/>
              <w:jc w:val="right"/>
            </w:pPr>
            <w:r>
              <w:t>1 965</w:t>
            </w:r>
          </w:p>
        </w:tc>
        <w:tc>
          <w:tcPr>
            <w:tcW w:w="1048" w:type="dxa"/>
            <w:tcBorders>
              <w:top w:val="nil"/>
              <w:left w:val="single" w:sz="4" w:space="0" w:color="auto"/>
              <w:bottom w:val="nil"/>
            </w:tcBorders>
          </w:tcPr>
          <w:p w:rsidR="00000000" w:rsidRDefault="00000000">
            <w:pPr>
              <w:spacing w:line="240" w:lineRule="auto"/>
              <w:ind w:left="-295" w:right="263"/>
              <w:jc w:val="right"/>
            </w:pPr>
            <w:r>
              <w:t>1 842</w:t>
            </w:r>
          </w:p>
        </w:tc>
      </w:tr>
      <w:tr w:rsidR="00000000">
        <w:tblPrEx>
          <w:tblCellMar>
            <w:top w:w="0" w:type="dxa"/>
            <w:bottom w:w="0" w:type="dxa"/>
          </w:tblCellMar>
        </w:tblPrEx>
        <w:tc>
          <w:tcPr>
            <w:tcW w:w="2913" w:type="dxa"/>
            <w:tcBorders>
              <w:top w:val="nil"/>
              <w:bottom w:val="nil"/>
              <w:right w:val="single" w:sz="4" w:space="0" w:color="auto"/>
            </w:tcBorders>
          </w:tcPr>
          <w:p w:rsidR="00000000" w:rsidRDefault="00000000">
            <w:pPr>
              <w:spacing w:line="240" w:lineRule="auto"/>
            </w:pPr>
            <w:r>
              <w:t>Средние технические училища</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p>
        </w:tc>
        <w:tc>
          <w:tcPr>
            <w:tcW w:w="112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6"/>
              <w:jc w:val="right"/>
            </w:pP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p>
        </w:tc>
        <w:tc>
          <w:tcPr>
            <w:tcW w:w="1122" w:type="dxa"/>
            <w:tcBorders>
              <w:top w:val="nil"/>
              <w:left w:val="single" w:sz="4" w:space="0" w:color="auto"/>
              <w:bottom w:val="nil"/>
              <w:right w:val="single" w:sz="4" w:space="0" w:color="auto"/>
            </w:tcBorders>
          </w:tcPr>
          <w:p w:rsidR="00000000" w:rsidRDefault="00000000">
            <w:pPr>
              <w:spacing w:line="240" w:lineRule="auto"/>
              <w:ind w:left="-295" w:right="263"/>
              <w:jc w:val="right"/>
            </w:pPr>
          </w:p>
        </w:tc>
        <w:tc>
          <w:tcPr>
            <w:tcW w:w="1125" w:type="dxa"/>
            <w:tcBorders>
              <w:top w:val="nil"/>
              <w:left w:val="single" w:sz="4" w:space="0" w:color="auto"/>
              <w:bottom w:val="nil"/>
              <w:right w:val="single" w:sz="4" w:space="0" w:color="auto"/>
            </w:tcBorders>
          </w:tcPr>
          <w:p w:rsidR="00000000" w:rsidRDefault="00000000">
            <w:pPr>
              <w:spacing w:line="240" w:lineRule="auto"/>
              <w:ind w:left="-295" w:right="263"/>
              <w:jc w:val="right"/>
            </w:pPr>
          </w:p>
        </w:tc>
        <w:tc>
          <w:tcPr>
            <w:tcW w:w="1048" w:type="dxa"/>
            <w:tcBorders>
              <w:top w:val="nil"/>
              <w:left w:val="single" w:sz="4" w:space="0" w:color="auto"/>
              <w:bottom w:val="nil"/>
            </w:tcBorders>
          </w:tcPr>
          <w:p w:rsidR="00000000" w:rsidRDefault="00000000">
            <w:pPr>
              <w:spacing w:line="240" w:lineRule="auto"/>
              <w:ind w:left="-295" w:right="263"/>
              <w:jc w:val="right"/>
            </w:pPr>
          </w:p>
        </w:tc>
      </w:tr>
      <w:tr w:rsidR="00000000">
        <w:tblPrEx>
          <w:tblCellMar>
            <w:top w:w="0" w:type="dxa"/>
            <w:bottom w:w="0" w:type="dxa"/>
          </w:tblCellMar>
        </w:tblPrEx>
        <w:tc>
          <w:tcPr>
            <w:tcW w:w="2913" w:type="dxa"/>
            <w:tcBorders>
              <w:top w:val="nil"/>
              <w:bottom w:val="nil"/>
              <w:right w:val="single" w:sz="4" w:space="0" w:color="auto"/>
            </w:tcBorders>
          </w:tcPr>
          <w:p w:rsidR="00000000" w:rsidRDefault="00000000">
            <w:pPr>
              <w:spacing w:line="240" w:lineRule="auto"/>
            </w:pPr>
            <w:r>
              <w:rPr>
                <w:lang w:val="en-US"/>
              </w:rPr>
              <w:tab/>
            </w:r>
            <w:r>
              <w:t>Учебные заведения</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4</w:t>
            </w:r>
          </w:p>
        </w:tc>
        <w:tc>
          <w:tcPr>
            <w:tcW w:w="112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6"/>
              <w:jc w:val="right"/>
            </w:pPr>
            <w:r>
              <w:t>292</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313</w:t>
            </w:r>
          </w:p>
        </w:tc>
        <w:tc>
          <w:tcPr>
            <w:tcW w:w="1122" w:type="dxa"/>
            <w:tcBorders>
              <w:top w:val="nil"/>
              <w:left w:val="single" w:sz="4" w:space="0" w:color="auto"/>
              <w:bottom w:val="nil"/>
              <w:right w:val="single" w:sz="4" w:space="0" w:color="auto"/>
            </w:tcBorders>
          </w:tcPr>
          <w:p w:rsidR="00000000" w:rsidRDefault="00000000">
            <w:pPr>
              <w:spacing w:line="240" w:lineRule="auto"/>
              <w:ind w:left="-295" w:right="263"/>
              <w:jc w:val="right"/>
            </w:pPr>
            <w:r>
              <w:t>328</w:t>
            </w:r>
          </w:p>
        </w:tc>
        <w:tc>
          <w:tcPr>
            <w:tcW w:w="1125" w:type="dxa"/>
            <w:tcBorders>
              <w:top w:val="nil"/>
              <w:left w:val="single" w:sz="4" w:space="0" w:color="auto"/>
              <w:bottom w:val="nil"/>
              <w:right w:val="single" w:sz="4" w:space="0" w:color="auto"/>
            </w:tcBorders>
          </w:tcPr>
          <w:p w:rsidR="00000000" w:rsidRDefault="00000000">
            <w:pPr>
              <w:spacing w:line="240" w:lineRule="auto"/>
              <w:ind w:left="-295" w:right="263"/>
              <w:jc w:val="right"/>
            </w:pPr>
            <w:r>
              <w:t>285</w:t>
            </w:r>
          </w:p>
        </w:tc>
        <w:tc>
          <w:tcPr>
            <w:tcW w:w="1048" w:type="dxa"/>
            <w:tcBorders>
              <w:top w:val="nil"/>
              <w:left w:val="single" w:sz="4" w:space="0" w:color="auto"/>
              <w:bottom w:val="nil"/>
            </w:tcBorders>
          </w:tcPr>
          <w:p w:rsidR="00000000" w:rsidRDefault="00000000">
            <w:pPr>
              <w:spacing w:line="240" w:lineRule="auto"/>
              <w:ind w:left="-295" w:right="263"/>
              <w:jc w:val="right"/>
            </w:pPr>
            <w:r>
              <w:t>255</w:t>
            </w:r>
          </w:p>
        </w:tc>
      </w:tr>
      <w:tr w:rsidR="00000000">
        <w:tblPrEx>
          <w:tblCellMar>
            <w:top w:w="0" w:type="dxa"/>
            <w:bottom w:w="0" w:type="dxa"/>
          </w:tblCellMar>
        </w:tblPrEx>
        <w:tc>
          <w:tcPr>
            <w:tcW w:w="2913" w:type="dxa"/>
            <w:tcBorders>
              <w:top w:val="nil"/>
              <w:bottom w:val="nil"/>
              <w:right w:val="single" w:sz="4" w:space="0" w:color="auto"/>
            </w:tcBorders>
          </w:tcPr>
          <w:p w:rsidR="00000000" w:rsidRDefault="00000000">
            <w:pPr>
              <w:spacing w:line="240" w:lineRule="auto"/>
            </w:pPr>
            <w:r>
              <w:rPr>
                <w:lang w:val="en-US"/>
              </w:rPr>
              <w:tab/>
            </w:r>
            <w:r>
              <w:t>Учащиеся</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160</w:t>
            </w:r>
          </w:p>
        </w:tc>
        <w:tc>
          <w:tcPr>
            <w:tcW w:w="112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6"/>
              <w:jc w:val="right"/>
            </w:pPr>
            <w:r>
              <w:t>44 483</w:t>
            </w:r>
          </w:p>
        </w:tc>
        <w:tc>
          <w:tcPr>
            <w:tcW w:w="1119"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3"/>
              <w:jc w:val="right"/>
            </w:pPr>
            <w:r>
              <w:t>50 446</w:t>
            </w:r>
          </w:p>
        </w:tc>
        <w:tc>
          <w:tcPr>
            <w:tcW w:w="1122" w:type="dxa"/>
            <w:tcBorders>
              <w:top w:val="nil"/>
              <w:left w:val="single" w:sz="4" w:space="0" w:color="auto"/>
              <w:bottom w:val="nil"/>
              <w:right w:val="single" w:sz="4" w:space="0" w:color="auto"/>
            </w:tcBorders>
          </w:tcPr>
          <w:p w:rsidR="00000000" w:rsidRDefault="00000000">
            <w:pPr>
              <w:spacing w:line="240" w:lineRule="auto"/>
              <w:ind w:left="-295" w:right="263"/>
              <w:jc w:val="right"/>
            </w:pPr>
            <w:r>
              <w:t>37 657</w:t>
            </w:r>
          </w:p>
        </w:tc>
        <w:tc>
          <w:tcPr>
            <w:tcW w:w="1125" w:type="dxa"/>
            <w:tcBorders>
              <w:top w:val="nil"/>
              <w:left w:val="single" w:sz="4" w:space="0" w:color="auto"/>
              <w:bottom w:val="nil"/>
              <w:right w:val="single" w:sz="4" w:space="0" w:color="auto"/>
            </w:tcBorders>
          </w:tcPr>
          <w:p w:rsidR="00000000" w:rsidRDefault="00000000">
            <w:pPr>
              <w:spacing w:line="240" w:lineRule="auto"/>
              <w:ind w:left="-295" w:right="263"/>
              <w:jc w:val="right"/>
            </w:pPr>
            <w:r>
              <w:t>31 775</w:t>
            </w:r>
          </w:p>
        </w:tc>
        <w:tc>
          <w:tcPr>
            <w:tcW w:w="1048" w:type="dxa"/>
            <w:tcBorders>
              <w:top w:val="nil"/>
              <w:left w:val="single" w:sz="4" w:space="0" w:color="auto"/>
              <w:bottom w:val="nil"/>
            </w:tcBorders>
          </w:tcPr>
          <w:p w:rsidR="00000000" w:rsidRDefault="00000000">
            <w:pPr>
              <w:spacing w:line="240" w:lineRule="auto"/>
              <w:ind w:left="-295" w:right="263"/>
              <w:jc w:val="right"/>
            </w:pPr>
            <w:r>
              <w:t>25 570</w:t>
            </w:r>
          </w:p>
        </w:tc>
      </w:tr>
      <w:tr w:rsidR="00000000">
        <w:tblPrEx>
          <w:tblCellMar>
            <w:top w:w="0" w:type="dxa"/>
            <w:bottom w:w="0" w:type="dxa"/>
          </w:tblCellMar>
        </w:tblPrEx>
        <w:tc>
          <w:tcPr>
            <w:tcW w:w="2913" w:type="dxa"/>
            <w:tcBorders>
              <w:top w:val="nil"/>
              <w:right w:val="single" w:sz="4" w:space="0" w:color="auto"/>
            </w:tcBorders>
          </w:tcPr>
          <w:p w:rsidR="00000000" w:rsidRDefault="00000000">
            <w:pPr>
              <w:spacing w:line="240" w:lineRule="auto"/>
              <w:ind w:left="567" w:hanging="567"/>
            </w:pPr>
            <w:r>
              <w:rPr>
                <w:lang w:val="en-US"/>
              </w:rPr>
              <w:tab/>
            </w:r>
            <w:r>
              <w:t>Преподаватели (на полной и частичной ставке)</w:t>
            </w:r>
          </w:p>
        </w:tc>
        <w:tc>
          <w:tcPr>
            <w:tcW w:w="1119" w:type="dxa"/>
            <w:tcBorders>
              <w:top w:val="nil"/>
              <w:left w:val="single" w:sz="4" w:space="0" w:color="auto"/>
              <w:right w:val="single" w:sz="4" w:space="0" w:color="auto"/>
            </w:tcBorders>
          </w:tcPr>
          <w:p w:rsidR="00000000" w:rsidRDefault="00000000">
            <w:pPr>
              <w:tabs>
                <w:tab w:val="clear" w:pos="567"/>
              </w:tabs>
              <w:spacing w:line="240" w:lineRule="auto"/>
              <w:ind w:left="-295" w:right="263"/>
              <w:jc w:val="right"/>
            </w:pPr>
            <w:r>
              <w:t>42</w:t>
            </w:r>
          </w:p>
        </w:tc>
        <w:tc>
          <w:tcPr>
            <w:tcW w:w="1125" w:type="dxa"/>
            <w:tcBorders>
              <w:top w:val="nil"/>
              <w:left w:val="single" w:sz="4" w:space="0" w:color="auto"/>
              <w:right w:val="single" w:sz="4" w:space="0" w:color="auto"/>
            </w:tcBorders>
          </w:tcPr>
          <w:p w:rsidR="00000000" w:rsidRDefault="00000000">
            <w:pPr>
              <w:tabs>
                <w:tab w:val="clear" w:pos="567"/>
              </w:tabs>
              <w:spacing w:line="240" w:lineRule="auto"/>
              <w:ind w:left="-295" w:right="266"/>
              <w:jc w:val="right"/>
            </w:pPr>
            <w:r>
              <w:t>7 058</w:t>
            </w:r>
          </w:p>
        </w:tc>
        <w:tc>
          <w:tcPr>
            <w:tcW w:w="1119" w:type="dxa"/>
            <w:tcBorders>
              <w:top w:val="nil"/>
              <w:left w:val="single" w:sz="4" w:space="0" w:color="auto"/>
              <w:right w:val="single" w:sz="4" w:space="0" w:color="auto"/>
            </w:tcBorders>
          </w:tcPr>
          <w:p w:rsidR="00000000" w:rsidRDefault="00000000">
            <w:pPr>
              <w:tabs>
                <w:tab w:val="clear" w:pos="567"/>
              </w:tabs>
              <w:spacing w:line="240" w:lineRule="auto"/>
              <w:ind w:left="-295" w:right="263"/>
              <w:jc w:val="right"/>
            </w:pPr>
            <w:r>
              <w:t>8 005</w:t>
            </w:r>
          </w:p>
        </w:tc>
        <w:tc>
          <w:tcPr>
            <w:tcW w:w="1122" w:type="dxa"/>
            <w:tcBorders>
              <w:top w:val="nil"/>
              <w:left w:val="single" w:sz="4" w:space="0" w:color="auto"/>
              <w:right w:val="single" w:sz="4" w:space="0" w:color="auto"/>
            </w:tcBorders>
          </w:tcPr>
          <w:p w:rsidR="00000000" w:rsidRDefault="00000000">
            <w:pPr>
              <w:spacing w:line="240" w:lineRule="auto"/>
              <w:ind w:left="-295" w:right="263"/>
              <w:jc w:val="right"/>
            </w:pPr>
            <w:r>
              <w:t>6 469</w:t>
            </w:r>
          </w:p>
        </w:tc>
        <w:tc>
          <w:tcPr>
            <w:tcW w:w="1125" w:type="dxa"/>
            <w:tcBorders>
              <w:top w:val="nil"/>
              <w:left w:val="single" w:sz="4" w:space="0" w:color="auto"/>
              <w:right w:val="single" w:sz="4" w:space="0" w:color="auto"/>
            </w:tcBorders>
          </w:tcPr>
          <w:p w:rsidR="00000000" w:rsidRDefault="00000000">
            <w:pPr>
              <w:spacing w:line="240" w:lineRule="auto"/>
              <w:ind w:left="-295" w:right="263"/>
              <w:jc w:val="right"/>
            </w:pPr>
            <w:r>
              <w:t>4 974</w:t>
            </w:r>
          </w:p>
        </w:tc>
        <w:tc>
          <w:tcPr>
            <w:tcW w:w="1048" w:type="dxa"/>
            <w:tcBorders>
              <w:top w:val="nil"/>
              <w:left w:val="single" w:sz="4" w:space="0" w:color="auto"/>
            </w:tcBorders>
          </w:tcPr>
          <w:p w:rsidR="00000000" w:rsidRDefault="00000000">
            <w:pPr>
              <w:spacing w:line="240" w:lineRule="auto"/>
              <w:ind w:left="-295" w:right="263"/>
              <w:jc w:val="right"/>
            </w:pPr>
            <w:r>
              <w:t>4 295</w:t>
            </w:r>
          </w:p>
        </w:tc>
      </w:tr>
    </w:tbl>
    <w:p w:rsidR="00000000" w:rsidRDefault="00000000">
      <w:pPr>
        <w:pStyle w:val="FootnoteText"/>
      </w:pPr>
    </w:p>
    <w:p w:rsidR="00000000" w:rsidRDefault="00000000">
      <w:pPr>
        <w:spacing w:line="240" w:lineRule="auto"/>
      </w:pPr>
      <w:r>
        <w:tab/>
      </w:r>
      <w:r>
        <w:rPr>
          <w:u w:val="single"/>
        </w:rPr>
        <w:t>Источник</w:t>
      </w:r>
      <w:r>
        <w:t>:  Статистический ежегодник ЧР, 1999 год.</w:t>
      </w:r>
    </w:p>
    <w:p w:rsidR="00000000" w:rsidRDefault="00000000">
      <w:pPr>
        <w:spacing w:line="240" w:lineRule="auto"/>
      </w:pPr>
    </w:p>
    <w:p w:rsidR="00000000" w:rsidRDefault="00000000">
      <w:pPr>
        <w:pStyle w:val="14"/>
        <w:spacing w:line="240" w:lineRule="auto"/>
        <w:rPr>
          <w:bCs/>
          <w:u w:val="none"/>
        </w:rPr>
      </w:pPr>
      <w:r>
        <w:rPr>
          <w:bCs/>
          <w:u w:val="none"/>
        </w:rPr>
        <w:t>Статья 14</w:t>
      </w:r>
    </w:p>
    <w:p w:rsidR="00000000" w:rsidRDefault="00000000">
      <w:pPr>
        <w:pStyle w:val="14"/>
        <w:spacing w:line="240" w:lineRule="auto"/>
        <w:rPr>
          <w:bCs/>
        </w:rPr>
      </w:pPr>
    </w:p>
    <w:p w:rsidR="00000000" w:rsidRDefault="00000000">
      <w:r>
        <w:t>641.</w:t>
      </w:r>
      <w:r>
        <w:tab/>
        <w:t>Эта статья не применяется к Чешской Республике, поскольку обязательное начальное образование обеспечивается на ее территории безвозмездно.  Право на получение такого образования вытекает из вышеупомянутой статьи 13 Хартии и пункта 1 статьи 4 Закона о системе начальных школ, средних школ и послесредних профессиональных учебных заведений (Закон об учебных заведениях).  Бесплатность обязательного образования обеспечивается в Чешской Республике в соответствии со статьей 33 Хартии и пунктом 1 статьи 4 Закона об учебных заведениях.</w:t>
      </w:r>
    </w:p>
    <w:p w:rsidR="00000000" w:rsidRDefault="00000000">
      <w:pPr>
        <w:spacing w:line="240" w:lineRule="auto"/>
      </w:pPr>
    </w:p>
    <w:p w:rsidR="00000000" w:rsidRDefault="00000000">
      <w:pPr>
        <w:pStyle w:val="14"/>
        <w:spacing w:line="240" w:lineRule="auto"/>
        <w:rPr>
          <w:bCs/>
          <w:u w:val="none"/>
        </w:rPr>
      </w:pPr>
      <w:r>
        <w:rPr>
          <w:bCs/>
          <w:u w:val="none"/>
        </w:rPr>
        <w:t>Статья 15</w:t>
      </w:r>
    </w:p>
    <w:p w:rsidR="00000000" w:rsidRDefault="00000000">
      <w:pPr>
        <w:pStyle w:val="14"/>
        <w:spacing w:line="240" w:lineRule="auto"/>
        <w:rPr>
          <w:bCs/>
        </w:rPr>
      </w:pPr>
    </w:p>
    <w:p w:rsidR="00000000" w:rsidRDefault="00000000">
      <w:r>
        <w:t>642.</w:t>
      </w:r>
      <w:r>
        <w:tab/>
        <w:t>Основным механизмом защиты прав, перечисленных в статье 15 Пакта, является Хартия основных прав и свобод.</w:t>
      </w:r>
    </w:p>
    <w:p w:rsidR="00000000" w:rsidRDefault="00000000"/>
    <w:p w:rsidR="00000000" w:rsidRDefault="00000000">
      <w:r>
        <w:tab/>
        <w:t>Статья 15 Хартии гласит:</w:t>
      </w:r>
    </w:p>
    <w:p w:rsidR="00000000" w:rsidRDefault="00000000">
      <w:pPr>
        <w:pStyle w:val="FootnoteText"/>
        <w:spacing w:line="288" w:lineRule="auto"/>
      </w:pPr>
    </w:p>
    <w:p w:rsidR="00000000" w:rsidRDefault="00000000">
      <w:pPr>
        <w:ind w:left="1134" w:hanging="1134"/>
      </w:pPr>
      <w:r>
        <w:tab/>
        <w:t>"1)</w:t>
      </w:r>
      <w:r>
        <w:tab/>
        <w:t>Гарантируется свобода мысли, совести и вероисповедания.  Каждый имеет право изменить свою религию или веру или не исповедывать никакую религию.</w:t>
      </w:r>
    </w:p>
    <w:p w:rsidR="00000000" w:rsidRDefault="00000000">
      <w:pPr>
        <w:ind w:left="1134" w:hanging="1134"/>
      </w:pPr>
    </w:p>
    <w:p w:rsidR="00000000" w:rsidRDefault="00000000">
      <w:pPr>
        <w:ind w:left="1134" w:hanging="1134"/>
      </w:pPr>
      <w:r>
        <w:tab/>
        <w:t>2)</w:t>
      </w:r>
      <w:r>
        <w:tab/>
        <w:t>Гарантируется свобода научного исследования и художественного творчества.</w:t>
      </w:r>
    </w:p>
    <w:p w:rsidR="00000000" w:rsidRDefault="00000000">
      <w:pPr>
        <w:ind w:left="1134" w:hanging="1134"/>
      </w:pPr>
    </w:p>
    <w:p w:rsidR="00000000" w:rsidRDefault="00000000">
      <w:pPr>
        <w:pStyle w:val="BodyTextIndent"/>
        <w:rPr>
          <w:i/>
          <w:iCs/>
        </w:rPr>
      </w:pPr>
      <w:r>
        <w:rPr>
          <w:i/>
          <w:iCs/>
        </w:rPr>
        <w:tab/>
        <w:t>3)</w:t>
      </w:r>
      <w:r>
        <w:rPr>
          <w:i/>
          <w:iCs/>
        </w:rPr>
        <w:tab/>
        <w:t>Никто не может принуждаться к прохождению воинской службы, если это противоречит его убеждениям или вероисповеданию.  Подробные положения в этой связи излагаются в законе".</w:t>
      </w:r>
    </w:p>
    <w:p w:rsidR="00000000" w:rsidRDefault="00000000">
      <w:pPr>
        <w:pStyle w:val="BodyTextIndent"/>
        <w:rPr>
          <w:i/>
          <w:iCs/>
        </w:rPr>
      </w:pPr>
    </w:p>
    <w:p w:rsidR="00000000" w:rsidRDefault="00000000">
      <w:pPr>
        <w:ind w:left="1134" w:hanging="1134"/>
      </w:pPr>
      <w:r>
        <w:tab/>
        <w:t>Статья 17 Хартии гласит следующее:</w:t>
      </w:r>
    </w:p>
    <w:p w:rsidR="00000000" w:rsidRDefault="00000000">
      <w:pPr>
        <w:ind w:left="1134" w:hanging="1134"/>
      </w:pPr>
    </w:p>
    <w:p w:rsidR="00000000" w:rsidRDefault="00000000">
      <w:pPr>
        <w:ind w:left="1134" w:hanging="1134"/>
      </w:pPr>
      <w:r>
        <w:tab/>
        <w:t>"1)</w:t>
      </w:r>
      <w:r>
        <w:tab/>
        <w:t xml:space="preserve">Гарантируются свобода слова и право на информацию. </w:t>
      </w:r>
    </w:p>
    <w:p w:rsidR="00000000" w:rsidRDefault="00000000">
      <w:pPr>
        <w:ind w:left="1134" w:hanging="1134"/>
      </w:pPr>
    </w:p>
    <w:p w:rsidR="00000000" w:rsidRDefault="00000000">
      <w:pPr>
        <w:ind w:left="1134" w:hanging="1134"/>
      </w:pPr>
      <w:r>
        <w:tab/>
        <w:t>2)</w:t>
      </w:r>
      <w:r>
        <w:tab/>
        <w:t>Каждый имеет право выражать свои мнения устно, письменно, в печати, посредством изображения или иным способом, а также свободно собирать, воспринимать и распространять идеи и информацию независимо от границ государства.</w:t>
      </w:r>
    </w:p>
    <w:p w:rsidR="00000000" w:rsidRDefault="00000000">
      <w:pPr>
        <w:ind w:left="1134" w:hanging="1134"/>
      </w:pPr>
    </w:p>
    <w:p w:rsidR="00000000" w:rsidRDefault="00000000">
      <w:pPr>
        <w:ind w:left="1134" w:hanging="1134"/>
      </w:pPr>
      <w:r>
        <w:tab/>
        <w:t>3)</w:t>
      </w:r>
      <w:r>
        <w:tab/>
        <w:t>Цензура не допускается.</w:t>
      </w:r>
    </w:p>
    <w:p w:rsidR="00000000" w:rsidRDefault="00000000">
      <w:pPr>
        <w:ind w:left="1134" w:hanging="1134"/>
      </w:pPr>
    </w:p>
    <w:p w:rsidR="00000000" w:rsidRDefault="00000000">
      <w:pPr>
        <w:ind w:left="1134" w:hanging="1134"/>
      </w:pPr>
      <w:r>
        <w:tab/>
        <w:t>4)</w:t>
      </w:r>
      <w:r>
        <w:tab/>
        <w:t>Свобода слова и право собирать и распространять информацию могут ограничиваться законом, если такие меры необходимы в демократическом обществе для охраны прав и свобод других лиц, безопасности государства, общественной безопасности, здоровья и нравственности.</w:t>
      </w:r>
    </w:p>
    <w:p w:rsidR="00000000" w:rsidRDefault="00000000">
      <w:pPr>
        <w:ind w:left="1134" w:hanging="1134"/>
      </w:pPr>
    </w:p>
    <w:p w:rsidR="00000000" w:rsidRDefault="00000000">
      <w:pPr>
        <w:pStyle w:val="BodyTextIndent"/>
        <w:rPr>
          <w:i/>
          <w:iCs/>
        </w:rPr>
      </w:pPr>
      <w:r>
        <w:rPr>
          <w:i/>
          <w:iCs/>
        </w:rPr>
        <w:tab/>
        <w:t>5)</w:t>
      </w:r>
      <w:r>
        <w:rPr>
          <w:i/>
          <w:iCs/>
        </w:rPr>
        <w:tab/>
        <w:t>Государственные органы и органы территориального самоуправления обязаны соответствующим образом предоставлять информацию о своей деятельности.  Условия и порядок предоставления информации устанавливаются законом".</w:t>
      </w:r>
    </w:p>
    <w:p w:rsidR="00000000" w:rsidRDefault="00000000">
      <w:pPr>
        <w:pStyle w:val="BodyTextIndent"/>
        <w:rPr>
          <w:i/>
          <w:iCs/>
        </w:rPr>
      </w:pPr>
    </w:p>
    <w:p w:rsidR="00000000" w:rsidRDefault="00000000">
      <w:pPr>
        <w:ind w:left="1134" w:hanging="1134"/>
      </w:pPr>
      <w:r>
        <w:tab/>
        <w:t>Статья 25 Хартии гласит следующее:</w:t>
      </w:r>
    </w:p>
    <w:p w:rsidR="00000000" w:rsidRDefault="00000000">
      <w:pPr>
        <w:ind w:left="1134" w:hanging="1134"/>
      </w:pPr>
    </w:p>
    <w:p w:rsidR="00000000" w:rsidRDefault="00000000">
      <w:pPr>
        <w:ind w:left="1134" w:hanging="1134"/>
      </w:pPr>
      <w:r>
        <w:tab/>
        <w:t>"1)</w:t>
      </w:r>
      <w:r>
        <w:tab/>
        <w:t>Гражданам, образующим национальные или этнические меньшинства, гарантируется всестороннее развитие, в частности право совместно с другими представителями меньшинства развивать собственную культуру, распространять и получать информацию на родном языке и объединяться в национальные ассоциации.  Подробные положения в этой связи излагаются в законе.</w:t>
      </w:r>
    </w:p>
    <w:p w:rsidR="00000000" w:rsidRDefault="00000000">
      <w:pPr>
        <w:ind w:left="1134" w:hanging="1134"/>
      </w:pPr>
    </w:p>
    <w:p w:rsidR="00000000" w:rsidRDefault="00000000">
      <w:pPr>
        <w:ind w:left="1134" w:hanging="1134"/>
      </w:pPr>
      <w:r>
        <w:tab/>
        <w:t>2)</w:t>
      </w:r>
      <w:r>
        <w:tab/>
        <w:t>Гражданам, принадлежащим к национальным или этническим меньшинствам, при условиях, установленных законом, гарантируется также:</w:t>
      </w:r>
    </w:p>
    <w:p w:rsidR="00000000" w:rsidRDefault="00000000">
      <w:pPr>
        <w:ind w:left="1134" w:hanging="1134"/>
      </w:pPr>
    </w:p>
    <w:p w:rsidR="00000000" w:rsidRDefault="00000000">
      <w:pPr>
        <w:ind w:left="1134" w:hanging="1134"/>
      </w:pPr>
      <w:r>
        <w:tab/>
      </w:r>
      <w:r>
        <w:tab/>
        <w:t>а)</w:t>
      </w:r>
      <w:r>
        <w:tab/>
        <w:t>право на образование на своем языке,</w:t>
      </w:r>
    </w:p>
    <w:p w:rsidR="00000000" w:rsidRDefault="00000000">
      <w:pPr>
        <w:ind w:left="1134" w:hanging="1134"/>
      </w:pPr>
    </w:p>
    <w:p w:rsidR="00000000" w:rsidRDefault="00000000">
      <w:pPr>
        <w:ind w:left="1701" w:hanging="1701"/>
      </w:pPr>
      <w:r>
        <w:tab/>
      </w:r>
      <w:r>
        <w:tab/>
      </w:r>
      <w:r>
        <w:rPr>
          <w:lang w:val="en-US"/>
        </w:rPr>
        <w:t>b</w:t>
      </w:r>
      <w:r>
        <w:t>)</w:t>
      </w:r>
      <w:r>
        <w:tab/>
        <w:t>право пользоваться своим языком в отношениях с должностными лицами,</w:t>
      </w:r>
    </w:p>
    <w:p w:rsidR="00000000" w:rsidRDefault="00000000">
      <w:pPr>
        <w:ind w:left="1701" w:hanging="1701"/>
      </w:pPr>
    </w:p>
    <w:p w:rsidR="00000000" w:rsidRDefault="00000000">
      <w:pPr>
        <w:pStyle w:val="BodyTextIndent2"/>
        <w:spacing w:line="288" w:lineRule="auto"/>
        <w:rPr>
          <w:i w:val="0"/>
          <w:iCs w:val="0"/>
        </w:rPr>
      </w:pPr>
      <w:r>
        <w:rPr>
          <w:i w:val="0"/>
          <w:iCs w:val="0"/>
        </w:rPr>
        <w:tab/>
      </w:r>
      <w:r>
        <w:rPr>
          <w:i w:val="0"/>
          <w:iCs w:val="0"/>
        </w:rPr>
        <w:tab/>
        <w:t>с)</w:t>
      </w:r>
      <w:r>
        <w:rPr>
          <w:i w:val="0"/>
          <w:iCs w:val="0"/>
        </w:rPr>
        <w:tab/>
        <w:t>право участвовать в решении вопросов, касающихся национальных и этнических меньшинств".</w:t>
      </w:r>
    </w:p>
    <w:p w:rsidR="00000000" w:rsidRDefault="00000000">
      <w:pPr>
        <w:pStyle w:val="BodyTextIndent2"/>
        <w:spacing w:line="288" w:lineRule="auto"/>
        <w:rPr>
          <w:i w:val="0"/>
          <w:iCs w:val="0"/>
        </w:rPr>
      </w:pPr>
    </w:p>
    <w:p w:rsidR="00000000" w:rsidRDefault="00000000">
      <w:pPr>
        <w:ind w:left="1134" w:hanging="1134"/>
      </w:pPr>
      <w:r>
        <w:tab/>
        <w:t>Статья 34 Хартии гласит следующее:</w:t>
      </w:r>
    </w:p>
    <w:p w:rsidR="00000000" w:rsidRDefault="00000000">
      <w:pPr>
        <w:ind w:left="1134" w:hanging="1134"/>
      </w:pPr>
    </w:p>
    <w:p w:rsidR="00000000" w:rsidRDefault="00000000">
      <w:pPr>
        <w:ind w:left="1134" w:hanging="1134"/>
      </w:pPr>
      <w:r>
        <w:tab/>
        <w:t>"1)</w:t>
      </w:r>
      <w:r>
        <w:tab/>
        <w:t>Права на результаты творческого интеллектуального труда охраняются законом.</w:t>
      </w:r>
    </w:p>
    <w:p w:rsidR="00000000" w:rsidRDefault="00000000">
      <w:pPr>
        <w:ind w:left="1134" w:hanging="1134"/>
      </w:pPr>
    </w:p>
    <w:p w:rsidR="00000000" w:rsidRDefault="00000000">
      <w:pPr>
        <w:pStyle w:val="BodyTextIndent"/>
        <w:rPr>
          <w:i/>
          <w:iCs/>
        </w:rPr>
      </w:pPr>
      <w:r>
        <w:rPr>
          <w:i/>
          <w:iCs/>
        </w:rPr>
        <w:tab/>
        <w:t>2)</w:t>
      </w:r>
      <w:r>
        <w:rPr>
          <w:i/>
          <w:iCs/>
        </w:rPr>
        <w:tab/>
        <w:t>Право доступа к культурному богатству гарантируется на условиях, установленных законом".</w:t>
      </w:r>
    </w:p>
    <w:p w:rsidR="00000000" w:rsidRDefault="00000000">
      <w:pPr>
        <w:pStyle w:val="BodyTextIndent"/>
        <w:rPr>
          <w:i/>
          <w:iCs/>
        </w:rPr>
      </w:pPr>
    </w:p>
    <w:p w:rsidR="00000000" w:rsidRDefault="00000000">
      <w:r>
        <w:t>643.</w:t>
      </w:r>
      <w:r>
        <w:tab/>
        <w:t>Определение понятия "культурное богатство" не разработано более подробным образом.  Формулировка "культурное богатство" подразумевает, с одной стороны, так называемое культурное наследие, т.е. культурные ценности, созданные в прошлом, а с другой стороны, культурные ценности, например предметы искусства и произведения художественного творчества, создаваемые в настоящее время.</w:t>
      </w:r>
    </w:p>
    <w:p w:rsidR="00000000" w:rsidRDefault="00000000">
      <w:pPr>
        <w:spacing w:line="240" w:lineRule="auto"/>
      </w:pPr>
    </w:p>
    <w:p w:rsidR="00000000" w:rsidRDefault="00000000">
      <w:pPr>
        <w:pStyle w:val="Heading6"/>
        <w:spacing w:line="240" w:lineRule="auto"/>
        <w:rPr>
          <w:bCs/>
          <w:u w:val="none"/>
        </w:rPr>
      </w:pPr>
      <w:r>
        <w:rPr>
          <w:bCs/>
          <w:u w:val="none"/>
        </w:rPr>
        <w:t>Право на участие в культурной жизни</w:t>
      </w:r>
    </w:p>
    <w:p w:rsidR="00000000" w:rsidRDefault="00000000">
      <w:pPr>
        <w:pStyle w:val="Heading6"/>
        <w:spacing w:line="240" w:lineRule="auto"/>
        <w:rPr>
          <w:bCs/>
        </w:rPr>
      </w:pPr>
    </w:p>
    <w:p w:rsidR="00000000" w:rsidRDefault="00000000">
      <w:pPr>
        <w:pStyle w:val="Heading2"/>
        <w:spacing w:line="240" w:lineRule="auto"/>
        <w:rPr>
          <w:i/>
          <w:iCs/>
          <w:u w:val="none"/>
        </w:rPr>
      </w:pPr>
      <w:r>
        <w:rPr>
          <w:i/>
          <w:iCs/>
          <w:u w:val="none"/>
        </w:rPr>
        <w:t>Правовые рамки</w:t>
      </w:r>
    </w:p>
    <w:p w:rsidR="00000000" w:rsidRDefault="00000000">
      <w:pPr>
        <w:pStyle w:val="Heading2"/>
        <w:spacing w:line="240" w:lineRule="auto"/>
      </w:pPr>
    </w:p>
    <w:p w:rsidR="00000000" w:rsidRDefault="00000000">
      <w:r>
        <w:t>644.</w:t>
      </w:r>
      <w:r>
        <w:tab/>
        <w:t>Чешская Республика является государством - участником следующих международных договоров в области культуры:</w:t>
      </w:r>
    </w:p>
    <w:p w:rsidR="00000000" w:rsidRDefault="00000000"/>
    <w:p w:rsidR="00000000" w:rsidRDefault="00000000">
      <w:r>
        <w:tab/>
        <w:t>Конвенции об охране всемирного культурного и природного наследия</w:t>
      </w:r>
      <w:r>
        <w:rPr>
          <w:rStyle w:val="FootnoteReference"/>
        </w:rPr>
        <w:footnoteReference w:id="384"/>
      </w:r>
      <w:r>
        <w:t>;</w:t>
      </w:r>
    </w:p>
    <w:p w:rsidR="00000000" w:rsidRDefault="00000000"/>
    <w:p w:rsidR="00000000" w:rsidRDefault="00000000">
      <w:pPr>
        <w:ind w:left="567" w:hanging="567"/>
      </w:pPr>
      <w:r>
        <w:tab/>
        <w:t>Конвенции о мерах, направленных на запрещение и предупреждение незаконного ввоза, вывоза и передачи права собственности на культурные ценности</w:t>
      </w:r>
      <w:r>
        <w:rPr>
          <w:rStyle w:val="FootnoteReference"/>
        </w:rPr>
        <w:footnoteReference w:id="385"/>
      </w:r>
      <w:r>
        <w:t>;</w:t>
      </w:r>
    </w:p>
    <w:p w:rsidR="00000000" w:rsidRDefault="00000000">
      <w:pPr>
        <w:ind w:left="567" w:hanging="567"/>
      </w:pPr>
    </w:p>
    <w:p w:rsidR="00000000" w:rsidRDefault="00000000">
      <w:pPr>
        <w:ind w:left="567" w:hanging="567"/>
      </w:pPr>
      <w:r>
        <w:tab/>
        <w:t>Конвенции о защите культурных ценностей в случае вооруженного конфликта и Протокола к ней</w:t>
      </w:r>
      <w:r>
        <w:rPr>
          <w:rStyle w:val="FootnoteReference"/>
        </w:rPr>
        <w:footnoteReference w:id="386"/>
      </w:r>
      <w:r>
        <w:t>;</w:t>
      </w:r>
    </w:p>
    <w:p w:rsidR="00000000" w:rsidRDefault="00000000">
      <w:pPr>
        <w:ind w:left="567" w:hanging="567"/>
      </w:pPr>
    </w:p>
    <w:p w:rsidR="00000000" w:rsidRDefault="00000000">
      <w:pPr>
        <w:ind w:left="567" w:hanging="567"/>
      </w:pPr>
      <w:r>
        <w:tab/>
        <w:t>Конвенции об обмене официальными изданиями и правительственными документами между государствами;</w:t>
      </w:r>
    </w:p>
    <w:p w:rsidR="00000000" w:rsidRDefault="00000000">
      <w:pPr>
        <w:ind w:left="567" w:hanging="567"/>
      </w:pPr>
    </w:p>
    <w:p w:rsidR="00000000" w:rsidRDefault="00000000">
      <w:pPr>
        <w:ind w:left="567" w:hanging="567"/>
      </w:pPr>
      <w:r>
        <w:tab/>
        <w:t>Конвенции о международном обмене изданиями</w:t>
      </w:r>
      <w:r>
        <w:rPr>
          <w:rStyle w:val="FootnoteReference"/>
        </w:rPr>
        <w:footnoteReference w:id="387"/>
      </w:r>
      <w:r>
        <w:t>;</w:t>
      </w:r>
    </w:p>
    <w:p w:rsidR="00000000" w:rsidRDefault="00000000">
      <w:pPr>
        <w:ind w:left="567" w:hanging="567"/>
      </w:pPr>
    </w:p>
    <w:p w:rsidR="00000000" w:rsidRDefault="00000000">
      <w:pPr>
        <w:ind w:left="567" w:hanging="567"/>
      </w:pPr>
      <w:r>
        <w:tab/>
        <w:t>Соглашения о ввозе материалов образовательного, научного и культурного характера и Протокола к нему</w:t>
      </w:r>
      <w:r>
        <w:rPr>
          <w:rStyle w:val="FootnoteReference"/>
        </w:rPr>
        <w:footnoteReference w:id="388"/>
      </w:r>
      <w:r>
        <w:t>.</w:t>
      </w:r>
    </w:p>
    <w:p w:rsidR="00000000" w:rsidRDefault="00000000">
      <w:pPr>
        <w:ind w:left="567" w:hanging="567"/>
      </w:pPr>
    </w:p>
    <w:p w:rsidR="00000000" w:rsidRDefault="00000000">
      <w:r>
        <w:br w:type="page"/>
        <w:t>644.</w:t>
      </w:r>
      <w:r>
        <w:tab/>
        <w:t>Кроме того, отдельные сферы творческого труда и культурной жизни регламентируются рядом законов, которые можно разделить по их содержанию на правовые документы, предусматривающие охрану культурного наследия</w:t>
      </w:r>
      <w:r>
        <w:rPr>
          <w:rStyle w:val="FootnoteReference"/>
        </w:rPr>
        <w:footnoteReference w:id="389"/>
      </w:r>
      <w:r>
        <w:t xml:space="preserve"> и живой культуры</w:t>
      </w:r>
      <w:r>
        <w:rPr>
          <w:rStyle w:val="FootnoteReference"/>
        </w:rPr>
        <w:footnoteReference w:id="390"/>
      </w:r>
      <w:r>
        <w:t>.</w:t>
      </w:r>
    </w:p>
    <w:p w:rsidR="00000000" w:rsidRDefault="00000000">
      <w:pPr>
        <w:spacing w:line="240" w:lineRule="auto"/>
      </w:pPr>
    </w:p>
    <w:p w:rsidR="00000000" w:rsidRDefault="00000000">
      <w:pPr>
        <w:pStyle w:val="BodyText"/>
      </w:pPr>
      <w:r>
        <w:rPr>
          <w:b/>
          <w:bCs/>
          <w:i/>
          <w:iCs/>
        </w:rPr>
        <w:t>Роль государственных органов и органов местного самоуправления в сфере кул</w:t>
      </w:r>
      <w:r>
        <w:t>ьтуры</w:t>
      </w:r>
    </w:p>
    <w:p w:rsidR="00000000" w:rsidRDefault="00000000">
      <w:pPr>
        <w:pStyle w:val="BodyText"/>
      </w:pPr>
    </w:p>
    <w:p w:rsidR="00000000" w:rsidRDefault="00000000">
      <w:r>
        <w:t>646.</w:t>
      </w:r>
      <w:r>
        <w:tab/>
        <w:t>Согласно Закону об учреждении министерств в Чешской Республике вопросами, касающимися культуры, ведает такой орган системы государственного управления, как министерство культуры</w:t>
      </w:r>
      <w:r>
        <w:rPr>
          <w:rStyle w:val="FootnoteReference"/>
        </w:rPr>
        <w:footnoteReference w:id="391"/>
      </w:r>
      <w:r>
        <w:t>.  Министерство культуры является тем государственным центральным административным органом, который занимается вопросами искусства, деятельностью в области популяризации культуры, культурными памятниками, делами религиозных организаций и обществ, делами печати, включая непериодические издания и другие средства массовой информации, вопросами радиовещания и телевидения, если другим законом конкретно не предусмотрено иное, а также осуществлением законодательства в области авторских прав и вопросами производства и реализации предметов культуры.  В соответствии с этим Законом министерство культуры сообразно своим основным полномочиям отвечает также за осуществление обязательств, вытекающих из международных договоров, государством-участником которых является Чешская Республика, а также из членства в международных организациях.  Министерство культуры проводит свою деятельность в соответствии с основным документом, в котором излагаются направления культурной политики в Чешской Республике, – "Стратегией по оказанию государством более эффективной поддержки культуре"</w:t>
      </w:r>
      <w:r>
        <w:rPr>
          <w:rStyle w:val="FootnoteReference"/>
        </w:rPr>
        <w:footnoteReference w:id="392"/>
      </w:r>
      <w:r>
        <w:t>.</w:t>
      </w:r>
    </w:p>
    <w:p w:rsidR="00000000" w:rsidRDefault="00000000"/>
    <w:p w:rsidR="00000000" w:rsidRDefault="00000000">
      <w:r>
        <w:t>647.</w:t>
      </w:r>
      <w:r>
        <w:tab/>
        <w:t>В ведении министерства культуры (по состоянию на 31 декабря 1999 года) находилась 81 крупная субсидируемая организация, которые обеспечивают доступ граждан к культурным богатствам, в частности к музеям и галереям, а также специально занимаются охраной исторических памятников, библиотек, и Национальный архив кинематографии, Национальный архив литературных памятников, Чешская филармония, Национальный театр, Институт народной культуры, Театральный институт, Информационный и консультативный центр по вопросам местной культуры и другие учреждения.</w:t>
      </w:r>
    </w:p>
    <w:p w:rsidR="00000000" w:rsidRDefault="00000000"/>
    <w:p w:rsidR="00000000" w:rsidRDefault="00000000">
      <w:r>
        <w:t>648.</w:t>
      </w:r>
      <w:r>
        <w:tab/>
        <w:t>В соответствии с положениями "Стратегии по оказанию государством более эффективной поддержки культуре" министерство культуры путем предоставления субсидий и разработки программ выборочно поддерживает финансовыми средствами проекты развития и популяризации культуры, осуществляемые физическими или юридическими лицами, в частности общественными организациями, религиозными организациями и обществами, культурными учреждениями, которые не находятся в его ведении, а также – в исключительных случаях – деловыми кругами.  Кроме того, оно выполняет функции центрального государственного административного органа в вопросах охраны исторических памятников и участвует в финансировании научно-исследовательской деятельности в области культуры и культурного богатства.</w:t>
      </w:r>
    </w:p>
    <w:p w:rsidR="00000000" w:rsidRDefault="00000000"/>
    <w:p w:rsidR="00000000" w:rsidRDefault="00000000">
      <w:r>
        <w:br w:type="page"/>
        <w:t>649.</w:t>
      </w:r>
      <w:r>
        <w:tab/>
        <w:t>Вместе с тем в соответствии с Законом об окружных управлениях</w:t>
      </w:r>
      <w:r>
        <w:rPr>
          <w:rStyle w:val="FootnoteReference"/>
        </w:rPr>
        <w:footnoteReference w:id="393"/>
      </w:r>
      <w:r>
        <w:t xml:space="preserve"> определенными полномочиями в сфере культуры обладают также окружные управления, являющиеся основными единицами территориального государственного управления в Чешской Республике.  К ведению окружных управлений относится ряд других культурных объектов (например, окружные музеи и галереи и публичны</w:t>
      </w:r>
      <w:r>
        <w:rPr>
          <w:lang w:val="en-US"/>
        </w:rPr>
        <w:t>e</w:t>
      </w:r>
      <w:r>
        <w:t xml:space="preserve"> библиотеки).  Они играют незаменимую роль в охране исторических памятников архитектуры и искусства.</w:t>
      </w:r>
    </w:p>
    <w:p w:rsidR="00000000" w:rsidRDefault="00000000"/>
    <w:p w:rsidR="00000000" w:rsidRDefault="00000000">
      <w:r>
        <w:t>650.</w:t>
      </w:r>
      <w:r>
        <w:tab/>
        <w:t>Важную роль в деле сохранения и развития культуры играют муниципалитеты, которые в рамках своих независимых полномочий могут учреждать (и закрывать) культурные учреждения, финансировать их деятельность или вносить свой вклад в осуществление культурных проектов других юридических лиц, в частности общественных организаций.  Закон о муниципалитетах</w:t>
      </w:r>
      <w:r>
        <w:rPr>
          <w:rStyle w:val="FootnoteReference"/>
        </w:rPr>
        <w:footnoteReference w:id="394"/>
      </w:r>
      <w:r>
        <w:t xml:space="preserve"> гласит, что  независимые полномочия муниципалитетов включают выполнение задач в сфере культуры, за исключением вопросов, которыми ведают государственные административные органы.  Муниципалитеты могут также участвовать в финансировании реконструкции культурных памятников, расположенных на их территориях, включая памятники, не находящиеся в их ведении, а также обладают определенными полномочиями в функциональном зонировании и охране культурных памятников.</w:t>
      </w:r>
    </w:p>
    <w:p w:rsidR="00000000" w:rsidRDefault="00000000"/>
    <w:p w:rsidR="00000000" w:rsidRDefault="00000000">
      <w:pPr>
        <w:pStyle w:val="Heading6"/>
        <w:rPr>
          <w:b w:val="0"/>
          <w:i/>
          <w:iCs/>
          <w:u w:val="none"/>
        </w:rPr>
      </w:pPr>
      <w:r>
        <w:rPr>
          <w:b w:val="0"/>
          <w:i/>
          <w:iCs/>
          <w:u w:val="none"/>
        </w:rPr>
        <w:t>Финансирование</w:t>
      </w:r>
    </w:p>
    <w:p w:rsidR="00000000" w:rsidRDefault="00000000">
      <w:pPr>
        <w:pStyle w:val="Heading6"/>
        <w:rPr>
          <w:bCs/>
        </w:rPr>
      </w:pPr>
    </w:p>
    <w:p w:rsidR="00000000" w:rsidRDefault="00000000">
      <w:r>
        <w:t>651.</w:t>
      </w:r>
      <w:r>
        <w:tab/>
        <w:t>Основным юридическим инструментом распределения государственных бюджетных средств, в том числе на цели финансирования культуры, являются государственные бюджетные правила</w:t>
      </w:r>
      <w:r>
        <w:rPr>
          <w:rStyle w:val="FootnoteReference"/>
        </w:rPr>
        <w:footnoteReference w:id="395"/>
      </w:r>
      <w:r>
        <w:t>.  К другим законодательным актам, действующим в этой области, относятся также Закон о государственном бюджете, который ежегодно утверждается парламентом, и некоторые подзаконные акты министерства финансов Чешской Республики.</w:t>
      </w:r>
    </w:p>
    <w:p w:rsidR="00000000" w:rsidRDefault="00000000"/>
    <w:p w:rsidR="00000000" w:rsidRDefault="00000000">
      <w:r>
        <w:t>652.</w:t>
      </w:r>
      <w:r>
        <w:tab/>
        <w:t>Государственные расходы на цели культуры включаются в бюджетную статью "Финансирование министерства культуры".  Из этой статьи финансируются мероприятия субсидируемых организаций, учрежденных министерством культуры, а также предоставляются средства владельцам культурных памятников для их реконструкции и муниципалитетам и городам - для обновления расположенных на их территории объектов, которые объявлены городскими (деревенскими) историческими заповедниками или зонами, находящимися под охраной государства.  Меньшая часть средств выделяется из этой статьи на финансовую поддержку, предоставляемую в виде субсидий и предназначенную для осуществления недоходных культурных проектов по заявкам частных граждан и юридических лиц, учредителем которых не является министерство культуры.  Кроме того, из этой бюджетной статьи выделяются средства на нужды религиозных организаций и обществ, субсидии на развитие науки и исследовательской деятельности, а также на некоторые другие специальные мероприятия, направленные на поддержку культуры.</w:t>
      </w:r>
    </w:p>
    <w:p w:rsidR="00000000" w:rsidRDefault="00000000"/>
    <w:p w:rsidR="00000000" w:rsidRDefault="00000000">
      <w:r>
        <w:t>653.</w:t>
      </w:r>
      <w:r>
        <w:tab/>
        <w:t>Расходы на цели культуры покрываются также из государственных средств по отдельной статье национального бюджета "Финансирование культурных учреждений, находящихся под юрисдикцией территориальных органов".  Эти средства расходуются на цели культуры более низкими уровнями государственного управления (окружными управлениями) и органами самоуправления (муниципалитетами и городами).</w:t>
      </w:r>
    </w:p>
    <w:p w:rsidR="00000000" w:rsidRDefault="00000000">
      <w:pPr>
        <w:spacing w:line="240" w:lineRule="auto"/>
      </w:pPr>
    </w:p>
    <w:p w:rsidR="00000000" w:rsidRDefault="00000000">
      <w:pPr>
        <w:pStyle w:val="10"/>
        <w:spacing w:line="240" w:lineRule="auto"/>
        <w:rPr>
          <w:bCs/>
        </w:rPr>
      </w:pPr>
      <w:r>
        <w:rPr>
          <w:bCs/>
        </w:rPr>
        <w:t>Государственные бюджетные расходы на цели культуры</w:t>
      </w:r>
    </w:p>
    <w:p w:rsidR="00000000" w:rsidRDefault="00000000">
      <w:pPr>
        <w:spacing w:line="240" w:lineRule="auto"/>
        <w:jc w:val="center"/>
        <w:rPr>
          <w:b/>
          <w:bCs/>
        </w:rPr>
      </w:pPr>
      <w:r>
        <w:rPr>
          <w:b/>
          <w:bCs/>
        </w:rPr>
        <w:t>(в тыс. чешских крон)</w:t>
      </w:r>
    </w:p>
    <w:p w:rsidR="00000000" w:rsidRDefault="00000000">
      <w:pPr>
        <w:spacing w:line="240" w:lineRule="auto"/>
      </w:pPr>
    </w:p>
    <w:tbl>
      <w:tblPr>
        <w:tblW w:w="0" w:type="auto"/>
        <w:tblBorders>
          <w:top w:val="single" w:sz="4" w:space="0" w:color="auto"/>
          <w:bottom w:val="single" w:sz="4" w:space="0" w:color="auto"/>
        </w:tblBorders>
        <w:tblLook w:val="0000" w:firstRow="0" w:lastRow="0" w:firstColumn="0" w:lastColumn="0" w:noHBand="0" w:noVBand="0"/>
      </w:tblPr>
      <w:tblGrid>
        <w:gridCol w:w="856"/>
        <w:gridCol w:w="3927"/>
        <w:gridCol w:w="4787"/>
      </w:tblGrid>
      <w:tr w:rsidR="00000000">
        <w:tblPrEx>
          <w:tblCellMar>
            <w:top w:w="0" w:type="dxa"/>
            <w:bottom w:w="0" w:type="dxa"/>
          </w:tblCellMar>
        </w:tblPrEx>
        <w:tc>
          <w:tcPr>
            <w:tcW w:w="856" w:type="dxa"/>
            <w:tcBorders>
              <w:top w:val="single" w:sz="4" w:space="0" w:color="auto"/>
              <w:left w:val="single" w:sz="4" w:space="0" w:color="auto"/>
              <w:bottom w:val="single" w:sz="4" w:space="0" w:color="auto"/>
              <w:right w:val="single" w:sz="4" w:space="0" w:color="auto"/>
            </w:tcBorders>
          </w:tcPr>
          <w:p w:rsidR="00000000" w:rsidRDefault="00000000">
            <w:pPr>
              <w:pStyle w:val="FootnoteText"/>
            </w:pPr>
          </w:p>
          <w:p w:rsidR="00000000" w:rsidRDefault="00000000">
            <w:pPr>
              <w:pStyle w:val="FootnoteText"/>
            </w:pPr>
            <w:r>
              <w:t>Год</w:t>
            </w:r>
          </w:p>
        </w:tc>
        <w:tc>
          <w:tcPr>
            <w:tcW w:w="3927" w:type="dxa"/>
            <w:tcBorders>
              <w:top w:val="single" w:sz="4" w:space="0" w:color="auto"/>
              <w:left w:val="single" w:sz="4" w:space="0" w:color="auto"/>
              <w:bottom w:val="single" w:sz="4" w:space="0" w:color="auto"/>
              <w:right w:val="single" w:sz="4" w:space="0" w:color="auto"/>
            </w:tcBorders>
          </w:tcPr>
          <w:p w:rsidR="00000000" w:rsidRDefault="00000000">
            <w:pPr>
              <w:pStyle w:val="16"/>
              <w:spacing w:line="216" w:lineRule="auto"/>
            </w:pPr>
            <w:r>
              <w:t>По статье "Финансирование министерства культуры"</w:t>
            </w:r>
          </w:p>
        </w:tc>
        <w:tc>
          <w:tcPr>
            <w:tcW w:w="4788"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По статье "Финансирование культурных учреждений, находящихся под юрисдикцией территориальных органов"</w:t>
            </w:r>
          </w:p>
        </w:tc>
      </w:tr>
      <w:tr w:rsidR="00000000">
        <w:tblPrEx>
          <w:tblCellMar>
            <w:top w:w="0" w:type="dxa"/>
            <w:bottom w:w="0" w:type="dxa"/>
          </w:tblCellMar>
        </w:tblPrEx>
        <w:tc>
          <w:tcPr>
            <w:tcW w:w="856" w:type="dxa"/>
            <w:tcBorders>
              <w:top w:val="single" w:sz="4" w:space="0" w:color="auto"/>
              <w:left w:val="single" w:sz="4" w:space="0" w:color="auto"/>
              <w:right w:val="single" w:sz="4" w:space="0" w:color="auto"/>
            </w:tcBorders>
          </w:tcPr>
          <w:p w:rsidR="00000000" w:rsidRDefault="00000000">
            <w:pPr>
              <w:spacing w:line="240" w:lineRule="auto"/>
            </w:pPr>
            <w:r>
              <w:t>1993</w:t>
            </w:r>
          </w:p>
        </w:tc>
        <w:tc>
          <w:tcPr>
            <w:tcW w:w="3927" w:type="dxa"/>
            <w:tcBorders>
              <w:top w:val="single" w:sz="4" w:space="0" w:color="auto"/>
              <w:left w:val="single" w:sz="4" w:space="0" w:color="auto"/>
              <w:right w:val="single" w:sz="4" w:space="0" w:color="auto"/>
            </w:tcBorders>
          </w:tcPr>
          <w:p w:rsidR="00000000" w:rsidRDefault="00000000">
            <w:pPr>
              <w:pStyle w:val="16"/>
              <w:spacing w:line="240" w:lineRule="auto"/>
            </w:pPr>
            <w:r>
              <w:t>2 405 635</w:t>
            </w:r>
          </w:p>
        </w:tc>
        <w:tc>
          <w:tcPr>
            <w:tcW w:w="4788" w:type="dxa"/>
            <w:tcBorders>
              <w:top w:val="single" w:sz="4" w:space="0" w:color="auto"/>
              <w:left w:val="single" w:sz="4" w:space="0" w:color="auto"/>
              <w:right w:val="single" w:sz="4" w:space="0" w:color="auto"/>
            </w:tcBorders>
          </w:tcPr>
          <w:p w:rsidR="00000000" w:rsidRDefault="00000000">
            <w:pPr>
              <w:spacing w:line="240" w:lineRule="auto"/>
              <w:jc w:val="center"/>
            </w:pPr>
            <w:r>
              <w:t>3 955 984</w:t>
            </w:r>
          </w:p>
        </w:tc>
      </w:tr>
      <w:tr w:rsidR="00000000">
        <w:tblPrEx>
          <w:tblCellMar>
            <w:top w:w="0" w:type="dxa"/>
            <w:bottom w:w="0" w:type="dxa"/>
          </w:tblCellMar>
        </w:tblPrEx>
        <w:tc>
          <w:tcPr>
            <w:tcW w:w="856" w:type="dxa"/>
            <w:tcBorders>
              <w:left w:val="single" w:sz="4" w:space="0" w:color="auto"/>
              <w:right w:val="single" w:sz="4" w:space="0" w:color="auto"/>
            </w:tcBorders>
          </w:tcPr>
          <w:p w:rsidR="00000000" w:rsidRDefault="00000000">
            <w:pPr>
              <w:spacing w:line="240" w:lineRule="auto"/>
            </w:pPr>
            <w:r>
              <w:t>1994</w:t>
            </w:r>
          </w:p>
        </w:tc>
        <w:tc>
          <w:tcPr>
            <w:tcW w:w="3927" w:type="dxa"/>
            <w:tcBorders>
              <w:left w:val="single" w:sz="4" w:space="0" w:color="auto"/>
              <w:right w:val="single" w:sz="4" w:space="0" w:color="auto"/>
            </w:tcBorders>
          </w:tcPr>
          <w:p w:rsidR="00000000" w:rsidRDefault="00000000">
            <w:pPr>
              <w:spacing w:line="240" w:lineRule="auto"/>
              <w:jc w:val="center"/>
            </w:pPr>
            <w:r>
              <w:t>2 971 808</w:t>
            </w:r>
          </w:p>
        </w:tc>
        <w:tc>
          <w:tcPr>
            <w:tcW w:w="4788" w:type="dxa"/>
            <w:tcBorders>
              <w:left w:val="single" w:sz="4" w:space="0" w:color="auto"/>
              <w:right w:val="single" w:sz="4" w:space="0" w:color="auto"/>
            </w:tcBorders>
          </w:tcPr>
          <w:p w:rsidR="00000000" w:rsidRDefault="00000000">
            <w:pPr>
              <w:spacing w:line="240" w:lineRule="auto"/>
              <w:jc w:val="center"/>
            </w:pPr>
            <w:r>
              <w:t>5 184 325</w:t>
            </w:r>
          </w:p>
        </w:tc>
      </w:tr>
      <w:tr w:rsidR="00000000">
        <w:tblPrEx>
          <w:tblCellMar>
            <w:top w:w="0" w:type="dxa"/>
            <w:bottom w:w="0" w:type="dxa"/>
          </w:tblCellMar>
        </w:tblPrEx>
        <w:tc>
          <w:tcPr>
            <w:tcW w:w="856" w:type="dxa"/>
            <w:tcBorders>
              <w:left w:val="single" w:sz="4" w:space="0" w:color="auto"/>
              <w:right w:val="single" w:sz="4" w:space="0" w:color="auto"/>
            </w:tcBorders>
          </w:tcPr>
          <w:p w:rsidR="00000000" w:rsidRDefault="00000000">
            <w:pPr>
              <w:spacing w:line="240" w:lineRule="auto"/>
            </w:pPr>
            <w:r>
              <w:t>1995</w:t>
            </w:r>
          </w:p>
        </w:tc>
        <w:tc>
          <w:tcPr>
            <w:tcW w:w="3927" w:type="dxa"/>
            <w:tcBorders>
              <w:left w:val="single" w:sz="4" w:space="0" w:color="auto"/>
              <w:right w:val="single" w:sz="4" w:space="0" w:color="auto"/>
            </w:tcBorders>
          </w:tcPr>
          <w:p w:rsidR="00000000" w:rsidRDefault="00000000">
            <w:pPr>
              <w:spacing w:line="240" w:lineRule="auto"/>
              <w:jc w:val="center"/>
            </w:pPr>
            <w:r>
              <w:t>3 320 429</w:t>
            </w:r>
          </w:p>
        </w:tc>
        <w:tc>
          <w:tcPr>
            <w:tcW w:w="4788" w:type="dxa"/>
            <w:tcBorders>
              <w:left w:val="single" w:sz="4" w:space="0" w:color="auto"/>
              <w:right w:val="single" w:sz="4" w:space="0" w:color="auto"/>
            </w:tcBorders>
          </w:tcPr>
          <w:p w:rsidR="00000000" w:rsidRDefault="00000000">
            <w:pPr>
              <w:spacing w:line="240" w:lineRule="auto"/>
              <w:jc w:val="center"/>
            </w:pPr>
            <w:r>
              <w:t>6 400 000</w:t>
            </w:r>
          </w:p>
        </w:tc>
      </w:tr>
      <w:tr w:rsidR="00000000">
        <w:tblPrEx>
          <w:tblCellMar>
            <w:top w:w="0" w:type="dxa"/>
            <w:bottom w:w="0" w:type="dxa"/>
          </w:tblCellMar>
        </w:tblPrEx>
        <w:tc>
          <w:tcPr>
            <w:tcW w:w="856" w:type="dxa"/>
            <w:tcBorders>
              <w:left w:val="single" w:sz="4" w:space="0" w:color="auto"/>
              <w:right w:val="single" w:sz="4" w:space="0" w:color="auto"/>
            </w:tcBorders>
          </w:tcPr>
          <w:p w:rsidR="00000000" w:rsidRDefault="00000000">
            <w:pPr>
              <w:spacing w:line="240" w:lineRule="auto"/>
            </w:pPr>
            <w:r>
              <w:t>1996</w:t>
            </w:r>
          </w:p>
        </w:tc>
        <w:tc>
          <w:tcPr>
            <w:tcW w:w="3927" w:type="dxa"/>
            <w:tcBorders>
              <w:left w:val="single" w:sz="4" w:space="0" w:color="auto"/>
              <w:right w:val="single" w:sz="4" w:space="0" w:color="auto"/>
            </w:tcBorders>
          </w:tcPr>
          <w:p w:rsidR="00000000" w:rsidRDefault="00000000">
            <w:pPr>
              <w:spacing w:line="240" w:lineRule="auto"/>
              <w:jc w:val="center"/>
            </w:pPr>
            <w:r>
              <w:t>3 529 776</w:t>
            </w:r>
          </w:p>
        </w:tc>
        <w:tc>
          <w:tcPr>
            <w:tcW w:w="4788" w:type="dxa"/>
            <w:tcBorders>
              <w:left w:val="single" w:sz="4" w:space="0" w:color="auto"/>
              <w:right w:val="single" w:sz="4" w:space="0" w:color="auto"/>
            </w:tcBorders>
          </w:tcPr>
          <w:p w:rsidR="00000000" w:rsidRDefault="00000000">
            <w:pPr>
              <w:spacing w:line="240" w:lineRule="auto"/>
              <w:jc w:val="center"/>
            </w:pPr>
            <w:r>
              <w:t>7 500 000</w:t>
            </w:r>
          </w:p>
        </w:tc>
      </w:tr>
      <w:tr w:rsidR="00000000">
        <w:tblPrEx>
          <w:tblCellMar>
            <w:top w:w="0" w:type="dxa"/>
            <w:bottom w:w="0" w:type="dxa"/>
          </w:tblCellMar>
        </w:tblPrEx>
        <w:tc>
          <w:tcPr>
            <w:tcW w:w="856" w:type="dxa"/>
            <w:tcBorders>
              <w:left w:val="single" w:sz="4" w:space="0" w:color="auto"/>
              <w:right w:val="single" w:sz="4" w:space="0" w:color="auto"/>
            </w:tcBorders>
          </w:tcPr>
          <w:p w:rsidR="00000000" w:rsidRDefault="00000000">
            <w:pPr>
              <w:spacing w:line="240" w:lineRule="auto"/>
            </w:pPr>
            <w:r>
              <w:t>1997</w:t>
            </w:r>
          </w:p>
        </w:tc>
        <w:tc>
          <w:tcPr>
            <w:tcW w:w="3927" w:type="dxa"/>
            <w:tcBorders>
              <w:left w:val="single" w:sz="4" w:space="0" w:color="auto"/>
              <w:right w:val="single" w:sz="4" w:space="0" w:color="auto"/>
            </w:tcBorders>
          </w:tcPr>
          <w:p w:rsidR="00000000" w:rsidRDefault="00000000">
            <w:pPr>
              <w:spacing w:line="240" w:lineRule="auto"/>
              <w:jc w:val="center"/>
            </w:pPr>
            <w:r>
              <w:t>3 776 307</w:t>
            </w:r>
          </w:p>
        </w:tc>
        <w:tc>
          <w:tcPr>
            <w:tcW w:w="4788" w:type="dxa"/>
            <w:tcBorders>
              <w:left w:val="single" w:sz="4" w:space="0" w:color="auto"/>
              <w:right w:val="single" w:sz="4" w:space="0" w:color="auto"/>
            </w:tcBorders>
          </w:tcPr>
          <w:p w:rsidR="00000000" w:rsidRDefault="00000000">
            <w:pPr>
              <w:spacing w:line="240" w:lineRule="auto"/>
              <w:jc w:val="center"/>
            </w:pPr>
            <w:r>
              <w:t>7 648 087</w:t>
            </w:r>
          </w:p>
        </w:tc>
      </w:tr>
      <w:tr w:rsidR="00000000">
        <w:tblPrEx>
          <w:tblCellMar>
            <w:top w:w="0" w:type="dxa"/>
            <w:bottom w:w="0" w:type="dxa"/>
          </w:tblCellMar>
        </w:tblPrEx>
        <w:tc>
          <w:tcPr>
            <w:tcW w:w="856" w:type="dxa"/>
            <w:tcBorders>
              <w:left w:val="single" w:sz="4" w:space="0" w:color="auto"/>
              <w:bottom w:val="single" w:sz="4" w:space="0" w:color="auto"/>
              <w:right w:val="single" w:sz="4" w:space="0" w:color="auto"/>
            </w:tcBorders>
          </w:tcPr>
          <w:p w:rsidR="00000000" w:rsidRDefault="00000000">
            <w:pPr>
              <w:spacing w:line="240" w:lineRule="auto"/>
            </w:pPr>
            <w:r>
              <w:t>1998</w:t>
            </w:r>
          </w:p>
        </w:tc>
        <w:tc>
          <w:tcPr>
            <w:tcW w:w="3927" w:type="dxa"/>
            <w:tcBorders>
              <w:left w:val="single" w:sz="4" w:space="0" w:color="auto"/>
              <w:bottom w:val="single" w:sz="4" w:space="0" w:color="auto"/>
              <w:right w:val="single" w:sz="4" w:space="0" w:color="auto"/>
            </w:tcBorders>
          </w:tcPr>
          <w:p w:rsidR="00000000" w:rsidRDefault="00000000">
            <w:pPr>
              <w:spacing w:line="240" w:lineRule="auto"/>
              <w:jc w:val="center"/>
            </w:pPr>
            <w:r>
              <w:t>4 397 464</w:t>
            </w:r>
          </w:p>
        </w:tc>
        <w:tc>
          <w:tcPr>
            <w:tcW w:w="4788" w:type="dxa"/>
            <w:tcBorders>
              <w:left w:val="single" w:sz="4" w:space="0" w:color="auto"/>
              <w:bottom w:val="single" w:sz="4" w:space="0" w:color="auto"/>
              <w:right w:val="single" w:sz="4" w:space="0" w:color="auto"/>
            </w:tcBorders>
          </w:tcPr>
          <w:p w:rsidR="00000000" w:rsidRDefault="00000000">
            <w:pPr>
              <w:spacing w:line="240" w:lineRule="auto"/>
              <w:jc w:val="center"/>
            </w:pPr>
            <w:r>
              <w:t>8 018 090</w:t>
            </w:r>
          </w:p>
        </w:tc>
      </w:tr>
    </w:tbl>
    <w:p w:rsidR="00000000" w:rsidRDefault="00000000">
      <w:pPr>
        <w:spacing w:line="240" w:lineRule="auto"/>
      </w:pPr>
    </w:p>
    <w:p w:rsidR="00000000" w:rsidRDefault="00000000">
      <w:pPr>
        <w:spacing w:line="240" w:lineRule="auto"/>
      </w:pPr>
      <w:r>
        <w:tab/>
      </w:r>
      <w:r>
        <w:rPr>
          <w:u w:val="single"/>
        </w:rPr>
        <w:t>Источник</w:t>
      </w:r>
      <w:r>
        <w:t>:  Министерство культуры.</w:t>
      </w:r>
    </w:p>
    <w:p w:rsidR="00000000" w:rsidRDefault="00000000"/>
    <w:p w:rsidR="00000000" w:rsidRDefault="00000000">
      <w:r>
        <w:t>654.</w:t>
      </w:r>
      <w:r>
        <w:tab/>
        <w:t>Кроме того, средства в поддержку культуры поступают из частного делового сектора в рамках его спонсорских и благотворительных мероприятий, однако статистические данные в этой связи отсутствуют.  Финансовая поддержка таких мероприятий как физическими, так и юридическими лицами влечет за собой пользование льготами, предусмотренными законодательством в области налогообложения</w:t>
      </w:r>
      <w:r>
        <w:rPr>
          <w:rStyle w:val="FootnoteReference"/>
        </w:rPr>
        <w:footnoteReference w:id="396"/>
      </w:r>
      <w:r>
        <w:t>.  По оценкам министерства культуры, дары спонсоров культурным учреждениям, находящимся в ведении государственных административных органов, составляют менее 2% от общих расходов на их функционирование.</w:t>
      </w:r>
    </w:p>
    <w:p w:rsidR="00000000" w:rsidRDefault="00000000"/>
    <w:p w:rsidR="00000000" w:rsidRDefault="00000000">
      <w:r>
        <w:t>655.</w:t>
      </w:r>
      <w:r>
        <w:tab/>
        <w:t>Из более чем 5 000 фондов, функционировавших в Чешской Республике до 1998 года, примерно 250 занимались культурной деятельностью.  Однако большинство из них не обладали собственными активами, часть дохода от которых они могли бы направлять на культурную деятельность, и в связи с этим они занимались в основном сбором средств для осуществления собственных проектов из других источников, включая государственные.  Ввиду этого в 1997 году был принят новый Закон о фондах и учредительных фондах</w:t>
      </w:r>
      <w:r>
        <w:rPr>
          <w:rStyle w:val="FootnoteReference"/>
        </w:rPr>
        <w:footnoteReference w:id="397"/>
      </w:r>
      <w:r>
        <w:t>, который регламентирует процедуру создания фондов и в соответствии с которым в 1998 году действовавшие фонды были преобразованы таким образом, чтобы они отвечали необходимому требованию о наличии у фонда, при его создании, своего собственного зарегистрированного капитала в минимальном размере, установленном законом, доход от которого позволяет финансировать культурные мероприятия и проекты.  Кроме того, в этом законе было предусмотрено создание учредительных фондов, которые не располагают какими-либо активами и функционируют в качестве фондов по мобилизации средств.  Многие фонды, активно действовавшие в сфере культуры, были преобразованы в учредительные фонды.  Помимо этого, обязательства, которые новый Закон возлагает на фонды и учредительные фонды, обеспечивают бóльшую транспарентность их финансирования и деятельности.</w:t>
      </w:r>
    </w:p>
    <w:p w:rsidR="00000000" w:rsidRDefault="00000000"/>
    <w:p w:rsidR="00000000" w:rsidRDefault="00000000">
      <w:pPr>
        <w:pStyle w:val="Heading6"/>
        <w:rPr>
          <w:b w:val="0"/>
          <w:i/>
          <w:iCs/>
          <w:u w:val="none"/>
        </w:rPr>
      </w:pPr>
      <w:r>
        <w:rPr>
          <w:b w:val="0"/>
          <w:i/>
          <w:iCs/>
          <w:u w:val="none"/>
        </w:rPr>
        <w:t>Институциональная структура</w:t>
      </w:r>
    </w:p>
    <w:p w:rsidR="00000000" w:rsidRDefault="00000000">
      <w:pPr>
        <w:pStyle w:val="Heading6"/>
        <w:rPr>
          <w:bCs/>
        </w:rPr>
      </w:pPr>
    </w:p>
    <w:p w:rsidR="00000000" w:rsidRDefault="00000000">
      <w:r>
        <w:t>656.</w:t>
      </w:r>
      <w:r>
        <w:tab/>
        <w:t>Музеи, памятники и галереи (музеи изобразительного искусства).  Деятельность музеев и галерей регламентируется специальным Законом о музеях и галереях и Законом о Национальной галерее в Праге</w:t>
      </w:r>
      <w:r>
        <w:rPr>
          <w:rStyle w:val="FootnoteReference"/>
        </w:rPr>
        <w:footnoteReference w:id="398"/>
      </w:r>
      <w:r>
        <w:t>.</w:t>
      </w:r>
    </w:p>
    <w:p w:rsidR="00000000" w:rsidRDefault="00000000"/>
    <w:p w:rsidR="00000000" w:rsidRDefault="00000000">
      <w:r>
        <w:t>657.</w:t>
      </w:r>
      <w:r>
        <w:tab/>
        <w:t xml:space="preserve">Министерство культуры является учредителем 44 музеев и галерей;  еще 12 музеев и галерей учреждены центральными органами других ведомств.  Территориальные государственные административные органы более низкого уровня (окружные управления) </w:t>
      </w:r>
    </w:p>
    <w:p w:rsidR="00000000" w:rsidRDefault="00000000">
      <w:r>
        <w:br w:type="page"/>
        <w:t>дополнительно учредили 81 культурный объект (музеи, галереи и памятники)</w:t>
      </w:r>
      <w:r>
        <w:rPr>
          <w:rStyle w:val="FootnoteReference"/>
        </w:rPr>
        <w:footnoteReference w:id="399"/>
      </w:r>
      <w:r>
        <w:t>, которые часто располагают постоянно действующими местными отделениями.  Кроме того, города и муниципалитеты создали еще 175 музеев, галерей и памятников.  Все они открыты для публики.</w:t>
      </w:r>
    </w:p>
    <w:p w:rsidR="00000000" w:rsidRDefault="00000000"/>
    <w:p w:rsidR="00000000" w:rsidRDefault="00000000">
      <w:r>
        <w:t>658.</w:t>
      </w:r>
      <w:r>
        <w:tab/>
        <w:t>Помимо вышеупомянутых музеев и галерей, имеются также музеи, созданные деловыми кругами (35), религиозными организациями и обществами или общественными организациями (20) и частными лицами (13).</w:t>
      </w:r>
    </w:p>
    <w:p w:rsidR="00000000" w:rsidRDefault="00000000"/>
    <w:p w:rsidR="00000000" w:rsidRDefault="00000000">
      <w:r>
        <w:t>659.</w:t>
      </w:r>
      <w:r>
        <w:tab/>
        <w:t>В 1998 году министерство культуры затратило 442 280 000 чешских крон на функционирование и деятельность музеев и памятников, созданных министерством, а также 368 073 000 чешских крон на деятельность галерей (художественных музеев).  Большинство музеев имеют региональный характер (что верно также в отношении музеев, создаваемых городами и муниципалитетами, особенно в городах с населением свыше 50 000 жителей) и представляют разноплановые экспозиции.</w:t>
      </w:r>
    </w:p>
    <w:p w:rsidR="00000000" w:rsidRDefault="00000000"/>
    <w:p w:rsidR="00000000" w:rsidRDefault="00000000">
      <w:r>
        <w:t>660.</w:t>
      </w:r>
      <w:r>
        <w:tab/>
        <w:t>В Чешской Республике имеется музей, специально посвященный меньшинству рома </w:t>
      </w:r>
      <w:r>
        <w:noBreakHyphen/>
        <w:t xml:space="preserve"> Музей культуры рома в Брно, а также музей истории и культуры польского меньшинства </w:t>
      </w:r>
      <w:r>
        <w:noBreakHyphen/>
        <w:t xml:space="preserve"> Тешинский региональный музей.</w:t>
      </w:r>
    </w:p>
    <w:p w:rsidR="00000000" w:rsidRDefault="00000000"/>
    <w:p w:rsidR="00000000" w:rsidRDefault="00000000">
      <w:r>
        <w:t>661.</w:t>
      </w:r>
      <w:r>
        <w:tab/>
      </w:r>
      <w:r>
        <w:rPr>
          <w:u w:val="single"/>
        </w:rPr>
        <w:t>Публичные библиотеки</w:t>
      </w:r>
      <w:r>
        <w:rPr>
          <w:b/>
          <w:bCs/>
        </w:rPr>
        <w:t>.</w:t>
      </w:r>
      <w:r>
        <w:t xml:space="preserve">  Деятельность публичных библиотек регулируется Законом об объединенной библиотечной системе (Законом о библиотеках)</w:t>
      </w:r>
      <w:r>
        <w:rPr>
          <w:rStyle w:val="FootnoteReference"/>
        </w:rPr>
        <w:footnoteReference w:id="400"/>
      </w:r>
      <w:r>
        <w:t>.</w:t>
      </w:r>
    </w:p>
    <w:p w:rsidR="00000000" w:rsidRDefault="00000000"/>
    <w:p w:rsidR="00000000" w:rsidRDefault="00000000">
      <w:r>
        <w:t>662.</w:t>
      </w:r>
      <w:r>
        <w:tab/>
        <w:t>Библиотеки создаются министерством культуры;  кроме того, они учреждаются окружными управлениями, городами и муниципалитетами.  В число учредителей крупных публичных библиотек специальной литературы входят также специальные государственные административные органы, главным образом министерство образования, по делам молодежи и спорта, министерство сельского хозяйства и министерство здравоохранения.  Очень важное значение имеют также библиотеки университетов и научно-исследовательских учреждений;  разумеется, они специально предназначены для удовлетворения потребностей учащихся, преподавателей и ученых и не могут рассматриваться в качестве публичных библиотек в полном смысле слова.</w:t>
      </w:r>
    </w:p>
    <w:p w:rsidR="00000000" w:rsidRDefault="00000000"/>
    <w:p w:rsidR="00000000" w:rsidRDefault="00000000">
      <w:r>
        <w:t>663.</w:t>
      </w:r>
      <w:r>
        <w:tab/>
        <w:t xml:space="preserve">В 1998 году в Чешской Республике действовало в общей сложности 7 319 публичных библиотек (включая их отделения).  </w:t>
      </w:r>
    </w:p>
    <w:p w:rsidR="00000000" w:rsidRDefault="00000000"/>
    <w:p w:rsidR="00000000" w:rsidRDefault="00000000">
      <w:r>
        <w:t>664.</w:t>
      </w:r>
      <w:r>
        <w:tab/>
        <w:t xml:space="preserve">Помимо Национальной библиотеки Чешской Республики (центрального компонента национальной библиотечной системы) и </w:t>
      </w:r>
      <w:r>
        <w:rPr>
          <w:lang w:val="en-US"/>
        </w:rPr>
        <w:t>Knihovny</w:t>
      </w:r>
      <w:r>
        <w:t xml:space="preserve"> </w:t>
      </w:r>
      <w:r>
        <w:rPr>
          <w:lang w:val="en-US"/>
        </w:rPr>
        <w:t>a</w:t>
      </w:r>
      <w:r>
        <w:t xml:space="preserve"> </w:t>
      </w:r>
      <w:r>
        <w:rPr>
          <w:lang w:val="en-US"/>
        </w:rPr>
        <w:t>tisk</w:t>
      </w:r>
      <w:r>
        <w:t>á</w:t>
      </w:r>
      <w:r>
        <w:rPr>
          <w:lang w:val="en-US"/>
        </w:rPr>
        <w:t>rny</w:t>
      </w:r>
      <w:r>
        <w:t xml:space="preserve"> </w:t>
      </w:r>
      <w:r>
        <w:rPr>
          <w:lang w:val="en-US"/>
        </w:rPr>
        <w:t>pro</w:t>
      </w:r>
      <w:r>
        <w:t xml:space="preserve"> </w:t>
      </w:r>
      <w:r>
        <w:rPr>
          <w:lang w:val="en-US"/>
        </w:rPr>
        <w:t>nevidom</w:t>
      </w:r>
      <w:r>
        <w:t xml:space="preserve">é </w:t>
      </w:r>
      <w:r>
        <w:rPr>
          <w:lang w:val="en-US"/>
        </w:rPr>
        <w:t>K</w:t>
      </w:r>
      <w:r>
        <w:t>.</w:t>
      </w:r>
      <w:r>
        <w:rPr>
          <w:lang w:val="en-US"/>
        </w:rPr>
        <w:t>E</w:t>
      </w:r>
      <w:r>
        <w:t xml:space="preserve">. </w:t>
      </w:r>
      <w:r>
        <w:rPr>
          <w:lang w:val="en-US"/>
        </w:rPr>
        <w:t>Macana</w:t>
      </w:r>
      <w:r>
        <w:t xml:space="preserve"> (библиотек и типографий для незрячих К.Э. Макана), министерство культуры учредило и финансирует еще девять государственных научных библиотек.  Оно также является и опосредованным учредителем других крупных публичных библиотек, функционирующих в созданных им субсидируемых организациях (например, библиотеки Национального музея, библиотеки Национальной галереи, библиотеки Музея декоративного искусства, библиотеки Национального архива литературных памятников и т.п.).  </w:t>
      </w:r>
    </w:p>
    <w:p w:rsidR="00000000" w:rsidRDefault="00000000"/>
    <w:p w:rsidR="00000000" w:rsidRDefault="00000000">
      <w:r>
        <w:t>665.</w:t>
      </w:r>
      <w:r>
        <w:tab/>
        <w:t>Национальная библиотека Чешской Республики занимает в системе публичных библиотек особое место.  Учитывая размеры ее фондов (около 6 млн. томов), она является одной из крупнейших и старейших библиотек в Чешской Республике.  Богатство ее фондов ставит ее в ряд наиболее важных европейских и мировых библиотек, при этом она участвует в программе ЮНЕСКО "Всемирная память", направленной на сохранение и обеспечение широкой доступности наиболее ценных частей литературного наследия посредством их сохранения в цифровой форме.</w:t>
      </w:r>
    </w:p>
    <w:p w:rsidR="00000000" w:rsidRDefault="00000000"/>
    <w:p w:rsidR="00000000" w:rsidRDefault="00000000">
      <w:r>
        <w:t>666.</w:t>
      </w:r>
      <w:r>
        <w:tab/>
        <w:t>Государственные научные библиотеки являются центральными библиотеками регионов и расположены в естественных региональных центрах.  Поэтому, помимо своих обычных образовательных, информационных и культурных функций, они также играют роль консультативных бюро для менее крупных районных публичных библиотек.</w:t>
      </w:r>
    </w:p>
    <w:p w:rsidR="00000000" w:rsidRDefault="00000000"/>
    <w:p w:rsidR="00000000" w:rsidRDefault="00000000">
      <w:r>
        <w:t>667.</w:t>
      </w:r>
      <w:r>
        <w:tab/>
        <w:t>Все крупные публичные библиотеки участвуют в осуществлении программ научных исследований и разработок под эгидой как центральных, так и отдельных ведомств.  Кроме того, публичные библиотеки организуют многочисленные информационные и учебные мероприятия, число которых ежегодно превышает около 40 000 (лекции, краткосрочные экспозиции и т.д.).</w:t>
      </w:r>
    </w:p>
    <w:p w:rsidR="00000000" w:rsidRDefault="00000000"/>
    <w:p w:rsidR="00000000" w:rsidRDefault="00000000">
      <w:r>
        <w:t>668.</w:t>
      </w:r>
      <w:r>
        <w:tab/>
        <w:t>Национальная библиотека Чешской Республики, Моравская земельная библиотека и Государственная научная библиотека в Оломоуце являются правомочными получателями так называемых обязательных экземпляров каждого непериодического издания, публикуемого в Чешской Республике.  Остальные государственные научные библиотеки в обязательном порядке получают экземпляры непериодических изданий, которые публикуются в их территориальных единицах.  До 31 декабря 1992 года Национальная библиотека и государственные библиотеки в обязательном порядке получали экземпляры всех периодических изданий, публикуемых на территории Чешской Республики.</w:t>
      </w:r>
    </w:p>
    <w:p w:rsidR="00000000" w:rsidRDefault="00000000"/>
    <w:p w:rsidR="00000000" w:rsidRDefault="00000000">
      <w:r>
        <w:t>669.</w:t>
      </w:r>
      <w:r>
        <w:tab/>
        <w:t>Расходы на формирование библиотечных фондов в 1992 году составили в общей сложности 181 856 000 чешских крон.</w:t>
      </w:r>
    </w:p>
    <w:p w:rsidR="00000000" w:rsidRDefault="00000000"/>
    <w:p w:rsidR="00000000" w:rsidRDefault="00000000">
      <w:r>
        <w:t>670.</w:t>
      </w:r>
      <w:r>
        <w:tab/>
        <w:t>Кроме того, публичные библиотеки выполняют задачу по осуществлению права граждан на информацию и обеспечивают состояние чешской информационной науки и библиотечного дела на уровне развитых стран.  В 1995 году министерство культуры объявило об осуществлении ежегодной программы специального субсидирования публичных библиотек, которая преследует две цели:</w:t>
      </w:r>
    </w:p>
    <w:p w:rsidR="00000000" w:rsidRDefault="00000000"/>
    <w:p w:rsidR="00000000" w:rsidRDefault="00000000">
      <w:r>
        <w:tab/>
        <w:t>а)</w:t>
      </w:r>
      <w:r>
        <w:tab/>
        <w:t>поддержку связи в рамках сети библиотек (например, связь через Интернет и совершенствование существующих каналов связи);  и</w:t>
      </w:r>
    </w:p>
    <w:p w:rsidR="00000000" w:rsidRDefault="00000000"/>
    <w:p w:rsidR="00000000" w:rsidRDefault="00000000">
      <w:r>
        <w:tab/>
      </w:r>
      <w:r>
        <w:rPr>
          <w:lang w:val="en-US"/>
        </w:rPr>
        <w:t>b</w:t>
      </w:r>
      <w:r>
        <w:t>)</w:t>
      </w:r>
      <w:r>
        <w:tab/>
        <w:t>поддержку накопления данных и обеспечения доступа к ним в рамках сети (в частности, проектов, направленных на создание и представление первичных и вторичных информационных источников в электронном виде).</w:t>
      </w:r>
    </w:p>
    <w:p w:rsidR="00000000" w:rsidRDefault="00000000"/>
    <w:p w:rsidR="00000000" w:rsidRDefault="00000000">
      <w:pPr>
        <w:pStyle w:val="BodyText"/>
        <w:spacing w:line="288" w:lineRule="auto"/>
        <w:rPr>
          <w:b/>
          <w:bCs/>
        </w:rPr>
      </w:pPr>
      <w:r>
        <w:rPr>
          <w:b/>
          <w:bCs/>
        </w:rPr>
        <w:t>Общая сумма субсидий на осуществление Программы развития библиотечных информационных сетей (</w:t>
      </w:r>
      <w:r>
        <w:rPr>
          <w:b/>
          <w:bCs/>
          <w:lang w:val="en-US"/>
        </w:rPr>
        <w:t>RISK</w:t>
      </w:r>
      <w:r>
        <w:rPr>
          <w:b/>
          <w:bCs/>
        </w:rPr>
        <w:t>) в 1998 году составила 34 млн. чешских крон.</w:t>
      </w:r>
    </w:p>
    <w:p w:rsidR="00000000" w:rsidRDefault="00000000">
      <w:pPr>
        <w:pStyle w:val="BodyText"/>
        <w:spacing w:line="288" w:lineRule="auto"/>
        <w:rPr>
          <w:b/>
          <w:bCs/>
        </w:rPr>
      </w:pPr>
    </w:p>
    <w:p w:rsidR="00000000" w:rsidRDefault="00000000">
      <w:pPr>
        <w:pStyle w:val="BodyText"/>
        <w:spacing w:line="288" w:lineRule="auto"/>
        <w:rPr>
          <w:b/>
          <w:bCs/>
        </w:rPr>
      </w:pPr>
      <w:r>
        <w:rPr>
          <w:b/>
          <w:bCs/>
        </w:rPr>
        <w:t>671.</w:t>
      </w:r>
      <w:r>
        <w:rPr>
          <w:b/>
          <w:bCs/>
        </w:rPr>
        <w:tab/>
      </w:r>
      <w:r>
        <w:rPr>
          <w:b/>
          <w:bCs/>
          <w:u w:val="single"/>
        </w:rPr>
        <w:t>Кинематография</w:t>
      </w:r>
      <w:r>
        <w:rPr>
          <w:b/>
          <w:bCs/>
        </w:rPr>
        <w:t>.  Развитие кинематографии регламентируется двумя законами:  Законом о Государственном фонде Чешской Республики для поддержки и развития чешской кинематографии</w:t>
      </w:r>
      <w:r>
        <w:rPr>
          <w:rStyle w:val="FootnoteReference"/>
          <w:b w:val="0"/>
          <w:bCs/>
        </w:rPr>
        <w:footnoteReference w:id="401"/>
      </w:r>
      <w:r>
        <w:rPr>
          <w:b/>
          <w:bCs/>
        </w:rPr>
        <w:t xml:space="preserve"> и Законом о некоторых условиях производства, распространения и архивирования аудиовизуальной продукции</w:t>
      </w:r>
      <w:r>
        <w:rPr>
          <w:rStyle w:val="FootnoteReference"/>
          <w:b w:val="0"/>
          <w:bCs/>
        </w:rPr>
        <w:footnoteReference w:id="402"/>
      </w:r>
      <w:r>
        <w:rPr>
          <w:b/>
          <w:bCs/>
        </w:rPr>
        <w:t>.</w:t>
      </w:r>
    </w:p>
    <w:p w:rsidR="00000000" w:rsidRDefault="00000000">
      <w:pPr>
        <w:pStyle w:val="BodyText"/>
        <w:spacing w:line="288" w:lineRule="auto"/>
        <w:rPr>
          <w:b/>
          <w:bCs/>
        </w:rPr>
      </w:pPr>
    </w:p>
    <w:p w:rsidR="00000000" w:rsidRDefault="00000000">
      <w:pPr>
        <w:pStyle w:val="BodyText"/>
        <w:spacing w:line="288" w:lineRule="auto"/>
        <w:rPr>
          <w:b/>
          <w:bCs/>
        </w:rPr>
      </w:pPr>
      <w:r>
        <w:rPr>
          <w:b/>
          <w:bCs/>
        </w:rPr>
        <w:t>672.</w:t>
      </w:r>
      <w:r>
        <w:rPr>
          <w:b/>
          <w:bCs/>
        </w:rPr>
        <w:tab/>
        <w:t xml:space="preserve">Закон о Государственном фонде Чешской Республики для поддержки и развития чешской кинематографии устанавливает основные условия для создания фондов, из которых могут направляться средства на реализацию избранных проектов чешской киноиндустрии, и обязательные правила их финансирования.  Основным источником средств для этого фонда являются поступления от сборов кинотеатров и от коммерческого проката чешских кинопроизведений, созданных в период 1965-1991 годов, т.е. тогда, когда киноиндустрия все еще полностью финансировалась из государственного бюджета.  Поэтому средства, получаемые от проката таких кинофильмов, можно рассматривать в качестве вклада государства в пополнение фонда. </w:t>
      </w:r>
    </w:p>
    <w:p w:rsidR="00000000" w:rsidRDefault="00000000"/>
    <w:p w:rsidR="00000000" w:rsidRDefault="00000000">
      <w:r>
        <w:t>673.</w:t>
      </w:r>
      <w:r>
        <w:tab/>
        <w:t>Важную роль в создании современных оригинальных чешских фильмов играет Государственное чешское телевидение:  оно выпускает около 10 полнометражных фильмов в год.  Однако его финансовые ресурсы пополняются независимо от государственного бюджета (они состоят из поступлений от концессионных сборов, дохода от рекламы и т.д.), поэтому в данном случае мы не можем говорить о государственном субсидировании производства фильмов.</w:t>
      </w:r>
    </w:p>
    <w:p w:rsidR="00000000" w:rsidRDefault="00000000"/>
    <w:p w:rsidR="00000000" w:rsidRDefault="00000000">
      <w:r>
        <w:t>674.</w:t>
      </w:r>
      <w:r>
        <w:tab/>
        <w:t xml:space="preserve">Условия развития чешской кинематографии в рыночной среде регламентируются Законом о некоторых условиях производства, распространения и архивирования аудиовизуальной продукции.  Согласно этому Закону при министерстве культуры было создано специальное учреждение для сохранения кинематографического наследия - Национальный кинематографический архив.  Его задача состоит в сборе, сохранении, изучении и использовании аудиовизуальных архивных материалов, особенно тех, которые являются частью национального культурного наследия и демонстрируют процесс создания и развития киноиндустрии.  При создании какого-либо чешского аудиовизуального произведения его продюсер обязан в течение 60 дней после первого выпуска в письменном виде предложить архиву приобрести две новые неповрежденные копии этого произведения. </w:t>
      </w:r>
    </w:p>
    <w:p w:rsidR="00000000" w:rsidRDefault="00000000"/>
    <w:p w:rsidR="00000000" w:rsidRDefault="00000000">
      <w:r>
        <w:t>675.</w:t>
      </w:r>
      <w:r>
        <w:tab/>
        <w:t>В 1998 году в Чешской Республике действовало более 700 постоянных кинотеатров, 36 кинокафе, а также на сезонной основе - 110 постоянных летних кинотеатров и 50 передвижных кинотеатров.  Состоялись премьеры в общей сложности 150 полнометражных художественных фильмов, 14 из которых были произведены в Чехии.</w:t>
      </w:r>
    </w:p>
    <w:p w:rsidR="00000000" w:rsidRDefault="00000000"/>
    <w:p w:rsidR="00000000" w:rsidRDefault="00000000">
      <w:r>
        <w:t>676.</w:t>
      </w:r>
      <w:r>
        <w:tab/>
        <w:t xml:space="preserve">Ежегодно в Чешской Республике проводится международный кинофестиваль в Карловых Варах;  он частично финансируется министерством культуры и властями города.  Фестиваль проводит и организует независимое лицо.  Кроме того, в Чешской Республике проводятся другие менее крупные международные фестивали, которые специализируются, например, на демонстрации фильмов для детей и молодежи (Злин), фильмов на тему защиты окружающей среды и охраны культурных памятников (фестиваль "Экофильм" в Чески-Крумлове) и т.д.  </w:t>
      </w:r>
    </w:p>
    <w:p w:rsidR="00000000" w:rsidRDefault="00000000"/>
    <w:p w:rsidR="00000000" w:rsidRDefault="00000000">
      <w:r>
        <w:t>677.</w:t>
      </w:r>
      <w:r>
        <w:tab/>
      </w:r>
      <w:r>
        <w:rPr>
          <w:u w:val="single"/>
        </w:rPr>
        <w:t>Театр</w:t>
      </w:r>
      <w:r>
        <w:t>.  В число театров входят:</w:t>
      </w:r>
    </w:p>
    <w:p w:rsidR="00000000" w:rsidRDefault="00000000">
      <w:pPr>
        <w:pStyle w:val="FootnoteText"/>
        <w:spacing w:line="288" w:lineRule="auto"/>
      </w:pPr>
    </w:p>
    <w:p w:rsidR="00000000" w:rsidRDefault="00000000">
      <w:pPr>
        <w:ind w:left="1134" w:hanging="1134"/>
      </w:pPr>
      <w:r>
        <w:tab/>
        <w:t>-</w:t>
      </w:r>
      <w:r>
        <w:tab/>
        <w:t>театры, созданные центральными государственными административными органами:  министерство культуры создало три постоянно действующих театра с собственными труппами актеров (но только два из них субсидируются министерством, а третий - "Латерна Магика" - работает на основе самофинансирования);</w:t>
      </w:r>
    </w:p>
    <w:p w:rsidR="00000000" w:rsidRDefault="00000000">
      <w:pPr>
        <w:ind w:left="1134" w:hanging="1134"/>
      </w:pPr>
    </w:p>
    <w:p w:rsidR="00000000" w:rsidRDefault="00000000">
      <w:pPr>
        <w:ind w:left="1134" w:hanging="1134"/>
      </w:pPr>
      <w:r>
        <w:tab/>
        <w:t>-</w:t>
      </w:r>
      <w:r>
        <w:tab/>
        <w:t>театры при университетах, в которых, главным образом, проводится подготовка молодых профессионалов по сценическим специальностям (три публичные сцены);  они финансируются из государственного бюджета в рамках субсидий, выделяемых на нужды художественных училищ;</w:t>
      </w:r>
    </w:p>
    <w:p w:rsidR="00000000" w:rsidRDefault="00000000">
      <w:pPr>
        <w:ind w:left="1134" w:hanging="1134"/>
      </w:pPr>
    </w:p>
    <w:p w:rsidR="00000000" w:rsidRDefault="00000000">
      <w:pPr>
        <w:ind w:left="1134" w:hanging="1134"/>
      </w:pPr>
      <w:r>
        <w:tab/>
        <w:t>-</w:t>
      </w:r>
      <w:r>
        <w:tab/>
        <w:t>40 театров, созданных и финансируемых другими государственными административными органами, т.е. городскими и муниципальными властями, которые являются постоянными театрами со своей собственной сценической труппой актеров, а также театры, созданные и финансируемые городскими властями, которые не имеют собственной труппы;</w:t>
      </w:r>
    </w:p>
    <w:p w:rsidR="00000000" w:rsidRDefault="00000000">
      <w:pPr>
        <w:ind w:left="1134" w:hanging="1134"/>
      </w:pPr>
    </w:p>
    <w:p w:rsidR="00000000" w:rsidRDefault="00000000">
      <w:pPr>
        <w:ind w:left="1134" w:hanging="1134"/>
      </w:pPr>
      <w:r>
        <w:tab/>
        <w:t>-</w:t>
      </w:r>
      <w:r>
        <w:tab/>
        <w:t>три театра, созданных и финансируемых окружными управлениями и представляющие собой постоянные театры с собственной сценической труппой актеров;</w:t>
      </w:r>
    </w:p>
    <w:p w:rsidR="00000000" w:rsidRDefault="00000000">
      <w:pPr>
        <w:ind w:left="1134" w:hanging="1134"/>
      </w:pPr>
    </w:p>
    <w:p w:rsidR="00000000" w:rsidRDefault="00000000">
      <w:pPr>
        <w:ind w:left="1134" w:hanging="1134"/>
      </w:pPr>
      <w:r>
        <w:tab/>
        <w:t>-</w:t>
      </w:r>
      <w:r>
        <w:tab/>
        <w:t>независимые театральные компании и группы, существующие за счет субсидий и других поступлений из разных источников (государства, города, городского района, спонсоров, фондов);</w:t>
      </w:r>
    </w:p>
    <w:p w:rsidR="00000000" w:rsidRDefault="00000000">
      <w:pPr>
        <w:ind w:left="1134" w:hanging="1134"/>
      </w:pPr>
    </w:p>
    <w:p w:rsidR="00000000" w:rsidRDefault="00000000">
      <w:pPr>
        <w:ind w:left="1134" w:hanging="1134"/>
      </w:pPr>
      <w:r>
        <w:tab/>
        <w:t>-</w:t>
      </w:r>
      <w:r>
        <w:tab/>
        <w:t xml:space="preserve">сценические коллективы и театральные группы, не получающие поддержки из государственных средств (частные театры, музыкальные ансамбли и т.п.).  </w:t>
      </w:r>
    </w:p>
    <w:p w:rsidR="00000000" w:rsidRDefault="00000000">
      <w:pPr>
        <w:ind w:left="1134" w:hanging="1134"/>
      </w:pPr>
    </w:p>
    <w:p w:rsidR="00000000" w:rsidRDefault="00000000">
      <w:r>
        <w:t>678.</w:t>
      </w:r>
      <w:r>
        <w:tab/>
        <w:t xml:space="preserve">Министерство культуры создало специальное профессиональное учреждение - Театральный институт, который является научным и экспертным центром, занимающимся исследованиями в области театрального искусства, публикацией специальных периодических изданий и театральной литературы, ведением специальных баз данных, организацией уникальной международной выставки театрального дизайна "Квадренниал", которая проводится в Праге каждые четыре года, и т.д. </w:t>
      </w:r>
    </w:p>
    <w:p w:rsidR="00000000" w:rsidRDefault="00000000">
      <w:pPr>
        <w:ind w:left="1134" w:hanging="1134"/>
      </w:pPr>
    </w:p>
    <w:p w:rsidR="00000000" w:rsidRDefault="00000000">
      <w:r>
        <w:br w:type="page"/>
        <w:t>679.</w:t>
      </w:r>
      <w:r>
        <w:tab/>
        <w:t xml:space="preserve">Наиболее значительными театральными фестивалями в Чешской Республике, проводимыми с международным участием, являются фестиваль "Театр на границе", который ежегодно посвящается чешским, польским и словацким театральным произведениям и организуется в регионе компактного проживания польского и словацкого меньшинств, фестиваль "Театр европейских регионов" в Градек-Кралове и "Фестиваль-98".  В число специальных фестивалей входят Пражский танцевальный фестиваль, посвященный современному балету и пластическому искусству, а также фестиваль "Спектаколо Интерессе", который проводится для профессиональных кукольных театров.  </w:t>
      </w:r>
    </w:p>
    <w:p w:rsidR="00000000" w:rsidRDefault="00000000"/>
    <w:p w:rsidR="00000000" w:rsidRDefault="00000000">
      <w:r>
        <w:t>680.</w:t>
      </w:r>
      <w:r>
        <w:tab/>
      </w:r>
      <w:r>
        <w:rPr>
          <w:u w:val="single"/>
        </w:rPr>
        <w:t>Музыка</w:t>
      </w:r>
      <w:r>
        <w:t>.  В чешской республике имеется 16 профессиональных симфонических оркестров, два из которых созданы и финансируются непосредственно министерством культуры, три созданы частными юридическими лицами на коммерческой основе (из которых два пользуются существенной государственной поддержкой), один оркестр создан при чешском радио и 11 учреждены городскими властями.  Кроме того, в Чешской Республике имеется целый ряд симфонических камерных оркестров, которые не получают прямой государственной поддержки, но которые тем не менее опосредованно поддерживаются за счет субсидий, выделяемых организаторам концертов и музыкальных фестивалей.  До 31 декабря 1999 года министерство культуры субсидировало также созданную им организацию - "Международный пражский весенний музыкальный фестиваль", которая занималась организацией международных музыкальных фестивалей под таким же названием.</w:t>
      </w:r>
    </w:p>
    <w:p w:rsidR="00000000" w:rsidRDefault="00000000"/>
    <w:p w:rsidR="00000000" w:rsidRDefault="00000000">
      <w:r>
        <w:t>681.</w:t>
      </w:r>
      <w:r>
        <w:tab/>
      </w:r>
      <w:r>
        <w:rPr>
          <w:u w:val="single"/>
        </w:rPr>
        <w:t>Равный доступ к культуре</w:t>
      </w:r>
      <w:r>
        <w:t>.  В Чешской Республике отсутствует какая-либо дискриминация в отношении доступа к культурным учреждениям.  Напротив, некоторым группам населения, например детям и молодежи, учащимся, пожилым лицам, семьям с детьми и т.д., предоставляются льготы при приобретении билетов.</w:t>
      </w:r>
    </w:p>
    <w:p w:rsidR="00000000" w:rsidRDefault="00000000"/>
    <w:p w:rsidR="00000000" w:rsidRDefault="00000000">
      <w:r>
        <w:t>682.</w:t>
      </w:r>
      <w:r>
        <w:tab/>
        <w:t>В Чешской Республике традиционно существуют хорошие условия для непрофессиональной артистической деятельности, поскольку такая деятельность не только играет важную роль в повышении и развитии общей культуры населения, но и способствует более глубокому пониманию профессионального искусства (формируя образованную аудиторию).  В то же время эта деятельность является важным инструментом вовлечения населения в работу местных обществ, а также является одним из видов увлекательного досуга и важным фактором профилактики антиобщественного поведения, особенно среди молодежи и детей.</w:t>
      </w:r>
    </w:p>
    <w:p w:rsidR="00000000" w:rsidRDefault="00000000"/>
    <w:p w:rsidR="00000000" w:rsidRDefault="00000000">
      <w:r>
        <w:br w:type="page"/>
        <w:t>683.</w:t>
      </w:r>
      <w:r>
        <w:tab/>
        <w:t>Самодеятельные артисты получают поддержку главным образом в рамках организации конкурсов городскими и муниципальными органами самоуправления или в рамках постоянно действующих культурных учреждений, созданных этими органами (например, местных клубов и центров культуры, городских библиотек, начальных художественных школ и т.п.).</w:t>
      </w:r>
    </w:p>
    <w:p w:rsidR="00000000" w:rsidRDefault="00000000"/>
    <w:p w:rsidR="00000000" w:rsidRDefault="00000000">
      <w:r>
        <w:t>684.</w:t>
      </w:r>
      <w:r>
        <w:tab/>
        <w:t>Участники национальных смотров и конкурсов самодеятельных художественных коллективов и артистов получают средства из бюджета министерства культуры в основном через организаторов зрелищных мероприятий, заявки которых рассматриваются на предмет выделения субсидий в рамках ежегодно объявляемого министерством конкурса.  В 1997 году министерство затратило на эти мероприятия 5 347 000 чешских крон (включая смотры и фольклорные фестивали);  в 1998 году эта сумма составила 5 638 000 чешских крон</w:t>
      </w:r>
      <w:r>
        <w:rPr>
          <w:rStyle w:val="FootnoteReference"/>
        </w:rPr>
        <w:footnoteReference w:id="403"/>
      </w:r>
      <w:r>
        <w:t>.</w:t>
      </w:r>
    </w:p>
    <w:p w:rsidR="00000000" w:rsidRDefault="00000000"/>
    <w:p w:rsidR="00000000" w:rsidRDefault="00000000">
      <w:pPr>
        <w:rPr>
          <w:b/>
          <w:bCs/>
        </w:rPr>
      </w:pPr>
      <w:r>
        <w:t>685.</w:t>
      </w:r>
      <w:r>
        <w:tab/>
        <w:t>Кроме того, министерство культуры учредило специальную субсидируемую организацию - Информационный и консультативный центр по вопросам местной культуры.  Этот центр оказывает методологическую и организационную поддержку организаторам культурных мероприятий, а также выделяет некоторым из них финансовую помощь.</w:t>
      </w:r>
    </w:p>
    <w:p w:rsidR="00000000" w:rsidRDefault="00000000"/>
    <w:p w:rsidR="00000000" w:rsidRDefault="00000000">
      <w:pPr>
        <w:pStyle w:val="Heading1"/>
        <w:jc w:val="center"/>
        <w:rPr>
          <w:bCs/>
          <w:lang w:val="en-US"/>
        </w:rPr>
      </w:pPr>
      <w:r>
        <w:rPr>
          <w:bCs/>
        </w:rPr>
        <w:t>Культурные учреждения</w:t>
      </w:r>
    </w:p>
    <w:p w:rsidR="00000000" w:rsidRDefault="00000000">
      <w:pPr>
        <w:rPr>
          <w:lang w:val="en-US"/>
        </w:rPr>
      </w:pPr>
    </w:p>
    <w:tbl>
      <w:tblPr>
        <w:tblW w:w="5000" w:type="pct"/>
        <w:tblCellMar>
          <w:top w:w="85" w:type="dxa"/>
          <w:left w:w="0" w:type="dxa"/>
          <w:bottom w:w="85" w:type="dxa"/>
          <w:right w:w="0" w:type="dxa"/>
        </w:tblCellMar>
        <w:tblLook w:val="0000" w:firstRow="0" w:lastRow="0" w:firstColumn="0" w:lastColumn="0" w:noHBand="0" w:noVBand="0"/>
      </w:tblPr>
      <w:tblGrid>
        <w:gridCol w:w="5129"/>
        <w:gridCol w:w="827"/>
        <w:gridCol w:w="999"/>
        <w:gridCol w:w="803"/>
        <w:gridCol w:w="803"/>
        <w:gridCol w:w="803"/>
      </w:tblGrid>
      <w:tr w:rsidR="00000000">
        <w:trPr>
          <w:tblHeader/>
        </w:trPr>
        <w:tc>
          <w:tcPr>
            <w:tcW w:w="279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4"/>
              </w:tabs>
              <w:spacing w:line="240" w:lineRule="auto"/>
            </w:pPr>
          </w:p>
        </w:tc>
        <w:tc>
          <w:tcPr>
            <w:tcW w:w="49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113"/>
              <w:jc w:val="center"/>
            </w:pPr>
            <w:r>
              <w:t>1994</w:t>
            </w:r>
          </w:p>
        </w:tc>
        <w:tc>
          <w:tcPr>
            <w:tcW w:w="59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113"/>
              <w:jc w:val="center"/>
            </w:pPr>
            <w:r>
              <w:t>1995</w:t>
            </w:r>
          </w:p>
        </w:tc>
        <w:tc>
          <w:tcPr>
            <w:tcW w:w="37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113"/>
              <w:jc w:val="center"/>
            </w:pPr>
            <w:r>
              <w:t>1996</w:t>
            </w:r>
          </w:p>
        </w:tc>
        <w:tc>
          <w:tcPr>
            <w:tcW w:w="37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113"/>
              <w:jc w:val="center"/>
            </w:pPr>
            <w:r>
              <w:t>1997</w:t>
            </w:r>
          </w:p>
        </w:tc>
        <w:tc>
          <w:tcPr>
            <w:tcW w:w="37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113"/>
              <w:jc w:val="center"/>
            </w:pPr>
            <w:r>
              <w:t>1998</w:t>
            </w:r>
          </w:p>
        </w:tc>
      </w:tr>
      <w:tr w:rsidR="00000000">
        <w:tblPrEx>
          <w:tblCellMar>
            <w:top w:w="28" w:type="dxa"/>
            <w:bottom w:w="28" w:type="dxa"/>
          </w:tblCellMar>
        </w:tblPrEx>
        <w:tc>
          <w:tcPr>
            <w:tcW w:w="2797" w:type="pct"/>
            <w:tcBorders>
              <w:top w:val="single" w:sz="4" w:space="0" w:color="auto"/>
              <w:left w:val="single" w:sz="4" w:space="0" w:color="auto"/>
              <w:right w:val="single" w:sz="4" w:space="0" w:color="auto"/>
            </w:tcBorders>
          </w:tcPr>
          <w:p w:rsidR="00000000" w:rsidRDefault="00000000">
            <w:pPr>
              <w:tabs>
                <w:tab w:val="left" w:pos="284"/>
              </w:tabs>
              <w:spacing w:line="240" w:lineRule="auto"/>
            </w:pPr>
            <w:r>
              <w:t>Театры</w:t>
            </w:r>
          </w:p>
        </w:tc>
        <w:tc>
          <w:tcPr>
            <w:tcW w:w="499"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83</w:t>
            </w:r>
          </w:p>
        </w:tc>
        <w:tc>
          <w:tcPr>
            <w:tcW w:w="591"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32"/>
            </w:pPr>
            <w:r>
              <w:t>99</w:t>
            </w:r>
          </w:p>
        </w:tc>
        <w:tc>
          <w:tcPr>
            <w:tcW w:w="371"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104</w:t>
            </w:r>
          </w:p>
        </w:tc>
        <w:tc>
          <w:tcPr>
            <w:tcW w:w="371"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109</w:t>
            </w:r>
          </w:p>
        </w:tc>
        <w:tc>
          <w:tcPr>
            <w:tcW w:w="371"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99</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ind w:left="284"/>
            </w:pPr>
            <w:r>
              <w:t>Постоянные государственные театры</w:t>
            </w:r>
          </w:p>
        </w:tc>
        <w:tc>
          <w:tcPr>
            <w:tcW w:w="499" w:type="pct"/>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680"/>
              </w:tabs>
              <w:ind w:right="113"/>
            </w:pPr>
            <w:r>
              <w:t>83</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32"/>
            </w:pPr>
            <w:r>
              <w:t>81</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81</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89</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80</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ind w:left="284"/>
            </w:pPr>
            <w:r>
              <w:t>Постоянные негосударственные театры</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noBreakHyphen/>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32"/>
            </w:pPr>
            <w:r>
              <w:t>18</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23</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20</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19</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pStyle w:val="FootnoteText"/>
              <w:tabs>
                <w:tab w:val="left" w:pos="284"/>
              </w:tabs>
            </w:pPr>
            <w:r>
              <w:t>Общее число посетивших их зрителей (в тыс. человек)</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4 431</w:t>
            </w:r>
          </w:p>
        </w:tc>
        <w:tc>
          <w:tcPr>
            <w:tcW w:w="591" w:type="pct"/>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680"/>
              </w:tabs>
              <w:ind w:right="32"/>
            </w:pPr>
            <w:r>
              <w:t>5 247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6 019</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5 957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5 733</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rPr>
                <w:vertAlign w:val="superscript"/>
              </w:rPr>
            </w:pPr>
            <w:r>
              <w:t>Государственные музыкальные ансамбли</w:t>
            </w:r>
            <w:r>
              <w:rPr>
                <w:vertAlign w:val="superscript"/>
              </w:rPr>
              <w:t>а</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15</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32"/>
            </w:pPr>
            <w:r>
              <w:noBreakHyphen/>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18</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ind w:left="284"/>
              <w:rPr>
                <w:b/>
                <w:bCs/>
                <w:vertAlign w:val="superscript"/>
              </w:rPr>
            </w:pPr>
            <w:r>
              <w:t>число зрителей (в тыс. человек)</w:t>
            </w:r>
            <w:r>
              <w:rPr>
                <w:b/>
                <w:bCs/>
                <w:vertAlign w:val="superscript"/>
              </w:rPr>
              <w:t>b</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335</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32"/>
            </w:pPr>
            <w:r>
              <w:noBreakHyphen/>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337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388</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439</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pPr>
            <w:r>
              <w:t>Музеи</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229</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234</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237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263</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274</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ind w:left="284"/>
            </w:pPr>
            <w:r>
              <w:t>число посетителей (в тыс. человек)</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7 089</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7 482</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7 373</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6 857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7 119</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pPr>
            <w:r>
              <w:t>Галереи</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37</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37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37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37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43</w:t>
            </w:r>
          </w:p>
        </w:tc>
      </w:tr>
      <w:tr w:rsidR="00000000">
        <w:tblPrEx>
          <w:tblCellMar>
            <w:top w:w="28" w:type="dxa"/>
            <w:bottom w:w="28" w:type="dxa"/>
          </w:tblCellMar>
        </w:tblPrEx>
        <w:tc>
          <w:tcPr>
            <w:tcW w:w="2797" w:type="pct"/>
            <w:tcBorders>
              <w:left w:val="single" w:sz="4" w:space="0" w:color="auto"/>
              <w:bottom w:val="single" w:sz="4" w:space="0" w:color="auto"/>
              <w:right w:val="single" w:sz="4" w:space="0" w:color="auto"/>
            </w:tcBorders>
          </w:tcPr>
          <w:p w:rsidR="00000000" w:rsidRDefault="00000000">
            <w:pPr>
              <w:tabs>
                <w:tab w:val="left" w:pos="284"/>
              </w:tabs>
              <w:spacing w:line="240" w:lineRule="auto"/>
              <w:ind w:left="284"/>
            </w:pPr>
            <w:r>
              <w:t>число посетителей</w:t>
            </w:r>
          </w:p>
        </w:tc>
        <w:tc>
          <w:tcPr>
            <w:tcW w:w="499" w:type="pct"/>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1 360</w:t>
            </w:r>
          </w:p>
        </w:tc>
        <w:tc>
          <w:tcPr>
            <w:tcW w:w="591" w:type="pct"/>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1 432</w:t>
            </w:r>
          </w:p>
        </w:tc>
        <w:tc>
          <w:tcPr>
            <w:tcW w:w="371" w:type="pct"/>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1 660</w:t>
            </w:r>
          </w:p>
        </w:tc>
        <w:tc>
          <w:tcPr>
            <w:tcW w:w="371" w:type="pct"/>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1 418</w:t>
            </w:r>
          </w:p>
        </w:tc>
        <w:tc>
          <w:tcPr>
            <w:tcW w:w="371" w:type="pct"/>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1 791</w:t>
            </w:r>
          </w:p>
        </w:tc>
      </w:tr>
      <w:tr w:rsidR="00000000">
        <w:tblPrEx>
          <w:tblCellMar>
            <w:top w:w="28" w:type="dxa"/>
            <w:bottom w:w="28" w:type="dxa"/>
          </w:tblCellMar>
        </w:tblPrEx>
        <w:tc>
          <w:tcPr>
            <w:tcW w:w="2797" w:type="pct"/>
            <w:tcBorders>
              <w:top w:val="single" w:sz="4" w:space="0" w:color="auto"/>
              <w:left w:val="single" w:sz="4" w:space="0" w:color="auto"/>
              <w:right w:val="single" w:sz="4" w:space="0" w:color="auto"/>
            </w:tcBorders>
          </w:tcPr>
          <w:p w:rsidR="00000000" w:rsidRDefault="00000000">
            <w:pPr>
              <w:pStyle w:val="FootnoteText"/>
              <w:keepNext/>
              <w:pageBreakBefore/>
              <w:tabs>
                <w:tab w:val="left" w:pos="284"/>
              </w:tabs>
            </w:pPr>
            <w:r>
              <w:t>Обсерватории и планетарии</w:t>
            </w:r>
          </w:p>
        </w:tc>
        <w:tc>
          <w:tcPr>
            <w:tcW w:w="499"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24</w:t>
            </w:r>
          </w:p>
        </w:tc>
        <w:tc>
          <w:tcPr>
            <w:tcW w:w="591"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23</w:t>
            </w:r>
          </w:p>
        </w:tc>
        <w:tc>
          <w:tcPr>
            <w:tcW w:w="371"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25</w:t>
            </w:r>
          </w:p>
        </w:tc>
        <w:tc>
          <w:tcPr>
            <w:tcW w:w="371"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26</w:t>
            </w:r>
          </w:p>
        </w:tc>
        <w:tc>
          <w:tcPr>
            <w:tcW w:w="371"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26</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ind w:left="284"/>
            </w:pPr>
            <w:r>
              <w:t>число посетителей</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410</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413</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447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491</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480</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pPr>
            <w:r>
              <w:t>Зоопарки</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14</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15</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15</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15</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15</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ind w:left="284"/>
            </w:pPr>
            <w:r>
              <w:t>число посетителей</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2 742</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2 925</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3 309</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3 415</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noBreakHyphen/>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pPr>
            <w:r>
              <w:t>Замки, дворцы, исторические и архитектурные памятники</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113</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118</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151</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160</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163</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ind w:left="284"/>
            </w:pPr>
            <w:r>
              <w:t>число посетителей</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5 201</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5 935</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8 119</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7 952</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8 256</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pPr>
            <w:r>
              <w:t>Библиотеки</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6 321</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6 253</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6 198</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6 309</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6 205</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pPr>
            <w:r>
              <w:t>Публичные библиотеки</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6 238</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6 169</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6 123</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6 235</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6 131</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ind w:left="284"/>
            </w:pPr>
            <w:r>
              <w:t>число зарегистрированных читателей (в тыс. человек)</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1 131</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1 277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1 287</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1 284</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1 331</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pPr>
            <w:r>
              <w:t xml:space="preserve">Государственные научные библиотеки </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11</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10</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10</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10</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10</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ind w:left="284"/>
            </w:pPr>
            <w:r>
              <w:t>число зарегистрированных читателей (в тыс. человек)</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299</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151</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152</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148</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148</w:t>
            </w:r>
          </w:p>
        </w:tc>
      </w:tr>
      <w:tr w:rsidR="00000000">
        <w:tblPrEx>
          <w:tblCellMar>
            <w:top w:w="28" w:type="dxa"/>
            <w:bottom w:w="28" w:type="dxa"/>
          </w:tblCellMar>
        </w:tblPrEx>
        <w:tc>
          <w:tcPr>
            <w:tcW w:w="2797" w:type="pct"/>
            <w:tcBorders>
              <w:left w:val="single" w:sz="4" w:space="0" w:color="auto"/>
              <w:right w:val="single" w:sz="4" w:space="0" w:color="auto"/>
            </w:tcBorders>
          </w:tcPr>
          <w:p w:rsidR="00000000" w:rsidRDefault="00000000">
            <w:pPr>
              <w:tabs>
                <w:tab w:val="left" w:pos="284"/>
              </w:tabs>
              <w:spacing w:line="240" w:lineRule="auto"/>
            </w:pPr>
            <w:r>
              <w:t>Университетские библиотеки</w:t>
            </w:r>
          </w:p>
        </w:tc>
        <w:tc>
          <w:tcPr>
            <w:tcW w:w="499" w:type="pct"/>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680"/>
              </w:tabs>
              <w:ind w:right="113"/>
            </w:pPr>
            <w:r>
              <w:t>72</w:t>
            </w:r>
          </w:p>
        </w:tc>
        <w:tc>
          <w:tcPr>
            <w:tcW w:w="59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74</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65</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64</w:t>
            </w:r>
          </w:p>
        </w:tc>
        <w:tc>
          <w:tcPr>
            <w:tcW w:w="371"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64</w:t>
            </w:r>
          </w:p>
        </w:tc>
      </w:tr>
      <w:tr w:rsidR="00000000">
        <w:tblPrEx>
          <w:tblCellMar>
            <w:top w:w="28" w:type="dxa"/>
            <w:bottom w:w="28" w:type="dxa"/>
          </w:tblCellMar>
        </w:tblPrEx>
        <w:tc>
          <w:tcPr>
            <w:tcW w:w="2797" w:type="pct"/>
            <w:tcBorders>
              <w:left w:val="single" w:sz="4" w:space="0" w:color="auto"/>
              <w:bottom w:val="single" w:sz="4" w:space="0" w:color="auto"/>
              <w:right w:val="single" w:sz="4" w:space="0" w:color="auto"/>
            </w:tcBorders>
          </w:tcPr>
          <w:p w:rsidR="00000000" w:rsidRDefault="00000000">
            <w:pPr>
              <w:tabs>
                <w:tab w:val="left" w:pos="284"/>
              </w:tabs>
              <w:spacing w:line="240" w:lineRule="auto"/>
              <w:ind w:left="284"/>
            </w:pPr>
            <w:r>
              <w:t>число зарегистрированных читателей (в тыс. человек)</w:t>
            </w:r>
          </w:p>
        </w:tc>
        <w:tc>
          <w:tcPr>
            <w:tcW w:w="499" w:type="pct"/>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191</w:t>
            </w:r>
          </w:p>
        </w:tc>
        <w:tc>
          <w:tcPr>
            <w:tcW w:w="591" w:type="pct"/>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230</w:t>
            </w:r>
          </w:p>
        </w:tc>
        <w:tc>
          <w:tcPr>
            <w:tcW w:w="371" w:type="pct"/>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243</w:t>
            </w:r>
          </w:p>
        </w:tc>
        <w:tc>
          <w:tcPr>
            <w:tcW w:w="371" w:type="pct"/>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225</w:t>
            </w:r>
          </w:p>
        </w:tc>
        <w:tc>
          <w:tcPr>
            <w:tcW w:w="371" w:type="pct"/>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ind w:right="113"/>
            </w:pPr>
            <w:r>
              <w:t>225</w:t>
            </w:r>
          </w:p>
        </w:tc>
      </w:tr>
    </w:tbl>
    <w:p w:rsidR="00000000" w:rsidRDefault="00000000">
      <w:pPr>
        <w:pStyle w:val="FootnoteText"/>
        <w:spacing w:line="288" w:lineRule="auto"/>
      </w:pPr>
    </w:p>
    <w:p w:rsidR="00000000" w:rsidRDefault="00000000">
      <w:pPr>
        <w:spacing w:line="216" w:lineRule="auto"/>
        <w:rPr>
          <w:lang w:val="en-US"/>
        </w:rPr>
      </w:pPr>
      <w:r>
        <w:tab/>
      </w:r>
      <w:r>
        <w:rPr>
          <w:u w:val="single"/>
        </w:rPr>
        <w:t>Источник</w:t>
      </w:r>
      <w:r>
        <w:rPr>
          <w:lang w:val="en-US"/>
        </w:rPr>
        <w:t>:  Statistical Yearbook of the CR, 1999.</w:t>
      </w:r>
    </w:p>
    <w:p w:rsidR="00000000" w:rsidRDefault="00000000">
      <w:pPr>
        <w:spacing w:line="216" w:lineRule="auto"/>
        <w:rPr>
          <w:lang w:val="en-US"/>
        </w:rPr>
      </w:pPr>
    </w:p>
    <w:p w:rsidR="00000000" w:rsidRDefault="00000000">
      <w:pPr>
        <w:spacing w:line="216" w:lineRule="auto"/>
      </w:pPr>
      <w:r>
        <w:rPr>
          <w:b/>
          <w:bCs/>
          <w:vertAlign w:val="superscript"/>
        </w:rPr>
        <w:t>а</w:t>
      </w:r>
      <w:r>
        <w:tab/>
        <w:t>В 1995 году подсчеты не производились.</w:t>
      </w:r>
    </w:p>
    <w:p w:rsidR="00000000" w:rsidRDefault="00000000">
      <w:pPr>
        <w:spacing w:line="216" w:lineRule="auto"/>
      </w:pPr>
    </w:p>
    <w:p w:rsidR="00000000" w:rsidRDefault="00000000">
      <w:pPr>
        <w:spacing w:line="216" w:lineRule="auto"/>
      </w:pPr>
      <w:r>
        <w:rPr>
          <w:b/>
          <w:bCs/>
          <w:vertAlign w:val="superscript"/>
        </w:rPr>
        <w:t>b</w:t>
      </w:r>
      <w:r>
        <w:tab/>
        <w:t>Концерты и выступления, организованные только за собственный счет.</w:t>
      </w:r>
    </w:p>
    <w:p w:rsidR="00000000" w:rsidRDefault="00000000">
      <w:pPr>
        <w:spacing w:line="216" w:lineRule="auto"/>
      </w:pPr>
    </w:p>
    <w:p w:rsidR="00000000" w:rsidRDefault="00000000">
      <w:pPr>
        <w:spacing w:line="216" w:lineRule="auto"/>
      </w:pPr>
    </w:p>
    <w:p w:rsidR="00000000" w:rsidRDefault="00000000">
      <w:pPr>
        <w:pStyle w:val="Heading6"/>
        <w:rPr>
          <w:b w:val="0"/>
          <w:i/>
          <w:iCs/>
          <w:u w:val="none"/>
        </w:rPr>
      </w:pPr>
      <w:r>
        <w:rPr>
          <w:b w:val="0"/>
          <w:i/>
          <w:iCs/>
          <w:u w:val="none"/>
        </w:rPr>
        <w:t>Культура национальных меньшинств</w:t>
      </w:r>
    </w:p>
    <w:p w:rsidR="00000000" w:rsidRDefault="00000000">
      <w:pPr>
        <w:pStyle w:val="Heading6"/>
        <w:rPr>
          <w:b w:val="0"/>
          <w:u w:val="none"/>
        </w:rPr>
      </w:pPr>
    </w:p>
    <w:p w:rsidR="00000000" w:rsidRDefault="00000000">
      <w:pPr>
        <w:pStyle w:val="FootnoteText"/>
        <w:spacing w:line="288" w:lineRule="auto"/>
      </w:pPr>
      <w:r>
        <w:t>686.</w:t>
      </w:r>
      <w:r>
        <w:tab/>
        <w:t>Развитие культур меньшинств гарантировано Хартией и Рамочной конвенцией о защите национальных меньшинств.  Другие внутренние правовые акты не регламентируют сферу развития культур меньшинств.  Поддержка развития культур меньшинств оказывается главным образом министерством культуры и отдельными городами и муниципалитетами.  Эта поддержка в основном направляется на деятельность публичных библиотек, публикацию книг и других периодических изданий, театральную деятельность и организацию самодеятельных зрелищных мероприятий, включая выступления фольклорных ансамблей.  Министерство культуры оказывает поддержку в первую очередь национальным организациям меньшинств (гражданским ассоциациям).</w:t>
      </w:r>
    </w:p>
    <w:p w:rsidR="00000000" w:rsidRDefault="00000000">
      <w:pPr>
        <w:pStyle w:val="FootnoteText"/>
        <w:spacing w:line="288" w:lineRule="auto"/>
      </w:pPr>
    </w:p>
    <w:p w:rsidR="00000000" w:rsidRDefault="00000000">
      <w:pPr>
        <w:pStyle w:val="FootnoteText"/>
        <w:spacing w:line="288" w:lineRule="auto"/>
      </w:pPr>
      <w:r>
        <w:t>687.</w:t>
      </w:r>
      <w:r>
        <w:tab/>
        <w:t>В этих целях министерство культуры начиная с 1993 года ежегодно объявляет конкурс культурных проектов таких организаций, по результатам которого выбранные проекты получают субсидии из государственного бюджета ЧР.  Оценка и отбор производятся специальной консультативной группой, которая состоит из представителей меньшинств.  В рамках этого конкурса ежегодно производится оценка примерно 60 проектов.  В 1997 году министерство культуры потратило на поддержку этих проектов 9 111 000 чешских крон, а в 1998 году эта цифра составила 10 056 000 чешских крон</w:t>
      </w:r>
      <w:r>
        <w:rPr>
          <w:rStyle w:val="FootnoteReference"/>
        </w:rPr>
        <w:footnoteReference w:id="404"/>
      </w:r>
      <w:r>
        <w:t>.</w:t>
      </w:r>
    </w:p>
    <w:p w:rsidR="00000000" w:rsidRDefault="00000000">
      <w:pPr>
        <w:pStyle w:val="FootnoteText"/>
        <w:spacing w:line="288" w:lineRule="auto"/>
      </w:pPr>
    </w:p>
    <w:p w:rsidR="00000000" w:rsidRDefault="00000000">
      <w:pPr>
        <w:pStyle w:val="FootnoteText"/>
        <w:spacing w:line="288" w:lineRule="auto"/>
      </w:pPr>
      <w:r>
        <w:t>688.</w:t>
      </w:r>
      <w:r>
        <w:tab/>
        <w:t>Такая же работа проводится и городскими властями:  они на регулярной основе объявляют конкурсы для поддержки непрофессиональной культурной деятельности и проектов, в том числе проектов, предлагаемых гражданскими ассоциациями национальных меньшинств.</w:t>
      </w:r>
    </w:p>
    <w:p w:rsidR="00000000" w:rsidRDefault="00000000">
      <w:pPr>
        <w:pStyle w:val="FootnoteText"/>
        <w:spacing w:line="288" w:lineRule="auto"/>
      </w:pPr>
    </w:p>
    <w:p w:rsidR="00000000" w:rsidRDefault="00000000">
      <w:pPr>
        <w:pStyle w:val="FootnoteText"/>
        <w:spacing w:line="288" w:lineRule="auto"/>
      </w:pPr>
      <w:r>
        <w:t>689.</w:t>
      </w:r>
      <w:r>
        <w:tab/>
        <w:t>Периодические издания национальных меньшинств получают помощь от министерства финансов на основе рекомендации  и одобрения Государственного совета по делам национальных меньшинств в Чешской Республике.</w:t>
      </w:r>
    </w:p>
    <w:p w:rsidR="00000000" w:rsidRDefault="00000000">
      <w:pPr>
        <w:pStyle w:val="FootnoteText"/>
        <w:spacing w:line="288" w:lineRule="auto"/>
      </w:pPr>
    </w:p>
    <w:p w:rsidR="00000000" w:rsidRDefault="00000000">
      <w:pPr>
        <w:pStyle w:val="FootnoteText"/>
        <w:spacing w:line="288" w:lineRule="auto"/>
        <w:rPr>
          <w:i/>
          <w:iCs/>
        </w:rPr>
      </w:pPr>
      <w:r>
        <w:rPr>
          <w:i/>
          <w:iCs/>
        </w:rPr>
        <w:t>Инвалиды</w:t>
      </w:r>
    </w:p>
    <w:p w:rsidR="00000000" w:rsidRDefault="00000000">
      <w:pPr>
        <w:pStyle w:val="FootnoteText"/>
        <w:spacing w:line="288" w:lineRule="auto"/>
      </w:pPr>
    </w:p>
    <w:p w:rsidR="00000000" w:rsidRDefault="00000000">
      <w:pPr>
        <w:pStyle w:val="FootnoteText"/>
        <w:spacing w:line="288" w:lineRule="auto"/>
      </w:pPr>
      <w:r>
        <w:t>690.</w:t>
      </w:r>
      <w:r>
        <w:tab/>
        <w:t>Чешская Республика демонстрирует исключительную заинтересованность в развитии культурной деятельности своих граждан-инвалидов, поскольку их участие в ней является важным механизмом преодоления их социального отчуждения.  В то же время эта деятельность является важным компонентом терапии.  Доля лиц с той или иной формой инвалидности составляет примерно 10% общей численности населения.</w:t>
      </w:r>
    </w:p>
    <w:p w:rsidR="00000000" w:rsidRDefault="00000000">
      <w:pPr>
        <w:pStyle w:val="FootnoteText"/>
        <w:spacing w:line="288" w:lineRule="auto"/>
      </w:pPr>
    </w:p>
    <w:p w:rsidR="00000000" w:rsidRDefault="00000000">
      <w:pPr>
        <w:pStyle w:val="FootnoteText"/>
        <w:spacing w:line="288" w:lineRule="auto"/>
      </w:pPr>
      <w:r>
        <w:t>691.</w:t>
      </w:r>
      <w:r>
        <w:tab/>
        <w:t>С этой целью правительство утвердило Национальный план обеспечения равенства возможностей для граждан-инвалидов.  В рамках этого плана министерство культуры предоставляет свою помощь по двум основным направлениям:  помощь в техническом обеспечении доступности культурных учреждений для лиц с ограниченной подвижностью и поддержка собственной деятельности инвалидов в области культуры.</w:t>
      </w:r>
    </w:p>
    <w:p w:rsidR="00000000" w:rsidRDefault="00000000">
      <w:pPr>
        <w:pStyle w:val="FootnoteText"/>
        <w:spacing w:line="288" w:lineRule="auto"/>
      </w:pPr>
    </w:p>
    <w:p w:rsidR="00000000" w:rsidRDefault="00000000">
      <w:pPr>
        <w:pStyle w:val="FootnoteText"/>
        <w:spacing w:line="288" w:lineRule="auto"/>
      </w:pPr>
      <w:r>
        <w:t>692.</w:t>
      </w:r>
      <w:r>
        <w:tab/>
        <w:t>В 1997 году министерство культуры потратило 5 670 000 чешских крон на осуществление примерно 80 проектов;  в 1998 году эта сумма составила 4 814 000 чешских крон примерно на такое же число проектов.  Средства, поступающие на эти цели из бюджета министерства культуры, дополняют материальную помощь, выделяемую городами, муниципалитетами и частными спонсорами.</w:t>
      </w:r>
    </w:p>
    <w:p w:rsidR="00000000" w:rsidRDefault="00000000">
      <w:pPr>
        <w:pStyle w:val="FootnoteText"/>
        <w:spacing w:line="288" w:lineRule="auto"/>
      </w:pPr>
    </w:p>
    <w:p w:rsidR="00000000" w:rsidRDefault="00000000">
      <w:pPr>
        <w:pStyle w:val="FootnoteText"/>
        <w:spacing w:line="288" w:lineRule="auto"/>
        <w:rPr>
          <w:i/>
          <w:iCs/>
        </w:rPr>
      </w:pPr>
      <w:r>
        <w:rPr>
          <w:i/>
          <w:iCs/>
        </w:rPr>
        <w:t>Культурное наследие</w:t>
      </w:r>
    </w:p>
    <w:p w:rsidR="00000000" w:rsidRDefault="00000000">
      <w:pPr>
        <w:pStyle w:val="FootnoteText"/>
        <w:spacing w:line="288" w:lineRule="auto"/>
        <w:rPr>
          <w:i/>
          <w:iCs/>
        </w:rPr>
      </w:pPr>
    </w:p>
    <w:p w:rsidR="00000000" w:rsidRDefault="00000000">
      <w:pPr>
        <w:pStyle w:val="FootnoteText"/>
        <w:spacing w:line="288" w:lineRule="auto"/>
      </w:pPr>
      <w:r>
        <w:t>693.</w:t>
      </w:r>
      <w:r>
        <w:tab/>
        <w:t>Культурное наследие является частью культурного богатства.  На практике в Чешской Республике проводится разграничение между охраной объектов, архитектурных ансамблей или сооружений, составляющих культурное богатство, и охраной культурных памятников, предметов, имеющих ценность с точки зрения культуры, и документов.</w:t>
      </w:r>
    </w:p>
    <w:p w:rsidR="00000000" w:rsidRDefault="00000000">
      <w:pPr>
        <w:pStyle w:val="FootnoteText"/>
        <w:spacing w:line="288" w:lineRule="auto"/>
      </w:pPr>
    </w:p>
    <w:p w:rsidR="00000000" w:rsidRDefault="00000000">
      <w:r>
        <w:t>694.</w:t>
      </w:r>
      <w:r>
        <w:tab/>
        <w:t>Охрана культурных памятников, которые являются наиболее ценной частью культурного наследия, обеспечивается специальными законами.  Они также определяют уровень государственного административного органа, несущего ответственность за эту часть культурного наследия и обеспечивающего обновление, ремонт или реконструкцию культурных памятников в целях сохранения их культурной ценности</w:t>
      </w:r>
      <w:r>
        <w:rPr>
          <w:rStyle w:val="FootnoteReference"/>
        </w:rPr>
        <w:footnoteReference w:id="405"/>
      </w:r>
      <w:r>
        <w:t>.  Для этого в системе государственного управления существует сеть экспертных (научных) учреждений, созданных министерством культуры (учреждения по охране историко-культурного наследия), которые представляют соответствующим государственным административным органам свои экспертные рекомендации и мнения относительно выдачи разрешений на охрану, ремонт или реконструкцию памятников.  Кроме того, эти экспертные организации безвозмездно представляют свои рекомендации и мнения инвесторам.  Министерство культуры создало восемь таких организаций, сфера полномочий которых ограничена их соответствующими территориями.</w:t>
      </w:r>
    </w:p>
    <w:p w:rsidR="00000000" w:rsidRDefault="00000000"/>
    <w:p w:rsidR="00000000" w:rsidRDefault="00000000">
      <w:r>
        <w:t>695.</w:t>
      </w:r>
      <w:r>
        <w:tab/>
        <w:t>Кроме того, охраной историко-культурного наследия занимаются организации, управляющие некоторыми зданиями, которые были объявлены культурными памятниками и доступны для публичных посещений.  Эти организации занимаются управлением и содержанием 70 зданий, включая замки и дворцы, а также охраной экспозиций и предметов мебели, которые хранятся в них.  Кроме того, министерство культуры учредило три других независимых организации по управлению замками и дворцами, которые занимаются вопросами содержания других зданий.</w:t>
      </w:r>
    </w:p>
    <w:p w:rsidR="00000000" w:rsidRDefault="00000000"/>
    <w:p w:rsidR="00000000" w:rsidRDefault="00000000">
      <w:r>
        <w:t>696.</w:t>
      </w:r>
      <w:r>
        <w:tab/>
        <w:t>Помимо вышеупомянутых организаций, министерство также учредило три института для охраны археологических объектов и Государственный институт по охране исторических памятников, который является центральной экспертной организацией, руководящей всеми другими (региональными) учреждениями по охране историко-культурного наследия и археологическими институтами.  По поручению министерства он также ведет централизованный реестр памятников и готовит для министерства специальные материалы, касающиеся планирования.</w:t>
      </w:r>
    </w:p>
    <w:p w:rsidR="00000000" w:rsidRDefault="00000000"/>
    <w:p w:rsidR="00000000" w:rsidRDefault="00000000">
      <w:r>
        <w:t>697.</w:t>
      </w:r>
      <w:r>
        <w:tab/>
        <w:t>В области охраны культурного наследия действуют также некоторые другие экспертные организации, которые не были созданы министерством культуры.  Прежде всего речь идет об Археологическом институте Академии наук Чешской Республики, который проводит основные археологические исследования (археологические институты, созданные министерством культуры, в основном занимаются исследованиями для проведения так называемых "операций спасения" культурных ценностей в местах, где была начата инвестиционная деятельность).</w:t>
      </w:r>
    </w:p>
    <w:p w:rsidR="00000000" w:rsidRDefault="00000000"/>
    <w:p w:rsidR="00000000" w:rsidRDefault="00000000">
      <w:r>
        <w:t>698.</w:t>
      </w:r>
      <w:r>
        <w:tab/>
        <w:t xml:space="preserve">Что касается финансирования охраны культурных памятников, то главная ответственность за финансирование возлагается на их владельцев.  Однако государство может содействовать покрытию растущих расходов на обновление культурных памятников, как правило, внося до 50% необходимой суммы, а в случае национальных культурных памятников (категория наиболее важных памятников, которые объявлены национальными памятниками специальным постановлением правительства Чешской Республики) - до 100%. </w:t>
      </w:r>
    </w:p>
    <w:p w:rsidR="00000000" w:rsidRDefault="00000000"/>
    <w:p w:rsidR="00000000" w:rsidRDefault="00000000">
      <w:r>
        <w:t>699.</w:t>
      </w:r>
      <w:r>
        <w:tab/>
        <w:t xml:space="preserve">Для оказания такой финансовой помощи министерство культуры разработало ряд программ, которые осуществляются на основе принципа финансирования из многих источников.  Однако субъект, осуществляющий реконструкцию, не обладает автоматическим правом на получение средств по линии этих программ.  Эти программы, в частности, включают следующее:  </w:t>
      </w:r>
    </w:p>
    <w:p w:rsidR="00000000" w:rsidRDefault="00000000"/>
    <w:p w:rsidR="00000000" w:rsidRDefault="00000000">
      <w:pPr>
        <w:pStyle w:val="BodyTextIndent3"/>
      </w:pPr>
      <w:r>
        <w:t>-</w:t>
      </w:r>
      <w:r>
        <w:tab/>
        <w:t>Программу спасения архитектурного наследия (цель которой состоит в оказании помощи в обновлении и реконструкции отдельных зданий);</w:t>
      </w:r>
    </w:p>
    <w:p w:rsidR="00000000" w:rsidRDefault="00000000">
      <w:pPr>
        <w:ind w:left="567" w:hanging="567"/>
      </w:pPr>
    </w:p>
    <w:p w:rsidR="00000000" w:rsidRDefault="00000000">
      <w:pPr>
        <w:pStyle w:val="BodyTextIndent3"/>
      </w:pPr>
      <w:r>
        <w:t>-</w:t>
      </w:r>
      <w:r>
        <w:tab/>
        <w:t>Программу обновления культовых сооружений, являющихся культурными памятниками (цель которой состоит в частичной компенсации расходов по обновлению религиозных культурных памятников, в число которых входят как культовые сооружения, так и предметы культа, находящиеся во владении зарегистрированных религиозных организаций и обществ);</w:t>
      </w:r>
    </w:p>
    <w:p w:rsidR="00000000" w:rsidRDefault="00000000">
      <w:pPr>
        <w:ind w:left="567" w:hanging="567"/>
      </w:pPr>
    </w:p>
    <w:p w:rsidR="00000000" w:rsidRDefault="00000000">
      <w:pPr>
        <w:ind w:left="1134" w:hanging="567"/>
      </w:pPr>
      <w:r>
        <w:t>-</w:t>
      </w:r>
      <w:r>
        <w:tab/>
        <w:t>Программу восстановления находящихся под охраной исторических городских районов и зон (цель которой состоит в предоставлении приоритетной помощи городам в деле спасения и реконструкции исторических районов, объявленных охраняемыми зонами);</w:t>
      </w:r>
    </w:p>
    <w:p w:rsidR="00000000" w:rsidRDefault="00000000">
      <w:pPr>
        <w:ind w:left="1134" w:hanging="567"/>
      </w:pPr>
    </w:p>
    <w:p w:rsidR="00000000" w:rsidRDefault="00000000">
      <w:pPr>
        <w:ind w:left="1134" w:hanging="567"/>
      </w:pPr>
      <w:r>
        <w:t>-</w:t>
      </w:r>
      <w:r>
        <w:tab/>
        <w:t>Программу поддержки археологических исследований по спасению культурных ценностей;</w:t>
      </w:r>
    </w:p>
    <w:p w:rsidR="00000000" w:rsidRDefault="00000000">
      <w:pPr>
        <w:ind w:left="1134" w:hanging="567"/>
      </w:pPr>
    </w:p>
    <w:p w:rsidR="00000000" w:rsidRDefault="00000000">
      <w:pPr>
        <w:ind w:left="1134" w:hanging="567"/>
      </w:pPr>
      <w:r>
        <w:t>-</w:t>
      </w:r>
      <w:r>
        <w:tab/>
        <w:t>Программу реставрации культурных монументальных объектов, а также ряд других программ.</w:t>
      </w:r>
    </w:p>
    <w:p w:rsidR="00000000" w:rsidRDefault="00000000">
      <w:pPr>
        <w:ind w:left="567" w:hanging="567"/>
      </w:pPr>
    </w:p>
    <w:p w:rsidR="00000000" w:rsidRDefault="00000000">
      <w:r>
        <w:t>700.</w:t>
      </w:r>
      <w:r>
        <w:tab/>
        <w:t>Понятие "предметы, имеющие культурную ценность", является сравнительно новым, поскольку оно впервые получило свое юридическое определение в 1994 году в Законе о продаже и экспорте предметов, имеющих культурную ценность</w:t>
      </w:r>
      <w:r>
        <w:rPr>
          <w:rStyle w:val="FootnoteReference"/>
        </w:rPr>
        <w:footnoteReference w:id="406"/>
      </w:r>
      <w:r>
        <w:t xml:space="preserve">, цель которого состояла в том, чтобы оградить от посягательств преступников предметы культуры, которые не были объявлены культурными памятниками, но имеют культурную ценность.  В этом Законе содержится перечисление видов предметов, на которые распространяется его действие и вывоз которых за рубеж регламентируется специальным режимом.  Предметы, которые министерство культуры объявило культурными памятниками, вообще не могут вывозиться за рубеж навсегда.  Однако они могут покидать территорию страны на определенный период, если министерство культуры непосредственно дает на это согласие.  </w:t>
      </w:r>
    </w:p>
    <w:p w:rsidR="00000000" w:rsidRDefault="00000000"/>
    <w:p w:rsidR="00000000" w:rsidRDefault="00000000">
      <w:r>
        <w:t>701.</w:t>
      </w:r>
      <w:r>
        <w:tab/>
        <w:t xml:space="preserve">Вне рамок этого Закона государственные административные органы не располагают какими-либо иными средствами для контроля за вывозом ценных культурных предметов за рубеж, за исключением предметов, являющихся частью государственных экспозиций в музеях, памятниках и галереях, библиотеках (ценные рукописи, инкунабулы и т.п.) или архивах.  В их отношении действует режим охраны, предусмотренный в специальных правовых нормах, регламентирующих деятельность музеев и галерей, публичных библиотек и архивов. </w:t>
      </w:r>
    </w:p>
    <w:p w:rsidR="00000000" w:rsidRDefault="00000000"/>
    <w:p w:rsidR="00000000" w:rsidRDefault="00000000">
      <w:r>
        <w:t>702.</w:t>
      </w:r>
      <w:r>
        <w:tab/>
        <w:t>Третьей категорией предметов, являющихся частью культурного наследия, являются документы.  Их охрана предусмотрена специальным Законом об архивах.  Наиболее важные государственные документы хранятся в государственных архивах, находящихся в ведении министерства внутренних дел, за исключением таких специальных архивов, как Национальный архив кинематографии, находящийся в ведении министерства культуры, или Национального литературного архива (национального архива литературных памятников), который обеспечивает сохранность и доступность для общественности (среди прочего) собраний рукописей произведений, корреспонденции и других литературных материалов, которые оставили после себя известные чешские писатели.</w:t>
      </w:r>
    </w:p>
    <w:p w:rsidR="00000000" w:rsidRDefault="00000000"/>
    <w:p w:rsidR="00000000" w:rsidRDefault="00000000">
      <w:r>
        <w:t>703.</w:t>
      </w:r>
      <w:r>
        <w:tab/>
        <w:t>Что касается охраны  в Чешской Республике так называемого нематериального культурного наследия, в которое входят главным образом элементы традиционной народной культуры, в частности фольклор, песни, танцы, технические приемы народных ремесел и т.п., то такая охрана не предусмотрена какими-либо специальными правовыми нормами.  Однако к этим элементам культуры в соответствующих случаях могут применяться законы о защите прав интеллектуальной собственности.</w:t>
      </w:r>
    </w:p>
    <w:p w:rsidR="00000000" w:rsidRDefault="00000000">
      <w:pPr>
        <w:spacing w:line="240" w:lineRule="auto"/>
      </w:pPr>
    </w:p>
    <w:p w:rsidR="00000000" w:rsidRDefault="00000000">
      <w:pPr>
        <w:pStyle w:val="Heading1"/>
        <w:spacing w:line="240" w:lineRule="auto"/>
        <w:rPr>
          <w:bCs/>
        </w:rPr>
      </w:pPr>
      <w:r>
        <w:rPr>
          <w:bCs/>
        </w:rPr>
        <w:t>Право пользоваться результатами научного прогресса</w:t>
      </w:r>
    </w:p>
    <w:p w:rsidR="00000000" w:rsidRDefault="00000000">
      <w:pPr>
        <w:pStyle w:val="Heading1"/>
        <w:spacing w:line="240" w:lineRule="auto"/>
        <w:rPr>
          <w:bCs/>
        </w:rPr>
      </w:pPr>
    </w:p>
    <w:p w:rsidR="00000000" w:rsidRDefault="00000000">
      <w:r>
        <w:t>704.</w:t>
      </w:r>
      <w:r>
        <w:tab/>
        <w:t>Одним из важных методов распространения информации и осуществления права пользоваться результатами научного прогресса является периодическое включение новой информации в школьные учебные планы.  Министерство образования, по делам молодежи и спорта на основе своих полномочий руководить учебными заведениями в вопросах воспитания и образования (закрепленных в разделе 12 Закона о государственном управлении и самоуправлении в области образования) и на основе раздела 39 Закона об учебных заведениях утверждает учебные планы и методики преподавания, которые применяются в начальных, средних и послесредних профессиональных учебных заведениях.  В связи с этим министерство образования следит за тем, чтобы в изложении отдельных дисциплин, преподаваемых по учебному плану, были отражены и доводились до сведения детей самые последние результаты научного прогресса.</w:t>
      </w:r>
    </w:p>
    <w:p w:rsidR="00000000" w:rsidRDefault="00000000"/>
    <w:p w:rsidR="00000000" w:rsidRDefault="00000000">
      <w:r>
        <w:t>705.</w:t>
      </w:r>
      <w:r>
        <w:tab/>
        <w:t>Цели и содержание образования, которые должны излагаться в учебных планах и методиках преподавания или иных педагогических документах в качестве основного материала, предусмотрены в нормах, регламентирующих функционирование учебных заведений разных уровней и видов.  Они включают:</w:t>
      </w:r>
    </w:p>
    <w:p w:rsidR="00000000" w:rsidRDefault="00000000">
      <w:pPr>
        <w:spacing w:line="216" w:lineRule="auto"/>
      </w:pPr>
    </w:p>
    <w:p w:rsidR="00000000" w:rsidRDefault="00000000">
      <w:r>
        <w:tab/>
        <w:t>а)</w:t>
      </w:r>
      <w:r>
        <w:tab/>
        <w:t>нормативы начального образования;</w:t>
      </w:r>
    </w:p>
    <w:p w:rsidR="00000000" w:rsidRDefault="00000000">
      <w:r>
        <w:tab/>
      </w:r>
      <w:r>
        <w:rPr>
          <w:lang w:val="en-US"/>
        </w:rPr>
        <w:t>b</w:t>
      </w:r>
      <w:r>
        <w:t>)</w:t>
      </w:r>
      <w:r>
        <w:tab/>
        <w:t>нормативы образования в четырехлетней академической средней школе;</w:t>
      </w:r>
    </w:p>
    <w:p w:rsidR="00000000" w:rsidRDefault="00000000">
      <w:r>
        <w:tab/>
      </w:r>
      <w:r>
        <w:rPr>
          <w:lang w:val="en-US"/>
        </w:rPr>
        <w:t>c</w:t>
      </w:r>
      <w:r>
        <w:t>)</w:t>
      </w:r>
      <w:r>
        <w:tab/>
        <w:t>нормативы для среднего профессионального образования</w:t>
      </w:r>
      <w:r>
        <w:rPr>
          <w:rStyle w:val="FootnoteReference"/>
        </w:rPr>
        <w:footnoteReference w:id="407"/>
      </w:r>
      <w:r>
        <w:t>.</w:t>
      </w:r>
    </w:p>
    <w:p w:rsidR="00000000" w:rsidRDefault="00000000"/>
    <w:p w:rsidR="00000000" w:rsidRDefault="00000000">
      <w:pPr>
        <w:spacing w:line="264" w:lineRule="auto"/>
      </w:pPr>
      <w:r>
        <w:t>706.</w:t>
      </w:r>
      <w:r>
        <w:tab/>
        <w:t>Кроме того, материалы курса начального образования используются в младших классах многолетней академической средней школы (с восьмилетним или шестилетним циклом обучения), в которых учащиеся завершают период обязательного образования и получают начальное образование.  Соблюдение этого требования в учебниках и учебных материалах отмечается в инструкциях об утверждении отдельных учебников (особенно для начального и среднего образования), которые издаются министерством образования на основе оценки экспертов.</w:t>
      </w:r>
    </w:p>
    <w:p w:rsidR="00000000" w:rsidRDefault="00000000">
      <w:pPr>
        <w:spacing w:line="264" w:lineRule="auto"/>
      </w:pPr>
    </w:p>
    <w:p w:rsidR="00000000" w:rsidRDefault="00000000">
      <w:pPr>
        <w:spacing w:line="264" w:lineRule="auto"/>
      </w:pPr>
      <w:r>
        <w:t>707.</w:t>
      </w:r>
      <w:r>
        <w:tab/>
        <w:t>Государственное телевидение также играет важную роль в информировании общественности о достижениях научного прогресса, особенно в программах новостей, при освещении текущих событий, а также в документальных, просветительских и информационных программах.</w:t>
      </w:r>
    </w:p>
    <w:p w:rsidR="00000000" w:rsidRDefault="00000000">
      <w:pPr>
        <w:pStyle w:val="FootnoteText"/>
      </w:pPr>
    </w:p>
    <w:p w:rsidR="00000000" w:rsidRDefault="00000000">
      <w:pPr>
        <w:pStyle w:val="Heading1"/>
        <w:spacing w:line="240" w:lineRule="auto"/>
        <w:jc w:val="center"/>
        <w:rPr>
          <w:b w:val="0"/>
        </w:rPr>
      </w:pPr>
      <w:r>
        <w:rPr>
          <w:bCs/>
        </w:rPr>
        <w:t>Структура государственного телевещания (в %)</w:t>
      </w:r>
    </w:p>
    <w:p w:rsidR="00000000" w:rsidRDefault="00000000">
      <w:pPr>
        <w:pStyle w:val="Footnote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2"/>
        <w:gridCol w:w="935"/>
        <w:gridCol w:w="935"/>
        <w:gridCol w:w="797"/>
        <w:gridCol w:w="886"/>
        <w:gridCol w:w="935"/>
        <w:gridCol w:w="861"/>
      </w:tblGrid>
      <w:tr w:rsidR="00000000">
        <w:tblPrEx>
          <w:tblCellMar>
            <w:top w:w="0" w:type="dxa"/>
            <w:bottom w:w="0" w:type="dxa"/>
          </w:tblCellMar>
        </w:tblPrEx>
        <w:tc>
          <w:tcPr>
            <w:tcW w:w="4222" w:type="dxa"/>
            <w:tcBorders>
              <w:left w:val="single" w:sz="4" w:space="0" w:color="auto"/>
              <w:bottom w:val="single" w:sz="4" w:space="0" w:color="auto"/>
              <w:right w:val="single" w:sz="4" w:space="0" w:color="auto"/>
            </w:tcBorders>
          </w:tcPr>
          <w:p w:rsidR="00000000" w:rsidRDefault="00000000">
            <w:pPr>
              <w:spacing w:line="240" w:lineRule="auto"/>
              <w:jc w:val="center"/>
            </w:pPr>
          </w:p>
        </w:tc>
        <w:tc>
          <w:tcPr>
            <w:tcW w:w="935" w:type="dxa"/>
            <w:tcBorders>
              <w:left w:val="single" w:sz="4" w:space="0" w:color="auto"/>
              <w:bottom w:val="single" w:sz="4" w:space="0" w:color="auto"/>
              <w:right w:val="single" w:sz="4" w:space="0" w:color="auto"/>
            </w:tcBorders>
          </w:tcPr>
          <w:p w:rsidR="00000000" w:rsidRDefault="00000000">
            <w:pPr>
              <w:spacing w:line="240" w:lineRule="auto"/>
              <w:jc w:val="center"/>
            </w:pPr>
            <w:r>
              <w:t>1993</w:t>
            </w:r>
          </w:p>
        </w:tc>
        <w:tc>
          <w:tcPr>
            <w:tcW w:w="935" w:type="dxa"/>
            <w:tcBorders>
              <w:left w:val="single" w:sz="4" w:space="0" w:color="auto"/>
              <w:bottom w:val="single" w:sz="4" w:space="0" w:color="auto"/>
              <w:right w:val="single" w:sz="4" w:space="0" w:color="auto"/>
            </w:tcBorders>
          </w:tcPr>
          <w:p w:rsidR="00000000" w:rsidRDefault="00000000">
            <w:pPr>
              <w:spacing w:line="240" w:lineRule="auto"/>
              <w:jc w:val="center"/>
            </w:pPr>
            <w:r>
              <w:t>1994</w:t>
            </w:r>
          </w:p>
        </w:tc>
        <w:tc>
          <w:tcPr>
            <w:tcW w:w="797" w:type="dxa"/>
            <w:tcBorders>
              <w:left w:val="single" w:sz="4" w:space="0" w:color="auto"/>
              <w:bottom w:val="single" w:sz="4" w:space="0" w:color="auto"/>
              <w:right w:val="single" w:sz="4" w:space="0" w:color="auto"/>
            </w:tcBorders>
          </w:tcPr>
          <w:p w:rsidR="00000000" w:rsidRDefault="00000000">
            <w:pPr>
              <w:spacing w:line="240" w:lineRule="auto"/>
              <w:jc w:val="center"/>
            </w:pPr>
            <w:r>
              <w:t>1995</w:t>
            </w:r>
          </w:p>
        </w:tc>
        <w:tc>
          <w:tcPr>
            <w:tcW w:w="886" w:type="dxa"/>
            <w:tcBorders>
              <w:left w:val="single" w:sz="4" w:space="0" w:color="auto"/>
              <w:bottom w:val="single" w:sz="4" w:space="0" w:color="auto"/>
              <w:right w:val="single" w:sz="4" w:space="0" w:color="auto"/>
            </w:tcBorders>
          </w:tcPr>
          <w:p w:rsidR="00000000" w:rsidRDefault="00000000">
            <w:pPr>
              <w:spacing w:line="240" w:lineRule="auto"/>
              <w:jc w:val="center"/>
            </w:pPr>
            <w:r>
              <w:t>1996</w:t>
            </w:r>
          </w:p>
        </w:tc>
        <w:tc>
          <w:tcPr>
            <w:tcW w:w="935" w:type="dxa"/>
            <w:tcBorders>
              <w:left w:val="single" w:sz="4" w:space="0" w:color="auto"/>
              <w:bottom w:val="single" w:sz="4" w:space="0" w:color="auto"/>
              <w:right w:val="single" w:sz="4" w:space="0" w:color="auto"/>
            </w:tcBorders>
          </w:tcPr>
          <w:p w:rsidR="00000000" w:rsidRDefault="00000000">
            <w:pPr>
              <w:spacing w:line="240" w:lineRule="auto"/>
              <w:jc w:val="center"/>
            </w:pPr>
            <w:r>
              <w:t>1997</w:t>
            </w:r>
          </w:p>
        </w:tc>
        <w:tc>
          <w:tcPr>
            <w:tcW w:w="861" w:type="dxa"/>
            <w:tcBorders>
              <w:left w:val="single" w:sz="4" w:space="0" w:color="auto"/>
              <w:bottom w:val="single" w:sz="4" w:space="0" w:color="auto"/>
              <w:right w:val="single" w:sz="4" w:space="0" w:color="auto"/>
            </w:tcBorders>
          </w:tcPr>
          <w:p w:rsidR="00000000" w:rsidRDefault="00000000">
            <w:pPr>
              <w:spacing w:line="240" w:lineRule="auto"/>
              <w:jc w:val="center"/>
            </w:pPr>
            <w:r>
              <w:t>1998</w:t>
            </w:r>
          </w:p>
        </w:tc>
      </w:tr>
      <w:tr w:rsidR="00000000">
        <w:tblPrEx>
          <w:tblCellMar>
            <w:top w:w="0" w:type="dxa"/>
            <w:bottom w:w="0" w:type="dxa"/>
          </w:tblCellMar>
        </w:tblPrEx>
        <w:tc>
          <w:tcPr>
            <w:tcW w:w="4222" w:type="dxa"/>
            <w:tcBorders>
              <w:left w:val="single" w:sz="4" w:space="0" w:color="auto"/>
              <w:bottom w:val="nil"/>
              <w:right w:val="single" w:sz="4" w:space="0" w:color="auto"/>
            </w:tcBorders>
          </w:tcPr>
          <w:p w:rsidR="00000000" w:rsidRDefault="00000000">
            <w:pPr>
              <w:pStyle w:val="FootnoteText"/>
              <w:spacing w:line="216" w:lineRule="auto"/>
            </w:pPr>
            <w:r>
              <w:t>Общее время телевещания</w:t>
            </w:r>
          </w:p>
        </w:tc>
        <w:tc>
          <w:tcPr>
            <w:tcW w:w="935" w:type="dxa"/>
            <w:tcBorders>
              <w:left w:val="single" w:sz="4" w:space="0" w:color="auto"/>
              <w:bottom w:val="nil"/>
              <w:right w:val="single" w:sz="4" w:space="0" w:color="auto"/>
            </w:tcBorders>
          </w:tcPr>
          <w:p w:rsidR="00000000" w:rsidRDefault="00000000">
            <w:pPr>
              <w:tabs>
                <w:tab w:val="clear" w:pos="567"/>
              </w:tabs>
              <w:spacing w:line="216" w:lineRule="auto"/>
              <w:ind w:left="-295" w:right="194"/>
              <w:jc w:val="right"/>
            </w:pPr>
            <w:r>
              <w:t>100,0</w:t>
            </w:r>
          </w:p>
        </w:tc>
        <w:tc>
          <w:tcPr>
            <w:tcW w:w="935" w:type="dxa"/>
            <w:tcBorders>
              <w:left w:val="single" w:sz="4" w:space="0" w:color="auto"/>
              <w:bottom w:val="nil"/>
              <w:right w:val="single" w:sz="4" w:space="0" w:color="auto"/>
            </w:tcBorders>
          </w:tcPr>
          <w:p w:rsidR="00000000" w:rsidRDefault="00000000">
            <w:pPr>
              <w:tabs>
                <w:tab w:val="clear" w:pos="567"/>
              </w:tabs>
              <w:spacing w:line="216" w:lineRule="auto"/>
              <w:ind w:left="-295" w:right="194"/>
              <w:jc w:val="right"/>
            </w:pPr>
            <w:r>
              <w:t>100,0</w:t>
            </w:r>
          </w:p>
        </w:tc>
        <w:tc>
          <w:tcPr>
            <w:tcW w:w="797" w:type="dxa"/>
            <w:tcBorders>
              <w:left w:val="single" w:sz="4" w:space="0" w:color="auto"/>
              <w:bottom w:val="nil"/>
              <w:right w:val="single" w:sz="4" w:space="0" w:color="auto"/>
            </w:tcBorders>
          </w:tcPr>
          <w:p w:rsidR="00000000" w:rsidRDefault="00000000">
            <w:pPr>
              <w:tabs>
                <w:tab w:val="clear" w:pos="567"/>
              </w:tabs>
              <w:spacing w:line="216" w:lineRule="auto"/>
              <w:ind w:left="-482"/>
              <w:jc w:val="right"/>
            </w:pPr>
            <w:r>
              <w:t>100,0</w:t>
            </w:r>
          </w:p>
        </w:tc>
        <w:tc>
          <w:tcPr>
            <w:tcW w:w="886" w:type="dxa"/>
            <w:tcBorders>
              <w:left w:val="single" w:sz="4" w:space="0" w:color="auto"/>
              <w:bottom w:val="nil"/>
              <w:right w:val="single" w:sz="4" w:space="0" w:color="auto"/>
            </w:tcBorders>
          </w:tcPr>
          <w:p w:rsidR="00000000" w:rsidRDefault="00000000">
            <w:pPr>
              <w:tabs>
                <w:tab w:val="clear" w:pos="567"/>
              </w:tabs>
              <w:spacing w:line="216" w:lineRule="auto"/>
              <w:ind w:left="-295"/>
              <w:jc w:val="right"/>
            </w:pPr>
            <w:r>
              <w:t>100,0</w:t>
            </w:r>
          </w:p>
        </w:tc>
        <w:tc>
          <w:tcPr>
            <w:tcW w:w="935" w:type="dxa"/>
            <w:tcBorders>
              <w:left w:val="single" w:sz="4" w:space="0" w:color="auto"/>
              <w:bottom w:val="nil"/>
              <w:right w:val="single" w:sz="4" w:space="0" w:color="auto"/>
            </w:tcBorders>
          </w:tcPr>
          <w:p w:rsidR="00000000" w:rsidRDefault="00000000">
            <w:pPr>
              <w:tabs>
                <w:tab w:val="clear" w:pos="567"/>
              </w:tabs>
              <w:spacing w:line="216" w:lineRule="auto"/>
              <w:ind w:left="-295"/>
              <w:jc w:val="right"/>
            </w:pPr>
            <w:r>
              <w:t>100,0</w:t>
            </w:r>
          </w:p>
        </w:tc>
        <w:tc>
          <w:tcPr>
            <w:tcW w:w="861" w:type="dxa"/>
            <w:tcBorders>
              <w:left w:val="single" w:sz="4" w:space="0" w:color="auto"/>
              <w:bottom w:val="nil"/>
              <w:right w:val="single" w:sz="4" w:space="0" w:color="auto"/>
            </w:tcBorders>
          </w:tcPr>
          <w:p w:rsidR="00000000" w:rsidRDefault="00000000">
            <w:pPr>
              <w:tabs>
                <w:tab w:val="clear" w:pos="567"/>
              </w:tabs>
              <w:spacing w:line="216" w:lineRule="auto"/>
              <w:ind w:left="-295"/>
              <w:jc w:val="right"/>
            </w:pPr>
            <w:r>
              <w:t>100,0</w:t>
            </w:r>
          </w:p>
        </w:tc>
      </w:tr>
      <w:tr w:rsidR="00000000">
        <w:tblPrEx>
          <w:tblCellMar>
            <w:top w:w="0" w:type="dxa"/>
            <w:bottom w:w="0" w:type="dxa"/>
          </w:tblCellMar>
        </w:tblPrEx>
        <w:tc>
          <w:tcPr>
            <w:tcW w:w="4222" w:type="dxa"/>
            <w:tcBorders>
              <w:top w:val="nil"/>
              <w:left w:val="single" w:sz="4" w:space="0" w:color="auto"/>
              <w:bottom w:val="nil"/>
              <w:right w:val="single" w:sz="4" w:space="0" w:color="auto"/>
            </w:tcBorders>
          </w:tcPr>
          <w:p w:rsidR="00000000" w:rsidRDefault="00000000">
            <w:pPr>
              <w:spacing w:line="216" w:lineRule="auto"/>
            </w:pPr>
            <w:r>
              <w:t>в разбивке по следующим видам программ:</w:t>
            </w:r>
          </w:p>
        </w:tc>
        <w:tc>
          <w:tcPr>
            <w:tcW w:w="935" w:type="dxa"/>
            <w:tcBorders>
              <w:top w:val="nil"/>
              <w:left w:val="single" w:sz="4" w:space="0" w:color="auto"/>
              <w:bottom w:val="nil"/>
              <w:right w:val="single" w:sz="4" w:space="0" w:color="auto"/>
            </w:tcBorders>
          </w:tcPr>
          <w:p w:rsidR="00000000" w:rsidRDefault="00000000">
            <w:pPr>
              <w:tabs>
                <w:tab w:val="clear" w:pos="567"/>
              </w:tabs>
              <w:spacing w:line="216" w:lineRule="auto"/>
              <w:ind w:left="-295" w:right="194"/>
              <w:jc w:val="right"/>
            </w:pPr>
          </w:p>
        </w:tc>
        <w:tc>
          <w:tcPr>
            <w:tcW w:w="935" w:type="dxa"/>
            <w:tcBorders>
              <w:top w:val="nil"/>
              <w:left w:val="single" w:sz="4" w:space="0" w:color="auto"/>
              <w:bottom w:val="nil"/>
              <w:right w:val="single" w:sz="4" w:space="0" w:color="auto"/>
            </w:tcBorders>
          </w:tcPr>
          <w:p w:rsidR="00000000" w:rsidRDefault="00000000">
            <w:pPr>
              <w:tabs>
                <w:tab w:val="clear" w:pos="567"/>
              </w:tabs>
              <w:spacing w:line="216" w:lineRule="auto"/>
              <w:ind w:left="-295" w:right="194"/>
              <w:jc w:val="right"/>
            </w:pPr>
          </w:p>
        </w:tc>
        <w:tc>
          <w:tcPr>
            <w:tcW w:w="797" w:type="dxa"/>
            <w:tcBorders>
              <w:top w:val="nil"/>
              <w:left w:val="single" w:sz="4" w:space="0" w:color="auto"/>
              <w:bottom w:val="nil"/>
              <w:right w:val="single" w:sz="4" w:space="0" w:color="auto"/>
            </w:tcBorders>
          </w:tcPr>
          <w:p w:rsidR="00000000" w:rsidRDefault="00000000">
            <w:pPr>
              <w:tabs>
                <w:tab w:val="clear" w:pos="567"/>
              </w:tabs>
              <w:spacing w:line="216" w:lineRule="auto"/>
              <w:ind w:left="-482"/>
              <w:jc w:val="right"/>
            </w:pPr>
          </w:p>
        </w:tc>
        <w:tc>
          <w:tcPr>
            <w:tcW w:w="886" w:type="dxa"/>
            <w:tcBorders>
              <w:top w:val="nil"/>
              <w:left w:val="single" w:sz="4" w:space="0" w:color="auto"/>
              <w:bottom w:val="nil"/>
              <w:right w:val="single" w:sz="4" w:space="0" w:color="auto"/>
            </w:tcBorders>
          </w:tcPr>
          <w:p w:rsidR="00000000" w:rsidRDefault="00000000">
            <w:pPr>
              <w:tabs>
                <w:tab w:val="clear" w:pos="567"/>
              </w:tabs>
              <w:spacing w:line="216" w:lineRule="auto"/>
              <w:ind w:left="-295"/>
              <w:jc w:val="right"/>
            </w:pPr>
          </w:p>
        </w:tc>
        <w:tc>
          <w:tcPr>
            <w:tcW w:w="935" w:type="dxa"/>
            <w:tcBorders>
              <w:top w:val="nil"/>
              <w:left w:val="single" w:sz="4" w:space="0" w:color="auto"/>
              <w:bottom w:val="nil"/>
              <w:right w:val="single" w:sz="4" w:space="0" w:color="auto"/>
            </w:tcBorders>
          </w:tcPr>
          <w:p w:rsidR="00000000" w:rsidRDefault="00000000">
            <w:pPr>
              <w:tabs>
                <w:tab w:val="clear" w:pos="567"/>
              </w:tabs>
              <w:spacing w:line="216" w:lineRule="auto"/>
              <w:ind w:left="-295"/>
              <w:jc w:val="right"/>
            </w:pPr>
          </w:p>
        </w:tc>
        <w:tc>
          <w:tcPr>
            <w:tcW w:w="861" w:type="dxa"/>
            <w:tcBorders>
              <w:top w:val="nil"/>
              <w:left w:val="single" w:sz="4" w:space="0" w:color="auto"/>
              <w:bottom w:val="nil"/>
              <w:right w:val="single" w:sz="4" w:space="0" w:color="auto"/>
            </w:tcBorders>
          </w:tcPr>
          <w:p w:rsidR="00000000" w:rsidRDefault="00000000">
            <w:pPr>
              <w:tabs>
                <w:tab w:val="clear" w:pos="567"/>
              </w:tabs>
              <w:spacing w:line="216" w:lineRule="auto"/>
              <w:ind w:left="-295"/>
              <w:jc w:val="right"/>
            </w:pPr>
          </w:p>
        </w:tc>
      </w:tr>
      <w:tr w:rsidR="00000000">
        <w:tblPrEx>
          <w:tblCellMar>
            <w:top w:w="0" w:type="dxa"/>
            <w:bottom w:w="0" w:type="dxa"/>
          </w:tblCellMar>
        </w:tblPrEx>
        <w:tc>
          <w:tcPr>
            <w:tcW w:w="4222" w:type="dxa"/>
            <w:tcBorders>
              <w:top w:val="nil"/>
              <w:left w:val="single" w:sz="4" w:space="0" w:color="auto"/>
              <w:bottom w:val="nil"/>
              <w:right w:val="single" w:sz="4" w:space="0" w:color="auto"/>
            </w:tcBorders>
          </w:tcPr>
          <w:p w:rsidR="00000000" w:rsidRDefault="00000000">
            <w:pPr>
              <w:spacing w:line="240" w:lineRule="auto"/>
            </w:pPr>
            <w:r>
              <w:tab/>
              <w:t>Новости</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lang w:val="en-US"/>
              </w:rPr>
            </w:pPr>
            <w:r>
              <w:rPr>
                <w:lang w:val="en-US"/>
              </w:rPr>
              <w:t>48,8</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lang w:val="en-US"/>
              </w:rPr>
            </w:pPr>
            <w:r>
              <w:rPr>
                <w:lang w:val="en-US"/>
              </w:rPr>
              <w:t>21,0</w:t>
            </w:r>
          </w:p>
        </w:tc>
        <w:tc>
          <w:tcPr>
            <w:tcW w:w="797" w:type="dxa"/>
            <w:tcBorders>
              <w:top w:val="nil"/>
              <w:left w:val="single" w:sz="4" w:space="0" w:color="auto"/>
              <w:bottom w:val="nil"/>
              <w:right w:val="single" w:sz="4" w:space="0" w:color="auto"/>
            </w:tcBorders>
          </w:tcPr>
          <w:p w:rsidR="00000000" w:rsidRDefault="00000000">
            <w:pPr>
              <w:tabs>
                <w:tab w:val="clear" w:pos="567"/>
              </w:tabs>
              <w:spacing w:line="240" w:lineRule="auto"/>
              <w:ind w:left="-482"/>
              <w:jc w:val="right"/>
              <w:rPr>
                <w:lang w:val="en-US"/>
              </w:rPr>
            </w:pPr>
            <w:r>
              <w:rPr>
                <w:lang w:val="en-US"/>
              </w:rPr>
              <w:t>13,8</w:t>
            </w:r>
          </w:p>
        </w:tc>
        <w:tc>
          <w:tcPr>
            <w:tcW w:w="886"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12,4</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11,0</w:t>
            </w:r>
          </w:p>
        </w:tc>
        <w:tc>
          <w:tcPr>
            <w:tcW w:w="861"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11,6</w:t>
            </w:r>
          </w:p>
        </w:tc>
      </w:tr>
      <w:tr w:rsidR="00000000">
        <w:tblPrEx>
          <w:tblCellMar>
            <w:top w:w="0" w:type="dxa"/>
            <w:bottom w:w="0" w:type="dxa"/>
          </w:tblCellMar>
        </w:tblPrEx>
        <w:tc>
          <w:tcPr>
            <w:tcW w:w="4222" w:type="dxa"/>
            <w:tcBorders>
              <w:top w:val="nil"/>
              <w:left w:val="single" w:sz="4" w:space="0" w:color="auto"/>
              <w:bottom w:val="nil"/>
              <w:right w:val="single" w:sz="4" w:space="0" w:color="auto"/>
            </w:tcBorders>
          </w:tcPr>
          <w:p w:rsidR="00000000" w:rsidRDefault="00000000">
            <w:pPr>
              <w:spacing w:line="216" w:lineRule="auto"/>
              <w:ind w:left="567" w:hanging="567"/>
            </w:pPr>
            <w:r>
              <w:tab/>
              <w:t>Журналистские и документальные программы</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pPr>
            <w:r>
              <w:t>22,2</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pPr>
            <w:r>
              <w:t>18,9</w:t>
            </w:r>
          </w:p>
        </w:tc>
        <w:tc>
          <w:tcPr>
            <w:tcW w:w="797" w:type="dxa"/>
            <w:tcBorders>
              <w:top w:val="nil"/>
              <w:left w:val="single" w:sz="4" w:space="0" w:color="auto"/>
              <w:bottom w:val="nil"/>
              <w:right w:val="single" w:sz="4" w:space="0" w:color="auto"/>
            </w:tcBorders>
          </w:tcPr>
          <w:p w:rsidR="00000000" w:rsidRDefault="00000000">
            <w:pPr>
              <w:tabs>
                <w:tab w:val="clear" w:pos="567"/>
              </w:tabs>
              <w:spacing w:line="240" w:lineRule="auto"/>
              <w:ind w:left="-482"/>
              <w:jc w:val="right"/>
            </w:pPr>
            <w:r>
              <w:t>17,1</w:t>
            </w:r>
          </w:p>
        </w:tc>
        <w:tc>
          <w:tcPr>
            <w:tcW w:w="886"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pPr>
            <w:r>
              <w:t>18,4</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22,0</w:t>
            </w:r>
          </w:p>
        </w:tc>
        <w:tc>
          <w:tcPr>
            <w:tcW w:w="861"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23,1</w:t>
            </w:r>
          </w:p>
        </w:tc>
      </w:tr>
      <w:tr w:rsidR="00000000">
        <w:tblPrEx>
          <w:tblCellMar>
            <w:top w:w="0" w:type="dxa"/>
            <w:bottom w:w="0" w:type="dxa"/>
          </w:tblCellMar>
        </w:tblPrEx>
        <w:tc>
          <w:tcPr>
            <w:tcW w:w="4222" w:type="dxa"/>
            <w:tcBorders>
              <w:top w:val="nil"/>
              <w:left w:val="single" w:sz="4" w:space="0" w:color="auto"/>
              <w:bottom w:val="nil"/>
              <w:right w:val="single" w:sz="4" w:space="0" w:color="auto"/>
            </w:tcBorders>
          </w:tcPr>
          <w:p w:rsidR="00000000" w:rsidRDefault="00000000">
            <w:pPr>
              <w:spacing w:line="240" w:lineRule="auto"/>
              <w:ind w:left="567" w:hanging="567"/>
            </w:pPr>
            <w:r>
              <w:tab/>
              <w:t>Образовательные программы</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lang w:val="en-US"/>
              </w:rPr>
            </w:pPr>
            <w:r>
              <w:rPr>
                <w:lang w:val="en-US"/>
              </w:rPr>
              <w:t>6,8</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lang w:val="en-US"/>
              </w:rPr>
            </w:pPr>
            <w:r>
              <w:rPr>
                <w:lang w:val="en-US"/>
              </w:rPr>
              <w:t>5,6</w:t>
            </w:r>
          </w:p>
        </w:tc>
        <w:tc>
          <w:tcPr>
            <w:tcW w:w="797" w:type="dxa"/>
            <w:tcBorders>
              <w:top w:val="nil"/>
              <w:left w:val="single" w:sz="4" w:space="0" w:color="auto"/>
              <w:bottom w:val="nil"/>
              <w:right w:val="single" w:sz="4" w:space="0" w:color="auto"/>
            </w:tcBorders>
          </w:tcPr>
          <w:p w:rsidR="00000000" w:rsidRDefault="00000000">
            <w:pPr>
              <w:tabs>
                <w:tab w:val="clear" w:pos="567"/>
              </w:tabs>
              <w:spacing w:line="240" w:lineRule="auto"/>
              <w:ind w:left="-482"/>
              <w:jc w:val="right"/>
              <w:rPr>
                <w:lang w:val="en-US"/>
              </w:rPr>
            </w:pPr>
            <w:r>
              <w:rPr>
                <w:lang w:val="en-US"/>
              </w:rPr>
              <w:t>3,4</w:t>
            </w:r>
          </w:p>
        </w:tc>
        <w:tc>
          <w:tcPr>
            <w:tcW w:w="886"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3,9</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5,4</w:t>
            </w:r>
          </w:p>
        </w:tc>
        <w:tc>
          <w:tcPr>
            <w:tcW w:w="861"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5,0</w:t>
            </w:r>
          </w:p>
        </w:tc>
      </w:tr>
      <w:tr w:rsidR="00000000">
        <w:tblPrEx>
          <w:tblCellMar>
            <w:top w:w="0" w:type="dxa"/>
            <w:bottom w:w="0" w:type="dxa"/>
          </w:tblCellMar>
        </w:tblPrEx>
        <w:tc>
          <w:tcPr>
            <w:tcW w:w="4222" w:type="dxa"/>
            <w:tcBorders>
              <w:top w:val="nil"/>
              <w:left w:val="single" w:sz="4" w:space="0" w:color="auto"/>
              <w:bottom w:val="nil"/>
              <w:right w:val="single" w:sz="4" w:space="0" w:color="auto"/>
            </w:tcBorders>
          </w:tcPr>
          <w:p w:rsidR="00000000" w:rsidRDefault="00000000">
            <w:pPr>
              <w:spacing w:line="240" w:lineRule="auto"/>
              <w:ind w:left="567" w:hanging="567"/>
            </w:pPr>
            <w:r>
              <w:tab/>
              <w:t>Спортивные программы</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lang w:val="en-US"/>
              </w:rPr>
            </w:pPr>
            <w:r>
              <w:rPr>
                <w:lang w:val="en-US"/>
              </w:rPr>
              <w:t>5,3</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lang w:val="en-US"/>
              </w:rPr>
            </w:pPr>
            <w:r>
              <w:rPr>
                <w:lang w:val="en-US"/>
              </w:rPr>
              <w:t>6,5</w:t>
            </w:r>
          </w:p>
        </w:tc>
        <w:tc>
          <w:tcPr>
            <w:tcW w:w="797" w:type="dxa"/>
            <w:tcBorders>
              <w:top w:val="nil"/>
              <w:left w:val="single" w:sz="4" w:space="0" w:color="auto"/>
              <w:bottom w:val="nil"/>
              <w:right w:val="single" w:sz="4" w:space="0" w:color="auto"/>
            </w:tcBorders>
          </w:tcPr>
          <w:p w:rsidR="00000000" w:rsidRDefault="00000000">
            <w:pPr>
              <w:tabs>
                <w:tab w:val="clear" w:pos="567"/>
              </w:tabs>
              <w:spacing w:line="240" w:lineRule="auto"/>
              <w:ind w:left="-482"/>
              <w:jc w:val="right"/>
              <w:rPr>
                <w:lang w:val="en-US"/>
              </w:rPr>
            </w:pPr>
            <w:r>
              <w:rPr>
                <w:lang w:val="en-US"/>
              </w:rPr>
              <w:t>4,9</w:t>
            </w:r>
          </w:p>
        </w:tc>
        <w:tc>
          <w:tcPr>
            <w:tcW w:w="886"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5,9</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4,8</w:t>
            </w:r>
          </w:p>
        </w:tc>
        <w:tc>
          <w:tcPr>
            <w:tcW w:w="861"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7,1</w:t>
            </w:r>
          </w:p>
        </w:tc>
      </w:tr>
      <w:tr w:rsidR="00000000">
        <w:tblPrEx>
          <w:tblCellMar>
            <w:top w:w="0" w:type="dxa"/>
            <w:bottom w:w="0" w:type="dxa"/>
          </w:tblCellMar>
        </w:tblPrEx>
        <w:tc>
          <w:tcPr>
            <w:tcW w:w="4222" w:type="dxa"/>
            <w:tcBorders>
              <w:top w:val="nil"/>
              <w:left w:val="single" w:sz="4" w:space="0" w:color="auto"/>
              <w:bottom w:val="nil"/>
              <w:right w:val="single" w:sz="4" w:space="0" w:color="auto"/>
            </w:tcBorders>
          </w:tcPr>
          <w:p w:rsidR="00000000" w:rsidRDefault="00000000">
            <w:pPr>
              <w:spacing w:line="240" w:lineRule="auto"/>
              <w:ind w:left="567" w:hanging="567"/>
            </w:pPr>
            <w:r>
              <w:tab/>
              <w:t>Драматические постановки</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pPr>
            <w:r>
              <w:t>21,5</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pPr>
            <w:r>
              <w:t>24,8</w:t>
            </w:r>
          </w:p>
        </w:tc>
        <w:tc>
          <w:tcPr>
            <w:tcW w:w="797" w:type="dxa"/>
            <w:tcBorders>
              <w:top w:val="nil"/>
              <w:left w:val="single" w:sz="4" w:space="0" w:color="auto"/>
              <w:bottom w:val="nil"/>
              <w:right w:val="single" w:sz="4" w:space="0" w:color="auto"/>
            </w:tcBorders>
          </w:tcPr>
          <w:p w:rsidR="00000000" w:rsidRDefault="00000000">
            <w:pPr>
              <w:tabs>
                <w:tab w:val="clear" w:pos="567"/>
              </w:tabs>
              <w:spacing w:line="240" w:lineRule="auto"/>
              <w:ind w:left="-482"/>
              <w:jc w:val="right"/>
            </w:pPr>
            <w:r>
              <w:t>26,9</w:t>
            </w:r>
          </w:p>
        </w:tc>
        <w:tc>
          <w:tcPr>
            <w:tcW w:w="886"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pPr>
            <w:r>
              <w:t>27,0</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pPr>
            <w:r>
              <w:t>25,2</w:t>
            </w:r>
          </w:p>
        </w:tc>
        <w:tc>
          <w:tcPr>
            <w:tcW w:w="861"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pPr>
            <w:r>
              <w:t>24,6</w:t>
            </w:r>
          </w:p>
        </w:tc>
      </w:tr>
      <w:tr w:rsidR="00000000">
        <w:tblPrEx>
          <w:tblCellMar>
            <w:top w:w="0" w:type="dxa"/>
            <w:bottom w:w="0" w:type="dxa"/>
          </w:tblCellMar>
        </w:tblPrEx>
        <w:tc>
          <w:tcPr>
            <w:tcW w:w="4222" w:type="dxa"/>
            <w:tcBorders>
              <w:top w:val="nil"/>
              <w:left w:val="single" w:sz="4" w:space="0" w:color="auto"/>
              <w:bottom w:val="nil"/>
              <w:right w:val="single" w:sz="4" w:space="0" w:color="auto"/>
            </w:tcBorders>
          </w:tcPr>
          <w:p w:rsidR="00000000" w:rsidRDefault="00000000">
            <w:pPr>
              <w:spacing w:line="216" w:lineRule="auto"/>
              <w:ind w:left="567" w:hanging="567"/>
            </w:pPr>
            <w:r>
              <w:tab/>
              <w:t>Музыкально-развлекательные программы</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pPr>
            <w:r>
              <w:t>14,7</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pPr>
            <w:r>
              <w:t>13,0</w:t>
            </w:r>
          </w:p>
        </w:tc>
        <w:tc>
          <w:tcPr>
            <w:tcW w:w="797" w:type="dxa"/>
            <w:tcBorders>
              <w:top w:val="nil"/>
              <w:left w:val="single" w:sz="4" w:space="0" w:color="auto"/>
              <w:bottom w:val="nil"/>
              <w:right w:val="single" w:sz="4" w:space="0" w:color="auto"/>
            </w:tcBorders>
          </w:tcPr>
          <w:p w:rsidR="00000000" w:rsidRDefault="00000000">
            <w:pPr>
              <w:tabs>
                <w:tab w:val="clear" w:pos="567"/>
              </w:tabs>
              <w:spacing w:line="240" w:lineRule="auto"/>
              <w:ind w:left="-482"/>
              <w:jc w:val="right"/>
            </w:pPr>
            <w:r>
              <w:t>7,9</w:t>
            </w:r>
          </w:p>
        </w:tc>
        <w:tc>
          <w:tcPr>
            <w:tcW w:w="886"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pPr>
            <w:r>
              <w:t>7,5</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pPr>
            <w:r>
              <w:t>9,5</w:t>
            </w:r>
          </w:p>
        </w:tc>
        <w:tc>
          <w:tcPr>
            <w:tcW w:w="861"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pPr>
            <w:r>
              <w:t>10,6</w:t>
            </w:r>
          </w:p>
        </w:tc>
      </w:tr>
      <w:tr w:rsidR="00000000">
        <w:tblPrEx>
          <w:tblCellMar>
            <w:top w:w="0" w:type="dxa"/>
            <w:bottom w:w="0" w:type="dxa"/>
          </w:tblCellMar>
        </w:tblPrEx>
        <w:tc>
          <w:tcPr>
            <w:tcW w:w="4222" w:type="dxa"/>
            <w:tcBorders>
              <w:top w:val="nil"/>
              <w:left w:val="single" w:sz="4" w:space="0" w:color="auto"/>
              <w:bottom w:val="nil"/>
              <w:right w:val="single" w:sz="4" w:space="0" w:color="auto"/>
            </w:tcBorders>
          </w:tcPr>
          <w:p w:rsidR="00000000" w:rsidRDefault="00000000">
            <w:pPr>
              <w:spacing w:line="240" w:lineRule="auto"/>
              <w:ind w:left="567" w:hanging="567"/>
            </w:pPr>
            <w:r>
              <w:tab/>
              <w:t>Музыкальные и литературные программы</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lang w:val="en-US"/>
              </w:rPr>
            </w:pPr>
            <w:r>
              <w:rPr>
                <w:lang w:val="en-US"/>
              </w:rPr>
              <w:t>4,1</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lang w:val="en-US"/>
              </w:rPr>
            </w:pPr>
            <w:r>
              <w:rPr>
                <w:lang w:val="en-US"/>
              </w:rPr>
              <w:t>3,0</w:t>
            </w:r>
          </w:p>
        </w:tc>
        <w:tc>
          <w:tcPr>
            <w:tcW w:w="797" w:type="dxa"/>
            <w:tcBorders>
              <w:top w:val="nil"/>
              <w:left w:val="single" w:sz="4" w:space="0" w:color="auto"/>
              <w:bottom w:val="nil"/>
              <w:right w:val="single" w:sz="4" w:space="0" w:color="auto"/>
            </w:tcBorders>
          </w:tcPr>
          <w:p w:rsidR="00000000" w:rsidRDefault="00000000">
            <w:pPr>
              <w:tabs>
                <w:tab w:val="clear" w:pos="567"/>
              </w:tabs>
              <w:spacing w:line="240" w:lineRule="auto"/>
              <w:ind w:left="-482"/>
              <w:jc w:val="right"/>
              <w:rPr>
                <w:lang w:val="en-US"/>
              </w:rPr>
            </w:pPr>
            <w:r>
              <w:rPr>
                <w:lang w:val="en-US"/>
              </w:rPr>
              <w:t>2,9</w:t>
            </w:r>
          </w:p>
        </w:tc>
        <w:tc>
          <w:tcPr>
            <w:tcW w:w="886"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2,2</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1,9</w:t>
            </w:r>
          </w:p>
        </w:tc>
        <w:tc>
          <w:tcPr>
            <w:tcW w:w="861"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2,3</w:t>
            </w:r>
          </w:p>
        </w:tc>
      </w:tr>
      <w:tr w:rsidR="00000000">
        <w:tblPrEx>
          <w:tblCellMar>
            <w:top w:w="0" w:type="dxa"/>
            <w:bottom w:w="0" w:type="dxa"/>
          </w:tblCellMar>
        </w:tblPrEx>
        <w:tc>
          <w:tcPr>
            <w:tcW w:w="4222" w:type="dxa"/>
            <w:tcBorders>
              <w:top w:val="nil"/>
              <w:left w:val="single" w:sz="4" w:space="0" w:color="auto"/>
              <w:bottom w:val="nil"/>
              <w:right w:val="single" w:sz="4" w:space="0" w:color="auto"/>
            </w:tcBorders>
          </w:tcPr>
          <w:p w:rsidR="00000000" w:rsidRDefault="00000000">
            <w:pPr>
              <w:spacing w:line="240" w:lineRule="auto"/>
              <w:ind w:left="567" w:hanging="567"/>
            </w:pPr>
            <w:r>
              <w:tab/>
              <w:t>Реклама</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lang w:val="en-US"/>
              </w:rPr>
            </w:pPr>
            <w:r>
              <w:rPr>
                <w:lang w:val="en-US"/>
              </w:rPr>
              <w:t>1,6</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194"/>
              <w:jc w:val="right"/>
              <w:rPr>
                <w:lang w:val="en-US"/>
              </w:rPr>
            </w:pPr>
            <w:r>
              <w:rPr>
                <w:lang w:val="en-US"/>
              </w:rPr>
              <w:t>0,6</w:t>
            </w:r>
          </w:p>
        </w:tc>
        <w:tc>
          <w:tcPr>
            <w:tcW w:w="797" w:type="dxa"/>
            <w:tcBorders>
              <w:top w:val="nil"/>
              <w:left w:val="single" w:sz="4" w:space="0" w:color="auto"/>
              <w:bottom w:val="nil"/>
              <w:right w:val="single" w:sz="4" w:space="0" w:color="auto"/>
            </w:tcBorders>
          </w:tcPr>
          <w:p w:rsidR="00000000" w:rsidRDefault="00000000">
            <w:pPr>
              <w:tabs>
                <w:tab w:val="clear" w:pos="567"/>
              </w:tabs>
              <w:spacing w:line="240" w:lineRule="auto"/>
              <w:ind w:left="-482"/>
              <w:jc w:val="right"/>
              <w:rPr>
                <w:lang w:val="en-US"/>
              </w:rPr>
            </w:pPr>
            <w:r>
              <w:rPr>
                <w:lang w:val="en-US"/>
              </w:rPr>
              <w:t>0,4</w:t>
            </w:r>
          </w:p>
        </w:tc>
        <w:tc>
          <w:tcPr>
            <w:tcW w:w="886"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2,3</w:t>
            </w:r>
          </w:p>
        </w:tc>
        <w:tc>
          <w:tcPr>
            <w:tcW w:w="935"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0,7</w:t>
            </w:r>
          </w:p>
        </w:tc>
        <w:tc>
          <w:tcPr>
            <w:tcW w:w="861" w:type="dxa"/>
            <w:tcBorders>
              <w:top w:val="nil"/>
              <w:left w:val="single" w:sz="4" w:space="0" w:color="auto"/>
              <w:bottom w:val="nil"/>
              <w:right w:val="single" w:sz="4" w:space="0" w:color="auto"/>
            </w:tcBorders>
          </w:tcPr>
          <w:p w:rsidR="00000000" w:rsidRDefault="00000000">
            <w:pPr>
              <w:tabs>
                <w:tab w:val="clear" w:pos="567"/>
              </w:tabs>
              <w:spacing w:line="240" w:lineRule="auto"/>
              <w:ind w:left="-295"/>
              <w:jc w:val="right"/>
              <w:rPr>
                <w:lang w:val="en-US"/>
              </w:rPr>
            </w:pPr>
            <w:r>
              <w:rPr>
                <w:lang w:val="en-US"/>
              </w:rPr>
              <w:t>0,9</w:t>
            </w:r>
          </w:p>
        </w:tc>
      </w:tr>
      <w:tr w:rsidR="00000000">
        <w:tblPrEx>
          <w:tblCellMar>
            <w:top w:w="0" w:type="dxa"/>
            <w:bottom w:w="0" w:type="dxa"/>
          </w:tblCellMar>
        </w:tblPrEx>
        <w:tc>
          <w:tcPr>
            <w:tcW w:w="4222" w:type="dxa"/>
            <w:tcBorders>
              <w:top w:val="nil"/>
              <w:left w:val="single" w:sz="4" w:space="0" w:color="auto"/>
              <w:right w:val="single" w:sz="4" w:space="0" w:color="auto"/>
            </w:tcBorders>
          </w:tcPr>
          <w:p w:rsidR="00000000" w:rsidRDefault="00000000">
            <w:pPr>
              <w:spacing w:line="240" w:lineRule="auto"/>
              <w:ind w:left="567" w:hanging="567"/>
            </w:pPr>
            <w:r>
              <w:tab/>
              <w:t>Прочее</w:t>
            </w:r>
          </w:p>
        </w:tc>
        <w:tc>
          <w:tcPr>
            <w:tcW w:w="935" w:type="dxa"/>
            <w:tcBorders>
              <w:top w:val="nil"/>
              <w:left w:val="single" w:sz="4" w:space="0" w:color="auto"/>
              <w:right w:val="single" w:sz="4" w:space="0" w:color="auto"/>
            </w:tcBorders>
          </w:tcPr>
          <w:p w:rsidR="00000000" w:rsidRDefault="00000000">
            <w:pPr>
              <w:tabs>
                <w:tab w:val="clear" w:pos="567"/>
              </w:tabs>
              <w:spacing w:line="240" w:lineRule="auto"/>
              <w:ind w:left="-295" w:right="194"/>
              <w:jc w:val="right"/>
              <w:rPr>
                <w:lang w:val="en-US"/>
              </w:rPr>
            </w:pPr>
            <w:r>
              <w:rPr>
                <w:lang w:val="en-US"/>
              </w:rPr>
              <w:t>8,2</w:t>
            </w:r>
          </w:p>
        </w:tc>
        <w:tc>
          <w:tcPr>
            <w:tcW w:w="935" w:type="dxa"/>
            <w:tcBorders>
              <w:top w:val="nil"/>
              <w:left w:val="single" w:sz="4" w:space="0" w:color="auto"/>
              <w:right w:val="single" w:sz="4" w:space="0" w:color="auto"/>
            </w:tcBorders>
          </w:tcPr>
          <w:p w:rsidR="00000000" w:rsidRDefault="00000000">
            <w:pPr>
              <w:tabs>
                <w:tab w:val="clear" w:pos="567"/>
              </w:tabs>
              <w:spacing w:line="240" w:lineRule="auto"/>
              <w:ind w:left="-295" w:right="194"/>
              <w:jc w:val="right"/>
              <w:rPr>
                <w:lang w:val="en-US"/>
              </w:rPr>
            </w:pPr>
            <w:r>
              <w:rPr>
                <w:lang w:val="en-US"/>
              </w:rPr>
              <w:t>15,0</w:t>
            </w:r>
          </w:p>
        </w:tc>
        <w:tc>
          <w:tcPr>
            <w:tcW w:w="797" w:type="dxa"/>
            <w:tcBorders>
              <w:top w:val="nil"/>
              <w:left w:val="single" w:sz="4" w:space="0" w:color="auto"/>
              <w:right w:val="single" w:sz="4" w:space="0" w:color="auto"/>
            </w:tcBorders>
          </w:tcPr>
          <w:p w:rsidR="00000000" w:rsidRDefault="00000000">
            <w:pPr>
              <w:tabs>
                <w:tab w:val="clear" w:pos="567"/>
              </w:tabs>
              <w:spacing w:line="240" w:lineRule="auto"/>
              <w:ind w:left="-482"/>
              <w:jc w:val="right"/>
              <w:rPr>
                <w:lang w:val="en-US"/>
              </w:rPr>
            </w:pPr>
            <w:r>
              <w:rPr>
                <w:lang w:val="en-US"/>
              </w:rPr>
              <w:t>22,0</w:t>
            </w:r>
          </w:p>
        </w:tc>
        <w:tc>
          <w:tcPr>
            <w:tcW w:w="886" w:type="dxa"/>
            <w:tcBorders>
              <w:top w:val="nil"/>
              <w:left w:val="single" w:sz="4" w:space="0" w:color="auto"/>
              <w:right w:val="single" w:sz="4" w:space="0" w:color="auto"/>
            </w:tcBorders>
          </w:tcPr>
          <w:p w:rsidR="00000000" w:rsidRDefault="00000000">
            <w:pPr>
              <w:tabs>
                <w:tab w:val="clear" w:pos="567"/>
              </w:tabs>
              <w:spacing w:line="240" w:lineRule="auto"/>
              <w:ind w:left="-295"/>
              <w:jc w:val="right"/>
              <w:rPr>
                <w:lang w:val="en-US"/>
              </w:rPr>
            </w:pPr>
            <w:r>
              <w:rPr>
                <w:lang w:val="en-US"/>
              </w:rPr>
              <w:t>9,1</w:t>
            </w:r>
          </w:p>
        </w:tc>
        <w:tc>
          <w:tcPr>
            <w:tcW w:w="935" w:type="dxa"/>
            <w:tcBorders>
              <w:top w:val="nil"/>
              <w:left w:val="single" w:sz="4" w:space="0" w:color="auto"/>
              <w:right w:val="single" w:sz="4" w:space="0" w:color="auto"/>
            </w:tcBorders>
          </w:tcPr>
          <w:p w:rsidR="00000000" w:rsidRDefault="00000000">
            <w:pPr>
              <w:tabs>
                <w:tab w:val="clear" w:pos="567"/>
              </w:tabs>
              <w:spacing w:line="240" w:lineRule="auto"/>
              <w:ind w:left="-295"/>
              <w:jc w:val="right"/>
              <w:rPr>
                <w:lang w:val="en-US"/>
              </w:rPr>
            </w:pPr>
            <w:r>
              <w:rPr>
                <w:lang w:val="en-US"/>
              </w:rPr>
              <w:t>19,5</w:t>
            </w:r>
          </w:p>
        </w:tc>
        <w:tc>
          <w:tcPr>
            <w:tcW w:w="861" w:type="dxa"/>
            <w:tcBorders>
              <w:top w:val="nil"/>
              <w:left w:val="single" w:sz="4" w:space="0" w:color="auto"/>
              <w:right w:val="single" w:sz="4" w:space="0" w:color="auto"/>
            </w:tcBorders>
          </w:tcPr>
          <w:p w:rsidR="00000000" w:rsidRDefault="00000000">
            <w:pPr>
              <w:tabs>
                <w:tab w:val="clear" w:pos="567"/>
              </w:tabs>
              <w:spacing w:line="240" w:lineRule="auto"/>
              <w:ind w:left="-295"/>
              <w:jc w:val="right"/>
              <w:rPr>
                <w:lang w:val="en-US"/>
              </w:rPr>
            </w:pPr>
            <w:r>
              <w:rPr>
                <w:lang w:val="en-US"/>
              </w:rPr>
              <w:t>14,8</w:t>
            </w:r>
          </w:p>
        </w:tc>
      </w:tr>
    </w:tbl>
    <w:p w:rsidR="00000000" w:rsidRDefault="00000000">
      <w:pPr>
        <w:pStyle w:val="FootnoteText"/>
        <w:spacing w:line="216" w:lineRule="auto"/>
        <w:rPr>
          <w:lang w:val="en-US"/>
        </w:rPr>
      </w:pPr>
    </w:p>
    <w:p w:rsidR="00000000" w:rsidRDefault="00000000">
      <w:pPr>
        <w:spacing w:line="240" w:lineRule="auto"/>
      </w:pPr>
      <w:r>
        <w:rPr>
          <w:lang w:val="en-US"/>
        </w:rPr>
        <w:tab/>
      </w:r>
      <w:r>
        <w:rPr>
          <w:u w:val="single"/>
        </w:rPr>
        <w:t>Источник</w:t>
      </w:r>
      <w:r>
        <w:t>:  Чешское статистическое управление, 1999 год.</w:t>
      </w:r>
    </w:p>
    <w:p w:rsidR="00000000" w:rsidRDefault="00000000"/>
    <w:p w:rsidR="00000000" w:rsidRDefault="00000000">
      <w:r>
        <w:t>708.</w:t>
      </w:r>
      <w:r>
        <w:tab/>
        <w:t>В Чешской Республике ежегодно публикуется около 10 000 непериодических специализированных изданий, которые доступны для общественности в книжных магазинах или публичных библиотеках (особенно научных).  В 1998 году вышло в свет свыше 1 000 специальных журналов (для сравнения:  в 1993 году имелось всего лишь 36 названий специальных журналов, в 1994 году - 397 названий, но в 1995 году число названий специальных журналов возросло до 1 011).  Специальные журналы также доступны для общественности.  Кроме того, о результатах научного прогресса регулярно сообщают периодические издания - ежедневные газеты и журналы, предназначенные для широкой общественности.</w:t>
      </w:r>
    </w:p>
    <w:p w:rsidR="00000000" w:rsidRDefault="00000000"/>
    <w:p w:rsidR="00000000" w:rsidRDefault="00000000">
      <w:r>
        <w:t>709.</w:t>
      </w:r>
      <w:r>
        <w:tab/>
        <w:t>Право пользоваться результатами научного прогресса регулируется также Законом о государственной поддержке науки и исследовательской деятельности</w:t>
      </w:r>
      <w:r>
        <w:rPr>
          <w:rStyle w:val="FootnoteReference"/>
        </w:rPr>
        <w:footnoteReference w:id="408"/>
      </w:r>
      <w:r>
        <w:t>, в котором устанавливаются условия для создания и использования централизованных реестров научно-исследовательских проектов.  В этих реестрах регистрируются все проекты, на которые выделяются средства из государственного бюджета.  Эта база данных доступна в электронном виде на вебсайте Совета по научным исследованиям и развитию правительства ЧР.  Помимо доступности информации о научно-исследовательских проектах, Закон квалифицирует результаты проектов в качестве собственности учреждения, в котором они осуществляются, и предусматривает налоговые льготы для использования результатов проектов в качестве нематериальной собственности.</w:t>
      </w:r>
    </w:p>
    <w:p w:rsidR="00000000" w:rsidRDefault="00000000"/>
    <w:p w:rsidR="00000000" w:rsidRDefault="00000000">
      <w:r>
        <w:t>710.</w:t>
      </w:r>
      <w:r>
        <w:tab/>
        <w:t>Кроме того, право пользоваться благами научно-исследовательской деятельности гарантируется путем практического использования результатов прикладных исследований, проводимых как научными институтами Академии наук Чешской Республики, так и научно-исследовательскими институтами, созданными отдельными государственными ведомствами.  Доступ к научно-исследовательской деятельности регламентируется главным образом Законом об университетах</w:t>
      </w:r>
      <w:r>
        <w:rPr>
          <w:rStyle w:val="FootnoteReference"/>
        </w:rPr>
        <w:footnoteReference w:id="409"/>
      </w:r>
      <w:r>
        <w:t>.</w:t>
      </w:r>
    </w:p>
    <w:p w:rsidR="00000000" w:rsidRDefault="00000000"/>
    <w:p w:rsidR="00000000" w:rsidRDefault="00000000">
      <w:r>
        <w:t>711.</w:t>
      </w:r>
      <w:r>
        <w:tab/>
        <w:t xml:space="preserve">Важную роль в осуществлении права пользоваться результатами научно-исследовательской деятельности и предоставлении информации о них играют Управление </w:t>
      </w:r>
    </w:p>
    <w:p w:rsidR="00000000" w:rsidRDefault="00000000">
      <w:r>
        <w:br w:type="page"/>
        <w:t>по вопросам промышленной собственности</w:t>
      </w:r>
      <w:r>
        <w:rPr>
          <w:rStyle w:val="FootnoteReference"/>
        </w:rPr>
        <w:footnoteReference w:id="410"/>
      </w:r>
      <w:r>
        <w:t>, которое предоставляет населению услуги через патентную библиотеку, информационный центр (в отношении изобретений, промышленных образцов, полезных моделей и товарных знаков) и Институт промышленно-юридического образования.  В 1998 году в патентной библиотеке можно было ознакомиться с более чем 26 млн. патентных документов в классическом виде и патентными бюллетенями из 53 стран и международных организаций (например, Европейского патентного бюро, Договора о патентном сотрудничестве ВОИС и т.п.).  Кроме того, читатели могут воспользоваться патентной информацией, хранимой в зарубежных базах данных (</w:t>
      </w:r>
      <w:r>
        <w:rPr>
          <w:lang w:val="en-US"/>
        </w:rPr>
        <w:t>STN</w:t>
      </w:r>
      <w:r>
        <w:t xml:space="preserve">, </w:t>
      </w:r>
      <w:r>
        <w:rPr>
          <w:lang w:val="en-US"/>
        </w:rPr>
        <w:t>Questel</w:t>
      </w:r>
      <w:r>
        <w:t xml:space="preserve">, </w:t>
      </w:r>
      <w:r>
        <w:rPr>
          <w:lang w:val="en-US"/>
        </w:rPr>
        <w:t>Dialog</w:t>
      </w:r>
      <w:r>
        <w:t xml:space="preserve">, </w:t>
      </w:r>
      <w:r>
        <w:rPr>
          <w:lang w:val="en-US"/>
        </w:rPr>
        <w:t>Epidos</w:t>
      </w:r>
      <w:r>
        <w:t>).  Ежегодно публичные читальные залы посещает около 8 000 человек.  Кроме того, Управление выпускает бюллетень, в котором оно публикует объявления о присвоении патентов, товарных знаков и т.п., а также названия книг по вопросам промышленной и интеллектуальной собственности.  Институт промышленно-юридического образования ежегодно организует обучение на двухлетних специализированных курсах и выпускает журнал "</w:t>
      </w:r>
      <w:r>
        <w:rPr>
          <w:lang w:val="en-US"/>
        </w:rPr>
        <w:t>Pr</w:t>
      </w:r>
      <w:r>
        <w:t>ù</w:t>
      </w:r>
      <w:r>
        <w:rPr>
          <w:lang w:val="en-US"/>
        </w:rPr>
        <w:t>myslov</w:t>
      </w:r>
      <w:r>
        <w:t xml:space="preserve">é </w:t>
      </w:r>
      <w:r>
        <w:rPr>
          <w:lang w:val="en-US"/>
        </w:rPr>
        <w:t>vlastnictv</w:t>
      </w:r>
      <w:r>
        <w:t>í" ("Промышленная собственность").</w:t>
      </w:r>
    </w:p>
    <w:p w:rsidR="00000000" w:rsidRDefault="00000000">
      <w:pPr>
        <w:spacing w:line="240" w:lineRule="auto"/>
      </w:pPr>
    </w:p>
    <w:p w:rsidR="00000000" w:rsidRDefault="00000000">
      <w:pPr>
        <w:pStyle w:val="10"/>
        <w:spacing w:line="240" w:lineRule="auto"/>
        <w:rPr>
          <w:bCs/>
        </w:rPr>
      </w:pPr>
      <w:r>
        <w:rPr>
          <w:bCs/>
        </w:rPr>
        <w:t>Совокупные показатели в сфере научных исследований и разработок</w:t>
      </w:r>
    </w:p>
    <w:p w:rsidR="00000000" w:rsidRDefault="00000000">
      <w:pPr>
        <w:spacing w:line="240" w:lineRule="auto"/>
        <w:jc w:val="center"/>
      </w:pPr>
      <w:r>
        <w:rPr>
          <w:b/>
          <w:bCs/>
        </w:rPr>
        <w:t>(по состоянию на 31 декабря каждого года)</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35"/>
        <w:gridCol w:w="922"/>
        <w:gridCol w:w="923"/>
        <w:gridCol w:w="923"/>
        <w:gridCol w:w="922"/>
        <w:gridCol w:w="923"/>
        <w:gridCol w:w="923"/>
      </w:tblGrid>
      <w:tr w:rsidR="00000000">
        <w:tblPrEx>
          <w:tblCellMar>
            <w:top w:w="0" w:type="dxa"/>
            <w:bottom w:w="0" w:type="dxa"/>
          </w:tblCellMar>
        </w:tblPrEx>
        <w:tc>
          <w:tcPr>
            <w:tcW w:w="4035" w:type="dxa"/>
            <w:tcBorders>
              <w:left w:val="single" w:sz="4" w:space="0" w:color="auto"/>
              <w:bottom w:val="single" w:sz="4" w:space="0" w:color="auto"/>
              <w:right w:val="single" w:sz="4" w:space="0" w:color="auto"/>
            </w:tcBorders>
          </w:tcPr>
          <w:p w:rsidR="00000000" w:rsidRDefault="00000000">
            <w:pPr>
              <w:spacing w:line="240" w:lineRule="auto"/>
            </w:pPr>
          </w:p>
        </w:tc>
        <w:tc>
          <w:tcPr>
            <w:tcW w:w="922" w:type="dxa"/>
            <w:tcBorders>
              <w:left w:val="single" w:sz="4" w:space="0" w:color="auto"/>
              <w:bottom w:val="single" w:sz="4" w:space="0" w:color="auto"/>
              <w:right w:val="single" w:sz="4" w:space="0" w:color="auto"/>
            </w:tcBorders>
          </w:tcPr>
          <w:p w:rsidR="00000000" w:rsidRDefault="00000000">
            <w:pPr>
              <w:spacing w:line="240" w:lineRule="auto"/>
              <w:jc w:val="right"/>
            </w:pPr>
            <w:r>
              <w:t>1990</w:t>
            </w:r>
          </w:p>
        </w:tc>
        <w:tc>
          <w:tcPr>
            <w:tcW w:w="923" w:type="dxa"/>
            <w:tcBorders>
              <w:left w:val="single" w:sz="4" w:space="0" w:color="auto"/>
              <w:bottom w:val="single" w:sz="4" w:space="0" w:color="auto"/>
              <w:right w:val="single" w:sz="4" w:space="0" w:color="auto"/>
            </w:tcBorders>
          </w:tcPr>
          <w:p w:rsidR="00000000" w:rsidRDefault="00000000">
            <w:pPr>
              <w:spacing w:line="240" w:lineRule="auto"/>
              <w:jc w:val="right"/>
            </w:pPr>
            <w:r>
              <w:t>1994</w:t>
            </w:r>
          </w:p>
        </w:tc>
        <w:tc>
          <w:tcPr>
            <w:tcW w:w="923" w:type="dxa"/>
            <w:tcBorders>
              <w:left w:val="single" w:sz="4" w:space="0" w:color="auto"/>
              <w:bottom w:val="single" w:sz="4" w:space="0" w:color="auto"/>
              <w:right w:val="single" w:sz="4" w:space="0" w:color="auto"/>
            </w:tcBorders>
          </w:tcPr>
          <w:p w:rsidR="00000000" w:rsidRDefault="00000000">
            <w:pPr>
              <w:spacing w:line="240" w:lineRule="auto"/>
              <w:jc w:val="right"/>
            </w:pPr>
            <w:r>
              <w:t>1995</w:t>
            </w:r>
          </w:p>
        </w:tc>
        <w:tc>
          <w:tcPr>
            <w:tcW w:w="922" w:type="dxa"/>
            <w:tcBorders>
              <w:left w:val="single" w:sz="4" w:space="0" w:color="auto"/>
              <w:bottom w:val="single" w:sz="4" w:space="0" w:color="auto"/>
              <w:right w:val="single" w:sz="4" w:space="0" w:color="auto"/>
            </w:tcBorders>
          </w:tcPr>
          <w:p w:rsidR="00000000" w:rsidRDefault="00000000">
            <w:pPr>
              <w:spacing w:line="240" w:lineRule="auto"/>
              <w:jc w:val="right"/>
            </w:pPr>
            <w:r>
              <w:t>1996</w:t>
            </w:r>
          </w:p>
        </w:tc>
        <w:tc>
          <w:tcPr>
            <w:tcW w:w="923" w:type="dxa"/>
            <w:tcBorders>
              <w:left w:val="single" w:sz="4" w:space="0" w:color="auto"/>
              <w:bottom w:val="single" w:sz="4" w:space="0" w:color="auto"/>
              <w:right w:val="single" w:sz="4" w:space="0" w:color="auto"/>
            </w:tcBorders>
          </w:tcPr>
          <w:p w:rsidR="00000000" w:rsidRDefault="00000000">
            <w:pPr>
              <w:spacing w:line="240" w:lineRule="auto"/>
              <w:jc w:val="right"/>
            </w:pPr>
            <w:r>
              <w:t>1997</w:t>
            </w:r>
          </w:p>
        </w:tc>
        <w:tc>
          <w:tcPr>
            <w:tcW w:w="923" w:type="dxa"/>
            <w:tcBorders>
              <w:left w:val="single" w:sz="4" w:space="0" w:color="auto"/>
              <w:bottom w:val="single" w:sz="4" w:space="0" w:color="auto"/>
              <w:right w:val="single" w:sz="4" w:space="0" w:color="auto"/>
            </w:tcBorders>
          </w:tcPr>
          <w:p w:rsidR="00000000" w:rsidRDefault="00000000">
            <w:pPr>
              <w:spacing w:line="240" w:lineRule="auto"/>
              <w:jc w:val="right"/>
            </w:pPr>
            <w:r>
              <w:t>1998</w:t>
            </w:r>
          </w:p>
        </w:tc>
      </w:tr>
      <w:tr w:rsidR="00000000">
        <w:tblPrEx>
          <w:tblCellMar>
            <w:top w:w="0" w:type="dxa"/>
            <w:bottom w:w="0" w:type="dxa"/>
          </w:tblCellMar>
        </w:tblPrEx>
        <w:tc>
          <w:tcPr>
            <w:tcW w:w="4035" w:type="dxa"/>
            <w:tcBorders>
              <w:top w:val="single" w:sz="4" w:space="0" w:color="auto"/>
              <w:left w:val="single" w:sz="4" w:space="0" w:color="auto"/>
              <w:bottom w:val="nil"/>
              <w:right w:val="single" w:sz="4" w:space="0" w:color="auto"/>
            </w:tcBorders>
          </w:tcPr>
          <w:p w:rsidR="00000000" w:rsidRDefault="00000000">
            <w:pPr>
              <w:spacing w:line="240" w:lineRule="auto"/>
            </w:pPr>
            <w:r>
              <w:t>Число сотрудников (в тыс. человек)</w:t>
            </w:r>
          </w:p>
        </w:tc>
        <w:tc>
          <w:tcPr>
            <w:tcW w:w="922" w:type="dxa"/>
            <w:tcBorders>
              <w:top w:val="single" w:sz="4" w:space="0" w:color="auto"/>
              <w:left w:val="single" w:sz="4" w:space="0" w:color="auto"/>
              <w:bottom w:val="nil"/>
              <w:right w:val="single" w:sz="4" w:space="0" w:color="auto"/>
            </w:tcBorders>
          </w:tcPr>
          <w:p w:rsidR="00000000" w:rsidRDefault="00000000">
            <w:pPr>
              <w:spacing w:line="240" w:lineRule="auto"/>
              <w:jc w:val="right"/>
            </w:pPr>
            <w:r>
              <w:t>106</w:t>
            </w:r>
          </w:p>
        </w:tc>
        <w:tc>
          <w:tcPr>
            <w:tcW w:w="923" w:type="dxa"/>
            <w:tcBorders>
              <w:top w:val="single" w:sz="4" w:space="0" w:color="auto"/>
              <w:left w:val="single" w:sz="4" w:space="0" w:color="auto"/>
              <w:bottom w:val="nil"/>
              <w:right w:val="single" w:sz="4" w:space="0" w:color="auto"/>
            </w:tcBorders>
          </w:tcPr>
          <w:p w:rsidR="00000000" w:rsidRDefault="00000000">
            <w:pPr>
              <w:spacing w:line="240" w:lineRule="auto"/>
              <w:jc w:val="right"/>
            </w:pPr>
            <w:r>
              <w:t>39</w:t>
            </w:r>
          </w:p>
        </w:tc>
        <w:tc>
          <w:tcPr>
            <w:tcW w:w="923" w:type="dxa"/>
            <w:tcBorders>
              <w:top w:val="single" w:sz="4" w:space="0" w:color="auto"/>
              <w:left w:val="single" w:sz="4" w:space="0" w:color="auto"/>
              <w:bottom w:val="nil"/>
              <w:right w:val="single" w:sz="4" w:space="0" w:color="auto"/>
            </w:tcBorders>
          </w:tcPr>
          <w:p w:rsidR="00000000" w:rsidRDefault="00000000">
            <w:pPr>
              <w:spacing w:line="240" w:lineRule="auto"/>
              <w:jc w:val="right"/>
            </w:pPr>
            <w:r>
              <w:t>48</w:t>
            </w:r>
          </w:p>
        </w:tc>
        <w:tc>
          <w:tcPr>
            <w:tcW w:w="922" w:type="dxa"/>
            <w:tcBorders>
              <w:top w:val="single" w:sz="4" w:space="0" w:color="auto"/>
              <w:left w:val="single" w:sz="4" w:space="0" w:color="auto"/>
              <w:bottom w:val="nil"/>
              <w:right w:val="single" w:sz="4" w:space="0" w:color="auto"/>
            </w:tcBorders>
          </w:tcPr>
          <w:p w:rsidR="00000000" w:rsidRDefault="00000000">
            <w:pPr>
              <w:spacing w:line="240" w:lineRule="auto"/>
              <w:jc w:val="right"/>
            </w:pPr>
            <w:r>
              <w:t>50</w:t>
            </w:r>
          </w:p>
        </w:tc>
        <w:tc>
          <w:tcPr>
            <w:tcW w:w="923" w:type="dxa"/>
            <w:tcBorders>
              <w:top w:val="single" w:sz="4" w:space="0" w:color="auto"/>
              <w:left w:val="single" w:sz="4" w:space="0" w:color="auto"/>
              <w:bottom w:val="nil"/>
              <w:right w:val="single" w:sz="4" w:space="0" w:color="auto"/>
            </w:tcBorders>
          </w:tcPr>
          <w:p w:rsidR="00000000" w:rsidRDefault="00000000">
            <w:pPr>
              <w:spacing w:line="240" w:lineRule="auto"/>
              <w:jc w:val="right"/>
            </w:pPr>
            <w:r>
              <w:t>52</w:t>
            </w:r>
          </w:p>
        </w:tc>
        <w:tc>
          <w:tcPr>
            <w:tcW w:w="923" w:type="dxa"/>
            <w:tcBorders>
              <w:top w:val="single" w:sz="4" w:space="0" w:color="auto"/>
              <w:left w:val="single" w:sz="4" w:space="0" w:color="auto"/>
              <w:bottom w:val="nil"/>
              <w:right w:val="single" w:sz="4" w:space="0" w:color="auto"/>
            </w:tcBorders>
          </w:tcPr>
          <w:p w:rsidR="00000000" w:rsidRDefault="00000000">
            <w:pPr>
              <w:spacing w:line="240" w:lineRule="auto"/>
              <w:jc w:val="right"/>
            </w:pPr>
            <w:r>
              <w:t>51</w:t>
            </w:r>
          </w:p>
        </w:tc>
      </w:tr>
      <w:tr w:rsidR="00000000">
        <w:tblPrEx>
          <w:tblCellMar>
            <w:top w:w="0" w:type="dxa"/>
            <w:bottom w:w="0" w:type="dxa"/>
          </w:tblCellMar>
        </w:tblPrEx>
        <w:tc>
          <w:tcPr>
            <w:tcW w:w="4035" w:type="dxa"/>
            <w:tcBorders>
              <w:top w:val="nil"/>
              <w:left w:val="single" w:sz="4" w:space="0" w:color="auto"/>
              <w:bottom w:val="nil"/>
              <w:right w:val="single" w:sz="4" w:space="0" w:color="auto"/>
            </w:tcBorders>
          </w:tcPr>
          <w:p w:rsidR="00000000" w:rsidRDefault="00000000">
            <w:pPr>
              <w:spacing w:line="240" w:lineRule="auto"/>
              <w:ind w:left="374" w:hanging="374"/>
            </w:pPr>
            <w:r>
              <w:t>Выделение неинвестиционных средств на развитие науки и техники (в млн. чешских крон)</w:t>
            </w:r>
          </w:p>
        </w:tc>
        <w:tc>
          <w:tcPr>
            <w:tcW w:w="922" w:type="dxa"/>
            <w:tcBorders>
              <w:top w:val="nil"/>
              <w:left w:val="single" w:sz="4" w:space="0" w:color="auto"/>
              <w:bottom w:val="nil"/>
              <w:right w:val="single" w:sz="4" w:space="0" w:color="auto"/>
            </w:tcBorders>
          </w:tcPr>
          <w:p w:rsidR="00000000" w:rsidRDefault="00000000">
            <w:pPr>
              <w:spacing w:line="240" w:lineRule="auto"/>
              <w:jc w:val="right"/>
            </w:pPr>
            <w:r>
              <w:t>10 763</w:t>
            </w:r>
          </w:p>
        </w:tc>
        <w:tc>
          <w:tcPr>
            <w:tcW w:w="923" w:type="dxa"/>
            <w:tcBorders>
              <w:top w:val="nil"/>
              <w:left w:val="single" w:sz="4" w:space="0" w:color="auto"/>
              <w:bottom w:val="nil"/>
              <w:right w:val="single" w:sz="4" w:space="0" w:color="auto"/>
            </w:tcBorders>
          </w:tcPr>
          <w:p w:rsidR="00000000" w:rsidRDefault="00000000">
            <w:pPr>
              <w:spacing w:line="240" w:lineRule="auto"/>
              <w:jc w:val="right"/>
            </w:pPr>
            <w:r>
              <w:t>11 215</w:t>
            </w:r>
          </w:p>
        </w:tc>
        <w:tc>
          <w:tcPr>
            <w:tcW w:w="923" w:type="dxa"/>
            <w:tcBorders>
              <w:top w:val="nil"/>
              <w:left w:val="single" w:sz="4" w:space="0" w:color="auto"/>
              <w:bottom w:val="nil"/>
              <w:right w:val="single" w:sz="4" w:space="0" w:color="auto"/>
            </w:tcBorders>
          </w:tcPr>
          <w:p w:rsidR="00000000" w:rsidRDefault="00000000">
            <w:pPr>
              <w:spacing w:line="240" w:lineRule="auto"/>
              <w:jc w:val="right"/>
            </w:pPr>
            <w:r>
              <w:t>12 431</w:t>
            </w:r>
          </w:p>
        </w:tc>
        <w:tc>
          <w:tcPr>
            <w:tcW w:w="922" w:type="dxa"/>
            <w:tcBorders>
              <w:top w:val="nil"/>
              <w:left w:val="single" w:sz="4" w:space="0" w:color="auto"/>
              <w:bottom w:val="nil"/>
              <w:right w:val="single" w:sz="4" w:space="0" w:color="auto"/>
            </w:tcBorders>
          </w:tcPr>
          <w:p w:rsidR="00000000" w:rsidRDefault="00000000">
            <w:pPr>
              <w:spacing w:line="240" w:lineRule="auto"/>
              <w:jc w:val="right"/>
            </w:pPr>
            <w:r>
              <w:t>14 031</w:t>
            </w:r>
          </w:p>
        </w:tc>
        <w:tc>
          <w:tcPr>
            <w:tcW w:w="923" w:type="dxa"/>
            <w:tcBorders>
              <w:top w:val="nil"/>
              <w:left w:val="single" w:sz="4" w:space="0" w:color="auto"/>
              <w:bottom w:val="nil"/>
              <w:right w:val="single" w:sz="4" w:space="0" w:color="auto"/>
            </w:tcBorders>
          </w:tcPr>
          <w:p w:rsidR="00000000" w:rsidRDefault="00000000">
            <w:pPr>
              <w:spacing w:line="240" w:lineRule="auto"/>
              <w:jc w:val="right"/>
            </w:pPr>
            <w:r>
              <w:t>16 870</w:t>
            </w:r>
          </w:p>
        </w:tc>
        <w:tc>
          <w:tcPr>
            <w:tcW w:w="923" w:type="dxa"/>
            <w:tcBorders>
              <w:top w:val="nil"/>
              <w:left w:val="single" w:sz="4" w:space="0" w:color="auto"/>
              <w:bottom w:val="nil"/>
              <w:right w:val="single" w:sz="4" w:space="0" w:color="auto"/>
            </w:tcBorders>
          </w:tcPr>
          <w:p w:rsidR="00000000" w:rsidRDefault="00000000">
            <w:pPr>
              <w:spacing w:line="240" w:lineRule="auto"/>
              <w:jc w:val="right"/>
            </w:pPr>
            <w:r>
              <w:t>20 136</w:t>
            </w:r>
          </w:p>
        </w:tc>
      </w:tr>
      <w:tr w:rsidR="00000000">
        <w:tblPrEx>
          <w:tblCellMar>
            <w:top w:w="0" w:type="dxa"/>
            <w:bottom w:w="0" w:type="dxa"/>
          </w:tblCellMar>
        </w:tblPrEx>
        <w:tc>
          <w:tcPr>
            <w:tcW w:w="4035" w:type="dxa"/>
            <w:tcBorders>
              <w:top w:val="nil"/>
              <w:left w:val="single" w:sz="4" w:space="0" w:color="auto"/>
              <w:bottom w:val="nil"/>
              <w:right w:val="single" w:sz="4" w:space="0" w:color="auto"/>
            </w:tcBorders>
            <w:vAlign w:val="bottom"/>
          </w:tcPr>
          <w:p w:rsidR="00000000" w:rsidRDefault="00000000">
            <w:pPr>
              <w:tabs>
                <w:tab w:val="clear" w:pos="567"/>
              </w:tabs>
              <w:spacing w:line="240" w:lineRule="auto"/>
              <w:ind w:left="374" w:hanging="374"/>
            </w:pPr>
            <w:r>
              <w:tab/>
              <w:t>в том числе из государственного бюджета</w:t>
            </w:r>
          </w:p>
        </w:tc>
        <w:tc>
          <w:tcPr>
            <w:tcW w:w="922" w:type="dxa"/>
            <w:tcBorders>
              <w:top w:val="nil"/>
              <w:left w:val="single" w:sz="4" w:space="0" w:color="auto"/>
              <w:bottom w:val="nil"/>
              <w:right w:val="single" w:sz="4" w:space="0" w:color="auto"/>
            </w:tcBorders>
            <w:vAlign w:val="bottom"/>
          </w:tcPr>
          <w:p w:rsidR="00000000" w:rsidRDefault="00000000">
            <w:pPr>
              <w:spacing w:line="240" w:lineRule="auto"/>
              <w:jc w:val="right"/>
            </w:pPr>
            <w:r>
              <w:t>3 078</w:t>
            </w:r>
          </w:p>
        </w:tc>
        <w:tc>
          <w:tcPr>
            <w:tcW w:w="923" w:type="dxa"/>
            <w:tcBorders>
              <w:top w:val="nil"/>
              <w:left w:val="single" w:sz="4" w:space="0" w:color="auto"/>
              <w:bottom w:val="nil"/>
              <w:right w:val="single" w:sz="4" w:space="0" w:color="auto"/>
            </w:tcBorders>
            <w:vAlign w:val="bottom"/>
          </w:tcPr>
          <w:p w:rsidR="00000000" w:rsidRDefault="00000000">
            <w:pPr>
              <w:spacing w:line="240" w:lineRule="auto"/>
              <w:jc w:val="right"/>
            </w:pPr>
            <w:r>
              <w:t>2 982</w:t>
            </w:r>
          </w:p>
        </w:tc>
        <w:tc>
          <w:tcPr>
            <w:tcW w:w="923" w:type="dxa"/>
            <w:tcBorders>
              <w:top w:val="nil"/>
              <w:left w:val="single" w:sz="4" w:space="0" w:color="auto"/>
              <w:bottom w:val="nil"/>
              <w:right w:val="single" w:sz="4" w:space="0" w:color="auto"/>
            </w:tcBorders>
            <w:vAlign w:val="bottom"/>
          </w:tcPr>
          <w:p w:rsidR="00000000" w:rsidRDefault="00000000">
            <w:pPr>
              <w:spacing w:line="240" w:lineRule="auto"/>
              <w:jc w:val="right"/>
            </w:pPr>
            <w:r>
              <w:t>3 951</w:t>
            </w:r>
          </w:p>
        </w:tc>
        <w:tc>
          <w:tcPr>
            <w:tcW w:w="922" w:type="dxa"/>
            <w:tcBorders>
              <w:top w:val="nil"/>
              <w:left w:val="single" w:sz="4" w:space="0" w:color="auto"/>
              <w:bottom w:val="nil"/>
              <w:right w:val="single" w:sz="4" w:space="0" w:color="auto"/>
            </w:tcBorders>
            <w:vAlign w:val="bottom"/>
          </w:tcPr>
          <w:p w:rsidR="00000000" w:rsidRDefault="00000000">
            <w:pPr>
              <w:spacing w:line="240" w:lineRule="auto"/>
              <w:jc w:val="right"/>
            </w:pPr>
            <w:r>
              <w:t>5 077</w:t>
            </w:r>
          </w:p>
        </w:tc>
        <w:tc>
          <w:tcPr>
            <w:tcW w:w="923" w:type="dxa"/>
            <w:tcBorders>
              <w:top w:val="nil"/>
              <w:left w:val="single" w:sz="4" w:space="0" w:color="auto"/>
              <w:bottom w:val="nil"/>
              <w:right w:val="single" w:sz="4" w:space="0" w:color="auto"/>
            </w:tcBorders>
            <w:vAlign w:val="bottom"/>
          </w:tcPr>
          <w:p w:rsidR="00000000" w:rsidRDefault="00000000">
            <w:pPr>
              <w:spacing w:line="240" w:lineRule="auto"/>
              <w:jc w:val="right"/>
            </w:pPr>
            <w:r>
              <w:t>6 359</w:t>
            </w:r>
          </w:p>
        </w:tc>
        <w:tc>
          <w:tcPr>
            <w:tcW w:w="923" w:type="dxa"/>
            <w:tcBorders>
              <w:top w:val="nil"/>
              <w:left w:val="single" w:sz="4" w:space="0" w:color="auto"/>
              <w:bottom w:val="nil"/>
              <w:right w:val="single" w:sz="4" w:space="0" w:color="auto"/>
            </w:tcBorders>
            <w:vAlign w:val="bottom"/>
          </w:tcPr>
          <w:p w:rsidR="00000000" w:rsidRDefault="00000000">
            <w:pPr>
              <w:spacing w:line="240" w:lineRule="auto"/>
              <w:jc w:val="right"/>
            </w:pPr>
            <w:r>
              <w:t>7 219</w:t>
            </w:r>
          </w:p>
        </w:tc>
      </w:tr>
      <w:tr w:rsidR="00000000">
        <w:tblPrEx>
          <w:tblCellMar>
            <w:top w:w="0" w:type="dxa"/>
            <w:bottom w:w="0" w:type="dxa"/>
          </w:tblCellMar>
        </w:tblPrEx>
        <w:tc>
          <w:tcPr>
            <w:tcW w:w="4035" w:type="dxa"/>
            <w:tcBorders>
              <w:top w:val="nil"/>
              <w:left w:val="single" w:sz="4" w:space="0" w:color="auto"/>
              <w:bottom w:val="nil"/>
              <w:right w:val="single" w:sz="4" w:space="0" w:color="auto"/>
            </w:tcBorders>
          </w:tcPr>
          <w:p w:rsidR="00000000" w:rsidRDefault="00000000">
            <w:pPr>
              <w:tabs>
                <w:tab w:val="clear" w:pos="567"/>
              </w:tabs>
              <w:spacing w:line="240" w:lineRule="auto"/>
              <w:ind w:left="374" w:hanging="374"/>
            </w:pPr>
            <w:r>
              <w:t>Инвестиционные ассигнования на развитие науки и техники (в</w:t>
            </w:r>
            <w:r>
              <w:rPr>
                <w:lang w:val="en-US"/>
              </w:rPr>
              <w:t> </w:t>
            </w:r>
            <w:r>
              <w:t>млн. чешских крон)</w:t>
            </w:r>
          </w:p>
        </w:tc>
        <w:tc>
          <w:tcPr>
            <w:tcW w:w="922" w:type="dxa"/>
            <w:tcBorders>
              <w:top w:val="nil"/>
              <w:left w:val="single" w:sz="4" w:space="0" w:color="auto"/>
              <w:bottom w:val="nil"/>
              <w:right w:val="single" w:sz="4" w:space="0" w:color="auto"/>
            </w:tcBorders>
          </w:tcPr>
          <w:p w:rsidR="00000000" w:rsidRDefault="00000000">
            <w:pPr>
              <w:spacing w:line="240" w:lineRule="auto"/>
              <w:jc w:val="right"/>
            </w:pPr>
            <w:r>
              <w:t>1 652</w:t>
            </w:r>
          </w:p>
        </w:tc>
        <w:tc>
          <w:tcPr>
            <w:tcW w:w="923" w:type="dxa"/>
            <w:tcBorders>
              <w:top w:val="nil"/>
              <w:left w:val="single" w:sz="4" w:space="0" w:color="auto"/>
              <w:bottom w:val="nil"/>
              <w:right w:val="single" w:sz="4" w:space="0" w:color="auto"/>
            </w:tcBorders>
          </w:tcPr>
          <w:p w:rsidR="00000000" w:rsidRDefault="00000000">
            <w:pPr>
              <w:spacing w:line="240" w:lineRule="auto"/>
              <w:jc w:val="right"/>
            </w:pPr>
            <w:r>
              <w:t>1 768</w:t>
            </w:r>
          </w:p>
        </w:tc>
        <w:tc>
          <w:tcPr>
            <w:tcW w:w="923" w:type="dxa"/>
            <w:tcBorders>
              <w:top w:val="nil"/>
              <w:left w:val="single" w:sz="4" w:space="0" w:color="auto"/>
              <w:bottom w:val="nil"/>
              <w:right w:val="single" w:sz="4" w:space="0" w:color="auto"/>
            </w:tcBorders>
          </w:tcPr>
          <w:p w:rsidR="00000000" w:rsidRDefault="00000000">
            <w:pPr>
              <w:spacing w:line="240" w:lineRule="auto"/>
              <w:jc w:val="right"/>
            </w:pPr>
            <w:r>
              <w:t>1 551</w:t>
            </w:r>
          </w:p>
        </w:tc>
        <w:tc>
          <w:tcPr>
            <w:tcW w:w="922" w:type="dxa"/>
            <w:tcBorders>
              <w:top w:val="nil"/>
              <w:left w:val="single" w:sz="4" w:space="0" w:color="auto"/>
              <w:bottom w:val="nil"/>
              <w:right w:val="single" w:sz="4" w:space="0" w:color="auto"/>
            </w:tcBorders>
          </w:tcPr>
          <w:p w:rsidR="00000000" w:rsidRDefault="00000000">
            <w:pPr>
              <w:spacing w:line="240" w:lineRule="auto"/>
              <w:jc w:val="right"/>
            </w:pPr>
            <w:r>
              <w:t>2 226</w:t>
            </w:r>
          </w:p>
        </w:tc>
        <w:tc>
          <w:tcPr>
            <w:tcW w:w="923" w:type="dxa"/>
            <w:tcBorders>
              <w:top w:val="nil"/>
              <w:left w:val="single" w:sz="4" w:space="0" w:color="auto"/>
              <w:bottom w:val="nil"/>
              <w:right w:val="single" w:sz="4" w:space="0" w:color="auto"/>
            </w:tcBorders>
          </w:tcPr>
          <w:p w:rsidR="00000000" w:rsidRDefault="00000000">
            <w:pPr>
              <w:spacing w:line="240" w:lineRule="auto"/>
              <w:jc w:val="right"/>
            </w:pPr>
            <w:r>
              <w:t>2 607</w:t>
            </w:r>
          </w:p>
        </w:tc>
        <w:tc>
          <w:tcPr>
            <w:tcW w:w="923" w:type="dxa"/>
            <w:tcBorders>
              <w:top w:val="nil"/>
              <w:left w:val="single" w:sz="4" w:space="0" w:color="auto"/>
              <w:bottom w:val="nil"/>
              <w:right w:val="single" w:sz="4" w:space="0" w:color="auto"/>
            </w:tcBorders>
          </w:tcPr>
          <w:p w:rsidR="00000000" w:rsidRDefault="00000000">
            <w:pPr>
              <w:spacing w:line="240" w:lineRule="auto"/>
              <w:jc w:val="right"/>
            </w:pPr>
            <w:r>
              <w:t>2 729</w:t>
            </w:r>
          </w:p>
        </w:tc>
      </w:tr>
      <w:tr w:rsidR="00000000">
        <w:tblPrEx>
          <w:tblCellMar>
            <w:top w:w="0" w:type="dxa"/>
            <w:bottom w:w="0" w:type="dxa"/>
          </w:tblCellMar>
        </w:tblPrEx>
        <w:tc>
          <w:tcPr>
            <w:tcW w:w="4035" w:type="dxa"/>
            <w:tcBorders>
              <w:top w:val="nil"/>
              <w:left w:val="single" w:sz="4" w:space="0" w:color="auto"/>
              <w:bottom w:val="single" w:sz="4" w:space="0" w:color="auto"/>
              <w:right w:val="single" w:sz="4" w:space="0" w:color="auto"/>
            </w:tcBorders>
          </w:tcPr>
          <w:p w:rsidR="00000000" w:rsidRDefault="00000000">
            <w:pPr>
              <w:tabs>
                <w:tab w:val="clear" w:pos="567"/>
              </w:tabs>
              <w:spacing w:line="240" w:lineRule="auto"/>
              <w:ind w:left="374" w:hanging="374"/>
            </w:pPr>
            <w:r>
              <w:t>Число независимых организаций, ведущих научные исследования и разработки</w:t>
            </w:r>
          </w:p>
        </w:tc>
        <w:tc>
          <w:tcPr>
            <w:tcW w:w="922" w:type="dxa"/>
            <w:tcBorders>
              <w:top w:val="nil"/>
              <w:left w:val="single" w:sz="4" w:space="0" w:color="auto"/>
              <w:bottom w:val="single" w:sz="4" w:space="0" w:color="auto"/>
              <w:right w:val="single" w:sz="4" w:space="0" w:color="auto"/>
            </w:tcBorders>
          </w:tcPr>
          <w:p w:rsidR="00000000" w:rsidRDefault="00000000">
            <w:pPr>
              <w:spacing w:line="240" w:lineRule="auto"/>
              <w:jc w:val="right"/>
            </w:pPr>
            <w:r>
              <w:t>233</w:t>
            </w:r>
          </w:p>
        </w:tc>
        <w:tc>
          <w:tcPr>
            <w:tcW w:w="923" w:type="dxa"/>
            <w:tcBorders>
              <w:top w:val="nil"/>
              <w:left w:val="single" w:sz="4" w:space="0" w:color="auto"/>
              <w:bottom w:val="single" w:sz="4" w:space="0" w:color="auto"/>
              <w:right w:val="single" w:sz="4" w:space="0" w:color="auto"/>
            </w:tcBorders>
          </w:tcPr>
          <w:p w:rsidR="00000000" w:rsidRDefault="00000000">
            <w:pPr>
              <w:spacing w:line="240" w:lineRule="auto"/>
              <w:jc w:val="right"/>
            </w:pPr>
            <w:r>
              <w:t>149</w:t>
            </w:r>
          </w:p>
        </w:tc>
        <w:tc>
          <w:tcPr>
            <w:tcW w:w="923" w:type="dxa"/>
            <w:tcBorders>
              <w:top w:val="nil"/>
              <w:left w:val="single" w:sz="4" w:space="0" w:color="auto"/>
              <w:bottom w:val="single" w:sz="4" w:space="0" w:color="auto"/>
              <w:right w:val="single" w:sz="4" w:space="0" w:color="auto"/>
            </w:tcBorders>
          </w:tcPr>
          <w:p w:rsidR="00000000" w:rsidRDefault="00000000">
            <w:pPr>
              <w:spacing w:line="240" w:lineRule="auto"/>
              <w:jc w:val="right"/>
            </w:pPr>
            <w:r>
              <w:t>146</w:t>
            </w:r>
          </w:p>
        </w:tc>
        <w:tc>
          <w:tcPr>
            <w:tcW w:w="922" w:type="dxa"/>
            <w:tcBorders>
              <w:top w:val="nil"/>
              <w:left w:val="single" w:sz="4" w:space="0" w:color="auto"/>
              <w:bottom w:val="single" w:sz="4" w:space="0" w:color="auto"/>
              <w:right w:val="single" w:sz="4" w:space="0" w:color="auto"/>
            </w:tcBorders>
          </w:tcPr>
          <w:p w:rsidR="00000000" w:rsidRDefault="00000000">
            <w:pPr>
              <w:spacing w:line="240" w:lineRule="auto"/>
              <w:jc w:val="right"/>
            </w:pPr>
            <w:r>
              <w:t>141</w:t>
            </w:r>
          </w:p>
        </w:tc>
        <w:tc>
          <w:tcPr>
            <w:tcW w:w="923" w:type="dxa"/>
            <w:tcBorders>
              <w:top w:val="nil"/>
              <w:left w:val="single" w:sz="4" w:space="0" w:color="auto"/>
              <w:bottom w:val="single" w:sz="4" w:space="0" w:color="auto"/>
              <w:right w:val="single" w:sz="4" w:space="0" w:color="auto"/>
            </w:tcBorders>
          </w:tcPr>
          <w:p w:rsidR="00000000" w:rsidRDefault="00000000">
            <w:pPr>
              <w:spacing w:line="240" w:lineRule="auto"/>
              <w:jc w:val="right"/>
            </w:pPr>
            <w:r>
              <w:t>145</w:t>
            </w:r>
          </w:p>
        </w:tc>
        <w:tc>
          <w:tcPr>
            <w:tcW w:w="923" w:type="dxa"/>
            <w:tcBorders>
              <w:top w:val="nil"/>
              <w:left w:val="single" w:sz="4" w:space="0" w:color="auto"/>
              <w:bottom w:val="single" w:sz="4" w:space="0" w:color="auto"/>
              <w:right w:val="single" w:sz="4" w:space="0" w:color="auto"/>
            </w:tcBorders>
          </w:tcPr>
          <w:p w:rsidR="00000000" w:rsidRDefault="00000000">
            <w:pPr>
              <w:spacing w:line="240" w:lineRule="auto"/>
              <w:jc w:val="right"/>
            </w:pPr>
            <w:r>
              <w:t>138</w:t>
            </w:r>
          </w:p>
        </w:tc>
      </w:tr>
    </w:tbl>
    <w:p w:rsidR="00000000" w:rsidRDefault="00000000">
      <w:pPr>
        <w:spacing w:line="240" w:lineRule="auto"/>
      </w:pPr>
    </w:p>
    <w:p w:rsidR="00000000" w:rsidRDefault="00000000">
      <w:pPr>
        <w:spacing w:line="240" w:lineRule="auto"/>
        <w:rPr>
          <w:lang w:val="en-US"/>
        </w:rPr>
      </w:pPr>
      <w:r>
        <w:tab/>
      </w:r>
      <w:r>
        <w:rPr>
          <w:u w:val="single"/>
        </w:rPr>
        <w:t>Источник</w:t>
      </w:r>
      <w:r>
        <w:rPr>
          <w:lang w:val="en-US"/>
        </w:rPr>
        <w:t>:  Statistical Yearbook of the CR, 1999.</w:t>
      </w:r>
    </w:p>
    <w:p w:rsidR="00000000" w:rsidRDefault="00000000">
      <w:pPr>
        <w:rPr>
          <w:lang w:val="en-US"/>
        </w:rPr>
      </w:pPr>
    </w:p>
    <w:p w:rsidR="00000000" w:rsidRDefault="00000000">
      <w:pPr>
        <w:pStyle w:val="BodyText"/>
        <w:spacing w:line="288" w:lineRule="auto"/>
      </w:pPr>
      <w:r>
        <w:t>Право на пользование защитой моральных и материальных интересов, возникающих в связи с любыми научными, литературными или художественными трудами</w:t>
      </w:r>
    </w:p>
    <w:p w:rsidR="00000000" w:rsidRDefault="00000000">
      <w:pPr>
        <w:pStyle w:val="BodyText"/>
        <w:spacing w:line="288" w:lineRule="auto"/>
      </w:pPr>
    </w:p>
    <w:p w:rsidR="00000000" w:rsidRDefault="00000000">
      <w:r>
        <w:t>712.</w:t>
      </w:r>
      <w:r>
        <w:tab/>
        <w:t>В Чешской Республике защита прав интеллектуальной собственности, вытекающих из научного, технического и иного специализированного творческого труда, обеспечивается главным образом путем осуществления обязательств, вытекающих из международных договоров, к которым присоединилась Чешская Республика и которые имеют для нее обязательную юридическую силу, а также из членства Чешской Республики в международных организациях по защите прав интеллектуальной собственности.  Система защиты прав интеллектуальной собственности включает защиту авторских и связанных с авторством прав, а также защиту промышленных прав.</w:t>
      </w:r>
    </w:p>
    <w:p w:rsidR="00000000" w:rsidRDefault="00000000"/>
    <w:p w:rsidR="00000000" w:rsidRDefault="00000000">
      <w:r>
        <w:t>713.</w:t>
      </w:r>
      <w:r>
        <w:tab/>
        <w:t>В основном международные обязательства вытекают из:</w:t>
      </w:r>
    </w:p>
    <w:p w:rsidR="00000000" w:rsidRDefault="00000000"/>
    <w:p w:rsidR="00000000" w:rsidRDefault="00000000">
      <w:r>
        <w:tab/>
        <w:t>а)</w:t>
      </w:r>
      <w:r>
        <w:tab/>
        <w:t>Договора о создании Всемирной торговой организации</w:t>
      </w:r>
      <w:r>
        <w:rPr>
          <w:rStyle w:val="FootnoteReference"/>
        </w:rPr>
        <w:footnoteReference w:id="411"/>
      </w:r>
      <w:r>
        <w:t>, который был подписан от имени Чешской Республики 15 апреля 1994 года в Марракеше.  Одной из неотъемлемых и имеющих обязательную юридическую силу частей этого договора является Соглашение по торговым аспектам прав интеллектуальной собственности (ТАПИС)</w:t>
      </w:r>
      <w:r>
        <w:rPr>
          <w:rStyle w:val="FootnoteReference"/>
        </w:rPr>
        <w:footnoteReference w:id="412"/>
      </w:r>
      <w:r>
        <w:t xml:space="preserve">.  </w:t>
      </w:r>
    </w:p>
    <w:p w:rsidR="00000000" w:rsidRDefault="00000000"/>
    <w:p w:rsidR="00000000" w:rsidRDefault="00000000">
      <w:r>
        <w:br w:type="page"/>
      </w:r>
      <w:r>
        <w:tab/>
        <w:t>b)</w:t>
      </w:r>
      <w:r>
        <w:tab/>
        <w:t>Конвенции о создании Всемирной организации интеллектуальной собственности</w:t>
      </w:r>
      <w:r>
        <w:rPr>
          <w:rStyle w:val="FootnoteReference"/>
        </w:rPr>
        <w:footnoteReference w:id="413"/>
      </w:r>
      <w:r>
        <w:t>, а также Парижской конвенции</w:t>
      </w:r>
      <w:r>
        <w:rPr>
          <w:rStyle w:val="FootnoteReference"/>
        </w:rPr>
        <w:footnoteReference w:id="414"/>
      </w:r>
      <w:r>
        <w:t>, Мадридского соглашения</w:t>
      </w:r>
      <w:r>
        <w:rPr>
          <w:rStyle w:val="FootnoteReference"/>
        </w:rPr>
        <w:footnoteReference w:id="415"/>
      </w:r>
      <w:r>
        <w:t>, Протокола к Мадридскому соглашению</w:t>
      </w:r>
      <w:r>
        <w:rPr>
          <w:rStyle w:val="FootnoteReference"/>
        </w:rPr>
        <w:footnoteReference w:id="416"/>
      </w:r>
      <w:r>
        <w:t>, Ниццского соглашения</w:t>
      </w:r>
      <w:r>
        <w:rPr>
          <w:rStyle w:val="FootnoteReference"/>
        </w:rPr>
        <w:footnoteReference w:id="417"/>
      </w:r>
      <w:r>
        <w:t>, Лиссабонского соглашения</w:t>
      </w:r>
      <w:r>
        <w:rPr>
          <w:rStyle w:val="FootnoteReference"/>
        </w:rPr>
        <w:footnoteReference w:id="418"/>
      </w:r>
      <w:r>
        <w:t>, Локарнского соглашения</w:t>
      </w:r>
      <w:r>
        <w:rPr>
          <w:rStyle w:val="FootnoteReference"/>
        </w:rPr>
        <w:footnoteReference w:id="419"/>
      </w:r>
      <w:r>
        <w:t>, Страсбургского соглашения</w:t>
      </w:r>
      <w:r>
        <w:rPr>
          <w:rStyle w:val="FootnoteReference"/>
        </w:rPr>
        <w:footnoteReference w:id="420"/>
      </w:r>
      <w:r>
        <w:t>, Будапештского договора</w:t>
      </w:r>
      <w:r>
        <w:rPr>
          <w:rStyle w:val="FootnoteReference"/>
        </w:rPr>
        <w:footnoteReference w:id="421"/>
      </w:r>
      <w:r>
        <w:t>, Гаагского соглашения (по международному депонированию промышленных образцов), Договора о праве на торговую марку</w:t>
      </w:r>
      <w:r>
        <w:rPr>
          <w:rStyle w:val="FootnoteReference"/>
        </w:rPr>
        <w:footnoteReference w:id="422"/>
      </w:r>
      <w:r>
        <w:t>, Договора о патентном сотрудничестве</w:t>
      </w:r>
      <w:r>
        <w:rPr>
          <w:rStyle w:val="FootnoteReference"/>
        </w:rPr>
        <w:footnoteReference w:id="423"/>
      </w:r>
      <w:r>
        <w:t>, Бернской конвенции (Конвенции об охране литературных и художественных произведений)</w:t>
      </w:r>
      <w:r>
        <w:rPr>
          <w:rStyle w:val="FootnoteReference"/>
        </w:rPr>
        <w:footnoteReference w:id="424"/>
      </w:r>
      <w:r>
        <w:t xml:space="preserve">, Римской конвенции (Конвенции об охране прав </w:t>
      </w:r>
    </w:p>
    <w:p w:rsidR="00000000" w:rsidRDefault="00000000">
      <w:r>
        <w:t>артистов-исполнителей, производителей фонограмм и органов радиовещания)</w:t>
      </w:r>
      <w:r>
        <w:rPr>
          <w:rStyle w:val="FootnoteReference"/>
        </w:rPr>
        <w:footnoteReference w:id="425"/>
      </w:r>
      <w:r>
        <w:t>.</w:t>
      </w:r>
    </w:p>
    <w:p w:rsidR="00000000" w:rsidRDefault="00000000"/>
    <w:p w:rsidR="00000000" w:rsidRDefault="00000000">
      <w:r>
        <w:tab/>
        <w:t>Эти права также изложены в общих нормах гражданского и уголовного права и в специальных нормативных актах и охраняются ими.</w:t>
      </w:r>
    </w:p>
    <w:p w:rsidR="00000000" w:rsidRDefault="00000000"/>
    <w:p w:rsidR="00000000" w:rsidRDefault="00000000">
      <w:r>
        <w:t>714.</w:t>
      </w:r>
      <w:r>
        <w:tab/>
        <w:t>Порядок осуществления авторских и связанных с авторством прав изложен в Законе о литературных, научных и художественных произведениях (Законе об авторских правах)</w:t>
      </w:r>
      <w:r>
        <w:rPr>
          <w:rStyle w:val="FootnoteReference"/>
        </w:rPr>
        <w:footnoteReference w:id="426"/>
      </w:r>
      <w:r>
        <w:t>.  С 1989 года в этот закон пять раз вносились поправки.  Кроме того, охрана авторских прав была в большей степени согласована с нормами, применяемыми в развитых странах, которые, подобно Чешской Республике, являются государствами - участниками международных конвенций об авторских правах.</w:t>
      </w:r>
    </w:p>
    <w:p w:rsidR="00000000" w:rsidRDefault="00000000"/>
    <w:p w:rsidR="00000000" w:rsidRDefault="00000000">
      <w:r>
        <w:t>715.</w:t>
      </w:r>
      <w:r>
        <w:tab/>
        <w:t xml:space="preserve">Закон об авторских правах Чешской Республики охраняет личные права и права собственности авторов литературных, научных и художественных произведений на протяжении жизни автора и в течение 50 лет после его смерти, что, в частности, касается литературных, театральных, музыкальных и художественных произведений, включая архитектурные проекты и произведения "прикладного" искусства - фильмы, а также фотографические и картографические произведения.  Кроме того, с 1990 года в таком же порядке, как авторские права на литературные произведения, охраняются авторские права на компьютерные программы, если они соответствуют установленным характеристикам авторской работы.  Помимо этого, Закон предусматривает охрану произведений, созданных в ходе творческой переработки произведения другого автора, и переводов произведений, не затрагивая при этом охрану оригинальной авторской работы.  До настоящего времени период охраны авторских произведений, составляющий 50 лет после смерти автора, не согласован с нормами Европейского союза, предусматривающими охрану в течение после 70 лет после смерти автора.  Артисты-исполнители также пользуются правами, аналогичными правам авторов, гарантированным законом.  Их права осуществляются в рамках гарантии связанных с авторством прав, в частности прав продюсеров аудиозаписей и радио- и телепрограмм.  </w:t>
      </w:r>
    </w:p>
    <w:p w:rsidR="00000000" w:rsidRDefault="00000000"/>
    <w:p w:rsidR="00000000" w:rsidRDefault="00000000">
      <w:r>
        <w:t>716.</w:t>
      </w:r>
      <w:r>
        <w:tab/>
        <w:t>Поправки к Закону об авторских правах, внесенные в него в период 1990-1996 годов, касались тех областей, в которых имеют место самые серьезные нарушения прав интеллектуальной собственности.  В настоящее время положения об охране компьютерных программ в том же порядке, что и литературных произведений, предусматривают запрещение их копирования даже для личного использования.  Коммерческий прокат и аренда компакт-дисков разрешаются только с согласия авторов, артистов-исполнителей и продюсеров аудиозаписей (в настоящее время действует запрет на аренду компакт-дисков, введенный организациями артистов-исполнителей и продюсеров аудиозаписей).  Были приняты новые правовые нормы, предусматривающие привлечение к ответственности за производство, ввод в обращение и использование приспособлений, позволяющих нейтрализовывать технические устройства, которые защищают произведения от несанкционированного использования.  Кроме того, эти поправки позволили усилить контроль таможенных органов за несанкционированным распространением товаров.</w:t>
      </w:r>
    </w:p>
    <w:p w:rsidR="00000000" w:rsidRDefault="00000000"/>
    <w:p w:rsidR="00000000" w:rsidRDefault="00000000">
      <w:r>
        <w:t>717.</w:t>
      </w:r>
      <w:r>
        <w:tab/>
        <w:t>Коллективное осуществление авторских и связанных с авторством прав специальными организациями регламентируется особыми нормами о коллективном осуществлении авторских прав и прав, связанных с авторским правом</w:t>
      </w:r>
      <w:r>
        <w:rPr>
          <w:rStyle w:val="FootnoteReference"/>
        </w:rPr>
        <w:footnoteReference w:id="427"/>
      </w:r>
      <w:r>
        <w:t>.  Этот Закон позволяет организациям, которым решением министерства культуры предоставлены полномочия по коллективному осуществлению авторских прав, взимать сборы и средства в порядке компенсации в интересах обладателей прав (авторов) в тех случаях, когда правообладатель не может соответствующим образом сам осуществлять свои авторские права (например, при копировании произведений для частного использования, прокате, аренде или иных способах копирования общедоступных произведений).</w:t>
      </w:r>
    </w:p>
    <w:p w:rsidR="00000000" w:rsidRDefault="00000000"/>
    <w:p w:rsidR="00000000" w:rsidRDefault="00000000">
      <w:pPr>
        <w:tabs>
          <w:tab w:val="left" w:pos="8041"/>
        </w:tabs>
      </w:pPr>
      <w:r>
        <w:t>718.</w:t>
      </w:r>
      <w:r>
        <w:tab/>
        <w:t>В мае 1998 года правительство Чешской Республики утвердило основные направления нового закон об авторских правах</w:t>
      </w:r>
      <w:r>
        <w:rPr>
          <w:rStyle w:val="FootnoteReference"/>
        </w:rPr>
        <w:footnoteReference w:id="428"/>
      </w:r>
      <w:r>
        <w:t>, и в 1999 году министерство культуры в соответствии с ними подготовило законопроект, который в ноябре 1999 года был представлен правительством в парламент Чешской Республики на предмет обсуждения.  Если этот закон будет принят в его окончательной редакции, он вступит в силу в 2000 году.  Он предусматривает всеобъемлющее регулирование авторских прав, которое будет в полном объеме соответствовать нормам ЕС и международным конвенциям об авторских правах.  В проекте нового закона срок охраны прав на литературные и художественные произведения, ранее составлявший 50 лет после смерти автора, продлевается до 70 лет, что также подразумевает изменение срока охраны прав авторов, артистов-исполнителей, продюсеров аудиозаписей и кинопродюсеров.</w:t>
      </w:r>
    </w:p>
    <w:p w:rsidR="00000000" w:rsidRDefault="00000000">
      <w:pPr>
        <w:tabs>
          <w:tab w:val="left" w:pos="8041"/>
        </w:tabs>
      </w:pPr>
    </w:p>
    <w:p w:rsidR="00000000" w:rsidRDefault="00000000">
      <w:r>
        <w:t>719.</w:t>
      </w:r>
      <w:r>
        <w:tab/>
        <w:t>Новый закон об авторских правах будет по-новому регулировать права продюсеров аудиовизуальных записей, права издателей, а также особые права создателей баз данных.  Авторы, артисты-исполнители, продюсеры аудиозаписей и кинопродюсеры будут также иметь право на соразмерную компенсацию за копирование произведений и аудио- и аудиовизуальных записей для личного использования с незаписывающих носителей, воспроизводящего оборудования и оборудования, которое применяется для копирования, а также на компенсацию от лиц, предоставляющих услуги по копированию на основе торговой лицензии.</w:t>
      </w:r>
    </w:p>
    <w:p w:rsidR="00000000" w:rsidRDefault="00000000"/>
    <w:p w:rsidR="00000000" w:rsidRDefault="00000000">
      <w:r>
        <w:t>720.</w:t>
      </w:r>
      <w:r>
        <w:tab/>
        <w:t>Кроме того, новые правовые рамки будут предусматривать новые основные законодательные средства охраны и осуществления прав.  Правообладатели смогут прибегать к таким же средствам защиты, как и в случаях нарушения прав со стороны тех, кто производит и вводит в обращение технологические средства вмешательства в техническую защиту произведений (работу декодеров) или предоставляет связанные с этим услуги.  Кроме того, новый закон об авторских правах в качестве нового элемента предусматривает охрану электронной информации об осуществлении прав.</w:t>
      </w:r>
    </w:p>
    <w:p w:rsidR="00000000" w:rsidRDefault="00000000"/>
    <w:p w:rsidR="00000000" w:rsidRDefault="00000000">
      <w:r>
        <w:t>721.</w:t>
      </w:r>
      <w:r>
        <w:tab/>
        <w:t>Помимо этого, проект закона об авторских правах содержит предписания о коллективном осуществлении прав.  Коллективным правообладателям будут предоставлены дополнительные средства правовой защиты, их права и обязанности будут регулироваться в соответствии с потребностями нарождающегося информационного общества, будут четко оговорены случаи и сферы, в которых коллективная защита прав будет осуществляться в обязательном порядке, будет укреплен статус этих организаций с точки зрения их процедурных полномочий, а также будет предусмотрена процедура определения компенсации, которая будет выплачиваться этим организациям пользователями различного рода произведений.</w:t>
      </w:r>
    </w:p>
    <w:p w:rsidR="00000000" w:rsidRDefault="00000000"/>
    <w:p w:rsidR="00000000" w:rsidRDefault="00000000">
      <w:r>
        <w:t>722.</w:t>
      </w:r>
      <w:r>
        <w:tab/>
        <w:t>Защита моральных и материальных интересов, возникающих в связи с научным, техническим и экспертным творческим трудом, регламентируется соответствующими положениями следующих законов:  Закона об изобретениях, промышленных образцах и рационализаторских предложениях</w:t>
      </w:r>
      <w:r>
        <w:rPr>
          <w:rStyle w:val="FootnoteReference"/>
        </w:rPr>
        <w:footnoteReference w:id="429"/>
      </w:r>
      <w:r>
        <w:t>, Закона об общеполезных образцах</w:t>
      </w:r>
      <w:r>
        <w:rPr>
          <w:rStyle w:val="FootnoteReference"/>
        </w:rPr>
        <w:footnoteReference w:id="430"/>
      </w:r>
      <w:r>
        <w:t>, Закона о товарных знаках</w:t>
      </w:r>
      <w:r>
        <w:rPr>
          <w:rStyle w:val="FootnoteReference"/>
        </w:rPr>
        <w:footnoteReference w:id="431"/>
      </w:r>
      <w:r>
        <w:t>, Закона о защите конкуренции в экономической сфере</w:t>
      </w:r>
      <w:r>
        <w:rPr>
          <w:rStyle w:val="FootnoteReference"/>
        </w:rPr>
        <w:footnoteReference w:id="432"/>
      </w:r>
      <w:r>
        <w:t xml:space="preserve"> и Коммерческого кодекса</w:t>
      </w:r>
      <w:r>
        <w:rPr>
          <w:rStyle w:val="FootnoteReference"/>
        </w:rPr>
        <w:footnoteReference w:id="433"/>
      </w:r>
      <w:r>
        <w:t>.  В частности, эти нормы применяются к соглашениям о передаче прав или выдаче лицензий на изобретения, промышленные образцы, товарные знаки, наименования товаров, топографию полупроводниковой продукции, общеполезные образцы и охраняемые мутации растений.</w:t>
      </w:r>
    </w:p>
    <w:p w:rsidR="00000000" w:rsidRDefault="00000000"/>
    <w:p w:rsidR="00000000" w:rsidRDefault="00000000">
      <w:r>
        <w:t>723.</w:t>
      </w:r>
      <w:r>
        <w:tab/>
        <w:t>С принятием Закона о товарных знаках система охраны объектов промышленной собственности по публичному праву претерпела кардинальные изменения.  Любой владелец товарного знака может ходатайствовать перед судом о введении запрещения на использование его товарного знака или взаимозаменяемого знака, а также добиваться устранения с рынка товаров, маркировка которых нарушает его права.  Владелец товарного знака может обратиться к таможенным властям с просьбой запретить внутренний оборот продуктов, маркировка которых нарушает его права в соответствии с Законом о товарных знаках.  Если ущемление прав на товарные знаки приводит к причинению ущерба, то пострадавшая сторона имеет право на компенсацию.  В случае причинения нематериального вреда пострадавшая сторона имеет право на соразмерное удовлетворение, которое может состоять в денежных выплатах.</w:t>
      </w:r>
    </w:p>
    <w:p w:rsidR="00000000" w:rsidRDefault="00000000"/>
    <w:p w:rsidR="00000000" w:rsidRDefault="00000000">
      <w:r>
        <w:t>724.</w:t>
      </w:r>
      <w:r>
        <w:tab/>
        <w:t>Общеправовые нормы, предусматривающие конкретную защиту, соблюдение и осуществление прав интеллектуальной собственности, содержатся в статьях 150-152 Уголовного кодекса:</w:t>
      </w:r>
    </w:p>
    <w:p w:rsidR="00000000" w:rsidRDefault="00000000"/>
    <w:p w:rsidR="00000000" w:rsidRDefault="00000000">
      <w:pPr>
        <w:ind w:left="2268" w:hanging="1701"/>
      </w:pPr>
      <w:r>
        <w:t>Статья 150 -</w:t>
      </w:r>
      <w:r>
        <w:tab/>
        <w:t>Ущемление прав, связанных с товарными знаками, торговыми наименованиями и охраняемыми обозначениями происхождения;</w:t>
      </w:r>
    </w:p>
    <w:p w:rsidR="00000000" w:rsidRDefault="00000000">
      <w:pPr>
        <w:ind w:left="567"/>
      </w:pPr>
      <w:r>
        <w:t>Статья 151 -</w:t>
      </w:r>
      <w:r>
        <w:tab/>
        <w:t>Ущемление промышленных прав;</w:t>
      </w:r>
    </w:p>
    <w:p w:rsidR="00000000" w:rsidRDefault="00000000">
      <w:pPr>
        <w:ind w:left="567"/>
      </w:pPr>
      <w:r>
        <w:t>Статья 152 -</w:t>
      </w:r>
      <w:r>
        <w:tab/>
        <w:t>Ущемление авторских прав.</w:t>
      </w:r>
    </w:p>
    <w:p w:rsidR="00000000" w:rsidRDefault="00000000">
      <w:pPr>
        <w:ind w:left="567"/>
      </w:pPr>
    </w:p>
    <w:p w:rsidR="00000000" w:rsidRDefault="00000000">
      <w:pPr>
        <w:rPr>
          <w:lang w:val="en-US"/>
        </w:rPr>
      </w:pPr>
      <w:r>
        <w:t>725.</w:t>
      </w:r>
      <w:r>
        <w:tab/>
        <w:t>Центральным государственным административным органом, в сферу полномочий которого входит создание условий для регистрации образцов промышленной собственности в целях охраны прав на них, а также обеспечение связанных с этим надлежащих процедур, является Управление по вопросам промышленной собственности</w:t>
      </w:r>
      <w:r>
        <w:rPr>
          <w:rStyle w:val="FootnoteReference"/>
        </w:rPr>
        <w:footnoteReference w:id="434"/>
      </w:r>
      <w:r>
        <w:t>.</w:t>
      </w:r>
    </w:p>
    <w:p w:rsidR="00000000" w:rsidRDefault="00000000">
      <w:pPr>
        <w:rPr>
          <w:lang w:val="en-US"/>
        </w:rPr>
      </w:pPr>
    </w:p>
    <w:p w:rsidR="00000000" w:rsidRDefault="00000000">
      <w:r>
        <w:t>726.</w:t>
      </w:r>
      <w:r>
        <w:tab/>
        <w:t>Таким образом, административные и судебные органы, а также органы, занимающиеся уголовно-процессуальными действиями, имеют в своем распоряжении необходимые средства и процедуры для осуществления прав интеллектуальной собственности.  Например, суды правомочны распоряжаться о принятии превентивных мер для предупреждения нарушения этих прав, а также могут запрещать действия в нарушение этих прав.  Пострадавший собственник имеет право на компенсацию ущерба.  Умышленное нарушение этих прав квалифицируется в качестве преступления, влекущего за собой наказание в виде лишения свободы или штрафа.  Если имеются основания полагать, что какое-либо лицо совершает указанное преступление, то связанные с преступлением предметы могут изыматься полицией или конфисковываться по решению суда.</w:t>
      </w:r>
    </w:p>
    <w:p w:rsidR="00000000" w:rsidRDefault="00000000"/>
    <w:p w:rsidR="00000000" w:rsidRDefault="00000000">
      <w:r>
        <w:t>727.</w:t>
      </w:r>
      <w:r>
        <w:tab/>
        <w:t>В рамках своих обязательств по ТАПИС Чешская Республика представила обзор своей правовой системы для оценки ее совместимости с положениями Соглашения в области авторских и связанных с авторством прав, товарных знаков, географических обозначений и промышленных образцов, топографии интегральных схем, защиты конфиденциальной информации, патентов, а также в области осуществления этих прав.  В ходе этих обзоров Чешская Республика продемонстрировала развитость своей правовой системы во всех областях контроля.</w:t>
      </w:r>
    </w:p>
    <w:p w:rsidR="00000000" w:rsidRDefault="00000000"/>
    <w:p w:rsidR="00000000" w:rsidRDefault="00000000">
      <w:r>
        <w:t>728.</w:t>
      </w:r>
      <w:r>
        <w:tab/>
        <w:t>Необходимость интеграции положений ТАПИС в чешскую правовую систему, а также необходимость ее согласования с правовыми нормами Европейского союза учитывались при подготовке новых поправок к законам, регламентирующим эту сферу.  1 декабря 1999 года вступил в силу Закон о мерах в отношении импорта, экспорта и реэкспорта товаров в нарушение определенных прав интеллектуальной собственности;  в соответствии с этим Законом таможенные органы могут принимать меры в отношении подделок или несанкционированных имитаций, включая конфискацию и уничтожение таких товаров.</w:t>
      </w:r>
    </w:p>
    <w:p w:rsidR="00000000" w:rsidRDefault="00000000"/>
    <w:p w:rsidR="00000000" w:rsidRDefault="00000000">
      <w:r>
        <w:t>729.</w:t>
      </w:r>
      <w:r>
        <w:tab/>
        <w:t>Раздел 5 Закона о радиовещании и телевидении обязывает органы вещания в целях защиты авторских прав заключать соглашения с организациями для коллективного осуществления авторских прав и прав, связанных с авторскими правами.  Аналогичные положения содержатся в Европейской конвенции о трансграничном телевещании, подписанной Чешской Республикой 7 мая 1999 года.</w:t>
      </w:r>
    </w:p>
    <w:p w:rsidR="00000000" w:rsidRDefault="00000000"/>
    <w:p w:rsidR="00000000" w:rsidRDefault="00000000">
      <w:r>
        <w:t>730.</w:t>
      </w:r>
      <w:r>
        <w:tab/>
        <w:t xml:space="preserve">Действующие в Чешской Республике правовые нормы обеспечивают адекватное соблюдение обязательств в области вещания, вытекающих из Пакта, равно как и контроль за соблюдением существующих предписаний, включая их осуществление в принудительном порядке.  Соблюдение положений законов о чешском телевидении и чешском радиовещании не обеспечено правовой санкцией;  контроль за их осуществлением по взаимному согласию передан в ведение регламентирующих вещание органов, а именно Совета чешского телевидения и Совета чешского радиовещания.  </w:t>
      </w:r>
    </w:p>
    <w:p w:rsidR="00000000" w:rsidRDefault="00000000"/>
    <w:p w:rsidR="00000000" w:rsidRDefault="00000000">
      <w:r>
        <w:t>731.</w:t>
      </w:r>
      <w:r>
        <w:tab/>
        <w:t>В конце 1999 года правительство представило парламенту Чешской Республики законопроект, в котором содержатся существенные дополнения и поправки к действующему Закону о вещании, с тем чтобы он в полной мере соответствовал общепринятым требованиям Европейского союза (</w:t>
      </w:r>
      <w:r>
        <w:rPr>
          <w:lang w:val="en-US"/>
        </w:rPr>
        <w:t>acquis</w:t>
      </w:r>
      <w:r>
        <w:t xml:space="preserve"> </w:t>
      </w:r>
      <w:r>
        <w:rPr>
          <w:lang w:val="en-US"/>
        </w:rPr>
        <w:t>communautaire</w:t>
      </w:r>
      <w:r>
        <w:t>) и рекомендациям Совета Европы в этой области.</w:t>
      </w:r>
    </w:p>
    <w:p w:rsidR="00000000" w:rsidRDefault="00000000"/>
    <w:p w:rsidR="00000000" w:rsidRDefault="00000000">
      <w:pPr>
        <w:pStyle w:val="Heading2"/>
        <w:rPr>
          <w:b/>
          <w:bCs/>
          <w:u w:val="none"/>
        </w:rPr>
      </w:pPr>
      <w:r>
        <w:rPr>
          <w:b/>
          <w:bCs/>
          <w:u w:val="none"/>
        </w:rPr>
        <w:t>Пункт 2</w:t>
      </w:r>
    </w:p>
    <w:p w:rsidR="00000000" w:rsidRDefault="00000000">
      <w:pPr>
        <w:pStyle w:val="Heading2"/>
      </w:pPr>
    </w:p>
    <w:p w:rsidR="00000000" w:rsidRDefault="00000000">
      <w:pPr>
        <w:pStyle w:val="Heading3"/>
        <w:rPr>
          <w:iCs/>
        </w:rPr>
      </w:pPr>
      <w:r>
        <w:rPr>
          <w:iCs/>
        </w:rPr>
        <w:t>Поддержка науки, исследований и разработок</w:t>
      </w:r>
    </w:p>
    <w:p w:rsidR="00000000" w:rsidRDefault="00000000"/>
    <w:p w:rsidR="00000000" w:rsidRDefault="00000000">
      <w:r>
        <w:t>732.</w:t>
      </w:r>
      <w:r>
        <w:tab/>
        <w:t>В Чешской Республике до сих пор не разработан основной концептуальный документ, определяющий государственную политику в области научных исследований и разработок, что оказывает негативное воздействие во многих сферах национальной экономики - от сферы образования до конкурентоспособности продуктов и технологий на внутреннем и международных рынках.  Что касается основ необходимой политики, то ее содержание определено в Принципах политики Чешской Республики в области науки на рубеже ХХI века, принятых правительством в 1998 году</w:t>
      </w:r>
      <w:r>
        <w:rPr>
          <w:rStyle w:val="FootnoteReference"/>
        </w:rPr>
        <w:footnoteReference w:id="435"/>
      </w:r>
      <w:r>
        <w:t>.  В том же году правительство также утвердило подробные процедуры подготовки государственной политики в области научных исследований и разработок</w:t>
      </w:r>
      <w:r>
        <w:rPr>
          <w:rStyle w:val="FootnoteReference"/>
        </w:rPr>
        <w:footnoteReference w:id="436"/>
      </w:r>
      <w:r>
        <w:t>, с тем чтобы основные направления были представлены к 31 декабря 1999 года</w:t>
      </w:r>
      <w:r>
        <w:rPr>
          <w:rStyle w:val="FootnoteReference"/>
        </w:rPr>
        <w:footnoteReference w:id="437"/>
      </w:r>
      <w:r>
        <w:t>.</w:t>
      </w:r>
    </w:p>
    <w:p w:rsidR="00000000" w:rsidRDefault="00000000"/>
    <w:p w:rsidR="00000000" w:rsidRDefault="00000000">
      <w:r>
        <w:t>733.</w:t>
      </w:r>
      <w:r>
        <w:tab/>
        <w:t>Анализ предыдущего развития и состояния научных исследований и разработок в Чешской Республике и сопоставление с другими странами</w:t>
      </w:r>
      <w:r>
        <w:rPr>
          <w:rStyle w:val="FootnoteReference"/>
        </w:rPr>
        <w:footnoteReference w:id="438"/>
      </w:r>
      <w:r>
        <w:t xml:space="preserve"> показали, что Чешская Республика существенно отстает от развитых стран по многим показателям в сферах научно-исследовательской деятельности и разработок и по их результатам.  Однако в аналитических материалах приводились также примеры, свидетельствующие о том, что при международном сопоставлении показатели Чешской Республики в области научных исследований и разработок оказались более высокими, чем показатели экономического развития, конкурентоспособности, кредитоспособности и показатели в других областях.</w:t>
      </w:r>
    </w:p>
    <w:p w:rsidR="00000000" w:rsidRDefault="00000000"/>
    <w:p w:rsidR="00000000" w:rsidRDefault="00000000">
      <w:r>
        <w:t>734.</w:t>
      </w:r>
      <w:r>
        <w:tab/>
        <w:t>Чешская Республика отстает от развитых стран (например, Соединенных Штатов Америки, Франции, Соединенного Королевства), и особенно от стран, традиционно обращающих внимание на качество научных изданий (например, Швейцарии, Нидерландов, Бельгии, Дании и Скандинавских стран), в публикации таких изданий и их цитировании.  Если исходить из производных показателей (например, библиометрической производительности), которые отражают меньшие расходы на исследования и разработки и меньшее количество исследователей, то Чешская Республика приближается к среднему уровню ЕС, а большинство других библиометрических показателей сопоставимы с уровнем Венгрии, Польши, Словении и менее развитых стран ЕС.</w:t>
      </w:r>
    </w:p>
    <w:p w:rsidR="00000000" w:rsidRDefault="00000000"/>
    <w:p w:rsidR="00000000" w:rsidRDefault="00000000">
      <w:r>
        <w:t>735.</w:t>
      </w:r>
      <w:r>
        <w:tab/>
        <w:t>Хуже обстоит дело с качеством публикуемых работ, которое определяется на основе уровня цитирования.  Работы, изданные в Чешской Республике, цитируются примерно наполовину реже, чем работы, опубликованные в странах Европейского союза, хотя начиная с 1993 года уровень цитирования неуклонно повышается.</w:t>
      </w:r>
    </w:p>
    <w:p w:rsidR="00000000" w:rsidRDefault="00000000"/>
    <w:p w:rsidR="00000000" w:rsidRDefault="00000000">
      <w:r>
        <w:t>736.</w:t>
      </w:r>
      <w:r>
        <w:tab/>
        <w:t>Наиболее крупные ассигнования на цели гражданских исследований и разработок выделяются по линии Академии наук Чешской Республики, министерства образования, по делам молодежи и спорта, Агентства по субсидированию ЧР и министерства промышленности и торговли.  Доля других ведомств является более низкой.</w:t>
      </w:r>
    </w:p>
    <w:p w:rsidR="00000000" w:rsidRDefault="00000000"/>
    <w:p w:rsidR="00000000" w:rsidRDefault="00000000">
      <w:r>
        <w:t>737.</w:t>
      </w:r>
      <w:r>
        <w:tab/>
        <w:t>Начиная с 1995 года число заявок на регистрацию изобретений, поступивших от субъектов, находящихся на территории Чешской Республики, значительно отстает от средних показателей для стран Европейского союза.  Чешская Республика более заметно отстает в областях, которые динамично развиваются и требуют значительных усилий в области исследований и разработок, однако она находится примерно на таком же уровне, как Польша и Венгрия.</w:t>
      </w:r>
    </w:p>
    <w:p w:rsidR="00000000" w:rsidRDefault="00000000">
      <w:pPr>
        <w:spacing w:line="240" w:lineRule="auto"/>
      </w:pPr>
    </w:p>
    <w:p w:rsidR="00000000" w:rsidRDefault="00000000">
      <w:pPr>
        <w:pStyle w:val="Heading1"/>
        <w:spacing w:line="240" w:lineRule="auto"/>
        <w:jc w:val="center"/>
        <w:rPr>
          <w:bCs/>
        </w:rPr>
      </w:pPr>
      <w:r>
        <w:rPr>
          <w:bCs/>
        </w:rPr>
        <w:t>Заявки на изобретения в 1993-1998 годах</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2"/>
        <w:gridCol w:w="1122"/>
        <w:gridCol w:w="1122"/>
        <w:gridCol w:w="1122"/>
        <w:gridCol w:w="1122"/>
        <w:gridCol w:w="1122"/>
        <w:gridCol w:w="1048"/>
      </w:tblGrid>
      <w:tr w:rsidR="00000000">
        <w:tblPrEx>
          <w:tblCellMar>
            <w:top w:w="0" w:type="dxa"/>
            <w:bottom w:w="0" w:type="dxa"/>
          </w:tblCellMar>
        </w:tblPrEx>
        <w:tc>
          <w:tcPr>
            <w:tcW w:w="2913" w:type="dxa"/>
            <w:tcBorders>
              <w:left w:val="single" w:sz="4" w:space="0" w:color="auto"/>
              <w:bottom w:val="single" w:sz="4" w:space="0" w:color="auto"/>
              <w:right w:val="single" w:sz="4" w:space="0" w:color="auto"/>
            </w:tcBorders>
          </w:tcPr>
          <w:p w:rsidR="00000000" w:rsidRDefault="00000000">
            <w:pPr>
              <w:spacing w:line="240" w:lineRule="auto"/>
              <w:jc w:val="center"/>
            </w:pPr>
            <w:r>
              <w:t>Заявители</w:t>
            </w:r>
          </w:p>
        </w:tc>
        <w:tc>
          <w:tcPr>
            <w:tcW w:w="1122" w:type="dxa"/>
            <w:tcBorders>
              <w:left w:val="single" w:sz="4" w:space="0" w:color="auto"/>
              <w:bottom w:val="single" w:sz="4" w:space="0" w:color="auto"/>
              <w:right w:val="single" w:sz="4" w:space="0" w:color="auto"/>
            </w:tcBorders>
          </w:tcPr>
          <w:p w:rsidR="00000000" w:rsidRDefault="00000000">
            <w:pPr>
              <w:spacing w:line="240" w:lineRule="auto"/>
              <w:jc w:val="center"/>
            </w:pPr>
            <w:r>
              <w:t>1993</w:t>
            </w:r>
          </w:p>
        </w:tc>
        <w:tc>
          <w:tcPr>
            <w:tcW w:w="1122" w:type="dxa"/>
            <w:tcBorders>
              <w:left w:val="single" w:sz="4" w:space="0" w:color="auto"/>
              <w:bottom w:val="single" w:sz="4" w:space="0" w:color="auto"/>
              <w:right w:val="single" w:sz="4" w:space="0" w:color="auto"/>
            </w:tcBorders>
          </w:tcPr>
          <w:p w:rsidR="00000000" w:rsidRDefault="00000000">
            <w:pPr>
              <w:spacing w:line="240" w:lineRule="auto"/>
              <w:jc w:val="center"/>
            </w:pPr>
            <w:r>
              <w:t>1994</w:t>
            </w:r>
          </w:p>
        </w:tc>
        <w:tc>
          <w:tcPr>
            <w:tcW w:w="1122" w:type="dxa"/>
            <w:tcBorders>
              <w:left w:val="single" w:sz="4" w:space="0" w:color="auto"/>
              <w:bottom w:val="single" w:sz="4" w:space="0" w:color="auto"/>
              <w:right w:val="single" w:sz="4" w:space="0" w:color="auto"/>
            </w:tcBorders>
          </w:tcPr>
          <w:p w:rsidR="00000000" w:rsidRDefault="00000000">
            <w:pPr>
              <w:spacing w:line="240" w:lineRule="auto"/>
              <w:jc w:val="center"/>
            </w:pPr>
            <w:r>
              <w:t>1995</w:t>
            </w:r>
          </w:p>
        </w:tc>
        <w:tc>
          <w:tcPr>
            <w:tcW w:w="1122" w:type="dxa"/>
            <w:tcBorders>
              <w:left w:val="single" w:sz="4" w:space="0" w:color="auto"/>
              <w:bottom w:val="single" w:sz="4" w:space="0" w:color="auto"/>
              <w:right w:val="single" w:sz="4" w:space="0" w:color="auto"/>
            </w:tcBorders>
          </w:tcPr>
          <w:p w:rsidR="00000000" w:rsidRDefault="00000000">
            <w:pPr>
              <w:spacing w:line="240" w:lineRule="auto"/>
              <w:jc w:val="center"/>
            </w:pPr>
            <w:r>
              <w:t>1996</w:t>
            </w:r>
          </w:p>
        </w:tc>
        <w:tc>
          <w:tcPr>
            <w:tcW w:w="1122" w:type="dxa"/>
            <w:tcBorders>
              <w:left w:val="single" w:sz="4" w:space="0" w:color="auto"/>
              <w:bottom w:val="single" w:sz="4" w:space="0" w:color="auto"/>
              <w:right w:val="single" w:sz="4" w:space="0" w:color="auto"/>
            </w:tcBorders>
          </w:tcPr>
          <w:p w:rsidR="00000000" w:rsidRDefault="00000000">
            <w:pPr>
              <w:spacing w:line="240" w:lineRule="auto"/>
              <w:jc w:val="center"/>
            </w:pPr>
            <w:r>
              <w:t>1997</w:t>
            </w:r>
          </w:p>
        </w:tc>
        <w:tc>
          <w:tcPr>
            <w:tcW w:w="1048" w:type="dxa"/>
            <w:tcBorders>
              <w:left w:val="single" w:sz="4" w:space="0" w:color="auto"/>
              <w:bottom w:val="single" w:sz="4" w:space="0" w:color="auto"/>
              <w:right w:val="single" w:sz="4" w:space="0" w:color="auto"/>
            </w:tcBorders>
          </w:tcPr>
          <w:p w:rsidR="00000000" w:rsidRDefault="00000000">
            <w:pPr>
              <w:spacing w:line="240" w:lineRule="auto"/>
              <w:jc w:val="center"/>
            </w:pPr>
            <w:r>
              <w:t>1998</w:t>
            </w:r>
          </w:p>
        </w:tc>
      </w:tr>
      <w:tr w:rsidR="00000000">
        <w:tblPrEx>
          <w:tblCellMar>
            <w:top w:w="0" w:type="dxa"/>
            <w:bottom w:w="0" w:type="dxa"/>
          </w:tblCellMar>
        </w:tblPrEx>
        <w:tc>
          <w:tcPr>
            <w:tcW w:w="2913" w:type="dxa"/>
            <w:tcBorders>
              <w:left w:val="single" w:sz="4" w:space="0" w:color="auto"/>
              <w:bottom w:val="nil"/>
              <w:right w:val="single" w:sz="4" w:space="0" w:color="auto"/>
            </w:tcBorders>
          </w:tcPr>
          <w:p w:rsidR="00000000" w:rsidRDefault="00000000">
            <w:pPr>
              <w:spacing w:line="240" w:lineRule="auto"/>
            </w:pPr>
            <w:r>
              <w:t>Национальные</w:t>
            </w:r>
          </w:p>
        </w:tc>
        <w:tc>
          <w:tcPr>
            <w:tcW w:w="1122" w:type="dxa"/>
            <w:tcBorders>
              <w:left w:val="single" w:sz="4" w:space="0" w:color="auto"/>
              <w:bottom w:val="nil"/>
              <w:right w:val="single" w:sz="4" w:space="0" w:color="auto"/>
            </w:tcBorders>
          </w:tcPr>
          <w:p w:rsidR="00000000" w:rsidRDefault="00000000">
            <w:pPr>
              <w:tabs>
                <w:tab w:val="clear" w:pos="567"/>
              </w:tabs>
              <w:spacing w:line="240" w:lineRule="auto"/>
              <w:ind w:left="-295" w:right="266"/>
              <w:jc w:val="right"/>
            </w:pPr>
            <w:r>
              <w:t>880</w:t>
            </w:r>
          </w:p>
        </w:tc>
        <w:tc>
          <w:tcPr>
            <w:tcW w:w="1122" w:type="dxa"/>
            <w:tcBorders>
              <w:left w:val="single" w:sz="4" w:space="0" w:color="auto"/>
              <w:bottom w:val="nil"/>
              <w:right w:val="single" w:sz="4" w:space="0" w:color="auto"/>
            </w:tcBorders>
          </w:tcPr>
          <w:p w:rsidR="00000000" w:rsidRDefault="00000000">
            <w:pPr>
              <w:tabs>
                <w:tab w:val="clear" w:pos="567"/>
              </w:tabs>
              <w:spacing w:line="240" w:lineRule="auto"/>
              <w:ind w:left="-295" w:right="79"/>
              <w:jc w:val="right"/>
            </w:pPr>
            <w:r>
              <w:t>756</w:t>
            </w:r>
          </w:p>
        </w:tc>
        <w:tc>
          <w:tcPr>
            <w:tcW w:w="1122" w:type="dxa"/>
            <w:tcBorders>
              <w:left w:val="single" w:sz="4" w:space="0" w:color="auto"/>
              <w:bottom w:val="nil"/>
              <w:right w:val="single" w:sz="4" w:space="0" w:color="auto"/>
            </w:tcBorders>
          </w:tcPr>
          <w:p w:rsidR="00000000" w:rsidRDefault="00000000">
            <w:pPr>
              <w:tabs>
                <w:tab w:val="clear" w:pos="567"/>
              </w:tabs>
              <w:spacing w:line="240" w:lineRule="auto"/>
              <w:ind w:left="-295" w:right="79"/>
              <w:jc w:val="right"/>
            </w:pPr>
            <w:r>
              <w:t>627</w:t>
            </w:r>
          </w:p>
        </w:tc>
        <w:tc>
          <w:tcPr>
            <w:tcW w:w="1122" w:type="dxa"/>
            <w:tcBorders>
              <w:left w:val="single" w:sz="4" w:space="0" w:color="auto"/>
              <w:bottom w:val="nil"/>
              <w:right w:val="single" w:sz="4" w:space="0" w:color="auto"/>
            </w:tcBorders>
          </w:tcPr>
          <w:p w:rsidR="00000000" w:rsidRDefault="00000000">
            <w:pPr>
              <w:tabs>
                <w:tab w:val="clear" w:pos="567"/>
              </w:tabs>
              <w:spacing w:line="240" w:lineRule="auto"/>
              <w:ind w:left="-295" w:right="79"/>
              <w:jc w:val="right"/>
            </w:pPr>
            <w:r>
              <w:t>617</w:t>
            </w:r>
          </w:p>
        </w:tc>
        <w:tc>
          <w:tcPr>
            <w:tcW w:w="1122" w:type="dxa"/>
            <w:tcBorders>
              <w:left w:val="single" w:sz="4" w:space="0" w:color="auto"/>
              <w:bottom w:val="nil"/>
              <w:right w:val="single" w:sz="4" w:space="0" w:color="auto"/>
            </w:tcBorders>
          </w:tcPr>
          <w:p w:rsidR="00000000" w:rsidRDefault="00000000">
            <w:pPr>
              <w:tabs>
                <w:tab w:val="clear" w:pos="567"/>
              </w:tabs>
              <w:spacing w:line="240" w:lineRule="auto"/>
              <w:ind w:left="-295" w:right="79"/>
              <w:jc w:val="right"/>
            </w:pPr>
            <w:r>
              <w:t>585</w:t>
            </w:r>
          </w:p>
        </w:tc>
        <w:tc>
          <w:tcPr>
            <w:tcW w:w="1048" w:type="dxa"/>
            <w:tcBorders>
              <w:left w:val="single" w:sz="4" w:space="0" w:color="auto"/>
              <w:bottom w:val="nil"/>
              <w:right w:val="single" w:sz="4" w:space="0" w:color="auto"/>
            </w:tcBorders>
          </w:tcPr>
          <w:p w:rsidR="00000000" w:rsidRDefault="00000000">
            <w:pPr>
              <w:tabs>
                <w:tab w:val="clear" w:pos="567"/>
              </w:tabs>
              <w:spacing w:line="240" w:lineRule="auto"/>
              <w:ind w:left="-295" w:right="79"/>
              <w:jc w:val="right"/>
            </w:pPr>
            <w:r>
              <w:t>626</w:t>
            </w:r>
          </w:p>
        </w:tc>
      </w:tr>
      <w:tr w:rsidR="00000000">
        <w:tblPrEx>
          <w:tblCellMar>
            <w:top w:w="0" w:type="dxa"/>
            <w:bottom w:w="0" w:type="dxa"/>
          </w:tblCellMar>
        </w:tblPrEx>
        <w:tc>
          <w:tcPr>
            <w:tcW w:w="2913" w:type="dxa"/>
            <w:tcBorders>
              <w:top w:val="nil"/>
              <w:left w:val="single" w:sz="4" w:space="0" w:color="auto"/>
              <w:bottom w:val="nil"/>
              <w:right w:val="single" w:sz="4" w:space="0" w:color="auto"/>
            </w:tcBorders>
          </w:tcPr>
          <w:p w:rsidR="00000000" w:rsidRDefault="00000000">
            <w:pPr>
              <w:spacing w:line="240" w:lineRule="auto"/>
            </w:pPr>
            <w:r>
              <w:t>Иностранные</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6"/>
              <w:jc w:val="right"/>
            </w:pPr>
            <w:r>
              <w:t>2 053</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79"/>
              <w:jc w:val="right"/>
            </w:pPr>
            <w:r>
              <w:t>2 593</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79"/>
              <w:jc w:val="right"/>
            </w:pPr>
            <w:r>
              <w:t>2 892</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79"/>
              <w:jc w:val="right"/>
            </w:pPr>
            <w:r>
              <w:t>3 241</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79"/>
              <w:jc w:val="right"/>
            </w:pPr>
            <w:r>
              <w:t>3 652</w:t>
            </w:r>
          </w:p>
        </w:tc>
        <w:tc>
          <w:tcPr>
            <w:tcW w:w="1048"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79"/>
              <w:jc w:val="right"/>
            </w:pPr>
            <w:r>
              <w:t>3 761</w:t>
            </w:r>
          </w:p>
        </w:tc>
      </w:tr>
      <w:tr w:rsidR="00000000">
        <w:tblPrEx>
          <w:tblCellMar>
            <w:top w:w="0" w:type="dxa"/>
            <w:bottom w:w="0" w:type="dxa"/>
          </w:tblCellMar>
        </w:tblPrEx>
        <w:tc>
          <w:tcPr>
            <w:tcW w:w="2913" w:type="dxa"/>
            <w:tcBorders>
              <w:top w:val="nil"/>
              <w:left w:val="single" w:sz="4" w:space="0" w:color="auto"/>
              <w:bottom w:val="nil"/>
              <w:right w:val="single" w:sz="4" w:space="0" w:color="auto"/>
            </w:tcBorders>
          </w:tcPr>
          <w:p w:rsidR="00000000" w:rsidRDefault="00000000">
            <w:pPr>
              <w:spacing w:line="240" w:lineRule="auto"/>
            </w:pPr>
            <w:r>
              <w:t>По ДПС (назначения)</w:t>
            </w:r>
            <w:r>
              <w:rPr>
                <w:vertAlign w:val="superscript"/>
              </w:rPr>
              <w:t>а</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266"/>
              <w:jc w:val="right"/>
            </w:pPr>
            <w:r>
              <w:t>5 558</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79"/>
              <w:jc w:val="right"/>
            </w:pPr>
            <w:r>
              <w:t>11 695</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79"/>
              <w:jc w:val="right"/>
            </w:pPr>
            <w:r>
              <w:t>18 104</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79"/>
              <w:jc w:val="right"/>
            </w:pPr>
            <w:r>
              <w:t>23 624</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79"/>
              <w:jc w:val="right"/>
            </w:pPr>
            <w:r>
              <w:t>28 875</w:t>
            </w:r>
          </w:p>
        </w:tc>
        <w:tc>
          <w:tcPr>
            <w:tcW w:w="1048" w:type="dxa"/>
            <w:tcBorders>
              <w:top w:val="nil"/>
              <w:left w:val="single" w:sz="4" w:space="0" w:color="auto"/>
              <w:bottom w:val="nil"/>
              <w:right w:val="single" w:sz="4" w:space="0" w:color="auto"/>
            </w:tcBorders>
          </w:tcPr>
          <w:p w:rsidR="00000000" w:rsidRDefault="00000000">
            <w:pPr>
              <w:tabs>
                <w:tab w:val="clear" w:pos="567"/>
              </w:tabs>
              <w:spacing w:line="240" w:lineRule="auto"/>
              <w:ind w:left="-295" w:right="79"/>
              <w:jc w:val="right"/>
            </w:pPr>
            <w:r>
              <w:t>37 447</w:t>
            </w:r>
          </w:p>
        </w:tc>
      </w:tr>
      <w:tr w:rsidR="00000000">
        <w:tblPrEx>
          <w:tblCellMar>
            <w:top w:w="0" w:type="dxa"/>
            <w:bottom w:w="0" w:type="dxa"/>
          </w:tblCellMar>
        </w:tblPrEx>
        <w:tc>
          <w:tcPr>
            <w:tcW w:w="2913" w:type="dxa"/>
            <w:tcBorders>
              <w:top w:val="nil"/>
              <w:left w:val="single" w:sz="4" w:space="0" w:color="auto"/>
              <w:right w:val="single" w:sz="4" w:space="0" w:color="auto"/>
            </w:tcBorders>
          </w:tcPr>
          <w:p w:rsidR="00000000" w:rsidRDefault="00000000">
            <w:pPr>
              <w:pStyle w:val="Heading1"/>
              <w:spacing w:line="240" w:lineRule="auto"/>
              <w:rPr>
                <w:b w:val="0"/>
                <w:bCs/>
              </w:rPr>
            </w:pPr>
            <w:r>
              <w:rPr>
                <w:b w:val="0"/>
                <w:bCs/>
              </w:rPr>
              <w:t>Итого</w:t>
            </w:r>
          </w:p>
        </w:tc>
        <w:tc>
          <w:tcPr>
            <w:tcW w:w="1122" w:type="dxa"/>
            <w:tcBorders>
              <w:top w:val="nil"/>
              <w:left w:val="single" w:sz="4" w:space="0" w:color="auto"/>
              <w:right w:val="single" w:sz="4" w:space="0" w:color="auto"/>
            </w:tcBorders>
          </w:tcPr>
          <w:p w:rsidR="00000000" w:rsidRDefault="00000000">
            <w:pPr>
              <w:tabs>
                <w:tab w:val="clear" w:pos="567"/>
              </w:tabs>
              <w:spacing w:line="240" w:lineRule="auto"/>
              <w:ind w:left="-295" w:right="266"/>
              <w:jc w:val="right"/>
              <w:rPr>
                <w:bCs/>
              </w:rPr>
            </w:pPr>
            <w:r>
              <w:rPr>
                <w:bCs/>
              </w:rPr>
              <w:t>8 491</w:t>
            </w:r>
          </w:p>
        </w:tc>
        <w:tc>
          <w:tcPr>
            <w:tcW w:w="1122" w:type="dxa"/>
            <w:tcBorders>
              <w:top w:val="nil"/>
              <w:left w:val="single" w:sz="4" w:space="0" w:color="auto"/>
              <w:right w:val="single" w:sz="4" w:space="0" w:color="auto"/>
            </w:tcBorders>
          </w:tcPr>
          <w:p w:rsidR="00000000" w:rsidRDefault="00000000">
            <w:pPr>
              <w:tabs>
                <w:tab w:val="clear" w:pos="567"/>
              </w:tabs>
              <w:spacing w:line="240" w:lineRule="auto"/>
              <w:ind w:left="-295" w:right="79"/>
              <w:jc w:val="right"/>
              <w:rPr>
                <w:bCs/>
              </w:rPr>
            </w:pPr>
            <w:r>
              <w:rPr>
                <w:bCs/>
              </w:rPr>
              <w:t>15 044</w:t>
            </w:r>
          </w:p>
        </w:tc>
        <w:tc>
          <w:tcPr>
            <w:tcW w:w="1122" w:type="dxa"/>
            <w:tcBorders>
              <w:top w:val="nil"/>
              <w:left w:val="single" w:sz="4" w:space="0" w:color="auto"/>
              <w:right w:val="single" w:sz="4" w:space="0" w:color="auto"/>
            </w:tcBorders>
          </w:tcPr>
          <w:p w:rsidR="00000000" w:rsidRDefault="00000000">
            <w:pPr>
              <w:tabs>
                <w:tab w:val="clear" w:pos="567"/>
              </w:tabs>
              <w:spacing w:line="240" w:lineRule="auto"/>
              <w:ind w:left="-295" w:right="79"/>
              <w:jc w:val="right"/>
              <w:rPr>
                <w:bCs/>
              </w:rPr>
            </w:pPr>
            <w:r>
              <w:rPr>
                <w:bCs/>
              </w:rPr>
              <w:t>21 623</w:t>
            </w:r>
          </w:p>
        </w:tc>
        <w:tc>
          <w:tcPr>
            <w:tcW w:w="1122" w:type="dxa"/>
            <w:tcBorders>
              <w:top w:val="nil"/>
              <w:left w:val="single" w:sz="4" w:space="0" w:color="auto"/>
              <w:right w:val="single" w:sz="4" w:space="0" w:color="auto"/>
            </w:tcBorders>
          </w:tcPr>
          <w:p w:rsidR="00000000" w:rsidRDefault="00000000">
            <w:pPr>
              <w:tabs>
                <w:tab w:val="clear" w:pos="567"/>
              </w:tabs>
              <w:spacing w:line="240" w:lineRule="auto"/>
              <w:ind w:left="-295" w:right="79"/>
              <w:jc w:val="right"/>
              <w:rPr>
                <w:bCs/>
              </w:rPr>
            </w:pPr>
            <w:r>
              <w:rPr>
                <w:bCs/>
              </w:rPr>
              <w:t>27 482</w:t>
            </w:r>
          </w:p>
        </w:tc>
        <w:tc>
          <w:tcPr>
            <w:tcW w:w="1122" w:type="dxa"/>
            <w:tcBorders>
              <w:top w:val="nil"/>
              <w:left w:val="single" w:sz="4" w:space="0" w:color="auto"/>
              <w:right w:val="single" w:sz="4" w:space="0" w:color="auto"/>
            </w:tcBorders>
          </w:tcPr>
          <w:p w:rsidR="00000000" w:rsidRDefault="00000000">
            <w:pPr>
              <w:tabs>
                <w:tab w:val="clear" w:pos="567"/>
              </w:tabs>
              <w:spacing w:line="240" w:lineRule="auto"/>
              <w:ind w:left="-295" w:right="79"/>
              <w:jc w:val="right"/>
              <w:rPr>
                <w:bCs/>
              </w:rPr>
            </w:pPr>
            <w:r>
              <w:rPr>
                <w:bCs/>
              </w:rPr>
              <w:t>33 112</w:t>
            </w:r>
          </w:p>
        </w:tc>
        <w:tc>
          <w:tcPr>
            <w:tcW w:w="1048" w:type="dxa"/>
            <w:tcBorders>
              <w:top w:val="nil"/>
              <w:left w:val="single" w:sz="4" w:space="0" w:color="auto"/>
              <w:right w:val="single" w:sz="4" w:space="0" w:color="auto"/>
            </w:tcBorders>
          </w:tcPr>
          <w:p w:rsidR="00000000" w:rsidRDefault="00000000">
            <w:pPr>
              <w:tabs>
                <w:tab w:val="clear" w:pos="567"/>
              </w:tabs>
              <w:spacing w:line="240" w:lineRule="auto"/>
              <w:ind w:left="-295" w:right="79"/>
              <w:jc w:val="right"/>
              <w:rPr>
                <w:bCs/>
              </w:rPr>
            </w:pPr>
            <w:r>
              <w:rPr>
                <w:bCs/>
              </w:rPr>
              <w:t>41 834</w:t>
            </w:r>
          </w:p>
        </w:tc>
      </w:tr>
    </w:tbl>
    <w:p w:rsidR="00000000" w:rsidRDefault="00000000">
      <w:pPr>
        <w:pStyle w:val="FootnoteText"/>
      </w:pPr>
    </w:p>
    <w:p w:rsidR="00000000" w:rsidRDefault="00000000">
      <w:pPr>
        <w:pStyle w:val="FootnoteText"/>
      </w:pPr>
      <w:r>
        <w:rPr>
          <w:vertAlign w:val="superscript"/>
        </w:rPr>
        <w:t>а</w:t>
      </w:r>
      <w:r>
        <w:tab/>
        <w:t>Международные заявки, для которых Чешская Республика является назначенным государством регистрации в соответствии с Договором о патентном сотрудничестве.</w:t>
      </w:r>
    </w:p>
    <w:p w:rsidR="00000000" w:rsidRDefault="00000000">
      <w:pPr>
        <w:pStyle w:val="FootnoteText"/>
      </w:pPr>
    </w:p>
    <w:p w:rsidR="00000000" w:rsidRDefault="00000000">
      <w:pPr>
        <w:pStyle w:val="FootnoteText"/>
        <w:jc w:val="center"/>
        <w:rPr>
          <w:b/>
          <w:bCs/>
        </w:rPr>
      </w:pPr>
      <w:r>
        <w:rPr>
          <w:b/>
          <w:bCs/>
        </w:rPr>
        <w:t>Выданные патенты, зарегистрированные общеполезные и промышленные образцы в 1993-1998 годах</w:t>
      </w:r>
    </w:p>
    <w:p w:rsidR="00000000" w:rsidRDefault="00000000">
      <w:pPr>
        <w:pStyle w:val="FootnoteText"/>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2"/>
        <w:gridCol w:w="1122"/>
        <w:gridCol w:w="1122"/>
        <w:gridCol w:w="1122"/>
        <w:gridCol w:w="1122"/>
        <w:gridCol w:w="1122"/>
        <w:gridCol w:w="1048"/>
      </w:tblGrid>
      <w:tr w:rsidR="00000000">
        <w:tblPrEx>
          <w:tblCellMar>
            <w:top w:w="0" w:type="dxa"/>
            <w:bottom w:w="0" w:type="dxa"/>
          </w:tblCellMar>
        </w:tblPrEx>
        <w:tc>
          <w:tcPr>
            <w:tcW w:w="2913" w:type="dxa"/>
            <w:tcBorders>
              <w:left w:val="single" w:sz="4" w:space="0" w:color="auto"/>
              <w:bottom w:val="single" w:sz="4" w:space="0" w:color="auto"/>
              <w:right w:val="single" w:sz="4" w:space="0" w:color="auto"/>
            </w:tcBorders>
          </w:tcPr>
          <w:p w:rsidR="00000000" w:rsidRDefault="00000000">
            <w:pPr>
              <w:spacing w:line="240" w:lineRule="auto"/>
              <w:jc w:val="center"/>
            </w:pPr>
          </w:p>
        </w:tc>
        <w:tc>
          <w:tcPr>
            <w:tcW w:w="1122" w:type="dxa"/>
            <w:tcBorders>
              <w:left w:val="single" w:sz="4" w:space="0" w:color="auto"/>
              <w:bottom w:val="single" w:sz="4" w:space="0" w:color="auto"/>
              <w:right w:val="single" w:sz="4" w:space="0" w:color="auto"/>
            </w:tcBorders>
          </w:tcPr>
          <w:p w:rsidR="00000000" w:rsidRDefault="00000000">
            <w:pPr>
              <w:spacing w:line="240" w:lineRule="auto"/>
              <w:jc w:val="center"/>
            </w:pPr>
            <w:r>
              <w:t>1993</w:t>
            </w:r>
          </w:p>
        </w:tc>
        <w:tc>
          <w:tcPr>
            <w:tcW w:w="1122" w:type="dxa"/>
            <w:tcBorders>
              <w:left w:val="single" w:sz="4" w:space="0" w:color="auto"/>
              <w:bottom w:val="single" w:sz="4" w:space="0" w:color="auto"/>
              <w:right w:val="single" w:sz="4" w:space="0" w:color="auto"/>
            </w:tcBorders>
          </w:tcPr>
          <w:p w:rsidR="00000000" w:rsidRDefault="00000000">
            <w:pPr>
              <w:spacing w:line="240" w:lineRule="auto"/>
              <w:jc w:val="center"/>
            </w:pPr>
            <w:r>
              <w:t>1994</w:t>
            </w:r>
          </w:p>
        </w:tc>
        <w:tc>
          <w:tcPr>
            <w:tcW w:w="1122" w:type="dxa"/>
            <w:tcBorders>
              <w:left w:val="single" w:sz="4" w:space="0" w:color="auto"/>
              <w:bottom w:val="single" w:sz="4" w:space="0" w:color="auto"/>
              <w:right w:val="single" w:sz="4" w:space="0" w:color="auto"/>
            </w:tcBorders>
          </w:tcPr>
          <w:p w:rsidR="00000000" w:rsidRDefault="00000000">
            <w:pPr>
              <w:spacing w:line="240" w:lineRule="auto"/>
              <w:jc w:val="center"/>
            </w:pPr>
            <w:r>
              <w:t>1995</w:t>
            </w:r>
          </w:p>
        </w:tc>
        <w:tc>
          <w:tcPr>
            <w:tcW w:w="1122" w:type="dxa"/>
            <w:tcBorders>
              <w:left w:val="single" w:sz="4" w:space="0" w:color="auto"/>
              <w:bottom w:val="single" w:sz="4" w:space="0" w:color="auto"/>
              <w:right w:val="single" w:sz="4" w:space="0" w:color="auto"/>
            </w:tcBorders>
          </w:tcPr>
          <w:p w:rsidR="00000000" w:rsidRDefault="00000000">
            <w:pPr>
              <w:spacing w:line="240" w:lineRule="auto"/>
              <w:jc w:val="center"/>
            </w:pPr>
            <w:r>
              <w:t>1996</w:t>
            </w:r>
          </w:p>
        </w:tc>
        <w:tc>
          <w:tcPr>
            <w:tcW w:w="1122" w:type="dxa"/>
            <w:tcBorders>
              <w:left w:val="single" w:sz="4" w:space="0" w:color="auto"/>
              <w:bottom w:val="single" w:sz="4" w:space="0" w:color="auto"/>
              <w:right w:val="single" w:sz="4" w:space="0" w:color="auto"/>
            </w:tcBorders>
          </w:tcPr>
          <w:p w:rsidR="00000000" w:rsidRDefault="00000000">
            <w:pPr>
              <w:spacing w:line="240" w:lineRule="auto"/>
              <w:jc w:val="center"/>
            </w:pPr>
            <w:r>
              <w:t>1997</w:t>
            </w:r>
          </w:p>
        </w:tc>
        <w:tc>
          <w:tcPr>
            <w:tcW w:w="1048" w:type="dxa"/>
            <w:tcBorders>
              <w:left w:val="single" w:sz="4" w:space="0" w:color="auto"/>
              <w:bottom w:val="single" w:sz="4" w:space="0" w:color="auto"/>
              <w:right w:val="single" w:sz="4" w:space="0" w:color="auto"/>
            </w:tcBorders>
          </w:tcPr>
          <w:p w:rsidR="00000000" w:rsidRDefault="00000000">
            <w:pPr>
              <w:spacing w:line="240" w:lineRule="auto"/>
              <w:jc w:val="center"/>
            </w:pPr>
            <w:r>
              <w:t>1998</w:t>
            </w:r>
          </w:p>
        </w:tc>
      </w:tr>
      <w:tr w:rsidR="00000000">
        <w:tblPrEx>
          <w:tblCellMar>
            <w:top w:w="0" w:type="dxa"/>
            <w:bottom w:w="0" w:type="dxa"/>
          </w:tblCellMar>
        </w:tblPrEx>
        <w:tc>
          <w:tcPr>
            <w:tcW w:w="2913" w:type="dxa"/>
            <w:tcBorders>
              <w:left w:val="single" w:sz="4" w:space="0" w:color="auto"/>
              <w:bottom w:val="nil"/>
              <w:right w:val="single" w:sz="4" w:space="0" w:color="auto"/>
            </w:tcBorders>
          </w:tcPr>
          <w:p w:rsidR="00000000" w:rsidRDefault="00000000">
            <w:pPr>
              <w:pStyle w:val="FootnoteText"/>
            </w:pPr>
            <w:r>
              <w:t>Выданные патенты</w:t>
            </w:r>
          </w:p>
        </w:tc>
        <w:tc>
          <w:tcPr>
            <w:tcW w:w="1122" w:type="dxa"/>
            <w:tcBorders>
              <w:left w:val="single" w:sz="4" w:space="0" w:color="auto"/>
              <w:bottom w:val="nil"/>
              <w:right w:val="single" w:sz="4" w:space="0" w:color="auto"/>
            </w:tcBorders>
          </w:tcPr>
          <w:p w:rsidR="00000000" w:rsidRDefault="00000000">
            <w:pPr>
              <w:tabs>
                <w:tab w:val="clear" w:pos="567"/>
              </w:tabs>
              <w:spacing w:line="240" w:lineRule="auto"/>
              <w:ind w:left="-108" w:right="194"/>
              <w:jc w:val="right"/>
            </w:pPr>
            <w:r>
              <w:t>860</w:t>
            </w:r>
          </w:p>
        </w:tc>
        <w:tc>
          <w:tcPr>
            <w:tcW w:w="1122" w:type="dxa"/>
            <w:tcBorders>
              <w:left w:val="single" w:sz="4" w:space="0" w:color="auto"/>
              <w:bottom w:val="nil"/>
              <w:right w:val="single" w:sz="4" w:space="0" w:color="auto"/>
            </w:tcBorders>
          </w:tcPr>
          <w:p w:rsidR="00000000" w:rsidRDefault="00000000">
            <w:pPr>
              <w:tabs>
                <w:tab w:val="clear" w:pos="567"/>
              </w:tabs>
              <w:spacing w:line="240" w:lineRule="auto"/>
              <w:ind w:left="-108" w:right="194"/>
              <w:jc w:val="right"/>
            </w:pPr>
            <w:r>
              <w:t>725</w:t>
            </w:r>
          </w:p>
        </w:tc>
        <w:tc>
          <w:tcPr>
            <w:tcW w:w="1122" w:type="dxa"/>
            <w:tcBorders>
              <w:left w:val="single" w:sz="4" w:space="0" w:color="auto"/>
              <w:bottom w:val="nil"/>
              <w:right w:val="single" w:sz="4" w:space="0" w:color="auto"/>
            </w:tcBorders>
          </w:tcPr>
          <w:p w:rsidR="00000000" w:rsidRDefault="00000000">
            <w:pPr>
              <w:tabs>
                <w:tab w:val="clear" w:pos="567"/>
              </w:tabs>
              <w:spacing w:line="240" w:lineRule="auto"/>
              <w:ind w:left="-108" w:right="194"/>
              <w:jc w:val="right"/>
            </w:pPr>
            <w:r>
              <w:t>1 299</w:t>
            </w:r>
          </w:p>
        </w:tc>
        <w:tc>
          <w:tcPr>
            <w:tcW w:w="1122" w:type="dxa"/>
            <w:tcBorders>
              <w:left w:val="single" w:sz="4" w:space="0" w:color="auto"/>
              <w:bottom w:val="nil"/>
              <w:right w:val="single" w:sz="4" w:space="0" w:color="auto"/>
            </w:tcBorders>
          </w:tcPr>
          <w:p w:rsidR="00000000" w:rsidRDefault="00000000">
            <w:pPr>
              <w:tabs>
                <w:tab w:val="clear" w:pos="567"/>
              </w:tabs>
              <w:spacing w:line="240" w:lineRule="auto"/>
              <w:ind w:left="-108" w:right="194"/>
              <w:jc w:val="right"/>
            </w:pPr>
            <w:r>
              <w:t>1 290</w:t>
            </w:r>
          </w:p>
        </w:tc>
        <w:tc>
          <w:tcPr>
            <w:tcW w:w="1122" w:type="dxa"/>
            <w:tcBorders>
              <w:left w:val="single" w:sz="4" w:space="0" w:color="auto"/>
              <w:bottom w:val="nil"/>
              <w:right w:val="single" w:sz="4" w:space="0" w:color="auto"/>
            </w:tcBorders>
          </w:tcPr>
          <w:p w:rsidR="00000000" w:rsidRDefault="00000000">
            <w:pPr>
              <w:tabs>
                <w:tab w:val="clear" w:pos="567"/>
              </w:tabs>
              <w:spacing w:line="240" w:lineRule="auto"/>
              <w:ind w:left="-108" w:right="194"/>
              <w:jc w:val="right"/>
            </w:pPr>
            <w:r>
              <w:t>1 447</w:t>
            </w:r>
          </w:p>
        </w:tc>
        <w:tc>
          <w:tcPr>
            <w:tcW w:w="1048" w:type="dxa"/>
            <w:tcBorders>
              <w:left w:val="single" w:sz="4" w:space="0" w:color="auto"/>
              <w:bottom w:val="nil"/>
              <w:right w:val="single" w:sz="4" w:space="0" w:color="auto"/>
            </w:tcBorders>
          </w:tcPr>
          <w:p w:rsidR="00000000" w:rsidRDefault="00000000">
            <w:pPr>
              <w:tabs>
                <w:tab w:val="clear" w:pos="567"/>
              </w:tabs>
              <w:spacing w:line="240" w:lineRule="auto"/>
              <w:ind w:left="-108" w:right="194"/>
              <w:jc w:val="right"/>
            </w:pPr>
            <w:r>
              <w:t>1 451</w:t>
            </w:r>
          </w:p>
        </w:tc>
      </w:tr>
      <w:tr w:rsidR="00000000">
        <w:tblPrEx>
          <w:tblCellMar>
            <w:top w:w="0" w:type="dxa"/>
            <w:bottom w:w="0" w:type="dxa"/>
          </w:tblCellMar>
        </w:tblPrEx>
        <w:tc>
          <w:tcPr>
            <w:tcW w:w="2913" w:type="dxa"/>
            <w:tcBorders>
              <w:top w:val="nil"/>
              <w:left w:val="single" w:sz="4" w:space="0" w:color="auto"/>
              <w:bottom w:val="nil"/>
              <w:right w:val="single" w:sz="4" w:space="0" w:color="auto"/>
            </w:tcBorders>
          </w:tcPr>
          <w:p w:rsidR="00000000" w:rsidRDefault="00000000">
            <w:pPr>
              <w:spacing w:line="240" w:lineRule="auto"/>
            </w:pPr>
            <w:r>
              <w:t>Зарегистрированные общеполезные образцы</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108" w:right="194"/>
              <w:jc w:val="right"/>
              <w:rPr>
                <w:lang w:val="en-US"/>
              </w:rPr>
            </w:pPr>
            <w:r>
              <w:rPr>
                <w:lang w:val="en-US"/>
              </w:rPr>
              <w:t>1 177</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108" w:right="194"/>
              <w:jc w:val="right"/>
              <w:rPr>
                <w:lang w:val="en-US"/>
              </w:rPr>
            </w:pPr>
            <w:r>
              <w:rPr>
                <w:lang w:val="en-US"/>
              </w:rPr>
              <w:t>1 637</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108" w:right="194"/>
              <w:jc w:val="right"/>
              <w:rPr>
                <w:lang w:val="en-US"/>
              </w:rPr>
            </w:pPr>
            <w:r>
              <w:rPr>
                <w:lang w:val="en-US"/>
              </w:rPr>
              <w:t>1 470</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108" w:right="194"/>
              <w:jc w:val="right"/>
              <w:rPr>
                <w:lang w:val="en-US"/>
              </w:rPr>
            </w:pPr>
            <w:r>
              <w:rPr>
                <w:lang w:val="en-US"/>
              </w:rPr>
              <w:t>1 152</w:t>
            </w:r>
          </w:p>
        </w:tc>
        <w:tc>
          <w:tcPr>
            <w:tcW w:w="1122" w:type="dxa"/>
            <w:tcBorders>
              <w:top w:val="nil"/>
              <w:left w:val="single" w:sz="4" w:space="0" w:color="auto"/>
              <w:bottom w:val="nil"/>
              <w:right w:val="single" w:sz="4" w:space="0" w:color="auto"/>
            </w:tcBorders>
          </w:tcPr>
          <w:p w:rsidR="00000000" w:rsidRDefault="00000000">
            <w:pPr>
              <w:tabs>
                <w:tab w:val="clear" w:pos="567"/>
              </w:tabs>
              <w:spacing w:line="240" w:lineRule="auto"/>
              <w:ind w:left="-108" w:right="194"/>
              <w:jc w:val="right"/>
              <w:rPr>
                <w:lang w:val="en-US"/>
              </w:rPr>
            </w:pPr>
            <w:r>
              <w:rPr>
                <w:lang w:val="en-US"/>
              </w:rPr>
              <w:t>1 499</w:t>
            </w:r>
          </w:p>
        </w:tc>
        <w:tc>
          <w:tcPr>
            <w:tcW w:w="1048" w:type="dxa"/>
            <w:tcBorders>
              <w:top w:val="nil"/>
              <w:left w:val="single" w:sz="4" w:space="0" w:color="auto"/>
              <w:bottom w:val="nil"/>
              <w:right w:val="single" w:sz="4" w:space="0" w:color="auto"/>
            </w:tcBorders>
          </w:tcPr>
          <w:p w:rsidR="00000000" w:rsidRDefault="00000000">
            <w:pPr>
              <w:tabs>
                <w:tab w:val="clear" w:pos="567"/>
              </w:tabs>
              <w:spacing w:line="240" w:lineRule="auto"/>
              <w:ind w:left="-108" w:right="194"/>
              <w:jc w:val="right"/>
              <w:rPr>
                <w:lang w:val="en-US"/>
              </w:rPr>
            </w:pPr>
            <w:r>
              <w:rPr>
                <w:lang w:val="en-US"/>
              </w:rPr>
              <w:t>1 185</w:t>
            </w:r>
          </w:p>
        </w:tc>
      </w:tr>
      <w:tr w:rsidR="00000000">
        <w:tblPrEx>
          <w:tblCellMar>
            <w:top w:w="0" w:type="dxa"/>
            <w:bottom w:w="0" w:type="dxa"/>
          </w:tblCellMar>
        </w:tblPrEx>
        <w:tc>
          <w:tcPr>
            <w:tcW w:w="2913" w:type="dxa"/>
            <w:tcBorders>
              <w:top w:val="nil"/>
              <w:left w:val="single" w:sz="4" w:space="0" w:color="auto"/>
              <w:bottom w:val="single" w:sz="4" w:space="0" w:color="auto"/>
              <w:right w:val="single" w:sz="4" w:space="0" w:color="auto"/>
            </w:tcBorders>
          </w:tcPr>
          <w:p w:rsidR="00000000" w:rsidRDefault="00000000">
            <w:pPr>
              <w:spacing w:line="240" w:lineRule="auto"/>
              <w:rPr>
                <w:lang w:val="en-US"/>
              </w:rPr>
            </w:pPr>
            <w:r>
              <w:t>Зарегистрированные промышленные образцы</w:t>
            </w:r>
          </w:p>
        </w:tc>
        <w:tc>
          <w:tcPr>
            <w:tcW w:w="1122" w:type="dxa"/>
            <w:tcBorders>
              <w:top w:val="nil"/>
              <w:left w:val="single" w:sz="4" w:space="0" w:color="auto"/>
              <w:bottom w:val="single" w:sz="4" w:space="0" w:color="auto"/>
              <w:right w:val="single" w:sz="4" w:space="0" w:color="auto"/>
            </w:tcBorders>
          </w:tcPr>
          <w:p w:rsidR="00000000" w:rsidRDefault="00000000">
            <w:pPr>
              <w:tabs>
                <w:tab w:val="clear" w:pos="567"/>
              </w:tabs>
              <w:spacing w:line="240" w:lineRule="auto"/>
              <w:ind w:left="-108" w:right="194"/>
              <w:jc w:val="right"/>
              <w:rPr>
                <w:lang w:val="en-US"/>
              </w:rPr>
            </w:pPr>
            <w:r>
              <w:rPr>
                <w:lang w:val="en-US"/>
              </w:rPr>
              <w:t>627</w:t>
            </w:r>
          </w:p>
        </w:tc>
        <w:tc>
          <w:tcPr>
            <w:tcW w:w="1122" w:type="dxa"/>
            <w:tcBorders>
              <w:top w:val="nil"/>
              <w:left w:val="single" w:sz="4" w:space="0" w:color="auto"/>
              <w:bottom w:val="single" w:sz="4" w:space="0" w:color="auto"/>
              <w:right w:val="single" w:sz="4" w:space="0" w:color="auto"/>
            </w:tcBorders>
          </w:tcPr>
          <w:p w:rsidR="00000000" w:rsidRDefault="00000000">
            <w:pPr>
              <w:tabs>
                <w:tab w:val="clear" w:pos="567"/>
              </w:tabs>
              <w:spacing w:line="240" w:lineRule="auto"/>
              <w:ind w:left="-108" w:right="194"/>
              <w:jc w:val="right"/>
              <w:rPr>
                <w:lang w:val="en-US"/>
              </w:rPr>
            </w:pPr>
            <w:r>
              <w:rPr>
                <w:lang w:val="en-US"/>
              </w:rPr>
              <w:t>566</w:t>
            </w:r>
          </w:p>
        </w:tc>
        <w:tc>
          <w:tcPr>
            <w:tcW w:w="1122" w:type="dxa"/>
            <w:tcBorders>
              <w:top w:val="nil"/>
              <w:left w:val="single" w:sz="4" w:space="0" w:color="auto"/>
              <w:bottom w:val="single" w:sz="4" w:space="0" w:color="auto"/>
              <w:right w:val="single" w:sz="4" w:space="0" w:color="auto"/>
            </w:tcBorders>
          </w:tcPr>
          <w:p w:rsidR="00000000" w:rsidRDefault="00000000">
            <w:pPr>
              <w:tabs>
                <w:tab w:val="clear" w:pos="567"/>
              </w:tabs>
              <w:spacing w:line="240" w:lineRule="auto"/>
              <w:ind w:left="-108" w:right="194"/>
              <w:jc w:val="right"/>
              <w:rPr>
                <w:lang w:val="en-US"/>
              </w:rPr>
            </w:pPr>
            <w:r>
              <w:rPr>
                <w:lang w:val="en-US"/>
              </w:rPr>
              <w:t>424</w:t>
            </w:r>
          </w:p>
        </w:tc>
        <w:tc>
          <w:tcPr>
            <w:tcW w:w="1122" w:type="dxa"/>
            <w:tcBorders>
              <w:top w:val="nil"/>
              <w:left w:val="single" w:sz="4" w:space="0" w:color="auto"/>
              <w:bottom w:val="single" w:sz="4" w:space="0" w:color="auto"/>
              <w:right w:val="single" w:sz="4" w:space="0" w:color="auto"/>
            </w:tcBorders>
          </w:tcPr>
          <w:p w:rsidR="00000000" w:rsidRDefault="00000000">
            <w:pPr>
              <w:tabs>
                <w:tab w:val="clear" w:pos="567"/>
              </w:tabs>
              <w:spacing w:line="240" w:lineRule="auto"/>
              <w:ind w:left="-108" w:right="194"/>
              <w:jc w:val="right"/>
              <w:rPr>
                <w:lang w:val="en-US"/>
              </w:rPr>
            </w:pPr>
            <w:r>
              <w:rPr>
                <w:lang w:val="en-US"/>
              </w:rPr>
              <w:t>803</w:t>
            </w:r>
          </w:p>
        </w:tc>
        <w:tc>
          <w:tcPr>
            <w:tcW w:w="1122" w:type="dxa"/>
            <w:tcBorders>
              <w:top w:val="nil"/>
              <w:left w:val="single" w:sz="4" w:space="0" w:color="auto"/>
              <w:bottom w:val="single" w:sz="4" w:space="0" w:color="auto"/>
              <w:right w:val="single" w:sz="4" w:space="0" w:color="auto"/>
            </w:tcBorders>
          </w:tcPr>
          <w:p w:rsidR="00000000" w:rsidRDefault="00000000">
            <w:pPr>
              <w:tabs>
                <w:tab w:val="clear" w:pos="567"/>
              </w:tabs>
              <w:spacing w:line="240" w:lineRule="auto"/>
              <w:ind w:left="-108" w:right="194"/>
              <w:jc w:val="right"/>
              <w:rPr>
                <w:lang w:val="en-US"/>
              </w:rPr>
            </w:pPr>
            <w:r>
              <w:rPr>
                <w:lang w:val="en-US"/>
              </w:rPr>
              <w:t>868</w:t>
            </w:r>
          </w:p>
        </w:tc>
        <w:tc>
          <w:tcPr>
            <w:tcW w:w="1048" w:type="dxa"/>
            <w:tcBorders>
              <w:top w:val="nil"/>
              <w:left w:val="single" w:sz="4" w:space="0" w:color="auto"/>
              <w:bottom w:val="single" w:sz="4" w:space="0" w:color="auto"/>
              <w:right w:val="single" w:sz="4" w:space="0" w:color="auto"/>
            </w:tcBorders>
          </w:tcPr>
          <w:p w:rsidR="00000000" w:rsidRDefault="00000000">
            <w:pPr>
              <w:tabs>
                <w:tab w:val="clear" w:pos="567"/>
              </w:tabs>
              <w:spacing w:line="240" w:lineRule="auto"/>
              <w:ind w:left="-108" w:right="194"/>
              <w:jc w:val="right"/>
              <w:rPr>
                <w:lang w:val="en-US"/>
              </w:rPr>
            </w:pPr>
            <w:r>
              <w:rPr>
                <w:lang w:val="en-US"/>
              </w:rPr>
              <w:t>1 017</w:t>
            </w:r>
          </w:p>
        </w:tc>
      </w:tr>
    </w:tbl>
    <w:p w:rsidR="00000000" w:rsidRDefault="00000000">
      <w:pPr>
        <w:pStyle w:val="FootnoteText"/>
        <w:spacing w:line="288" w:lineRule="auto"/>
        <w:rPr>
          <w:lang w:val="en-US"/>
        </w:rPr>
      </w:pPr>
    </w:p>
    <w:p w:rsidR="00000000" w:rsidRDefault="00000000">
      <w:pPr>
        <w:pStyle w:val="FootnoteText"/>
        <w:spacing w:line="288" w:lineRule="auto"/>
      </w:pPr>
      <w:r>
        <w:br w:type="page"/>
        <w:t>738.</w:t>
      </w:r>
      <w:r>
        <w:tab/>
        <w:t>В развитых странах в целях поддержания конкурентоспособности на науку и исследовательскую деятельность тратится от 2 до 3% ВВП.  Однако некоторые менее развитые государства - члены ОЭСР тратят на эти цели менее 1% ВВП.  В странах Европейского союза, в отличие от Чешской Республики, важную роль играет также опосредованная поддержка науки и исследований (налоговые льготы и т.д.).</w:t>
      </w:r>
    </w:p>
    <w:p w:rsidR="00000000" w:rsidRDefault="00000000">
      <w:pPr>
        <w:pStyle w:val="FootnoteText"/>
        <w:spacing w:line="288" w:lineRule="auto"/>
      </w:pPr>
    </w:p>
    <w:p w:rsidR="00000000" w:rsidRDefault="00000000">
      <w:pPr>
        <w:pStyle w:val="FootnoteText"/>
        <w:spacing w:line="288" w:lineRule="auto"/>
        <w:jc w:val="center"/>
      </w:pPr>
      <w:r>
        <w:rPr>
          <w:b/>
          <w:bCs/>
        </w:rPr>
        <w:t>Тенденции общих расходов на исследования и разработки в Чешской Республике</w:t>
      </w:r>
    </w:p>
    <w:p w:rsidR="00000000" w:rsidRDefault="00000000">
      <w:pPr>
        <w:pStyle w:val="FootnoteText"/>
        <w:spacing w:line="288" w:lineRule="auto"/>
        <w:jc w:val="center"/>
      </w:pPr>
      <w:r>
        <w:t>(общие расходы на исследования и разработки в процентах от ВВП)</w:t>
      </w:r>
    </w:p>
    <w:p w:rsidR="00000000" w:rsidRDefault="00000000">
      <w:pPr>
        <w:rPr>
          <w:sz w:val="22"/>
          <w:szCs w:val="22"/>
        </w:rPr>
      </w:pPr>
    </w:p>
    <w:p w:rsidR="00000000" w:rsidRDefault="00000000">
      <w:pPr>
        <w:framePr w:w="9072" w:h="6237" w:hRule="exact" w:hSpace="113" w:wrap="notBeside" w:vAnchor="text" w:hAnchor="page" w:x="1419" w:y="1" w:anchorLock="1"/>
      </w:pPr>
      <w:r>
        <w:object w:dxaOrig="8895" w:dyaOrig="5955">
          <v:shape id="_x0000_i1026" type="#_x0000_t75" style="width:444.75pt;height:297.75pt" o:ole="" fillcolor="window">
            <v:imagedata r:id="rId17" o:title=""/>
            <w10:bordertop type="single" width="12" shadow="t"/>
            <w10:borderleft type="single" width="12" shadow="t"/>
            <w10:borderbottom type="single" width="12" shadow="t"/>
            <w10:borderright type="single" width="12" shadow="t"/>
          </v:shape>
          <o:OLEObject Type="Embed" ProgID="MSGraph.Chart.8" ShapeID="_x0000_i1026" DrawAspect="Content" ObjectID="_1394876850" r:id="rId18">
            <o:FieldCodes>\s</o:FieldCodes>
          </o:OLEObject>
        </w:object>
      </w:r>
    </w:p>
    <w:p w:rsidR="00000000" w:rsidRDefault="00000000">
      <w:pPr>
        <w:framePr w:w="9072" w:h="6237" w:hRule="exact" w:hSpace="113" w:wrap="notBeside" w:vAnchor="text" w:hAnchor="page" w:x="1419" w:y="1" w:anchorLock="1"/>
      </w:pPr>
    </w:p>
    <w:p w:rsidR="00000000" w:rsidRDefault="00000000">
      <w:pPr>
        <w:framePr w:w="9072" w:h="6237" w:hRule="exact" w:hSpace="113" w:wrap="notBeside" w:vAnchor="text" w:hAnchor="page" w:x="1419" w:y="1" w:anchorLock="1"/>
      </w:pPr>
    </w:p>
    <w:p w:rsidR="00000000" w:rsidRDefault="00000000">
      <w:pPr>
        <w:framePr w:w="9072" w:h="6237" w:hRule="exact" w:hSpace="113" w:wrap="notBeside" w:vAnchor="text" w:hAnchor="page" w:x="1419" w:y="1" w:anchorLock="1"/>
      </w:pPr>
    </w:p>
    <w:p w:rsidR="00000000" w:rsidRDefault="00000000">
      <w:pPr>
        <w:pStyle w:val="FootnoteText"/>
        <w:spacing w:line="288" w:lineRule="auto"/>
      </w:pPr>
    </w:p>
    <w:p w:rsidR="00000000" w:rsidRDefault="00000000">
      <w:pPr>
        <w:pStyle w:val="FootnoteText"/>
        <w:spacing w:line="288" w:lineRule="auto"/>
        <w:jc w:val="center"/>
      </w:pPr>
    </w:p>
    <w:p w:rsidR="00000000" w:rsidRDefault="00000000">
      <w:pPr>
        <w:pStyle w:val="FootnoteText"/>
      </w:pPr>
      <w:r>
        <w:tab/>
      </w:r>
      <w:r>
        <w:rPr>
          <w:u w:val="single"/>
        </w:rPr>
        <w:t>Источник</w:t>
      </w:r>
      <w:r>
        <w:t>:  ОЭСР - Основные показатели в области науки и техники за вторую половину  1998 года.</w:t>
      </w:r>
    </w:p>
    <w:p w:rsidR="00000000" w:rsidRDefault="00000000">
      <w:pPr>
        <w:pStyle w:val="FootnoteText"/>
      </w:pPr>
    </w:p>
    <w:p w:rsidR="00000000" w:rsidRDefault="00000000">
      <w:pPr>
        <w:pStyle w:val="FootnoteText"/>
      </w:pPr>
      <w:r>
        <w:tab/>
      </w:r>
      <w:r>
        <w:rPr>
          <w:u w:val="single"/>
        </w:rPr>
        <w:t>Примечание</w:t>
      </w:r>
      <w:r>
        <w:t>:  Приведенные в таблице цифры отражают долю общих расходов на исследования и разработки в процентах от ВВП за первый и последний год отчетного периода.  Незаполненные колонки в случае некоторых стран указывают на отсутствие данных в источнике.</w:t>
      </w:r>
    </w:p>
    <w:p w:rsidR="00000000" w:rsidRDefault="00000000">
      <w:pPr>
        <w:pStyle w:val="FootnoteText"/>
        <w:spacing w:line="288" w:lineRule="auto"/>
      </w:pPr>
    </w:p>
    <w:p w:rsidR="00000000" w:rsidRDefault="00000000">
      <w:pPr>
        <w:pStyle w:val="FootnoteText"/>
        <w:spacing w:line="288" w:lineRule="auto"/>
      </w:pPr>
      <w:r>
        <w:t>739.</w:t>
      </w:r>
      <w:r>
        <w:tab/>
        <w:t>После 1989 года в бывшей Чехословакии резко сократились расходы на науку и исследования (в 1991 году такие расходы для ЧР составляли 2,03% от ВВП).  После создания независимой Чешской Республики это сокращение, хотя и медленно, но продолжалось до 1995 года, когда начался медленный рост ассигнований на науку и исследования.</w:t>
      </w:r>
    </w:p>
    <w:p w:rsidR="00000000" w:rsidRDefault="00000000">
      <w:pPr>
        <w:spacing w:line="240" w:lineRule="auto"/>
      </w:pPr>
    </w:p>
    <w:p w:rsidR="00000000" w:rsidRDefault="00000000">
      <w:pPr>
        <w:pStyle w:val="BodyText"/>
        <w:jc w:val="center"/>
      </w:pPr>
      <w:r>
        <w:t>Общие расходы на исследования и разработки в сопоставлении</w:t>
      </w:r>
    </w:p>
    <w:p w:rsidR="00000000" w:rsidRDefault="00000000">
      <w:pPr>
        <w:pStyle w:val="BodyText"/>
        <w:jc w:val="center"/>
      </w:pPr>
      <w:r>
        <w:t>с ВВП –  данные 1997 года</w:t>
      </w:r>
    </w:p>
    <w:p w:rsidR="00000000" w:rsidRDefault="00000000">
      <w:pPr>
        <w:pStyle w:val="BodyText"/>
      </w:pPr>
    </w:p>
    <w:p w:rsidR="00000000" w:rsidRDefault="00000000">
      <w:pPr>
        <w:pStyle w:val="10"/>
        <w:spacing w:line="240" w:lineRule="auto"/>
        <w:rPr>
          <w:bCs/>
        </w:rPr>
      </w:pPr>
      <w:r>
        <w:rPr>
          <w:bCs/>
        </w:rPr>
        <w:t>(зависимость общих расходов на исследования и разработки от ВВП –</w:t>
      </w:r>
    </w:p>
    <w:p w:rsidR="00000000" w:rsidRDefault="00000000">
      <w:pPr>
        <w:spacing w:line="240" w:lineRule="auto"/>
        <w:jc w:val="center"/>
        <w:rPr>
          <w:b/>
          <w:bCs/>
        </w:rPr>
      </w:pPr>
      <w:r>
        <w:rPr>
          <w:b/>
          <w:bCs/>
        </w:rPr>
        <w:t>оба показателя рассчитаны на основе паритета покупательной</w:t>
      </w:r>
    </w:p>
    <w:p w:rsidR="00000000" w:rsidRDefault="00000000">
      <w:pPr>
        <w:spacing w:line="240" w:lineRule="auto"/>
        <w:jc w:val="center"/>
        <w:rPr>
          <w:b/>
          <w:bCs/>
        </w:rPr>
      </w:pPr>
      <w:r>
        <w:rPr>
          <w:b/>
          <w:bCs/>
        </w:rPr>
        <w:t>способности на одного жителя)</w:t>
      </w:r>
    </w:p>
    <w:p w:rsidR="00000000" w:rsidRDefault="00000000">
      <w:pPr>
        <w:spacing w:line="240" w:lineRule="auto"/>
        <w:jc w:val="center"/>
      </w:pPr>
    </w:p>
    <w:bookmarkStart w:id="3" w:name="_MON_1076939050"/>
    <w:bookmarkEnd w:id="3"/>
    <w:p w:rsidR="00000000" w:rsidRDefault="00000000">
      <w:pPr>
        <w:framePr w:w="9072" w:h="6237" w:hRule="exact" w:hSpace="142" w:wrap="auto" w:vAnchor="text" w:hAnchor="page" w:x="1890" w:y="281" w:anchorLock="1"/>
        <w:rPr>
          <w:b/>
        </w:rPr>
      </w:pPr>
      <w:r>
        <w:rPr>
          <w:b/>
        </w:rPr>
        <w:object w:dxaOrig="9077" w:dyaOrig="5928">
          <v:shape id="_x0000_i1027" type="#_x0000_t75" style="width:453.75pt;height:296.25pt" o:ole="" fillcolor="window">
            <v:imagedata r:id="rId19" o:title=""/>
            <w10:bordertop type="single" width="12" shadow="t"/>
            <w10:borderleft type="single" width="12" shadow="t"/>
            <w10:borderbottom type="single" width="12" shadow="t"/>
            <w10:borderright type="single" width="12" shadow="t"/>
          </v:shape>
          <o:OLEObject Type="Embed" ProgID="Word.Picture.8" ShapeID="_x0000_i1027" DrawAspect="Content" ObjectID="_1394876851" r:id="rId20"/>
        </w:object>
      </w:r>
    </w:p>
    <w:p w:rsidR="00000000" w:rsidRDefault="00000000">
      <w:pPr>
        <w:pStyle w:val="FootnoteText"/>
        <w:spacing w:line="288" w:lineRule="auto"/>
      </w:pPr>
    </w:p>
    <w:p w:rsidR="00000000" w:rsidRDefault="00000000">
      <w:pPr>
        <w:spacing w:line="240" w:lineRule="auto"/>
      </w:pPr>
      <w:r>
        <w:tab/>
      </w:r>
      <w:r>
        <w:rPr>
          <w:u w:val="single"/>
        </w:rPr>
        <w:t>Источник данных</w:t>
      </w:r>
      <w:r>
        <w:t xml:space="preserve">:  </w:t>
      </w:r>
      <w:r>
        <w:rPr>
          <w:lang w:val="en-US"/>
        </w:rPr>
        <w:t>OECD</w:t>
      </w:r>
      <w:r>
        <w:t xml:space="preserve"> </w:t>
      </w:r>
      <w:r>
        <w:rPr>
          <w:lang w:val="en-US"/>
        </w:rPr>
        <w:t>in</w:t>
      </w:r>
      <w:r>
        <w:t xml:space="preserve"> </w:t>
      </w:r>
      <w:r>
        <w:rPr>
          <w:lang w:val="en-US"/>
        </w:rPr>
        <w:t>Figures</w:t>
      </w:r>
      <w:r>
        <w:t xml:space="preserve"> (статистические данные о государствах-членах, издание 1998 года).</w:t>
      </w:r>
    </w:p>
    <w:p w:rsidR="00000000" w:rsidRDefault="00000000">
      <w:pPr>
        <w:spacing w:line="240" w:lineRule="auto"/>
      </w:pPr>
    </w:p>
    <w:p w:rsidR="00000000" w:rsidRDefault="00000000">
      <w:pPr>
        <w:spacing w:line="240" w:lineRule="auto"/>
      </w:pPr>
      <w:r>
        <w:tab/>
      </w:r>
      <w:r>
        <w:rPr>
          <w:u w:val="single"/>
        </w:rPr>
        <w:t>Примечание</w:t>
      </w:r>
      <w:r>
        <w:t xml:space="preserve">:  Общая сумма расходов на исследования и разработки:  сокращение </w:t>
      </w:r>
      <w:r>
        <w:rPr>
          <w:lang w:val="en-US"/>
        </w:rPr>
        <w:t>GERD</w:t>
      </w:r>
      <w:r>
        <w:t>.</w:t>
      </w:r>
    </w:p>
    <w:p w:rsidR="00000000" w:rsidRDefault="00000000"/>
    <w:p w:rsidR="00000000" w:rsidRDefault="00000000">
      <w:r>
        <w:t>740.</w:t>
      </w:r>
      <w:r>
        <w:tab/>
        <w:t>Развитые и более богатые страны выделяют больше средств на исследования и разработки не только в абсолютных цифрах (соразмерно более высокому ВВП на душу населения), но и в относительных цифрах (более высокая доля ВВП на душу населения).  Это естественно способствует дальнейшему росту ВВП.</w:t>
      </w:r>
    </w:p>
    <w:p w:rsidR="00000000" w:rsidRDefault="00000000"/>
    <w:p w:rsidR="00000000" w:rsidRDefault="00000000">
      <w:r>
        <w:t>741.</w:t>
      </w:r>
      <w:r>
        <w:tab/>
        <w:t>Как правило, экономическому развитию предшествует технический прогресс, который достигается за счет новаторства.  Практически исключительным источником новаторства являются научные разработки, в рамках которых используются знания, полученные в ходе исследовательской деятельности.  Таким образом, поддержка науки и исследований ведет к экономическому росту, в свете чего может толковаться вышеприведенная схема.  Взаимосвязь между развитием науки и исследований и прочей деятельностью, такой, как воплощение результатов науки и исследований в деловой сфере и необходимое инвестирование в строительство, маркетинг, торговлю и оказание услуг, является весьма сложной.  Таким образом, эту же схему можно также толковать в обратном смысле:  более богатые государства могут выделять больше средств на науку и исследования.</w:t>
      </w:r>
    </w:p>
    <w:p w:rsidR="00000000" w:rsidRDefault="00000000"/>
    <w:p w:rsidR="00000000" w:rsidRDefault="00000000">
      <w:r>
        <w:t>742.</w:t>
      </w:r>
      <w:r>
        <w:tab/>
        <w:t>Предполагается, что в соответствии краткосрочными бюджетными перспективами государственная поддержка исследований и разработок в 2000</w:t>
      </w:r>
      <w:r>
        <w:noBreakHyphen/>
        <w:t>2002 годах будет постепенно расти вплоть до целевого уровня в 0,7% от ВВП</w:t>
      </w:r>
      <w:r>
        <w:rPr>
          <w:rStyle w:val="FootnoteReference"/>
        </w:rPr>
        <w:footnoteReference w:id="439"/>
      </w:r>
      <w:r>
        <w:t>.  Здесь происходит столкновение двух концепций:  предыдущего подхода на основе пропорционального распределения ресурсов между 20 бюджетными статьями, содержащими десятки малых программ и нового подхода, который, как и в развитых странах, предусматривает концентрацию значительной части средств для решения основных проблем.  В</w:t>
      </w:r>
      <w:r>
        <w:rPr>
          <w:lang w:val="en-US"/>
        </w:rPr>
        <w:t> </w:t>
      </w:r>
      <w:r>
        <w:t>соответствии с Законом о государственной поддержке исследований</w:t>
      </w:r>
      <w:r>
        <w:rPr>
          <w:rStyle w:val="FootnoteReference"/>
        </w:rPr>
        <w:footnoteReference w:id="440"/>
      </w:r>
      <w:r>
        <w:t xml:space="preserve"> Государственный совет Чешской Республики по вопросам исследований и разработок готовит для правительства подробные предложения в отношении дальнейшего развития науки и исследований и их финансирования.</w:t>
      </w:r>
    </w:p>
    <w:p w:rsidR="00000000" w:rsidRDefault="00000000"/>
    <w:p w:rsidR="00000000" w:rsidRDefault="00000000">
      <w:r>
        <w:t>743.</w:t>
      </w:r>
      <w:r>
        <w:tab/>
        <w:t xml:space="preserve">Нынешняя структура взаимосвязей между исследованиями и разработками с концепцией развития, применяемой отдельными центральными органами, является неадекватной.  Отдельные ведомства не располагают четкой долгосрочной картиной будущего развития в той или иной области вследствие многолетнего игнорирования концептуальной работы;  отдельные концепции также слабо увязаны между собой.  И то, и другое негативно отражается на национальной политике в области исследований и </w:t>
      </w:r>
    </w:p>
    <w:p w:rsidR="00000000" w:rsidRDefault="00000000">
      <w:r>
        <w:br w:type="page"/>
        <w:t>разработок</w:t>
      </w:r>
      <w:r>
        <w:rPr>
          <w:rStyle w:val="FootnoteReference"/>
        </w:rPr>
        <w:footnoteReference w:id="441"/>
      </w:r>
      <w:r>
        <w:t>, которая в развитых странах основывается не только на прогнозах и предложениях ученых, но главным образом на требованиях общества, концептуально сформулированных в качестве направлений государственной политики.</w:t>
      </w:r>
    </w:p>
    <w:p w:rsidR="00000000" w:rsidRDefault="00000000"/>
    <w:p w:rsidR="00000000" w:rsidRDefault="00000000">
      <w:r>
        <w:t>744.</w:t>
      </w:r>
      <w:r>
        <w:tab/>
        <w:t>При подготовке политики в области исследований и разработок необходимо прежде всего учитывать проблемы фундаментальных и прикладных исследований и реализации их результатов, финансирования, международного сотрудничества, инфраструктуры, а также моральных и этических аспектов исследований и разработок.</w:t>
      </w:r>
    </w:p>
    <w:p w:rsidR="00000000" w:rsidRDefault="00000000"/>
    <w:p w:rsidR="00000000" w:rsidRDefault="00000000">
      <w:r>
        <w:t>745.</w:t>
      </w:r>
      <w:r>
        <w:tab/>
        <w:t>В связи с национальной политикой в области науки и исследований правительство в соответствии со своим планом законодательной работы и постановлением правительства № 16 от 5 января 2000 года подготовит к 31 октября 2000 года новый закон об исследованиях и разработках.</w:t>
      </w:r>
    </w:p>
    <w:p w:rsidR="00000000" w:rsidRDefault="00000000"/>
    <w:p w:rsidR="00000000" w:rsidRDefault="00000000">
      <w:r>
        <w:t>746.</w:t>
      </w:r>
      <w:r>
        <w:tab/>
        <w:t>Одной из систем целенаправленного финансирования исследований и разработок из государственных средств является система субсидирования</w:t>
      </w:r>
      <w:r>
        <w:rPr>
          <w:rStyle w:val="FootnoteReference"/>
        </w:rPr>
        <w:footnoteReference w:id="442"/>
      </w:r>
      <w:r>
        <w:t>.  Вопросами целенаправленного выделения финансовых ресурсов из отдельной статьи государственного бюджета на цели поддержки исследований и разработок ведет Агентство по субсидированию Чешской Республики.  Порядок функционирования системы субсидирования определен в уставе Агентства по субсидированию ЧР</w:t>
      </w:r>
      <w:r>
        <w:rPr>
          <w:rStyle w:val="FootnoteReference"/>
        </w:rPr>
        <w:footnoteReference w:id="443"/>
      </w:r>
      <w:r>
        <w:t>, правилах целенаправленного предоставления финансовых ресурсов из государственного бюджета на поддержку исследований и разработок</w:t>
      </w:r>
      <w:r>
        <w:rPr>
          <w:rStyle w:val="FootnoteReference"/>
        </w:rPr>
        <w:footnoteReference w:id="444"/>
      </w:r>
      <w:r>
        <w:t>, а также в постановлении правительства о принципах государственной политики в области исследований и разработок</w:t>
      </w:r>
      <w:r>
        <w:rPr>
          <w:rStyle w:val="FootnoteReference"/>
        </w:rPr>
        <w:footnoteReference w:id="445"/>
      </w:r>
      <w:r>
        <w:t>.</w:t>
      </w:r>
    </w:p>
    <w:p w:rsidR="00000000" w:rsidRDefault="00000000"/>
    <w:p w:rsidR="00000000" w:rsidRDefault="00000000">
      <w:r>
        <w:t>747.</w:t>
      </w:r>
      <w:r>
        <w:tab/>
        <w:t>Агентство по субсидированию на основе результатов государственного конкурса выделяет специальные целевые фонды из отдельной статьи государственного бюджета Чешской Республики и других источников на проекты в области исследований и разработок, предложенные физическими или юридическими лицами в рамках требований программ Агентства по субсидированию.  Агентство по субсидированию поддерживает проведение фундаментальных исследований, осуществление научных программ и проектов, которые направлены на укрепление исследовательского потенциала и прикладных исследований и разработок.  Результаты субсидируемых проектов должны публиковаться в виде, соответствующем характеру той или иной научной или технической сферы.</w:t>
      </w:r>
    </w:p>
    <w:p w:rsidR="00000000" w:rsidRDefault="00000000"/>
    <w:p w:rsidR="00000000" w:rsidRDefault="00000000">
      <w:r>
        <w:t>748.</w:t>
      </w:r>
      <w:r>
        <w:tab/>
        <w:t>Деятельность Агентства по субсидированию не затрагивает сферу полномочий и ответственности центральных государственных административных органов в области поддержки исследований и разработок из государственного бюджета ЧР в институциональном или целевом порядке.  Финансирование исследований и разработок из специальных целевых фондов Агентства по субсидированию избирательно дополняет институциональное финансирование из государственного бюджета и ассигнования различных компаний, ведомств или частных источников.</w:t>
      </w:r>
    </w:p>
    <w:p w:rsidR="00000000" w:rsidRDefault="00000000"/>
    <w:p w:rsidR="00000000" w:rsidRDefault="00000000">
      <w:pPr>
        <w:pStyle w:val="Heading3"/>
        <w:rPr>
          <w:iCs/>
        </w:rPr>
      </w:pPr>
      <w:r>
        <w:rPr>
          <w:iCs/>
        </w:rPr>
        <w:t>Международное сотрудничество</w:t>
      </w:r>
    </w:p>
    <w:p w:rsidR="00000000" w:rsidRDefault="00000000"/>
    <w:p w:rsidR="00000000" w:rsidRDefault="00000000">
      <w:r>
        <w:t>749.</w:t>
      </w:r>
      <w:r>
        <w:tab/>
        <w:t>Сотрудники, занимающиеся исследованиями и разработками, научные работники и университетские преподаватели в Чешской Республике участвуют в международном сотрудничестве, международных научных программах и обменах.  Многие из них являются членами международных научных обществ и авторами иностранных научных журналов.  Вместе с тем они сталкиваются с такой проблемой, как нехватка средств из институциональных источников для участия работников научно-исследовательских институтов в зарубежных конференциях и долгосрочной учебе за рубежом.  Помимо специальных целевых фондов на цели науки и исследований (субсидий) они используют средства зарубежных учреждений, в число которых входят организации и фонды, занимающиеся поддержкой исследовательской деятельности.</w:t>
      </w:r>
    </w:p>
    <w:p w:rsidR="00000000" w:rsidRDefault="00000000"/>
    <w:p w:rsidR="00000000" w:rsidRDefault="00000000">
      <w:r>
        <w:t>750.</w:t>
      </w:r>
      <w:r>
        <w:tab/>
        <w:t>Управление по вопросам промышленной собственности обеспечивает выполнение обязательств Чешской Республики, вытекающих из международных договоров, осуществляемых под эгидой ВОИС, государством - участником которых она является;  кроме того, оно в сотрудничестве с министерством промышленности и торговли обеспечивает выполнение обязательств, вытекающих из ТАПИС.  Таким образом, Управление играет важную роль в подготовке присоединения Чешской Республики к Европейскому союзу, и его представители принимают участие в заседаниях Административного совета Европейской патентной организации.  Именно по этим соображениям работники Управления участвуют в семинарах экспертов (например, по Региональной программе в области промышленной собственности) и в учебе за рубежом.  Кроме того, Управление организует международные встречи с зарубежными экспертами.</w:t>
      </w:r>
    </w:p>
    <w:p w:rsidR="00000000" w:rsidRDefault="00000000">
      <w:pPr>
        <w:rPr>
          <w:i/>
        </w:rPr>
      </w:pPr>
    </w:p>
    <w:p w:rsidR="00000000" w:rsidRDefault="00000000">
      <w:pPr>
        <w:pStyle w:val="Heading1"/>
        <w:rPr>
          <w:b w:val="0"/>
          <w:bCs/>
          <w:i/>
        </w:rPr>
      </w:pPr>
      <w:r>
        <w:rPr>
          <w:b w:val="0"/>
          <w:bCs/>
          <w:i/>
        </w:rPr>
        <w:t>Распространение информации о науке и культуре</w:t>
      </w:r>
    </w:p>
    <w:p w:rsidR="00000000" w:rsidRDefault="00000000">
      <w:pPr>
        <w:pStyle w:val="Heading1"/>
        <w:rPr>
          <w:bCs/>
          <w:i/>
        </w:rPr>
      </w:pPr>
    </w:p>
    <w:p w:rsidR="00000000" w:rsidRDefault="00000000">
      <w:r>
        <w:t>751.</w:t>
      </w:r>
      <w:r>
        <w:tab/>
        <w:t>Согласно пункту 4 статьи 10 Закона о радиовещании и телевидении, регламентирующего условия выдачи лицензий на широкое вещание, контролирующий орган при рассмотрении заявки на выдачу лицензии обязан учитывать вопросы, касающиеся обеспечения условий плюрализма и сбалансированности в выборе программ, особенно на местном уровне;  равного доступа к культурным ценностям, информации и мнениям;  развития культуры национальных и этнических групп в ЧР;  а также уровень готовности заявителя транслировать определенную долю программ с использованием скрытых или видимых субтитров для лиц с дефектами слуха.  Согласно пункту 6 этой статьи при оценке заявок от компаний, действующих с привлечением иностранного капитала, этот орган также учитывает вклад заявителя в развитие оригинального творчества внутри страны.  Кроме того, контролирующий орган (согласно статье 12 Закона) может принимать решение о том, что данные, касающиеся структуры программ, представленные заявителем в заявке на лицензию, будут иметь частично или полностью обязательный характер.</w:t>
      </w:r>
    </w:p>
    <w:p w:rsidR="00000000" w:rsidRDefault="00000000"/>
    <w:p w:rsidR="00000000" w:rsidRDefault="00000000">
      <w:r>
        <w:t>752.</w:t>
      </w:r>
      <w:r>
        <w:tab/>
        <w:t>В статье 2 Закона о чешском телевидении и в статье 2 Закона о чешском радиовещании, которые практически идентичны, задача обеих служб публичного вещания определена как предоставление объективной, проверенной, беспристрастной и сбалансированной информации для свободного формирования мнений;  развитие культурной самобытности лиц чешской национальности и национальных и этнических меньшинств в Чешской Республике;  предоставление информации по вопросам окружающей среды;  содействие просвещению и воспитанию молодого поколения;  а также создание условий для культурного досуга телезрителей и радиослушателей.</w:t>
      </w:r>
    </w:p>
    <w:p w:rsidR="00000000" w:rsidRDefault="00000000"/>
    <w:p w:rsidR="00000000" w:rsidRDefault="00000000">
      <w:pPr>
        <w:pStyle w:val="Heading2"/>
        <w:rPr>
          <w:b/>
          <w:u w:val="none"/>
        </w:rPr>
      </w:pPr>
      <w:r>
        <w:rPr>
          <w:b/>
          <w:u w:val="none"/>
        </w:rPr>
        <w:t>Свобода научных исследований и творческой деятельности</w:t>
      </w:r>
    </w:p>
    <w:p w:rsidR="00000000" w:rsidRDefault="00000000">
      <w:pPr>
        <w:pStyle w:val="Heading2"/>
      </w:pPr>
    </w:p>
    <w:p w:rsidR="00000000" w:rsidRDefault="00000000">
      <w:r>
        <w:t>753.</w:t>
      </w:r>
      <w:r>
        <w:tab/>
        <w:t xml:space="preserve">Свобода выражения мнений и право на информацию, закрепленные во введении к статье 15 Пакта, гарантируется статьей 17 Хартии.  Свобода выражать свои убеждения может ограничиваться законом в порядке принятия мер, необходимых для охраны прав и свобод других лиц, в порядке обеспечения законодательного запрещения разжигания национальной, расовой или религиозной ненависти (статья 198 а) Уголовного кодекса), а также в порядке пресечения действий, направленных на ущемление прав и свобод граждан (статья 260 Уголовного кодекса).  </w:t>
      </w:r>
    </w:p>
    <w:p w:rsidR="00000000" w:rsidRDefault="00000000"/>
    <w:p w:rsidR="00000000" w:rsidRDefault="00000000">
      <w:r>
        <w:t>754.</w:t>
      </w:r>
      <w:r>
        <w:tab/>
        <w:t>Кроме того, право на сбор данных ограничивается в соответствии с пунктом 3 статьи 10 Хартии, которая гласит, что "каждый имеет право на защиту от необоснованного сбора и обнародования данных о своей личности, либо иного злоупотребления ими".</w:t>
      </w:r>
    </w:p>
    <w:p w:rsidR="00000000" w:rsidRDefault="00000000"/>
    <w:p w:rsidR="00000000" w:rsidRDefault="00000000">
      <w:r>
        <w:t>755.</w:t>
      </w:r>
      <w:r>
        <w:tab/>
        <w:t xml:space="preserve">На практике в Чешской Республике последовательно соблюдается свобода выражать свои убеждения.  Средства массовой информации функционируют независимо и могут критиковать государственных должностных лиц в условиях отсутствия какой-либо цензуры (или попыток цензуры).  Жалобы на ущемление свободы выражать убеждения поступают почти исключительно от групп, занимающихся разжиганием расовой или национальной ненависти, и групп, преследующих цели ущемления прав и свобод других лиц (например, путем отрицания Холокоста и т.п.).  С другой стороны, организации, занимающиеся защитой прав человека, как правило, считают, что пресечение государством этой деятельности осуществляется скорее недостаточным, чем чрезмерным образом.  Как правило, судебное преследование лиц, подстрекающих к расовой ненависти или поддерживающих или поощряющих действия, направленные на ущемление прав и свобод граждан, возбуждается лишь в исключительных случаях.  </w:t>
      </w:r>
    </w:p>
    <w:p w:rsidR="00000000" w:rsidRDefault="00000000"/>
    <w:p w:rsidR="00000000" w:rsidRDefault="00000000">
      <w:r>
        <w:t>756.</w:t>
      </w:r>
      <w:r>
        <w:tab/>
        <w:t>В июне 1999 года правительство представило палате депутатов парламента законопроект о правах и обязанностях издателей периодической печати и о внесении поправок в некоторые другие законы (включая Закон о радиовещании и телевидении) - так называемый Закон о печати, который предусматривает недопустимость цензуры и свободу выражать свои убеждения.  В настоящее время этот законопроект содержит положения, предусматривающие обеспечение защиты общества в тех случаях, когда материалы периодической печати содержат высказывания в нарушение конституционного устройства Чешской Республики или демократического осуществления прав человека и основных свобод, гарантированных Хартией.  Однако после обсуждения в комитетах в декабре 1999 года и в январе 2000 года сенат вернул проект нового закона о печати в палату депутатов для повторного рассмотрения.</w:t>
      </w:r>
    </w:p>
    <w:p w:rsidR="00000000" w:rsidRDefault="00000000"/>
    <w:p w:rsidR="00000000" w:rsidRDefault="00000000">
      <w:r>
        <w:t>757.</w:t>
      </w:r>
      <w:r>
        <w:tab/>
        <w:t>В этих случаях функции по защите общества будут поручены независимому суду, который будет иметь право принимать решения о выплате издателем, допустившим публикацию в своем периодическом издании материалов, противоречащих положениям закона, финансового возмещения в пользу государства.  Кроме того, суд может ввести временный запрет на выпуск периодического издания или запретить его распространение в Чешской Республике.  Обсуждение законопроекта состоится в сенате на его первой сессии в январе.</w:t>
      </w:r>
    </w:p>
    <w:p w:rsidR="00000000" w:rsidRDefault="00000000"/>
    <w:p w:rsidR="00000000" w:rsidRDefault="00000000">
      <w:r>
        <w:t>758.</w:t>
      </w:r>
      <w:r>
        <w:tab/>
        <w:t>Помимо этого, в сфере осуществления права на информацию возникают определенные трудности.  Зачастую журналисты и другие граждане жалуются на отсутствие открытости и на нежелание должностных лиц предоставлять им информацию о деятельности государственных органов.  Это положение должно быть исправлено с помощью нового Закона о свободном доступе к информации</w:t>
      </w:r>
      <w:r>
        <w:rPr>
          <w:rStyle w:val="FootnoteReference"/>
        </w:rPr>
        <w:footnoteReference w:customMarkFollows="1" w:id="446"/>
        <w:t>444</w:t>
      </w:r>
      <w:r>
        <w:t>, который вступил в силу 1 января 2000 года.  Этот закон регламентирует предоставление информации, касающейся сферы полномочий государственных органов и органов территориального самоуправления.  В частности, он гарантирует свободный доступ к информации и устанавливает условия, на которых предоставляется информация.</w:t>
      </w:r>
    </w:p>
    <w:p w:rsidR="00000000" w:rsidRDefault="00000000"/>
    <w:p w:rsidR="00000000" w:rsidRDefault="00000000">
      <w:pPr>
        <w:pStyle w:val="16"/>
      </w:pPr>
      <w:r>
        <w:t>------</w:t>
      </w:r>
    </w:p>
    <w:p w:rsidR="00000000" w:rsidRDefault="00000000"/>
    <w:p w:rsidR="00000000" w:rsidRDefault="00000000"/>
    <w:p w:rsidR="00000000" w:rsidRDefault="00000000">
      <w:pPr>
        <w:pStyle w:val="1"/>
      </w:pPr>
    </w:p>
    <w:sectPr w:rsidR="00000000">
      <w:headerReference w:type="even" r:id="rId21"/>
      <w:headerReference w:type="default" r:id="rId22"/>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sym w:font="Symbol" w:char="F02A"/>
      </w:r>
      <w:r>
        <w:tab/>
        <w:t>Информация, представленная Чешской Республикой в соответствии с руководящими принципами, касающимися вступительной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.71).</w:t>
      </w: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footnote>
  <w:footnote w:id="2">
    <w:p w:rsidR="00000000" w:rsidRDefault="00000000">
      <w:pPr>
        <w:pStyle w:val="FootnoteText"/>
      </w:pPr>
      <w:r>
        <w:rPr>
          <w:rStyle w:val="FootnoteReference"/>
        </w:rPr>
        <w:sym w:font="Symbol" w:char="F02A"/>
      </w:r>
      <w:r>
        <w:tab/>
        <w:t>С текстом Хартии можно ознакомиться в архивах секретариата.</w:t>
      </w:r>
    </w:p>
    <w:p w:rsidR="00000000" w:rsidRDefault="00000000">
      <w:pPr>
        <w:pStyle w:val="FootnoteText"/>
      </w:pPr>
    </w:p>
  </w:footnote>
  <w:footnote w:id="3">
    <w:p w:rsidR="00000000" w:rsidRDefault="00000000">
      <w:pPr>
        <w:pStyle w:val="FootnoteText"/>
        <w:rPr>
          <w:lang w:val="en-US"/>
        </w:rPr>
      </w:pPr>
      <w:r>
        <w:rPr>
          <w:rStyle w:val="FootnoteReference"/>
        </w:rPr>
        <w:footnoteRef/>
      </w:r>
      <w:r>
        <w:rPr>
          <w:lang w:val="en-US"/>
        </w:rPr>
        <w:t xml:space="preserve"> </w:t>
      </w:r>
      <w:r>
        <w:rPr>
          <w:lang w:val="en-US"/>
        </w:rPr>
        <w:tab/>
      </w:r>
      <w:r>
        <w:rPr>
          <w:u w:val="single"/>
        </w:rPr>
        <w:t>Источник</w:t>
      </w:r>
      <w:r>
        <w:rPr>
          <w:lang w:val="en-US"/>
        </w:rPr>
        <w:t>:  Population Development in the Czech Republic 1998.  Faculty of Natural Sciences of Charles University, Prague, 1999.</w:t>
      </w:r>
    </w:p>
    <w:p w:rsidR="00000000" w:rsidRDefault="00000000">
      <w:pPr>
        <w:pStyle w:val="FootnoteText"/>
        <w:rPr>
          <w:lang w:val="en-US"/>
        </w:rPr>
      </w:pPr>
    </w:p>
  </w:footnote>
  <w:footnote w:id="4">
    <w:p w:rsidR="00000000" w:rsidRDefault="00000000">
      <w:pPr>
        <w:pStyle w:val="FootnoteText"/>
      </w:pPr>
      <w:r>
        <w:rPr>
          <w:rStyle w:val="FootnoteReference"/>
        </w:rPr>
        <w:footnoteRef/>
      </w:r>
      <w:r>
        <w:t xml:space="preserve"> </w:t>
      </w:r>
      <w:r>
        <w:tab/>
        <w:t xml:space="preserve">Совместная оценка приоритетов экономической политики Чешской Республики, выполненная правительством Чешской Республики и Европейской комиссией.  Утверждена постановлением правительства Чешской Республики № 910 от 8 сентября 1999 года. </w:t>
      </w:r>
    </w:p>
  </w:footnote>
  <w:footnote w:id="5">
    <w:p w:rsidR="00000000" w:rsidRDefault="00000000">
      <w:pPr>
        <w:pStyle w:val="FootnoteText"/>
      </w:pPr>
      <w:r>
        <w:rPr>
          <w:rStyle w:val="FootnoteReference"/>
        </w:rPr>
        <w:footnoteRef/>
      </w:r>
      <w:r>
        <w:t xml:space="preserve"> </w:t>
      </w:r>
      <w:r>
        <w:tab/>
        <w:t>Степень открытости выражается как отношение суммы импорта и экспорта товаров и услуг к валовому внутреннему продукту.</w:t>
      </w:r>
    </w:p>
  </w:footnote>
  <w:footnote w:id="6">
    <w:p w:rsidR="00000000" w:rsidRDefault="00000000">
      <w:pPr>
        <w:pStyle w:val="FootnoteText"/>
      </w:pPr>
      <w:r>
        <w:rPr>
          <w:rStyle w:val="FootnoteReference"/>
        </w:rPr>
        <w:footnoteRef/>
      </w:r>
      <w:r>
        <w:t xml:space="preserve"> </w:t>
      </w:r>
      <w:r>
        <w:tab/>
        <w:t xml:space="preserve">Конституционный закон № 347/1997 </w:t>
      </w:r>
      <w:r>
        <w:rPr>
          <w:lang w:val="en-US"/>
        </w:rPr>
        <w:t>Coll</w:t>
      </w:r>
      <w:r>
        <w:t xml:space="preserve">. о создании более крупных самоуправляющихся территориальных единиц и внесении поправок в Конституционный закон № 1/1993 </w:t>
      </w:r>
      <w:r>
        <w:rPr>
          <w:lang w:val="en-US"/>
        </w:rPr>
        <w:t>Coll</w:t>
      </w:r>
      <w:r>
        <w:t>. о Конституции Чешской Республики.</w:t>
      </w:r>
    </w:p>
  </w:footnote>
  <w:footnote w:id="7">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425/1990 </w:t>
      </w:r>
      <w:r>
        <w:rPr>
          <w:lang w:val="en-US"/>
        </w:rPr>
        <w:t>Coll</w:t>
      </w:r>
      <w:r>
        <w:t>. об окружных управлениях, регулировании их компетенции и некоторых других смежных мерах с последующими поправками.</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 xml:space="preserve">Закон № 152/1994 </w:t>
      </w:r>
      <w:r>
        <w:rPr>
          <w:lang w:val="en-US"/>
        </w:rPr>
        <w:t>Coll</w:t>
      </w:r>
      <w:r>
        <w:t>. о выборах в представительные органы в муниципалитетах и о внесении поправок и дополнений в некоторые другие законы с последующими поправками.</w:t>
      </w:r>
    </w:p>
  </w:footnote>
  <w:footnote w:id="9">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367/1990 </w:t>
      </w:r>
      <w:r>
        <w:rPr>
          <w:lang w:val="en-US"/>
        </w:rPr>
        <w:t>Coll</w:t>
      </w:r>
      <w:r>
        <w:t>. об муниципалитетах с последующими поправками.</w:t>
      </w:r>
    </w:p>
  </w:footnote>
  <w:footnote w:id="10">
    <w:p w:rsidR="00000000" w:rsidRDefault="00000000">
      <w:pPr>
        <w:pStyle w:val="FootnoteText"/>
      </w:pPr>
      <w:r>
        <w:rPr>
          <w:rStyle w:val="FootnoteReference"/>
        </w:rPr>
        <w:footnoteRef/>
      </w:r>
      <w:r>
        <w:t xml:space="preserve"> </w:t>
      </w:r>
      <w:r>
        <w:tab/>
        <w:t xml:space="preserve">Согласно закону № 247/1995 </w:t>
      </w:r>
      <w:r>
        <w:rPr>
          <w:lang w:val="en-US"/>
        </w:rPr>
        <w:t>Coll</w:t>
      </w:r>
      <w:r>
        <w:t xml:space="preserve">. о выборах в парламент Чешской Республики и поправках и дополнениях некоторых других законов с поправками, внесенными законом № 212/1996 </w:t>
      </w:r>
      <w:r>
        <w:rPr>
          <w:lang w:val="en-US"/>
        </w:rPr>
        <w:t>Coll</w:t>
      </w:r>
      <w:r>
        <w:t>. (статьи 2 и 25).</w:t>
      </w:r>
    </w:p>
  </w:footnote>
  <w:footnote w:id="11">
    <w:p w:rsidR="00000000" w:rsidRDefault="00000000">
      <w:pPr>
        <w:pStyle w:val="FootnoteText"/>
      </w:pPr>
    </w:p>
    <w:p w:rsidR="00000000" w:rsidRDefault="00000000">
      <w:pPr>
        <w:pStyle w:val="FootnoteText"/>
      </w:pPr>
      <w:r>
        <w:rPr>
          <w:rStyle w:val="FootnoteReference"/>
        </w:rPr>
        <w:footnoteRef/>
      </w:r>
      <w:r>
        <w:t xml:space="preserve"> </w:t>
      </w:r>
      <w:r>
        <w:tab/>
        <w:t xml:space="preserve">Статья 2 Закона № 247/1995 </w:t>
      </w:r>
      <w:r>
        <w:rPr>
          <w:lang w:val="en-US"/>
        </w:rPr>
        <w:t>Coll</w:t>
      </w:r>
      <w:r>
        <w:t xml:space="preserve">.:  "Ограничениями на осуществление права на голосование являются  а)  ограничения свободы личности, установленные законом по причинам защиты здоровья населения" (пункт 2 </w:t>
      </w:r>
      <w:r>
        <w:rPr>
          <w:lang w:val="en-US"/>
        </w:rPr>
        <w:t>b</w:t>
      </w:r>
      <w:r>
        <w:t>) статьи 5 и пункт 4 а) статьи 9 Закона 20/1996 </w:t>
      </w:r>
      <w:r>
        <w:rPr>
          <w:lang w:val="en-US"/>
        </w:rPr>
        <w:t>Coll</w:t>
      </w:r>
      <w:r>
        <w:t>. о здравоохранении с изменениями согласно постановлению 548/1991 </w:t>
      </w:r>
      <w:r>
        <w:rPr>
          <w:lang w:val="en-US"/>
        </w:rPr>
        <w:t>Coll</w:t>
      </w:r>
      <w:r>
        <w:t>. Чешского национального совета);  b)  Аннулирование правоспособности (статьи 10 и 855 Гражданского кодекса).</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 xml:space="preserve">Согласно Конституционному закону № 1/1993 </w:t>
      </w:r>
      <w:r>
        <w:rPr>
          <w:lang w:val="en-US"/>
        </w:rPr>
        <w:t>Coll</w:t>
      </w:r>
      <w:r>
        <w:t xml:space="preserve">. о Конституции Чешской Республики и Закону № 247/1995 </w:t>
      </w:r>
      <w:r>
        <w:rPr>
          <w:lang w:val="en-US"/>
        </w:rPr>
        <w:t>Coll</w:t>
      </w:r>
      <w:r>
        <w:t>. о выборах в Парламент Чешской Республики и в поправках и дополнениях к некоторым другим законам с последующими поправками (статьи 2 и 57).</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 xml:space="preserve">Согласно Конституционному закону № 1/1993 </w:t>
      </w:r>
      <w:r>
        <w:rPr>
          <w:lang w:val="en-US"/>
        </w:rPr>
        <w:t>Coll</w:t>
      </w:r>
      <w:r>
        <w:t xml:space="preserve">. о Конституции Чешской Республики и Закону № 90/195 </w:t>
      </w:r>
      <w:r>
        <w:rPr>
          <w:lang w:val="en-US"/>
        </w:rPr>
        <w:t>Coll</w:t>
      </w:r>
      <w:r>
        <w:t>. о правилах процедуры Палаты депутатов.</w:t>
      </w:r>
    </w:p>
  </w:footnote>
  <w:footnote w:id="14">
    <w:p w:rsidR="00000000" w:rsidRDefault="00000000">
      <w:pPr>
        <w:pStyle w:val="FootnoteText"/>
      </w:pPr>
      <w:r>
        <w:rPr>
          <w:rStyle w:val="FootnoteReference"/>
        </w:rPr>
        <w:footnoteRef/>
      </w:r>
      <w:r>
        <w:t xml:space="preserve"> </w:t>
      </w:r>
      <w:r>
        <w:tab/>
        <w:t xml:space="preserve">Деятельность и полномочия высших государственных органов регулируются Законом № 2/1969 </w:t>
      </w:r>
      <w:r>
        <w:rPr>
          <w:lang w:val="en-US"/>
        </w:rPr>
        <w:t>Coll</w:t>
      </w:r>
      <w:r>
        <w:t>. Чешского национального совета о создании министерств и прочих центральных органов государственной администрации Чешской Республики с последующими поправками, а также положениями, относящимися к этому Закону.</w:t>
      </w:r>
    </w:p>
  </w:footnote>
  <w:footnote w:id="15">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166/1993 </w:t>
      </w:r>
      <w:r>
        <w:rPr>
          <w:lang w:val="en-US"/>
        </w:rPr>
        <w:t>Coll</w:t>
      </w:r>
      <w:r>
        <w:t xml:space="preserve">. о Верховном контрольном управлении с последующими поправками. </w:t>
      </w:r>
    </w:p>
  </w:footnote>
  <w:footnote w:id="16">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6/1993 </w:t>
      </w:r>
      <w:r>
        <w:rPr>
          <w:lang w:val="en-US"/>
        </w:rPr>
        <w:t>Coll</w:t>
      </w:r>
      <w:r>
        <w:t>. о Чешском национальном банке с последующими поправками.</w:t>
      </w:r>
    </w:p>
  </w:footnote>
  <w:footnote w:id="17">
    <w:p w:rsidR="00000000" w:rsidRDefault="00000000">
      <w:pPr>
        <w:pStyle w:val="FootnoteText"/>
      </w:pPr>
      <w:r>
        <w:rPr>
          <w:rStyle w:val="FootnoteReference"/>
        </w:rPr>
        <w:footnoteRef/>
      </w:r>
      <w:r>
        <w:t xml:space="preserve"> </w:t>
      </w:r>
      <w:r>
        <w:tab/>
        <w:t xml:space="preserve">Закон № 335/1991 </w:t>
      </w:r>
      <w:r>
        <w:rPr>
          <w:lang w:val="en-US"/>
        </w:rPr>
        <w:t>Coll</w:t>
      </w:r>
      <w:r>
        <w:t xml:space="preserve">. о судах и судьях с последующими поправками. </w:t>
      </w:r>
    </w:p>
  </w:footnote>
  <w:footnote w:id="18">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182/1993 </w:t>
      </w:r>
      <w:r>
        <w:rPr>
          <w:lang w:val="en-US"/>
        </w:rPr>
        <w:t>Coll</w:t>
      </w:r>
      <w:r>
        <w:t xml:space="preserve">. о Конституционном суде с последующими поправками. </w:t>
      </w:r>
    </w:p>
  </w:footnote>
  <w:footnote w:id="19">
    <w:p w:rsidR="00000000" w:rsidRDefault="00000000">
      <w:pPr>
        <w:pStyle w:val="FootnoteText"/>
      </w:pPr>
      <w:r>
        <w:rPr>
          <w:rStyle w:val="FootnoteReference"/>
        </w:rPr>
        <w:footnoteRef/>
      </w:r>
      <w:r>
        <w:t xml:space="preserve"> </w:t>
      </w:r>
      <w:r>
        <w:tab/>
        <w:t xml:space="preserve">Закон № 140/1961 </w:t>
      </w:r>
      <w:r>
        <w:rPr>
          <w:lang w:val="en-US"/>
        </w:rPr>
        <w:t>Coll</w:t>
      </w:r>
      <w:r>
        <w:t xml:space="preserve">. об Уголовном кодексе с последующими поправками. </w:t>
      </w:r>
    </w:p>
  </w:footnote>
  <w:footnote w:id="20">
    <w:p w:rsidR="00000000" w:rsidRDefault="00000000">
      <w:pPr>
        <w:pStyle w:val="FootnoteText"/>
      </w:pPr>
    </w:p>
    <w:p w:rsidR="00000000" w:rsidRDefault="00000000">
      <w:pPr>
        <w:pStyle w:val="FootnoteText"/>
      </w:pPr>
      <w:r>
        <w:rPr>
          <w:rStyle w:val="FootnoteReference"/>
        </w:rPr>
        <w:footnoteRef/>
      </w:r>
      <w:r>
        <w:t xml:space="preserve"> </w:t>
      </w:r>
      <w:r>
        <w:tab/>
        <w:t>Закон № 283/1993 Соll. о Государственной прокуратуре с последующими поправками.</w:t>
      </w:r>
    </w:p>
    <w:p w:rsidR="00000000" w:rsidRDefault="00000000">
      <w:pPr>
        <w:pStyle w:val="FootnoteText"/>
      </w:pPr>
    </w:p>
  </w:footnote>
  <w:footnote w:id="21">
    <w:p w:rsidR="00000000" w:rsidRDefault="00000000">
      <w:pPr>
        <w:pStyle w:val="FootnoteText"/>
      </w:pPr>
      <w:r>
        <w:rPr>
          <w:rStyle w:val="FootnoteReference"/>
        </w:rPr>
        <w:footnoteRef/>
      </w:r>
      <w:r>
        <w:t xml:space="preserve"> </w:t>
      </w:r>
      <w:r>
        <w:tab/>
        <w:t>Закон № 141/1961 Соll. об уголовном судопроизводстве (Уголовно-процессуальный кодекс) с последующими поправками.</w:t>
      </w:r>
    </w:p>
    <w:p w:rsidR="00000000" w:rsidRDefault="00000000">
      <w:pPr>
        <w:pStyle w:val="FootnoteText"/>
      </w:pPr>
    </w:p>
  </w:footnote>
  <w:footnote w:id="22">
    <w:p w:rsidR="00000000" w:rsidRDefault="00000000">
      <w:pPr>
        <w:pStyle w:val="FootnoteText"/>
      </w:pPr>
      <w:r>
        <w:rPr>
          <w:rStyle w:val="FootnoteReference"/>
        </w:rPr>
        <w:footnoteRef/>
      </w:r>
      <w:r>
        <w:t xml:space="preserve"> </w:t>
      </w:r>
      <w:r>
        <w:tab/>
        <w:t>Закон № 99/1963 Соll. о Гражданско-процессуальном кодексе с последующими поправками.</w:t>
      </w:r>
    </w:p>
    <w:p w:rsidR="00000000" w:rsidRDefault="00000000">
      <w:pPr>
        <w:pStyle w:val="FootnoteText"/>
      </w:pPr>
    </w:p>
  </w:footnote>
  <w:footnote w:id="23">
    <w:p w:rsidR="00000000" w:rsidRDefault="00000000">
      <w:pPr>
        <w:pStyle w:val="FootnoteText"/>
      </w:pPr>
      <w:r>
        <w:rPr>
          <w:rStyle w:val="FootnoteReference"/>
        </w:rPr>
        <w:footnoteRef/>
      </w:r>
      <w:r>
        <w:t xml:space="preserve"> </w:t>
      </w:r>
      <w:r>
        <w:tab/>
        <w:t>Закон № 2/1993 Соll. о промульгации Хартии основных прав и свобод как части Конституционного декрета Чешской Республики с последующими поправками.</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Закон № 4/1993 Соll. о мерах, связанных с роспуском Чешской и Словацкой Федеративной Республики.</w:t>
      </w:r>
    </w:p>
    <w:p w:rsidR="00000000" w:rsidRDefault="00000000">
      <w:pPr>
        <w:pStyle w:val="FootnoteText"/>
      </w:pPr>
    </w:p>
  </w:footnote>
  <w:footnote w:id="25">
    <w:p w:rsidR="00000000" w:rsidRDefault="00000000">
      <w:pPr>
        <w:pStyle w:val="FootnoteText"/>
      </w:pPr>
      <w:r>
        <w:rPr>
          <w:rStyle w:val="FootnoteReference"/>
        </w:rPr>
        <w:footnoteRef/>
      </w:r>
      <w:r>
        <w:t xml:space="preserve"> </w:t>
      </w:r>
      <w:r>
        <w:tab/>
        <w:t>Закон № 40/1964 Соll. о Гражданском кодексе с последующими поправками;  Закон № 99/1963 Соll. о Гражданско-процессуальном кодексе с последующими поправками;  Закон № 140/1961 Соll. об Уголовном кодексе с последующими поправками; Закон № 141/1961 Соll. об уголовном судопроизводстве (Уголовно-процессуальный кодекс) с последующими поправками;  Закон № 71/1967 Соll. об административном судопроизводстве (Административно-процессуальный кодекс) с последующими поправками.</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По состоянию на 1 января 2000 года публикация правовых положений регулируется Законом № 309/1999 Соll. о Сборнике законов и Сборнике международных договоров.  Международные договоры публикуются в Сборнике международных договоров на языке, который является официальным в соответствии с международным правом на предмет их толкования, и одновременно в переводе на чешский язык.</w:t>
      </w:r>
    </w:p>
    <w:p w:rsidR="00000000" w:rsidRDefault="00000000">
      <w:pPr>
        <w:pStyle w:val="FootnoteText"/>
      </w:pPr>
    </w:p>
  </w:footnote>
  <w:footnote w:id="27">
    <w:p w:rsidR="00000000" w:rsidRDefault="00000000">
      <w:pPr>
        <w:pStyle w:val="FootnoteText"/>
      </w:pPr>
      <w:r>
        <w:rPr>
          <w:rStyle w:val="FootnoteReference"/>
        </w:rPr>
        <w:footnoteRef/>
      </w:r>
      <w:r>
        <w:t xml:space="preserve"> </w:t>
      </w:r>
      <w:r>
        <w:tab/>
        <w:t>Закон № 545/1992 Соll. о Сборнике законов Чешской Республики.</w:t>
      </w:r>
    </w:p>
    <w:p w:rsidR="00000000" w:rsidRDefault="00000000">
      <w:pPr>
        <w:pStyle w:val="FootnoteText"/>
      </w:pPr>
    </w:p>
  </w:footnote>
  <w:footnote w:id="28">
    <w:p w:rsidR="00000000" w:rsidRDefault="00000000">
      <w:pPr>
        <w:pStyle w:val="FootnoteText"/>
      </w:pPr>
      <w:r>
        <w:rPr>
          <w:rStyle w:val="FootnoteReference"/>
        </w:rPr>
        <w:footnoteRef/>
      </w:r>
      <w:r>
        <w:t xml:space="preserve"> </w:t>
      </w:r>
      <w:r>
        <w:tab/>
        <w:t>Постановление министерства образования и культуры № 140/1964 Соll. об обязательных и рабочих экземплярах с последующими поправками.</w:t>
      </w:r>
    </w:p>
    <w:p w:rsidR="00000000" w:rsidRDefault="00000000">
      <w:pPr>
        <w:pStyle w:val="FootnoteText"/>
      </w:pPr>
    </w:p>
  </w:footnote>
  <w:footnote w:id="29">
    <w:p w:rsidR="00000000" w:rsidRDefault="00000000">
      <w:pPr>
        <w:pStyle w:val="FootnoteText"/>
      </w:pPr>
      <w:r>
        <w:rPr>
          <w:rStyle w:val="FootnoteReference"/>
        </w:rPr>
        <w:footnoteRef/>
      </w:r>
      <w:r>
        <w:t xml:space="preserve"> </w:t>
      </w:r>
      <w:r>
        <w:tab/>
        <w:t>14 марта 2000 года вступил в силу новое постановление министерства культуры (№ 52/2000 Соll.) относительно обязательного распространения периодической печати (в соответствии с пунктом 6 статьи 9 Закона № 46/2000 Соll. о прессе).  В соответствии с этим постановлением экземпляры периодических изданий в обязательном порядке направляются в национальные научные библиотеки и Городскую библиотеку Праги.</w:t>
      </w:r>
    </w:p>
    <w:p w:rsidR="00000000" w:rsidRDefault="00000000">
      <w:pPr>
        <w:pStyle w:val="FootnoteText"/>
      </w:pPr>
    </w:p>
  </w:footnote>
  <w:footnote w:id="30">
    <w:p w:rsidR="00000000" w:rsidRDefault="00000000">
      <w:pPr>
        <w:pStyle w:val="FootnoteText"/>
      </w:pPr>
      <w:r>
        <w:rPr>
          <w:rStyle w:val="FootnoteReference"/>
        </w:rPr>
        <w:footnoteRef/>
      </w:r>
      <w:r>
        <w:t xml:space="preserve"> </w:t>
      </w:r>
      <w:r>
        <w:tab/>
      </w:r>
      <w:r>
        <w:rPr>
          <w:bCs/>
        </w:rPr>
        <w:t>Международные конвенции, связанные с членством Чешской Республики в Организации Объединенных Наций</w:t>
      </w:r>
      <w:r>
        <w:t>:</w:t>
      </w:r>
      <w:r>
        <w:rPr>
          <w:b/>
          <w:bCs/>
        </w:rPr>
        <w:t xml:space="preserve">  </w:t>
      </w:r>
      <w:r>
        <w:t>Всеобщая декларация прав человека, принятая Генеральной Ассамблеей Организации Объединенных Наций 10 декабря 1948 года;  № </w:t>
      </w:r>
      <w:r>
        <w:rPr>
          <w:lang w:val="en-US"/>
        </w:rPr>
        <w:t>DEO</w:t>
      </w:r>
      <w:r>
        <w:t>1/48 в чешских правовых актах;  Международный пакт о гражданских и политических правах, текст Пакта опубликован под № 120/1976 </w:t>
      </w:r>
      <w:r>
        <w:rPr>
          <w:lang w:val="en-US"/>
        </w:rPr>
        <w:t>Coll</w:t>
      </w:r>
      <w:r>
        <w:t>.;  Международный пакт об экономических, социальных и культурных правах, текст Пакта опубликован под № 120/1976 </w:t>
      </w:r>
      <w:r>
        <w:rPr>
          <w:lang w:val="en-US"/>
        </w:rPr>
        <w:t>Coll</w:t>
      </w:r>
      <w:r>
        <w:t>.;  Международная конвенция о ликвидации всех форм расовой дискриминации, текст Конвенции опубликован под № 95/1974 </w:t>
      </w:r>
      <w:r>
        <w:rPr>
          <w:lang w:val="en-US"/>
        </w:rPr>
        <w:t>Coll</w:t>
      </w:r>
      <w:r>
        <w:t>.;  Конвенция о ликвидации всех форм дискриминации в отношении женщин, текст Конвенции опубликован в Сборнике законов под № 62/1987 </w:t>
      </w:r>
      <w:r>
        <w:rPr>
          <w:lang w:val="en-US"/>
        </w:rPr>
        <w:t>Coll</w:t>
      </w:r>
      <w:r>
        <w:t>.;  Конвенция против пыток и других жестоких, бесчеловечных или унижающих достоинство видов обращения и наказания, текст Конвенции опубликован в Сборнике договоров под № 143/1988 </w:t>
      </w:r>
      <w:r>
        <w:rPr>
          <w:lang w:val="en-US"/>
        </w:rPr>
        <w:t>Coll</w:t>
      </w:r>
      <w:r>
        <w:t>. и № 39/1997 </w:t>
      </w:r>
      <w:r>
        <w:rPr>
          <w:lang w:val="en-US"/>
        </w:rPr>
        <w:t>Coll</w:t>
      </w:r>
      <w:r>
        <w:t>. (отказ от оговорок, сделанных при первоначальной ратификации в отношении отдельных статей);  Конвенция о правах ребенка, текст Конвенции опубликован под № 104/1991 </w:t>
      </w:r>
      <w:r>
        <w:rPr>
          <w:lang w:val="en-US"/>
        </w:rPr>
        <w:t>Coll</w:t>
      </w:r>
      <w:r>
        <w:t>.</w:t>
      </w:r>
    </w:p>
    <w:p w:rsidR="00000000" w:rsidRDefault="00000000">
      <w:pPr>
        <w:pStyle w:val="FootnoteText"/>
        <w:rPr>
          <w:b/>
          <w:bCs/>
        </w:rPr>
      </w:pPr>
    </w:p>
    <w:p w:rsidR="00000000" w:rsidRDefault="00000000">
      <w:pPr>
        <w:pStyle w:val="FootnoteText"/>
      </w:pPr>
      <w:r>
        <w:rPr>
          <w:b/>
          <w:bCs/>
        </w:rPr>
        <w:tab/>
      </w:r>
      <w:r>
        <w:rPr>
          <w:bCs/>
        </w:rPr>
        <w:t>Международные конвенции, связанные с членством Чешской Республики в Совете Европы:</w:t>
      </w:r>
      <w:r>
        <w:t xml:space="preserve">  Конвенция о защите прав человека и основных свобод, включая Протоколы, текст промульгирован в Сборнике законов под № 209/1992 </w:t>
      </w:r>
      <w:r>
        <w:rPr>
          <w:lang w:val="en-US"/>
        </w:rPr>
        <w:t>Coll</w:t>
      </w:r>
      <w:r>
        <w:t>. с поправками под № 41/1996 </w:t>
      </w:r>
      <w:r>
        <w:rPr>
          <w:lang w:val="en-US"/>
        </w:rPr>
        <w:t>Coll</w:t>
      </w:r>
      <w:r>
        <w:t>. и № 243/1998 </w:t>
      </w:r>
      <w:r>
        <w:rPr>
          <w:lang w:val="en-US"/>
        </w:rPr>
        <w:t>Coll</w:t>
      </w:r>
      <w:r>
        <w:t>.;  Рамочная конвенция о защите национальных меньшинств, текст Конвенции опубликован под № 96/1998 </w:t>
      </w:r>
      <w:r>
        <w:rPr>
          <w:lang w:val="en-US"/>
        </w:rPr>
        <w:t>Coll</w:t>
      </w:r>
      <w:r>
        <w:t>.;  Европейская социальная хартия своим постановлением № 776 от 25 ноября 1998 года правительство одобрило предложение министра труда и социальных дел о ратификации Европейской социальной хартии (1961 год), Дополнительного протокола к Европейской социальной хартии (1988 год) в предлагаемом объеме и Дополнительный протокол к Европейской социальной хартии (1991 год) и о подписании пересмотренной Европейской социальной хартии (1996 год) при условии ее ратификации.  Палата депутатов одобрила Хартию в июле 1999 года, а Сенат - в августе 1999 года.  Ратификационные грамоты были сданы на хранение Генеральному секретарю Совета Европы 17 ноября 1999 года.  Европейская социальная хартия была опубликована в Сборнике международных договоров под № 14/2000 </w:t>
      </w:r>
      <w:r>
        <w:rPr>
          <w:lang w:val="en-US"/>
        </w:rPr>
        <w:t>Coll</w:t>
      </w:r>
      <w:r>
        <w:t xml:space="preserve">. </w:t>
      </w:r>
      <w:r>
        <w:rPr>
          <w:lang w:val="en-US"/>
        </w:rPr>
        <w:t>I</w:t>
      </w:r>
      <w:r>
        <w:t>.</w:t>
      </w:r>
      <w:r>
        <w:rPr>
          <w:lang w:val="en-US"/>
        </w:rPr>
        <w:t>T</w:t>
      </w:r>
      <w:r>
        <w:t>., а Дополнительный протокол - под № 15/2000 </w:t>
      </w:r>
      <w:r>
        <w:rPr>
          <w:lang w:val="en-US"/>
        </w:rPr>
        <w:t>Coll</w:t>
      </w:r>
      <w:r>
        <w:t xml:space="preserve">. </w:t>
      </w:r>
      <w:r>
        <w:rPr>
          <w:lang w:val="en-US"/>
        </w:rPr>
        <w:t>I</w:t>
      </w:r>
      <w:r>
        <w:t>.</w:t>
      </w:r>
      <w:r>
        <w:rPr>
          <w:lang w:val="en-US"/>
        </w:rPr>
        <w:t>T</w:t>
      </w:r>
      <w:r>
        <w:t>.  Протокол о поправках пока еще не опубликован.  Министр труда и социальных дел, который готовил предложение о ратификации Хартии и протоколов к ней, представил ее по просьбе министерства иностранных дел на утверждение в качестве договора согласно статье 10 Конституции, т.е. в качестве международного договора по правам человека.  Палата депутатов изменила эту концепцию и приняла ее не по процедуре одобрения, предусмотренной пунктом 4 статьи 39, а согласно по пункту 2 статьи 49 Конституции.  Таким образом, в соответствии со статьей 10 Конституции Европейская социальная хартия не является договором о правах человека.</w:t>
      </w:r>
    </w:p>
    <w:p w:rsidR="00000000" w:rsidRDefault="00000000">
      <w:pPr>
        <w:pStyle w:val="FootnoteText"/>
      </w:pPr>
    </w:p>
  </w:footnote>
  <w:footnote w:id="31">
    <w:p w:rsidR="00000000" w:rsidRDefault="00000000">
      <w:pPr>
        <w:pStyle w:val="FootnoteText"/>
      </w:pPr>
      <w:r>
        <w:rPr>
          <w:rStyle w:val="FootnoteReference"/>
        </w:rPr>
        <w:footnoteRef/>
      </w:r>
      <w:r>
        <w:t xml:space="preserve"> </w:t>
      </w:r>
      <w:r>
        <w:tab/>
        <w:t xml:space="preserve">Решение № 3/1995 </w:t>
      </w:r>
      <w:r>
        <w:rPr>
          <w:lang w:val="en-US"/>
        </w:rPr>
        <w:t>Coll</w:t>
      </w:r>
      <w:r>
        <w:t xml:space="preserve">. Конституционного суда Чешской Республики по вопросу о предложении отменить некоторые положения статьи I Закона № 74/1994 </w:t>
      </w:r>
      <w:r>
        <w:rPr>
          <w:lang w:val="en-US"/>
        </w:rPr>
        <w:t>Coll</w:t>
      </w:r>
      <w:r>
        <w:t xml:space="preserve">. о внесении поправок и дополнений в Трудовой кодекс № 65/1965 </w:t>
      </w:r>
      <w:r>
        <w:rPr>
          <w:lang w:val="en-US"/>
        </w:rPr>
        <w:t>Coll</w:t>
      </w:r>
      <w:r>
        <w:t xml:space="preserve"> с последующими поправками, а также в некоторые другие законы.</w:t>
      </w:r>
    </w:p>
    <w:p w:rsidR="00000000" w:rsidRDefault="00000000">
      <w:pPr>
        <w:pStyle w:val="FootnoteText"/>
      </w:pPr>
    </w:p>
  </w:footnote>
  <w:footnote w:id="32">
    <w:p w:rsidR="00000000" w:rsidRDefault="00000000">
      <w:pPr>
        <w:pStyle w:val="FootnoteText"/>
      </w:pPr>
      <w:r>
        <w:rPr>
          <w:rStyle w:val="FootnoteReference"/>
        </w:rPr>
        <w:footnoteRef/>
      </w:r>
      <w:r>
        <w:t xml:space="preserve"> </w:t>
      </w:r>
      <w:r>
        <w:tab/>
        <w:t xml:space="preserve">Закон № 106/1999 </w:t>
      </w:r>
      <w:r>
        <w:rPr>
          <w:lang w:val="en-US"/>
        </w:rPr>
        <w:t>Coll</w:t>
      </w:r>
      <w:r>
        <w:t>. о свободном доступе к информации.</w:t>
      </w:r>
    </w:p>
  </w:footnote>
  <w:footnote w:id="33">
    <w:p w:rsidR="00000000" w:rsidRDefault="00000000">
      <w:pPr>
        <w:pStyle w:val="FootnoteText"/>
      </w:pPr>
      <w:r>
        <w:rPr>
          <w:rStyle w:val="FootnoteReference"/>
        </w:rPr>
        <w:footnoteRef/>
      </w:r>
      <w:r>
        <w:t xml:space="preserve"> </w:t>
      </w:r>
      <w:r>
        <w:tab/>
        <w:t>Постановление правительства Чешской Республики № 579 от 9 сентября 1998 года.</w:t>
      </w:r>
    </w:p>
    <w:p w:rsidR="00000000" w:rsidRDefault="00000000">
      <w:pPr>
        <w:pStyle w:val="FootnoteText"/>
      </w:pPr>
    </w:p>
  </w:footnote>
  <w:footnote w:id="34">
    <w:p w:rsidR="00000000" w:rsidRDefault="00000000">
      <w:pPr>
        <w:pStyle w:val="FootnoteText"/>
      </w:pPr>
      <w:r>
        <w:rPr>
          <w:rStyle w:val="FootnoteReference"/>
        </w:rPr>
        <w:footnoteRef/>
      </w:r>
      <w:r>
        <w:t xml:space="preserve"> </w:t>
      </w:r>
      <w:r>
        <w:tab/>
        <w:t>Постановление правительства Чешской Республики № 809 от 9 декабря 1998 года о совершенствовании защиты прав человека в Чешской Республике (по случаю 50-й годовщины принятия Всеобщей декларации прав человека).</w:t>
      </w:r>
    </w:p>
  </w:footnote>
  <w:footnote w:id="35">
    <w:p w:rsidR="00000000" w:rsidRDefault="00000000">
      <w:pPr>
        <w:pStyle w:val="FootnoteText"/>
      </w:pPr>
      <w:r>
        <w:rPr>
          <w:rStyle w:val="FootnoteReference"/>
        </w:rPr>
        <w:footnoteRef/>
      </w:r>
      <w:r>
        <w:t xml:space="preserve"> </w:t>
      </w:r>
      <w:r>
        <w:tab/>
        <w:t xml:space="preserve">Закон № 349/1999 </w:t>
      </w:r>
      <w:r>
        <w:rPr>
          <w:lang w:val="en-US"/>
        </w:rPr>
        <w:t>Coll</w:t>
      </w:r>
      <w:r>
        <w:t>. об общественном защитнике прав.</w:t>
      </w:r>
    </w:p>
    <w:p w:rsidR="00000000" w:rsidRDefault="00000000">
      <w:pPr>
        <w:pStyle w:val="FootnoteText"/>
      </w:pPr>
    </w:p>
  </w:footnote>
  <w:footnote w:id="36">
    <w:p w:rsidR="00000000" w:rsidRDefault="00000000">
      <w:pPr>
        <w:pStyle w:val="FootnoteText"/>
      </w:pPr>
      <w:r>
        <w:rPr>
          <w:rStyle w:val="FootnoteReference"/>
        </w:rPr>
        <w:footnoteRef/>
      </w:r>
      <w:r>
        <w:t xml:space="preserve"> </w:t>
      </w:r>
      <w:r>
        <w:tab/>
        <w:t xml:space="preserve">Создаваемые в соответствии с Законом № 83/1990 </w:t>
      </w:r>
      <w:r>
        <w:rPr>
          <w:lang w:val="en-US"/>
        </w:rPr>
        <w:t>Coll</w:t>
      </w:r>
      <w:r>
        <w:t>. о собраниях граждан с последующими поправками.</w:t>
      </w:r>
    </w:p>
  </w:footnote>
  <w:footnote w:id="37">
    <w:p w:rsidR="00000000" w:rsidRDefault="00000000">
      <w:pPr>
        <w:pStyle w:val="FootnoteText"/>
      </w:pPr>
    </w:p>
    <w:p w:rsidR="00000000" w:rsidRDefault="00000000">
      <w:pPr>
        <w:pStyle w:val="FootnoteText"/>
      </w:pPr>
      <w:r>
        <w:rPr>
          <w:rStyle w:val="FootnoteReference"/>
        </w:rPr>
        <w:footnoteRef/>
      </w:r>
      <w:r>
        <w:t xml:space="preserve"> </w:t>
      </w:r>
      <w:r>
        <w:tab/>
        <w:t xml:space="preserve">Создаваемые в соответствии с Законом № 308/1991 </w:t>
      </w:r>
      <w:r>
        <w:rPr>
          <w:lang w:val="en-US"/>
        </w:rPr>
        <w:t>Coll</w:t>
      </w:r>
      <w:r>
        <w:t>. о свободе вероисповедания и статусе церквей и религиозных обществ.</w:t>
      </w:r>
    </w:p>
    <w:p w:rsidR="00000000" w:rsidRDefault="00000000">
      <w:pPr>
        <w:pStyle w:val="FootnoteText"/>
      </w:pPr>
    </w:p>
  </w:footnote>
  <w:footnote w:id="38">
    <w:p w:rsidR="00000000" w:rsidRDefault="00000000">
      <w:pPr>
        <w:pStyle w:val="FootnoteText"/>
      </w:pPr>
      <w:r>
        <w:rPr>
          <w:rStyle w:val="FootnoteReference"/>
        </w:rPr>
        <w:footnoteRef/>
      </w:r>
      <w:r>
        <w:t xml:space="preserve"> </w:t>
      </w:r>
      <w:r>
        <w:tab/>
        <w:t xml:space="preserve">Создаваемые в соответствии с Законом № 248/1995 </w:t>
      </w:r>
      <w:r>
        <w:rPr>
          <w:lang w:val="en-US"/>
        </w:rPr>
        <w:t>Coll</w:t>
      </w:r>
      <w:r>
        <w:t>. об организациях по оказанию общественно-полезных услуг и о поправках и дополнениях к некоторым законам.</w:t>
      </w:r>
    </w:p>
    <w:p w:rsidR="00000000" w:rsidRDefault="00000000">
      <w:pPr>
        <w:pStyle w:val="FootnoteText"/>
      </w:pPr>
    </w:p>
  </w:footnote>
  <w:footnote w:id="39">
    <w:p w:rsidR="00000000" w:rsidRDefault="00000000">
      <w:pPr>
        <w:pStyle w:val="FootnoteText"/>
      </w:pPr>
      <w:r>
        <w:rPr>
          <w:rStyle w:val="FootnoteReference"/>
        </w:rPr>
        <w:footnoteRef/>
      </w:r>
      <w:r>
        <w:t xml:space="preserve"> </w:t>
      </w:r>
      <w:r>
        <w:tab/>
        <w:t xml:space="preserve">Создаваемые в соответствии с законом № 227/1997 </w:t>
      </w:r>
      <w:r>
        <w:rPr>
          <w:lang w:val="en-US"/>
        </w:rPr>
        <w:t>Coll</w:t>
      </w:r>
      <w:r>
        <w:t>. о фондах и целевых фондах и поправках и дополнениях некоторых смежных законов (Закон о фондах).</w:t>
      </w:r>
    </w:p>
    <w:p w:rsidR="00000000" w:rsidRDefault="00000000">
      <w:pPr>
        <w:pStyle w:val="FootnoteText"/>
      </w:pPr>
    </w:p>
  </w:footnote>
  <w:footnote w:id="40">
    <w:p w:rsidR="00000000" w:rsidRDefault="00000000">
      <w:pPr>
        <w:pStyle w:val="FootnoteText"/>
      </w:pPr>
      <w:r>
        <w:rPr>
          <w:rStyle w:val="FootnoteReference"/>
        </w:rPr>
        <w:footnoteRef/>
      </w:r>
      <w:r>
        <w:t xml:space="preserve"> </w:t>
      </w:r>
      <w:r>
        <w:tab/>
        <w:t xml:space="preserve">Закон № 576/1990 </w:t>
      </w:r>
      <w:r>
        <w:rPr>
          <w:lang w:val="en-US"/>
        </w:rPr>
        <w:t>Coll</w:t>
      </w:r>
      <w:r>
        <w:t>. о правилах управления бюджетными фондами Чешской Республики и муниципалитетов в Чешской Республике (правилах государственного бюджета) с последующими поправками.</w:t>
      </w:r>
    </w:p>
  </w:footnote>
  <w:footnote w:id="41">
    <w:p w:rsidR="00000000" w:rsidRDefault="00000000">
      <w:pPr>
        <w:pStyle w:val="FootnoteText"/>
      </w:pPr>
    </w:p>
    <w:p w:rsidR="00000000" w:rsidRDefault="00000000">
      <w:pPr>
        <w:pStyle w:val="FootnoteText"/>
      </w:pPr>
      <w:r>
        <w:rPr>
          <w:rStyle w:val="FootnoteReference"/>
        </w:rPr>
        <w:footnoteRef/>
      </w:r>
      <w:r>
        <w:t xml:space="preserve"> </w:t>
      </w:r>
      <w:r>
        <w:tab/>
        <w:t>18 ноября 1999 года правительство представило этот законопроект палате депутатов, которая направила его в комитеты для дальнейшего обсуждения.  Закон должен вступить в силу 1 января 2001 года.</w:t>
      </w:r>
    </w:p>
  </w:footnote>
  <w:footnote w:id="42">
    <w:p w:rsidR="00000000" w:rsidRDefault="00000000">
      <w:pPr>
        <w:pStyle w:val="FootnoteText"/>
      </w:pPr>
    </w:p>
    <w:p w:rsidR="00000000" w:rsidRDefault="00000000">
      <w:pPr>
        <w:pStyle w:val="FootnoteText"/>
      </w:pPr>
      <w:r>
        <w:rPr>
          <w:rStyle w:val="FootnoteReference"/>
        </w:rPr>
        <w:footnoteRef/>
      </w:r>
      <w:r>
        <w:t xml:space="preserve"> </w:t>
      </w:r>
      <w:r>
        <w:tab/>
        <w:t>Утверждены постановлением правительства Чешской Республики № 663 от 27 ноября 1992 года о государственном бюджете Чешской Республики на 1993 год.</w:t>
      </w:r>
    </w:p>
  </w:footnote>
  <w:footnote w:id="43">
    <w:p w:rsidR="00000000" w:rsidRDefault="00000000">
      <w:pPr>
        <w:pStyle w:val="FootnoteText"/>
      </w:pPr>
    </w:p>
    <w:p w:rsidR="00000000" w:rsidRDefault="00000000">
      <w:pPr>
        <w:pStyle w:val="FootnoteText"/>
      </w:pPr>
      <w:r>
        <w:rPr>
          <w:rStyle w:val="FootnoteReference"/>
        </w:rPr>
        <w:footnoteRef/>
      </w:r>
      <w:r>
        <w:t xml:space="preserve"> </w:t>
      </w:r>
      <w:r>
        <w:tab/>
        <w:t>Правительственные правила предоставления субсидий гражданским ассоциациям из государственного бюджета Чешской Республики, недавно утвержденные постановлением правительства Чешской Республики № 642 от 23 июля 1999 года, вступили в силу 1 июля 1999 года.</w:t>
      </w:r>
    </w:p>
  </w:footnote>
  <w:footnote w:id="44">
    <w:p w:rsidR="00000000" w:rsidRDefault="00000000">
      <w:pPr>
        <w:pStyle w:val="FootnoteText"/>
        <w:spacing w:line="216" w:lineRule="auto"/>
      </w:pPr>
      <w:r>
        <w:rPr>
          <w:rStyle w:val="FootnoteReference"/>
        </w:rPr>
        <w:footnoteRef/>
      </w:r>
      <w:r>
        <w:t xml:space="preserve"> </w:t>
      </w:r>
      <w:r>
        <w:tab/>
        <w:t>Постановление правительства Чешской Республики № 1031 от 6 октября 1999 года относительно анализа финансирования гражданских ассоциаций, специальных учреждений церквей, организаций по оказанию общественно-полезных услуг, фондов и целевых фондов из государственного бюджета.  В связи с этим и в свете задач, вытекающих из этого постановления, 15 марта 2000 года правительство приняло постановление № 260 об основных направлениях политики государственного субсидирования неправительственных некоммерческих организаций в 2001 году и о стандартизации некоторых их технико-организационных правил.</w:t>
      </w:r>
    </w:p>
  </w:footnote>
  <w:footnote w:id="45">
    <w:p w:rsidR="00000000" w:rsidRDefault="00000000">
      <w:pPr>
        <w:pStyle w:val="FootnoteText"/>
        <w:spacing w:line="216" w:lineRule="auto"/>
      </w:pPr>
      <w:r>
        <w:rPr>
          <w:rStyle w:val="FootnoteReference"/>
        </w:rPr>
        <w:footnoteRef/>
      </w:r>
      <w:r>
        <w:t xml:space="preserve"> </w:t>
      </w:r>
      <w:r>
        <w:tab/>
        <w:t>В соответствии с Законом № 171/1991 Соll. о полномочиях органов Чешской Республики в вопросах передачи государственной собственности другим лицам и о Национальном фонде собственности Чешской Республики с последующими поправками.  Собственность Фонда не является частью государственного бюджета и может использоваться, наряду с другим, для передачи Инвестиционному фонду поддержки общественных фондов в целях оказания помощи фондам, указанным Палатой депутатов по предложению правительства (пункт 2 а) статьи 18 упомянутого закона).  Условия распределения средств из Фонда на первой стадии были изложены в постановлении правительства  № 360 от 27 мая 1998 года;  базовые правила распределения средств, приобретенных в результате продажи акций, предназначенных для Фонда на второй стадии, были утверждены постановлением правительства № 1002 от 29 сентября 1999 года.</w:t>
      </w:r>
    </w:p>
    <w:p w:rsidR="00000000" w:rsidRDefault="00000000">
      <w:pPr>
        <w:pStyle w:val="FootnoteText"/>
        <w:spacing w:line="216" w:lineRule="auto"/>
      </w:pPr>
    </w:p>
  </w:footnote>
  <w:footnote w:id="46">
    <w:p w:rsidR="00000000" w:rsidRDefault="00000000">
      <w:pPr>
        <w:pStyle w:val="FootnoteText"/>
      </w:pPr>
      <w:r>
        <w:rPr>
          <w:rStyle w:val="FootnoteReference"/>
        </w:rPr>
        <w:footnoteRef/>
      </w:r>
      <w:r>
        <w:t xml:space="preserve"> </w:t>
      </w:r>
      <w:r>
        <w:tab/>
        <w:t>Постановление министерства иностранных дел № 120/1976 Со11. от 10 мая 1976 года относительно Международного пакта о гражданских и политических правах и Международного пакта об экономических, социальных и культурных правах.</w:t>
      </w:r>
    </w:p>
  </w:footnote>
  <w:footnote w:id="47">
    <w:p w:rsidR="00000000" w:rsidRDefault="00000000">
      <w:pPr>
        <w:pStyle w:val="FootnoteText"/>
      </w:pPr>
      <w:r>
        <w:rPr>
          <w:rStyle w:val="FootnoteReference"/>
        </w:rPr>
        <w:footnoteRef/>
      </w:r>
      <w:r>
        <w:t xml:space="preserve"> </w:t>
      </w:r>
      <w:r>
        <w:tab/>
        <w:t>Закон № 17/1992/ Со11. об охране окружающей среды с последующими поправками, в частности с учетом Закона № 123/1998 о праве на доступе к информации относительно окружающей среды.</w:t>
      </w:r>
    </w:p>
  </w:footnote>
  <w:footnote w:id="48">
    <w:p w:rsidR="00000000" w:rsidRDefault="00000000">
      <w:pPr>
        <w:pStyle w:val="FootnoteText"/>
      </w:pPr>
      <w:r>
        <w:rPr>
          <w:rStyle w:val="FootnoteReference"/>
        </w:rPr>
        <w:footnoteRef/>
      </w:r>
      <w:r>
        <w:t xml:space="preserve"> </w:t>
      </w:r>
      <w:r>
        <w:tab/>
        <w:t>Организация экономического сотрудничества и развития (ОЭСР).</w:t>
      </w:r>
    </w:p>
    <w:p w:rsidR="00000000" w:rsidRDefault="00000000">
      <w:pPr>
        <w:pStyle w:val="FootnoteText"/>
      </w:pPr>
    </w:p>
  </w:footnote>
  <w:footnote w:id="49">
    <w:p w:rsidR="00000000" w:rsidRDefault="00000000">
      <w:pPr>
        <w:pStyle w:val="FootnoteText"/>
      </w:pPr>
      <w:r>
        <w:rPr>
          <w:rStyle w:val="FootnoteReference"/>
        </w:rPr>
        <w:footnoteRef/>
      </w:r>
      <w:r>
        <w:t xml:space="preserve"> </w:t>
      </w:r>
      <w:r>
        <w:tab/>
        <w:t>Постановление правительства Чешской Республики № 354/1999 от 14 апреля 1999 года о решении экономических проблем в некоторых промышленных компаниях.</w:t>
      </w:r>
    </w:p>
    <w:p w:rsidR="00000000" w:rsidRDefault="00000000">
      <w:pPr>
        <w:pStyle w:val="FootnoteText"/>
      </w:pPr>
    </w:p>
  </w:footnote>
  <w:footnote w:id="50">
    <w:p w:rsidR="00000000" w:rsidRDefault="00000000">
      <w:pPr>
        <w:pStyle w:val="FootnoteText"/>
        <w:tabs>
          <w:tab w:val="left" w:pos="8415"/>
        </w:tabs>
      </w:pPr>
      <w:r>
        <w:rPr>
          <w:rStyle w:val="FootnoteReference"/>
        </w:rPr>
        <w:footnoteRef/>
      </w:r>
      <w:r>
        <w:t xml:space="preserve"> </w:t>
      </w:r>
      <w:r>
        <w:tab/>
        <w:t>Международный валютный фонд (МВФ).</w:t>
      </w:r>
    </w:p>
    <w:p w:rsidR="00000000" w:rsidRDefault="00000000">
      <w:pPr>
        <w:pStyle w:val="FootnoteText"/>
        <w:tabs>
          <w:tab w:val="left" w:pos="8415"/>
        </w:tabs>
      </w:pPr>
    </w:p>
  </w:footnote>
  <w:footnote w:id="51">
    <w:p w:rsidR="00000000" w:rsidRDefault="00000000">
      <w:pPr>
        <w:pStyle w:val="FootnoteText"/>
      </w:pPr>
      <w:r>
        <w:rPr>
          <w:rStyle w:val="FootnoteReference"/>
        </w:rPr>
        <w:footnoteRef/>
      </w:r>
      <w:r>
        <w:t xml:space="preserve"> </w:t>
      </w:r>
      <w:r>
        <w:tab/>
        <w:t>Всемирная торговая организация (ВТО).</w:t>
      </w:r>
    </w:p>
    <w:p w:rsidR="00000000" w:rsidRDefault="00000000">
      <w:pPr>
        <w:pStyle w:val="FootnoteText"/>
      </w:pPr>
    </w:p>
  </w:footnote>
  <w:footnote w:id="52">
    <w:p w:rsidR="00000000" w:rsidRDefault="00000000">
      <w:pPr>
        <w:pStyle w:val="FootnoteText"/>
      </w:pPr>
      <w:r>
        <w:rPr>
          <w:rStyle w:val="FootnoteReference"/>
        </w:rPr>
        <w:footnoteRef/>
      </w:r>
      <w:r>
        <w:t xml:space="preserve"> </w:t>
      </w:r>
      <w:r>
        <w:tab/>
        <w:t>Центральноевропейское соглашение о свободной торговле (ЦЕССТ).</w:t>
      </w:r>
    </w:p>
    <w:p w:rsidR="00000000" w:rsidRDefault="00000000">
      <w:pPr>
        <w:pStyle w:val="FootnoteText"/>
      </w:pPr>
    </w:p>
  </w:footnote>
  <w:footnote w:id="53">
    <w:p w:rsidR="00000000" w:rsidRDefault="00000000">
      <w:pPr>
        <w:pStyle w:val="FootnoteText"/>
      </w:pPr>
      <w:r>
        <w:rPr>
          <w:rStyle w:val="FootnoteReference"/>
        </w:rPr>
        <w:footnoteRef/>
      </w:r>
      <w:r>
        <w:t xml:space="preserve"> </w:t>
      </w:r>
      <w:r>
        <w:tab/>
        <w:t xml:space="preserve">Постановление министерства администрации и приватизации национальной собственности Чешской Республики № 324/1991 </w:t>
      </w:r>
      <w:r>
        <w:rPr>
          <w:lang w:val="en-US"/>
        </w:rPr>
        <w:t>C</w:t>
      </w:r>
      <w:r>
        <w:t>о</w:t>
      </w:r>
      <w:r>
        <w:rPr>
          <w:lang w:val="en-US"/>
        </w:rPr>
        <w:t>ll</w:t>
      </w:r>
      <w:r>
        <w:t>. об обязательном плане подготовки приватизационного проекта с последующими поправками.</w:t>
      </w:r>
    </w:p>
  </w:footnote>
  <w:footnote w:id="54">
    <w:p w:rsidR="00000000" w:rsidRDefault="00000000">
      <w:pPr>
        <w:pStyle w:val="FootnoteText"/>
      </w:pPr>
      <w:r>
        <w:rPr>
          <w:rStyle w:val="FootnoteReference"/>
        </w:rPr>
        <w:footnoteRef/>
      </w:r>
      <w:r>
        <w:t xml:space="preserve"> </w:t>
      </w:r>
      <w:r>
        <w:tab/>
        <w:t>Закон № 167/1999 Coll. о поправках к Закону № 1/1991 Сoll. о занятости с последующими поправками, Закону № 9/1991 Сoll. о занятости и полномочиях органов Чешской Республики в области занятости с последующими поправками, Закону № 368/1992 </w:t>
      </w:r>
      <w:r>
        <w:rPr>
          <w:lang w:val="en-US"/>
        </w:rPr>
        <w:t>Coll</w:t>
      </w:r>
      <w:r>
        <w:t xml:space="preserve"> об административных сборах с последующими поправками и Закону № 65/1965</w:t>
      </w:r>
      <w:r>
        <w:rPr>
          <w:lang w:val="en-US"/>
        </w:rPr>
        <w:t> Coll</w:t>
      </w:r>
      <w:r>
        <w:t xml:space="preserve"> о Трудовом кодексе с последующими поправками.</w:t>
      </w:r>
    </w:p>
    <w:p w:rsidR="00000000" w:rsidRDefault="00000000">
      <w:pPr>
        <w:pStyle w:val="FootnoteText"/>
      </w:pPr>
    </w:p>
  </w:footnote>
  <w:footnote w:id="55">
    <w:p w:rsidR="00000000" w:rsidRDefault="00000000">
      <w:pPr>
        <w:pStyle w:val="FootnoteText"/>
      </w:pPr>
      <w:r>
        <w:rPr>
          <w:rStyle w:val="FootnoteReference"/>
        </w:rPr>
        <w:footnoteRef/>
      </w:r>
      <w:r>
        <w:t xml:space="preserve"> </w:t>
      </w:r>
      <w:r>
        <w:tab/>
        <w:t>Закон № 29/1</w:t>
      </w:r>
      <w:r>
        <w:rPr>
          <w:lang w:val="en-US"/>
        </w:rPr>
        <w:t>9</w:t>
      </w:r>
      <w:r>
        <w:t>84 Coll. о системе начальных школ, средних школ и профессионально-технических училищ (Закон о школах) с последующими поправками.</w:t>
      </w:r>
    </w:p>
    <w:p w:rsidR="00000000" w:rsidRDefault="00000000">
      <w:pPr>
        <w:pStyle w:val="FootnoteText"/>
      </w:pPr>
    </w:p>
  </w:footnote>
  <w:footnote w:id="56">
    <w:p w:rsidR="00000000" w:rsidRDefault="00000000">
      <w:pPr>
        <w:pStyle w:val="FootnoteText"/>
      </w:pPr>
      <w:r>
        <w:rPr>
          <w:rStyle w:val="FootnoteReference"/>
        </w:rPr>
        <w:footnoteRef/>
      </w:r>
      <w:r>
        <w:t xml:space="preserve"> </w:t>
      </w:r>
      <w:r>
        <w:tab/>
        <w:t>Закон № 564/1990 Coll. о государственной администрации и местной администрации в области образования с последующими поправками.</w:t>
      </w:r>
    </w:p>
    <w:p w:rsidR="00000000" w:rsidRDefault="00000000">
      <w:pPr>
        <w:pStyle w:val="FootnoteText"/>
      </w:pPr>
    </w:p>
  </w:footnote>
  <w:footnote w:id="57">
    <w:p w:rsidR="00000000" w:rsidRDefault="00000000">
      <w:pPr>
        <w:pStyle w:val="FootnoteText"/>
      </w:pPr>
      <w:r>
        <w:rPr>
          <w:rStyle w:val="FootnoteReference"/>
        </w:rPr>
        <w:footnoteRef/>
      </w:r>
      <w:r>
        <w:t xml:space="preserve"> </w:t>
      </w:r>
      <w:r>
        <w:tab/>
        <w:t>Закон № 76/1978 Coll. о школьных учреждениях с последующими поправками.</w:t>
      </w:r>
    </w:p>
    <w:p w:rsidR="00000000" w:rsidRDefault="00000000">
      <w:pPr>
        <w:pStyle w:val="FootnoteText"/>
      </w:pPr>
    </w:p>
  </w:footnote>
  <w:footnote w:id="58">
    <w:p w:rsidR="00000000" w:rsidRDefault="00000000">
      <w:pPr>
        <w:pStyle w:val="FootnoteText"/>
      </w:pPr>
      <w:r>
        <w:rPr>
          <w:rStyle w:val="FootnoteReference"/>
        </w:rPr>
        <w:footnoteRef/>
      </w:r>
      <w:r>
        <w:t xml:space="preserve"> </w:t>
      </w:r>
      <w:r>
        <w:tab/>
        <w:t>Закон № 111/1998 Coll. об университетах, содержащий поправки и дополнения к другим законам.</w:t>
      </w:r>
    </w:p>
    <w:p w:rsidR="00000000" w:rsidRDefault="00000000">
      <w:pPr>
        <w:pStyle w:val="FootnoteText"/>
      </w:pPr>
    </w:p>
  </w:footnote>
  <w:footnote w:id="59">
    <w:p w:rsidR="00000000" w:rsidRDefault="00000000">
      <w:pPr>
        <w:pStyle w:val="FootnoteText"/>
      </w:pPr>
      <w:r>
        <w:rPr>
          <w:rStyle w:val="FootnoteReference"/>
        </w:rPr>
        <w:footnoteRef/>
      </w:r>
      <w:r>
        <w:t xml:space="preserve"> </w:t>
      </w:r>
      <w:r>
        <w:tab/>
        <w:t>Закон № 20/1966 Coll. об общественном здравоохранении с последующими поправками.</w:t>
      </w:r>
    </w:p>
    <w:p w:rsidR="00000000" w:rsidRDefault="00000000">
      <w:pPr>
        <w:pStyle w:val="FootnoteText"/>
      </w:pPr>
    </w:p>
  </w:footnote>
  <w:footnote w:id="60">
    <w:p w:rsidR="00000000" w:rsidRDefault="00000000">
      <w:pPr>
        <w:pStyle w:val="FootnoteText"/>
      </w:pPr>
      <w:r>
        <w:rPr>
          <w:rStyle w:val="FootnoteReference"/>
        </w:rPr>
        <w:footnoteRef/>
      </w:r>
      <w:r>
        <w:t xml:space="preserve"> </w:t>
      </w:r>
      <w:r>
        <w:tab/>
        <w:t>Закон № 634/1992 Coll. о защите потребителей с последующими поправками.</w:t>
      </w:r>
    </w:p>
    <w:p w:rsidR="00000000" w:rsidRDefault="00000000">
      <w:pPr>
        <w:pStyle w:val="FootnoteText"/>
      </w:pPr>
    </w:p>
  </w:footnote>
  <w:footnote w:id="61">
    <w:p w:rsidR="00000000" w:rsidRDefault="00000000">
      <w:pPr>
        <w:spacing w:line="240" w:lineRule="auto"/>
      </w:pPr>
      <w:r>
        <w:rPr>
          <w:rStyle w:val="FootnoteReference"/>
        </w:rPr>
        <w:footnoteRef/>
      </w:r>
      <w:r>
        <w:t xml:space="preserve"> </w:t>
      </w:r>
      <w:r>
        <w:tab/>
        <w:t>Статья 12 Закона № 64/1986 Coll. о Чешской торговой инспекции с поправками, внесенными Законом № 425/1992 Coll., гласит следующее:  "При определении размера штрафа или дисциплинарного штрафа следует учитывать тяжесть, метод, продолжительность и последствия противоправного поведения, а в случае инспектируемого физического лица также степень вины".</w:t>
      </w:r>
    </w:p>
    <w:p w:rsidR="00000000" w:rsidRDefault="00000000">
      <w:pPr>
        <w:pStyle w:val="FootnoteText"/>
      </w:pPr>
    </w:p>
  </w:footnote>
  <w:footnote w:id="62">
    <w:p w:rsidR="00000000" w:rsidRDefault="00000000">
      <w:pPr>
        <w:pStyle w:val="FootnoteText"/>
      </w:pPr>
      <w:r>
        <w:rPr>
          <w:rStyle w:val="FootnoteReference"/>
        </w:rPr>
        <w:footnoteRef/>
      </w:r>
      <w:r>
        <w:t xml:space="preserve"> </w:t>
      </w:r>
      <w:r>
        <w:tab/>
        <w:t>Закон № 71/1967 Coll. об административном разбирательстве (Административно-процессуальный кодекс) с последующими поправками и Закон № 337/1992 Coll. о взимании налогов и сборов с последующими поправками.</w:t>
      </w:r>
    </w:p>
  </w:footnote>
  <w:footnote w:id="63">
    <w:p w:rsidR="00000000" w:rsidRDefault="00000000">
      <w:pPr>
        <w:pStyle w:val="FootnoteText"/>
      </w:pPr>
      <w:r>
        <w:rPr>
          <w:rStyle w:val="FootnoteReference"/>
        </w:rPr>
        <w:footnoteRef/>
      </w:r>
      <w:r>
        <w:t xml:space="preserve"> Закон № 123/1992 </w:t>
      </w:r>
      <w:r>
        <w:rPr>
          <w:lang w:val="en-US"/>
        </w:rPr>
        <w:t>Coll</w:t>
      </w:r>
      <w:r>
        <w:t>. о пребывании и проживании иностранцев в ЧСФР с последующими поправками.  1 января 2000 года вступил в силу новый Закон № 326/1999 </w:t>
      </w:r>
      <w:r>
        <w:rPr>
          <w:lang w:val="en-US"/>
        </w:rPr>
        <w:t>Coll</w:t>
      </w:r>
      <w:r>
        <w:t>. о пребывании и проживании иностранцев в Чешской Республике.</w:t>
      </w:r>
    </w:p>
  </w:footnote>
  <w:footnote w:id="64">
    <w:p w:rsidR="00000000" w:rsidRDefault="00000000">
      <w:pPr>
        <w:pStyle w:val="FootnoteText"/>
      </w:pPr>
      <w:r>
        <w:rPr>
          <w:rStyle w:val="FootnoteReference"/>
        </w:rPr>
        <w:footnoteRef/>
      </w:r>
      <w:r>
        <w:t xml:space="preserve"> </w:t>
      </w:r>
      <w:r>
        <w:tab/>
        <w:t xml:space="preserve">Закон № 71/1967 </w:t>
      </w:r>
      <w:r>
        <w:rPr>
          <w:lang w:val="en-US"/>
        </w:rPr>
        <w:t>Coll</w:t>
      </w:r>
      <w:r>
        <w:t>. об административном производстве с последующими поправками.</w:t>
      </w:r>
    </w:p>
    <w:p w:rsidR="00000000" w:rsidRDefault="00000000">
      <w:pPr>
        <w:pStyle w:val="FootnoteText"/>
      </w:pPr>
    </w:p>
  </w:footnote>
  <w:footnote w:id="65">
    <w:p w:rsidR="00000000" w:rsidRDefault="00000000">
      <w:pPr>
        <w:pStyle w:val="FootnoteText"/>
      </w:pPr>
      <w:r>
        <w:rPr>
          <w:rStyle w:val="FootnoteReference"/>
        </w:rPr>
        <w:footnoteRef/>
      </w:r>
      <w:r>
        <w:t xml:space="preserve"> </w:t>
      </w:r>
      <w:r>
        <w:tab/>
        <w:t xml:space="preserve">Закон 326/1999 </w:t>
      </w:r>
      <w:r>
        <w:rPr>
          <w:lang w:val="en-US"/>
        </w:rPr>
        <w:t>Coll</w:t>
      </w:r>
      <w:r>
        <w:t>. о пребывании и проживании иностранцев в Чешской Республике и о внесении дополнений в некоторые законы.  Условия для разрешения на долгосрочное пребывание ныне регулируются статьями 65-67.  Теперь не требуется соблюдать условия предыдущего непрерывного пребывания;  иностранец может обращаться с просьбой о выдаче постоянного вида на жительство в целях воссоединения семьи (с гражданином или гражданкой Чешской Республики), по гуманитарным причинам или если это отвечает политическим интересам.  В соответствии со статьей 66 Положения о выдаче разрешений на постоянное жительство иностранец может также обращаться с подобной просьбой после восьмилетнего непрерывного пребывания в Чешской Республике в целях воссоединения семьи с иностранцем, имеющим разрешение на постоянное проживание.  В соответствии со статьей 67 любой иностранец может обращаться с просьбой о выдаче ему разрешения на постоянное проживание после десятилетнего непрерывного пребывания в Чешской Республике.</w:t>
      </w:r>
    </w:p>
  </w:footnote>
  <w:footnote w:id="66">
    <w:p w:rsidR="00000000" w:rsidRDefault="00000000">
      <w:pPr>
        <w:pStyle w:val="FootnoteText"/>
      </w:pPr>
      <w:r>
        <w:rPr>
          <w:rStyle w:val="FootnoteReference"/>
        </w:rPr>
        <w:footnoteRef/>
      </w:r>
      <w:r>
        <w:t xml:space="preserve"> </w:t>
      </w:r>
      <w:r>
        <w:tab/>
        <w:t xml:space="preserve">Извещение министерства иностранных дел Чешской Республики № 208/1993 </w:t>
      </w:r>
      <w:r>
        <w:rPr>
          <w:lang w:val="en-US"/>
        </w:rPr>
        <w:t>Coll</w:t>
      </w:r>
      <w:r>
        <w:t>., Конвенция о статусе беженцев 1951 года и Протокол к этой Конвенции (1967 год).</w:t>
      </w:r>
    </w:p>
    <w:p w:rsidR="00000000" w:rsidRDefault="00000000">
      <w:pPr>
        <w:pStyle w:val="FootnoteText"/>
      </w:pPr>
    </w:p>
  </w:footnote>
  <w:footnote w:id="67">
    <w:p w:rsidR="00000000" w:rsidRDefault="00000000">
      <w:pPr>
        <w:pStyle w:val="FootnoteText"/>
      </w:pPr>
      <w:r>
        <w:rPr>
          <w:rStyle w:val="FootnoteReference"/>
        </w:rPr>
        <w:footnoteRef/>
      </w:r>
      <w:r>
        <w:t xml:space="preserve"> </w:t>
      </w:r>
      <w:r>
        <w:tab/>
        <w:t xml:space="preserve">Закон № 4980/1990 </w:t>
      </w:r>
      <w:r>
        <w:rPr>
          <w:lang w:val="en-US"/>
        </w:rPr>
        <w:t>Coll</w:t>
      </w:r>
      <w:r>
        <w:t>.о беженцах с последующими поправками.</w:t>
      </w:r>
    </w:p>
    <w:p w:rsidR="00000000" w:rsidRDefault="00000000">
      <w:pPr>
        <w:pStyle w:val="FootnoteText"/>
      </w:pPr>
    </w:p>
  </w:footnote>
  <w:footnote w:id="68">
    <w:p w:rsidR="00000000" w:rsidRDefault="00000000">
      <w:pPr>
        <w:pStyle w:val="FootnoteText"/>
      </w:pPr>
      <w:r>
        <w:rPr>
          <w:rStyle w:val="FootnoteReference"/>
        </w:rPr>
        <w:footnoteRef/>
      </w:r>
      <w:r>
        <w:t xml:space="preserve"> </w:t>
      </w:r>
      <w:r>
        <w:tab/>
        <w:t xml:space="preserve">Закон № 40/1993 </w:t>
      </w:r>
      <w:r>
        <w:rPr>
          <w:lang w:val="en-US"/>
        </w:rPr>
        <w:t>Coll</w:t>
      </w:r>
      <w:r>
        <w:t xml:space="preserve">. о приобретении и утрате гражданства Чешской Республики с последующими поправками, в частности с поправкой № 194/1999 </w:t>
      </w:r>
      <w:r>
        <w:rPr>
          <w:lang w:val="en-US"/>
        </w:rPr>
        <w:t>Coll</w:t>
      </w:r>
      <w:r>
        <w:t>.</w:t>
      </w:r>
    </w:p>
  </w:footnote>
  <w:footnote w:id="69">
    <w:p w:rsidR="00000000" w:rsidRDefault="00000000">
      <w:pPr>
        <w:pStyle w:val="FootnoteText"/>
      </w:pPr>
      <w:r>
        <w:rPr>
          <w:rStyle w:val="FootnoteReference"/>
        </w:rPr>
        <w:footnoteRef/>
      </w:r>
      <w:r>
        <w:t xml:space="preserve"> </w:t>
      </w:r>
      <w:r>
        <w:tab/>
        <w:t xml:space="preserve">Закон № 325/1999 </w:t>
      </w:r>
      <w:r>
        <w:rPr>
          <w:lang w:val="en-US"/>
        </w:rPr>
        <w:t>Coll</w:t>
      </w:r>
      <w:r>
        <w:t xml:space="preserve">. о предоставлении убежища и о внесении поправок в Закон № 283/1991 </w:t>
      </w:r>
      <w:r>
        <w:rPr>
          <w:lang w:val="en-US"/>
        </w:rPr>
        <w:t>Coll</w:t>
      </w:r>
      <w:r>
        <w:t xml:space="preserve"> о полиции Чешской Республики с последующими поправками.</w:t>
      </w:r>
    </w:p>
    <w:p w:rsidR="00000000" w:rsidRDefault="00000000">
      <w:pPr>
        <w:pStyle w:val="FootnoteText"/>
      </w:pPr>
    </w:p>
  </w:footnote>
  <w:footnote w:id="70">
    <w:p w:rsidR="00000000" w:rsidRDefault="00000000">
      <w:pPr>
        <w:pStyle w:val="FootnoteText"/>
      </w:pPr>
      <w:r>
        <w:rPr>
          <w:rStyle w:val="FootnoteReference"/>
        </w:rPr>
        <w:footnoteRef/>
      </w:r>
      <w:r>
        <w:t xml:space="preserve"> </w:t>
      </w:r>
      <w:r>
        <w:tab/>
        <w:t xml:space="preserve">Определяющим критерием было не желание гражданина бывшей Федерации или его постоянное местожительство, а гражданство одной из республик Федерации (в соответствии с Законом №  165/1968 </w:t>
      </w:r>
      <w:r>
        <w:rPr>
          <w:lang w:val="en-US"/>
        </w:rPr>
        <w:t>Coll</w:t>
      </w:r>
      <w:r>
        <w:t xml:space="preserve">. о принципах приобретения и утраты гражданства и Законом № 39/1969 </w:t>
      </w:r>
      <w:r>
        <w:rPr>
          <w:lang w:val="en-US"/>
        </w:rPr>
        <w:t>Coll</w:t>
      </w:r>
      <w:r>
        <w:t xml:space="preserve">. с последующими поправками), которое до роспуска федерации не имело никакого практического значения, за исключением "паритета" при назначении граждан обеих республик на посты в федеральном правительстве;  гражданство даже не указывалось в удостоверениях личности. </w:t>
      </w:r>
    </w:p>
  </w:footnote>
  <w:footnote w:id="71">
    <w:p w:rsidR="00000000" w:rsidRDefault="00000000">
      <w:pPr>
        <w:pStyle w:val="FootnoteText"/>
      </w:pPr>
      <w:r>
        <w:rPr>
          <w:rStyle w:val="FootnoteReference"/>
        </w:rPr>
        <w:footnoteRef/>
      </w:r>
      <w:r>
        <w:t xml:space="preserve"> </w:t>
      </w:r>
      <w:r>
        <w:tab/>
        <w:t xml:space="preserve">Поправки к Закону о приобретении и утрате гражданства Чешской Республики:  Закон № 272/1993 </w:t>
      </w:r>
      <w:r>
        <w:rPr>
          <w:lang w:val="en-US"/>
        </w:rPr>
        <w:t>Coll</w:t>
      </w:r>
      <w:r>
        <w:t xml:space="preserve">., Закон № 337/1993 </w:t>
      </w:r>
      <w:r>
        <w:rPr>
          <w:lang w:val="en-US"/>
        </w:rPr>
        <w:t>Coll</w:t>
      </w:r>
      <w:r>
        <w:t xml:space="preserve">., Закон № 140/195 </w:t>
      </w:r>
      <w:r>
        <w:rPr>
          <w:lang w:val="en-US"/>
        </w:rPr>
        <w:t>C</w:t>
      </w:r>
      <w:r>
        <w:t>о</w:t>
      </w:r>
      <w:r>
        <w:rPr>
          <w:lang w:val="en-US"/>
        </w:rPr>
        <w:t>ll</w:t>
      </w:r>
      <w:r>
        <w:t xml:space="preserve">. и особенно Закон № 139/1996 </w:t>
      </w:r>
      <w:r>
        <w:rPr>
          <w:lang w:val="en-US"/>
        </w:rPr>
        <w:t>Coll</w:t>
      </w:r>
      <w:r>
        <w:t>., в котором статья 11 Закона была дополнена новым пунктом 3, в соответствии с которым министерство внутренних дел могло делать исключение из условия наличия чистого уголовного досье, если заявитель был гражданином Словацкой республики или бывшим гражданином Словацкой Республики, непрерывно проживавшим или имевшим местожительство в Чешской Республике не позже 31 декабря 1992 года.</w:t>
      </w:r>
    </w:p>
    <w:p w:rsidR="00000000" w:rsidRDefault="00000000">
      <w:pPr>
        <w:pStyle w:val="FootnoteText"/>
      </w:pPr>
    </w:p>
  </w:footnote>
  <w:footnote w:id="72">
    <w:p w:rsidR="00000000" w:rsidRDefault="00000000">
      <w:pPr>
        <w:pStyle w:val="FootnoteText"/>
      </w:pPr>
      <w:r>
        <w:rPr>
          <w:rStyle w:val="FootnoteReference"/>
        </w:rPr>
        <w:footnoteRef/>
      </w:r>
      <w:r>
        <w:t xml:space="preserve"> </w:t>
      </w:r>
      <w:r>
        <w:tab/>
        <w:t xml:space="preserve">Закон № 194/1999 </w:t>
      </w:r>
      <w:r>
        <w:rPr>
          <w:lang w:val="en-US"/>
        </w:rPr>
        <w:t>Coll</w:t>
      </w:r>
      <w:r>
        <w:t xml:space="preserve">. с поправкой к Закону № 40/1993 </w:t>
      </w:r>
      <w:r>
        <w:rPr>
          <w:lang w:val="en-US"/>
        </w:rPr>
        <w:t>Coll</w:t>
      </w:r>
      <w:r>
        <w:t>. о приобретении и утрате гражданства Чешской Республики, с последующими поправками.</w:t>
      </w:r>
    </w:p>
  </w:footnote>
  <w:footnote w:id="73">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40/1993 </w:t>
      </w:r>
      <w:r>
        <w:rPr>
          <w:lang w:val="en-US"/>
        </w:rPr>
        <w:t>Coll</w:t>
      </w:r>
      <w:r>
        <w:t>. о гражданстве Словацкой Республики.</w:t>
      </w:r>
    </w:p>
    <w:p w:rsidR="00000000" w:rsidRDefault="00000000">
      <w:pPr>
        <w:pStyle w:val="FootnoteText"/>
      </w:pPr>
    </w:p>
  </w:footnote>
  <w:footnote w:id="74">
    <w:p w:rsidR="00000000" w:rsidRDefault="00000000">
      <w:pPr>
        <w:pStyle w:val="FootnoteText"/>
      </w:pPr>
      <w:r>
        <w:rPr>
          <w:rStyle w:val="FootnoteReference"/>
        </w:rPr>
        <w:footnoteRef/>
      </w:r>
      <w:r>
        <w:t xml:space="preserve"> </w:t>
      </w:r>
      <w:r>
        <w:tab/>
        <w:t xml:space="preserve">Закон № 65/1965 </w:t>
      </w:r>
      <w:r>
        <w:rPr>
          <w:lang w:val="en-US"/>
        </w:rPr>
        <w:t>Coll</w:t>
      </w:r>
      <w:r>
        <w:t xml:space="preserve">. о Трудовом кодексе с последующими поправками. Закон № 1/1991 </w:t>
      </w:r>
      <w:r>
        <w:rPr>
          <w:lang w:val="en-US"/>
        </w:rPr>
        <w:t>Coll</w:t>
      </w:r>
      <w:r>
        <w:t>. о занятости с последующими поправками.</w:t>
      </w:r>
    </w:p>
    <w:p w:rsidR="00000000" w:rsidRDefault="00000000">
      <w:pPr>
        <w:pStyle w:val="FootnoteText"/>
      </w:pPr>
    </w:p>
  </w:footnote>
  <w:footnote w:id="75">
    <w:p w:rsidR="00000000" w:rsidRDefault="00000000">
      <w:pPr>
        <w:pStyle w:val="FootnoteText"/>
      </w:pPr>
      <w:r>
        <w:rPr>
          <w:rStyle w:val="FootnoteReference"/>
        </w:rPr>
        <w:footnoteRef/>
      </w:r>
      <w:r>
        <w:tab/>
        <w:t xml:space="preserve">Закон № 117/1995 </w:t>
      </w:r>
      <w:r>
        <w:rPr>
          <w:lang w:val="en-US"/>
        </w:rPr>
        <w:t>Coll</w:t>
      </w:r>
      <w:r>
        <w:t>. о государственной поддержке социального обеспечения с последующими поправками.</w:t>
      </w:r>
    </w:p>
    <w:p w:rsidR="00000000" w:rsidRDefault="00000000">
      <w:pPr>
        <w:pStyle w:val="FootnoteText"/>
      </w:pPr>
    </w:p>
  </w:footnote>
  <w:footnote w:id="76">
    <w:p w:rsidR="00000000" w:rsidRDefault="00000000">
      <w:pPr>
        <w:pStyle w:val="FootnoteText"/>
      </w:pPr>
      <w:r>
        <w:rPr>
          <w:rStyle w:val="FootnoteReference"/>
        </w:rPr>
        <w:footnoteRef/>
      </w:r>
      <w:r>
        <w:t xml:space="preserve"> </w:t>
      </w:r>
      <w:r>
        <w:tab/>
        <w:t xml:space="preserve">Закон № 94/1963 </w:t>
      </w:r>
      <w:r>
        <w:rPr>
          <w:lang w:val="en-US"/>
        </w:rPr>
        <w:t>Coll</w:t>
      </w:r>
      <w:r>
        <w:t>. о семье с последующими поправками.</w:t>
      </w:r>
    </w:p>
  </w:footnote>
  <w:footnote w:id="77">
    <w:p w:rsidR="00000000" w:rsidRDefault="00000000">
      <w:pPr>
        <w:pStyle w:val="FootnoteText"/>
      </w:pPr>
      <w:r>
        <w:rPr>
          <w:rStyle w:val="FootnoteReference"/>
        </w:rPr>
        <w:footnoteRef/>
      </w:r>
      <w:r>
        <w:t xml:space="preserve"> </w:t>
      </w:r>
      <w:r>
        <w:tab/>
        <w:t>КЛДЖ - Комитет по ликвидации дискриминации в отношении женщин.</w:t>
      </w:r>
    </w:p>
    <w:p w:rsidR="00000000" w:rsidRDefault="00000000">
      <w:pPr>
        <w:pStyle w:val="FootnoteText"/>
      </w:pPr>
    </w:p>
  </w:footnote>
  <w:footnote w:id="78">
    <w:p w:rsidR="00000000" w:rsidRDefault="00000000">
      <w:pPr>
        <w:pStyle w:val="FootnoteText"/>
      </w:pPr>
      <w:r>
        <w:rPr>
          <w:rStyle w:val="FootnoteReference"/>
        </w:rPr>
        <w:footnoteRef/>
      </w:r>
      <w:r>
        <w:t xml:space="preserve"> </w:t>
      </w:r>
      <w:r>
        <w:tab/>
        <w:t>Постановление министерства образования, по делам молодежи и спорта Чешской Республики № 354/1991 Соll. о средних школах с последующими поправками.</w:t>
      </w:r>
    </w:p>
  </w:footnote>
  <w:footnote w:id="79">
    <w:p w:rsidR="00000000" w:rsidRDefault="00000000">
      <w:pPr>
        <w:pStyle w:val="FootnoteText"/>
      </w:pPr>
      <w:r>
        <w:rPr>
          <w:rStyle w:val="FootnoteReference"/>
        </w:rPr>
        <w:footnoteRef/>
      </w:r>
      <w:r>
        <w:t xml:space="preserve"> </w:t>
      </w:r>
      <w:r>
        <w:tab/>
        <w:t xml:space="preserve">Закон № 94/1963 </w:t>
      </w:r>
      <w:r>
        <w:rPr>
          <w:lang w:val="en-US"/>
        </w:rPr>
        <w:t>Coll</w:t>
      </w:r>
      <w:r>
        <w:t xml:space="preserve">. о семье с последующими поправками, в частности с поправкой № 91/1998 </w:t>
      </w:r>
      <w:r>
        <w:rPr>
          <w:lang w:val="en-US"/>
        </w:rPr>
        <w:t>Coll</w:t>
      </w:r>
      <w:r>
        <w:t>.</w:t>
      </w:r>
    </w:p>
    <w:p w:rsidR="00000000" w:rsidRDefault="00000000">
      <w:pPr>
        <w:pStyle w:val="FootnoteText"/>
      </w:pPr>
    </w:p>
  </w:footnote>
  <w:footnote w:id="80">
    <w:p w:rsidR="00000000" w:rsidRDefault="00000000">
      <w:pPr>
        <w:pStyle w:val="FootnoteText"/>
      </w:pPr>
      <w:r>
        <w:rPr>
          <w:rStyle w:val="FootnoteReference"/>
        </w:rPr>
        <w:footnoteRef/>
      </w:r>
      <w:r>
        <w:t xml:space="preserve"> </w:t>
      </w:r>
      <w:r>
        <w:tab/>
        <w:t xml:space="preserve">Закон № 99/1963 </w:t>
      </w:r>
      <w:r>
        <w:rPr>
          <w:lang w:val="en-US"/>
        </w:rPr>
        <w:t>Coll</w:t>
      </w:r>
      <w:r>
        <w:t>. о Гражданско-процессуальном кодексе с последующими поправками.  Правительство одобрило проект поправки к Гражданско-процессуальному кодексу в своем постановлении № 589/1999 от 16 июня 1999 года и представило его на рассмотрение парламента.  Поправка должна вступить в силу 1 февраля 2001 года.</w:t>
      </w:r>
    </w:p>
    <w:p w:rsidR="00000000" w:rsidRDefault="00000000">
      <w:pPr>
        <w:pStyle w:val="FootnoteText"/>
      </w:pPr>
    </w:p>
  </w:footnote>
  <w:footnote w:id="81">
    <w:p w:rsidR="00000000" w:rsidRDefault="00000000">
      <w:pPr>
        <w:pStyle w:val="FootnoteText"/>
      </w:pPr>
      <w:r>
        <w:rPr>
          <w:rStyle w:val="FootnoteReference"/>
        </w:rPr>
        <w:footnoteRef/>
      </w:r>
      <w:r>
        <w:t xml:space="preserve"> </w:t>
      </w:r>
      <w:r>
        <w:tab/>
        <w:t>Согласно директиве № 97/80/</w:t>
      </w:r>
      <w:r>
        <w:rPr>
          <w:lang w:val="en-US"/>
        </w:rPr>
        <w:t>ES</w:t>
      </w:r>
      <w:r>
        <w:t xml:space="preserve"> о бремени доказательства в случае дискриминации по признаку пола.</w:t>
      </w:r>
    </w:p>
    <w:p w:rsidR="00000000" w:rsidRDefault="00000000">
      <w:pPr>
        <w:pStyle w:val="FootnoteText"/>
      </w:pPr>
    </w:p>
  </w:footnote>
  <w:footnote w:id="82">
    <w:p w:rsidR="00000000" w:rsidRDefault="00000000">
      <w:pPr>
        <w:pStyle w:val="FootnoteText"/>
      </w:pPr>
      <w:r>
        <w:rPr>
          <w:rStyle w:val="FootnoteReference"/>
        </w:rPr>
        <w:footnoteRef/>
      </w:r>
      <w:r>
        <w:t xml:space="preserve"> </w:t>
      </w:r>
      <w:r>
        <w:tab/>
        <w:t>Постановление правительства Чешской Республики № 1284 от 29 ноября 1999 года относительно предложения о подписании и ратификации Факультативного протокола к Конвенции о ликвидации всех форм дискриминации в отношении женщин.  Чешская Республика подписала Факультативный протокол 10 декабря в ходе пятьдесят четвертой сессии Генеральной Ассамблеи Организации Объединенных Наций.</w:t>
      </w:r>
    </w:p>
    <w:p w:rsidR="00000000" w:rsidRDefault="00000000">
      <w:pPr>
        <w:pStyle w:val="FootnoteText"/>
      </w:pPr>
    </w:p>
  </w:footnote>
  <w:footnote w:id="83">
    <w:p w:rsidR="00000000" w:rsidRDefault="00000000">
      <w:pPr>
        <w:pStyle w:val="FootnoteText"/>
      </w:pPr>
      <w:r>
        <w:rPr>
          <w:rStyle w:val="FootnoteReference"/>
        </w:rPr>
        <w:footnoteRef/>
      </w:r>
      <w:r>
        <w:t xml:space="preserve"> </w:t>
      </w:r>
      <w:r>
        <w:tab/>
        <w:t xml:space="preserve">Постановление министерства иностранных дел № 62/1987 </w:t>
      </w:r>
      <w:r>
        <w:rPr>
          <w:lang w:val="en-US"/>
        </w:rPr>
        <w:t>Coll</w:t>
      </w:r>
      <w:r>
        <w:t>. относительно Конвенции о ликвидации всех форм дискриминации в отношении женщин.</w:t>
      </w:r>
    </w:p>
    <w:p w:rsidR="00000000" w:rsidRDefault="00000000">
      <w:pPr>
        <w:pStyle w:val="FootnoteText"/>
      </w:pPr>
    </w:p>
  </w:footnote>
  <w:footnote w:id="84">
    <w:p w:rsidR="00000000" w:rsidRDefault="00000000">
      <w:pPr>
        <w:pStyle w:val="FootnoteText"/>
      </w:pPr>
      <w:r>
        <w:rPr>
          <w:rStyle w:val="FootnoteReference"/>
        </w:rPr>
        <w:footnoteRef/>
      </w:r>
      <w:r>
        <w:t xml:space="preserve"> </w:t>
      </w:r>
      <w:r>
        <w:tab/>
        <w:t xml:space="preserve">КЛДЖ </w:t>
      </w:r>
      <w:r>
        <w:noBreakHyphen/>
        <w:t xml:space="preserve"> Комитет по ликвидации дискриминации в отношении женщин.</w:t>
      </w:r>
    </w:p>
  </w:footnote>
  <w:footnote w:id="85">
    <w:p w:rsidR="00000000" w:rsidRDefault="00000000">
      <w:pPr>
        <w:pStyle w:val="FootnoteText"/>
      </w:pPr>
      <w:r>
        <w:rPr>
          <w:rStyle w:val="FootnoteReference"/>
        </w:rPr>
        <w:footnoteRef/>
      </w:r>
      <w:r>
        <w:tab/>
        <w:t>Постановление правительства Чешской Республики № 236 от 8 апреля 1998 года.</w:t>
      </w:r>
    </w:p>
    <w:p w:rsidR="00000000" w:rsidRDefault="00000000">
      <w:pPr>
        <w:pStyle w:val="FootnoteText"/>
      </w:pPr>
    </w:p>
  </w:footnote>
  <w:footnote w:id="86">
    <w:p w:rsidR="00000000" w:rsidRDefault="00000000">
      <w:pPr>
        <w:pStyle w:val="FootnoteText"/>
      </w:pPr>
      <w:r>
        <w:rPr>
          <w:rStyle w:val="FootnoteReference"/>
        </w:rPr>
        <w:footnoteRef/>
      </w:r>
      <w:r>
        <w:tab/>
        <w:t>Правительство одобрило краткий доклад в своем постановлении № 452 от 10 мая 1999 года.</w:t>
      </w:r>
    </w:p>
  </w:footnote>
  <w:footnote w:id="87">
    <w:p w:rsidR="00000000" w:rsidRDefault="00000000">
      <w:pPr>
        <w:pStyle w:val="FootnoteText"/>
      </w:pPr>
      <w:r>
        <w:rPr>
          <w:rStyle w:val="FootnoteReference"/>
        </w:rPr>
        <w:footnoteRef/>
      </w:r>
      <w:r>
        <w:tab/>
        <w:t>Постановление правительства о Национальном плане в области занятости № 418 от 5 мая 1999 года.</w:t>
      </w:r>
    </w:p>
    <w:p w:rsidR="00000000" w:rsidRDefault="00000000">
      <w:pPr>
        <w:pStyle w:val="FootnoteText"/>
      </w:pPr>
    </w:p>
  </w:footnote>
  <w:footnote w:id="88">
    <w:p w:rsidR="00000000" w:rsidRDefault="00000000">
      <w:pPr>
        <w:pStyle w:val="FootnoteText"/>
      </w:pPr>
      <w:r>
        <w:rPr>
          <w:rStyle w:val="FootnoteReference"/>
        </w:rPr>
        <w:footnoteRef/>
      </w:r>
      <w:r>
        <w:tab/>
        <w:t>В статье 1 Закона № 167/1999 </w:t>
      </w:r>
      <w:r>
        <w:rPr>
          <w:lang w:val="en-US"/>
        </w:rPr>
        <w:t>Coll</w:t>
      </w:r>
      <w:r>
        <w:t>. предусматривается запрещение дискриминации в отношении граждан, включая дискриминацию по признаку пола, в сфере трудовых отношений, а также запрещение дискриминационной рекламы.</w:t>
      </w:r>
    </w:p>
  </w:footnote>
  <w:footnote w:id="89">
    <w:p w:rsidR="00000000" w:rsidRDefault="00000000">
      <w:pPr>
        <w:pStyle w:val="FootnoteText"/>
      </w:pPr>
      <w:r>
        <w:rPr>
          <w:rStyle w:val="FootnoteReference"/>
        </w:rPr>
        <w:footnoteRef/>
      </w:r>
      <w:r>
        <w:tab/>
        <w:t>Закон № 1/1992 </w:t>
      </w:r>
      <w:r>
        <w:rPr>
          <w:lang w:val="en-US"/>
        </w:rPr>
        <w:t>Coll</w:t>
      </w:r>
      <w:r>
        <w:t>. об окладах и вознаграждении за работу в режиме дежурства и о средней заработной плате с последующими поправками.</w:t>
      </w:r>
    </w:p>
    <w:p w:rsidR="00000000" w:rsidRDefault="00000000">
      <w:pPr>
        <w:pStyle w:val="FootnoteText"/>
      </w:pPr>
    </w:p>
  </w:footnote>
  <w:footnote w:id="90">
    <w:p w:rsidR="00000000" w:rsidRDefault="00000000">
      <w:pPr>
        <w:pStyle w:val="FootnoteText"/>
      </w:pPr>
      <w:r>
        <w:rPr>
          <w:rStyle w:val="FootnoteReference"/>
        </w:rPr>
        <w:footnoteRef/>
      </w:r>
      <w:r>
        <w:tab/>
        <w:t>Закон № 143/1992  </w:t>
      </w:r>
      <w:r>
        <w:rPr>
          <w:lang w:val="en-US"/>
        </w:rPr>
        <w:t>Coll</w:t>
      </w:r>
      <w:r>
        <w:t>. об окладах и вознаграждении за работу в режиме дежурства в бюджетных организациях и некоторых других организациях и учреждениях с последующими поправками.</w:t>
      </w:r>
    </w:p>
  </w:footnote>
  <w:footnote w:id="91">
    <w:p w:rsidR="00000000" w:rsidRDefault="00000000">
      <w:pPr>
        <w:pStyle w:val="FootnoteText"/>
      </w:pPr>
      <w:r>
        <w:rPr>
          <w:rStyle w:val="FootnoteReference"/>
        </w:rPr>
        <w:footnoteRef/>
      </w:r>
      <w:r>
        <w:t xml:space="preserve"> </w:t>
      </w:r>
      <w:r>
        <w:tab/>
        <w:t>Закон № 186/1992 С</w:t>
      </w:r>
      <w:r>
        <w:rPr>
          <w:lang w:val="en-US"/>
        </w:rPr>
        <w:t>oll</w:t>
      </w:r>
      <w:r>
        <w:t>. о служебных отношениях сотрудников полиции Чешской Республики с последующими поправками.</w:t>
      </w:r>
    </w:p>
    <w:p w:rsidR="00000000" w:rsidRDefault="00000000">
      <w:pPr>
        <w:pStyle w:val="FootnoteText"/>
      </w:pPr>
    </w:p>
  </w:footnote>
  <w:footnote w:id="92">
    <w:p w:rsidR="00000000" w:rsidRDefault="00000000">
      <w:pPr>
        <w:pStyle w:val="FootnoteText"/>
      </w:pPr>
      <w:r>
        <w:rPr>
          <w:rStyle w:val="FootnoteReference"/>
        </w:rPr>
        <w:footnoteRef/>
      </w:r>
      <w:r>
        <w:t xml:space="preserve"> </w:t>
      </w:r>
      <w:r>
        <w:tab/>
        <w:t>Закон № 154/1994 С</w:t>
      </w:r>
      <w:r>
        <w:rPr>
          <w:lang w:val="en-US"/>
        </w:rPr>
        <w:t>oll</w:t>
      </w:r>
      <w:r>
        <w:t>. о службе обеспечения информационной безопасности с последующими поправками.</w:t>
      </w:r>
    </w:p>
    <w:p w:rsidR="00000000" w:rsidRDefault="00000000">
      <w:pPr>
        <w:pStyle w:val="FootnoteText"/>
      </w:pPr>
    </w:p>
  </w:footnote>
  <w:footnote w:id="93">
    <w:p w:rsidR="00000000" w:rsidRDefault="00000000">
      <w:pPr>
        <w:pStyle w:val="FootnoteText"/>
      </w:pPr>
      <w:r>
        <w:rPr>
          <w:rStyle w:val="FootnoteReference"/>
        </w:rPr>
        <w:footnoteRef/>
      </w:r>
      <w:r>
        <w:t xml:space="preserve"> </w:t>
      </w:r>
      <w:r>
        <w:tab/>
        <w:t>Закон № 221/1999 С</w:t>
      </w:r>
      <w:r>
        <w:rPr>
          <w:lang w:val="en-US"/>
        </w:rPr>
        <w:t>oll</w:t>
      </w:r>
      <w:r>
        <w:t>. о военнослужащих-профессионалах.</w:t>
      </w:r>
    </w:p>
    <w:p w:rsidR="00000000" w:rsidRDefault="00000000">
      <w:pPr>
        <w:pStyle w:val="FootnoteText"/>
      </w:pPr>
    </w:p>
  </w:footnote>
  <w:footnote w:id="94">
    <w:p w:rsidR="00000000" w:rsidRDefault="00000000">
      <w:pPr>
        <w:pStyle w:val="FootnoteText"/>
      </w:pPr>
      <w:r>
        <w:rPr>
          <w:rStyle w:val="FootnoteReference"/>
        </w:rPr>
        <w:footnoteRef/>
      </w:r>
      <w:r>
        <w:t xml:space="preserve"> </w:t>
      </w:r>
      <w:r>
        <w:tab/>
        <w:t>Постановление Министерства здравоохранения № 261/1997 С</w:t>
      </w:r>
      <w:r>
        <w:rPr>
          <w:lang w:val="en-US"/>
        </w:rPr>
        <w:t>oll</w:t>
      </w:r>
      <w:r>
        <w:t>. оТрудовом кодексе, в котором перечисляются виды работы и рабочие места, запрещенные для всех женщин, беременных женщин, матерей до окончания девятого месяца после родов и подростков.  В нем также указаны условия, при которых подростки и женщины могут в исключительных случаях выполнять такую  работу в рамках профессионально-технической подготовки.  Это постановление не носит дискриминационного характера;  оно защищает репродуктивную функцию женщины.</w:t>
      </w:r>
    </w:p>
  </w:footnote>
  <w:footnote w:id="95">
    <w:p w:rsidR="00000000" w:rsidRDefault="00000000">
      <w:pPr>
        <w:pStyle w:val="FootnoteText"/>
        <w:rPr>
          <w:lang w:val="en-US"/>
        </w:rPr>
      </w:pPr>
      <w:r>
        <w:rPr>
          <w:rStyle w:val="FootnoteReference"/>
        </w:rPr>
        <w:footnoteRef/>
      </w:r>
      <w:r>
        <w:rPr>
          <w:lang w:val="en-US"/>
        </w:rPr>
        <w:t xml:space="preserve"> D. Holý (1999):  Analysis of wage disparity between men and women on the basis of research on wages of employees.  Statistika (Statistics) 2/99, Czech Statistical Office, Prague.</w:t>
      </w:r>
    </w:p>
  </w:footnote>
  <w:footnote w:id="96">
    <w:p w:rsidR="00000000" w:rsidRDefault="00000000">
      <w:pPr>
        <w:pStyle w:val="FootnoteText"/>
      </w:pPr>
      <w:r>
        <w:rPr>
          <w:rStyle w:val="FootnoteReference"/>
        </w:rPr>
        <w:footnoteRef/>
      </w:r>
      <w:r>
        <w:t xml:space="preserve"> </w:t>
      </w:r>
      <w:r>
        <w:tab/>
        <w:t>Конституционный закон № 110/1998/С</w:t>
      </w:r>
      <w:r>
        <w:rPr>
          <w:lang w:val="en-US"/>
        </w:rPr>
        <w:t>oll</w:t>
      </w:r>
      <w:r>
        <w:t>. о безопасности Чешской Республики.  Его статья 2 гласит следующее:  "1)  Если существует прямая угроза суверенитету, территориальной целостности или демократическим основам Чешской Республики или же, в значительной степени, внутреннему правопорядку и безопасности, жизни и здоровью, имуществу или окружающей среде или если необходимо выполнить международные обязательства о взаимной обороне, то, в зависимости от характера территориальных масштабов и характера ситуации, может объявляться чрезвычайное состояние, состояние угрозы национальной безопасности или состояние войны.  2)  Чрезвычайное положение или состояние угрозы национальной безопасности объявляется на части или на всей территории государства;  состояние войны объявляется на всей территории государства".</w:t>
      </w:r>
    </w:p>
    <w:p w:rsidR="00000000" w:rsidRDefault="00000000">
      <w:pPr>
        <w:pStyle w:val="FootnoteText"/>
      </w:pPr>
    </w:p>
  </w:footnote>
  <w:footnote w:id="97">
    <w:p w:rsidR="00000000" w:rsidRDefault="00000000">
      <w:pPr>
        <w:pStyle w:val="FootnoteText"/>
      </w:pPr>
      <w:r>
        <w:rPr>
          <w:rStyle w:val="FootnoteReference"/>
        </w:rPr>
        <w:footnoteRef/>
      </w:r>
      <w:r>
        <w:t xml:space="preserve"> </w:t>
      </w:r>
      <w:r>
        <w:tab/>
        <w:t xml:space="preserve">Конституционный закон № 110/1998 </w:t>
      </w:r>
      <w:r>
        <w:rPr>
          <w:lang w:val="en-US"/>
        </w:rPr>
        <w:t>Coll</w:t>
      </w:r>
      <w:r>
        <w:t xml:space="preserve">. о безопасности Чешской Республики.  Его статья 7 гласит следующее:  "1)  Парламент может, по предложению правительства, объявлять состояние угрозы национальной безопасности, если суверенитет или территориальная целостность или демократические основы государства подвергаются прямой угрозе.  2)  Для принятия решения о состоянии угрозы национальной безопасности требуется большинство голосов всех депутатов и сенаторов".  </w:t>
      </w:r>
    </w:p>
  </w:footnote>
  <w:footnote w:id="98">
    <w:p w:rsidR="00000000" w:rsidRDefault="00000000">
      <w:pPr>
        <w:pStyle w:val="FootnoteText"/>
      </w:pPr>
      <w:r>
        <w:rPr>
          <w:rStyle w:val="FootnoteReference"/>
        </w:rPr>
        <w:footnoteRef/>
      </w:r>
      <w:r>
        <w:t xml:space="preserve"> </w:t>
      </w:r>
      <w:r>
        <w:tab/>
        <w:t xml:space="preserve">Закон № 221/1999 </w:t>
      </w:r>
      <w:r>
        <w:rPr>
          <w:lang w:val="en-US"/>
        </w:rPr>
        <w:t>Coll</w:t>
      </w:r>
      <w:r>
        <w:t xml:space="preserve">. о военнослужащих-профессионалах.  До 30 ноября 1999 года это ограничение определялось Законом № 76/1959 </w:t>
      </w:r>
      <w:r>
        <w:rPr>
          <w:lang w:val="en-US"/>
        </w:rPr>
        <w:t>Coll</w:t>
      </w:r>
      <w:r>
        <w:t>. о некоторых служебных отношениях военнослужащих с последующими поправками.</w:t>
      </w:r>
    </w:p>
    <w:p w:rsidR="00000000" w:rsidRDefault="00000000">
      <w:pPr>
        <w:pStyle w:val="FootnoteText"/>
      </w:pPr>
    </w:p>
  </w:footnote>
  <w:footnote w:id="99">
    <w:p w:rsidR="00000000" w:rsidRDefault="00000000">
      <w:pPr>
        <w:pStyle w:val="FootnoteText"/>
      </w:pPr>
      <w:r>
        <w:rPr>
          <w:rStyle w:val="FootnoteReference"/>
        </w:rPr>
        <w:footnoteRef/>
      </w:r>
      <w:r>
        <w:t xml:space="preserve"> </w:t>
      </w:r>
      <w:r>
        <w:tab/>
        <w:t xml:space="preserve">Статья 53 Закона № 222/1999 </w:t>
      </w:r>
      <w:r>
        <w:rPr>
          <w:lang w:val="en-US"/>
        </w:rPr>
        <w:t>Coll</w:t>
      </w:r>
      <w:r>
        <w:t>. об обеспечении обороны Чешской Республики гласит следующее:</w:t>
      </w:r>
    </w:p>
    <w:p w:rsidR="00000000" w:rsidRDefault="00000000">
      <w:pPr>
        <w:pStyle w:val="FootnoteText"/>
      </w:pPr>
    </w:p>
    <w:p w:rsidR="00000000" w:rsidRDefault="00000000">
      <w:pPr>
        <w:pStyle w:val="FootnoteText"/>
        <w:ind w:left="567"/>
      </w:pPr>
      <w:r>
        <w:t>"1)</w:t>
      </w:r>
      <w:r>
        <w:tab/>
        <w:t>В целях обеспечения обороны государства в случае угрозы национальной безопасности или состояния войны свобода передвижения и местожительства и право на мирные собрания ограничиваются до абсолютно необходимой степени.</w:t>
      </w:r>
    </w:p>
    <w:p w:rsidR="00000000" w:rsidRDefault="00000000">
      <w:pPr>
        <w:pStyle w:val="FootnoteText"/>
        <w:ind w:left="567"/>
      </w:pPr>
    </w:p>
    <w:p w:rsidR="00000000" w:rsidRDefault="00000000">
      <w:pPr>
        <w:pStyle w:val="FootnoteText"/>
        <w:ind w:left="567"/>
      </w:pPr>
      <w:r>
        <w:t>2)</w:t>
      </w:r>
      <w:r>
        <w:tab/>
        <w:t xml:space="preserve">Ограничение свободы передвижения и свободы местожительства состоит в обязанности подчиняться: </w:t>
      </w:r>
    </w:p>
    <w:p w:rsidR="00000000" w:rsidRDefault="00000000">
      <w:pPr>
        <w:pStyle w:val="FootnoteText"/>
        <w:ind w:left="567"/>
      </w:pPr>
    </w:p>
    <w:p w:rsidR="00000000" w:rsidRDefault="00000000">
      <w:pPr>
        <w:pStyle w:val="FootnoteText"/>
        <w:ind w:left="567"/>
      </w:pPr>
      <w:r>
        <w:tab/>
        <w:t>а)</w:t>
      </w:r>
      <w:r>
        <w:tab/>
        <w:t>запрещению въезда в указанные районы,</w:t>
      </w:r>
    </w:p>
    <w:p w:rsidR="00000000" w:rsidRDefault="00000000">
      <w:pPr>
        <w:pStyle w:val="FootnoteText"/>
        <w:ind w:left="567"/>
      </w:pPr>
    </w:p>
    <w:p w:rsidR="00000000" w:rsidRDefault="00000000">
      <w:pPr>
        <w:pStyle w:val="FootnoteText"/>
        <w:ind w:left="567"/>
      </w:pPr>
      <w:r>
        <w:tab/>
      </w:r>
      <w:r>
        <w:rPr>
          <w:lang w:val="en-US"/>
        </w:rPr>
        <w:t>b</w:t>
      </w:r>
      <w:r>
        <w:t>)</w:t>
      </w:r>
      <w:r>
        <w:tab/>
        <w:t>приказу оставаться на месте постоянного проживания или оставаться в установленном месте,</w:t>
      </w:r>
    </w:p>
    <w:p w:rsidR="00000000" w:rsidRDefault="00000000">
      <w:pPr>
        <w:pStyle w:val="FootnoteText"/>
        <w:ind w:left="567"/>
      </w:pPr>
    </w:p>
    <w:p w:rsidR="00000000" w:rsidRDefault="00000000">
      <w:pPr>
        <w:pStyle w:val="FootnoteText"/>
        <w:ind w:left="567"/>
      </w:pPr>
      <w:r>
        <w:tab/>
        <w:t>с)</w:t>
      </w:r>
      <w:r>
        <w:tab/>
        <w:t>запрещению покидать здания или сооружения, выделенные для защиты жителей.</w:t>
      </w:r>
    </w:p>
    <w:p w:rsidR="00000000" w:rsidRDefault="00000000">
      <w:pPr>
        <w:pStyle w:val="FootnoteText"/>
        <w:ind w:left="567"/>
      </w:pPr>
    </w:p>
    <w:p w:rsidR="00000000" w:rsidRDefault="00000000">
      <w:pPr>
        <w:pStyle w:val="FootnoteText"/>
        <w:ind w:left="567"/>
      </w:pPr>
      <w:r>
        <w:t>3)</w:t>
      </w:r>
      <w:r>
        <w:tab/>
        <w:t>Ограничение права на мирные собрания заключается в обязанности подчиняться запрещению созывать собрания в публичных местах, включая уличные марши и демонстрации.</w:t>
      </w:r>
    </w:p>
    <w:p w:rsidR="00000000" w:rsidRDefault="00000000">
      <w:pPr>
        <w:pStyle w:val="FootnoteText"/>
        <w:ind w:left="567"/>
      </w:pPr>
    </w:p>
    <w:p w:rsidR="00000000" w:rsidRDefault="00000000">
      <w:pPr>
        <w:pStyle w:val="FootnoteText"/>
        <w:ind w:left="567"/>
      </w:pPr>
      <w:r>
        <w:t>4)</w:t>
      </w:r>
      <w:r>
        <w:tab/>
        <w:t>Пункт 2 не распространяется на физических лиц, выполняющих спасательные работы или обеспечивающих оказание помощи в случаях прямой угрозы здоровью или жизни.</w:t>
      </w:r>
    </w:p>
    <w:p w:rsidR="00000000" w:rsidRDefault="00000000">
      <w:pPr>
        <w:pStyle w:val="FootnoteText"/>
        <w:ind w:left="567"/>
      </w:pPr>
    </w:p>
    <w:p w:rsidR="00000000" w:rsidRDefault="00000000">
      <w:pPr>
        <w:pStyle w:val="FootnoteText"/>
        <w:ind w:left="567"/>
      </w:pPr>
      <w:r>
        <w:t>5)</w:t>
      </w:r>
      <w:r>
        <w:tab/>
        <w:t>Применение и конкретное содержание ограничений прав человека и основных свобод в том, что касается места личностных характеристик и времени, предусмотренные в пункте 2 и 3, определяется правительством.  Постановления объявляются таким же образом, что и правовые положения, и публикуются в средствах массовой информации.  Ограничения прав человека и основных свобод вступают в силу в момент, указанный в постановлении.</w:t>
      </w:r>
    </w:p>
    <w:p w:rsidR="00000000" w:rsidRDefault="00000000">
      <w:pPr>
        <w:pStyle w:val="FootnoteText"/>
        <w:ind w:left="567"/>
      </w:pPr>
    </w:p>
    <w:p w:rsidR="00000000" w:rsidRDefault="00000000">
      <w:pPr>
        <w:pStyle w:val="FootnoteText"/>
        <w:ind w:left="567"/>
      </w:pPr>
      <w:r>
        <w:t>6)</w:t>
      </w:r>
      <w:r>
        <w:tab/>
        <w:t>Положения вышеуказанных пунктов не ущемляют права Чешской Республики ограничивать также и другие права человека, если это разрешается договорами о правах человека и основных свободах, которыми связана Чешская Республика".</w:t>
      </w:r>
    </w:p>
  </w:footnote>
  <w:footnote w:id="100">
    <w:p w:rsidR="00000000" w:rsidRDefault="00000000">
      <w:pPr>
        <w:shd w:val="clear" w:color="auto" w:fill="FFFFFF"/>
        <w:spacing w:line="240" w:lineRule="auto"/>
        <w:rPr>
          <w:szCs w:val="24"/>
        </w:rPr>
      </w:pPr>
      <w:r>
        <w:rPr>
          <w:rStyle w:val="FootnoteReference"/>
        </w:rPr>
        <w:footnoteRef/>
      </w:r>
      <w:r>
        <w:t xml:space="preserve"> </w:t>
      </w:r>
      <w:r>
        <w:tab/>
        <w:t>Постановление</w:t>
      </w:r>
      <w:r>
        <w:rPr>
          <w:color w:val="000000"/>
          <w:szCs w:val="25"/>
        </w:rPr>
        <w:t xml:space="preserve"> министерства иностранных дел № 120/1976 </w:t>
      </w:r>
      <w:r>
        <w:rPr>
          <w:color w:val="000000"/>
          <w:szCs w:val="25"/>
          <w:lang w:val="en-US"/>
        </w:rPr>
        <w:t>Coll</w:t>
      </w:r>
      <w:r>
        <w:rPr>
          <w:color w:val="000000"/>
          <w:szCs w:val="25"/>
        </w:rPr>
        <w:t>. от 10 мая 1976 года о Международном пакте о гражданских и политических правах и Международном пакте об экономических, социальных и культурных правах.</w:t>
      </w:r>
    </w:p>
    <w:p w:rsidR="00000000" w:rsidRDefault="00000000">
      <w:pPr>
        <w:pStyle w:val="FootnoteText"/>
      </w:pPr>
    </w:p>
  </w:footnote>
  <w:footnote w:id="101">
    <w:p w:rsidR="00000000" w:rsidRDefault="00000000">
      <w:pPr>
        <w:shd w:val="clear" w:color="auto" w:fill="FFFFFF"/>
        <w:spacing w:line="240" w:lineRule="auto"/>
        <w:rPr>
          <w:szCs w:val="24"/>
        </w:rPr>
      </w:pPr>
      <w:r>
        <w:rPr>
          <w:rStyle w:val="FootnoteReference"/>
        </w:rPr>
        <w:footnoteRef/>
      </w:r>
      <w:r>
        <w:t xml:space="preserve"> </w:t>
      </w:r>
      <w:r>
        <w:tab/>
        <w:t>Уведомление</w:t>
      </w:r>
      <w:r>
        <w:rPr>
          <w:color w:val="000000"/>
          <w:szCs w:val="25"/>
        </w:rPr>
        <w:t xml:space="preserve"> федерального министерства иностранных дел 209/1992 </w:t>
      </w:r>
      <w:r>
        <w:rPr>
          <w:color w:val="000000"/>
          <w:szCs w:val="25"/>
          <w:lang w:val="en-US"/>
        </w:rPr>
        <w:t>Coll</w:t>
      </w:r>
      <w:r>
        <w:rPr>
          <w:color w:val="000000"/>
          <w:szCs w:val="25"/>
        </w:rPr>
        <w:t>. о защите прав человека и основных свобод с изменениями, внесенными Протоколами № 3, 5 и 8, с последующими поправками.</w:t>
      </w:r>
    </w:p>
    <w:p w:rsidR="00000000" w:rsidRDefault="00000000">
      <w:pPr>
        <w:pStyle w:val="FootnoteText"/>
      </w:pPr>
    </w:p>
  </w:footnote>
  <w:footnote w:id="102">
    <w:p w:rsidR="00000000" w:rsidRDefault="00000000">
      <w:pPr>
        <w:pStyle w:val="FootnoteText"/>
      </w:pPr>
      <w:r>
        <w:rPr>
          <w:rStyle w:val="FootnoteReference"/>
        </w:rPr>
        <w:footnoteRef/>
      </w:r>
      <w:r>
        <w:t xml:space="preserve"> </w:t>
      </w:r>
      <w:r>
        <w:tab/>
        <w:t>Закон № 40/1964 С</w:t>
      </w:r>
      <w:r>
        <w:rPr>
          <w:lang w:val="en-US"/>
        </w:rPr>
        <w:t>oll</w:t>
      </w:r>
      <w:r>
        <w:t>. о Гражданском кодексе с последующими поправками.</w:t>
      </w:r>
    </w:p>
  </w:footnote>
  <w:footnote w:id="103">
    <w:p w:rsidR="00000000" w:rsidRDefault="00000000">
      <w:pPr>
        <w:pStyle w:val="FootnoteText"/>
      </w:pPr>
      <w:r>
        <w:rPr>
          <w:rStyle w:val="FootnoteReference"/>
        </w:rPr>
        <w:footnoteRef/>
      </w:r>
      <w:r>
        <w:t xml:space="preserve"> </w:t>
      </w:r>
      <w:r>
        <w:tab/>
      </w:r>
      <w:r>
        <w:rPr>
          <w:color w:val="000000"/>
          <w:szCs w:val="24"/>
        </w:rPr>
        <w:t>Закон № 65/1965 о Трудовом кодексе с последующими поправками.</w:t>
      </w:r>
    </w:p>
  </w:footnote>
  <w:footnote w:id="104">
    <w:p w:rsidR="00000000" w:rsidRDefault="00000000">
      <w:pPr>
        <w:shd w:val="clear" w:color="auto" w:fill="FFFFFF"/>
        <w:spacing w:line="240" w:lineRule="auto"/>
      </w:pPr>
      <w:r>
        <w:rPr>
          <w:rStyle w:val="FootnoteReference"/>
        </w:rPr>
        <w:footnoteRef/>
      </w:r>
      <w:r>
        <w:t xml:space="preserve"> </w:t>
      </w:r>
      <w:r>
        <w:tab/>
        <w:t xml:space="preserve">Закон № 82/1998 </w:t>
      </w:r>
      <w:r>
        <w:rPr>
          <w:lang w:val="en-US"/>
        </w:rPr>
        <w:t>Coll</w:t>
      </w:r>
      <w:r>
        <w:t xml:space="preserve">. об ответственности за ущерб, причиненный должностными лицами государственных органов в результате решения или неправомочной официальной процедуры.  Этот закон заменил собой Закон № 58/1969 </w:t>
      </w:r>
      <w:r>
        <w:rPr>
          <w:lang w:val="en-US"/>
        </w:rPr>
        <w:t>Coll</w:t>
      </w:r>
      <w:r>
        <w:t xml:space="preserve">. об ответственности за ущерб, причиненный решением государственного органа или неправомочной официальной процедуры, который перестал соответствовать изменившейся ситуации в обществе, поскольку был основан на принципе единственного исключительного субъекта, ответственного за ущерб, каковым являлось государство.  Такое определение, содержавшееся в Законе № 58/1969 </w:t>
      </w:r>
      <w:r>
        <w:rPr>
          <w:lang w:val="en-US"/>
        </w:rPr>
        <w:t>Coll</w:t>
      </w:r>
      <w:r>
        <w:t>., более не соответствовало конституционным и нормативным актам об осуществлении государственной власти, которая в соответствии с Конституцией Чешской Республики возлагается также и на другие органы, помимо государственных.</w:t>
      </w:r>
    </w:p>
  </w:footnote>
  <w:footnote w:id="105">
    <w:p w:rsidR="00000000" w:rsidRDefault="00000000">
      <w:pPr>
        <w:pStyle w:val="FootnoteText"/>
      </w:pPr>
      <w:r>
        <w:rPr>
          <w:rStyle w:val="FootnoteReference"/>
        </w:rPr>
        <w:footnoteRef/>
      </w:r>
      <w:r>
        <w:t xml:space="preserve"> </w:t>
      </w:r>
      <w:r>
        <w:tab/>
        <w:t>Стороны разбирательства в соответствии с Законом № 82/1998 об ответственности за ущерб, причиненный должностными лицами государственных органов в результате решения или неправомочной официальной процедуры;  стороны в соответствии с Уголовным кодексом;  стороны разбирательства в соответствии с Гражданско-процессуальным кодексом или различные определенные стороны разбирательства по административным решениям.</w:t>
      </w:r>
    </w:p>
  </w:footnote>
  <w:footnote w:id="106">
    <w:p w:rsidR="00000000" w:rsidRDefault="00000000">
      <w:pPr>
        <w:pStyle w:val="FootnoteText"/>
      </w:pPr>
      <w:r>
        <w:rPr>
          <w:rStyle w:val="FootnoteReference"/>
        </w:rPr>
        <w:footnoteRef/>
      </w:r>
      <w:r>
        <w:t xml:space="preserve"> </w:t>
      </w:r>
      <w:r>
        <w:tab/>
        <w:t xml:space="preserve">В особых случаях данное условие может быть снято. </w:t>
      </w:r>
    </w:p>
  </w:footnote>
  <w:footnote w:id="107">
    <w:p w:rsidR="00000000" w:rsidRDefault="00000000">
      <w:pPr>
        <w:pStyle w:val="FootnoteText"/>
      </w:pPr>
    </w:p>
    <w:p w:rsidR="00000000" w:rsidRDefault="00000000">
      <w:pPr>
        <w:pStyle w:val="FootnoteText"/>
      </w:pPr>
      <w:r>
        <w:rPr>
          <w:rStyle w:val="FootnoteReference"/>
        </w:rPr>
        <w:footnoteRef/>
      </w:r>
      <w:r>
        <w:t xml:space="preserve"> </w:t>
      </w:r>
      <w:r>
        <w:tab/>
        <w:t>В отдельных случаях высказывались критические замечания о том, что это положение нарушает презумпцию невиновности.</w:t>
      </w:r>
    </w:p>
  </w:footnote>
  <w:footnote w:id="108">
    <w:p w:rsidR="00000000" w:rsidRDefault="00000000">
      <w:pPr>
        <w:pStyle w:val="FootnoteText"/>
      </w:pPr>
      <w:r>
        <w:rPr>
          <w:rStyle w:val="FootnoteReference"/>
        </w:rPr>
        <w:footnoteRef/>
      </w:r>
      <w:r>
        <w:t xml:space="preserve"> </w:t>
      </w:r>
      <w:r>
        <w:tab/>
        <w:t>Правовые нормы, изложенные в Законе № 82/1998 С</w:t>
      </w:r>
      <w:r>
        <w:rPr>
          <w:lang w:val="en-US"/>
        </w:rPr>
        <w:t>oll</w:t>
      </w:r>
      <w:r>
        <w:t>. об ответственности за ущерб, причиненный должностными лицами государственных органов в результате решения или неправомочной официальной процедуры, действует, однако, лишь в отношении ущерба, который был причинен в результате относящейся к публичному праву деятельности государства.  В этой связи возникает ответственность за ущерб, причиненный в результате нарушения определенных в публичном праве обязанностей, но она регулируется частным правом, а Закон № 82/1998 С</w:t>
      </w:r>
      <w:r>
        <w:rPr>
          <w:lang w:val="en-US"/>
        </w:rPr>
        <w:t>oll</w:t>
      </w:r>
      <w:r>
        <w:t>. относится к системе гражданского права.  Применение Гражданского кодекса к положениям этого Закона носит субсидиарный характер.</w:t>
      </w:r>
    </w:p>
  </w:footnote>
  <w:footnote w:id="109">
    <w:p w:rsidR="00000000" w:rsidRDefault="00000000">
      <w:pPr>
        <w:pStyle w:val="FootnoteText"/>
      </w:pPr>
      <w:r>
        <w:rPr>
          <w:rStyle w:val="FootnoteReference"/>
        </w:rPr>
        <w:footnoteRef/>
      </w:r>
      <w:r>
        <w:t xml:space="preserve"> </w:t>
      </w:r>
      <w:r>
        <w:tab/>
        <w:t>Ниже перечисляются конвенции Международной организации труда, которые были ратифицированы Чешской Республикой по состоянию на 30 августа 1999 года, которые имеют важное значение с точки зрения Пакта и по которым Чешская Республика представляет с 1993 года соответствующие доклады:</w:t>
      </w:r>
    </w:p>
    <w:p w:rsidR="00000000" w:rsidRDefault="00000000">
      <w:pPr>
        <w:pStyle w:val="FootnoteText"/>
      </w:pPr>
    </w:p>
    <w:p w:rsidR="00000000" w:rsidRDefault="00000000">
      <w:pPr>
        <w:pStyle w:val="FootnoteText"/>
        <w:tabs>
          <w:tab w:val="clear" w:pos="1134"/>
        </w:tabs>
        <w:ind w:left="851" w:hanging="284"/>
      </w:pPr>
      <w:r>
        <w:t>Конвенция № 12 (1921 года) о возмещении при несчастных случаях в сельском хозяйстве;</w:t>
      </w:r>
    </w:p>
    <w:p w:rsidR="00000000" w:rsidRDefault="00000000">
      <w:pPr>
        <w:pStyle w:val="FootnoteText"/>
      </w:pPr>
      <w:r>
        <w:tab/>
        <w:t>Конвенция № 14 (1921 года) о еженедельном отдыхе в промышленности;</w:t>
      </w:r>
    </w:p>
    <w:p w:rsidR="00000000" w:rsidRDefault="00000000">
      <w:pPr>
        <w:pStyle w:val="FootnoteText"/>
        <w:tabs>
          <w:tab w:val="clear" w:pos="1134"/>
        </w:tabs>
        <w:ind w:left="851" w:hanging="284"/>
      </w:pPr>
      <w:r>
        <w:t>Конвенция № 17 (1925 года) о возмещении трудящимся при несчастных случаях на производстве;</w:t>
      </w:r>
    </w:p>
    <w:p w:rsidR="00000000" w:rsidRDefault="00000000">
      <w:pPr>
        <w:pStyle w:val="FootnoteText"/>
        <w:tabs>
          <w:tab w:val="clear" w:pos="1134"/>
        </w:tabs>
        <w:ind w:left="851" w:hanging="284"/>
      </w:pPr>
      <w:r>
        <w:t>Конвенция № 29 (1930 года) о принудительном труде;</w:t>
      </w:r>
    </w:p>
    <w:p w:rsidR="00000000" w:rsidRDefault="00000000">
      <w:pPr>
        <w:pStyle w:val="FootnoteText"/>
        <w:tabs>
          <w:tab w:val="clear" w:pos="1134"/>
        </w:tabs>
        <w:ind w:left="851" w:hanging="284"/>
      </w:pPr>
      <w:r>
        <w:t>Конвенция (пересмотренная) № 42 (1934 года) о возмещении в случае профессиональных заболеваний;</w:t>
      </w:r>
    </w:p>
    <w:p w:rsidR="00000000" w:rsidRDefault="00000000">
      <w:pPr>
        <w:pStyle w:val="FootnoteText"/>
      </w:pPr>
      <w:r>
        <w:tab/>
        <w:t>Конвенция № 45 (1935 года) о применении труда женщин на подземных работах;</w:t>
      </w:r>
    </w:p>
    <w:p w:rsidR="00000000" w:rsidRDefault="00000000">
      <w:pPr>
        <w:pStyle w:val="FootnoteText"/>
      </w:pPr>
      <w:r>
        <w:tab/>
        <w:t>Конвенция № 87 (1948 года) о свободе ассоциаций и защите права на организацию;</w:t>
      </w:r>
    </w:p>
    <w:p w:rsidR="00000000" w:rsidRDefault="00000000">
      <w:pPr>
        <w:pStyle w:val="FootnoteText"/>
      </w:pPr>
      <w:r>
        <w:tab/>
        <w:t>Конвенция № 88 (1948 года) об организации службы занятости;</w:t>
      </w:r>
    </w:p>
    <w:p w:rsidR="00000000" w:rsidRDefault="00000000">
      <w:pPr>
        <w:pStyle w:val="FootnoteText"/>
        <w:tabs>
          <w:tab w:val="clear" w:pos="1134"/>
        </w:tabs>
        <w:ind w:left="851" w:hanging="284"/>
      </w:pPr>
      <w:r>
        <w:t>Конвенция (пересмотренная) № 90 (1948 года) о ночном труде подростков в промышленности;</w:t>
      </w:r>
    </w:p>
    <w:p w:rsidR="00000000" w:rsidRDefault="00000000">
      <w:pPr>
        <w:pStyle w:val="FootnoteText"/>
      </w:pPr>
      <w:r>
        <w:tab/>
        <w:t>Конвенция № 95 (1949 года) об охране заработной платы;</w:t>
      </w:r>
    </w:p>
    <w:p w:rsidR="00000000" w:rsidRDefault="00000000">
      <w:pPr>
        <w:pStyle w:val="FootnoteText"/>
        <w:tabs>
          <w:tab w:val="clear" w:pos="1134"/>
        </w:tabs>
        <w:ind w:left="851" w:hanging="284"/>
      </w:pPr>
      <w:r>
        <w:t>Конвенция № 98 (1949 года) о праве на организацию и на ведение коллективных переговоров;</w:t>
      </w:r>
    </w:p>
    <w:p w:rsidR="00000000" w:rsidRDefault="00000000">
      <w:pPr>
        <w:pStyle w:val="FootnoteText"/>
      </w:pPr>
      <w:r>
        <w:tab/>
        <w:t>Конвенция № 100 (1951 года) о равном вознаграждении;</w:t>
      </w:r>
    </w:p>
    <w:p w:rsidR="00000000" w:rsidRDefault="00000000">
      <w:pPr>
        <w:pStyle w:val="FootnoteText"/>
      </w:pPr>
      <w:r>
        <w:tab/>
        <w:t>Конвенция № 105 (1957 года) об упразднении принудительного труда;</w:t>
      </w:r>
    </w:p>
    <w:p w:rsidR="00000000" w:rsidRDefault="00000000">
      <w:pPr>
        <w:pStyle w:val="FootnoteText"/>
      </w:pPr>
      <w:r>
        <w:tab/>
        <w:t>Конвенция № 111 (1958 года) о дискриминации в сфере труда и занятости;</w:t>
      </w:r>
    </w:p>
    <w:p w:rsidR="00000000" w:rsidRDefault="00000000">
      <w:pPr>
        <w:pStyle w:val="FootnoteText"/>
      </w:pPr>
      <w:r>
        <w:tab/>
        <w:t>Конвенция № 122 (1964 года) о политике в области занятости;</w:t>
      </w:r>
    </w:p>
    <w:p w:rsidR="00000000" w:rsidRDefault="00000000">
      <w:pPr>
        <w:pStyle w:val="FootnoteText"/>
      </w:pPr>
      <w:r>
        <w:tab/>
        <w:t>Конвенция № 130 (1969 года) о медицинской помощи и пособиях по болезни;</w:t>
      </w:r>
    </w:p>
    <w:p w:rsidR="00000000" w:rsidRDefault="00000000">
      <w:pPr>
        <w:pStyle w:val="FootnoteText"/>
      </w:pPr>
      <w:r>
        <w:tab/>
        <w:t>Конвенция (пересмотренная) № 132 (1970 года) об оплачиваемых отпусках;</w:t>
      </w:r>
    </w:p>
    <w:p w:rsidR="00000000" w:rsidRDefault="00000000">
      <w:pPr>
        <w:pStyle w:val="FootnoteText"/>
        <w:tabs>
          <w:tab w:val="clear" w:pos="1134"/>
        </w:tabs>
        <w:ind w:left="851" w:hanging="284"/>
      </w:pPr>
      <w:r>
        <w:t>Конвенция № 148 (1977 года) о производственной среде (загрязнение воздуха, шум и вибрация);</w:t>
      </w:r>
    </w:p>
    <w:p w:rsidR="00000000" w:rsidRDefault="00000000">
      <w:pPr>
        <w:pStyle w:val="FootnoteText"/>
      </w:pPr>
      <w:r>
        <w:tab/>
        <w:t>Конвенция № 155 (1981 года) о безопасности и гигиене труда;</w:t>
      </w:r>
    </w:p>
    <w:p w:rsidR="00000000" w:rsidRDefault="00000000">
      <w:pPr>
        <w:pStyle w:val="FootnoteText"/>
        <w:tabs>
          <w:tab w:val="clear" w:pos="1134"/>
        </w:tabs>
        <w:ind w:left="851" w:hanging="284"/>
      </w:pPr>
      <w:r>
        <w:t>Конвенция № 159 (1983 года) о профессиональной реабилитации и занятости инвалидов;</w:t>
      </w:r>
    </w:p>
    <w:p w:rsidR="00000000" w:rsidRDefault="00000000">
      <w:pPr>
        <w:pStyle w:val="FootnoteText"/>
      </w:pPr>
      <w:r>
        <w:tab/>
        <w:t>Конвенция № 167 (1988 года) о безопасности и гигиене труда в строительстве;</w:t>
      </w:r>
    </w:p>
    <w:p w:rsidR="00000000" w:rsidRDefault="00000000">
      <w:pPr>
        <w:pStyle w:val="FootnoteText"/>
      </w:pPr>
      <w:r>
        <w:tab/>
        <w:t>Конвенция № 171 (1990 года) о ночном труде.</w:t>
      </w:r>
      <w:r>
        <w:tab/>
      </w:r>
    </w:p>
  </w:footnote>
  <w:footnote w:id="110">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1/1991 </w:t>
      </w:r>
      <w:r>
        <w:rPr>
          <w:lang w:val="en-US"/>
        </w:rPr>
        <w:t>Coll</w:t>
      </w:r>
      <w:r>
        <w:t>. о занятости с последующими поправками.</w:t>
      </w:r>
    </w:p>
  </w:footnote>
  <w:footnote w:id="111">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9/1991 </w:t>
      </w:r>
      <w:r>
        <w:rPr>
          <w:lang w:val="en-US"/>
        </w:rPr>
        <w:t>Coll</w:t>
      </w:r>
      <w:r>
        <w:t>. о занятости и юрисдикции органов Чешской Республики в секторе занятости с последующими поправками.</w:t>
      </w:r>
    </w:p>
  </w:footnote>
  <w:footnote w:id="112">
    <w:p w:rsidR="00000000" w:rsidRDefault="00000000">
      <w:pPr>
        <w:pStyle w:val="FootnoteText"/>
      </w:pPr>
      <w:r>
        <w:rPr>
          <w:rStyle w:val="FootnoteReference"/>
        </w:rPr>
        <w:footnoteRef/>
      </w:r>
      <w:r>
        <w:t xml:space="preserve"> </w:t>
      </w:r>
      <w:r>
        <w:tab/>
        <w:t xml:space="preserve">Закон № 65/1965 </w:t>
      </w:r>
      <w:r>
        <w:rPr>
          <w:lang w:val="en-US"/>
        </w:rPr>
        <w:t>Coll</w:t>
      </w:r>
      <w:r>
        <w:t>. о Трудовом кодексе с последующими поправками.</w:t>
      </w:r>
    </w:p>
    <w:p w:rsidR="00000000" w:rsidRDefault="00000000">
      <w:pPr>
        <w:pStyle w:val="FootnoteText"/>
      </w:pPr>
    </w:p>
  </w:footnote>
  <w:footnote w:id="113">
    <w:p w:rsidR="00000000" w:rsidRDefault="00000000">
      <w:pPr>
        <w:pStyle w:val="FootnoteText"/>
      </w:pPr>
      <w:r>
        <w:rPr>
          <w:rStyle w:val="FootnoteReference"/>
        </w:rPr>
        <w:footnoteRef/>
      </w:r>
      <w:r>
        <w:t xml:space="preserve"> </w:t>
      </w:r>
      <w:r>
        <w:tab/>
        <w:t xml:space="preserve">Закон № 231/1992 </w:t>
      </w:r>
      <w:r>
        <w:rPr>
          <w:lang w:val="en-US"/>
        </w:rPr>
        <w:t>Coll</w:t>
      </w:r>
      <w:r>
        <w:t>. о поправке к Трудовому кодексу, вступивший в силу 29 мая 1992 года.</w:t>
      </w:r>
    </w:p>
    <w:p w:rsidR="00000000" w:rsidRDefault="00000000">
      <w:pPr>
        <w:pStyle w:val="FootnoteText"/>
      </w:pPr>
    </w:p>
  </w:footnote>
  <w:footnote w:id="114">
    <w:p w:rsidR="00000000" w:rsidRDefault="00000000">
      <w:pPr>
        <w:pStyle w:val="FootnoteText"/>
      </w:pPr>
      <w:r>
        <w:rPr>
          <w:rStyle w:val="FootnoteReference"/>
        </w:rPr>
        <w:footnoteRef/>
      </w:r>
      <w:r>
        <w:t xml:space="preserve"> </w:t>
      </w:r>
      <w:r>
        <w:tab/>
        <w:t>Международная организация труда (МОТ).</w:t>
      </w:r>
    </w:p>
    <w:p w:rsidR="00000000" w:rsidRDefault="00000000">
      <w:pPr>
        <w:pStyle w:val="FootnoteText"/>
      </w:pPr>
    </w:p>
  </w:footnote>
  <w:footnote w:id="115">
    <w:p w:rsidR="00000000" w:rsidRDefault="00000000">
      <w:pPr>
        <w:pStyle w:val="FootnoteText"/>
      </w:pPr>
      <w:r>
        <w:rPr>
          <w:rStyle w:val="FootnoteReference"/>
        </w:rPr>
        <w:footnoteRef/>
      </w:r>
      <w:r>
        <w:t xml:space="preserve"> </w:t>
      </w:r>
      <w:r>
        <w:tab/>
        <w:t>Пункт 1 статьи 36 Трудового кодекса гласит:  "Условия, согласованные в трудовом договоре, могут быть изменены лишь с согласия работодателя и работника.  Если трудовой договор был заключен в письменной форме, то работодатель обязан вносить любые поправки в такой договор также в письменной форме".</w:t>
      </w:r>
    </w:p>
  </w:footnote>
  <w:footnote w:id="116">
    <w:p w:rsidR="00000000" w:rsidRDefault="00000000">
      <w:pPr>
        <w:pStyle w:val="FootnoteText"/>
      </w:pPr>
      <w:r>
        <w:rPr>
          <w:rStyle w:val="FootnoteReference"/>
        </w:rPr>
        <w:footnoteRef/>
      </w:r>
      <w:r>
        <w:t xml:space="preserve"> </w:t>
      </w:r>
      <w:r>
        <w:tab/>
        <w:t>Закон № 140/1961 Соll. об Уголовном кодексе с последующими поправками.</w:t>
      </w:r>
    </w:p>
  </w:footnote>
  <w:footnote w:id="117">
    <w:p w:rsidR="00000000" w:rsidRDefault="00000000">
      <w:pPr>
        <w:pStyle w:val="FootnoteText"/>
      </w:pPr>
    </w:p>
    <w:p w:rsidR="00000000" w:rsidRDefault="00000000">
      <w:pPr>
        <w:pStyle w:val="FootnoteText"/>
      </w:pPr>
      <w:r>
        <w:rPr>
          <w:rStyle w:val="FootnoteReference"/>
        </w:rPr>
        <w:footnoteRef/>
      </w:r>
      <w:r>
        <w:t xml:space="preserve"> </w:t>
      </w:r>
      <w:r>
        <w:tab/>
        <w:t>Закон № 99/1963 Соll. о Гражданско-процессуальном кодексе с последующими поправками.</w:t>
      </w:r>
    </w:p>
  </w:footnote>
  <w:footnote w:id="118">
    <w:p w:rsidR="00000000" w:rsidRDefault="00000000">
      <w:pPr>
        <w:pStyle w:val="FootnoteText"/>
      </w:pPr>
    </w:p>
    <w:p w:rsidR="00000000" w:rsidRDefault="00000000">
      <w:pPr>
        <w:pStyle w:val="FootnoteText"/>
      </w:pPr>
      <w:r>
        <w:rPr>
          <w:rStyle w:val="FootnoteReference"/>
        </w:rPr>
        <w:footnoteRef/>
      </w:r>
      <w:r>
        <w:t xml:space="preserve"> </w:t>
      </w:r>
      <w:r>
        <w:tab/>
        <w:t>Закон № 13/1993 Соll., Закон о таможне с последующими поправками и постановление министерства финансов № 259/1997 Соll. о регулировании некоторых аспектов служебных отношений таможенных работников.</w:t>
      </w:r>
    </w:p>
  </w:footnote>
  <w:footnote w:id="119">
    <w:p w:rsidR="00000000" w:rsidRDefault="00000000">
      <w:pPr>
        <w:pStyle w:val="FootnoteText"/>
      </w:pPr>
    </w:p>
    <w:p w:rsidR="00000000" w:rsidRDefault="00000000">
      <w:pPr>
        <w:pStyle w:val="FootnoteText"/>
      </w:pPr>
      <w:r>
        <w:rPr>
          <w:rStyle w:val="FootnoteReference"/>
        </w:rPr>
        <w:footnoteRef/>
      </w:r>
      <w:r>
        <w:t xml:space="preserve"> </w:t>
      </w:r>
      <w:r>
        <w:tab/>
        <w:t>Закон № 15/1993 Соll. об армии Чешской Республики и о поправках и дополнениях к некоторым соответствующим законам с последующими поправками;  Закон № 76/1959 Соll. о некоторых аспектах служебных отношений военнослужащих с последующими поправками.</w:t>
      </w:r>
    </w:p>
  </w:footnote>
  <w:footnote w:id="120">
    <w:p w:rsidR="00000000" w:rsidRDefault="00000000">
      <w:pPr>
        <w:pStyle w:val="FootnoteText"/>
      </w:pPr>
    </w:p>
    <w:p w:rsidR="00000000" w:rsidRDefault="00000000">
      <w:pPr>
        <w:pStyle w:val="FootnoteText"/>
      </w:pPr>
      <w:r>
        <w:rPr>
          <w:rStyle w:val="FootnoteReference"/>
        </w:rPr>
        <w:footnoteRef/>
      </w:r>
      <w:r>
        <w:t xml:space="preserve"> </w:t>
      </w:r>
      <w:r>
        <w:tab/>
        <w:t>Закон № 154/1994 Соll. об информационной службе безопасности с последующими поправками.</w:t>
      </w:r>
    </w:p>
  </w:footnote>
  <w:footnote w:id="121">
    <w:p w:rsidR="00000000" w:rsidRDefault="00000000">
      <w:pPr>
        <w:pStyle w:val="FootnoteText"/>
      </w:pPr>
    </w:p>
    <w:p w:rsidR="00000000" w:rsidRDefault="00000000">
      <w:pPr>
        <w:pStyle w:val="FootnoteText"/>
      </w:pPr>
      <w:r>
        <w:rPr>
          <w:rStyle w:val="FootnoteReference"/>
        </w:rPr>
        <w:footnoteRef/>
      </w:r>
      <w:r>
        <w:t xml:space="preserve"> </w:t>
      </w:r>
      <w:r>
        <w:tab/>
        <w:t>Закон № 186/1992 Соll. о служебных отношениях сотрудников полиции Чешской Республики с последующими поправками.</w:t>
      </w:r>
    </w:p>
  </w:footnote>
  <w:footnote w:id="122">
    <w:p w:rsidR="00000000" w:rsidRDefault="00000000">
      <w:pPr>
        <w:pStyle w:val="FootnoteText"/>
      </w:pPr>
    </w:p>
    <w:p w:rsidR="00000000" w:rsidRDefault="00000000">
      <w:pPr>
        <w:pStyle w:val="FootnoteText"/>
      </w:pPr>
      <w:r>
        <w:rPr>
          <w:rStyle w:val="FootnoteReference"/>
        </w:rPr>
        <w:footnoteRef/>
      </w:r>
      <w:r>
        <w:t xml:space="preserve"> </w:t>
      </w:r>
      <w:r>
        <w:tab/>
        <w:t>Закон № 133/1985 Соll. о пожарной безопасности с последующими поправками.</w:t>
      </w:r>
    </w:p>
  </w:footnote>
  <w:footnote w:id="123">
    <w:p w:rsidR="00000000" w:rsidRDefault="00000000">
      <w:pPr>
        <w:pStyle w:val="FootnoteText"/>
      </w:pPr>
    </w:p>
    <w:p w:rsidR="00000000" w:rsidRDefault="00000000">
      <w:pPr>
        <w:pStyle w:val="FootnoteText"/>
      </w:pPr>
      <w:r>
        <w:rPr>
          <w:rStyle w:val="FootnoteReference"/>
        </w:rPr>
        <w:footnoteRef/>
      </w:r>
      <w:r>
        <w:t xml:space="preserve"> </w:t>
      </w:r>
      <w:r>
        <w:tab/>
        <w:t>Закон № 221/1999 Соll. о профессиональной военной службе.</w:t>
      </w:r>
    </w:p>
  </w:footnote>
  <w:footnote w:id="124">
    <w:p w:rsidR="00000000" w:rsidRDefault="00000000">
      <w:pPr>
        <w:pStyle w:val="FootnoteText"/>
      </w:pPr>
    </w:p>
    <w:p w:rsidR="00000000" w:rsidRDefault="00000000">
      <w:pPr>
        <w:pStyle w:val="FootnoteText"/>
      </w:pPr>
      <w:r>
        <w:rPr>
          <w:rStyle w:val="FootnoteReference"/>
        </w:rPr>
        <w:footnoteRef/>
      </w:r>
      <w:r>
        <w:t xml:space="preserve"> </w:t>
      </w:r>
      <w:r>
        <w:tab/>
        <w:t>Закон № 222/1999 Соll. об обеспечении обороны Чешской Республики.</w:t>
      </w:r>
    </w:p>
  </w:footnote>
  <w:footnote w:id="125">
    <w:p w:rsidR="00000000" w:rsidRDefault="00000000">
      <w:pPr>
        <w:pStyle w:val="FootnoteText"/>
      </w:pPr>
    </w:p>
    <w:p w:rsidR="00000000" w:rsidRDefault="00000000">
      <w:pPr>
        <w:pStyle w:val="FootnoteText"/>
      </w:pPr>
      <w:r>
        <w:rPr>
          <w:rStyle w:val="FootnoteReference"/>
        </w:rPr>
        <w:footnoteRef/>
      </w:r>
      <w:r>
        <w:t xml:space="preserve"> </w:t>
      </w:r>
      <w:r>
        <w:tab/>
        <w:t>Закон № 219/1999 Соll. о Вооруженных силах Чешской Республики.</w:t>
      </w:r>
    </w:p>
  </w:footnote>
  <w:footnote w:id="126">
    <w:p w:rsidR="00000000" w:rsidRDefault="00000000">
      <w:pPr>
        <w:pStyle w:val="FootnoteText"/>
      </w:pPr>
      <w:r>
        <w:rPr>
          <w:rStyle w:val="FootnoteReference"/>
        </w:rPr>
        <w:footnoteRef/>
      </w:r>
      <w:r>
        <w:t xml:space="preserve"> </w:t>
      </w:r>
      <w:r>
        <w:tab/>
        <w:t>Закон № 29/1984 Соll. о системе начальных, средних и профессиональных школ (Закон о школьном образовании) с последующими поправками.</w:t>
      </w:r>
    </w:p>
  </w:footnote>
  <w:footnote w:id="127">
    <w:p w:rsidR="00000000" w:rsidRDefault="00000000">
      <w:pPr>
        <w:pStyle w:val="FootnoteText"/>
      </w:pPr>
      <w:r>
        <w:rPr>
          <w:rStyle w:val="FootnoteReference"/>
        </w:rPr>
        <w:footnoteRef/>
      </w:r>
      <w:r>
        <w:t xml:space="preserve"> </w:t>
      </w:r>
      <w:r>
        <w:tab/>
        <w:t>Постановление министерства труда и социальных дел № 21/1991 Соll. о более подробном порядке переквалификации работающих и ищущих работу лиц с последующими поправками.</w:t>
      </w:r>
    </w:p>
  </w:footnote>
  <w:footnote w:id="128">
    <w:p w:rsidR="00000000" w:rsidRDefault="00000000">
      <w:pPr>
        <w:pStyle w:val="FootnoteText"/>
      </w:pPr>
      <w:r>
        <w:rPr>
          <w:rStyle w:val="FootnoteReference"/>
        </w:rPr>
        <w:footnoteRef/>
      </w:r>
      <w:r>
        <w:t xml:space="preserve"> </w:t>
      </w:r>
      <w:r>
        <w:tab/>
        <w:t xml:space="preserve">Закон № 123/1992 </w:t>
      </w:r>
      <w:r>
        <w:rPr>
          <w:lang w:val="en-US"/>
        </w:rPr>
        <w:t>Coll</w:t>
      </w:r>
      <w:r>
        <w:t>. о пребывании и проживании иностранцев в Чешской и Словацкой Федеративной Республике с последующими поправками.</w:t>
      </w:r>
    </w:p>
    <w:p w:rsidR="00000000" w:rsidRDefault="00000000">
      <w:pPr>
        <w:pStyle w:val="FootnoteText"/>
      </w:pPr>
    </w:p>
  </w:footnote>
  <w:footnote w:id="129">
    <w:p w:rsidR="00000000" w:rsidRDefault="00000000">
      <w:pPr>
        <w:pStyle w:val="FootnoteText"/>
      </w:pPr>
      <w:r>
        <w:rPr>
          <w:rStyle w:val="FootnoteReference"/>
        </w:rPr>
        <w:footnoteRef/>
      </w:r>
      <w:r>
        <w:t xml:space="preserve"> </w:t>
      </w:r>
      <w:r>
        <w:tab/>
        <w:t xml:space="preserve">Закон № 167/1999 </w:t>
      </w:r>
      <w:r>
        <w:rPr>
          <w:lang w:val="en-US"/>
        </w:rPr>
        <w:t>Coll</w:t>
      </w:r>
      <w:r>
        <w:t xml:space="preserve">., изменяющий Закон № 1/1991 </w:t>
      </w:r>
      <w:r>
        <w:rPr>
          <w:lang w:val="en-US"/>
        </w:rPr>
        <w:t>Coll</w:t>
      </w:r>
      <w:r>
        <w:t xml:space="preserve">. о занятости, с последующими поправками, Закон № 9/1991 </w:t>
      </w:r>
      <w:r>
        <w:rPr>
          <w:lang w:val="en-US"/>
        </w:rPr>
        <w:t>Coll</w:t>
      </w:r>
      <w:r>
        <w:t>. о занятости и юрисдикции органов Чешской Республики в секторе занятости с последующими поправками и Закон № 65/1995 </w:t>
      </w:r>
      <w:r>
        <w:rPr>
          <w:lang w:val="en-US"/>
        </w:rPr>
        <w:t>Coll</w:t>
      </w:r>
      <w:r>
        <w:t>. о Трудовом кодексе с последующими поправками.</w:t>
      </w:r>
    </w:p>
    <w:p w:rsidR="00000000" w:rsidRDefault="00000000">
      <w:pPr>
        <w:pStyle w:val="FootnoteText"/>
      </w:pPr>
    </w:p>
  </w:footnote>
  <w:footnote w:id="130">
    <w:p w:rsidR="00000000" w:rsidRDefault="00000000">
      <w:pPr>
        <w:pStyle w:val="FootnoteText"/>
      </w:pPr>
      <w:r>
        <w:rPr>
          <w:rStyle w:val="FootnoteReference"/>
        </w:rPr>
        <w:footnoteRef/>
      </w:r>
      <w:r>
        <w:t xml:space="preserve"> </w:t>
      </w:r>
      <w:r>
        <w:tab/>
        <w:t xml:space="preserve">В соответствии с Конвенцией о статусе беженцев и Протоколом, касающимся статуса беженцев, которые были опубликованы в Сборнике законов под № 208/1993 </w:t>
      </w:r>
      <w:r>
        <w:rPr>
          <w:lang w:val="en-US"/>
        </w:rPr>
        <w:t>Coll</w:t>
      </w:r>
      <w:r>
        <w:t xml:space="preserve">., а также в соответствии с Законом № 498/1990 </w:t>
      </w:r>
      <w:r>
        <w:rPr>
          <w:lang w:val="en-US"/>
        </w:rPr>
        <w:t>Coll</w:t>
      </w:r>
      <w:r>
        <w:t>. о беженцах с последующими поправками.</w:t>
      </w:r>
    </w:p>
    <w:p w:rsidR="00000000" w:rsidRDefault="00000000">
      <w:pPr>
        <w:pStyle w:val="FootnoteText"/>
      </w:pPr>
    </w:p>
  </w:footnote>
  <w:footnote w:id="131">
    <w:p w:rsidR="00000000" w:rsidRDefault="00000000">
      <w:pPr>
        <w:pStyle w:val="FootnoteText"/>
      </w:pPr>
      <w:r>
        <w:rPr>
          <w:rStyle w:val="FootnoteReference"/>
        </w:rPr>
        <w:footnoteRef/>
      </w:r>
      <w:r>
        <w:t xml:space="preserve"> </w:t>
      </w:r>
      <w:r>
        <w:tab/>
        <w:t xml:space="preserve">Двусторонний договор № 227/1993 </w:t>
      </w:r>
      <w:r>
        <w:rPr>
          <w:lang w:val="en-US"/>
        </w:rPr>
        <w:t>Coll</w:t>
      </w:r>
      <w:r>
        <w:t>., Договор между Чешской Республикой и Словацкой Республикой о взаимном трудоустройстве граждан.</w:t>
      </w:r>
    </w:p>
    <w:p w:rsidR="00000000" w:rsidRDefault="00000000">
      <w:pPr>
        <w:pStyle w:val="FootnoteText"/>
      </w:pPr>
    </w:p>
  </w:footnote>
  <w:footnote w:id="132">
    <w:p w:rsidR="00000000" w:rsidRDefault="00000000">
      <w:pPr>
        <w:pStyle w:val="FootnoteText"/>
      </w:pPr>
      <w:r>
        <w:rPr>
          <w:rStyle w:val="FootnoteReference"/>
        </w:rPr>
        <w:footnoteRef/>
      </w:r>
      <w:r>
        <w:t xml:space="preserve"> </w:t>
      </w:r>
      <w:r>
        <w:tab/>
        <w:t xml:space="preserve">Закон № 200/1990 </w:t>
      </w:r>
      <w:r>
        <w:rPr>
          <w:lang w:val="en-US"/>
        </w:rPr>
        <w:t>Coll</w:t>
      </w:r>
      <w:r>
        <w:t>. о преступлениях с последующими поправками.</w:t>
      </w:r>
    </w:p>
    <w:p w:rsidR="00000000" w:rsidRDefault="00000000">
      <w:pPr>
        <w:pStyle w:val="FootnoteText"/>
      </w:pPr>
    </w:p>
  </w:footnote>
  <w:footnote w:id="133">
    <w:p w:rsidR="00000000" w:rsidRDefault="00000000">
      <w:pPr>
        <w:pStyle w:val="FootnoteText"/>
      </w:pPr>
      <w:r>
        <w:rPr>
          <w:rStyle w:val="FootnoteReference"/>
        </w:rPr>
        <w:footnoteRef/>
      </w:r>
      <w:r>
        <w:t xml:space="preserve"> </w:t>
      </w:r>
      <w:r>
        <w:tab/>
        <w:t>Закон № 455/1991 С</w:t>
      </w:r>
      <w:r>
        <w:rPr>
          <w:lang w:val="en-US"/>
        </w:rPr>
        <w:t>oll</w:t>
      </w:r>
      <w:r>
        <w:t>. о профессиональной деятельности (Закон о лицензировании профессиональной деятельности) с последующими поправками.</w:t>
      </w:r>
    </w:p>
    <w:p w:rsidR="00000000" w:rsidRDefault="00000000">
      <w:pPr>
        <w:pStyle w:val="FootnoteText"/>
      </w:pPr>
    </w:p>
  </w:footnote>
  <w:footnote w:id="134">
    <w:p w:rsidR="00000000" w:rsidRDefault="00000000">
      <w:pPr>
        <w:pStyle w:val="FootnoteText"/>
      </w:pPr>
      <w:r>
        <w:rPr>
          <w:rStyle w:val="FootnoteReference"/>
        </w:rPr>
        <w:footnoteRef/>
      </w:r>
      <w:r>
        <w:t xml:space="preserve"> </w:t>
      </w:r>
      <w:r>
        <w:tab/>
        <w:t>Закон № 513/1991 С</w:t>
      </w:r>
      <w:r>
        <w:rPr>
          <w:lang w:val="en-US"/>
        </w:rPr>
        <w:t>oll</w:t>
      </w:r>
      <w:r>
        <w:t>. о Коммерческом кодексе с последующими поправками.</w:t>
      </w:r>
    </w:p>
    <w:p w:rsidR="00000000" w:rsidRDefault="00000000">
      <w:pPr>
        <w:pStyle w:val="FootnoteText"/>
      </w:pPr>
    </w:p>
  </w:footnote>
  <w:footnote w:id="135">
    <w:p w:rsidR="00000000" w:rsidRDefault="00000000">
      <w:pPr>
        <w:pStyle w:val="FootnoteText"/>
      </w:pPr>
      <w:r>
        <w:rPr>
          <w:rStyle w:val="FootnoteReference"/>
        </w:rPr>
        <w:footnoteRef/>
      </w:r>
      <w:r>
        <w:t xml:space="preserve"> </w:t>
      </w:r>
      <w:r>
        <w:tab/>
        <w:t>Закон № 105/1990 С</w:t>
      </w:r>
      <w:r>
        <w:rPr>
          <w:lang w:val="en-US"/>
        </w:rPr>
        <w:t>oll</w:t>
      </w:r>
      <w:r>
        <w:t>. о частном предпринимательстве граждан с последующими поправками.</w:t>
      </w:r>
    </w:p>
  </w:footnote>
  <w:footnote w:id="136">
    <w:p w:rsidR="00000000" w:rsidRDefault="00000000">
      <w:pPr>
        <w:pStyle w:val="FootnoteText"/>
      </w:pPr>
      <w:r>
        <w:rPr>
          <w:rStyle w:val="FootnoteReference"/>
        </w:rPr>
        <w:footnoteRef/>
      </w:r>
      <w:r>
        <w:t xml:space="preserve"> </w:t>
      </w:r>
      <w:r>
        <w:tab/>
        <w:t>Закон № 85/1996 С</w:t>
      </w:r>
      <w:r>
        <w:rPr>
          <w:lang w:val="en-US"/>
        </w:rPr>
        <w:t>oll</w:t>
      </w:r>
      <w:r>
        <w:t>. об адвокатской деятельности с последующими поправками.</w:t>
      </w:r>
    </w:p>
    <w:p w:rsidR="00000000" w:rsidRDefault="00000000">
      <w:pPr>
        <w:pStyle w:val="FootnoteText"/>
      </w:pPr>
    </w:p>
  </w:footnote>
  <w:footnote w:id="137">
    <w:p w:rsidR="00000000" w:rsidRDefault="00000000">
      <w:pPr>
        <w:pStyle w:val="FootnoteText"/>
      </w:pPr>
      <w:r>
        <w:rPr>
          <w:rStyle w:val="FootnoteReference"/>
        </w:rPr>
        <w:footnoteRef/>
      </w:r>
      <w:r>
        <w:t xml:space="preserve"> </w:t>
      </w:r>
      <w:r>
        <w:tab/>
        <w:t>Закон № 524/1992 С</w:t>
      </w:r>
      <w:r>
        <w:rPr>
          <w:lang w:val="en-US"/>
        </w:rPr>
        <w:t>oll</w:t>
      </w:r>
      <w:r>
        <w:t>. об аудиторской деятельности и Счетной палате Чешской Республики с последующими поправками.</w:t>
      </w:r>
    </w:p>
  </w:footnote>
  <w:footnote w:id="138">
    <w:p w:rsidR="00000000" w:rsidRDefault="00000000">
      <w:pPr>
        <w:pStyle w:val="FootnoteText"/>
      </w:pPr>
      <w:r>
        <w:rPr>
          <w:rStyle w:val="FootnoteReference"/>
        </w:rPr>
        <w:footnoteRef/>
      </w:r>
      <w:r>
        <w:t xml:space="preserve"> </w:t>
      </w:r>
      <w:r>
        <w:tab/>
        <w:t>Доклад о положении общины рома в Чешской Республике и мерах правительства по содействию ее интеграции в общество, приложение к Постановлению правительства Чешской Республики № 686 от 20 октября 1997 года.</w:t>
      </w:r>
    </w:p>
  </w:footnote>
  <w:footnote w:id="139">
    <w:p w:rsidR="00000000" w:rsidRDefault="00000000">
      <w:pPr>
        <w:pStyle w:val="FootnoteText"/>
      </w:pPr>
      <w:r>
        <w:rPr>
          <w:rStyle w:val="FootnoteReference"/>
        </w:rPr>
        <w:footnoteRef/>
      </w:r>
      <w:r>
        <w:t xml:space="preserve"> </w:t>
      </w:r>
      <w:r>
        <w:tab/>
        <w:t>В 1997 и 1998 годах для социальных работников, контактирующих с населением рома, было организовано две программы квалификации, в которых приняли участие и ищущие работу рома.  Однако большинство из них трудоустроилось консультантами в окружных или городских учреждениях, в центрах по борьбе с наркоманией и консультативных центрах, а также ассистентами в школах.</w:t>
      </w:r>
    </w:p>
    <w:p w:rsidR="00000000" w:rsidRDefault="00000000">
      <w:pPr>
        <w:pStyle w:val="FootnoteText"/>
      </w:pPr>
    </w:p>
  </w:footnote>
  <w:footnote w:id="140">
    <w:p w:rsidR="00000000" w:rsidRDefault="00000000">
      <w:pPr>
        <w:pStyle w:val="FootnoteText"/>
      </w:pPr>
      <w:r>
        <w:rPr>
          <w:rStyle w:val="FootnoteReference"/>
        </w:rPr>
        <w:footnoteRef/>
      </w:r>
      <w:r>
        <w:t xml:space="preserve"> </w:t>
      </w:r>
      <w:r>
        <w:tab/>
        <w:t>В 1998 году министерство внутренних дел выделило 2 млн. 819 тыс. чешских крон на поддержку десяти проектов, направленных непосредственно на поощрение трудоустройства рома посредством переквалификации, индивидуального консультирования и обучения молодежи.</w:t>
      </w:r>
    </w:p>
  </w:footnote>
  <w:footnote w:id="141">
    <w:p w:rsidR="00000000" w:rsidRDefault="00000000">
      <w:pPr>
        <w:pStyle w:val="FootnoteText"/>
      </w:pPr>
      <w:r>
        <w:rPr>
          <w:rStyle w:val="FootnoteReference"/>
        </w:rPr>
        <w:footnoteRef/>
      </w:r>
      <w:r>
        <w:t xml:space="preserve"> </w:t>
      </w:r>
      <w:r>
        <w:tab/>
        <w:t>Международная классификация расстройств здоровья, нетрудоспособности и инвалидности (КРЗНИ-2).</w:t>
      </w:r>
    </w:p>
    <w:p w:rsidR="00000000" w:rsidRDefault="00000000">
      <w:pPr>
        <w:pStyle w:val="FootnoteText"/>
      </w:pPr>
    </w:p>
  </w:footnote>
  <w:footnote w:id="142">
    <w:p w:rsidR="00000000" w:rsidRDefault="00000000">
      <w:pPr>
        <w:pStyle w:val="FootnoteText"/>
      </w:pPr>
      <w:r>
        <w:rPr>
          <w:rStyle w:val="FootnoteReference"/>
        </w:rPr>
        <w:footnoteRef/>
      </w:r>
      <w:r>
        <w:t xml:space="preserve"> </w:t>
      </w:r>
      <w:r>
        <w:tab/>
        <w:t>Постановление правительства Чешской Республики № 418 от 5 мая 1999 года о Национальном плане действий в области занятости.</w:t>
      </w:r>
    </w:p>
  </w:footnote>
  <w:footnote w:id="143">
    <w:p w:rsidR="00000000" w:rsidRDefault="00000000">
      <w:pPr>
        <w:pStyle w:val="FootnoteText"/>
      </w:pPr>
    </w:p>
    <w:p w:rsidR="00000000" w:rsidRDefault="00000000">
      <w:pPr>
        <w:pStyle w:val="FootnoteText"/>
      </w:pPr>
      <w:r>
        <w:rPr>
          <w:rStyle w:val="FootnoteReference"/>
        </w:rPr>
        <w:footnoteRef/>
      </w:r>
      <w:r>
        <w:tab/>
        <w:t xml:space="preserve">Закон № 451/1991 </w:t>
      </w:r>
      <w:r>
        <w:rPr>
          <w:lang w:val="en-US"/>
        </w:rPr>
        <w:t>Coll</w:t>
      </w:r>
      <w:r>
        <w:t>. о ряде дополнительных условий для занятия определенных должностей в государственных органах и организациях Чешской и Словацкой Федеративной Республики, Чешской Республики и Словацкой Республики с последующими поправками.</w:t>
      </w:r>
    </w:p>
    <w:p w:rsidR="00000000" w:rsidRDefault="00000000">
      <w:pPr>
        <w:pStyle w:val="FootnoteText"/>
      </w:pPr>
    </w:p>
  </w:footnote>
  <w:footnote w:id="144">
    <w:p w:rsidR="00000000" w:rsidRDefault="00000000">
      <w:pPr>
        <w:pStyle w:val="FootnoteText"/>
      </w:pPr>
      <w:r>
        <w:rPr>
          <w:rStyle w:val="FootnoteReference"/>
        </w:rPr>
        <w:footnoteRef/>
      </w:r>
      <w:r>
        <w:tab/>
        <w:t xml:space="preserve">Закон № 279/1992 </w:t>
      </w:r>
      <w:r>
        <w:rPr>
          <w:lang w:val="en-US"/>
        </w:rPr>
        <w:t>Coll</w:t>
      </w:r>
      <w:r>
        <w:t>. о ряде дополнительных критериев назначения или отбора на определенные должности сотрудников полиции Чешской Республики и служащих пенитенциарных учреждений Чешской Республики с последующими поправками.</w:t>
      </w:r>
    </w:p>
    <w:p w:rsidR="00000000" w:rsidRDefault="00000000">
      <w:pPr>
        <w:pStyle w:val="FootnoteText"/>
      </w:pPr>
    </w:p>
  </w:footnote>
  <w:footnote w:id="145">
    <w:p w:rsidR="00000000" w:rsidRDefault="00000000">
      <w:pPr>
        <w:pStyle w:val="FootnoteText"/>
      </w:pPr>
      <w:r>
        <w:rPr>
          <w:rStyle w:val="FootnoteReference"/>
        </w:rPr>
        <w:footnoteRef/>
      </w:r>
      <w:r>
        <w:tab/>
        <w:t xml:space="preserve">В соответствии с пунктом 2 статьи 27 Закона № 455/1991 </w:t>
      </w:r>
      <w:r>
        <w:rPr>
          <w:lang w:val="en-US"/>
        </w:rPr>
        <w:t>Coll</w:t>
      </w:r>
      <w:r>
        <w:t>. о лицензируемой профессиональной деятельности (Закона о лицензировании профессиональной деятельности) и приложением № 3 к этому Закону.</w:t>
      </w:r>
    </w:p>
    <w:p w:rsidR="00000000" w:rsidRDefault="00000000">
      <w:pPr>
        <w:pStyle w:val="FootnoteText"/>
      </w:pPr>
    </w:p>
  </w:footnote>
  <w:footnote w:id="146">
    <w:p w:rsidR="00000000" w:rsidRDefault="00000000">
      <w:pPr>
        <w:pStyle w:val="FootnoteText"/>
      </w:pPr>
      <w:r>
        <w:rPr>
          <w:rStyle w:val="FootnoteReference"/>
        </w:rPr>
        <w:footnoteRef/>
      </w:r>
      <w:r>
        <w:tab/>
        <w:t>Этот факт оспаривался, поскольку в число лиц, сотрудничавших со Службой государственной безопасности, были включены также лица, подписавшие соглашения о сотрудничестве под давлением или лишь формально.</w:t>
      </w:r>
    </w:p>
    <w:p w:rsidR="00000000" w:rsidRDefault="00000000">
      <w:pPr>
        <w:pStyle w:val="FootnoteText"/>
      </w:pPr>
    </w:p>
  </w:footnote>
  <w:footnote w:id="147">
    <w:p w:rsidR="00000000" w:rsidRDefault="00000000">
      <w:pPr>
        <w:pStyle w:val="FootnoteText"/>
      </w:pPr>
      <w:r>
        <w:rPr>
          <w:rStyle w:val="FootnoteReference"/>
        </w:rPr>
        <w:footnoteRef/>
      </w:r>
      <w:r>
        <w:tab/>
        <w:t>26 ноября 1992 года Конституционный суд ЧСФР постановил, что 10 положений этого Закона не соответствуют Хартии и Конституции, и 15 июня 1993 года они были отменены.  Таким образом, информаторы и кандидаты на тайное сотрудничество были исключены из подлежащих наказанию категорий лиц, тайно сотрудничавших со Службой государственной безопасности.  В 1995 году, несмотря на вето президента Республики, действие "люстрационного" закона было продлено до 2000 года.</w:t>
      </w:r>
    </w:p>
    <w:p w:rsidR="00000000" w:rsidRDefault="00000000">
      <w:pPr>
        <w:pStyle w:val="FootnoteText"/>
      </w:pPr>
    </w:p>
  </w:footnote>
  <w:footnote w:id="148">
    <w:p w:rsidR="00000000" w:rsidRDefault="00000000">
      <w:pPr>
        <w:pStyle w:val="FootnoteText"/>
      </w:pPr>
      <w:r>
        <w:rPr>
          <w:rStyle w:val="FootnoteReference"/>
        </w:rPr>
        <w:footnoteRef/>
      </w:r>
      <w:r>
        <w:tab/>
        <w:t xml:space="preserve">В соответствии со статьей 5 Закона № 9/1991 </w:t>
      </w:r>
      <w:r>
        <w:rPr>
          <w:lang w:val="en-US"/>
        </w:rPr>
        <w:t>Coll</w:t>
      </w:r>
      <w:r>
        <w:t>. о занятости и юрисдикции органов Чешской Республики в секторе занятости с последующими поправками и в соответствии с постановлением министерства труда и социальных дел Чешской Республики № 35/1997 </w:t>
      </w:r>
      <w:r>
        <w:rPr>
          <w:lang w:val="en-US"/>
        </w:rPr>
        <w:t>Coll</w:t>
      </w:r>
      <w:r>
        <w:t>., которое регламентирует финансовое стимулирование.</w:t>
      </w:r>
    </w:p>
    <w:p w:rsidR="00000000" w:rsidRDefault="00000000">
      <w:pPr>
        <w:pStyle w:val="FootnoteText"/>
      </w:pPr>
    </w:p>
  </w:footnote>
  <w:footnote w:id="149">
    <w:p w:rsidR="00000000" w:rsidRDefault="00000000">
      <w:pPr>
        <w:pStyle w:val="FootnoteText"/>
      </w:pPr>
      <w:r>
        <w:rPr>
          <w:rStyle w:val="FootnoteReference"/>
        </w:rPr>
        <w:footnoteRef/>
      </w:r>
      <w:r>
        <w:tab/>
        <w:t>Постановление правительства Чешской Республики № 418 от 5 мая 1999 года о Национальном плане действий в области занятости.</w:t>
      </w:r>
    </w:p>
  </w:footnote>
  <w:footnote w:id="150">
    <w:p w:rsidR="00000000" w:rsidRDefault="00000000">
      <w:pPr>
        <w:pStyle w:val="FootnoteText"/>
        <w:spacing w:line="288" w:lineRule="auto"/>
      </w:pPr>
      <w:r>
        <w:rPr>
          <w:rStyle w:val="FootnoteReference"/>
        </w:rPr>
        <w:footnoteRef/>
      </w:r>
      <w:r>
        <w:t xml:space="preserve"> </w:t>
      </w:r>
      <w:r>
        <w:tab/>
        <w:t>В 90</w:t>
      </w:r>
      <w:r>
        <w:noBreakHyphen/>
        <w:t xml:space="preserve">е годы Европейская комиссия издала "Зеленую книгу" </w:t>
      </w:r>
      <w:r>
        <w:noBreakHyphen/>
        <w:t xml:space="preserve"> политический документ об общественном пассажирском транспорте, в котором она подчеркнула важное социальное значение мобильности человека.  Как отмечалось в "Зеленой книге", доступность общественного пассажирского транспорта является одним из основных социальных прав европейских граждан.</w:t>
      </w:r>
    </w:p>
  </w:footnote>
  <w:footnote w:id="151">
    <w:p w:rsidR="00000000" w:rsidRDefault="00000000">
      <w:pPr>
        <w:pStyle w:val="FootnoteText"/>
      </w:pPr>
      <w:r>
        <w:rPr>
          <w:rStyle w:val="FootnoteReference"/>
        </w:rPr>
        <w:footnoteRef/>
      </w:r>
      <w:r>
        <w:t xml:space="preserve"> </w:t>
      </w:r>
      <w:r>
        <w:tab/>
        <w:t xml:space="preserve">Закон № 22/1999 </w:t>
      </w:r>
      <w:r>
        <w:rPr>
          <w:lang w:val="en-US"/>
        </w:rPr>
        <w:t>Coll</w:t>
      </w:r>
      <w:r>
        <w:t>. о государственном бюджете Чешской Республики на 1999 год.</w:t>
      </w:r>
    </w:p>
  </w:footnote>
  <w:footnote w:id="152">
    <w:p w:rsidR="00000000" w:rsidRDefault="00000000">
      <w:pPr>
        <w:pStyle w:val="FootnoteText"/>
      </w:pPr>
    </w:p>
    <w:p w:rsidR="00000000" w:rsidRDefault="00000000">
      <w:pPr>
        <w:pStyle w:val="FootnoteText"/>
      </w:pPr>
      <w:r>
        <w:rPr>
          <w:rStyle w:val="FootnoteReference"/>
        </w:rPr>
        <w:footnoteRef/>
      </w:r>
      <w:r>
        <w:t xml:space="preserve"> </w:t>
      </w:r>
      <w:r>
        <w:tab/>
        <w:t>Постановление правительства Чешской Республики № 534 от 31 мая 1999 года о плане неотложных мер по исправлению ситуации на рынке труда.</w:t>
      </w:r>
    </w:p>
  </w:footnote>
  <w:footnote w:id="153">
    <w:p w:rsidR="00000000" w:rsidRDefault="00000000">
      <w:pPr>
        <w:pStyle w:val="FootnoteText"/>
      </w:pPr>
    </w:p>
    <w:p w:rsidR="00000000" w:rsidRDefault="00000000">
      <w:pPr>
        <w:pStyle w:val="FootnoteText"/>
      </w:pPr>
      <w:r>
        <w:rPr>
          <w:rStyle w:val="FootnoteReference"/>
        </w:rPr>
        <w:footnoteRef/>
      </w:r>
      <w:r>
        <w:t xml:space="preserve"> </w:t>
      </w:r>
      <w:r>
        <w:tab/>
        <w:t>Статья 1 Устава Совета экономического и социального согласия Чешской Республики.</w:t>
      </w:r>
    </w:p>
  </w:footnote>
  <w:footnote w:id="154">
    <w:p w:rsidR="00000000" w:rsidRDefault="00000000">
      <w:pPr>
        <w:pStyle w:val="FootnoteText"/>
      </w:pPr>
      <w:r>
        <w:rPr>
          <w:rStyle w:val="FootnoteReference"/>
        </w:rPr>
        <w:footnoteRef/>
      </w:r>
      <w:r>
        <w:t xml:space="preserve"> </w:t>
      </w:r>
      <w:r>
        <w:tab/>
        <w:t xml:space="preserve">Закон № 201/1997 </w:t>
      </w:r>
      <w:r>
        <w:rPr>
          <w:lang w:val="en-US"/>
        </w:rPr>
        <w:t>Coll</w:t>
      </w:r>
      <w:r>
        <w:t xml:space="preserve">. об окладах и некоторых других выплатах и льготах государственных прокуроров с изменениями и дополнениями, внесенными Законом № 143/1992 </w:t>
      </w:r>
      <w:r>
        <w:rPr>
          <w:lang w:val="en-US"/>
        </w:rPr>
        <w:t>Coll</w:t>
      </w:r>
      <w:r>
        <w:t>. об оплате труда резервных работников бюджетных и некоторых других органов и организаций с последующими поправками.</w:t>
      </w:r>
    </w:p>
    <w:p w:rsidR="00000000" w:rsidRDefault="00000000">
      <w:pPr>
        <w:pStyle w:val="FootnoteText"/>
      </w:pPr>
    </w:p>
  </w:footnote>
  <w:footnote w:id="155">
    <w:p w:rsidR="00000000" w:rsidRDefault="00000000">
      <w:pPr>
        <w:pStyle w:val="FootnoteText"/>
      </w:pPr>
      <w:r>
        <w:rPr>
          <w:rStyle w:val="FootnoteReference"/>
        </w:rPr>
        <w:footnoteRef/>
      </w:r>
      <w:r>
        <w:tab/>
        <w:t xml:space="preserve">Закон № 328/1991 </w:t>
      </w:r>
      <w:r>
        <w:rPr>
          <w:lang w:val="en-US"/>
        </w:rPr>
        <w:t>Coll</w:t>
      </w:r>
      <w:r>
        <w:t>. о банкротстве и урегулировании с последующими поправками.</w:t>
      </w:r>
    </w:p>
    <w:p w:rsidR="00000000" w:rsidRDefault="00000000">
      <w:pPr>
        <w:pStyle w:val="FootnoteText"/>
      </w:pPr>
    </w:p>
  </w:footnote>
  <w:footnote w:id="156">
    <w:p w:rsidR="00000000" w:rsidRDefault="00000000">
      <w:pPr>
        <w:pStyle w:val="FootnoteText"/>
      </w:pPr>
      <w:r>
        <w:rPr>
          <w:rStyle w:val="FootnoteReference"/>
        </w:rPr>
        <w:footnoteRef/>
      </w:r>
      <w:r>
        <w:t xml:space="preserve"> </w:t>
      </w:r>
      <w:r>
        <w:tab/>
        <w:t xml:space="preserve">Закон № 2/1991 </w:t>
      </w:r>
      <w:r>
        <w:rPr>
          <w:lang w:val="en-US"/>
        </w:rPr>
        <w:t>Coll</w:t>
      </w:r>
      <w:r>
        <w:t>. о коллективных переговорах с последующими поправками.</w:t>
      </w:r>
    </w:p>
  </w:footnote>
  <w:footnote w:id="157">
    <w:p w:rsidR="00000000" w:rsidRDefault="00000000">
      <w:pPr>
        <w:pStyle w:val="FootnoteText"/>
      </w:pPr>
      <w:r>
        <w:rPr>
          <w:rStyle w:val="FootnoteReference"/>
        </w:rPr>
        <w:footnoteRef/>
      </w:r>
      <w:r>
        <w:t xml:space="preserve"> </w:t>
      </w:r>
      <w:r>
        <w:tab/>
        <w:t xml:space="preserve">Постановление правительства Чешской Республики № 253/1995 </w:t>
      </w:r>
      <w:r>
        <w:rPr>
          <w:lang w:val="en-US"/>
        </w:rPr>
        <w:t>Coll</w:t>
      </w:r>
      <w:r>
        <w:t xml:space="preserve">. о ставках окладов работников государственных административных органов, некоторых других органов и муниципалитетов с поправками, внесенными в соответствии с постановлением правительства № 78/1994 </w:t>
      </w:r>
      <w:r>
        <w:rPr>
          <w:lang w:val="en-US"/>
        </w:rPr>
        <w:t>Coll</w:t>
      </w:r>
      <w:r>
        <w:t xml:space="preserve">., постановлением правительства № 142/1995 </w:t>
      </w:r>
      <w:r>
        <w:rPr>
          <w:lang w:val="en-US"/>
        </w:rPr>
        <w:t>Coll</w:t>
      </w:r>
      <w:r>
        <w:t xml:space="preserve">., постановлением правительства № 71/1996 </w:t>
      </w:r>
      <w:r>
        <w:rPr>
          <w:lang w:val="en-US"/>
        </w:rPr>
        <w:t>Coll</w:t>
      </w:r>
      <w:r>
        <w:t>., постановлением правительства № 326/1996 </w:t>
      </w:r>
      <w:r>
        <w:rPr>
          <w:lang w:val="en-US"/>
        </w:rPr>
        <w:t>Coll</w:t>
      </w:r>
      <w:r>
        <w:t xml:space="preserve">., постановлением правительства № 353/1997 </w:t>
      </w:r>
      <w:r>
        <w:rPr>
          <w:lang w:val="en-US"/>
        </w:rPr>
        <w:t>Coll</w:t>
      </w:r>
      <w:r>
        <w:t xml:space="preserve">. и постановление правительства № 248/1998 </w:t>
      </w:r>
      <w:r>
        <w:rPr>
          <w:lang w:val="en-US"/>
        </w:rPr>
        <w:t>Coll</w:t>
      </w:r>
      <w:r>
        <w:t>.</w:t>
      </w:r>
    </w:p>
    <w:p w:rsidR="00000000" w:rsidRDefault="00000000">
      <w:pPr>
        <w:pStyle w:val="FootnoteText"/>
      </w:pPr>
    </w:p>
  </w:footnote>
  <w:footnote w:id="158">
    <w:p w:rsidR="00000000" w:rsidRDefault="00000000">
      <w:pPr>
        <w:pStyle w:val="FootnoteText"/>
      </w:pPr>
      <w:r>
        <w:rPr>
          <w:rStyle w:val="FootnoteReference"/>
        </w:rPr>
        <w:footnoteRef/>
      </w:r>
      <w:r>
        <w:t xml:space="preserve"> </w:t>
      </w:r>
      <w:r>
        <w:tab/>
        <w:t xml:space="preserve">Постановление правительства Чешской Республики № 86/1993 </w:t>
      </w:r>
      <w:r>
        <w:rPr>
          <w:lang w:val="en-US"/>
        </w:rPr>
        <w:t>Coll</w:t>
      </w:r>
      <w:r>
        <w:t xml:space="preserve">. о личном доходе священнослужителей церквей и религиозных объединений с поправками, внесенными постановлением правительства № 273/1995 </w:t>
      </w:r>
      <w:r>
        <w:rPr>
          <w:lang w:val="en-US"/>
        </w:rPr>
        <w:t>Coll</w:t>
      </w:r>
      <w:r>
        <w:t xml:space="preserve">. и постановлением правительства № 322/1998 </w:t>
      </w:r>
      <w:r>
        <w:rPr>
          <w:lang w:val="en-US"/>
        </w:rPr>
        <w:t>Coll</w:t>
      </w:r>
      <w:r>
        <w:t>.</w:t>
      </w:r>
    </w:p>
    <w:p w:rsidR="00000000" w:rsidRDefault="00000000">
      <w:pPr>
        <w:pStyle w:val="FootnoteText"/>
      </w:pPr>
    </w:p>
  </w:footnote>
  <w:footnote w:id="159">
    <w:p w:rsidR="00000000" w:rsidRDefault="00000000">
      <w:pPr>
        <w:pStyle w:val="FootnoteText"/>
      </w:pPr>
      <w:r>
        <w:rPr>
          <w:rStyle w:val="FootnoteReference"/>
        </w:rPr>
        <w:footnoteRef/>
      </w:r>
      <w:r>
        <w:t xml:space="preserve"> </w:t>
      </w:r>
      <w:r>
        <w:tab/>
        <w:t xml:space="preserve">Постановление правительства Чешской Республики № 48/1995 </w:t>
      </w:r>
      <w:r>
        <w:rPr>
          <w:lang w:val="en-US"/>
        </w:rPr>
        <w:t>Coll</w:t>
      </w:r>
      <w:r>
        <w:t xml:space="preserve">. об установлении размера фонда оплаты труда резервных работников бюджетных и некоторых других организаций и органов с поправками, внесенными постановлением правительства № 144/1995 </w:t>
      </w:r>
      <w:r>
        <w:rPr>
          <w:lang w:val="en-US"/>
        </w:rPr>
        <w:t>Coll</w:t>
      </w:r>
      <w:r>
        <w:t xml:space="preserve">., постановлением правительства № 209/1995 </w:t>
      </w:r>
      <w:r>
        <w:rPr>
          <w:lang w:val="en-US"/>
        </w:rPr>
        <w:t>Coll</w:t>
      </w:r>
      <w:r>
        <w:t xml:space="preserve">., постановлением правительства № 306/1995 </w:t>
      </w:r>
      <w:r>
        <w:rPr>
          <w:lang w:val="en-US"/>
        </w:rPr>
        <w:t>Coll</w:t>
      </w:r>
      <w:r>
        <w:t>., постановлением правительства № 137/1997 </w:t>
      </w:r>
      <w:r>
        <w:rPr>
          <w:lang w:val="en-US"/>
        </w:rPr>
        <w:t>Coll</w:t>
      </w:r>
      <w:r>
        <w:t xml:space="preserve">., постановлением правительства № 349/1997 </w:t>
      </w:r>
      <w:r>
        <w:rPr>
          <w:lang w:val="en-US"/>
        </w:rPr>
        <w:t>Coll</w:t>
      </w:r>
      <w:r>
        <w:t xml:space="preserve">., постановлением правительства № 319/1998 </w:t>
      </w:r>
      <w:r>
        <w:rPr>
          <w:lang w:val="en-US"/>
        </w:rPr>
        <w:t>Coll</w:t>
      </w:r>
      <w:r>
        <w:t xml:space="preserve">. и постановлением правительства № 332/1999 </w:t>
      </w:r>
      <w:r>
        <w:rPr>
          <w:lang w:val="en-US"/>
        </w:rPr>
        <w:t>Coll</w:t>
      </w:r>
      <w:r>
        <w:t>.</w:t>
      </w:r>
    </w:p>
    <w:p w:rsidR="00000000" w:rsidRDefault="00000000">
      <w:pPr>
        <w:pStyle w:val="FootnoteText"/>
      </w:pPr>
    </w:p>
  </w:footnote>
  <w:footnote w:id="160">
    <w:p w:rsidR="00000000" w:rsidRDefault="00000000">
      <w:pPr>
        <w:pStyle w:val="FootnoteText"/>
      </w:pPr>
      <w:r>
        <w:rPr>
          <w:rStyle w:val="FootnoteReference"/>
        </w:rPr>
        <w:footnoteRef/>
      </w:r>
      <w:r>
        <w:t xml:space="preserve"> </w:t>
      </w:r>
      <w:r>
        <w:tab/>
        <w:t xml:space="preserve">Постановление правительства Чешской Республики № 303/1995 </w:t>
      </w:r>
      <w:r>
        <w:rPr>
          <w:lang w:val="en-US"/>
        </w:rPr>
        <w:t>Coll</w:t>
      </w:r>
      <w:r>
        <w:t xml:space="preserve">. о минимальном размере оплаты труда с поправками, внесенными постановлениями правительства № 320/1997 </w:t>
      </w:r>
      <w:r>
        <w:rPr>
          <w:lang w:val="en-US"/>
        </w:rPr>
        <w:t>Coll</w:t>
      </w:r>
      <w:r>
        <w:t xml:space="preserve">., 317/1998 </w:t>
      </w:r>
      <w:r>
        <w:rPr>
          <w:lang w:val="en-US"/>
        </w:rPr>
        <w:t>Coll</w:t>
      </w:r>
      <w:r>
        <w:t xml:space="preserve">., 131/1999 </w:t>
      </w:r>
      <w:r>
        <w:rPr>
          <w:lang w:val="en-US"/>
        </w:rPr>
        <w:t>Coll</w:t>
      </w:r>
      <w:r>
        <w:t xml:space="preserve">. и 313/1999 </w:t>
      </w:r>
      <w:r>
        <w:rPr>
          <w:lang w:val="en-US"/>
        </w:rPr>
        <w:t>Coll</w:t>
      </w:r>
      <w:r>
        <w:t>.</w:t>
      </w:r>
    </w:p>
    <w:p w:rsidR="00000000" w:rsidRDefault="00000000">
      <w:pPr>
        <w:pStyle w:val="FootnoteText"/>
      </w:pPr>
    </w:p>
  </w:footnote>
  <w:footnote w:id="161">
    <w:p w:rsidR="00000000" w:rsidRDefault="00000000">
      <w:pPr>
        <w:pStyle w:val="FootnoteText"/>
      </w:pPr>
      <w:r>
        <w:rPr>
          <w:rStyle w:val="FootnoteReference"/>
        </w:rPr>
        <w:footnoteRef/>
      </w:r>
      <w:r>
        <w:t xml:space="preserve"> </w:t>
      </w:r>
      <w:r>
        <w:tab/>
        <w:t xml:space="preserve">Постановление правительства № 108/1994 </w:t>
      </w:r>
      <w:r>
        <w:rPr>
          <w:lang w:val="en-US"/>
        </w:rPr>
        <w:t>Coll</w:t>
      </w:r>
      <w:r>
        <w:t>. о введении в действие Трудового кодекса.</w:t>
      </w:r>
    </w:p>
    <w:p w:rsidR="00000000" w:rsidRDefault="00000000">
      <w:pPr>
        <w:pStyle w:val="FootnoteText"/>
      </w:pPr>
    </w:p>
  </w:footnote>
  <w:footnote w:id="162">
    <w:p w:rsidR="00000000" w:rsidRDefault="00000000">
      <w:pPr>
        <w:pStyle w:val="FootnoteText"/>
      </w:pPr>
      <w:r>
        <w:rPr>
          <w:rStyle w:val="FootnoteReference"/>
        </w:rPr>
        <w:footnoteRef/>
      </w:r>
      <w:r>
        <w:t xml:space="preserve"> </w:t>
      </w:r>
      <w:r>
        <w:tab/>
        <w:t xml:space="preserve">Постановление правительства Чешской Республики № 333/1993 </w:t>
      </w:r>
      <w:r>
        <w:rPr>
          <w:lang w:val="en-US"/>
        </w:rPr>
        <w:t>Coll</w:t>
      </w:r>
      <w:r>
        <w:t xml:space="preserve">. об установлении минимального размера оплаты труда и надбавок к заработной плате за работу в тяжелых или вредных для здоровья условиях и за работу в ночное время с поправками, внесенными постановлениями правительства № 308/1995 </w:t>
      </w:r>
      <w:r>
        <w:rPr>
          <w:lang w:val="en-US"/>
        </w:rPr>
        <w:t>Coll</w:t>
      </w:r>
      <w:r>
        <w:t>., 356/1997 </w:t>
      </w:r>
      <w:r>
        <w:rPr>
          <w:lang w:val="en-US"/>
        </w:rPr>
        <w:t>Coll</w:t>
      </w:r>
      <w:r>
        <w:t xml:space="preserve">., 318/1998 </w:t>
      </w:r>
      <w:r>
        <w:rPr>
          <w:lang w:val="en-US"/>
        </w:rPr>
        <w:t>Coll</w:t>
      </w:r>
      <w:r>
        <w:t xml:space="preserve">., 312/1999 </w:t>
      </w:r>
      <w:r>
        <w:rPr>
          <w:lang w:val="en-US"/>
        </w:rPr>
        <w:t>Coll</w:t>
      </w:r>
      <w:r>
        <w:t xml:space="preserve">. и 132/1999 </w:t>
      </w:r>
      <w:r>
        <w:rPr>
          <w:lang w:val="en-US"/>
        </w:rPr>
        <w:t>Coll</w:t>
      </w:r>
      <w:r>
        <w:t>.</w:t>
      </w:r>
    </w:p>
    <w:p w:rsidR="00000000" w:rsidRDefault="00000000">
      <w:pPr>
        <w:pStyle w:val="FootnoteText"/>
      </w:pPr>
    </w:p>
  </w:footnote>
  <w:footnote w:id="163">
    <w:p w:rsidR="00000000" w:rsidRDefault="00000000">
      <w:pPr>
        <w:pStyle w:val="FootnoteText"/>
      </w:pPr>
      <w:r>
        <w:rPr>
          <w:rStyle w:val="FootnoteReference"/>
        </w:rPr>
        <w:footnoteRef/>
      </w:r>
      <w:r>
        <w:t xml:space="preserve"> </w:t>
      </w:r>
      <w:r>
        <w:tab/>
        <w:t xml:space="preserve">Постановление правительства Чешской Республики № 252/1992 </w:t>
      </w:r>
      <w:r>
        <w:rPr>
          <w:lang w:val="en-US"/>
        </w:rPr>
        <w:t>Coll</w:t>
      </w:r>
      <w:r>
        <w:t xml:space="preserve">. о порядке выплаты и размере специальной надбавки за работу в тяжелых и вредных для здоровья условиях с поправками, внесенными постановлением правительства № 77/1994 </w:t>
      </w:r>
      <w:r>
        <w:rPr>
          <w:lang w:val="en-US"/>
        </w:rPr>
        <w:t>Coll</w:t>
      </w:r>
      <w:r>
        <w:t>.</w:t>
      </w:r>
    </w:p>
    <w:p w:rsidR="00000000" w:rsidRDefault="00000000">
      <w:pPr>
        <w:pStyle w:val="FootnoteText"/>
      </w:pPr>
    </w:p>
  </w:footnote>
  <w:footnote w:id="164">
    <w:p w:rsidR="00000000" w:rsidRDefault="00000000">
      <w:pPr>
        <w:pStyle w:val="FootnoteText"/>
      </w:pPr>
      <w:r>
        <w:rPr>
          <w:rStyle w:val="FootnoteReference"/>
        </w:rPr>
        <w:footnoteRef/>
      </w:r>
      <w:r>
        <w:t xml:space="preserve"> </w:t>
      </w:r>
      <w:r>
        <w:tab/>
        <w:t xml:space="preserve">Постановление правительства Чешской Республики № 63/1998 </w:t>
      </w:r>
      <w:r>
        <w:rPr>
          <w:lang w:val="en-US"/>
        </w:rPr>
        <w:t>Coll</w:t>
      </w:r>
      <w:r>
        <w:t>. о порядке расчета основной суммы ежемесячной заработной платы, из которой не допускаются удержания по исполнительному листу, и об установлении суммы, сверх которой удержания из заработка могут производиться без ограничений.</w:t>
      </w:r>
    </w:p>
    <w:p w:rsidR="00000000" w:rsidRDefault="00000000">
      <w:pPr>
        <w:pStyle w:val="FootnoteText"/>
      </w:pPr>
    </w:p>
  </w:footnote>
  <w:footnote w:id="165">
    <w:p w:rsidR="00000000" w:rsidRDefault="00000000">
      <w:pPr>
        <w:pStyle w:val="FootnoteText"/>
      </w:pPr>
      <w:r>
        <w:rPr>
          <w:rStyle w:val="FootnoteReference"/>
        </w:rPr>
        <w:footnoteRef/>
      </w:r>
      <w:r>
        <w:t xml:space="preserve"> </w:t>
      </w:r>
      <w:r>
        <w:tab/>
        <w:t xml:space="preserve">Постановление правительства Чешской Республики № 251/1992 </w:t>
      </w:r>
      <w:r>
        <w:rPr>
          <w:lang w:val="en-US"/>
        </w:rPr>
        <w:t>Coll</w:t>
      </w:r>
      <w:r>
        <w:t>. об окладах военнослужащих работников бюджетных и некоторых других организаций с последующими поправками.</w:t>
      </w:r>
    </w:p>
    <w:p w:rsidR="00000000" w:rsidRDefault="00000000">
      <w:pPr>
        <w:pStyle w:val="FootnoteText"/>
      </w:pPr>
    </w:p>
  </w:footnote>
  <w:footnote w:id="166">
    <w:p w:rsidR="00000000" w:rsidRDefault="00000000">
      <w:pPr>
        <w:pStyle w:val="FootnoteText"/>
      </w:pPr>
      <w:r>
        <w:rPr>
          <w:rStyle w:val="FootnoteReference"/>
        </w:rPr>
        <w:footnoteRef/>
      </w:r>
      <w:r>
        <w:t xml:space="preserve"> </w:t>
      </w:r>
      <w:r>
        <w:tab/>
        <w:t xml:space="preserve">Постановление правительства Чешской Республики № 79/1994 </w:t>
      </w:r>
      <w:r>
        <w:rPr>
          <w:lang w:val="en-US"/>
        </w:rPr>
        <w:t>Coll</w:t>
      </w:r>
      <w:r>
        <w:t>. об окладах военнослужащих вооруженных сил и работников сил и служб безопасности, таможенных органов, пожарной охраны и некоторых других организаций с последующими поправками.</w:t>
      </w:r>
    </w:p>
    <w:p w:rsidR="00000000" w:rsidRDefault="00000000">
      <w:pPr>
        <w:pStyle w:val="FootnoteText"/>
      </w:pPr>
    </w:p>
  </w:footnote>
  <w:footnote w:id="167">
    <w:p w:rsidR="00000000" w:rsidRDefault="00000000">
      <w:pPr>
        <w:pStyle w:val="FootnoteText"/>
      </w:pPr>
      <w:r>
        <w:rPr>
          <w:rStyle w:val="FootnoteReference"/>
        </w:rPr>
        <w:footnoteRef/>
      </w:r>
      <w:r>
        <w:tab/>
        <w:t>До настоящего времени работник, получающий минимальную заработную плату, с учетом отчислений по социальному страхованию и медицинскому страхованию и авансовых удержаний подоходного налога с физических лиц получал заработную плату ниже прожиточного минимума.</w:t>
      </w:r>
    </w:p>
  </w:footnote>
  <w:footnote w:id="168">
    <w:p w:rsidR="00000000" w:rsidRDefault="00000000">
      <w:pPr>
        <w:pStyle w:val="FootnoteText"/>
      </w:pPr>
      <w:r>
        <w:rPr>
          <w:rStyle w:val="FootnoteReference"/>
        </w:rPr>
        <w:footnoteRef/>
      </w:r>
      <w:r>
        <w:t xml:space="preserve"> </w:t>
      </w:r>
      <w:r>
        <w:tab/>
        <w:t>Постановление правительства Чешской Республики от 5 августа 1998 года № 504 о программном заявлении правительства.</w:t>
      </w:r>
    </w:p>
    <w:p w:rsidR="00000000" w:rsidRDefault="00000000">
      <w:pPr>
        <w:pStyle w:val="FootnoteText"/>
      </w:pPr>
    </w:p>
  </w:footnote>
  <w:footnote w:id="169">
    <w:p w:rsidR="00000000" w:rsidRDefault="00000000">
      <w:pPr>
        <w:pStyle w:val="FootnoteText"/>
      </w:pPr>
      <w:r>
        <w:rPr>
          <w:rStyle w:val="FootnoteReference"/>
        </w:rPr>
        <w:footnoteRef/>
      </w:r>
      <w:r>
        <w:t xml:space="preserve"> </w:t>
      </w:r>
      <w:r>
        <w:tab/>
        <w:t xml:space="preserve">В соответствии с постановлением правительства № 333/1993 </w:t>
      </w:r>
      <w:r>
        <w:rPr>
          <w:lang w:val="en-US"/>
        </w:rPr>
        <w:t>Coll</w:t>
      </w:r>
      <w:r>
        <w:t>. об установлении минимального размера оплаты труда и надбавках к заработной плате за работу в тяжелых или вредных для здоровья условиях и работу в ночное время, с последующими поправками.</w:t>
      </w:r>
    </w:p>
    <w:p w:rsidR="00000000" w:rsidRDefault="00000000">
      <w:pPr>
        <w:pStyle w:val="FootnoteText"/>
      </w:pPr>
    </w:p>
  </w:footnote>
  <w:footnote w:id="170">
    <w:p w:rsidR="00000000" w:rsidRDefault="00000000">
      <w:pPr>
        <w:pStyle w:val="FootnoteText"/>
      </w:pPr>
      <w:r>
        <w:rPr>
          <w:rStyle w:val="FootnoteReference"/>
        </w:rPr>
        <w:footnoteRef/>
      </w:r>
      <w:r>
        <w:t xml:space="preserve"> </w:t>
      </w:r>
      <w:r>
        <w:tab/>
        <w:t xml:space="preserve">Закон № 463/1991 </w:t>
      </w:r>
      <w:r>
        <w:rPr>
          <w:lang w:val="en-US"/>
        </w:rPr>
        <w:t>Coll</w:t>
      </w:r>
      <w:r>
        <w:t xml:space="preserve">. о прожиточном минимуме с внесенными в него позднее поправками.  Размер прожиточного минимума последний раз был изменен законом № 42/1998 </w:t>
      </w:r>
      <w:r>
        <w:rPr>
          <w:lang w:val="en-US"/>
        </w:rPr>
        <w:t>Coll</w:t>
      </w:r>
      <w:r>
        <w:t>., в соответствии с которым сумма прожиточного минимума была увеличена.  Подробнее см. раздел по статье 11 Пакта.</w:t>
      </w:r>
    </w:p>
  </w:footnote>
  <w:footnote w:id="171">
    <w:p w:rsidR="00000000" w:rsidRDefault="00000000">
      <w:pPr>
        <w:pStyle w:val="FootnoteText"/>
      </w:pPr>
      <w:r>
        <w:rPr>
          <w:rStyle w:val="FootnoteReference"/>
        </w:rPr>
        <w:footnoteRef/>
      </w:r>
      <w:r>
        <w:t xml:space="preserve"> </w:t>
      </w:r>
      <w:r>
        <w:tab/>
        <w:t xml:space="preserve">30 ноября 1999 года министерство труда и социальных дел представило на рассмотрение правительства следующие законопроекты:  а)  проект закона о внесении поправок в закон № 65/1965 </w:t>
      </w:r>
      <w:r>
        <w:rPr>
          <w:lang w:val="en-US"/>
        </w:rPr>
        <w:t>Coll</w:t>
      </w:r>
      <w:r>
        <w:t xml:space="preserve">., Трудовой кодекс, с последующими поправками, и некоторые другие законы (принят Палатой депутатов парламента 18 апреля 2000 года);  </w:t>
      </w:r>
      <w:r>
        <w:rPr>
          <w:lang w:val="en-US"/>
        </w:rPr>
        <w:t>b</w:t>
      </w:r>
      <w:r>
        <w:t xml:space="preserve">)  проект закона № 1/1992 </w:t>
      </w:r>
      <w:r>
        <w:rPr>
          <w:lang w:val="en-US"/>
        </w:rPr>
        <w:t>Coll</w:t>
      </w:r>
      <w:r>
        <w:t>. о заработной плате, оплате резервных работников и среднем заработке, с внесенными в него впоследствии поправками;  с)  проект закона № 143/1992 </w:t>
      </w:r>
      <w:r>
        <w:rPr>
          <w:lang w:val="en-US"/>
        </w:rPr>
        <w:t>Coll</w:t>
      </w:r>
      <w:r>
        <w:t>. о заработной плате и оплате резервных работников бюджетных и некоторых других органов и организаций, с внесенными в него впоследствии поправками.</w:t>
      </w:r>
    </w:p>
  </w:footnote>
  <w:footnote w:id="172">
    <w:p w:rsidR="00000000" w:rsidRDefault="00000000">
      <w:pPr>
        <w:pStyle w:val="FootnoteText"/>
      </w:pPr>
      <w:r>
        <w:rPr>
          <w:rStyle w:val="FootnoteReference"/>
        </w:rPr>
        <w:footnoteRef/>
      </w:r>
      <w:r>
        <w:t xml:space="preserve"> </w:t>
      </w:r>
      <w:r>
        <w:tab/>
        <w:t xml:space="preserve">Закон № 328/1999 </w:t>
      </w:r>
      <w:r>
        <w:rPr>
          <w:lang w:val="en-US"/>
        </w:rPr>
        <w:t>Coll</w:t>
      </w:r>
      <w:r>
        <w:t>. о банкротстве и урегулировании, с последующими поправками.</w:t>
      </w:r>
    </w:p>
    <w:p w:rsidR="00000000" w:rsidRDefault="00000000">
      <w:pPr>
        <w:pStyle w:val="FootnoteText"/>
      </w:pPr>
    </w:p>
  </w:footnote>
  <w:footnote w:id="173">
    <w:p w:rsidR="00000000" w:rsidRDefault="00000000">
      <w:pPr>
        <w:pStyle w:val="FootnoteText"/>
      </w:pPr>
      <w:r>
        <w:rPr>
          <w:rStyle w:val="FootnoteReference"/>
        </w:rPr>
        <w:footnoteRef/>
      </w:r>
      <w:r>
        <w:t xml:space="preserve"> </w:t>
      </w:r>
      <w:r>
        <w:tab/>
        <w:t>Постановление правительства Чешской Республики от 15 ноября 1999 года  № 1209, приложение - обзор законодательных предложений, в соответствии с которыми правительство непосредственно ответит на очередной доклад Европейской комиссии 1999 года по Чешской Республике.  Парламент ЧР принял этот закон в марте 2000 года.</w:t>
      </w:r>
    </w:p>
    <w:p w:rsidR="00000000" w:rsidRDefault="00000000">
      <w:pPr>
        <w:pStyle w:val="FootnoteText"/>
      </w:pPr>
    </w:p>
  </w:footnote>
  <w:footnote w:id="174">
    <w:p w:rsidR="00000000" w:rsidRDefault="00000000">
      <w:pPr>
        <w:pStyle w:val="FootnoteText"/>
      </w:pPr>
      <w:r>
        <w:rPr>
          <w:rStyle w:val="FootnoteReference"/>
        </w:rPr>
        <w:footnoteRef/>
      </w:r>
      <w:r>
        <w:t xml:space="preserve"> </w:t>
      </w:r>
      <w:r>
        <w:tab/>
        <w:t>Вопросы защиты работников в случае неплатежеспособности работодателя регламентируются в директиве Совета ЕС № 80/987/ЕЕС от 20 октября 1980 года.</w:t>
      </w:r>
    </w:p>
    <w:p w:rsidR="00000000" w:rsidRDefault="00000000">
      <w:pPr>
        <w:pStyle w:val="FootnoteText"/>
      </w:pPr>
    </w:p>
  </w:footnote>
  <w:footnote w:id="175">
    <w:p w:rsidR="00000000" w:rsidRDefault="00000000">
      <w:pPr>
        <w:pStyle w:val="FootnoteText"/>
      </w:pPr>
      <w:r>
        <w:rPr>
          <w:rStyle w:val="FootnoteReference"/>
        </w:rPr>
        <w:footnoteRef/>
      </w:r>
      <w:r>
        <w:t xml:space="preserve"> </w:t>
      </w:r>
      <w:r>
        <w:tab/>
        <w:t xml:space="preserve">Закон № 174/1968 </w:t>
      </w:r>
      <w:r>
        <w:rPr>
          <w:lang w:val="en-US"/>
        </w:rPr>
        <w:t>Coll</w:t>
      </w:r>
      <w:r>
        <w:t xml:space="preserve">. о государственном специализированном контроле за безопасностью труда с последующими поправками, в частности внесенными законом № 47/1994 </w:t>
      </w:r>
      <w:r>
        <w:rPr>
          <w:lang w:val="en-US"/>
        </w:rPr>
        <w:t>Coll</w:t>
      </w:r>
      <w:r>
        <w:t>.</w:t>
      </w:r>
    </w:p>
    <w:p w:rsidR="00000000" w:rsidRDefault="00000000">
      <w:pPr>
        <w:pStyle w:val="FootnoteText"/>
      </w:pPr>
    </w:p>
  </w:footnote>
  <w:footnote w:id="176">
    <w:p w:rsidR="00000000" w:rsidRDefault="00000000">
      <w:pPr>
        <w:pStyle w:val="FootnoteText"/>
      </w:pPr>
      <w:r>
        <w:rPr>
          <w:rStyle w:val="FootnoteReference"/>
        </w:rPr>
        <w:footnoteRef/>
      </w:r>
      <w:r>
        <w:t xml:space="preserve"> </w:t>
      </w:r>
      <w:r>
        <w:tab/>
        <w:t xml:space="preserve">Закон № 20/1966 </w:t>
      </w:r>
      <w:r>
        <w:rPr>
          <w:lang w:val="en-US"/>
        </w:rPr>
        <w:t>Coll</w:t>
      </w:r>
      <w:r>
        <w:t>. о здравоохранении, с последующими поправками.</w:t>
      </w:r>
    </w:p>
    <w:p w:rsidR="00000000" w:rsidRDefault="00000000">
      <w:pPr>
        <w:pStyle w:val="FootnoteText"/>
      </w:pPr>
    </w:p>
  </w:footnote>
  <w:footnote w:id="177">
    <w:p w:rsidR="00000000" w:rsidRDefault="00000000">
      <w:pPr>
        <w:pStyle w:val="FootnoteText"/>
      </w:pPr>
      <w:r>
        <w:rPr>
          <w:rStyle w:val="FootnoteReference"/>
        </w:rPr>
        <w:footnoteRef/>
      </w:r>
      <w:r>
        <w:t xml:space="preserve"> </w:t>
      </w:r>
      <w:r>
        <w:tab/>
        <w:t xml:space="preserve">Закон № 61/1988 </w:t>
      </w:r>
      <w:r>
        <w:rPr>
          <w:lang w:val="en-US"/>
        </w:rPr>
        <w:t>Coll</w:t>
      </w:r>
      <w:r>
        <w:t>. о горных работах, взрывчатых веществах и Государственном горном управлении, с последующими поправками.</w:t>
      </w:r>
    </w:p>
    <w:p w:rsidR="00000000" w:rsidRDefault="00000000">
      <w:pPr>
        <w:pStyle w:val="FootnoteText"/>
      </w:pPr>
    </w:p>
  </w:footnote>
  <w:footnote w:id="178">
    <w:p w:rsidR="00000000" w:rsidRDefault="00000000">
      <w:pPr>
        <w:pStyle w:val="FootnoteText"/>
      </w:pPr>
      <w:r>
        <w:rPr>
          <w:rStyle w:val="FootnoteReference"/>
        </w:rPr>
        <w:footnoteRef/>
      </w:r>
      <w:r>
        <w:t xml:space="preserve"> </w:t>
      </w:r>
      <w:r>
        <w:tab/>
        <w:t xml:space="preserve">Приказ министра здравоохранения № 45/1966 </w:t>
      </w:r>
      <w:r>
        <w:rPr>
          <w:lang w:val="en-US"/>
        </w:rPr>
        <w:t>Coll</w:t>
      </w:r>
      <w:r>
        <w:t>. об обеспечении и защите здоровых условий жизни, с последующими поправками.</w:t>
      </w:r>
    </w:p>
    <w:p w:rsidR="00000000" w:rsidRDefault="00000000">
      <w:pPr>
        <w:pStyle w:val="FootnoteText"/>
      </w:pPr>
    </w:p>
  </w:footnote>
  <w:footnote w:id="179">
    <w:p w:rsidR="00000000" w:rsidRDefault="00000000">
      <w:pPr>
        <w:pStyle w:val="FootnoteText"/>
      </w:pPr>
      <w:r>
        <w:rPr>
          <w:rStyle w:val="FootnoteReference"/>
        </w:rPr>
        <w:footnoteRef/>
      </w:r>
      <w:r>
        <w:t xml:space="preserve"> </w:t>
      </w:r>
      <w:r>
        <w:tab/>
        <w:t xml:space="preserve">Распоряжение Чешского бюро безопасности труда и Чешского горного бюро № 110/1975 </w:t>
      </w:r>
      <w:r>
        <w:rPr>
          <w:lang w:val="en-US"/>
        </w:rPr>
        <w:t>Coll</w:t>
      </w:r>
      <w:r>
        <w:t>. о регистре и регистрации производственных травм и представлении сведений о несчастных случаях на производствах и выходе из строя оборудования, с последующими поправками.</w:t>
      </w:r>
    </w:p>
    <w:p w:rsidR="00000000" w:rsidRDefault="00000000">
      <w:pPr>
        <w:pStyle w:val="FootnoteText"/>
      </w:pPr>
    </w:p>
  </w:footnote>
  <w:footnote w:id="180">
    <w:p w:rsidR="00000000" w:rsidRDefault="00000000">
      <w:pPr>
        <w:pStyle w:val="FootnoteText"/>
      </w:pPr>
      <w:r>
        <w:rPr>
          <w:rStyle w:val="FootnoteReference"/>
        </w:rPr>
        <w:footnoteRef/>
      </w:r>
      <w:r>
        <w:t xml:space="preserve"> </w:t>
      </w:r>
      <w:r>
        <w:tab/>
        <w:t xml:space="preserve">Приказ министра труда и социальных дел ЧР № 204/1994 </w:t>
      </w:r>
      <w:r>
        <w:rPr>
          <w:lang w:val="en-US"/>
        </w:rPr>
        <w:t>Coll</w:t>
      </w:r>
      <w:r>
        <w:t xml:space="preserve">. об утверждении перечня и порядка предоставления индивидуальных средств защиты и моющих, чистящих и дезинфицирующих средств, с поправками, внесенными приказом № 279/1998 </w:t>
      </w:r>
      <w:r>
        <w:rPr>
          <w:lang w:val="en-US"/>
        </w:rPr>
        <w:t>Coll</w:t>
      </w:r>
      <w:r>
        <w:t>.</w:t>
      </w:r>
    </w:p>
    <w:p w:rsidR="00000000" w:rsidRDefault="00000000">
      <w:pPr>
        <w:pStyle w:val="FootnoteText"/>
      </w:pPr>
    </w:p>
  </w:footnote>
  <w:footnote w:id="181">
    <w:p w:rsidR="00000000" w:rsidRDefault="00000000">
      <w:pPr>
        <w:pStyle w:val="FootnoteText"/>
      </w:pPr>
      <w:r>
        <w:rPr>
          <w:rStyle w:val="FootnoteReference"/>
        </w:rPr>
        <w:footnoteRef/>
      </w:r>
      <w:r>
        <w:t xml:space="preserve"> </w:t>
      </w:r>
      <w:r>
        <w:tab/>
        <w:t xml:space="preserve">Распоряжение Чешского бюро безопасности труда № 48/1982 </w:t>
      </w:r>
      <w:r>
        <w:rPr>
          <w:lang w:val="en-US"/>
        </w:rPr>
        <w:t>Coll</w:t>
      </w:r>
      <w:r>
        <w:t>. об установлении основных требований к обеспечению безопасности труда и оборудования, с последующими поправками.</w:t>
      </w:r>
    </w:p>
    <w:p w:rsidR="00000000" w:rsidRDefault="00000000">
      <w:pPr>
        <w:pStyle w:val="FootnoteText"/>
      </w:pPr>
    </w:p>
  </w:footnote>
  <w:footnote w:id="182">
    <w:p w:rsidR="00000000" w:rsidRDefault="00000000">
      <w:pPr>
        <w:pStyle w:val="FootnoteText"/>
      </w:pPr>
      <w:r>
        <w:rPr>
          <w:rStyle w:val="FootnoteReference"/>
        </w:rPr>
        <w:footnoteRef/>
      </w:r>
      <w:r>
        <w:t xml:space="preserve"> </w:t>
      </w:r>
      <w:r>
        <w:tab/>
        <w:t>В подготавливаемых поправках к Трудовому кодексу рабочее время и отпуск регламентируют соответствие с директивой Совета ЕС о некоторых аспектах установления рабочего времени (93/104/ЕС).</w:t>
      </w:r>
    </w:p>
    <w:p w:rsidR="00000000" w:rsidRDefault="00000000">
      <w:pPr>
        <w:pStyle w:val="FootnoteText"/>
      </w:pPr>
    </w:p>
  </w:footnote>
  <w:footnote w:id="183">
    <w:p w:rsidR="00000000" w:rsidRDefault="00000000">
      <w:pPr>
        <w:pStyle w:val="FootnoteText"/>
      </w:pPr>
      <w:r>
        <w:rPr>
          <w:rStyle w:val="FootnoteReference"/>
        </w:rPr>
        <w:footnoteRef/>
      </w:r>
      <w:r>
        <w:t xml:space="preserve"> </w:t>
      </w:r>
      <w:r>
        <w:tab/>
        <w:t xml:space="preserve">Приказ министра труда и социальных дел № 63/1968 </w:t>
      </w:r>
      <w:r>
        <w:rPr>
          <w:lang w:val="en-US"/>
        </w:rPr>
        <w:t>Coll</w:t>
      </w:r>
      <w:r>
        <w:t xml:space="preserve">. о принципах введения сокращенной рабочей недели и режимов работы с пятидневной рабочей неделей с поправками, предусмотренными в распоряжении № 200/1968 </w:t>
      </w:r>
      <w:r>
        <w:rPr>
          <w:lang w:val="en-US"/>
        </w:rPr>
        <w:t>Coll</w:t>
      </w:r>
      <w:r>
        <w:t>., и другими поправками и дополнениями.</w:t>
      </w:r>
    </w:p>
    <w:p w:rsidR="00000000" w:rsidRDefault="00000000">
      <w:pPr>
        <w:pStyle w:val="FootnoteText"/>
      </w:pPr>
    </w:p>
  </w:footnote>
  <w:footnote w:id="184">
    <w:p w:rsidR="00000000" w:rsidRDefault="00000000">
      <w:pPr>
        <w:pStyle w:val="FootnoteText"/>
      </w:pPr>
      <w:r>
        <w:rPr>
          <w:rStyle w:val="FootnoteReference"/>
        </w:rPr>
        <w:footnoteRef/>
      </w:r>
      <w:r>
        <w:t xml:space="preserve"> </w:t>
      </w:r>
      <w:r>
        <w:tab/>
        <w:t xml:space="preserve">Закон № 93/1951 </w:t>
      </w:r>
      <w:r>
        <w:rPr>
          <w:lang w:val="en-US"/>
        </w:rPr>
        <w:t>Coll</w:t>
      </w:r>
      <w:r>
        <w:t>. о выходных днях, нерабочих днях и памятных и знаменательных датах с последующими поправками.</w:t>
      </w:r>
    </w:p>
    <w:p w:rsidR="00000000" w:rsidRDefault="00000000">
      <w:pPr>
        <w:pStyle w:val="FootnoteText"/>
      </w:pPr>
    </w:p>
  </w:footnote>
  <w:footnote w:id="185">
    <w:p w:rsidR="00000000" w:rsidRDefault="00000000">
      <w:pPr>
        <w:pStyle w:val="FootnoteText"/>
      </w:pPr>
      <w:r>
        <w:rPr>
          <w:rStyle w:val="FootnoteReference"/>
        </w:rPr>
        <w:footnoteRef/>
      </w:r>
      <w:r>
        <w:t xml:space="preserve"> </w:t>
      </w:r>
      <w:r>
        <w:tab/>
        <w:t xml:space="preserve">Закон № 1/1992 </w:t>
      </w:r>
      <w:r>
        <w:rPr>
          <w:lang w:val="en-US"/>
        </w:rPr>
        <w:t>Coll</w:t>
      </w:r>
      <w:r>
        <w:t>. о заработной плате, о плате резервных работников и средних заработках с последующими поправками.</w:t>
      </w:r>
    </w:p>
    <w:p w:rsidR="00000000" w:rsidRDefault="00000000">
      <w:pPr>
        <w:pStyle w:val="FootnoteText"/>
      </w:pPr>
    </w:p>
    <w:p w:rsidR="00000000" w:rsidRDefault="00000000">
      <w:pPr>
        <w:pStyle w:val="FootnoteText"/>
      </w:pPr>
    </w:p>
  </w:footnote>
  <w:footnote w:id="186">
    <w:p w:rsidR="00000000" w:rsidRDefault="00000000">
      <w:pPr>
        <w:pStyle w:val="FootnoteText"/>
      </w:pPr>
      <w:r>
        <w:rPr>
          <w:rStyle w:val="FootnoteReference"/>
        </w:rPr>
        <w:footnoteRef/>
      </w:r>
      <w:r>
        <w:t xml:space="preserve"> </w:t>
      </w:r>
      <w:r>
        <w:tab/>
        <w:t xml:space="preserve">Закон № 143/1992 </w:t>
      </w:r>
      <w:r>
        <w:rPr>
          <w:lang w:val="en-US"/>
        </w:rPr>
        <w:t>Coll</w:t>
      </w:r>
      <w:r>
        <w:t>.. о заработной плате и оплате резервных работников бюджетных и некоторых других органов и организаций с  последующими поправками.</w:t>
      </w:r>
    </w:p>
    <w:p w:rsidR="00000000" w:rsidRDefault="00000000">
      <w:pPr>
        <w:pStyle w:val="FootnoteText"/>
      </w:pPr>
    </w:p>
  </w:footnote>
  <w:footnote w:id="187">
    <w:p w:rsidR="00000000" w:rsidRDefault="00000000">
      <w:pPr>
        <w:pStyle w:val="FootnoteText"/>
      </w:pPr>
      <w:r>
        <w:rPr>
          <w:rStyle w:val="FootnoteReference"/>
        </w:rPr>
        <w:footnoteRef/>
      </w:r>
      <w:r>
        <w:t xml:space="preserve"> </w:t>
      </w:r>
      <w:r>
        <w:tab/>
        <w:t>Закон № 83/1990 С</w:t>
      </w:r>
      <w:r>
        <w:rPr>
          <w:lang w:val="en-US"/>
        </w:rPr>
        <w:t>oll</w:t>
      </w:r>
      <w:r>
        <w:t>. об объединениях граждан с последующими поправками, в частности внесенными на основании закона № 300/1990 С</w:t>
      </w:r>
      <w:r>
        <w:rPr>
          <w:lang w:val="en-US"/>
        </w:rPr>
        <w:t>oll</w:t>
      </w:r>
      <w:r>
        <w:t>., закона № 513/1991 С</w:t>
      </w:r>
      <w:r>
        <w:rPr>
          <w:lang w:val="en-US"/>
        </w:rPr>
        <w:t>oll</w:t>
      </w:r>
      <w:r>
        <w:t>. и закона № 68/1993 С</w:t>
      </w:r>
      <w:r>
        <w:rPr>
          <w:lang w:val="en-US"/>
        </w:rPr>
        <w:t>oll</w:t>
      </w:r>
      <w:r>
        <w:t>.</w:t>
      </w:r>
    </w:p>
    <w:p w:rsidR="00000000" w:rsidRDefault="00000000">
      <w:pPr>
        <w:pStyle w:val="FootnoteText"/>
      </w:pPr>
    </w:p>
  </w:footnote>
  <w:footnote w:id="188">
    <w:p w:rsidR="00000000" w:rsidRDefault="00000000">
      <w:pPr>
        <w:pStyle w:val="FootnoteText"/>
      </w:pPr>
      <w:r>
        <w:rPr>
          <w:rStyle w:val="FootnoteReference"/>
        </w:rPr>
        <w:footnoteRef/>
      </w:r>
      <w:r>
        <w:t xml:space="preserve"> </w:t>
      </w:r>
      <w:r>
        <w:tab/>
        <w:t>Уведомление федерального министерства иностранных дел № 489/1990 </w:t>
      </w:r>
      <w:r>
        <w:rPr>
          <w:lang w:val="en-US"/>
        </w:rPr>
        <w:t>Coll</w:t>
      </w:r>
      <w:r>
        <w:t>., Конвенция о свободе ассоциации и защите права на организацию.</w:t>
      </w:r>
    </w:p>
    <w:p w:rsidR="00000000" w:rsidRDefault="00000000">
      <w:pPr>
        <w:pStyle w:val="FootnoteText"/>
      </w:pPr>
    </w:p>
  </w:footnote>
  <w:footnote w:id="189">
    <w:p w:rsidR="00000000" w:rsidRDefault="00000000">
      <w:pPr>
        <w:pStyle w:val="FootnoteText"/>
      </w:pPr>
      <w:r>
        <w:rPr>
          <w:rStyle w:val="FootnoteReference"/>
        </w:rPr>
        <w:footnoteRef/>
      </w:r>
      <w:r>
        <w:t xml:space="preserve"> </w:t>
      </w:r>
      <w:r>
        <w:tab/>
        <w:t>Уведомление федерального министерства иностранных дел № 470/1990 </w:t>
      </w:r>
      <w:r>
        <w:rPr>
          <w:lang w:val="en-US"/>
        </w:rPr>
        <w:t>Coll</w:t>
      </w:r>
      <w:r>
        <w:t>., Конвенция о праве на организацию и на ведение коллективных переговоров.</w:t>
      </w:r>
    </w:p>
    <w:p w:rsidR="00000000" w:rsidRDefault="00000000">
      <w:pPr>
        <w:pStyle w:val="FootnoteText"/>
      </w:pPr>
    </w:p>
  </w:footnote>
  <w:footnote w:id="190">
    <w:p w:rsidR="00000000" w:rsidRDefault="00000000">
      <w:pPr>
        <w:pStyle w:val="FootnoteText"/>
      </w:pPr>
      <w:r>
        <w:rPr>
          <w:rStyle w:val="FootnoteReference"/>
        </w:rPr>
        <w:footnoteRef/>
      </w:r>
      <w:r>
        <w:t xml:space="preserve"> </w:t>
      </w:r>
      <w:r>
        <w:tab/>
        <w:t xml:space="preserve">Закон № 100/1988 </w:t>
      </w:r>
      <w:r>
        <w:rPr>
          <w:lang w:val="en-US"/>
        </w:rPr>
        <w:t>Coll</w:t>
      </w:r>
      <w:r>
        <w:t>. о социальном обеспечении с последующими поправками.</w:t>
      </w:r>
    </w:p>
    <w:p w:rsidR="00000000" w:rsidRDefault="00000000">
      <w:pPr>
        <w:pStyle w:val="FootnoteText"/>
      </w:pPr>
    </w:p>
  </w:footnote>
  <w:footnote w:id="191">
    <w:p w:rsidR="00000000" w:rsidRDefault="00000000">
      <w:pPr>
        <w:pStyle w:val="FootnoteText"/>
      </w:pPr>
      <w:r>
        <w:rPr>
          <w:rStyle w:val="FootnoteReference"/>
        </w:rPr>
        <w:footnoteRef/>
      </w:r>
      <w:r>
        <w:t xml:space="preserve"> </w:t>
      </w:r>
      <w:r>
        <w:tab/>
        <w:t xml:space="preserve">Закон № 117/1995 </w:t>
      </w:r>
      <w:r>
        <w:rPr>
          <w:lang w:val="en-US"/>
        </w:rPr>
        <w:t>Coll</w:t>
      </w:r>
      <w:r>
        <w:t>. о государственной социальной помощи с последующими поправками.</w:t>
      </w:r>
    </w:p>
    <w:p w:rsidR="00000000" w:rsidRDefault="00000000">
      <w:pPr>
        <w:pStyle w:val="FootnoteText"/>
      </w:pPr>
    </w:p>
  </w:footnote>
  <w:footnote w:id="192">
    <w:p w:rsidR="00000000" w:rsidRDefault="00000000">
      <w:pPr>
        <w:pStyle w:val="FootnoteText"/>
      </w:pPr>
      <w:r>
        <w:rPr>
          <w:rStyle w:val="FootnoteReference"/>
        </w:rPr>
        <w:footnoteRef/>
      </w:r>
      <w:r>
        <w:t xml:space="preserve"> </w:t>
      </w:r>
      <w:r>
        <w:tab/>
        <w:t xml:space="preserve">Закон № 482/1991 </w:t>
      </w:r>
      <w:r>
        <w:rPr>
          <w:lang w:val="en-US"/>
        </w:rPr>
        <w:t>Coll</w:t>
      </w:r>
      <w:r>
        <w:t>. о социально нуждающихся лицах с последующими поправками.</w:t>
      </w:r>
    </w:p>
    <w:p w:rsidR="00000000" w:rsidRDefault="00000000">
      <w:pPr>
        <w:pStyle w:val="FootnoteText"/>
      </w:pPr>
    </w:p>
  </w:footnote>
  <w:footnote w:id="193">
    <w:p w:rsidR="00000000" w:rsidRDefault="00000000">
      <w:pPr>
        <w:pStyle w:val="FootnoteText"/>
      </w:pPr>
      <w:r>
        <w:rPr>
          <w:rStyle w:val="FootnoteReference"/>
        </w:rPr>
        <w:footnoteRef/>
      </w:r>
      <w:r>
        <w:t xml:space="preserve"> </w:t>
      </w:r>
      <w:r>
        <w:tab/>
        <w:t xml:space="preserve">Закон № 155/1995 </w:t>
      </w:r>
      <w:r>
        <w:rPr>
          <w:lang w:val="en-US"/>
        </w:rPr>
        <w:t>Coll</w:t>
      </w:r>
      <w:r>
        <w:t>. о пенсионном страховании с последующими поправками.</w:t>
      </w:r>
    </w:p>
    <w:p w:rsidR="00000000" w:rsidRDefault="00000000">
      <w:pPr>
        <w:pStyle w:val="FootnoteText"/>
      </w:pPr>
    </w:p>
  </w:footnote>
  <w:footnote w:id="194">
    <w:p w:rsidR="00000000" w:rsidRDefault="00000000">
      <w:pPr>
        <w:pStyle w:val="FootnoteText"/>
      </w:pPr>
      <w:r>
        <w:rPr>
          <w:rStyle w:val="FootnoteReference"/>
        </w:rPr>
        <w:footnoteRef/>
      </w:r>
      <w:r>
        <w:t xml:space="preserve"> </w:t>
      </w:r>
      <w:r>
        <w:tab/>
        <w:t xml:space="preserve">Закон № 54/1956 </w:t>
      </w:r>
      <w:r>
        <w:rPr>
          <w:lang w:val="en-US"/>
        </w:rPr>
        <w:t>Coll</w:t>
      </w:r>
      <w:r>
        <w:t>. о медицинском страховании работников по найму с последующими поправками.</w:t>
      </w:r>
    </w:p>
    <w:p w:rsidR="00000000" w:rsidRDefault="00000000">
      <w:pPr>
        <w:pStyle w:val="FootnoteText"/>
      </w:pPr>
    </w:p>
  </w:footnote>
  <w:footnote w:id="195">
    <w:p w:rsidR="00000000" w:rsidRDefault="00000000">
      <w:pPr>
        <w:pStyle w:val="FootnoteText"/>
      </w:pPr>
      <w:r>
        <w:rPr>
          <w:rStyle w:val="FootnoteReference"/>
        </w:rPr>
        <w:footnoteRef/>
      </w:r>
      <w:r>
        <w:t xml:space="preserve"> </w:t>
      </w:r>
      <w:r>
        <w:tab/>
        <w:t xml:space="preserve">Закон № 582/1991 </w:t>
      </w:r>
      <w:r>
        <w:rPr>
          <w:lang w:val="en-US"/>
        </w:rPr>
        <w:t>Coll</w:t>
      </w:r>
      <w:r>
        <w:t>. об организации и осуществлении социального страхования с последующими поправками.</w:t>
      </w:r>
    </w:p>
  </w:footnote>
  <w:footnote w:id="196">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589/1992 </w:t>
      </w:r>
      <w:r>
        <w:rPr>
          <w:lang w:val="en-US"/>
        </w:rPr>
        <w:t>Coll</w:t>
      </w:r>
      <w:r>
        <w:t>. об отчислениях по социальному обеспечению и государственному страхованию по безработице с последующими поправками.</w:t>
      </w:r>
    </w:p>
    <w:p w:rsidR="00000000" w:rsidRDefault="00000000">
      <w:pPr>
        <w:pStyle w:val="FootnoteText"/>
      </w:pPr>
    </w:p>
  </w:footnote>
  <w:footnote w:id="197">
    <w:p w:rsidR="00000000" w:rsidRDefault="00000000">
      <w:pPr>
        <w:pStyle w:val="FootnoteText"/>
      </w:pPr>
      <w:r>
        <w:rPr>
          <w:rStyle w:val="FootnoteReference"/>
        </w:rPr>
        <w:footnoteRef/>
      </w:r>
      <w:r>
        <w:t xml:space="preserve"> </w:t>
      </w:r>
      <w:r>
        <w:tab/>
        <w:t xml:space="preserve">Закон № 42/1994 </w:t>
      </w:r>
      <w:r>
        <w:rPr>
          <w:lang w:val="en-US"/>
        </w:rPr>
        <w:t>Coll</w:t>
      </w:r>
      <w:r>
        <w:t>. о дополнительном пенсионном обеспечении с участием государства и внесении поправок в некоторые законы, связанные с его осуществлением, с последующими поправками.</w:t>
      </w:r>
    </w:p>
  </w:footnote>
  <w:footnote w:id="198">
    <w:p w:rsidR="00000000" w:rsidRDefault="00000000">
      <w:pPr>
        <w:pStyle w:val="FootnoteText"/>
      </w:pPr>
      <w:r>
        <w:rPr>
          <w:rStyle w:val="FootnoteReference"/>
        </w:rPr>
        <w:footnoteRef/>
      </w:r>
      <w:r>
        <w:t xml:space="preserve"> </w:t>
      </w:r>
      <w:r>
        <w:tab/>
        <w:t>До 1995 года был установлен пенсионный возраст 60 лет для мужчин и 53 года - 57 лет для женщин (в зависимости от числа детей).</w:t>
      </w:r>
    </w:p>
    <w:p w:rsidR="00000000" w:rsidRDefault="00000000">
      <w:pPr>
        <w:pStyle w:val="FootnoteText"/>
      </w:pPr>
    </w:p>
  </w:footnote>
  <w:footnote w:id="199">
    <w:p w:rsidR="00000000" w:rsidRDefault="00000000">
      <w:pPr>
        <w:pStyle w:val="FootnoteText"/>
      </w:pPr>
      <w:r>
        <w:rPr>
          <w:rStyle w:val="FootnoteReference"/>
        </w:rPr>
        <w:footnoteRef/>
      </w:r>
      <w:r>
        <w:t xml:space="preserve"> </w:t>
      </w:r>
      <w:r>
        <w:tab/>
        <w:t>Закон № 42/1994 Соll. о дополнительном пенсионном обеспечении с участием государства и об изменении некоторых законов, касающихся его осуществления, с последующими поправками.</w:t>
      </w:r>
    </w:p>
  </w:footnote>
  <w:footnote w:id="200">
    <w:p w:rsidR="00000000" w:rsidRDefault="00000000">
      <w:pPr>
        <w:pStyle w:val="FootnoteText"/>
      </w:pPr>
      <w:r>
        <w:rPr>
          <w:rStyle w:val="FootnoteReference"/>
        </w:rPr>
        <w:footnoteRef/>
      </w:r>
      <w:r>
        <w:t xml:space="preserve"> </w:t>
      </w:r>
      <w:r>
        <w:tab/>
        <w:t>Дважды в 1996 году, затем в 1997 году и в 1998 году.  Последний раз они были повышены в июле 1998 года на основании постановления правительства Чешской Республики № 104/1998  Соll. о повышении пенсий в 1998 году.</w:t>
      </w:r>
    </w:p>
    <w:p w:rsidR="00000000" w:rsidRDefault="00000000">
      <w:pPr>
        <w:pStyle w:val="FootnoteText"/>
      </w:pPr>
    </w:p>
  </w:footnote>
  <w:footnote w:id="201">
    <w:p w:rsidR="00000000" w:rsidRDefault="00000000">
      <w:pPr>
        <w:pStyle w:val="FootnoteText"/>
      </w:pPr>
      <w:r>
        <w:rPr>
          <w:rStyle w:val="FootnoteReference"/>
        </w:rPr>
        <w:footnoteRef/>
      </w:r>
      <w:r>
        <w:t xml:space="preserve"> </w:t>
      </w:r>
      <w:r>
        <w:tab/>
        <w:t>Закон № 589/1992 Соll. об отчислениях по социальному обеспечению и государственному страхованию по безработице, с последующими поправками.  Участие обязательно для всех работников по найму, не занимающихся предпринимательской деятельностью, за исключением работников, занимающихся такой деятельностью в небольшой степени или эпизодически.  Учащиеся и студенты, готовящиеся к трудовой деятельности, также охвачены этой системой (они имеют право только на финансовое содействие по беременности и родам).  Самозанятые охватываются страхованием по болезни, если они сами регистрируются для такого страхования (и в этом случае им предоставляется только пособие по болезни и финансовое содействие по случаю беременности и родам).</w:t>
      </w:r>
    </w:p>
    <w:p w:rsidR="00000000" w:rsidRDefault="00000000">
      <w:pPr>
        <w:pStyle w:val="FootnoteText"/>
      </w:pPr>
    </w:p>
  </w:footnote>
  <w:footnote w:id="202">
    <w:p w:rsidR="00000000" w:rsidRDefault="00000000">
      <w:pPr>
        <w:pStyle w:val="FootnoteText"/>
      </w:pPr>
      <w:r>
        <w:rPr>
          <w:rStyle w:val="FootnoteReference"/>
        </w:rPr>
        <w:footnoteRef/>
      </w:r>
      <w:r>
        <w:t xml:space="preserve"> </w:t>
      </w:r>
      <w:r>
        <w:tab/>
        <w:t xml:space="preserve">В соответствии со статьей 2 приказа министра труда и социальных дел ЧР № 31/1993 Соll. о расчете временной нетрудоспособности для целей социального обеспечения с последующими поправками. </w:t>
      </w:r>
    </w:p>
  </w:footnote>
  <w:footnote w:id="203">
    <w:p w:rsidR="00000000" w:rsidRDefault="00000000">
      <w:pPr>
        <w:pStyle w:val="FootnoteText"/>
      </w:pPr>
      <w:r>
        <w:rPr>
          <w:rStyle w:val="FootnoteReference"/>
        </w:rPr>
        <w:footnoteRef/>
      </w:r>
      <w:r>
        <w:t xml:space="preserve"> </w:t>
      </w:r>
      <w:r>
        <w:tab/>
        <w:t>Эти суммы были установлены в соответствии с поправкой к закону № 61/1999 С</w:t>
      </w:r>
      <w:r>
        <w:rPr>
          <w:lang w:val="en-US"/>
        </w:rPr>
        <w:t>oll</w:t>
      </w:r>
      <w:r>
        <w:t xml:space="preserve">. о страховании по болезни, вступившей в силу с 1 октября 1999 года.  До того пособия по болезни рассчитывались исходя из максимальной суммы в 270 чешских крон. </w:t>
      </w:r>
    </w:p>
  </w:footnote>
  <w:footnote w:id="204">
    <w:p w:rsidR="00000000" w:rsidRDefault="00000000">
      <w:pPr>
        <w:pStyle w:val="FootnoteText"/>
        <w:rPr>
          <w:lang w:val="en-US"/>
        </w:rPr>
      </w:pPr>
      <w:r>
        <w:rPr>
          <w:rStyle w:val="FootnoteReference"/>
        </w:rPr>
        <w:footnoteRef/>
      </w:r>
      <w:r>
        <w:t xml:space="preserve"> </w:t>
      </w:r>
      <w:r>
        <w:tab/>
        <w:t>Закон № 1/1991 С</w:t>
      </w:r>
      <w:r>
        <w:rPr>
          <w:lang w:val="en-US"/>
        </w:rPr>
        <w:t>oll</w:t>
      </w:r>
      <w:r>
        <w:t>. о занятости с последующими поправками, статьи 12</w:t>
      </w:r>
      <w:r>
        <w:noBreakHyphen/>
        <w:t>18.</w:t>
      </w:r>
    </w:p>
    <w:p w:rsidR="00000000" w:rsidRDefault="00000000">
      <w:pPr>
        <w:pStyle w:val="FootnoteText"/>
      </w:pPr>
    </w:p>
  </w:footnote>
  <w:footnote w:id="205">
    <w:p w:rsidR="00000000" w:rsidRDefault="00000000">
      <w:pPr>
        <w:pStyle w:val="FootnoteText"/>
      </w:pPr>
      <w:r>
        <w:rPr>
          <w:rStyle w:val="FootnoteReference"/>
        </w:rPr>
        <w:footnoteRef/>
      </w:r>
      <w:r>
        <w:t xml:space="preserve"> </w:t>
      </w:r>
      <w:r>
        <w:tab/>
        <w:t xml:space="preserve">Закон № 117/1995 </w:t>
      </w:r>
      <w:r>
        <w:rPr>
          <w:lang w:val="en-US"/>
        </w:rPr>
        <w:t>Coll</w:t>
      </w:r>
      <w:r>
        <w:t xml:space="preserve">. о государственной социальной поддержке с последующими поправками. </w:t>
      </w:r>
    </w:p>
  </w:footnote>
  <w:footnote w:id="206">
    <w:p w:rsidR="00000000" w:rsidRDefault="00000000">
      <w:pPr>
        <w:pStyle w:val="FootnoteText"/>
        <w:rPr>
          <w:lang w:val="en-US"/>
        </w:rPr>
      </w:pPr>
      <w:r>
        <w:rPr>
          <w:rStyle w:val="FootnoteReference"/>
        </w:rPr>
        <w:footnoteRef/>
      </w:r>
      <w:r>
        <w:t xml:space="preserve"> </w:t>
      </w:r>
      <w:r>
        <w:tab/>
        <w:t>Под постоянным жительством в данном законе имеется в виду долгосрочное жительство, право которого предоставляется иностранцам на основании специальных законов:  статьи 6 закона № 123/1992 </w:t>
      </w:r>
      <w:r>
        <w:rPr>
          <w:lang w:val="en-US"/>
        </w:rPr>
        <w:t>Coll</w:t>
      </w:r>
      <w:r>
        <w:t xml:space="preserve">. о пребывании и жительстве иностранцев в Чешской и Словацкой Федеративной Республике с последующими поправками, статьи 4 закона № 135/1982 </w:t>
      </w:r>
      <w:r>
        <w:rPr>
          <w:lang w:val="en-US"/>
        </w:rPr>
        <w:t>Coll</w:t>
      </w:r>
      <w:r>
        <w:t xml:space="preserve">. о сообщении и регистрации места жительства граждан, статьи 7 и статьи 19, пункт 3, закона № 123/1992 </w:t>
      </w:r>
      <w:r>
        <w:rPr>
          <w:lang w:val="en-US"/>
        </w:rPr>
        <w:t>Coll</w:t>
      </w:r>
      <w:r>
        <w:t xml:space="preserve">. о пребывании и жительстве иностранцев в Чешской и Словацкой Федеративной Республике с последующими поправками.  В соответствии с законом № 498/1990 </w:t>
      </w:r>
      <w:r>
        <w:rPr>
          <w:lang w:val="en-US"/>
        </w:rPr>
        <w:t>Coll</w:t>
      </w:r>
      <w:r>
        <w:t xml:space="preserve">. о беженцах с последующими поправками лицо, которому предоставлен статус беженца, также считается лицом, которому разрешено долгосрочное проживание и которое удовлетворяет условиям предоставления государственной социальной поддержки. </w:t>
      </w:r>
    </w:p>
    <w:p w:rsidR="00000000" w:rsidRDefault="00000000">
      <w:pPr>
        <w:pStyle w:val="FootnoteText"/>
        <w:rPr>
          <w:lang w:val="en-US"/>
        </w:rPr>
      </w:pPr>
    </w:p>
  </w:footnote>
  <w:footnote w:id="207">
    <w:p w:rsidR="00000000" w:rsidRDefault="00000000">
      <w:pPr>
        <w:pStyle w:val="FootnoteText"/>
        <w:rPr>
          <w:lang w:val="en-US"/>
        </w:rPr>
      </w:pPr>
      <w:r>
        <w:rPr>
          <w:rStyle w:val="FootnoteReference"/>
        </w:rPr>
        <w:footnoteRef/>
      </w:r>
      <w:r>
        <w:t xml:space="preserve"> </w:t>
      </w:r>
      <w:r>
        <w:tab/>
        <w:t>Поэтому на первый взгляд пункт 1 статьи 3 закона не в полной мере соответствует обязательству, вытекающему из пункта 1 статьи 2 и из пунктов 1 и 2 статьи 3 Конвенции о  правах ребенка.  Пункт 1 статьи 2 Конвенции о правах ребенка гласит:  "Государства</w:t>
      </w:r>
      <w:r>
        <w:noBreakHyphen/>
        <w:t>участники уважают и обеспечивают все права, предусмотренные настоящей Конвенцией, за каждым ребенком, находящимся в пределах их юрисдикции, без какой</w:t>
      </w:r>
      <w:r>
        <w:noBreakHyphen/>
        <w:t>либо дискриминации, независимо от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состояния здоровья и рождения ребенка, его родителей или законных опекунов или каких</w:t>
      </w:r>
      <w:r>
        <w:noBreakHyphen/>
        <w:t>либо иных обстоятельств".  Пункт 1 статьи 3:  "Во всех действиях в отношении детей независимо от того, предпринимаются они государственными или частными учреждениями, занимающимися вопросами социального обеспечения, судами, административными или законодательными органами, первоочередное внимание уделяется наилучшему обеспечению интересов ребенка".</w:t>
      </w:r>
    </w:p>
    <w:p w:rsidR="00000000" w:rsidRDefault="00000000">
      <w:pPr>
        <w:pStyle w:val="FootnoteText"/>
        <w:rPr>
          <w:lang w:val="en-US"/>
        </w:rPr>
      </w:pPr>
    </w:p>
  </w:footnote>
  <w:footnote w:id="208">
    <w:p w:rsidR="00000000" w:rsidRDefault="00000000">
      <w:pPr>
        <w:pStyle w:val="FootnoteText"/>
        <w:rPr>
          <w:lang w:val="en-US"/>
        </w:rPr>
      </w:pPr>
      <w:r>
        <w:rPr>
          <w:rStyle w:val="FootnoteReference"/>
        </w:rPr>
        <w:footnoteRef/>
      </w:r>
      <w:r>
        <w:t xml:space="preserve"> </w:t>
      </w:r>
      <w:r>
        <w:tab/>
        <w:t xml:space="preserve">Поправка № 158/1998 </w:t>
      </w:r>
      <w:r>
        <w:rPr>
          <w:lang w:val="en-US"/>
        </w:rPr>
        <w:t>Coll</w:t>
      </w:r>
      <w:r>
        <w:t xml:space="preserve">. к закону № 117/1995 </w:t>
      </w:r>
      <w:r>
        <w:rPr>
          <w:lang w:val="en-US"/>
        </w:rPr>
        <w:t>Coll</w:t>
      </w:r>
      <w:r>
        <w:t xml:space="preserve">. о государственной социальной поддержке с последующими поправками. </w:t>
      </w:r>
    </w:p>
    <w:p w:rsidR="00000000" w:rsidRDefault="00000000">
      <w:pPr>
        <w:pStyle w:val="FootnoteText"/>
        <w:rPr>
          <w:lang w:val="en-US"/>
        </w:rPr>
      </w:pPr>
    </w:p>
  </w:footnote>
  <w:footnote w:id="209">
    <w:p w:rsidR="00000000" w:rsidRDefault="00000000">
      <w:pPr>
        <w:spacing w:line="240" w:lineRule="auto"/>
        <w:rPr>
          <w:lang w:val="en-US"/>
        </w:rPr>
      </w:pPr>
      <w:r>
        <w:rPr>
          <w:rStyle w:val="FootnoteReference"/>
        </w:rPr>
        <w:footnoteRef/>
      </w:r>
      <w:r>
        <w:t xml:space="preserve"> </w:t>
      </w:r>
      <w:r>
        <w:tab/>
        <w:t xml:space="preserve">Поправка № 137/1996 </w:t>
      </w:r>
      <w:r>
        <w:rPr>
          <w:lang w:val="en-US"/>
        </w:rPr>
        <w:t>Coll</w:t>
      </w:r>
      <w:r>
        <w:t xml:space="preserve">. к Закону № 117/1995 </w:t>
      </w:r>
      <w:r>
        <w:rPr>
          <w:lang w:val="en-US"/>
        </w:rPr>
        <w:t>Coll</w:t>
      </w:r>
      <w:r>
        <w:t xml:space="preserve">. о государственной социальной поддержке с последующими поправками. </w:t>
      </w:r>
    </w:p>
    <w:p w:rsidR="00000000" w:rsidRDefault="00000000">
      <w:pPr>
        <w:spacing w:line="240" w:lineRule="auto"/>
        <w:rPr>
          <w:lang w:val="en-US"/>
        </w:rPr>
      </w:pPr>
    </w:p>
  </w:footnote>
  <w:footnote w:id="210">
    <w:p w:rsidR="00000000" w:rsidRDefault="00000000">
      <w:pPr>
        <w:pStyle w:val="FootnoteText"/>
        <w:rPr>
          <w:lang w:val="en-US"/>
        </w:rPr>
      </w:pPr>
      <w:r>
        <w:rPr>
          <w:rStyle w:val="FootnoteReference"/>
        </w:rPr>
        <w:footnoteRef/>
      </w:r>
      <w:r>
        <w:t xml:space="preserve"> </w:t>
      </w:r>
      <w:r>
        <w:tab/>
        <w:t>С 1 января 2000 года вступила в силу поправка к законодательству о пребывании иностранцев в Чешской Республике.  С 1 апреля 2000 года эта поправка будет также отражена в законодательстве о праве на социальную поддержку.  С этой даты лицам, постоянно проживающим в стране, детям, принятым на воспитание, и лицам, которым предоставлено убежище (ранее - беженцам), государственная социальная помощь будет предоставляться на тех же основаниях, что и до 1 апреля 2000 года.  В других случаях временного пребывания в Чешской Республике (которое также включает в себя долгосрочное пребывание в соответствии с законодательством о пребывании иностранцев, действующим с 1 января 2000 года) право на государственную социальную поддержку будет связано с пребыванием в Чешской Республике на протяжении 365 дней, что в принципе соответствует прежнему периоду долгосрочного пребывания в один год.  Таким образом, предоставление социальной поддержки в силу продолжительности пребывания в стране отличается от случая, когда иностранцы находятся в Чешской Республике лишь непродолжительное время, например, как туристы.  Однако остаются в силе положения, согласно которым районное бюро или министерство труда и социальных дел могут не требовать соблюдения условий постоянного жительства, и это ограничивает возможную строгость применения этого закона.</w:t>
      </w:r>
    </w:p>
    <w:p w:rsidR="00000000" w:rsidRDefault="00000000">
      <w:pPr>
        <w:pStyle w:val="FootnoteText"/>
        <w:rPr>
          <w:lang w:val="en-US"/>
        </w:rPr>
      </w:pPr>
    </w:p>
  </w:footnote>
  <w:footnote w:id="211">
    <w:p w:rsidR="00000000" w:rsidRDefault="00000000">
      <w:pPr>
        <w:pStyle w:val="FootnoteText"/>
      </w:pPr>
      <w:r>
        <w:rPr>
          <w:rStyle w:val="FootnoteReference"/>
        </w:rPr>
        <w:footnoteRef/>
      </w:r>
      <w:r>
        <w:t xml:space="preserve"> </w:t>
      </w:r>
      <w:r>
        <w:tab/>
        <w:t xml:space="preserve">Закон № 463/1991 </w:t>
      </w:r>
      <w:r>
        <w:rPr>
          <w:lang w:val="en-US"/>
        </w:rPr>
        <w:t>Coll</w:t>
      </w:r>
      <w:r>
        <w:t>. о прожиточном минимуме, с последующими поправками.</w:t>
      </w:r>
    </w:p>
  </w:footnote>
  <w:footnote w:id="212">
    <w:p w:rsidR="00000000" w:rsidRDefault="00000000">
      <w:pPr>
        <w:pStyle w:val="FootnoteText"/>
      </w:pPr>
      <w:r>
        <w:rPr>
          <w:rStyle w:val="FootnoteReference"/>
        </w:rPr>
        <w:footnoteRef/>
      </w:r>
      <w:r>
        <w:t xml:space="preserve"> </w:t>
      </w:r>
      <w:r>
        <w:tab/>
        <w:t xml:space="preserve">Закон № 482/1991 </w:t>
      </w:r>
      <w:r>
        <w:rPr>
          <w:lang w:val="en-US"/>
        </w:rPr>
        <w:t>Coll</w:t>
      </w:r>
      <w:r>
        <w:t>. о социально нуждающихся лицах с последующими поправками.</w:t>
      </w:r>
    </w:p>
    <w:p w:rsidR="00000000" w:rsidRDefault="00000000">
      <w:pPr>
        <w:pStyle w:val="FootnoteText"/>
      </w:pPr>
    </w:p>
  </w:footnote>
  <w:footnote w:id="213">
    <w:p w:rsidR="00000000" w:rsidRDefault="00000000">
      <w:pPr>
        <w:pStyle w:val="FootnoteText"/>
        <w:spacing w:line="480" w:lineRule="auto"/>
      </w:pPr>
      <w:r>
        <w:rPr>
          <w:rStyle w:val="FootnoteReference"/>
        </w:rPr>
        <w:footnoteRef/>
      </w:r>
      <w:r>
        <w:t xml:space="preserve"> </w:t>
      </w:r>
      <w:r>
        <w:tab/>
        <w:t>Закон № 463/1991 С</w:t>
      </w:r>
      <w:r>
        <w:rPr>
          <w:lang w:val="en-US"/>
        </w:rPr>
        <w:t>oll</w:t>
      </w:r>
      <w:r>
        <w:t>. о прожиточном минимуме с последующими поправками.</w:t>
      </w:r>
    </w:p>
  </w:footnote>
  <w:footnote w:id="214">
    <w:p w:rsidR="00000000" w:rsidRDefault="00000000">
      <w:pPr>
        <w:pStyle w:val="FootnoteText"/>
      </w:pPr>
      <w:r>
        <w:rPr>
          <w:rStyle w:val="FootnoteReference"/>
        </w:rPr>
        <w:footnoteRef/>
      </w:r>
      <w:r>
        <w:t xml:space="preserve"> </w:t>
      </w:r>
      <w:r>
        <w:tab/>
        <w:t xml:space="preserve">В соответствии со статьей 4 закона о прожиточном минимуме совместно оцениваемые лица - это главным образом состоящие на иждивении дети и их родители, супруги, партнер мужского или женского пола, которые постоянно живут совместно и совместно покрывают расходы на удовлетворение своих потребностей. </w:t>
      </w:r>
    </w:p>
    <w:p w:rsidR="00000000" w:rsidRDefault="00000000">
      <w:pPr>
        <w:pStyle w:val="FootnoteText"/>
      </w:pPr>
    </w:p>
  </w:footnote>
  <w:footnote w:id="215">
    <w:p w:rsidR="00000000" w:rsidRDefault="00000000">
      <w:pPr>
        <w:pStyle w:val="FootnoteText"/>
      </w:pPr>
      <w:r>
        <w:rPr>
          <w:rStyle w:val="FootnoteReference"/>
        </w:rPr>
        <w:footnoteRef/>
      </w:r>
      <w:r>
        <w:t xml:space="preserve"> </w:t>
      </w:r>
      <w:r>
        <w:tab/>
        <w:t xml:space="preserve">В соответствии со статьей 6 закона о прожиточном минимуме под ними понимается доход, который облагается подоходным налогом с физических лиц, пособия по страхованию по болезни и пенсионному страхованию, пособия для лиц, ищущих работу, дополнительные выплаты, государственные пособия по социальной поддержке и государственные пособия по социальной помощи, за исключением единовременных пособий и других повторяющихся или регулярных доходов. </w:t>
      </w:r>
    </w:p>
  </w:footnote>
  <w:footnote w:id="216">
    <w:p w:rsidR="00000000" w:rsidRDefault="00000000">
      <w:pPr>
        <w:pStyle w:val="FootnoteText"/>
      </w:pPr>
    </w:p>
    <w:p w:rsidR="00000000" w:rsidRDefault="00000000">
      <w:pPr>
        <w:pStyle w:val="FootnoteText"/>
      </w:pPr>
      <w:r>
        <w:rPr>
          <w:rStyle w:val="FootnoteReference"/>
        </w:rPr>
        <w:footnoteRef/>
      </w:r>
      <w:r>
        <w:t xml:space="preserve"> </w:t>
      </w:r>
      <w:r>
        <w:tab/>
        <w:t>Постановление правительства № 42/1998 С</w:t>
      </w:r>
      <w:r>
        <w:rPr>
          <w:lang w:val="en-US"/>
        </w:rPr>
        <w:t>oll</w:t>
      </w:r>
      <w:r>
        <w:t>. о повышении суммы прожиточного минимума.  После выполнения условий повышения прожиточного минимума в январе 2000 года прожиточный минимум будет увеличен с 1 апреля 2000 года (постановление правительства № 243, утвержденное 8 марта 2000 года).</w:t>
      </w:r>
    </w:p>
  </w:footnote>
  <w:footnote w:id="217">
    <w:p w:rsidR="00000000" w:rsidRDefault="00000000">
      <w:pPr>
        <w:pStyle w:val="FootnoteText"/>
      </w:pPr>
      <w:r>
        <w:rPr>
          <w:rStyle w:val="FootnoteReference"/>
        </w:rPr>
        <w:footnoteRef/>
      </w:r>
      <w:r>
        <w:t xml:space="preserve"> </w:t>
      </w:r>
      <w:r>
        <w:tab/>
        <w:t>Статья 2 закона о социальной помощи:  "1)  Если того требует состояние здоровья гражданина, в силу предписания надлежащего врача-специалиста или роста расходов на приобретение продуктов питания, сумма, необходимая для приобретения продуктов питания и удовлетворения других основных личных потребностей гражданина, предусмотренная специальным законом [пункт 2 статьи 3 закона № 463/1991 С</w:t>
      </w:r>
      <w:r>
        <w:rPr>
          <w:lang w:val="en-US"/>
        </w:rPr>
        <w:t>oll</w:t>
      </w:r>
      <w:r>
        <w:t>.], при оценке необходимости социальной помощи увеличивается на 600 чешских крон в месяц.  2)  Сумма, необходимая для обеспечения необходимых расходов домохозяйства, установленная специальным законом [пункт 3 статьи 3 закона № 463/1991 С</w:t>
      </w:r>
      <w:r>
        <w:rPr>
          <w:lang w:val="en-US"/>
        </w:rPr>
        <w:t>oll</w:t>
      </w:r>
      <w:r>
        <w:t>.], при оценке необходимости социальной помощи гражданину, не получающему специальных пособий класса </w:t>
      </w:r>
      <w:r>
        <w:rPr>
          <w:lang w:val="en-US"/>
        </w:rPr>
        <w:t>III</w:t>
      </w:r>
      <w:r>
        <w:t xml:space="preserve"> (идентификационная карта ЗТП/П), увеличивается на 600 чешских крон в месяц.  Для совместно оцениваемых лиц надбавка согласно предыдущему предложению рассчитывается максимум в двукратном размере, даже если чрезвычайные льготы класса </w:t>
      </w:r>
      <w:r>
        <w:rPr>
          <w:lang w:val="en-US"/>
        </w:rPr>
        <w:t>III</w:t>
      </w:r>
      <w:r>
        <w:t xml:space="preserve"> (идентификационная карта ЗТП/П) предоставлены нескольким лицам, живущим в домохозяйстве"  (статья 115 закона № 40/1964 </w:t>
      </w:r>
      <w:r>
        <w:rPr>
          <w:lang w:val="en-US"/>
        </w:rPr>
        <w:t>Coll</w:t>
      </w:r>
      <w:r>
        <w:t>., Гражданский кодекс, с последующими поправками).</w:t>
      </w:r>
    </w:p>
  </w:footnote>
  <w:footnote w:id="218">
    <w:p w:rsidR="00000000" w:rsidRDefault="00000000">
      <w:pPr>
        <w:pStyle w:val="FootnoteText"/>
      </w:pPr>
      <w:r>
        <w:rPr>
          <w:rStyle w:val="FootnoteReference"/>
        </w:rPr>
        <w:footnoteRef/>
      </w:r>
      <w:r>
        <w:t xml:space="preserve"> </w:t>
      </w:r>
      <w:r>
        <w:tab/>
        <w:t xml:space="preserve">Деятельность системы социальной помощи регламентируется законом № 100/1988 </w:t>
      </w:r>
      <w:r>
        <w:rPr>
          <w:lang w:val="en-US"/>
        </w:rPr>
        <w:t>Coll</w:t>
      </w:r>
      <w:r>
        <w:t>. о социальном обеспечении, с последующими поправками, законом № 482/1991 </w:t>
      </w:r>
      <w:r>
        <w:rPr>
          <w:lang w:val="en-US"/>
        </w:rPr>
        <w:t>Coll</w:t>
      </w:r>
      <w:r>
        <w:t>. о социально нуждающихся лицах, с последующими поправками, приказом министра труда и социальных дел № 182/1991 </w:t>
      </w:r>
      <w:r>
        <w:rPr>
          <w:lang w:val="en-US"/>
        </w:rPr>
        <w:t>Coll</w:t>
      </w:r>
      <w:r>
        <w:t>. об осуществлении закона о социальном обеспечении и закона о Чешском национальном совете по контролю за органами социального обеспечения Чешской Республики, с последующими поправками, а также в других нормативных актах.</w:t>
      </w:r>
    </w:p>
  </w:footnote>
  <w:footnote w:id="219">
    <w:p w:rsidR="00000000" w:rsidRDefault="00000000">
      <w:pPr>
        <w:pStyle w:val="FootnoteText"/>
      </w:pPr>
      <w:r>
        <w:rPr>
          <w:rStyle w:val="FootnoteReference"/>
        </w:rPr>
        <w:footnoteRef/>
      </w:r>
      <w:r>
        <w:t xml:space="preserve"> </w:t>
      </w:r>
      <w:r>
        <w:tab/>
        <w:t xml:space="preserve">Согласно статье 105 Закона № 94/1963 </w:t>
      </w:r>
      <w:r>
        <w:rPr>
          <w:lang w:val="en-US"/>
        </w:rPr>
        <w:t>Coll</w:t>
      </w:r>
      <w:r>
        <w:t xml:space="preserve">. о семье с поправками, внесенными согласно Закону №  91/1998 </w:t>
      </w:r>
      <w:r>
        <w:rPr>
          <w:lang w:val="en-US"/>
        </w:rPr>
        <w:t>Coll</w:t>
      </w:r>
      <w:r>
        <w:t>., содержащему поправки к Закону о семье, а также поправки и дополнения к другим законам, концепция совместной собственности заменяет ранее существовавший институт неразделимой собственности.</w:t>
      </w:r>
    </w:p>
    <w:p w:rsidR="00000000" w:rsidRDefault="00000000">
      <w:pPr>
        <w:pStyle w:val="FootnoteText"/>
      </w:pPr>
    </w:p>
  </w:footnote>
  <w:footnote w:id="220">
    <w:p w:rsidR="00000000" w:rsidRDefault="00000000">
      <w:pPr>
        <w:pStyle w:val="FootnoteText"/>
      </w:pPr>
      <w:r>
        <w:rPr>
          <w:rStyle w:val="FootnoteReference"/>
        </w:rPr>
        <w:footnoteRef/>
      </w:r>
      <w:r>
        <w:rPr>
          <w:lang w:val="en-US"/>
        </w:rPr>
        <w:t xml:space="preserve"> </w:t>
      </w:r>
      <w:r>
        <w:rPr>
          <w:lang w:val="en-US"/>
        </w:rPr>
        <w:tab/>
        <w:t>M. Holub and H. Nová, (1998):  The Act on the Family and Related Regulations, Prague, Linde Praha, pp. 36-61.</w:t>
      </w:r>
    </w:p>
    <w:p w:rsidR="00000000" w:rsidRDefault="00000000">
      <w:pPr>
        <w:pStyle w:val="FootnoteText"/>
      </w:pPr>
    </w:p>
  </w:footnote>
  <w:footnote w:id="221">
    <w:p w:rsidR="00000000" w:rsidRDefault="00000000">
      <w:pPr>
        <w:pStyle w:val="FootnoteText"/>
      </w:pPr>
      <w:r>
        <w:rPr>
          <w:rStyle w:val="FootnoteReference"/>
        </w:rPr>
        <w:footnoteRef/>
      </w:r>
      <w:r>
        <w:t xml:space="preserve"> </w:t>
      </w:r>
      <w:r>
        <w:tab/>
        <w:t xml:space="preserve">Закон № 100/1998 </w:t>
      </w:r>
      <w:r>
        <w:rPr>
          <w:lang w:val="en-US"/>
        </w:rPr>
        <w:t>Coll</w:t>
      </w:r>
      <w:r>
        <w:t>. о социальном обеспечении с внесенными в него впоследствии поправками.</w:t>
      </w:r>
    </w:p>
    <w:p w:rsidR="00000000" w:rsidRDefault="00000000">
      <w:pPr>
        <w:pStyle w:val="FootnoteText"/>
      </w:pPr>
    </w:p>
  </w:footnote>
  <w:footnote w:id="222">
    <w:p w:rsidR="00000000" w:rsidRDefault="00000000">
      <w:pPr>
        <w:pStyle w:val="FootnoteText"/>
      </w:pPr>
      <w:r>
        <w:rPr>
          <w:rStyle w:val="FootnoteReference"/>
        </w:rPr>
        <w:footnoteRef/>
      </w:r>
      <w:r>
        <w:t xml:space="preserve"> </w:t>
      </w:r>
      <w:r>
        <w:tab/>
        <w:t xml:space="preserve">Закон № 114/1998 </w:t>
      </w:r>
      <w:r>
        <w:rPr>
          <w:lang w:val="en-US"/>
        </w:rPr>
        <w:t>Coll</w:t>
      </w:r>
      <w:r>
        <w:t>. о компетенции органов власти Чешской Республики в области социального обеспечения с внесенными в него впоследствии поправками.</w:t>
      </w:r>
    </w:p>
  </w:footnote>
  <w:footnote w:id="223">
    <w:p w:rsidR="00000000" w:rsidRDefault="00000000">
      <w:pPr>
        <w:pStyle w:val="FootnoteText"/>
      </w:pPr>
      <w:r>
        <w:rPr>
          <w:rStyle w:val="FootnoteReference"/>
        </w:rPr>
        <w:footnoteRef/>
      </w:r>
      <w:r>
        <w:t xml:space="preserve"> </w:t>
      </w:r>
      <w:r>
        <w:tab/>
        <w:t xml:space="preserve">Защита здоровья женщин на рабочем месте недавно получила новое определение в соответствии с обязательной правовой нормой, которая содержится в постановлении министерства здравоохранения, содержащем поправки к Кодексу о труде, № 261/1997 </w:t>
      </w:r>
      <w:r>
        <w:rPr>
          <w:lang w:val="en-US"/>
        </w:rPr>
        <w:t>Coll</w:t>
      </w:r>
      <w:r>
        <w:t>. и в котором определяются трудовые задания и места работы, на которых запрещается использовать женщин, беременных женщин и матерей до девятого месяца после родов и несовершеннолетних лиц.  В подробных положениях статей 1</w:t>
      </w:r>
      <w:r>
        <w:noBreakHyphen/>
        <w:t>3 Постановления также определяются такие виды заданий и работы.</w:t>
      </w:r>
    </w:p>
    <w:p w:rsidR="00000000" w:rsidRDefault="00000000">
      <w:pPr>
        <w:pStyle w:val="FootnoteText"/>
      </w:pPr>
    </w:p>
  </w:footnote>
  <w:footnote w:id="224">
    <w:p w:rsidR="00000000" w:rsidRDefault="00000000">
      <w:pPr>
        <w:pStyle w:val="FootnoteText"/>
      </w:pPr>
      <w:r>
        <w:rPr>
          <w:rStyle w:val="FootnoteReference"/>
        </w:rPr>
        <w:footnoteRef/>
      </w:r>
      <w:r>
        <w:t xml:space="preserve"> </w:t>
      </w:r>
      <w:r>
        <w:tab/>
        <w:t xml:space="preserve">Закон № 88/1968 </w:t>
      </w:r>
      <w:r>
        <w:rPr>
          <w:lang w:val="en-US"/>
        </w:rPr>
        <w:t>Coll</w:t>
      </w:r>
      <w:r>
        <w:t>. об увеличении срока отпуска по беременности и родам, о пособиях по беременности и родам и о пособиях для детей по линии страхования по болезни с внесенными в него впоследствии поправками.</w:t>
      </w:r>
    </w:p>
  </w:footnote>
  <w:footnote w:id="225">
    <w:p w:rsidR="00000000" w:rsidRDefault="00000000">
      <w:pPr>
        <w:pStyle w:val="FootnoteText"/>
      </w:pPr>
      <w:r>
        <w:rPr>
          <w:rStyle w:val="FootnoteReference"/>
        </w:rPr>
        <w:footnoteRef/>
      </w:r>
      <w:r>
        <w:t xml:space="preserve"> </w:t>
      </w:r>
      <w:r>
        <w:tab/>
        <w:t>Детский фонд Организации Объединенных Наций (ЮНИСЕФ).</w:t>
      </w:r>
    </w:p>
  </w:footnote>
  <w:footnote w:id="226">
    <w:p w:rsidR="00000000" w:rsidRDefault="00000000">
      <w:pPr>
        <w:pStyle w:val="FootnoteText"/>
      </w:pPr>
    </w:p>
    <w:p w:rsidR="00000000" w:rsidRDefault="00000000">
      <w:pPr>
        <w:pStyle w:val="FootnoteText"/>
      </w:pPr>
      <w:r>
        <w:rPr>
          <w:rStyle w:val="FootnoteReference"/>
        </w:rPr>
        <w:footnoteRef/>
      </w:r>
      <w:r>
        <w:t xml:space="preserve"> </w:t>
      </w:r>
      <w:r>
        <w:tab/>
        <w:t>Европейский исследовательский центр по полифосфатам (ЕИЦП).</w:t>
      </w:r>
    </w:p>
    <w:p w:rsidR="00000000" w:rsidRDefault="00000000">
      <w:pPr>
        <w:pStyle w:val="FootnoteText"/>
      </w:pPr>
    </w:p>
  </w:footnote>
  <w:footnote w:id="227">
    <w:p w:rsidR="00000000" w:rsidRDefault="00000000">
      <w:pPr>
        <w:pStyle w:val="FootnoteText"/>
      </w:pPr>
      <w:r>
        <w:rPr>
          <w:rStyle w:val="FootnoteReference"/>
        </w:rPr>
        <w:footnoteRef/>
      </w:r>
      <w:r>
        <w:t xml:space="preserve"> </w:t>
      </w:r>
      <w:r>
        <w:tab/>
        <w:t>Европейская конференция профессиональных союзов (ЕКПС).</w:t>
      </w:r>
    </w:p>
  </w:footnote>
  <w:footnote w:id="228">
    <w:p w:rsidR="00000000" w:rsidRDefault="00000000">
      <w:pPr>
        <w:pStyle w:val="FootnoteText"/>
      </w:pPr>
      <w:r>
        <w:rPr>
          <w:rStyle w:val="FootnoteReference"/>
        </w:rPr>
        <w:footnoteRef/>
      </w:r>
      <w:r>
        <w:t xml:space="preserve"> </w:t>
      </w:r>
      <w:r>
        <w:tab/>
        <w:t xml:space="preserve">Закон № 117/1995 </w:t>
      </w:r>
      <w:r>
        <w:rPr>
          <w:lang w:val="en-US"/>
        </w:rPr>
        <w:t>Coll</w:t>
      </w:r>
      <w:r>
        <w:t>. о государственных социальных пособиях с внесенными в него впоследствии поправками.</w:t>
      </w:r>
    </w:p>
    <w:p w:rsidR="00000000" w:rsidRDefault="00000000">
      <w:pPr>
        <w:pStyle w:val="FootnoteText"/>
      </w:pPr>
    </w:p>
  </w:footnote>
  <w:footnote w:id="229">
    <w:p w:rsidR="00000000" w:rsidRDefault="00000000">
      <w:pPr>
        <w:pStyle w:val="FootnoteText"/>
      </w:pPr>
      <w:r>
        <w:rPr>
          <w:rStyle w:val="FootnoteReference"/>
        </w:rPr>
        <w:footnoteRef/>
      </w:r>
      <w:r>
        <w:t xml:space="preserve"> </w:t>
      </w:r>
      <w:r>
        <w:tab/>
        <w:t>В последние годы значение этой меры, а также всех других материальных пособий постепенно сокращается;  это подтверждается тем фактом, что, хотя расходы на материальные пособия увеличиваются, в долгосрочной перспекиве происходит их сокращение в виде процентной доли от ВНП.</w:t>
      </w:r>
    </w:p>
    <w:p w:rsidR="00000000" w:rsidRDefault="00000000">
      <w:pPr>
        <w:pStyle w:val="FootnoteText"/>
      </w:pPr>
    </w:p>
  </w:footnote>
  <w:footnote w:id="230">
    <w:p w:rsidR="00000000" w:rsidRDefault="00000000">
      <w:pPr>
        <w:pStyle w:val="FootnoteText"/>
      </w:pPr>
      <w:r>
        <w:rPr>
          <w:rStyle w:val="FootnoteReference"/>
        </w:rPr>
        <w:footnoteRef/>
      </w:r>
      <w:r>
        <w:t xml:space="preserve"> </w:t>
      </w:r>
      <w:r>
        <w:tab/>
        <w:t xml:space="preserve">Закон № 382/1990 </w:t>
      </w:r>
      <w:r>
        <w:rPr>
          <w:lang w:val="en-US"/>
        </w:rPr>
        <w:t>Coll</w:t>
      </w:r>
      <w:r>
        <w:t>. о родительских пособиях с внесенными в него впоследствии поправками.</w:t>
      </w:r>
    </w:p>
  </w:footnote>
  <w:footnote w:id="231">
    <w:p w:rsidR="00000000" w:rsidRDefault="00000000">
      <w:pPr>
        <w:pStyle w:val="FootnoteText"/>
      </w:pPr>
      <w:r>
        <w:rPr>
          <w:rStyle w:val="FootnoteReference"/>
        </w:rPr>
        <w:footnoteRef/>
      </w:r>
      <w:r>
        <w:t xml:space="preserve"> </w:t>
      </w:r>
      <w:r>
        <w:tab/>
        <w:t>Закон № 66/1986 Coll. об абортах.</w:t>
      </w:r>
    </w:p>
  </w:footnote>
  <w:footnote w:id="232">
    <w:p w:rsidR="00000000" w:rsidRDefault="00000000">
      <w:pPr>
        <w:pStyle w:val="FootnoteText"/>
      </w:pPr>
      <w:r>
        <w:rPr>
          <w:rStyle w:val="FootnoteReference"/>
        </w:rPr>
        <w:footnoteRef/>
      </w:r>
      <w:r>
        <w:t xml:space="preserve"> </w:t>
      </w:r>
      <w:r>
        <w:tab/>
        <w:t>Уведомление Федерального министерства иностранных дел № 104/1991 Coll. о Конвенции о правах ребенка.</w:t>
      </w:r>
    </w:p>
    <w:p w:rsidR="00000000" w:rsidRDefault="00000000">
      <w:pPr>
        <w:pStyle w:val="FootnoteText"/>
      </w:pPr>
    </w:p>
  </w:footnote>
  <w:footnote w:id="233">
    <w:p w:rsidR="00000000" w:rsidRDefault="00000000">
      <w:pPr>
        <w:pStyle w:val="FootnoteText"/>
      </w:pPr>
      <w:r>
        <w:rPr>
          <w:rStyle w:val="FootnoteReference"/>
        </w:rPr>
        <w:footnoteRef/>
      </w:r>
      <w:r>
        <w:t xml:space="preserve"> </w:t>
      </w:r>
      <w:r>
        <w:tab/>
        <w:t>Участники Всемирной встречи на высшем уровне приняли документ "Всемирная декларация об обеспечении выживания, защиты и развития детей".</w:t>
      </w:r>
    </w:p>
    <w:p w:rsidR="00000000" w:rsidRDefault="00000000">
      <w:pPr>
        <w:pStyle w:val="FootnoteText"/>
      </w:pPr>
    </w:p>
  </w:footnote>
  <w:footnote w:id="234">
    <w:p w:rsidR="00000000" w:rsidRDefault="00000000">
      <w:pPr>
        <w:pStyle w:val="FootnoteText"/>
      </w:pPr>
      <w:r>
        <w:rPr>
          <w:rStyle w:val="FootnoteReference"/>
        </w:rPr>
        <w:footnoteRef/>
      </w:r>
      <w:r>
        <w:t xml:space="preserve"> </w:t>
      </w:r>
      <w:r>
        <w:tab/>
        <w:t>Постановление правительства Чешской Республики № 1 от 6 января 1999 года об основных направлениях государственной политики в отношении молодого поколения Чешской Республики до 2002 года.</w:t>
      </w:r>
    </w:p>
  </w:footnote>
  <w:footnote w:id="235">
    <w:p w:rsidR="00000000" w:rsidRDefault="00000000">
      <w:pPr>
        <w:pStyle w:val="FootnoteText"/>
      </w:pPr>
      <w:r>
        <w:rPr>
          <w:rStyle w:val="FootnoteReference"/>
        </w:rPr>
        <w:footnoteRef/>
      </w:r>
      <w:r>
        <w:t xml:space="preserve"> </w:t>
      </w:r>
      <w:r>
        <w:tab/>
        <w:t>Постановление правительства Чешской Республики № 696 от 7 июля 1999 года, в котором утверждается статут Комитета.</w:t>
      </w:r>
    </w:p>
    <w:p w:rsidR="00000000" w:rsidRDefault="00000000">
      <w:pPr>
        <w:pStyle w:val="FootnoteText"/>
      </w:pPr>
    </w:p>
  </w:footnote>
  <w:footnote w:id="236">
    <w:p w:rsidR="00000000" w:rsidRDefault="00000000">
      <w:pPr>
        <w:pStyle w:val="FootnoteText"/>
      </w:pPr>
      <w:r>
        <w:rPr>
          <w:rStyle w:val="FootnoteReference"/>
        </w:rPr>
        <w:footnoteRef/>
      </w:r>
      <w:r>
        <w:t xml:space="preserve"> </w:t>
      </w:r>
      <w:r>
        <w:tab/>
        <w:t>Закон № 359/1999 Coll. о социальной правовой защите детей.</w:t>
      </w:r>
    </w:p>
    <w:p w:rsidR="00000000" w:rsidRDefault="00000000">
      <w:pPr>
        <w:pStyle w:val="FootnoteText"/>
      </w:pPr>
    </w:p>
  </w:footnote>
  <w:footnote w:id="237">
    <w:p w:rsidR="00000000" w:rsidRDefault="00000000">
      <w:pPr>
        <w:pStyle w:val="FootnoteText"/>
      </w:pPr>
      <w:r>
        <w:rPr>
          <w:rStyle w:val="FootnoteReference"/>
        </w:rPr>
        <w:footnoteRef/>
      </w:r>
      <w:r>
        <w:t xml:space="preserve"> </w:t>
      </w:r>
      <w:r>
        <w:tab/>
        <w:t>Однако даже до вступления в силу нового закона защита детей от социальной патологии, а также профилактические и консультативные виды деятельности уже осуществлялись департаментами по социальным вопросам в областных и городских органах власти, а также неправительственными некоммерческими организациями, получавшими поддержку в виде субсидий из государственного бюджета.</w:t>
      </w:r>
    </w:p>
    <w:p w:rsidR="00000000" w:rsidRDefault="00000000">
      <w:pPr>
        <w:pStyle w:val="FootnoteText"/>
      </w:pPr>
    </w:p>
  </w:footnote>
  <w:footnote w:id="238">
    <w:p w:rsidR="00000000" w:rsidRDefault="00000000">
      <w:pPr>
        <w:pStyle w:val="FootnoteText"/>
      </w:pPr>
      <w:r>
        <w:rPr>
          <w:rStyle w:val="FootnoteReference"/>
        </w:rPr>
        <w:footnoteRef/>
      </w:r>
      <w:r>
        <w:t xml:space="preserve"> </w:t>
      </w:r>
      <w:r>
        <w:tab/>
        <w:t>Постановление правительства Чешской Республики № 341 от 15 июня 1994 года о программе социальной профилактики и предупреждения преступности - существующая ситуация и исходные пункты до 1996 года.</w:t>
      </w:r>
    </w:p>
  </w:footnote>
  <w:footnote w:id="239">
    <w:p w:rsidR="00000000" w:rsidRDefault="00000000">
      <w:pPr>
        <w:pStyle w:val="FootnoteText"/>
      </w:pPr>
      <w:r>
        <w:rPr>
          <w:rStyle w:val="FootnoteReference"/>
        </w:rPr>
        <w:footnoteRef/>
      </w:r>
      <w:r>
        <w:t xml:space="preserve"> </w:t>
      </w:r>
      <w:r>
        <w:tab/>
        <w:t>Закон № 200/1990 </w:t>
      </w:r>
      <w:r>
        <w:rPr>
          <w:lang w:val="en-US"/>
        </w:rPr>
        <w:t>Coll</w:t>
      </w:r>
      <w:r>
        <w:t>. о правонарушениях с внесенными в него впоследствии поправками.</w:t>
      </w:r>
    </w:p>
  </w:footnote>
  <w:footnote w:id="240">
    <w:p w:rsidR="00000000" w:rsidRDefault="00000000">
      <w:pPr>
        <w:pStyle w:val="FootnoteText"/>
      </w:pPr>
    </w:p>
    <w:p w:rsidR="00000000" w:rsidRDefault="00000000">
      <w:pPr>
        <w:pStyle w:val="FootnoteText"/>
      </w:pPr>
      <w:r>
        <w:rPr>
          <w:rStyle w:val="FootnoteReference"/>
        </w:rPr>
        <w:footnoteRef/>
      </w:r>
      <w:r>
        <w:t xml:space="preserve"> </w:t>
      </w:r>
      <w:r>
        <w:tab/>
        <w:t>Закон № 65/1965 </w:t>
      </w:r>
      <w:r>
        <w:rPr>
          <w:lang w:val="en-US"/>
        </w:rPr>
        <w:t>Coll</w:t>
      </w:r>
      <w:r>
        <w:t>. о Кодексе законов о труде с внесенными в него впоследствии поправками.</w:t>
      </w:r>
    </w:p>
  </w:footnote>
  <w:footnote w:id="241">
    <w:p w:rsidR="00000000" w:rsidRDefault="00000000">
      <w:pPr>
        <w:pStyle w:val="FootnoteText"/>
      </w:pPr>
      <w:r>
        <w:rPr>
          <w:rStyle w:val="FootnoteReference"/>
        </w:rPr>
        <w:footnoteRef/>
      </w:r>
      <w:r>
        <w:t xml:space="preserve"> </w:t>
      </w:r>
      <w:r>
        <w:tab/>
        <w:t>Постановление министра здравоохранения № 261/1997 </w:t>
      </w:r>
      <w:r>
        <w:rPr>
          <w:lang w:val="en-US"/>
        </w:rPr>
        <w:t>Coll</w:t>
      </w:r>
      <w:r>
        <w:t>., определяющее работы и рабочие места, на которых запрещается использовать женщин вообще, беременных женщин, матерей до истечения девяти месяцев после родов и подростков, а также условия, при которых подростки могут в исключительных случаях выполнять такие работы в целях прохождения профессиональной подготовки, с внесенными в него впоследствии поправками.</w:t>
      </w:r>
    </w:p>
  </w:footnote>
  <w:footnote w:id="242">
    <w:p w:rsidR="00000000" w:rsidRDefault="00000000">
      <w:pPr>
        <w:pStyle w:val="FootnoteText"/>
      </w:pPr>
      <w:r>
        <w:rPr>
          <w:rStyle w:val="FootnoteReference"/>
        </w:rPr>
        <w:footnoteRef/>
      </w:r>
      <w:r>
        <w:t xml:space="preserve"> </w:t>
      </w:r>
      <w:r>
        <w:tab/>
        <w:t>Закон № 468/1991 </w:t>
      </w:r>
      <w:r>
        <w:rPr>
          <w:lang w:val="en-US"/>
        </w:rPr>
        <w:t>Coll</w:t>
      </w:r>
      <w:r>
        <w:t>. о радио- и телевещании с внесенными в него впоследствии поправками.</w:t>
      </w:r>
    </w:p>
  </w:footnote>
  <w:footnote w:id="243">
    <w:p w:rsidR="00000000" w:rsidRDefault="00000000">
      <w:pPr>
        <w:pStyle w:val="FootnoteText"/>
      </w:pPr>
    </w:p>
    <w:p w:rsidR="00000000" w:rsidRDefault="00000000">
      <w:pPr>
        <w:pStyle w:val="FootnoteText"/>
      </w:pPr>
      <w:r>
        <w:rPr>
          <w:rStyle w:val="FootnoteReference"/>
        </w:rPr>
        <w:footnoteRef/>
      </w:r>
      <w:r>
        <w:t xml:space="preserve"> </w:t>
      </w:r>
      <w:r>
        <w:tab/>
        <w:t>Закон № 273/1993 </w:t>
      </w:r>
      <w:r>
        <w:rPr>
          <w:lang w:val="en-US"/>
        </w:rPr>
        <w:t>Coll</w:t>
      </w:r>
      <w:r>
        <w:t>. об определенных условиях производства, распространения и архивирования аудиовизуальной продукции, содержащей поправки и дополняющей некоторые законы и некоторые другие правовые нормы.</w:t>
      </w:r>
    </w:p>
  </w:footnote>
  <w:footnote w:id="244">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40/1995 </w:t>
      </w:r>
      <w:r>
        <w:rPr>
          <w:lang w:val="en-US"/>
        </w:rPr>
        <w:t>Coll</w:t>
      </w:r>
      <w:r>
        <w:t>. о регулировании рекламы с внесенными в него впоследствии поправками.</w:t>
      </w:r>
    </w:p>
    <w:p w:rsidR="00000000" w:rsidRDefault="00000000">
      <w:pPr>
        <w:pStyle w:val="FootnoteText"/>
      </w:pPr>
    </w:p>
  </w:footnote>
  <w:footnote w:id="245">
    <w:p w:rsidR="00000000" w:rsidRDefault="00000000">
      <w:pPr>
        <w:pStyle w:val="FootnoteText"/>
      </w:pPr>
      <w:r>
        <w:rPr>
          <w:rStyle w:val="FootnoteReference"/>
        </w:rPr>
        <w:footnoteRef/>
      </w:r>
      <w:r>
        <w:t xml:space="preserve"> </w:t>
      </w:r>
      <w:r>
        <w:tab/>
        <w:t xml:space="preserve">Закон № 140/1991 </w:t>
      </w:r>
      <w:r>
        <w:rPr>
          <w:lang w:val="en-US"/>
        </w:rPr>
        <w:t>Coll</w:t>
      </w:r>
      <w:r>
        <w:t>., Уголовный кодекс с внесенными в него впоследствии поправками.</w:t>
      </w:r>
    </w:p>
    <w:p w:rsidR="00000000" w:rsidRDefault="00000000">
      <w:pPr>
        <w:pStyle w:val="FootnoteText"/>
      </w:pPr>
    </w:p>
  </w:footnote>
  <w:footnote w:id="246">
    <w:p w:rsidR="00000000" w:rsidRDefault="00000000">
      <w:pPr>
        <w:pStyle w:val="FootnoteText"/>
      </w:pPr>
      <w:r>
        <w:rPr>
          <w:rStyle w:val="FootnoteReference"/>
        </w:rPr>
        <w:footnoteRef/>
      </w:r>
      <w:r>
        <w:t xml:space="preserve"> </w:t>
      </w:r>
      <w:r>
        <w:tab/>
        <w:t>Постановление правительства Чешской Республики № 273 от 15 апреля 1992 года о Национальной программе в области здравоохранения.</w:t>
      </w:r>
    </w:p>
  </w:footnote>
  <w:footnote w:id="247">
    <w:p w:rsidR="00000000" w:rsidRDefault="00000000">
      <w:pPr>
        <w:pStyle w:val="FootnoteText"/>
      </w:pPr>
      <w:r>
        <w:rPr>
          <w:rStyle w:val="FootnoteReference"/>
        </w:rPr>
        <w:footnoteRef/>
      </w:r>
      <w:r>
        <w:t xml:space="preserve"> </w:t>
      </w:r>
      <w:r>
        <w:tab/>
        <w:t xml:space="preserve">Постановление министерства финансов № 176/1993 </w:t>
      </w:r>
      <w:r>
        <w:rPr>
          <w:lang w:val="en-US"/>
        </w:rPr>
        <w:t>Coll</w:t>
      </w:r>
      <w:r>
        <w:t>. об арендной плате за жилье и плате за услуги, оказываемые в связи с использованием жилья, с внесенными впоследствии поправками.</w:t>
      </w:r>
    </w:p>
  </w:footnote>
  <w:footnote w:id="248">
    <w:p w:rsidR="00000000" w:rsidRDefault="00000000">
      <w:pPr>
        <w:pStyle w:val="FootnoteText"/>
      </w:pPr>
      <w:r>
        <w:rPr>
          <w:rStyle w:val="FootnoteReference"/>
        </w:rPr>
        <w:footnoteRef/>
      </w:r>
      <w:r>
        <w:t xml:space="preserve"> </w:t>
      </w:r>
      <w:r>
        <w:tab/>
        <w:t>Закон № 102/1992 С</w:t>
      </w:r>
      <w:r>
        <w:rPr>
          <w:lang w:val="en-US"/>
        </w:rPr>
        <w:t>oll</w:t>
      </w:r>
      <w:r>
        <w:t>., содержащий поправки по некоторым вопросам, связанным с провозглашением Закона № 509/1991 С</w:t>
      </w:r>
      <w:r>
        <w:rPr>
          <w:lang w:val="en-US"/>
        </w:rPr>
        <w:t>oll</w:t>
      </w:r>
      <w:r>
        <w:t>., который содержит поправки, изменения и коррективы к Гражданскому кодексу, с последующими поправками.</w:t>
      </w:r>
    </w:p>
  </w:footnote>
  <w:footnote w:id="249">
    <w:p w:rsidR="00000000" w:rsidRDefault="00000000">
      <w:pPr>
        <w:pStyle w:val="FootnoteText"/>
      </w:pPr>
      <w:r>
        <w:rPr>
          <w:rStyle w:val="FootnoteReference"/>
        </w:rPr>
        <w:footnoteRef/>
      </w:r>
      <w:r>
        <w:t xml:space="preserve"> </w:t>
      </w:r>
      <w:r>
        <w:tab/>
        <w:t xml:space="preserve">Согласно Закону № 117/1995 </w:t>
      </w:r>
      <w:r>
        <w:rPr>
          <w:lang w:val="en-US"/>
        </w:rPr>
        <w:t>Coll</w:t>
      </w:r>
      <w:r>
        <w:t>. о государственных социальных льготах с внесенными в него впоследствии поправками;  статья 26 и далее.</w:t>
      </w:r>
    </w:p>
    <w:p w:rsidR="00000000" w:rsidRDefault="00000000">
      <w:pPr>
        <w:pStyle w:val="FootnoteText"/>
      </w:pPr>
    </w:p>
  </w:footnote>
  <w:footnote w:id="250">
    <w:p w:rsidR="00000000" w:rsidRDefault="00000000">
      <w:pPr>
        <w:pStyle w:val="FootnoteText"/>
      </w:pPr>
      <w:r>
        <w:rPr>
          <w:rStyle w:val="FootnoteReference"/>
        </w:rPr>
        <w:footnoteRef/>
      </w:r>
      <w:r>
        <w:t xml:space="preserve"> </w:t>
      </w:r>
      <w:r>
        <w:tab/>
        <w:t xml:space="preserve">Согласно Закону № 132/1997 </w:t>
      </w:r>
      <w:r>
        <w:rPr>
          <w:lang w:val="en-US"/>
        </w:rPr>
        <w:t>Coll</w:t>
      </w:r>
      <w:r>
        <w:t xml:space="preserve">. о пособиях для компенсации арендной платы, содержащему поправки к Закону № 117/1995 </w:t>
      </w:r>
      <w:r>
        <w:rPr>
          <w:lang w:val="en-US"/>
        </w:rPr>
        <w:t>Coll</w:t>
      </w:r>
      <w:r>
        <w:t xml:space="preserve">. о государственных социальных пособиях с внесенными в него впоследствии поправками. </w:t>
      </w:r>
    </w:p>
    <w:p w:rsidR="00000000" w:rsidRDefault="00000000">
      <w:pPr>
        <w:pStyle w:val="FootnoteText"/>
      </w:pPr>
    </w:p>
  </w:footnote>
  <w:footnote w:id="251">
    <w:p w:rsidR="00000000" w:rsidRDefault="00000000">
      <w:pPr>
        <w:pStyle w:val="FootnoteText"/>
      </w:pPr>
      <w:r>
        <w:rPr>
          <w:rStyle w:val="FootnoteReference"/>
        </w:rPr>
        <w:footnoteRef/>
      </w:r>
      <w:r>
        <w:t xml:space="preserve"> </w:t>
      </w:r>
      <w:r>
        <w:tab/>
        <w:t xml:space="preserve">Согласно Закону № 75/1997 </w:t>
      </w:r>
      <w:r>
        <w:rPr>
          <w:lang w:val="en-US"/>
        </w:rPr>
        <w:t>Coll</w:t>
      </w:r>
      <w:r>
        <w:t>. о пособии для компенсации роста цен на топливо.</w:t>
      </w:r>
    </w:p>
    <w:p w:rsidR="00000000" w:rsidRDefault="00000000">
      <w:pPr>
        <w:pStyle w:val="FootnoteText"/>
      </w:pPr>
    </w:p>
  </w:footnote>
  <w:footnote w:id="252">
    <w:p w:rsidR="00000000" w:rsidRDefault="00000000">
      <w:pPr>
        <w:pStyle w:val="FootnoteText"/>
      </w:pPr>
      <w:r>
        <w:rPr>
          <w:rStyle w:val="FootnoteReference"/>
        </w:rPr>
        <w:footnoteRef/>
      </w:r>
      <w:r>
        <w:t xml:space="preserve"> </w:t>
      </w:r>
      <w:r>
        <w:tab/>
        <w:t>Источник информации:  проект концепции жилищной политики, часть, озаглавленная "Принципы нового материального пособия в связи с арендной платой".  См. постановление правительства Чешской Республики № 1088 от 18 октября 1999 года об Основных направлениях жилищной политики.</w:t>
      </w:r>
    </w:p>
    <w:p w:rsidR="00000000" w:rsidRDefault="00000000">
      <w:pPr>
        <w:pStyle w:val="FootnoteText"/>
      </w:pPr>
    </w:p>
  </w:footnote>
  <w:footnote w:id="253">
    <w:p w:rsidR="00000000" w:rsidRDefault="00000000">
      <w:pPr>
        <w:pStyle w:val="FootnoteText"/>
      </w:pPr>
      <w:r>
        <w:rPr>
          <w:rStyle w:val="FootnoteReference"/>
        </w:rPr>
        <w:footnoteRef/>
      </w:r>
      <w:r>
        <w:t xml:space="preserve"> </w:t>
      </w:r>
      <w:r>
        <w:tab/>
        <w:t xml:space="preserve">Закон № 102/1992 </w:t>
      </w:r>
      <w:r>
        <w:rPr>
          <w:lang w:val="en-US"/>
        </w:rPr>
        <w:t>Coll</w:t>
      </w:r>
      <w:r>
        <w:t xml:space="preserve">. о внесении поправок в отношении некоторых вопросов, связанных с провозглашением Закона № 509/1991 </w:t>
      </w:r>
      <w:r>
        <w:rPr>
          <w:lang w:val="en-US"/>
        </w:rPr>
        <w:t>Coll</w:t>
      </w:r>
      <w:r>
        <w:t>. о внесении поправок, добавлений и изменений в Гражданский кодекс.</w:t>
      </w:r>
    </w:p>
    <w:p w:rsidR="00000000" w:rsidRDefault="00000000">
      <w:pPr>
        <w:pStyle w:val="FootnoteText"/>
      </w:pPr>
    </w:p>
  </w:footnote>
  <w:footnote w:id="254">
    <w:p w:rsidR="00000000" w:rsidRDefault="00000000">
      <w:pPr>
        <w:pStyle w:val="FootnoteText"/>
      </w:pPr>
      <w:r>
        <w:rPr>
          <w:rStyle w:val="FootnoteReference"/>
        </w:rPr>
        <w:footnoteRef/>
      </w:r>
      <w:r>
        <w:t xml:space="preserve"> </w:t>
      </w:r>
      <w:r>
        <w:tab/>
        <w:t xml:space="preserve">Закон № 72/1994 </w:t>
      </w:r>
      <w:r>
        <w:rPr>
          <w:lang w:val="en-US"/>
        </w:rPr>
        <w:t>Coll</w:t>
      </w:r>
      <w:r>
        <w:t xml:space="preserve">., регулирующий некоторые права совместной собственности на здания и некоторые права собственности на жилища и нежилые помещения и дополняющий некоторые законы (Закон о собственности на жилище) с поправками, внесенными согласно Закону № 273/1994 </w:t>
      </w:r>
      <w:r>
        <w:rPr>
          <w:lang w:val="en-US"/>
        </w:rPr>
        <w:t>Coll</w:t>
      </w:r>
      <w:r>
        <w:t>.</w:t>
      </w:r>
    </w:p>
    <w:p w:rsidR="00000000" w:rsidRDefault="00000000">
      <w:pPr>
        <w:pStyle w:val="FootnoteText"/>
      </w:pPr>
    </w:p>
  </w:footnote>
  <w:footnote w:id="255">
    <w:p w:rsidR="00000000" w:rsidRDefault="00000000">
      <w:pPr>
        <w:pStyle w:val="FootnoteText"/>
      </w:pPr>
      <w:r>
        <w:rPr>
          <w:rStyle w:val="FootnoteReference"/>
        </w:rPr>
        <w:footnoteRef/>
      </w:r>
      <w:r>
        <w:t xml:space="preserve"> </w:t>
      </w:r>
      <w:r>
        <w:tab/>
        <w:t xml:space="preserve">Закон № 526/1990 </w:t>
      </w:r>
      <w:r>
        <w:rPr>
          <w:lang w:val="en-US"/>
        </w:rPr>
        <w:t>Coll</w:t>
      </w:r>
      <w:r>
        <w:t>. о ценах с внесенными в него впоследствии поправками.</w:t>
      </w:r>
    </w:p>
    <w:p w:rsidR="00000000" w:rsidRDefault="00000000">
      <w:pPr>
        <w:pStyle w:val="FootnoteText"/>
      </w:pPr>
    </w:p>
  </w:footnote>
  <w:footnote w:id="256">
    <w:p w:rsidR="00000000" w:rsidRDefault="00000000">
      <w:pPr>
        <w:pStyle w:val="FootnoteText"/>
      </w:pPr>
      <w:r>
        <w:rPr>
          <w:rStyle w:val="FootnoteReference"/>
        </w:rPr>
        <w:footnoteRef/>
      </w:r>
      <w:r>
        <w:t xml:space="preserve"> </w:t>
      </w:r>
      <w:r>
        <w:tab/>
        <w:t xml:space="preserve">Закон № 367/1990 </w:t>
      </w:r>
      <w:r>
        <w:rPr>
          <w:lang w:val="en-US"/>
        </w:rPr>
        <w:t>Coll</w:t>
      </w:r>
      <w:r>
        <w:t>. о муниципалитетах с внесенными в него впоследствии поправками.</w:t>
      </w:r>
    </w:p>
    <w:p w:rsidR="00000000" w:rsidRDefault="00000000">
      <w:pPr>
        <w:pStyle w:val="FootnoteText"/>
      </w:pPr>
    </w:p>
  </w:footnote>
  <w:footnote w:id="257">
    <w:p w:rsidR="00000000" w:rsidRDefault="00000000">
      <w:pPr>
        <w:pStyle w:val="FootnoteText"/>
      </w:pPr>
      <w:r>
        <w:rPr>
          <w:rStyle w:val="FootnoteReference"/>
        </w:rPr>
        <w:footnoteRef/>
      </w:r>
      <w:r>
        <w:t xml:space="preserve"> </w:t>
      </w:r>
      <w:r>
        <w:tab/>
        <w:t xml:space="preserve">Закон № 418/1990 </w:t>
      </w:r>
      <w:r>
        <w:rPr>
          <w:lang w:val="en-US"/>
        </w:rPr>
        <w:t>Coll</w:t>
      </w:r>
      <w:r>
        <w:t>. о столичном городе Прага с внесенными в него впоследствии поправками.</w:t>
      </w:r>
    </w:p>
    <w:p w:rsidR="00000000" w:rsidRDefault="00000000">
      <w:pPr>
        <w:pStyle w:val="FootnoteText"/>
      </w:pPr>
    </w:p>
  </w:footnote>
  <w:footnote w:id="258">
    <w:p w:rsidR="00000000" w:rsidRDefault="00000000">
      <w:pPr>
        <w:pStyle w:val="FootnoteText"/>
      </w:pPr>
      <w:r>
        <w:rPr>
          <w:rStyle w:val="FootnoteReference"/>
        </w:rPr>
        <w:footnoteRef/>
      </w:r>
      <w:r>
        <w:t xml:space="preserve"> </w:t>
      </w:r>
      <w:r>
        <w:tab/>
        <w:t xml:space="preserve">Постановление министерства финансов № 85/1997 </w:t>
      </w:r>
      <w:r>
        <w:rPr>
          <w:lang w:val="en-US"/>
        </w:rPr>
        <w:t>Coll</w:t>
      </w:r>
      <w:r>
        <w:t>. об арендной плате за жилье, создаваемое в кооперативных домах, и о порядке предоставления услуг, оказываемых в связи с использованием жилья.</w:t>
      </w:r>
    </w:p>
    <w:p w:rsidR="00000000" w:rsidRDefault="00000000">
      <w:pPr>
        <w:pStyle w:val="FootnoteText"/>
      </w:pPr>
    </w:p>
  </w:footnote>
  <w:footnote w:id="259">
    <w:p w:rsidR="00000000" w:rsidRDefault="00000000">
      <w:pPr>
        <w:pStyle w:val="FootnoteText"/>
      </w:pPr>
      <w:r>
        <w:rPr>
          <w:rStyle w:val="FootnoteReference"/>
        </w:rPr>
        <w:footnoteRef/>
      </w:r>
      <w:r>
        <w:t xml:space="preserve"> </w:t>
      </w:r>
      <w:r>
        <w:tab/>
        <w:t xml:space="preserve">Закон № 140/1961 </w:t>
      </w:r>
      <w:r>
        <w:rPr>
          <w:lang w:val="en-US"/>
        </w:rPr>
        <w:t>Coll</w:t>
      </w:r>
      <w:r>
        <w:t>., Уголовный кодекс с внесенными в него впоследствии поправками.</w:t>
      </w:r>
    </w:p>
    <w:p w:rsidR="00000000" w:rsidRDefault="00000000">
      <w:pPr>
        <w:pStyle w:val="FootnoteText"/>
      </w:pPr>
    </w:p>
  </w:footnote>
  <w:footnote w:id="260">
    <w:p w:rsidR="00000000" w:rsidRDefault="00000000">
      <w:pPr>
        <w:pStyle w:val="FootnoteText"/>
      </w:pPr>
      <w:r>
        <w:rPr>
          <w:rStyle w:val="FootnoteReference"/>
        </w:rPr>
        <w:footnoteRef/>
      </w:r>
      <w:r>
        <w:t xml:space="preserve"> </w:t>
      </w:r>
      <w:r>
        <w:tab/>
        <w:t xml:space="preserve">Закон № 50/1976 </w:t>
      </w:r>
      <w:r>
        <w:rPr>
          <w:lang w:val="en-US"/>
        </w:rPr>
        <w:t>Coll</w:t>
      </w:r>
      <w:r>
        <w:t>. о районировании и Строительный кодекс (Закон о строительстве) с внесенными впоследствии поправками, а также связанные с ними законы и нормы, регулирующие порядок осуществления.</w:t>
      </w:r>
    </w:p>
    <w:p w:rsidR="00000000" w:rsidRDefault="00000000">
      <w:pPr>
        <w:pStyle w:val="FootnoteText"/>
      </w:pPr>
    </w:p>
  </w:footnote>
  <w:footnote w:id="261">
    <w:p w:rsidR="00000000" w:rsidRDefault="00000000">
      <w:pPr>
        <w:pStyle w:val="FootnoteText"/>
      </w:pPr>
      <w:r>
        <w:rPr>
          <w:rStyle w:val="FootnoteReference"/>
        </w:rPr>
        <w:footnoteRef/>
      </w:r>
      <w:r>
        <w:t xml:space="preserve"> </w:t>
      </w:r>
      <w:r>
        <w:tab/>
        <w:t xml:space="preserve">Закон № 265/1992 </w:t>
      </w:r>
      <w:r>
        <w:rPr>
          <w:lang w:val="en-US"/>
        </w:rPr>
        <w:t>Coll</w:t>
      </w:r>
      <w:r>
        <w:t>. о регистрации собственности и других существенных правах на недвижимое имущество с внесенными в него впоследствии поправками.</w:t>
      </w:r>
    </w:p>
    <w:p w:rsidR="00000000" w:rsidRDefault="00000000">
      <w:pPr>
        <w:pStyle w:val="FootnoteText"/>
      </w:pPr>
    </w:p>
  </w:footnote>
  <w:footnote w:id="262">
    <w:p w:rsidR="00000000" w:rsidRDefault="00000000">
      <w:pPr>
        <w:pStyle w:val="FootnoteText"/>
      </w:pPr>
      <w:r>
        <w:rPr>
          <w:rStyle w:val="FootnoteReference"/>
        </w:rPr>
        <w:footnoteRef/>
      </w:r>
      <w:r>
        <w:t xml:space="preserve"> </w:t>
      </w:r>
      <w:r>
        <w:tab/>
        <w:t xml:space="preserve">Закон № 344/1992 </w:t>
      </w:r>
      <w:r>
        <w:rPr>
          <w:lang w:val="en-US"/>
        </w:rPr>
        <w:t>Coll</w:t>
      </w:r>
      <w:r>
        <w:t>. о реестре недвижимого имущества с внесенными в него впоследствии поправками.</w:t>
      </w:r>
    </w:p>
    <w:p w:rsidR="00000000" w:rsidRDefault="00000000">
      <w:pPr>
        <w:pStyle w:val="FootnoteText"/>
      </w:pPr>
    </w:p>
  </w:footnote>
  <w:footnote w:id="263">
    <w:p w:rsidR="00000000" w:rsidRDefault="00000000">
      <w:pPr>
        <w:pStyle w:val="FootnoteText"/>
      </w:pPr>
      <w:r>
        <w:rPr>
          <w:rStyle w:val="FootnoteReference"/>
        </w:rPr>
        <w:footnoteRef/>
      </w:r>
      <w:r>
        <w:t xml:space="preserve"> </w:t>
      </w:r>
      <w:r>
        <w:tab/>
        <w:t xml:space="preserve">Закон № 427/1990 </w:t>
      </w:r>
      <w:r>
        <w:rPr>
          <w:lang w:val="en-US"/>
        </w:rPr>
        <w:t>Coll</w:t>
      </w:r>
      <w:r>
        <w:t>. о передаче права собственности государства на некоторые виды имущества другим юридическим или физическим лицам с внесенными в него впоследствии поправками.</w:t>
      </w:r>
    </w:p>
    <w:p w:rsidR="00000000" w:rsidRDefault="00000000">
      <w:pPr>
        <w:pStyle w:val="FootnoteText"/>
      </w:pPr>
    </w:p>
  </w:footnote>
  <w:footnote w:id="264">
    <w:p w:rsidR="00000000" w:rsidRDefault="00000000">
      <w:pPr>
        <w:pStyle w:val="FootnoteText"/>
      </w:pPr>
      <w:r>
        <w:rPr>
          <w:rStyle w:val="FootnoteReference"/>
        </w:rPr>
        <w:footnoteRef/>
      </w:r>
      <w:r>
        <w:t xml:space="preserve"> </w:t>
      </w:r>
      <w:r>
        <w:tab/>
        <w:t xml:space="preserve">Закон № 229/1990 </w:t>
      </w:r>
      <w:r>
        <w:rPr>
          <w:lang w:val="en-US"/>
        </w:rPr>
        <w:t>Coll</w:t>
      </w:r>
      <w:r>
        <w:t>., регулирующий право собственности на землю и другое сельскохозяйственное имущество с внесенными в него впоследствии поправками.</w:t>
      </w:r>
    </w:p>
    <w:p w:rsidR="00000000" w:rsidRDefault="00000000">
      <w:pPr>
        <w:pStyle w:val="FootnoteText"/>
      </w:pPr>
    </w:p>
  </w:footnote>
  <w:footnote w:id="265">
    <w:p w:rsidR="00000000" w:rsidRDefault="00000000">
      <w:pPr>
        <w:pStyle w:val="FootnoteText"/>
      </w:pPr>
      <w:r>
        <w:rPr>
          <w:rStyle w:val="FootnoteReference"/>
        </w:rPr>
        <w:footnoteRef/>
      </w:r>
      <w:r>
        <w:t xml:space="preserve"> </w:t>
      </w:r>
      <w:r>
        <w:tab/>
        <w:t xml:space="preserve">Закон № 92/1991 </w:t>
      </w:r>
      <w:r>
        <w:rPr>
          <w:lang w:val="en-US"/>
        </w:rPr>
        <w:t>Coll</w:t>
      </w:r>
      <w:r>
        <w:t>. об условиях передачи государственной собственности другим лицам с внесенными в него впоследствии поправками.</w:t>
      </w:r>
    </w:p>
    <w:p w:rsidR="00000000" w:rsidRDefault="00000000">
      <w:pPr>
        <w:pStyle w:val="FootnoteText"/>
      </w:pPr>
    </w:p>
  </w:footnote>
  <w:footnote w:id="266">
    <w:p w:rsidR="00000000" w:rsidRDefault="00000000">
      <w:pPr>
        <w:pStyle w:val="FootnoteText"/>
      </w:pPr>
      <w:r>
        <w:rPr>
          <w:rStyle w:val="FootnoteReference"/>
        </w:rPr>
        <w:footnoteRef/>
      </w:r>
      <w:r>
        <w:t xml:space="preserve"> </w:t>
      </w:r>
      <w:r>
        <w:tab/>
        <w:t xml:space="preserve">Закон № 172/1991 </w:t>
      </w:r>
      <w:r>
        <w:rPr>
          <w:lang w:val="en-US"/>
        </w:rPr>
        <w:t>Coll</w:t>
      </w:r>
      <w:r>
        <w:t>. о передаче некоторых видов имущества из собственности Чешской Республики в собственность муниципалитетов с внесенными в него впоследствии поправками.</w:t>
      </w:r>
    </w:p>
    <w:p w:rsidR="00000000" w:rsidRDefault="00000000">
      <w:pPr>
        <w:pStyle w:val="FootnoteText"/>
      </w:pPr>
    </w:p>
  </w:footnote>
  <w:footnote w:id="267">
    <w:p w:rsidR="00000000" w:rsidRDefault="00000000">
      <w:pPr>
        <w:pStyle w:val="FootnoteText"/>
      </w:pPr>
      <w:r>
        <w:rPr>
          <w:rStyle w:val="FootnoteReference"/>
        </w:rPr>
        <w:footnoteRef/>
      </w:r>
      <w:r>
        <w:t xml:space="preserve"> </w:t>
      </w:r>
      <w:r>
        <w:tab/>
        <w:t xml:space="preserve">Закон № 42/1992 </w:t>
      </w:r>
      <w:r>
        <w:rPr>
          <w:lang w:val="en-US"/>
        </w:rPr>
        <w:t>Coll</w:t>
      </w:r>
      <w:r>
        <w:t>., регулирующий отношения собственности и устанавливающий права собственности в кооперативах с внесенными в него впоследствии изменениями.</w:t>
      </w:r>
    </w:p>
    <w:p w:rsidR="00000000" w:rsidRDefault="00000000">
      <w:pPr>
        <w:pStyle w:val="FootnoteText"/>
      </w:pPr>
    </w:p>
  </w:footnote>
  <w:footnote w:id="268">
    <w:p w:rsidR="00000000" w:rsidRDefault="00000000">
      <w:pPr>
        <w:pStyle w:val="FootnoteText"/>
      </w:pPr>
      <w:r>
        <w:rPr>
          <w:rStyle w:val="FootnoteReference"/>
        </w:rPr>
        <w:footnoteRef/>
      </w:r>
      <w:r>
        <w:t xml:space="preserve"> </w:t>
      </w:r>
      <w:r>
        <w:tab/>
        <w:t xml:space="preserve">Закон № 151/1997 </w:t>
      </w:r>
      <w:r>
        <w:rPr>
          <w:lang w:val="en-US"/>
        </w:rPr>
        <w:t>Coll</w:t>
      </w:r>
      <w:r>
        <w:t>. об оценке собственности и внесении поправок в некоторые законы.</w:t>
      </w:r>
    </w:p>
    <w:p w:rsidR="00000000" w:rsidRDefault="00000000">
      <w:pPr>
        <w:pStyle w:val="FootnoteText"/>
      </w:pPr>
    </w:p>
  </w:footnote>
  <w:footnote w:id="269">
    <w:p w:rsidR="00000000" w:rsidRDefault="00000000">
      <w:pPr>
        <w:pStyle w:val="FootnoteText"/>
        <w:spacing w:line="288" w:lineRule="auto"/>
      </w:pPr>
      <w:r>
        <w:rPr>
          <w:rStyle w:val="FootnoteReference"/>
        </w:rPr>
        <w:footnoteRef/>
      </w:r>
      <w:r>
        <w:t xml:space="preserve"> </w:t>
      </w:r>
      <w:r>
        <w:tab/>
        <w:t xml:space="preserve">Владелец может направить уведомление о прекращении действия договора об аренде квартиры лишь с согласия (соответствующего) суда и лишь по следующим причинам:  а)  если он сам, его жена, его дети, внуки, зять или невестка, родители или братья или сестры нуждаются в этой квартире;  </w:t>
      </w:r>
      <w:r>
        <w:rPr>
          <w:lang w:val="en-US"/>
        </w:rPr>
        <w:t>b</w:t>
      </w:r>
      <w:r>
        <w:t xml:space="preserve">)  если арендатор прекратил работать на владельца и владельцу необходимо сдать эту квартиру другому арендатору, который будет работать на него;  с)  если арендатор или проживающие с ними лица, несмотря на письменное предупреждение, совершают серьезные нарушения норм нравственности в здании;  </w:t>
      </w:r>
      <w:r>
        <w:rPr>
          <w:lang w:val="en-US"/>
        </w:rPr>
        <w:t>d</w:t>
      </w:r>
      <w:r>
        <w:t>)  если арендатор совершает серьезные нарушения своих обязательств, вытекающих из договора об аренде квартиры, в частности путем неуплаты арендной платы или сборов за услуги, связанные с использованием квартиры, в течение периода продолжительностью более трех месяцев;  е)  если существует необходимость, обусловленная общественными интересами, в отчуждении квартиры или здания, с тем чтобы они не могли более использоваться, или если квартира или здание нуждаются в проведении ремонтных работ, в ходе которых они не могут использоваться на протяжении более длительного периода времени;  f)  если квартира структурно соединяется с помещениями, предназначенными для магазина или иной предпринимательской деятельности, и арендатор или владелец этих нежилых помещений желает использовать данную квартиру;  g)  если арендатор имеет две или более квартир, за исключением тех случаев, когда ему не может быть предъявлено справедливое требование пользоваться лишь одной квартирой;  h)  если арендатор, без каких-либо серьезных причин, не пользуется квартирой или если он пользуется квартирой, без каких-либо серьезных причин, лишь время от времени;  i)  если квартира имеет специальное предназначение или находится в доме, имеющем специальное предназначение, и арендатор не является инвалидом.</w:t>
      </w:r>
    </w:p>
  </w:footnote>
  <w:footnote w:id="270">
    <w:p w:rsidR="00000000" w:rsidRDefault="00000000">
      <w:pPr>
        <w:pStyle w:val="FootnoteText"/>
      </w:pPr>
    </w:p>
    <w:p w:rsidR="00000000" w:rsidRDefault="00000000">
      <w:pPr>
        <w:pStyle w:val="FootnoteText"/>
      </w:pPr>
      <w:r>
        <w:rPr>
          <w:rStyle w:val="FootnoteReference"/>
        </w:rPr>
        <w:footnoteRef/>
      </w:r>
      <w:r>
        <w:tab/>
        <w:t xml:space="preserve">Закон № 117/1995 </w:t>
      </w:r>
      <w:r>
        <w:rPr>
          <w:lang w:val="en-US"/>
        </w:rPr>
        <w:t>Coll</w:t>
      </w:r>
      <w:r>
        <w:t>. о государственной социальной помощи с внесенными в него впоследствии поправками.</w:t>
      </w:r>
    </w:p>
  </w:footnote>
  <w:footnote w:id="271">
    <w:p w:rsidR="00000000" w:rsidRDefault="00000000">
      <w:pPr>
        <w:pStyle w:val="FootnoteText"/>
      </w:pPr>
      <w:r>
        <w:rPr>
          <w:rStyle w:val="FootnoteReference"/>
        </w:rPr>
        <w:footnoteRef/>
      </w:r>
      <w:r>
        <w:t xml:space="preserve"> </w:t>
      </w:r>
      <w:r>
        <w:tab/>
        <w:t xml:space="preserve">Закон № 586/1992 </w:t>
      </w:r>
      <w:r>
        <w:rPr>
          <w:lang w:val="en-US"/>
        </w:rPr>
        <w:t>Coll</w:t>
      </w:r>
      <w:r>
        <w:t>. о подоходных налогах с внесенными впоследствии поправками.</w:t>
      </w:r>
    </w:p>
  </w:footnote>
  <w:footnote w:id="272">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96/1993 </w:t>
      </w:r>
      <w:r>
        <w:rPr>
          <w:lang w:val="en-US"/>
        </w:rPr>
        <w:t>Coll</w:t>
      </w:r>
      <w:r>
        <w:t xml:space="preserve">. о сберегательных счетах для строительства жилья и о государственной поддержке сберегательных счетов для строительства жилья и Дополнительный закон № 586/1992 </w:t>
      </w:r>
      <w:r>
        <w:rPr>
          <w:lang w:val="en-US"/>
        </w:rPr>
        <w:t>Coll</w:t>
      </w:r>
      <w:r>
        <w:t xml:space="preserve">. о подоходных налогах с поправками, внесенными согласно Закону № 83/1995 </w:t>
      </w:r>
      <w:r>
        <w:rPr>
          <w:lang w:val="en-US"/>
        </w:rPr>
        <w:t>Coll</w:t>
      </w:r>
      <w:r>
        <w:t>.</w:t>
      </w:r>
    </w:p>
  </w:footnote>
  <w:footnote w:id="273">
    <w:p w:rsidR="00000000" w:rsidRDefault="00000000">
      <w:pPr>
        <w:pStyle w:val="FootnoteText"/>
      </w:pPr>
    </w:p>
    <w:p w:rsidR="00000000" w:rsidRDefault="00000000">
      <w:pPr>
        <w:pStyle w:val="FootnoteText"/>
      </w:pPr>
      <w:r>
        <w:rPr>
          <w:rStyle w:val="FootnoteReference"/>
        </w:rPr>
        <w:footnoteRef/>
      </w:r>
      <w:r>
        <w:t xml:space="preserve"> </w:t>
      </w:r>
      <w:r>
        <w:tab/>
        <w:t xml:space="preserve">Постановление правительства № 244/1995 </w:t>
      </w:r>
      <w:r>
        <w:rPr>
          <w:lang w:val="en-US"/>
        </w:rPr>
        <w:t>Coll</w:t>
      </w:r>
      <w:r>
        <w:t>., в котором устанавливаются условия для государственной финансовой поддержки ипотечных займов для целей строительства жилья с внесенными в него впоследствии поправками, постановление правительства</w:t>
      </w:r>
      <w:r>
        <w:rPr>
          <w:lang w:val="en-US"/>
        </w:rPr>
        <w:t> </w:t>
      </w:r>
      <w:r>
        <w:t xml:space="preserve">№ 149/1997 </w:t>
      </w:r>
      <w:r>
        <w:rPr>
          <w:lang w:val="en-US"/>
        </w:rPr>
        <w:t>Coll</w:t>
      </w:r>
      <w:r>
        <w:t>., в котором устанавливаются условия для оказания дополнительной финансовой поддержки ипотекам для строительства жилья.</w:t>
      </w:r>
    </w:p>
  </w:footnote>
  <w:footnote w:id="274">
    <w:p w:rsidR="00000000" w:rsidRDefault="00000000">
      <w:pPr>
        <w:pStyle w:val="FootnoteText"/>
      </w:pPr>
    </w:p>
    <w:p w:rsidR="00000000" w:rsidRDefault="00000000">
      <w:pPr>
        <w:pStyle w:val="FootnoteText"/>
      </w:pPr>
      <w:r>
        <w:rPr>
          <w:rStyle w:val="FootnoteReference"/>
        </w:rPr>
        <w:footnoteRef/>
      </w:r>
      <w:r>
        <w:t xml:space="preserve"> </w:t>
      </w:r>
      <w:r>
        <w:tab/>
        <w:t xml:space="preserve">Постановление правительства № 148/1997 </w:t>
      </w:r>
      <w:r>
        <w:rPr>
          <w:lang w:val="en-US"/>
        </w:rPr>
        <w:t>Coll</w:t>
      </w:r>
      <w:r>
        <w:t>. о предоставлении беспроцентных займов для строительства жилья с впоследствии внесенными поправками.</w:t>
      </w:r>
    </w:p>
  </w:footnote>
  <w:footnote w:id="275">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50/1996 </w:t>
      </w:r>
      <w:r>
        <w:rPr>
          <w:lang w:val="en-US"/>
        </w:rPr>
        <w:t>Coll</w:t>
      </w:r>
      <w:r>
        <w:t>. о районировании и строительном кодексе (Закон о строительстве) с внесенными в него впоследствии поправками.</w:t>
      </w:r>
    </w:p>
  </w:footnote>
  <w:footnote w:id="276">
    <w:p w:rsidR="00000000" w:rsidRDefault="00000000">
      <w:pPr>
        <w:pStyle w:val="FootnoteText"/>
      </w:pPr>
      <w:r>
        <w:rPr>
          <w:rStyle w:val="FootnoteReference"/>
        </w:rPr>
        <w:footnoteRef/>
      </w:r>
      <w:r>
        <w:t xml:space="preserve"> </w:t>
      </w:r>
      <w:r>
        <w:tab/>
        <w:t xml:space="preserve">Постановление министерства местного развития № 131/1998 </w:t>
      </w:r>
      <w:r>
        <w:rPr>
          <w:lang w:val="en-US"/>
        </w:rPr>
        <w:t>Coll</w:t>
      </w:r>
      <w:r>
        <w:t>. об основах районирования и документации, касающейся районирования.</w:t>
      </w:r>
    </w:p>
  </w:footnote>
  <w:footnote w:id="277">
    <w:p w:rsidR="00000000" w:rsidRDefault="00000000">
      <w:pPr>
        <w:pStyle w:val="FootnoteText"/>
      </w:pPr>
    </w:p>
    <w:p w:rsidR="00000000" w:rsidRDefault="00000000">
      <w:pPr>
        <w:pStyle w:val="FootnoteText"/>
      </w:pPr>
      <w:r>
        <w:rPr>
          <w:rStyle w:val="FootnoteReference"/>
        </w:rPr>
        <w:footnoteRef/>
      </w:r>
      <w:r>
        <w:t xml:space="preserve"> </w:t>
      </w:r>
      <w:r>
        <w:tab/>
        <w:t xml:space="preserve">Постановление министерства местного развития № 137/1998 </w:t>
      </w:r>
      <w:r>
        <w:rPr>
          <w:lang w:val="en-US"/>
        </w:rPr>
        <w:t>Coll</w:t>
      </w:r>
      <w:r>
        <w:t>. об общих технических требованиях, предъявляемых к строительству.</w:t>
      </w:r>
    </w:p>
    <w:p w:rsidR="00000000" w:rsidRDefault="00000000">
      <w:pPr>
        <w:pStyle w:val="FootnoteText"/>
      </w:pPr>
    </w:p>
  </w:footnote>
  <w:footnote w:id="278">
    <w:p w:rsidR="00000000" w:rsidRDefault="00000000">
      <w:pPr>
        <w:pStyle w:val="FootnoteText"/>
      </w:pPr>
      <w:r>
        <w:rPr>
          <w:rStyle w:val="FootnoteReference"/>
        </w:rPr>
        <w:footnoteRef/>
      </w:r>
      <w:r>
        <w:t xml:space="preserve"> </w:t>
      </w:r>
      <w:r>
        <w:tab/>
        <w:t xml:space="preserve">Закон № 244/1992 </w:t>
      </w:r>
      <w:r>
        <w:rPr>
          <w:lang w:val="en-US"/>
        </w:rPr>
        <w:t>Coll</w:t>
      </w:r>
      <w:r>
        <w:t>. об оценке последствий для окружающей среды.</w:t>
      </w:r>
    </w:p>
  </w:footnote>
  <w:footnote w:id="279">
    <w:p w:rsidR="00000000" w:rsidRDefault="00000000">
      <w:pPr>
        <w:pStyle w:val="FootnoteText"/>
      </w:pPr>
      <w:r>
        <w:rPr>
          <w:rStyle w:val="FootnoteReference"/>
        </w:rPr>
        <w:footnoteRef/>
      </w:r>
      <w:r>
        <w:t xml:space="preserve"> </w:t>
      </w:r>
      <w:r>
        <w:tab/>
        <w:t>"Дома временного проживания" представляют собой социальные объекты, дома или квартиры, в которых организуется проживание и оказание социальных услуг, например, достигшим совершеннолетия молодым людям по окончании пребывания в государственном детском учреждении или превентивном задержании, лицам, освобожденным после отбывания срока лишения свободы или выписавшимся из наркотических клиник и т.д.</w:t>
      </w:r>
    </w:p>
    <w:p w:rsidR="00000000" w:rsidRDefault="00000000">
      <w:pPr>
        <w:pStyle w:val="FootnoteText"/>
      </w:pPr>
    </w:p>
  </w:footnote>
  <w:footnote w:id="280">
    <w:p w:rsidR="00000000" w:rsidRDefault="00000000">
      <w:pPr>
        <w:pStyle w:val="FootnoteText"/>
      </w:pPr>
      <w:r>
        <w:rPr>
          <w:rStyle w:val="FootnoteReference"/>
        </w:rPr>
        <w:footnoteRef/>
      </w:r>
      <w:r>
        <w:t xml:space="preserve"> </w:t>
      </w:r>
      <w:r>
        <w:tab/>
        <w:t xml:space="preserve">Закон № 102/1992 </w:t>
      </w:r>
      <w:r>
        <w:rPr>
          <w:lang w:val="en-US"/>
        </w:rPr>
        <w:t>Coll</w:t>
      </w:r>
      <w:r>
        <w:t xml:space="preserve">., содержащий поправки в отношении некоторых вопросов, связанных с провозглашением Закона № 509/1991 </w:t>
      </w:r>
      <w:r>
        <w:rPr>
          <w:lang w:val="en-US"/>
        </w:rPr>
        <w:t>Coll</w:t>
      </w:r>
      <w:r>
        <w:t>., который содержит поправки, добавления и изменения к Гражданскому кодексу, с внесенными в него впоследствии изменениями.</w:t>
      </w:r>
    </w:p>
  </w:footnote>
  <w:footnote w:id="281">
    <w:p w:rsidR="00000000" w:rsidRDefault="00000000">
      <w:pPr>
        <w:pStyle w:val="FootnoteText"/>
      </w:pPr>
      <w:r>
        <w:rPr>
          <w:rStyle w:val="FootnoteReference"/>
        </w:rPr>
        <w:footnoteRef/>
      </w:r>
      <w:r>
        <w:t xml:space="preserve"> </w:t>
      </w:r>
      <w:r>
        <w:tab/>
        <w:t xml:space="preserve">Закон № 95/1999 </w:t>
      </w:r>
      <w:r>
        <w:rPr>
          <w:lang w:val="en-US"/>
        </w:rPr>
        <w:t>Coll</w:t>
      </w:r>
      <w:r>
        <w:t xml:space="preserve">. об условиях передачи сельскохозяйственных и лесных земель из собственности государства в собственность других лиц, содержащий поправки к Закону № 569/1991 </w:t>
      </w:r>
      <w:r>
        <w:rPr>
          <w:lang w:val="en-US"/>
        </w:rPr>
        <w:t>Coll</w:t>
      </w:r>
      <w:r>
        <w:t>. о земельном фонде Чешской Республики, с внесенными в него впоследствии поправками.</w:t>
      </w:r>
    </w:p>
    <w:p w:rsidR="00000000" w:rsidRDefault="00000000">
      <w:pPr>
        <w:pStyle w:val="FootnoteText"/>
      </w:pPr>
    </w:p>
  </w:footnote>
  <w:footnote w:id="282">
    <w:p w:rsidR="00000000" w:rsidRDefault="00000000">
      <w:pPr>
        <w:pStyle w:val="FootnoteText"/>
      </w:pPr>
      <w:r>
        <w:rPr>
          <w:rStyle w:val="FootnoteReference"/>
        </w:rPr>
        <w:footnoteRef/>
      </w:r>
      <w:r>
        <w:t xml:space="preserve"> </w:t>
      </w:r>
      <w:r>
        <w:tab/>
        <w:t xml:space="preserve">Закон № 357/1992 </w:t>
      </w:r>
      <w:r>
        <w:rPr>
          <w:lang w:val="en-US"/>
        </w:rPr>
        <w:t>Coll</w:t>
      </w:r>
      <w:r>
        <w:t>. о налогообложении наследования, дарения и передачи недвижимой собственности, с внесенными в него впоследствии поправками.</w:t>
      </w:r>
    </w:p>
    <w:p w:rsidR="00000000" w:rsidRDefault="00000000">
      <w:pPr>
        <w:pStyle w:val="FootnoteText"/>
      </w:pPr>
    </w:p>
  </w:footnote>
  <w:footnote w:id="283">
    <w:p w:rsidR="00000000" w:rsidRDefault="00000000">
      <w:pPr>
        <w:pStyle w:val="FootnoteText"/>
      </w:pPr>
      <w:r>
        <w:rPr>
          <w:rStyle w:val="FootnoteReference"/>
        </w:rPr>
        <w:footnoteRef/>
      </w:r>
      <w:r>
        <w:tab/>
        <w:t>Регулирование касается, в частности, договоров найма, заключенных до 1993 года, независимо от фактического социального положения нанимателя, и договоров, заключенных на основе передачи договора найма или обмена квартирами, в случаях, когда в соответствии с изначальным договором найма арендная плата регулировалась.  В 1999 году такого типа регулирование применялось к 95,3% всех арендуемых квартир и 29,4% общего жилищного фонда.  Менее чем в 5% арендуемых жилищ установлена договорная (рыночная) арендная плата или арендная плата, регулируемая с учетом расходов (в частности, в отношении субсидированного государством нового муниципального жилья).  Таким образом, размер арендной платы регулируется повсеместно, в том числе в квартирах, в которых социальное положение нанимателя не требует регулирования арендной платы.</w:t>
      </w:r>
    </w:p>
  </w:footnote>
  <w:footnote w:id="284">
    <w:p w:rsidR="00000000" w:rsidRDefault="00000000">
      <w:pPr>
        <w:pStyle w:val="FootnoteText"/>
      </w:pPr>
    </w:p>
    <w:p w:rsidR="00000000" w:rsidRDefault="00000000">
      <w:pPr>
        <w:pStyle w:val="FootnoteText"/>
        <w:rPr>
          <w:lang w:val="en-US"/>
        </w:rPr>
      </w:pPr>
      <w:r>
        <w:rPr>
          <w:rStyle w:val="FootnoteReference"/>
        </w:rPr>
        <w:footnoteRef/>
      </w:r>
      <w:r>
        <w:tab/>
        <w:t>Пункт 4 статьи 11 Хартии.  "Экспроприация собственности или принудительное ограничение права собственности допускается в публичных интересах, на основании закона и за возмещение".</w:t>
      </w:r>
    </w:p>
    <w:p w:rsidR="00000000" w:rsidRDefault="00000000">
      <w:pPr>
        <w:pStyle w:val="FootnoteText"/>
        <w:rPr>
          <w:lang w:val="en-US"/>
        </w:rPr>
      </w:pPr>
    </w:p>
  </w:footnote>
  <w:footnote w:id="285">
    <w:p w:rsidR="00000000" w:rsidRDefault="00000000">
      <w:pPr>
        <w:pStyle w:val="FootnoteText"/>
      </w:pPr>
      <w:r>
        <w:rPr>
          <w:rStyle w:val="FootnoteReference"/>
        </w:rPr>
        <w:footnoteRef/>
      </w:r>
      <w:r>
        <w:tab/>
        <w:t>Постановление правительства Чешской Республики № 1088 от 18 октября 1999 года об Основных направлениях жилищной политики.</w:t>
      </w:r>
    </w:p>
  </w:footnote>
  <w:footnote w:id="286">
    <w:p w:rsidR="00000000" w:rsidRDefault="00000000">
      <w:pPr>
        <w:pStyle w:val="FootnoteText"/>
      </w:pPr>
      <w:r>
        <w:rPr>
          <w:rStyle w:val="FootnoteReference"/>
        </w:rPr>
        <w:footnoteRef/>
      </w:r>
      <w:r>
        <w:t xml:space="preserve"> </w:t>
      </w:r>
      <w:r>
        <w:tab/>
        <w:t xml:space="preserve">Закон № 222/1994 </w:t>
      </w:r>
      <w:r>
        <w:rPr>
          <w:lang w:val="en-US"/>
        </w:rPr>
        <w:t>Coll</w:t>
      </w:r>
      <w:r>
        <w:t>. об условиях ведения хозяйственной деятельности и государственного управления в энергетических секторах и о государственной энергетической инспекции с внесенными в него впоследствии поправками.</w:t>
      </w:r>
    </w:p>
    <w:p w:rsidR="00000000" w:rsidRDefault="00000000">
      <w:pPr>
        <w:pStyle w:val="FootnoteText"/>
      </w:pPr>
    </w:p>
  </w:footnote>
  <w:footnote w:id="287">
    <w:p w:rsidR="00000000" w:rsidRDefault="00000000">
      <w:pPr>
        <w:pStyle w:val="FootnoteText"/>
      </w:pPr>
      <w:r>
        <w:rPr>
          <w:rStyle w:val="FootnoteReference"/>
        </w:rPr>
        <w:footnoteRef/>
      </w:r>
      <w:r>
        <w:t xml:space="preserve"> </w:t>
      </w:r>
      <w:r>
        <w:tab/>
        <w:t>Постановление правительства Чешской Республики № 122 от 9 марта 1994 года об Основных принципах сельскохозяйственной политики до 1995 года и далее.</w:t>
      </w:r>
    </w:p>
    <w:p w:rsidR="00000000" w:rsidRDefault="00000000">
      <w:pPr>
        <w:pStyle w:val="FootnoteText"/>
      </w:pPr>
    </w:p>
  </w:footnote>
  <w:footnote w:id="288">
    <w:p w:rsidR="00000000" w:rsidRDefault="00000000">
      <w:pPr>
        <w:pStyle w:val="FootnoteText"/>
      </w:pPr>
      <w:r>
        <w:rPr>
          <w:rStyle w:val="FootnoteReference"/>
        </w:rPr>
        <w:footnoteRef/>
      </w:r>
      <w:r>
        <w:t xml:space="preserve"> </w:t>
      </w:r>
      <w:r>
        <w:tab/>
        <w:t xml:space="preserve">Постановление правительства Чешской Республики № 341/1997 </w:t>
      </w:r>
      <w:r>
        <w:rPr>
          <w:lang w:val="en-US"/>
        </w:rPr>
        <w:t>Coll</w:t>
      </w:r>
      <w:r>
        <w:t xml:space="preserve">. о программах оказания поддержки непроизводственной роли сельского хозяйства, об оказании поддержки деятельности, способствующей сохранению сельской местности, и о программах помощи районам, находящимся в наименее благоприятном положении, и постановление правительства № 24/1999 </w:t>
      </w:r>
      <w:r>
        <w:rPr>
          <w:lang w:val="en-US"/>
        </w:rPr>
        <w:t>Coll</w:t>
      </w:r>
      <w:r>
        <w:t>. о программах помощи непроизводственной роли сельского хозяйства, об оказании поддержки деятельности, способствующей сохранению сельской местности, и о программах помощи районам, находящимся в наименее благоприятном положении, в 1999 году.</w:t>
      </w:r>
    </w:p>
    <w:p w:rsidR="00000000" w:rsidRDefault="00000000">
      <w:pPr>
        <w:pStyle w:val="FootnoteText"/>
        <w:spacing w:line="720" w:lineRule="auto"/>
      </w:pPr>
    </w:p>
  </w:footnote>
  <w:footnote w:id="289">
    <w:p w:rsidR="00000000" w:rsidRDefault="00000000">
      <w:pPr>
        <w:pStyle w:val="FootnoteText"/>
      </w:pPr>
      <w:r>
        <w:rPr>
          <w:rStyle w:val="FootnoteReference"/>
        </w:rPr>
        <w:footnoteRef/>
      </w:r>
      <w:r>
        <w:t xml:space="preserve"> </w:t>
      </w:r>
      <w:r>
        <w:tab/>
        <w:t>Всемирная торговая организация (ВТО).</w:t>
      </w:r>
    </w:p>
    <w:p w:rsidR="00000000" w:rsidRDefault="00000000">
      <w:pPr>
        <w:pStyle w:val="FootnoteText"/>
      </w:pPr>
    </w:p>
  </w:footnote>
  <w:footnote w:id="290">
    <w:p w:rsidR="00000000" w:rsidRDefault="00000000">
      <w:pPr>
        <w:pStyle w:val="FootnoteText"/>
        <w:rPr>
          <w:lang w:val="en-US"/>
        </w:rPr>
      </w:pPr>
      <w:r>
        <w:rPr>
          <w:rStyle w:val="FootnoteReference"/>
        </w:rPr>
        <w:footnoteRef/>
      </w:r>
      <w:r>
        <w:t xml:space="preserve"> </w:t>
      </w:r>
      <w:r>
        <w:tab/>
        <w:t>Закон № 348/1997 С</w:t>
      </w:r>
      <w:r>
        <w:rPr>
          <w:lang w:val="fr-CA"/>
        </w:rPr>
        <w:t>oll</w:t>
      </w:r>
      <w:r>
        <w:t>. о государственном бюджете Чешской Республики на 1998 год.</w:t>
      </w:r>
    </w:p>
    <w:p w:rsidR="00000000" w:rsidRDefault="00000000">
      <w:pPr>
        <w:pStyle w:val="FootnoteText"/>
        <w:rPr>
          <w:lang w:val="en-US"/>
        </w:rPr>
      </w:pPr>
    </w:p>
  </w:footnote>
  <w:footnote w:id="291">
    <w:p w:rsidR="00000000" w:rsidRDefault="00000000">
      <w:pPr>
        <w:pStyle w:val="FootnoteText"/>
      </w:pPr>
      <w:r>
        <w:rPr>
          <w:rStyle w:val="FootnoteReference"/>
        </w:rPr>
        <w:footnoteRef/>
      </w:r>
      <w:r>
        <w:t xml:space="preserve"> </w:t>
      </w:r>
      <w:r>
        <w:tab/>
        <w:t>Согласно постановлению правительства № 153 от 15 марта 1995 года о принципах оказания внешней помощи с поправками, внесенными согласно постановлению правительства № 342 от 19 июня 1996 года о плане оказания внешней помощи на 1997 год, и с поправками согласно постановлению правительства № 153 от 15 марта 1995 года.</w:t>
      </w:r>
    </w:p>
    <w:p w:rsidR="00000000" w:rsidRDefault="00000000">
      <w:pPr>
        <w:pStyle w:val="FootnoteText"/>
      </w:pPr>
    </w:p>
  </w:footnote>
  <w:footnote w:id="292">
    <w:p w:rsidR="00000000" w:rsidRDefault="00000000">
      <w:pPr>
        <w:pStyle w:val="FootnoteText"/>
      </w:pPr>
      <w:r>
        <w:rPr>
          <w:rStyle w:val="FootnoteReference"/>
        </w:rPr>
        <w:footnoteRef/>
      </w:r>
      <w:r>
        <w:t xml:space="preserve"> </w:t>
      </w:r>
      <w:r>
        <w:tab/>
        <w:t>Закон № 110/1997 С</w:t>
      </w:r>
      <w:r>
        <w:rPr>
          <w:lang w:val="fr-CA"/>
        </w:rPr>
        <w:t>oll</w:t>
      </w:r>
      <w:r>
        <w:t>. о продуктах питания и табачных изделиях с внесенными в него впоследствии поправками.</w:t>
      </w:r>
    </w:p>
  </w:footnote>
  <w:footnote w:id="293">
    <w:p w:rsidR="00000000" w:rsidRDefault="00000000">
      <w:pPr>
        <w:pStyle w:val="FootnoteText"/>
      </w:pPr>
      <w:r>
        <w:rPr>
          <w:rStyle w:val="FootnoteReference"/>
        </w:rPr>
        <w:footnoteRef/>
      </w:r>
      <w:r>
        <w:t xml:space="preserve"> </w:t>
      </w:r>
      <w:r>
        <w:tab/>
        <w:t xml:space="preserve">Утвержден постановлением правительства Чешской Республики № 810 от 9 декабря 1998 года о Плане действий Чешской Республики в области охраны здоровья и окружающей среды (Национальном плане действий в области охраны здоровья и окружающей среды </w:t>
      </w:r>
      <w:r>
        <w:noBreakHyphen/>
        <w:t xml:space="preserve"> НПДОЗОС).</w:t>
      </w:r>
    </w:p>
    <w:p w:rsidR="00000000" w:rsidRDefault="00000000">
      <w:pPr>
        <w:pStyle w:val="FootnoteText"/>
      </w:pPr>
    </w:p>
  </w:footnote>
  <w:footnote w:id="294">
    <w:p w:rsidR="00000000" w:rsidRDefault="00000000">
      <w:pPr>
        <w:pStyle w:val="FootnoteText"/>
      </w:pPr>
      <w:r>
        <w:rPr>
          <w:rStyle w:val="FootnoteReference"/>
        </w:rPr>
        <w:footnoteRef/>
      </w:r>
      <w:r>
        <w:t xml:space="preserve"> </w:t>
      </w:r>
      <w:r>
        <w:tab/>
        <w:t>Постановление правительства Чешской Республики № 273 от 15 апреля 1992 года о Национальной программе в области обновления и поддержки системы здравоохранения и проекте среднесрочной стратегии обновления и поддержки системы здравоохранения.</w:t>
      </w:r>
    </w:p>
    <w:p w:rsidR="00000000" w:rsidRDefault="00000000">
      <w:pPr>
        <w:pStyle w:val="FootnoteText"/>
      </w:pPr>
    </w:p>
  </w:footnote>
  <w:footnote w:id="295">
    <w:p w:rsidR="00000000" w:rsidRDefault="00000000">
      <w:pPr>
        <w:pStyle w:val="FootnoteText"/>
      </w:pPr>
      <w:r>
        <w:rPr>
          <w:rStyle w:val="FootnoteReference"/>
        </w:rPr>
        <w:footnoteRef/>
      </w:r>
      <w:r>
        <w:t xml:space="preserve"> </w:t>
      </w:r>
      <w:r>
        <w:tab/>
        <w:t>Постановление правительства Чешской Республики №  247 от 22 июля 1991 года о Национальной программе обновления и поддержки системы здравоохранения.</w:t>
      </w:r>
    </w:p>
    <w:p w:rsidR="00000000" w:rsidRDefault="00000000">
      <w:pPr>
        <w:pStyle w:val="FootnoteText"/>
      </w:pPr>
    </w:p>
  </w:footnote>
  <w:footnote w:id="296">
    <w:p w:rsidR="00000000" w:rsidRDefault="00000000">
      <w:pPr>
        <w:pStyle w:val="FootnoteText"/>
      </w:pPr>
      <w:r>
        <w:rPr>
          <w:rStyle w:val="FootnoteReference"/>
        </w:rPr>
        <w:footnoteRef/>
      </w:r>
      <w:r>
        <w:t xml:space="preserve"> </w:t>
      </w:r>
      <w:r>
        <w:tab/>
        <w:t>Утвержден постановлением правительства Чешской Республики № 273 от 15 апреля 1992 года о Национальной программе обновления и поддержки системы здравоохранения и проекте среднесрочной стратегии обновления и поддержки системы здравоохранения.</w:t>
      </w:r>
    </w:p>
    <w:p w:rsidR="00000000" w:rsidRDefault="00000000">
      <w:pPr>
        <w:pStyle w:val="FootnoteText"/>
      </w:pPr>
    </w:p>
  </w:footnote>
  <w:footnote w:id="297">
    <w:p w:rsidR="00000000" w:rsidRDefault="00000000">
      <w:pPr>
        <w:pStyle w:val="FootnoteText"/>
      </w:pPr>
      <w:r>
        <w:rPr>
          <w:rStyle w:val="FootnoteReference"/>
        </w:rPr>
        <w:footnoteRef/>
      </w:r>
      <w:r>
        <w:t xml:space="preserve"> </w:t>
      </w:r>
      <w:r>
        <w:tab/>
        <w:t>Всемирная организация здравоохранения (ВОЗ).</w:t>
      </w:r>
    </w:p>
  </w:footnote>
  <w:footnote w:id="298">
    <w:p w:rsidR="00000000" w:rsidRDefault="00000000">
      <w:pPr>
        <w:pStyle w:val="FootnoteText"/>
      </w:pPr>
      <w:r>
        <w:rPr>
          <w:rStyle w:val="FootnoteReference"/>
        </w:rPr>
        <w:footnoteRef/>
      </w:r>
      <w:r>
        <w:t xml:space="preserve"> </w:t>
      </w:r>
      <w:r>
        <w:tab/>
        <w:t xml:space="preserve">Закон № 20/1966 </w:t>
      </w:r>
      <w:r>
        <w:rPr>
          <w:lang w:val="en-US"/>
        </w:rPr>
        <w:t>Coll</w:t>
      </w:r>
      <w:r>
        <w:t>. о здравоохранении с внесенными в него впоследствии поправками.</w:t>
      </w:r>
    </w:p>
    <w:p w:rsidR="00000000" w:rsidRDefault="00000000">
      <w:pPr>
        <w:pStyle w:val="FootnoteText"/>
      </w:pPr>
    </w:p>
  </w:footnote>
  <w:footnote w:id="299">
    <w:p w:rsidR="00000000" w:rsidRDefault="00000000">
      <w:pPr>
        <w:pStyle w:val="FootnoteText"/>
      </w:pPr>
      <w:r>
        <w:rPr>
          <w:rStyle w:val="FootnoteReference"/>
        </w:rPr>
        <w:footnoteRef/>
      </w:r>
      <w:r>
        <w:t xml:space="preserve"> </w:t>
      </w:r>
      <w:r>
        <w:tab/>
        <w:t xml:space="preserve">Закон № 48/1997 </w:t>
      </w:r>
      <w:r>
        <w:rPr>
          <w:lang w:val="en-US"/>
        </w:rPr>
        <w:t>Coll</w:t>
      </w:r>
      <w:r>
        <w:t>. о медицинском страховании с внесенными в него впоследствии поправками.</w:t>
      </w:r>
    </w:p>
  </w:footnote>
  <w:footnote w:id="300">
    <w:p w:rsidR="00000000" w:rsidRDefault="00000000">
      <w:pPr>
        <w:pStyle w:val="FootnoteText"/>
      </w:pPr>
      <w:r>
        <w:rPr>
          <w:rStyle w:val="FootnoteReference"/>
        </w:rPr>
        <w:footnoteRef/>
      </w:r>
      <w:r>
        <w:t xml:space="preserve"> </w:t>
      </w:r>
      <w:r>
        <w:tab/>
        <w:t>Закон №</w:t>
      </w:r>
      <w:r>
        <w:rPr>
          <w:lang w:val="en-US"/>
        </w:rPr>
        <w:t> </w:t>
      </w:r>
      <w:r>
        <w:t>592/1992 С</w:t>
      </w:r>
      <w:r>
        <w:rPr>
          <w:lang w:val="en-US"/>
        </w:rPr>
        <w:t>oll</w:t>
      </w:r>
      <w:r>
        <w:t>. о страховых взносах на общее медицинское страхование с внесенными в него впоследствии поправками.</w:t>
      </w:r>
    </w:p>
  </w:footnote>
  <w:footnote w:id="301">
    <w:p w:rsidR="00000000" w:rsidRDefault="00000000">
      <w:pPr>
        <w:pStyle w:val="FootnoteText"/>
      </w:pPr>
      <w:r>
        <w:rPr>
          <w:rStyle w:val="FootnoteReference"/>
        </w:rPr>
        <w:footnoteRef/>
      </w:r>
      <w:r>
        <w:t xml:space="preserve"> </w:t>
      </w:r>
      <w:r>
        <w:tab/>
        <w:t>Закон № 468/1991 С</w:t>
      </w:r>
      <w:r>
        <w:rPr>
          <w:lang w:val="en-US"/>
        </w:rPr>
        <w:t>oll</w:t>
      </w:r>
      <w:r>
        <w:t>. о радио- и телевещании с внесенными в него впоследствии поправками.</w:t>
      </w:r>
    </w:p>
  </w:footnote>
  <w:footnote w:id="302">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40/1995 </w:t>
      </w:r>
      <w:r>
        <w:rPr>
          <w:lang w:val="en-US"/>
        </w:rPr>
        <w:t>Coll</w:t>
      </w:r>
      <w:r>
        <w:t>. о регулировании рекламы с внесенными в него впоследствии поправками.</w:t>
      </w:r>
    </w:p>
  </w:footnote>
  <w:footnote w:id="303">
    <w:p w:rsidR="00000000" w:rsidRDefault="00000000">
      <w:pPr>
        <w:pStyle w:val="FootnoteText"/>
      </w:pPr>
      <w:r>
        <w:rPr>
          <w:rStyle w:val="FootnoteReference"/>
        </w:rPr>
        <w:footnoteRef/>
      </w:r>
      <w:r>
        <w:t xml:space="preserve"> </w:t>
      </w:r>
      <w:r>
        <w:tab/>
        <w:t xml:space="preserve">Закон № 66/1986 Соll. об абортах.  Постановление министерства здравоохранения № 75/1986 Соll. об осуществлении Закона № 66/1986 Соll. об абортах. </w:t>
      </w:r>
    </w:p>
  </w:footnote>
  <w:footnote w:id="304">
    <w:p w:rsidR="00000000" w:rsidRDefault="00000000">
      <w:pPr>
        <w:pStyle w:val="FootnoteText"/>
      </w:pPr>
      <w:r>
        <w:rPr>
          <w:rStyle w:val="FootnoteReference"/>
        </w:rPr>
        <w:footnoteRef/>
      </w:r>
      <w:r>
        <w:t xml:space="preserve"> </w:t>
      </w:r>
      <w:r>
        <w:tab/>
        <w:t>Международная федерация планирования родительства - МФПР.</w:t>
      </w:r>
    </w:p>
    <w:p w:rsidR="00000000" w:rsidRDefault="00000000">
      <w:pPr>
        <w:pStyle w:val="FootnoteText"/>
      </w:pPr>
    </w:p>
  </w:footnote>
  <w:footnote w:id="305">
    <w:p w:rsidR="00000000" w:rsidRDefault="00000000">
      <w:pPr>
        <w:pStyle w:val="FootnoteText"/>
      </w:pPr>
      <w:r>
        <w:rPr>
          <w:rStyle w:val="FootnoteReference"/>
        </w:rPr>
        <w:footnoteRef/>
      </w:r>
      <w:r>
        <w:t xml:space="preserve"> </w:t>
      </w:r>
      <w:r>
        <w:tab/>
        <w:t>Закон № 20/1996 Соll. о здравоохранении с внесенными в него впоследствии поправками.</w:t>
      </w:r>
    </w:p>
    <w:p w:rsidR="00000000" w:rsidRDefault="00000000">
      <w:pPr>
        <w:pStyle w:val="FootnoteText"/>
      </w:pPr>
    </w:p>
  </w:footnote>
  <w:footnote w:id="306">
    <w:p w:rsidR="00000000" w:rsidRDefault="00000000">
      <w:pPr>
        <w:pStyle w:val="FootnoteText"/>
      </w:pPr>
      <w:r>
        <w:rPr>
          <w:rStyle w:val="FootnoteReference"/>
        </w:rPr>
        <w:footnoteRef/>
      </w:r>
      <w:r>
        <w:t xml:space="preserve"> </w:t>
      </w:r>
      <w:r>
        <w:tab/>
        <w:t>The Charter of Sexual and Reproductive Rights of the IPPF (1997), p.6.  The Society for Family Planning, Prague.</w:t>
      </w:r>
    </w:p>
  </w:footnote>
  <w:footnote w:id="307">
    <w:p w:rsidR="00000000" w:rsidRDefault="00000000">
      <w:pPr>
        <w:pStyle w:val="FootnoteText"/>
      </w:pPr>
      <w:r>
        <w:rPr>
          <w:rStyle w:val="FootnoteReference"/>
        </w:rPr>
        <w:footnoteRef/>
      </w:r>
      <w:r>
        <w:t xml:space="preserve"> </w:t>
      </w:r>
      <w:r>
        <w:tab/>
        <w:t>Постановление министерства здравоохранения № 60/1997 Соll. об амбулаторном обслуживании.</w:t>
      </w:r>
    </w:p>
    <w:p w:rsidR="00000000" w:rsidRDefault="00000000">
      <w:pPr>
        <w:pStyle w:val="FootnoteText"/>
      </w:pPr>
    </w:p>
  </w:footnote>
  <w:footnote w:id="308">
    <w:p w:rsidR="00000000" w:rsidRDefault="00000000">
      <w:pPr>
        <w:pStyle w:val="FootnoteText"/>
      </w:pPr>
      <w:r>
        <w:rPr>
          <w:rStyle w:val="FootnoteReference"/>
        </w:rPr>
        <w:footnoteRef/>
      </w:r>
      <w:r>
        <w:t xml:space="preserve"> </w:t>
      </w:r>
      <w:r>
        <w:tab/>
        <w:t>Доклад о положении и изменениях в области употребления наркотиков в Чешской Республике за 1998 год, подготовленный Межминистерской комиссией по наркотикам на базе материалов, полученных от соответствующих министерств.</w:t>
      </w:r>
    </w:p>
    <w:p w:rsidR="00000000" w:rsidRDefault="00000000">
      <w:pPr>
        <w:pStyle w:val="FootnoteText"/>
      </w:pPr>
    </w:p>
  </w:footnote>
  <w:footnote w:id="309">
    <w:p w:rsidR="00000000" w:rsidRDefault="00000000">
      <w:pPr>
        <w:pStyle w:val="FootnoteText"/>
      </w:pPr>
      <w:r>
        <w:rPr>
          <w:rStyle w:val="FootnoteReference"/>
        </w:rPr>
        <w:footnoteRef/>
      </w:r>
      <w:r>
        <w:t xml:space="preserve"> </w:t>
      </w:r>
      <w:r>
        <w:tab/>
        <w:t>Постановление правительства Чешской Республики № 111 от 23 февраля 1998 года об Основных направлениях и Программе политики по борьбе со злоупотреблением наркотиками на 1998-2000 годы.</w:t>
      </w:r>
    </w:p>
  </w:footnote>
  <w:footnote w:id="310">
    <w:p w:rsidR="00000000" w:rsidRDefault="00000000">
      <w:pPr>
        <w:pStyle w:val="FootnoteText"/>
      </w:pPr>
      <w:r>
        <w:rPr>
          <w:rStyle w:val="FootnoteReference"/>
        </w:rPr>
        <w:footnoteRef/>
      </w:r>
      <w:r>
        <w:t xml:space="preserve"> </w:t>
      </w:r>
      <w:r>
        <w:tab/>
        <w:t>Закон № 48/1997 С</w:t>
      </w:r>
      <w:r>
        <w:rPr>
          <w:lang w:val="en-US"/>
        </w:rPr>
        <w:t>oll</w:t>
      </w:r>
      <w:r>
        <w:t>. о медицинском страховании с внесенными в него впоследствии поправками.</w:t>
      </w:r>
    </w:p>
    <w:p w:rsidR="00000000" w:rsidRDefault="00000000">
      <w:pPr>
        <w:pStyle w:val="FootnoteText"/>
      </w:pPr>
    </w:p>
  </w:footnote>
  <w:footnote w:id="311">
    <w:p w:rsidR="00000000" w:rsidRDefault="00000000">
      <w:pPr>
        <w:pStyle w:val="FootnoteText"/>
      </w:pPr>
      <w:r>
        <w:rPr>
          <w:rStyle w:val="FootnoteReference"/>
        </w:rPr>
        <w:footnoteRef/>
      </w:r>
      <w:r>
        <w:t xml:space="preserve"> </w:t>
      </w:r>
      <w:r>
        <w:tab/>
        <w:t>Постановление министерства здравоохранения Чешской Республики №</w:t>
      </w:r>
      <w:r>
        <w:rPr>
          <w:lang w:val="en-US"/>
        </w:rPr>
        <w:t> </w:t>
      </w:r>
      <w:r>
        <w:t>48/1991</w:t>
      </w:r>
      <w:r>
        <w:rPr>
          <w:lang w:val="en-US"/>
        </w:rPr>
        <w:t> Coll</w:t>
      </w:r>
      <w:r>
        <w:t>., о вакцинации от инфекционных заболеваний с внесенными в него впоследствии поправками.</w:t>
      </w:r>
    </w:p>
    <w:p w:rsidR="00000000" w:rsidRDefault="00000000">
      <w:pPr>
        <w:pStyle w:val="FootnoteText"/>
      </w:pPr>
    </w:p>
  </w:footnote>
  <w:footnote w:id="312">
    <w:p w:rsidR="00000000" w:rsidRDefault="00000000">
      <w:pPr>
        <w:pStyle w:val="FootnoteText"/>
      </w:pPr>
      <w:r>
        <w:rPr>
          <w:rStyle w:val="FootnoteReference"/>
        </w:rPr>
        <w:footnoteRef/>
      </w:r>
      <w:r>
        <w:t xml:space="preserve"> </w:t>
      </w:r>
      <w:r>
        <w:tab/>
        <w:t>Закон № 79/1997 С</w:t>
      </w:r>
      <w:r>
        <w:rPr>
          <w:lang w:val="en-US"/>
        </w:rPr>
        <w:t>oll</w:t>
      </w:r>
      <w:r>
        <w:t>. о медикаментах, содержащий поправки и дополнения к некоторым соответствующим законам.</w:t>
      </w:r>
    </w:p>
    <w:p w:rsidR="00000000" w:rsidRDefault="00000000">
      <w:pPr>
        <w:pStyle w:val="FootnoteText"/>
      </w:pPr>
    </w:p>
  </w:footnote>
  <w:footnote w:id="313">
    <w:p w:rsidR="00000000" w:rsidRDefault="00000000">
      <w:pPr>
        <w:pStyle w:val="FootnoteText"/>
      </w:pPr>
      <w:r>
        <w:rPr>
          <w:rStyle w:val="FootnoteReference"/>
        </w:rPr>
        <w:footnoteRef/>
      </w:r>
      <w:r>
        <w:t xml:space="preserve"> </w:t>
      </w:r>
      <w:r>
        <w:tab/>
        <w:t>Постановление правительства Чешской Республики № 47 от 20 февраля 1991 года о Национальной программе профилактики СПИДа.</w:t>
      </w:r>
    </w:p>
    <w:p w:rsidR="00000000" w:rsidRDefault="00000000">
      <w:pPr>
        <w:pStyle w:val="FootnoteText"/>
      </w:pPr>
    </w:p>
  </w:footnote>
  <w:footnote w:id="314">
    <w:p w:rsidR="00000000" w:rsidRDefault="00000000">
      <w:pPr>
        <w:pStyle w:val="FootnoteText"/>
      </w:pPr>
      <w:r>
        <w:rPr>
          <w:rStyle w:val="FootnoteReference"/>
        </w:rPr>
        <w:footnoteRef/>
      </w:r>
      <w:r>
        <w:t xml:space="preserve"> </w:t>
      </w:r>
      <w:r>
        <w:tab/>
        <w:t xml:space="preserve">Закон № 37/1989 </w:t>
      </w:r>
      <w:r>
        <w:rPr>
          <w:lang w:val="en-US"/>
        </w:rPr>
        <w:t>Coll</w:t>
      </w:r>
      <w:r>
        <w:t>. о защите от алкоголизма и других видов наркотической зависимости от токсинов с внесенными в него впоследствии поправками.</w:t>
      </w:r>
    </w:p>
    <w:p w:rsidR="00000000" w:rsidRDefault="00000000">
      <w:pPr>
        <w:pStyle w:val="FootnoteText"/>
      </w:pPr>
    </w:p>
  </w:footnote>
  <w:footnote w:id="315">
    <w:p w:rsidR="00000000" w:rsidRDefault="00000000">
      <w:pPr>
        <w:pStyle w:val="FootnoteText"/>
      </w:pPr>
      <w:r>
        <w:rPr>
          <w:rStyle w:val="FootnoteReference"/>
        </w:rPr>
        <w:footnoteRef/>
      </w:r>
      <w:r>
        <w:t xml:space="preserve"> </w:t>
      </w:r>
      <w:r>
        <w:tab/>
        <w:t xml:space="preserve">Закон № 123/1998 </w:t>
      </w:r>
      <w:r>
        <w:rPr>
          <w:lang w:val="en-US"/>
        </w:rPr>
        <w:t>Coll</w:t>
      </w:r>
      <w:r>
        <w:t>. о праве на информацию о состоянии окружающей среды.</w:t>
      </w:r>
    </w:p>
    <w:p w:rsidR="00000000" w:rsidRDefault="00000000">
      <w:pPr>
        <w:pStyle w:val="FootnoteText"/>
      </w:pPr>
    </w:p>
  </w:footnote>
  <w:footnote w:id="316">
    <w:p w:rsidR="00000000" w:rsidRDefault="00000000">
      <w:pPr>
        <w:pStyle w:val="FootnoteText"/>
      </w:pPr>
      <w:r>
        <w:rPr>
          <w:rStyle w:val="FootnoteReference"/>
        </w:rPr>
        <w:footnoteRef/>
      </w:r>
      <w:r>
        <w:t xml:space="preserve"> </w:t>
      </w:r>
      <w:r>
        <w:tab/>
        <w:t>Межминистерское соглашение о сотрудничестве в области экологической информации, просвещения и подготовки кадров между министерством просвещения, по делам молодежи и спорта и министерством окружающей среды, подписанное министрами 8 декабря 1999 года.</w:t>
      </w:r>
    </w:p>
    <w:p w:rsidR="00000000" w:rsidRDefault="00000000">
      <w:pPr>
        <w:pStyle w:val="FootnoteText"/>
      </w:pPr>
    </w:p>
  </w:footnote>
  <w:footnote w:id="317">
    <w:p w:rsidR="00000000" w:rsidRDefault="00000000">
      <w:pPr>
        <w:pStyle w:val="FootnoteText"/>
      </w:pPr>
      <w:r>
        <w:rPr>
          <w:rStyle w:val="FootnoteReference"/>
        </w:rPr>
        <w:footnoteRef/>
      </w:r>
      <w:r>
        <w:t xml:space="preserve"> </w:t>
      </w:r>
      <w:r>
        <w:tab/>
        <w:t xml:space="preserve">Постановление правительства № 323 от 14 апреля 1999 года о государственной экологической политике.  </w:t>
      </w:r>
    </w:p>
    <w:p w:rsidR="00000000" w:rsidRDefault="00000000">
      <w:pPr>
        <w:pStyle w:val="FootnoteText"/>
      </w:pPr>
    </w:p>
  </w:footnote>
  <w:footnote w:id="318">
    <w:p w:rsidR="00000000" w:rsidRDefault="00000000">
      <w:pPr>
        <w:pStyle w:val="FootnoteText"/>
      </w:pPr>
      <w:r>
        <w:rPr>
          <w:rStyle w:val="FootnoteReference"/>
        </w:rPr>
        <w:footnoteRef/>
      </w:r>
      <w:r>
        <w:t xml:space="preserve"> </w:t>
      </w:r>
      <w:r>
        <w:tab/>
        <w:t>Полные тексты этих документов можно найти на вебсайте министерства окружающей среды.</w:t>
      </w:r>
    </w:p>
    <w:p w:rsidR="00000000" w:rsidRDefault="00000000">
      <w:pPr>
        <w:pStyle w:val="FootnoteText"/>
      </w:pPr>
    </w:p>
  </w:footnote>
  <w:footnote w:id="319">
    <w:p w:rsidR="00000000" w:rsidRDefault="00000000">
      <w:pPr>
        <w:pStyle w:val="FootnoteText"/>
      </w:pPr>
      <w:r>
        <w:rPr>
          <w:rStyle w:val="FootnoteReference"/>
        </w:rPr>
        <w:footnoteRef/>
      </w:r>
      <w:r>
        <w:t xml:space="preserve"> </w:t>
      </w:r>
      <w:r>
        <w:tab/>
        <w:t xml:space="preserve">Закон № 138/1973 </w:t>
      </w:r>
      <w:r>
        <w:rPr>
          <w:lang w:val="en-US"/>
        </w:rPr>
        <w:t>Coll</w:t>
      </w:r>
      <w:r>
        <w:t>. о водных ресурсах (Закон о водных ресурсах) с внесенными в него впоследствии поправками.</w:t>
      </w:r>
    </w:p>
    <w:p w:rsidR="00000000" w:rsidRDefault="00000000">
      <w:pPr>
        <w:pStyle w:val="FootnoteText"/>
      </w:pPr>
    </w:p>
  </w:footnote>
  <w:footnote w:id="320">
    <w:p w:rsidR="00000000" w:rsidRDefault="00000000">
      <w:pPr>
        <w:pStyle w:val="FootnoteText"/>
      </w:pPr>
      <w:r>
        <w:rPr>
          <w:rStyle w:val="FootnoteReference"/>
        </w:rPr>
        <w:footnoteRef/>
      </w:r>
      <w:r>
        <w:tab/>
        <w:t>Закон № 389/1991 С</w:t>
      </w:r>
      <w:r>
        <w:rPr>
          <w:lang w:val="en-US"/>
        </w:rPr>
        <w:t>oll</w:t>
      </w:r>
      <w:r>
        <w:t>. о защите воздуха от загрязняющих веществ (Закон о воздухе) с внесенными в него впоследствии поправками.</w:t>
      </w:r>
    </w:p>
    <w:p w:rsidR="00000000" w:rsidRDefault="00000000">
      <w:pPr>
        <w:pStyle w:val="FootnoteText"/>
      </w:pPr>
    </w:p>
  </w:footnote>
  <w:footnote w:id="321">
    <w:p w:rsidR="00000000" w:rsidRDefault="00000000">
      <w:pPr>
        <w:pStyle w:val="FootnoteText"/>
      </w:pPr>
      <w:r>
        <w:rPr>
          <w:rStyle w:val="FootnoteReference"/>
        </w:rPr>
        <w:footnoteRef/>
      </w:r>
      <w:r>
        <w:tab/>
        <w:t>Закон № 86/1995 С</w:t>
      </w:r>
      <w:r>
        <w:rPr>
          <w:lang w:val="en-US"/>
        </w:rPr>
        <w:t>oll</w:t>
      </w:r>
      <w:r>
        <w:t>. о защите озонового слоя Земли.</w:t>
      </w:r>
    </w:p>
    <w:p w:rsidR="00000000" w:rsidRDefault="00000000">
      <w:pPr>
        <w:pStyle w:val="FootnoteText"/>
      </w:pPr>
    </w:p>
  </w:footnote>
  <w:footnote w:id="322">
    <w:p w:rsidR="00000000" w:rsidRDefault="00000000">
      <w:pPr>
        <w:pStyle w:val="FootnoteText"/>
      </w:pPr>
      <w:r>
        <w:rPr>
          <w:rStyle w:val="FootnoteReference"/>
        </w:rPr>
        <w:footnoteRef/>
      </w:r>
      <w:r>
        <w:tab/>
        <w:t>Постановление министерства окружающей среды № 41/1992 С</w:t>
      </w:r>
      <w:r>
        <w:rPr>
          <w:lang w:val="en-US"/>
        </w:rPr>
        <w:t>oll</w:t>
      </w:r>
      <w:r>
        <w:t>., определяющее районы, в которых требуется особая защита воздуха, и устанавливающее принципы создания и функционирования систем регулирования смога и некоторые меры для защиты воздуха, с внесенными в него впоследствии поправками.</w:t>
      </w:r>
    </w:p>
    <w:p w:rsidR="00000000" w:rsidRDefault="00000000">
      <w:pPr>
        <w:pStyle w:val="FootnoteText"/>
      </w:pPr>
    </w:p>
  </w:footnote>
  <w:footnote w:id="323">
    <w:p w:rsidR="00000000" w:rsidRDefault="00000000">
      <w:pPr>
        <w:pStyle w:val="FootnoteText"/>
      </w:pPr>
      <w:r>
        <w:rPr>
          <w:rStyle w:val="FootnoteReference"/>
        </w:rPr>
        <w:footnoteRef/>
      </w:r>
      <w:r>
        <w:tab/>
        <w:t>Решение Федерального комитета по вопросам окружающей среды № 33/1991 С</w:t>
      </w:r>
      <w:r>
        <w:rPr>
          <w:lang w:val="en-US"/>
        </w:rPr>
        <w:t>oll</w:t>
      </w:r>
      <w:r>
        <w:t>., касающееся Закона № 309/1991 С</w:t>
      </w:r>
      <w:r>
        <w:rPr>
          <w:lang w:val="en-US"/>
        </w:rPr>
        <w:t>oll</w:t>
      </w:r>
      <w:r>
        <w:t>. о защите воздуха от загрязняющих веществ с внесенными в него впоследствии поправками.</w:t>
      </w:r>
    </w:p>
    <w:p w:rsidR="00000000" w:rsidRDefault="00000000">
      <w:pPr>
        <w:pStyle w:val="FootnoteText"/>
      </w:pPr>
    </w:p>
  </w:footnote>
  <w:footnote w:id="324">
    <w:p w:rsidR="00000000" w:rsidRDefault="00000000">
      <w:pPr>
        <w:pStyle w:val="FootnoteText"/>
      </w:pPr>
      <w:r>
        <w:rPr>
          <w:rStyle w:val="FootnoteReference"/>
        </w:rPr>
        <w:footnoteRef/>
      </w:r>
      <w:r>
        <w:tab/>
        <w:t>Закон № 114/1992 С</w:t>
      </w:r>
      <w:r>
        <w:rPr>
          <w:lang w:val="en-US"/>
        </w:rPr>
        <w:t>oll</w:t>
      </w:r>
      <w:r>
        <w:t>. об охране природы и сельской местности с внесенными в него впоследствии поправками и Постановление министерства окружающей среды Чешской Республики № 395/1992 С</w:t>
      </w:r>
      <w:r>
        <w:rPr>
          <w:lang w:val="en-US"/>
        </w:rPr>
        <w:t>oll</w:t>
      </w:r>
      <w:r>
        <w:t>., регулирующее порядок осуществления некоторых положений Закона № 114/1992 С</w:t>
      </w:r>
      <w:r>
        <w:rPr>
          <w:lang w:val="en-US"/>
        </w:rPr>
        <w:t>oll</w:t>
      </w:r>
      <w:r>
        <w:t>. об охране природы и сельской местности, с внесенными в него впоследствии поправками.</w:t>
      </w:r>
    </w:p>
    <w:p w:rsidR="00000000" w:rsidRDefault="00000000">
      <w:pPr>
        <w:pStyle w:val="FootnoteText"/>
      </w:pPr>
    </w:p>
  </w:footnote>
  <w:footnote w:id="325">
    <w:p w:rsidR="00000000" w:rsidRDefault="00000000">
      <w:pPr>
        <w:pStyle w:val="FootnoteText"/>
      </w:pPr>
      <w:r>
        <w:rPr>
          <w:rStyle w:val="FootnoteReference"/>
        </w:rPr>
        <w:footnoteRef/>
      </w:r>
      <w:r>
        <w:t xml:space="preserve"> </w:t>
      </w:r>
      <w:r>
        <w:tab/>
        <w:t>Постановление правительства № 415 от 17 июня 1998 года о Государственной программе охраны природы и сельской местности в Чешской Республике.</w:t>
      </w:r>
    </w:p>
    <w:p w:rsidR="00000000" w:rsidRDefault="00000000">
      <w:pPr>
        <w:pStyle w:val="FootnoteText"/>
      </w:pPr>
    </w:p>
  </w:footnote>
  <w:footnote w:id="326">
    <w:p w:rsidR="00000000" w:rsidRDefault="00000000">
      <w:pPr>
        <w:pStyle w:val="FootnoteText"/>
      </w:pPr>
      <w:r>
        <w:rPr>
          <w:rStyle w:val="FootnoteReference"/>
        </w:rPr>
        <w:footnoteRef/>
      </w:r>
      <w:r>
        <w:tab/>
        <w:t>Утвержден решением правительства № 413 от 17 июня 1998 года о транспортной политике Чешской Республики.</w:t>
      </w:r>
    </w:p>
    <w:p w:rsidR="00000000" w:rsidRDefault="00000000">
      <w:pPr>
        <w:pStyle w:val="FootnoteText"/>
      </w:pPr>
    </w:p>
  </w:footnote>
  <w:footnote w:id="327">
    <w:p w:rsidR="00000000" w:rsidRDefault="00000000">
      <w:pPr>
        <w:pStyle w:val="FootnoteText"/>
      </w:pPr>
      <w:r>
        <w:rPr>
          <w:rStyle w:val="FootnoteReference"/>
        </w:rPr>
        <w:footnoteRef/>
      </w:r>
      <w:r>
        <w:tab/>
        <w:t xml:space="preserve">Закон № 125/1997 </w:t>
      </w:r>
      <w:r>
        <w:rPr>
          <w:lang w:val="en-US"/>
        </w:rPr>
        <w:t>Coll</w:t>
      </w:r>
      <w:r>
        <w:t xml:space="preserve">. об отходах с поправками, внесенными в него согласно Закону № 167/1998 </w:t>
      </w:r>
      <w:r>
        <w:rPr>
          <w:lang w:val="en-US"/>
        </w:rPr>
        <w:t>Coll</w:t>
      </w:r>
      <w:r>
        <w:t>.</w:t>
      </w:r>
    </w:p>
    <w:p w:rsidR="00000000" w:rsidRDefault="00000000">
      <w:pPr>
        <w:pStyle w:val="FootnoteText"/>
      </w:pPr>
    </w:p>
  </w:footnote>
  <w:footnote w:id="328">
    <w:p w:rsidR="00000000" w:rsidRDefault="00000000">
      <w:pPr>
        <w:pStyle w:val="FootnoteText"/>
      </w:pPr>
      <w:r>
        <w:rPr>
          <w:rStyle w:val="FootnoteReference"/>
        </w:rPr>
        <w:footnoteRef/>
      </w:r>
      <w:r>
        <w:tab/>
        <w:t>Постановление правительства № 31/1999 С</w:t>
      </w:r>
      <w:r>
        <w:rPr>
          <w:lang w:val="en-US"/>
        </w:rPr>
        <w:t>oll</w:t>
      </w:r>
      <w:r>
        <w:t>., содержащее перечень товаров и упаковочных материалов, в отношении которых применяется обязанность возврата, и содержащее подробные сведения об обработке и удалении упаковочных материалов и отходов от использованных товаров и упаковочных материалов.</w:t>
      </w:r>
    </w:p>
    <w:p w:rsidR="00000000" w:rsidRDefault="00000000">
      <w:pPr>
        <w:pStyle w:val="FootnoteText"/>
      </w:pPr>
    </w:p>
  </w:footnote>
  <w:footnote w:id="329">
    <w:p w:rsidR="00000000" w:rsidRDefault="00000000">
      <w:pPr>
        <w:pStyle w:val="FootnoteText"/>
      </w:pPr>
      <w:r>
        <w:rPr>
          <w:rStyle w:val="FootnoteReference"/>
        </w:rPr>
        <w:footnoteRef/>
      </w:r>
      <w:r>
        <w:tab/>
        <w:t>Закон № 244/1992 С</w:t>
      </w:r>
      <w:r>
        <w:rPr>
          <w:lang w:val="en-US"/>
        </w:rPr>
        <w:t>oll</w:t>
      </w:r>
      <w:r>
        <w:t>. об оценке воздействия на окружающую среду.</w:t>
      </w:r>
    </w:p>
    <w:p w:rsidR="00000000" w:rsidRDefault="00000000">
      <w:pPr>
        <w:pStyle w:val="FootnoteText"/>
      </w:pPr>
    </w:p>
  </w:footnote>
  <w:footnote w:id="330">
    <w:p w:rsidR="00000000" w:rsidRDefault="00000000">
      <w:pPr>
        <w:pStyle w:val="FootnoteText"/>
      </w:pPr>
      <w:r>
        <w:rPr>
          <w:rStyle w:val="FootnoteReference"/>
        </w:rPr>
        <w:footnoteRef/>
      </w:r>
      <w:r>
        <w:tab/>
        <w:t>Закон № 44/1998 С</w:t>
      </w:r>
      <w:r>
        <w:rPr>
          <w:lang w:val="en-US"/>
        </w:rPr>
        <w:t>oll</w:t>
      </w:r>
      <w:r>
        <w:t>. об использовании богатств недр (Закон о горнодобывающей промышленности) с внесенными в него впоследствии поправками.</w:t>
      </w:r>
    </w:p>
  </w:footnote>
  <w:footnote w:id="331">
    <w:p w:rsidR="00000000" w:rsidRDefault="00000000">
      <w:pPr>
        <w:pStyle w:val="FootnoteText"/>
      </w:pPr>
    </w:p>
    <w:p w:rsidR="00000000" w:rsidRDefault="00000000">
      <w:pPr>
        <w:pStyle w:val="FootnoteText"/>
      </w:pPr>
      <w:r>
        <w:rPr>
          <w:rStyle w:val="FootnoteReference"/>
        </w:rPr>
        <w:footnoteRef/>
      </w:r>
      <w:r>
        <w:tab/>
        <w:t>В докладе Европейской комиссии за 1999 год о достигнутом Чешской Республикой прогрессе в выполнении экологических стандартов указывается, что, несмотря на некоторые отклонения, законы по вопросам окружающей среды и промышленной гигиены в стране по своему качеству соответствуют стандартам Европейского сообщества.  С другой стороны, Европейская комиссия высказала критические замечания по поводу медленных темпов принятия других необходимых норм и, в особенности, по поводу медленных темпов создания институтов, которые способствуют соблюдению законов и наказанию за нарушение законов.  В докладе также отмечается, что для исправления этих недостатков потребуются значительные финансовые ресурсы, в первую очередь со стороны государства.  Согласование законодательства и создание необходимых институциональных рамок должно быть завершено до даты предполагаемого вступления страны в Европейский союз, т.е. до 1 января 2003 года.</w:t>
      </w:r>
    </w:p>
    <w:p w:rsidR="00000000" w:rsidRDefault="00000000">
      <w:pPr>
        <w:pStyle w:val="FootnoteText"/>
      </w:pPr>
    </w:p>
  </w:footnote>
  <w:footnote w:id="332">
    <w:p w:rsidR="00000000" w:rsidRDefault="00000000">
      <w:pPr>
        <w:pStyle w:val="FootnoteText"/>
      </w:pPr>
      <w:r>
        <w:rPr>
          <w:rStyle w:val="FootnoteReference"/>
        </w:rPr>
        <w:footnoteRef/>
      </w:r>
      <w:r>
        <w:tab/>
        <w:t>Закон № 18/1997 С</w:t>
      </w:r>
      <w:r>
        <w:rPr>
          <w:lang w:val="en-US"/>
        </w:rPr>
        <w:t>oll</w:t>
      </w:r>
      <w:r>
        <w:t>. об использовании атомной энергии и ионизирующей радиации в мирных целях (Закон об атомной энергии).</w:t>
      </w:r>
    </w:p>
  </w:footnote>
  <w:footnote w:id="333">
    <w:p w:rsidR="00000000" w:rsidRDefault="00000000">
      <w:pPr>
        <w:pStyle w:val="FootnoteText"/>
      </w:pPr>
      <w:r>
        <w:rPr>
          <w:rStyle w:val="FootnoteReference"/>
        </w:rPr>
        <w:footnoteRef/>
      </w:r>
      <w:r>
        <w:tab/>
        <w:t>Решение правительства Чешской Республики № 810 от 9 декабря 1998 года о Плане действий в области охраны здоровья и окружающей среды.</w:t>
      </w:r>
    </w:p>
  </w:footnote>
  <w:footnote w:id="334">
    <w:p w:rsidR="00000000" w:rsidRDefault="00000000">
      <w:pPr>
        <w:pStyle w:val="FootnoteText"/>
      </w:pPr>
    </w:p>
    <w:p w:rsidR="00000000" w:rsidRDefault="00000000">
      <w:pPr>
        <w:pStyle w:val="FootnoteText"/>
      </w:pPr>
      <w:r>
        <w:rPr>
          <w:rStyle w:val="FootnoteReference"/>
        </w:rPr>
        <w:footnoteRef/>
      </w:r>
      <w:r>
        <w:t xml:space="preserve"> </w:t>
      </w:r>
      <w:r>
        <w:tab/>
        <w:t>Решение правительства Чешской Республики № 296 от 7 апреля 1999 года о Совете по охране здоровья и окружающей среды (статут, состав и план деятельности).</w:t>
      </w:r>
    </w:p>
    <w:p w:rsidR="00000000" w:rsidRDefault="00000000">
      <w:pPr>
        <w:pStyle w:val="FootnoteText"/>
      </w:pPr>
    </w:p>
  </w:footnote>
  <w:footnote w:id="335">
    <w:p w:rsidR="00000000" w:rsidRDefault="00000000">
      <w:pPr>
        <w:pStyle w:val="FootnoteText"/>
      </w:pPr>
      <w:r>
        <w:rPr>
          <w:rStyle w:val="FootnoteReference"/>
        </w:rPr>
        <w:footnoteRef/>
      </w:r>
      <w:r>
        <w:t xml:space="preserve"> </w:t>
      </w:r>
      <w:r>
        <w:tab/>
        <w:t>Эта программа была утверждена решением правительства Чешской Республики № 369 от 2 октября 1991 года о проекте системы мониторинга здоровья населения в связи с состоянием окружающей среды.</w:t>
      </w:r>
    </w:p>
    <w:p w:rsidR="00000000" w:rsidRDefault="00000000">
      <w:pPr>
        <w:pStyle w:val="FootnoteText"/>
      </w:pPr>
    </w:p>
  </w:footnote>
  <w:footnote w:id="336">
    <w:p w:rsidR="00000000" w:rsidRDefault="00000000">
      <w:pPr>
        <w:pStyle w:val="FootnoteText"/>
      </w:pPr>
      <w:r>
        <w:rPr>
          <w:rStyle w:val="FootnoteReference"/>
        </w:rPr>
        <w:footnoteRef/>
      </w:r>
      <w:r>
        <w:t xml:space="preserve"> </w:t>
      </w:r>
      <w:r>
        <w:tab/>
        <w:t xml:space="preserve">Закон № 20/1966 </w:t>
      </w:r>
      <w:r>
        <w:rPr>
          <w:lang w:val="en-US"/>
        </w:rPr>
        <w:t>Co</w:t>
      </w:r>
      <w:r>
        <w:t>ll. о здравоохранении с внесенными в него впоследствии поправками.</w:t>
      </w:r>
    </w:p>
    <w:p w:rsidR="00000000" w:rsidRDefault="00000000">
      <w:pPr>
        <w:pStyle w:val="FootnoteText"/>
      </w:pPr>
    </w:p>
  </w:footnote>
  <w:footnote w:id="337">
    <w:p w:rsidR="00000000" w:rsidRDefault="00000000">
      <w:pPr>
        <w:pStyle w:val="FootnoteText"/>
      </w:pPr>
      <w:r>
        <w:rPr>
          <w:rStyle w:val="FootnoteReference"/>
        </w:rPr>
        <w:footnoteRef/>
      </w:r>
      <w:r>
        <w:t xml:space="preserve"> </w:t>
      </w:r>
      <w:r>
        <w:tab/>
        <w:t xml:space="preserve">Постановление министерства здравоохранения № 45/1966 </w:t>
      </w:r>
      <w:r>
        <w:rPr>
          <w:lang w:val="en-US"/>
        </w:rPr>
        <w:t>Co</w:t>
      </w:r>
      <w:r>
        <w:t>ll. о создании и защите здоровых условий жизни с внесенными в него впоследствии поправками.</w:t>
      </w:r>
    </w:p>
    <w:p w:rsidR="00000000" w:rsidRDefault="00000000">
      <w:pPr>
        <w:pStyle w:val="FootnoteText"/>
      </w:pPr>
    </w:p>
  </w:footnote>
  <w:footnote w:id="338">
    <w:p w:rsidR="00000000" w:rsidRDefault="00000000">
      <w:pPr>
        <w:pStyle w:val="FootnoteText"/>
      </w:pPr>
      <w:r>
        <w:rPr>
          <w:rStyle w:val="FootnoteReference"/>
        </w:rPr>
        <w:footnoteRef/>
      </w:r>
      <w:r>
        <w:t xml:space="preserve"> </w:t>
      </w:r>
      <w:r>
        <w:tab/>
        <w:t xml:space="preserve">Постановление правительства № 290/1995 </w:t>
      </w:r>
      <w:r>
        <w:rPr>
          <w:lang w:val="en-US"/>
        </w:rPr>
        <w:t>Co</w:t>
      </w:r>
      <w:r>
        <w:t>ll., содержащее перечень профессиональных заболеваний.</w:t>
      </w:r>
    </w:p>
    <w:p w:rsidR="00000000" w:rsidRDefault="00000000">
      <w:pPr>
        <w:pStyle w:val="FootnoteText"/>
      </w:pPr>
    </w:p>
  </w:footnote>
  <w:footnote w:id="339">
    <w:p w:rsidR="00000000" w:rsidRDefault="00000000">
      <w:pPr>
        <w:pStyle w:val="FootnoteText"/>
      </w:pPr>
      <w:r>
        <w:rPr>
          <w:rStyle w:val="FootnoteReference"/>
        </w:rPr>
        <w:footnoteRef/>
      </w:r>
      <w:r>
        <w:t xml:space="preserve"> </w:t>
      </w:r>
      <w:r>
        <w:tab/>
        <w:t xml:space="preserve">Постановление министерства здравоохранения № 91/1984 </w:t>
      </w:r>
      <w:r>
        <w:rPr>
          <w:lang w:val="en-US"/>
        </w:rPr>
        <w:t>Co</w:t>
      </w:r>
      <w:r>
        <w:t>ll. о вакцинации от инфекционных заболеваний с внесенными в него впоследствии поправками.</w:t>
      </w:r>
    </w:p>
    <w:p w:rsidR="00000000" w:rsidRDefault="00000000">
      <w:pPr>
        <w:pStyle w:val="FootnoteText"/>
      </w:pPr>
    </w:p>
  </w:footnote>
  <w:footnote w:id="340">
    <w:p w:rsidR="00000000" w:rsidRDefault="00000000">
      <w:pPr>
        <w:pStyle w:val="FootnoteText"/>
      </w:pPr>
      <w:r>
        <w:rPr>
          <w:rStyle w:val="FootnoteReference"/>
        </w:rPr>
        <w:footnoteRef/>
      </w:r>
      <w:r>
        <w:t xml:space="preserve"> </w:t>
      </w:r>
      <w:r>
        <w:tab/>
        <w:t xml:space="preserve">Постановление министерства здравоохранения № 91/1984 </w:t>
      </w:r>
      <w:r>
        <w:rPr>
          <w:lang w:val="en-US"/>
        </w:rPr>
        <w:t>Co</w:t>
      </w:r>
      <w:r>
        <w:t>ll. о мерах по борьбе с инфекционными заболеваниями с внесенными в него впоследствии поправками.</w:t>
      </w:r>
    </w:p>
    <w:p w:rsidR="00000000" w:rsidRDefault="00000000">
      <w:pPr>
        <w:pStyle w:val="FootnoteText"/>
      </w:pPr>
    </w:p>
  </w:footnote>
  <w:footnote w:id="341">
    <w:p w:rsidR="00000000" w:rsidRDefault="00000000">
      <w:pPr>
        <w:pStyle w:val="FootnoteText"/>
      </w:pPr>
      <w:r>
        <w:rPr>
          <w:rStyle w:val="FootnoteReference"/>
        </w:rPr>
        <w:footnoteRef/>
      </w:r>
      <w:r>
        <w:t xml:space="preserve"> </w:t>
      </w:r>
      <w:r>
        <w:tab/>
        <w:t>Например, постановление министерства образования, по делам молодежи и спорта о начальной школе (№ 291/1991 С</w:t>
      </w:r>
      <w:r>
        <w:rPr>
          <w:lang w:val="en-US"/>
        </w:rPr>
        <w:t>oll</w:t>
      </w:r>
      <w:r>
        <w:t>.) и постановление о средней школе (№ 354/1993 Сoll.) с последующими поправками.</w:t>
      </w:r>
    </w:p>
  </w:footnote>
  <w:footnote w:id="342">
    <w:p w:rsidR="00000000" w:rsidRDefault="00000000">
      <w:pPr>
        <w:pStyle w:val="FootnoteText"/>
      </w:pPr>
      <w:r>
        <w:rPr>
          <w:rStyle w:val="FootnoteReference"/>
        </w:rPr>
        <w:footnoteRef/>
      </w:r>
      <w:r>
        <w:t xml:space="preserve"> </w:t>
      </w:r>
      <w:r>
        <w:tab/>
        <w:t>Специальные группы создаются для слабослышащих, слабовидящих, физически или умственно неполноценных детей, для детей с дефектами речи и множественной инвалидностью.  В специализированные группы принимаются дети с особыми нарушениями в плане поведения и умственного развития (см. постановление министерства образования, по делам молодежи и спорта о специальных школах и специальных детских садах, № 127/1997 С</w:t>
      </w:r>
      <w:r>
        <w:rPr>
          <w:lang w:val="en-US"/>
        </w:rPr>
        <w:t>oll</w:t>
      </w:r>
      <w:r>
        <w:t xml:space="preserve">.).  </w:t>
      </w:r>
    </w:p>
  </w:footnote>
  <w:footnote w:id="343">
    <w:p w:rsidR="00000000" w:rsidRDefault="00000000">
      <w:pPr>
        <w:pStyle w:val="FootnoteText"/>
        <w:rPr>
          <w:lang w:val="en-US"/>
        </w:rPr>
      </w:pPr>
    </w:p>
    <w:p w:rsidR="00000000" w:rsidRDefault="00000000">
      <w:pPr>
        <w:pStyle w:val="FootnoteText"/>
      </w:pPr>
      <w:r>
        <w:rPr>
          <w:rStyle w:val="FootnoteReference"/>
        </w:rPr>
        <w:footnoteRef/>
      </w:r>
      <w:r>
        <w:t xml:space="preserve"> </w:t>
      </w:r>
      <w:r>
        <w:tab/>
        <w:t xml:space="preserve">После окончания пятого класса начальной школы они могут поступать в восьмилетнюю классическую гимназию, а после седьмого класса - в шестилетнюю классическую гимназию. </w:t>
      </w:r>
    </w:p>
    <w:p w:rsidR="00000000" w:rsidRDefault="00000000">
      <w:pPr>
        <w:pStyle w:val="FootnoteText"/>
      </w:pPr>
    </w:p>
  </w:footnote>
  <w:footnote w:id="344">
    <w:p w:rsidR="00000000" w:rsidRDefault="00000000">
      <w:pPr>
        <w:pStyle w:val="FootnoteText"/>
      </w:pPr>
      <w:r>
        <w:rPr>
          <w:rStyle w:val="FootnoteReference"/>
        </w:rPr>
        <w:footnoteRef/>
      </w:r>
      <w:r>
        <w:t xml:space="preserve"> </w:t>
      </w:r>
      <w:r>
        <w:tab/>
        <w:t xml:space="preserve">Школы совместного обучения разных возрастов являются такими школами, в которых учащиеся нескольких классов обучаются в одной комнате.  В не полностью укомплектованных школах имеются не все классы, но каждый из них обучается в собственном помещении.  Как правило, такие создаваемые школы предусматривают обучение только первого уровня;  школы только со вторым уровнем обучения создаются редко.  </w:t>
      </w:r>
    </w:p>
  </w:footnote>
  <w:footnote w:id="345">
    <w:p w:rsidR="00000000" w:rsidRDefault="00000000">
      <w:pPr>
        <w:pStyle w:val="FootnoteText"/>
      </w:pPr>
      <w:r>
        <w:rPr>
          <w:rStyle w:val="FootnoteReference"/>
        </w:rPr>
        <w:footnoteRef/>
      </w:r>
      <w:r>
        <w:t xml:space="preserve"> </w:t>
      </w:r>
      <w:r>
        <w:tab/>
        <w:t xml:space="preserve">Закон № 111/1998 </w:t>
      </w:r>
      <w:r>
        <w:rPr>
          <w:lang w:val="en-US"/>
        </w:rPr>
        <w:t>Coll</w:t>
      </w:r>
      <w:r>
        <w:t xml:space="preserve">.об университетах </w:t>
      </w:r>
    </w:p>
  </w:footnote>
  <w:footnote w:id="346">
    <w:p w:rsidR="00000000" w:rsidRDefault="00000000">
      <w:pPr>
        <w:pStyle w:val="FootnoteText"/>
      </w:pPr>
      <w:r>
        <w:rPr>
          <w:rStyle w:val="FootnoteReference"/>
        </w:rPr>
        <w:footnoteRef/>
      </w:r>
      <w:r>
        <w:t xml:space="preserve"> </w:t>
      </w:r>
      <w:r>
        <w:tab/>
        <w:t xml:space="preserve">Закон № 111/1998 </w:t>
      </w:r>
      <w:r>
        <w:rPr>
          <w:lang w:val="en-US"/>
        </w:rPr>
        <w:t>Coll</w:t>
      </w:r>
      <w:r>
        <w:t>.об университетах, содержащий также поправки и дополнения к другим законам.</w:t>
      </w:r>
    </w:p>
    <w:p w:rsidR="00000000" w:rsidRDefault="00000000">
      <w:pPr>
        <w:pStyle w:val="FootnoteText"/>
      </w:pPr>
    </w:p>
  </w:footnote>
  <w:footnote w:id="347">
    <w:p w:rsidR="00000000" w:rsidRDefault="00000000">
      <w:pPr>
        <w:pStyle w:val="FootnoteText"/>
      </w:pPr>
      <w:r>
        <w:rPr>
          <w:rStyle w:val="FootnoteReference"/>
        </w:rPr>
        <w:footnoteRef/>
      </w:r>
      <w:r>
        <w:t xml:space="preserve"> </w:t>
      </w:r>
      <w:r>
        <w:tab/>
        <w:t xml:space="preserve">Закон № 155/1998 </w:t>
      </w:r>
      <w:r>
        <w:rPr>
          <w:lang w:val="en-US"/>
        </w:rPr>
        <w:t>Coll</w:t>
      </w:r>
      <w:r>
        <w:t>.о кинетической речи и поправках к другим законам.</w:t>
      </w:r>
    </w:p>
    <w:p w:rsidR="00000000" w:rsidRDefault="00000000">
      <w:pPr>
        <w:pStyle w:val="FootnoteText"/>
      </w:pPr>
    </w:p>
  </w:footnote>
  <w:footnote w:id="348">
    <w:p w:rsidR="00000000" w:rsidRDefault="00000000">
      <w:pPr>
        <w:pStyle w:val="FootnoteText"/>
      </w:pPr>
      <w:r>
        <w:rPr>
          <w:rStyle w:val="FootnoteReference"/>
        </w:rPr>
        <w:footnoteRef/>
      </w:r>
      <w:r>
        <w:t xml:space="preserve"> </w:t>
      </w:r>
      <w:r>
        <w:tab/>
        <w:t>Статистические данные собираются с 1993/94 учебного года.</w:t>
      </w:r>
    </w:p>
  </w:footnote>
  <w:footnote w:id="349">
    <w:p w:rsidR="00000000" w:rsidRDefault="00000000">
      <w:pPr>
        <w:pStyle w:val="FootnoteText"/>
      </w:pPr>
      <w:r>
        <w:rPr>
          <w:rStyle w:val="FootnoteReference"/>
        </w:rPr>
        <w:footnoteRef/>
      </w:r>
      <w:r>
        <w:t xml:space="preserve"> </w:t>
      </w:r>
      <w:r>
        <w:tab/>
        <w:t xml:space="preserve">Закон № 468/1991 </w:t>
      </w:r>
      <w:r>
        <w:rPr>
          <w:lang w:val="en-US"/>
        </w:rPr>
        <w:t>Coll</w:t>
      </w:r>
      <w:r>
        <w:t xml:space="preserve">.о радиовещании и телевидении с последующими поправками. </w:t>
      </w:r>
    </w:p>
  </w:footnote>
  <w:footnote w:id="350">
    <w:p w:rsidR="00000000" w:rsidRDefault="00000000">
      <w:pPr>
        <w:pStyle w:val="FootnoteText"/>
        <w:rPr>
          <w:lang w:val="en-US"/>
        </w:rPr>
      </w:pPr>
      <w:r>
        <w:rPr>
          <w:rStyle w:val="FootnoteReference"/>
        </w:rPr>
        <w:footnoteRef/>
      </w:r>
      <w:r>
        <w:rPr>
          <w:lang w:val="en-US"/>
        </w:rPr>
        <w:t xml:space="preserve"> </w:t>
      </w:r>
      <w:r>
        <w:rPr>
          <w:lang w:val="en-US"/>
        </w:rPr>
        <w:tab/>
        <w:t>Author:  Karel Mráček, Publishing House Krystal O.P., Prague, 1995.</w:t>
      </w:r>
    </w:p>
  </w:footnote>
  <w:footnote w:id="351">
    <w:p w:rsidR="00000000" w:rsidRDefault="00000000">
      <w:pPr>
        <w:pStyle w:val="FootnoteText"/>
        <w:rPr>
          <w:lang w:val="en-US"/>
        </w:rPr>
      </w:pPr>
      <w:r>
        <w:rPr>
          <w:rStyle w:val="FootnoteReference"/>
        </w:rPr>
        <w:footnoteRef/>
      </w:r>
      <w:r>
        <w:rPr>
          <w:lang w:val="en-US"/>
        </w:rPr>
        <w:t xml:space="preserve"> </w:t>
      </w:r>
      <w:r>
        <w:rPr>
          <w:lang w:val="en-US"/>
        </w:rPr>
        <w:tab/>
        <w:t>Author:  Milan Valenta, Publishing House Práce, Prague, 1998.</w:t>
      </w:r>
    </w:p>
  </w:footnote>
  <w:footnote w:id="352">
    <w:p w:rsidR="00000000" w:rsidRDefault="00000000">
      <w:pPr>
        <w:pStyle w:val="FootnoteText"/>
        <w:rPr>
          <w:lang w:val="en-US"/>
        </w:rPr>
      </w:pPr>
    </w:p>
    <w:p w:rsidR="00000000" w:rsidRDefault="00000000">
      <w:pPr>
        <w:pStyle w:val="FootnoteText"/>
      </w:pPr>
      <w:r>
        <w:rPr>
          <w:rStyle w:val="FootnoteReference"/>
        </w:rPr>
        <w:footnoteRef/>
      </w:r>
      <w:r>
        <w:t xml:space="preserve"> </w:t>
      </w:r>
      <w:r>
        <w:tab/>
        <w:t xml:space="preserve">См. также постановление министерства образования, по делам молодежи и спорта и министерства здравоохранения № 452/1991 </w:t>
      </w:r>
      <w:r>
        <w:rPr>
          <w:lang w:val="en-US"/>
        </w:rPr>
        <w:t>Coll</w:t>
      </w:r>
      <w:r>
        <w:t>. об учреждении и деятельности приходских школ и школ религиозных обществ.</w:t>
      </w:r>
    </w:p>
  </w:footnote>
  <w:footnote w:id="353">
    <w:p w:rsidR="00000000" w:rsidRDefault="00000000">
      <w:pPr>
        <w:pStyle w:val="FootnoteText"/>
      </w:pPr>
    </w:p>
    <w:p w:rsidR="00000000" w:rsidRDefault="00000000">
      <w:pPr>
        <w:pStyle w:val="FootnoteText"/>
      </w:pPr>
      <w:r>
        <w:rPr>
          <w:rStyle w:val="FootnoteReference"/>
        </w:rPr>
        <w:footnoteRef/>
      </w:r>
      <w:r>
        <w:t xml:space="preserve"> </w:t>
      </w:r>
      <w:r>
        <w:tab/>
        <w:t>Указ правительства Чешской Республики № 809 от 9 декабря 1998 года о мерах по совершенствованию защиты прав человека в Чешской Республике.</w:t>
      </w:r>
    </w:p>
  </w:footnote>
  <w:footnote w:id="354">
    <w:p w:rsidR="00000000" w:rsidRDefault="00000000">
      <w:pPr>
        <w:pStyle w:val="FootnoteText"/>
      </w:pPr>
    </w:p>
    <w:p w:rsidR="00000000" w:rsidRDefault="00000000">
      <w:pPr>
        <w:pStyle w:val="FootnoteText"/>
      </w:pPr>
      <w:r>
        <w:rPr>
          <w:rStyle w:val="FootnoteReference"/>
        </w:rPr>
        <w:footnoteRef/>
      </w:r>
      <w:r>
        <w:t xml:space="preserve"> </w:t>
      </w:r>
      <w:r>
        <w:tab/>
        <w:t>Указ правительства Чешской Республики № 35 от 11 января 1999 года о мерах в отношении меньшинства рома.</w:t>
      </w:r>
    </w:p>
  </w:footnote>
  <w:footnote w:id="355">
    <w:p w:rsidR="00000000" w:rsidRDefault="00000000">
      <w:pPr>
        <w:pStyle w:val="FootnoteText"/>
      </w:pPr>
    </w:p>
    <w:p w:rsidR="00000000" w:rsidRDefault="00000000">
      <w:pPr>
        <w:pStyle w:val="FootnoteText"/>
      </w:pPr>
      <w:r>
        <w:rPr>
          <w:rStyle w:val="FootnoteReference"/>
        </w:rPr>
        <w:footnoteRef/>
      </w:r>
      <w:r>
        <w:t xml:space="preserve"> </w:t>
      </w:r>
      <w:r>
        <w:tab/>
        <w:t>Указ правительства Чешской Республики № 279 от 7 апреля 1999 года о направлениях государственной политики в отношении представителей меньшинства рома, содействующей их интеграции в общество.</w:t>
      </w:r>
    </w:p>
  </w:footnote>
  <w:footnote w:id="356">
    <w:p w:rsidR="00000000" w:rsidRDefault="00000000">
      <w:pPr>
        <w:pStyle w:val="FootnoteText"/>
      </w:pPr>
      <w:r>
        <w:rPr>
          <w:rStyle w:val="FootnoteReference"/>
        </w:rPr>
        <w:footnoteRef/>
      </w:r>
      <w:r>
        <w:t xml:space="preserve"> </w:t>
      </w:r>
      <w:r>
        <w:tab/>
        <w:t>Указ правительства Чешской Республики № 789 от 28 июля 1999 года о мерах по борьбе с действиями, направленными на ущемление прав и свобод граждан.</w:t>
      </w:r>
    </w:p>
  </w:footnote>
  <w:footnote w:id="357">
    <w:p w:rsidR="00000000" w:rsidRDefault="00000000">
      <w:pPr>
        <w:pStyle w:val="FootnoteText"/>
      </w:pPr>
    </w:p>
    <w:p w:rsidR="00000000" w:rsidRDefault="00000000">
      <w:pPr>
        <w:pStyle w:val="FootnoteText"/>
      </w:pPr>
      <w:r>
        <w:rPr>
          <w:rStyle w:val="FootnoteReference"/>
        </w:rPr>
        <w:footnoteRef/>
      </w:r>
      <w:r>
        <w:t xml:space="preserve"> </w:t>
      </w:r>
      <w:r>
        <w:tab/>
        <w:t>Указ правительства Чешской Республики № 34 от 11 января 1999 года о подготовке к кампании по борьбе против расизма.</w:t>
      </w:r>
    </w:p>
  </w:footnote>
  <w:footnote w:id="358">
    <w:p w:rsidR="00000000" w:rsidRDefault="00000000">
      <w:pPr>
        <w:pStyle w:val="FootnoteText"/>
      </w:pPr>
    </w:p>
    <w:p w:rsidR="00000000" w:rsidRDefault="00000000">
      <w:pPr>
        <w:pStyle w:val="FootnoteText"/>
      </w:pPr>
      <w:r>
        <w:rPr>
          <w:rStyle w:val="FootnoteReference"/>
        </w:rPr>
        <w:footnoteRef/>
      </w:r>
      <w:r>
        <w:t xml:space="preserve"> </w:t>
      </w:r>
      <w:r>
        <w:tab/>
        <w:t>Указ правительства Чешской Республики № 63 от 9 февраля 1994 года об основах государственного подхода к вопросам меньшинств в Чешской Республике.</w:t>
      </w:r>
    </w:p>
  </w:footnote>
  <w:footnote w:id="359">
    <w:p w:rsidR="00000000" w:rsidRDefault="00000000">
      <w:pPr>
        <w:pStyle w:val="FootnoteText"/>
      </w:pPr>
    </w:p>
    <w:p w:rsidR="00000000" w:rsidRDefault="00000000">
      <w:pPr>
        <w:pStyle w:val="FootnoteText"/>
      </w:pPr>
      <w:r>
        <w:rPr>
          <w:rStyle w:val="FootnoteReference"/>
        </w:rPr>
        <w:footnoteRef/>
      </w:r>
      <w:r>
        <w:t xml:space="preserve"> </w:t>
      </w:r>
      <w:r>
        <w:tab/>
        <w:t>См. Инструкция № 18062/96-21, Бюллетень министерства образования, по делам молодежи и спорта, № 7, 1996 год.</w:t>
      </w:r>
    </w:p>
  </w:footnote>
  <w:footnote w:id="360">
    <w:p w:rsidR="00000000" w:rsidRDefault="00000000">
      <w:pPr>
        <w:pStyle w:val="FootnoteText"/>
      </w:pPr>
    </w:p>
    <w:p w:rsidR="00000000" w:rsidRDefault="00000000">
      <w:pPr>
        <w:pStyle w:val="FootnoteText"/>
      </w:pPr>
      <w:r>
        <w:rPr>
          <w:rStyle w:val="FootnoteReference"/>
        </w:rPr>
        <w:footnoteRef/>
      </w:r>
      <w:r>
        <w:t xml:space="preserve"> </w:t>
      </w:r>
      <w:r>
        <w:tab/>
        <w:t>Постановление министерства образования, по делам молодежи и спорта № 291/1991 С</w:t>
      </w:r>
      <w:r>
        <w:rPr>
          <w:lang w:val="en-US"/>
        </w:rPr>
        <w:t>oll</w:t>
      </w:r>
      <w:r>
        <w:t>.о начальных школах.</w:t>
      </w:r>
    </w:p>
    <w:p w:rsidR="00000000" w:rsidRDefault="00000000">
      <w:pPr>
        <w:pStyle w:val="FootnoteText"/>
      </w:pPr>
    </w:p>
  </w:footnote>
  <w:footnote w:id="361">
    <w:p w:rsidR="00000000" w:rsidRDefault="00000000">
      <w:pPr>
        <w:pStyle w:val="FootnoteText"/>
      </w:pPr>
      <w:r>
        <w:rPr>
          <w:rStyle w:val="FootnoteReference"/>
        </w:rPr>
        <w:footnoteRef/>
      </w:r>
      <w:r>
        <w:t xml:space="preserve"> </w:t>
      </w:r>
      <w:r>
        <w:tab/>
        <w:t>Согласно постановлению правительства № 153/1996 С</w:t>
      </w:r>
      <w:r>
        <w:rPr>
          <w:lang w:val="en-US"/>
        </w:rPr>
        <w:t>oll</w:t>
      </w:r>
      <w:r>
        <w:t>., в котором устанавливаются размеры оплаты образования в послесредних профессиональных училищах, созданных государством, и порядок оплаты.</w:t>
      </w:r>
    </w:p>
  </w:footnote>
  <w:footnote w:id="362">
    <w:p w:rsidR="00000000" w:rsidRDefault="00000000">
      <w:pPr>
        <w:pStyle w:val="FootnoteText"/>
        <w:rPr>
          <w:lang w:val="en-US"/>
        </w:rPr>
      </w:pPr>
      <w:r>
        <w:rPr>
          <w:rStyle w:val="FootnoteReference"/>
        </w:rPr>
        <w:footnoteRef/>
      </w:r>
      <w:r>
        <w:tab/>
        <w:t>Закон № 29/1984 о системе начальных, средних и послесредних профессиональных учебных заведений (Закон об учебных заведениях) с последующими поправками в своей части четыре "Специальные школы" гласит следующее:</w:t>
      </w:r>
    </w:p>
    <w:p w:rsidR="00000000" w:rsidRDefault="00000000">
      <w:pPr>
        <w:pStyle w:val="FootnoteText"/>
        <w:rPr>
          <w:lang w:val="en-US"/>
        </w:rPr>
      </w:pPr>
    </w:p>
    <w:p w:rsidR="00000000" w:rsidRDefault="00000000">
      <w:pPr>
        <w:pStyle w:val="FootnoteText"/>
        <w:keepNext/>
        <w:rPr>
          <w:i/>
          <w:iCs/>
        </w:rPr>
      </w:pPr>
      <w:r>
        <w:rPr>
          <w:i/>
          <w:iCs/>
        </w:rPr>
        <w:t>"Статья 28:</w:t>
      </w:r>
    </w:p>
    <w:p w:rsidR="00000000" w:rsidRDefault="00000000">
      <w:pPr>
        <w:pStyle w:val="FootnoteText"/>
        <w:ind w:left="561"/>
        <w:rPr>
          <w:lang w:val="en-US"/>
        </w:rPr>
      </w:pPr>
    </w:p>
    <w:p w:rsidR="00000000" w:rsidRDefault="00000000">
      <w:pPr>
        <w:pStyle w:val="FootnoteText"/>
        <w:ind w:left="561"/>
      </w:pPr>
      <w:r>
        <w:t>1)</w:t>
      </w:r>
      <w:r>
        <w:tab/>
        <w:t xml:space="preserve">Специализированные школы обеспечивают воспитание и образование посредством специальных воспитательных и учебных методик, средств и форм обучения учащихся, обладающих умственными или физическими недостатками и страдающих расстройством органов чувств, учащихся с дефектами речи, учащихся с множественными дефектами, трудновоспитуемых учащихся и больных и ослабленных учащихся, помещенных в медицинские учреждения;  они готовят их для участия в трудовом процессе и жизни в обществе. </w:t>
      </w:r>
    </w:p>
    <w:p w:rsidR="00000000" w:rsidRDefault="00000000">
      <w:pPr>
        <w:pStyle w:val="FootnoteText"/>
        <w:ind w:left="561"/>
        <w:rPr>
          <w:lang w:val="en-US"/>
        </w:rPr>
      </w:pPr>
    </w:p>
    <w:p w:rsidR="00000000" w:rsidRDefault="00000000">
      <w:pPr>
        <w:pStyle w:val="FootnoteText"/>
        <w:ind w:left="561"/>
      </w:pPr>
      <w:r>
        <w:t>2)</w:t>
      </w:r>
      <w:r>
        <w:tab/>
        <w:t>Специализированные школы включают начальные специализированные школы и средние специализированные школы;  образование в этих школах соответствует образованию, получаемому в начальных школах и других средних школах.</w:t>
      </w:r>
    </w:p>
    <w:p w:rsidR="00000000" w:rsidRDefault="00000000">
      <w:pPr>
        <w:pStyle w:val="FootnoteText"/>
        <w:ind w:left="561"/>
        <w:rPr>
          <w:lang w:val="en-US"/>
        </w:rPr>
      </w:pPr>
    </w:p>
    <w:p w:rsidR="00000000" w:rsidRDefault="00000000">
      <w:pPr>
        <w:pStyle w:val="FootnoteText"/>
        <w:ind w:left="561"/>
      </w:pPr>
      <w:r>
        <w:t>3)</w:t>
      </w:r>
      <w:r>
        <w:tab/>
        <w:t>Если настоящий Закон не предусматривает иное, его положения, касающиеся начальной или средней школы, распространяются и на специализированные школы.</w:t>
      </w:r>
    </w:p>
    <w:p w:rsidR="00000000" w:rsidRDefault="00000000">
      <w:pPr>
        <w:pStyle w:val="FootnoteText"/>
        <w:ind w:left="561"/>
      </w:pPr>
    </w:p>
    <w:p w:rsidR="00000000" w:rsidRDefault="00000000">
      <w:pPr>
        <w:pStyle w:val="FootnoteText"/>
        <w:ind w:left="561"/>
      </w:pPr>
      <w:r>
        <w:t>4)</w:t>
      </w:r>
      <w:r>
        <w:tab/>
        <w:t>В число специализированных школ входят также специальные школы, профессиональные школы, практические школы и реабилитационные школы.</w:t>
      </w:r>
    </w:p>
    <w:p w:rsidR="00000000" w:rsidRDefault="00000000">
      <w:pPr>
        <w:pStyle w:val="FootnoteText"/>
        <w:ind w:left="561"/>
      </w:pPr>
    </w:p>
    <w:p w:rsidR="00000000" w:rsidRDefault="00000000">
      <w:pPr>
        <w:pStyle w:val="FootnoteText"/>
        <w:ind w:left="561"/>
      </w:pPr>
      <w:r>
        <w:t>5)</w:t>
      </w:r>
      <w:r>
        <w:tab/>
        <w:t>Министерство своим постановлением устанавливает критерии для помещения учащихся в специальные начальные школы, специализированные школы и реабилитационные школы, а также условия для приема учащихся в профессиональные и практические школы.</w:t>
      </w:r>
    </w:p>
    <w:p w:rsidR="00000000" w:rsidRDefault="00000000">
      <w:pPr>
        <w:pStyle w:val="FootnoteText"/>
        <w:keepNext/>
      </w:pPr>
    </w:p>
    <w:p w:rsidR="00000000" w:rsidRDefault="00000000">
      <w:pPr>
        <w:pStyle w:val="FootnoteText"/>
        <w:keepNext/>
        <w:rPr>
          <w:i/>
          <w:iCs/>
        </w:rPr>
      </w:pPr>
      <w:r>
        <w:rPr>
          <w:i/>
          <w:iCs/>
        </w:rPr>
        <w:t>Статья 29:  Специализированные начальные школы</w:t>
      </w:r>
    </w:p>
    <w:p w:rsidR="00000000" w:rsidRDefault="00000000">
      <w:pPr>
        <w:pStyle w:val="FootnoteText"/>
        <w:ind w:left="561"/>
      </w:pPr>
    </w:p>
    <w:p w:rsidR="00000000" w:rsidRDefault="00000000">
      <w:pPr>
        <w:pStyle w:val="FootnoteText"/>
        <w:ind w:left="561"/>
      </w:pPr>
      <w:r>
        <w:t>1)</w:t>
      </w:r>
      <w:r>
        <w:tab/>
        <w:t>Специализированные начальные школы в соответствии со статьями 5 и 6 обеспечивают воспитание и образование учащихся с учетом их инвалидности;  в частности, создаются школы для учащихся с расстройствами слуха и зрения, для учащихся с дефектами речи, для учащихся, страдающих психическими или физическими расстройствами, для учеников с несколькими формами инвалидности, для трудновоспитуемых учащихся, а также для больных и ослабленных учащихся, помещенных в медицинские учреждения.</w:t>
      </w:r>
    </w:p>
    <w:p w:rsidR="00000000" w:rsidRDefault="00000000">
      <w:pPr>
        <w:pStyle w:val="FootnoteText"/>
        <w:ind w:left="561"/>
      </w:pPr>
    </w:p>
    <w:p w:rsidR="00000000" w:rsidRDefault="00000000">
      <w:pPr>
        <w:pStyle w:val="FootnoteText"/>
        <w:ind w:left="561"/>
      </w:pPr>
      <w:r>
        <w:t>2)</w:t>
      </w:r>
      <w:r>
        <w:tab/>
        <w:t>В специализированных начальных школах предусмотрено девятилетнее обучение.  Министерство своим постановлением определяет, в каких школах курс обучения длится десять лет.</w:t>
      </w:r>
    </w:p>
    <w:p w:rsidR="00000000" w:rsidRDefault="00000000">
      <w:pPr>
        <w:pStyle w:val="FootnoteText"/>
        <w:ind w:left="561"/>
      </w:pPr>
    </w:p>
    <w:p w:rsidR="00000000" w:rsidRDefault="00000000">
      <w:pPr>
        <w:pStyle w:val="FootnoteText"/>
        <w:keepNext/>
        <w:rPr>
          <w:i/>
          <w:iCs/>
        </w:rPr>
      </w:pPr>
      <w:r>
        <w:rPr>
          <w:i/>
          <w:iCs/>
        </w:rPr>
        <w:t>Статья 30:  Специализированные средние школы</w:t>
      </w:r>
    </w:p>
    <w:p w:rsidR="00000000" w:rsidRDefault="00000000">
      <w:pPr>
        <w:pStyle w:val="FootnoteText"/>
        <w:ind w:left="561"/>
      </w:pPr>
    </w:p>
    <w:p w:rsidR="00000000" w:rsidRDefault="00000000">
      <w:pPr>
        <w:pStyle w:val="FootnoteText"/>
        <w:ind w:left="561"/>
      </w:pPr>
      <w:r>
        <w:t>1)</w:t>
      </w:r>
      <w:r>
        <w:tab/>
        <w:t>Специализированные средние школы в соответствии со статьями 7 и 8 обеспечивают воспитание и образование учащихся с учетом их инвалидности;  в специальных средних школах обучаются дети с дефектами зрения и слуха или физическими расстройствами, а также трудновоспитуемые учащиеся, если они не могут получать образование совместно с учащимися других средних школ.</w:t>
      </w:r>
    </w:p>
    <w:p w:rsidR="00000000" w:rsidRDefault="00000000">
      <w:pPr>
        <w:pStyle w:val="FootnoteText"/>
        <w:ind w:left="561"/>
      </w:pPr>
    </w:p>
    <w:p w:rsidR="00000000" w:rsidRDefault="00000000">
      <w:pPr>
        <w:pStyle w:val="FootnoteText"/>
        <w:ind w:left="561"/>
      </w:pPr>
      <w:r>
        <w:t>2)</w:t>
      </w:r>
      <w:r>
        <w:tab/>
        <w:t>Специализированные средние школы делятся следующим образом:  средние профессионально-технические училища, классические гимназии и средние техникумы.</w:t>
      </w:r>
    </w:p>
    <w:p w:rsidR="00000000" w:rsidRDefault="00000000">
      <w:pPr>
        <w:pStyle w:val="FootnoteText"/>
        <w:ind w:left="561"/>
      </w:pPr>
    </w:p>
    <w:p w:rsidR="00000000" w:rsidRDefault="00000000">
      <w:pPr>
        <w:pStyle w:val="FootnoteText"/>
        <w:ind w:left="561"/>
      </w:pPr>
      <w:r>
        <w:t>3)</w:t>
      </w:r>
      <w:r>
        <w:tab/>
        <w:t>По согласованию с министерством здравоохранения министерство может путем принятия имеющего обязательную юридическую силу подзаконного акта продлевать срок обучения в специальных средних школах на два года.</w:t>
      </w:r>
    </w:p>
    <w:p w:rsidR="00000000" w:rsidRDefault="00000000">
      <w:pPr>
        <w:pStyle w:val="FootnoteText"/>
        <w:keepNext/>
      </w:pPr>
    </w:p>
    <w:p w:rsidR="00000000" w:rsidRDefault="00000000">
      <w:pPr>
        <w:pStyle w:val="FootnoteText"/>
        <w:keepNext/>
        <w:rPr>
          <w:i/>
          <w:iCs/>
        </w:rPr>
      </w:pPr>
      <w:r>
        <w:rPr>
          <w:i/>
          <w:iCs/>
        </w:rPr>
        <w:t>Статья 31:  Специальные школы</w:t>
      </w:r>
    </w:p>
    <w:p w:rsidR="00000000" w:rsidRDefault="00000000">
      <w:pPr>
        <w:pStyle w:val="FootnoteText"/>
        <w:ind w:left="561"/>
      </w:pPr>
    </w:p>
    <w:p w:rsidR="00000000" w:rsidRDefault="00000000">
      <w:pPr>
        <w:pStyle w:val="FootnoteText"/>
        <w:ind w:left="561"/>
      </w:pPr>
      <w:r>
        <w:t>1)</w:t>
      </w:r>
      <w:r>
        <w:tab/>
        <w:t>В специальных школах обучаются дети с недостатками умственного развития, не позволяющими им успешно учиться в начальной или специализированной начальной школе.</w:t>
      </w:r>
    </w:p>
    <w:p w:rsidR="00000000" w:rsidRDefault="00000000">
      <w:pPr>
        <w:pStyle w:val="FootnoteText"/>
        <w:ind w:left="561"/>
      </w:pPr>
    </w:p>
    <w:p w:rsidR="00000000" w:rsidRDefault="00000000">
      <w:pPr>
        <w:pStyle w:val="FootnoteText"/>
        <w:ind w:left="561"/>
      </w:pPr>
      <w:r>
        <w:t>2)</w:t>
      </w:r>
      <w:r>
        <w:tab/>
        <w:t>В специальных школах предусмотрено обучение в течение девяти лет.  Министерство своим постановлением определяет, в каких школах курс обучения длится десять лет.</w:t>
      </w:r>
    </w:p>
    <w:p w:rsidR="00000000" w:rsidRDefault="00000000">
      <w:pPr>
        <w:pStyle w:val="FootnoteText"/>
        <w:ind w:left="561"/>
      </w:pPr>
    </w:p>
    <w:p w:rsidR="00000000" w:rsidRDefault="00000000">
      <w:pPr>
        <w:pStyle w:val="FootnoteText"/>
        <w:keepNext/>
        <w:rPr>
          <w:i/>
          <w:iCs/>
        </w:rPr>
      </w:pPr>
      <w:r>
        <w:rPr>
          <w:i/>
          <w:iCs/>
        </w:rPr>
        <w:t>Статья 32:  Профессиональные школы</w:t>
      </w:r>
    </w:p>
    <w:p w:rsidR="00000000" w:rsidRDefault="00000000">
      <w:pPr>
        <w:pStyle w:val="FootnoteText"/>
        <w:ind w:left="561"/>
      </w:pPr>
    </w:p>
    <w:p w:rsidR="00000000" w:rsidRDefault="00000000">
      <w:pPr>
        <w:pStyle w:val="FootnoteText"/>
        <w:ind w:left="561"/>
      </w:pPr>
      <w:r>
        <w:t>1)</w:t>
      </w:r>
      <w:r>
        <w:tab/>
        <w:t>Профессиональные школы обеспечивают профессиональную подготовку по разным специальностям согласно утвержденным учебным планам.</w:t>
      </w:r>
    </w:p>
    <w:p w:rsidR="00000000" w:rsidRDefault="00000000">
      <w:pPr>
        <w:pStyle w:val="FootnoteText"/>
        <w:ind w:left="561"/>
      </w:pPr>
    </w:p>
    <w:p w:rsidR="00000000" w:rsidRDefault="00000000">
      <w:pPr>
        <w:pStyle w:val="FootnoteText"/>
        <w:ind w:left="561"/>
      </w:pPr>
      <w:r>
        <w:t>2)</w:t>
      </w:r>
      <w:r>
        <w:tab/>
        <w:t>Профессиональные школы готовят учащихся для работы по специальности, соответствующей преподаваемым дисциплинам.  Срок обучения составляет от двух до трех лет.  По окончании профессиональной школы учащиеся сдают выпускные экзамены.</w:t>
      </w:r>
    </w:p>
    <w:p w:rsidR="00000000" w:rsidRDefault="00000000">
      <w:pPr>
        <w:pStyle w:val="FootnoteText"/>
        <w:ind w:left="561"/>
      </w:pPr>
    </w:p>
    <w:p w:rsidR="00000000" w:rsidRDefault="00000000">
      <w:pPr>
        <w:pStyle w:val="FootnoteText"/>
        <w:ind w:left="561"/>
      </w:pPr>
      <w:r>
        <w:t>3)</w:t>
      </w:r>
      <w:r>
        <w:tab/>
        <w:t>Профессиональные школы могут также обеспечивать подготовку для выполнения простых трудовых операций учащимися, которые могут работать самостоятельно, но нуждаются в руководстве других лиц как в области трудовой деятельности, так и в отношении поведения в обществе.</w:t>
      </w:r>
    </w:p>
    <w:p w:rsidR="00000000" w:rsidRDefault="00000000">
      <w:pPr>
        <w:pStyle w:val="FootnoteText"/>
        <w:ind w:left="561"/>
      </w:pPr>
    </w:p>
    <w:p w:rsidR="00000000" w:rsidRDefault="00000000">
      <w:pPr>
        <w:pStyle w:val="FootnoteText"/>
        <w:ind w:left="561"/>
      </w:pPr>
      <w:r>
        <w:t>4)</w:t>
      </w:r>
      <w:r>
        <w:tab/>
        <w:t>В профессиональные школы принимаются учащиеся, успешно окончившие девятый класс специальной школы.</w:t>
      </w:r>
    </w:p>
    <w:p w:rsidR="00000000" w:rsidRDefault="00000000">
      <w:pPr>
        <w:pStyle w:val="FootnoteText"/>
        <w:ind w:left="561"/>
      </w:pPr>
    </w:p>
    <w:p w:rsidR="00000000" w:rsidRDefault="00000000">
      <w:pPr>
        <w:pStyle w:val="FootnoteText"/>
        <w:ind w:left="561"/>
      </w:pPr>
      <w:r>
        <w:t>5)</w:t>
      </w:r>
      <w:r>
        <w:tab/>
        <w:t>Профессиональные школы создаются в соответствии со статьей 10 и функционируют в соответствии с пунктами 3 и 4 статьи 9, статьей 10 а), статьями 11, 11 а) и 12, пунктом 2 статьи 20, статьями 22</w:t>
      </w:r>
      <w:r>
        <w:sym w:font="Symbol" w:char="F02D"/>
      </w:r>
      <w:r>
        <w:t>24, а также пунктами 1</w:t>
      </w:r>
      <w:r>
        <w:sym w:font="Symbol" w:char="F02D"/>
      </w:r>
      <w:r>
        <w:t>4 и 6</w:t>
      </w:r>
      <w:r>
        <w:sym w:font="Symbol" w:char="F02D"/>
      </w:r>
      <w:r>
        <w:t>8 статьи 25.</w:t>
      </w:r>
    </w:p>
    <w:p w:rsidR="00000000" w:rsidRDefault="00000000">
      <w:pPr>
        <w:pStyle w:val="FootnoteText"/>
        <w:ind w:left="561"/>
      </w:pPr>
    </w:p>
    <w:p w:rsidR="00000000" w:rsidRDefault="00000000">
      <w:pPr>
        <w:pStyle w:val="FootnoteText"/>
        <w:keepNext/>
        <w:rPr>
          <w:i/>
          <w:iCs/>
        </w:rPr>
      </w:pPr>
      <w:r>
        <w:rPr>
          <w:i/>
          <w:iCs/>
        </w:rPr>
        <w:t>Статья 32 а):  Практические школы</w:t>
      </w:r>
    </w:p>
    <w:p w:rsidR="00000000" w:rsidRDefault="00000000">
      <w:pPr>
        <w:pStyle w:val="FootnoteText"/>
        <w:ind w:left="561"/>
      </w:pPr>
    </w:p>
    <w:p w:rsidR="00000000" w:rsidRDefault="00000000">
      <w:pPr>
        <w:pStyle w:val="FootnoteText"/>
        <w:ind w:left="561"/>
      </w:pPr>
      <w:r>
        <w:t>1)</w:t>
      </w:r>
      <w:r>
        <w:tab/>
        <w:t>Практические школы готовят учащихся для выполнения простых трудовых операций.  Срок обучения составляет от одного до трех лет.</w:t>
      </w:r>
    </w:p>
    <w:p w:rsidR="00000000" w:rsidRDefault="00000000">
      <w:pPr>
        <w:pStyle w:val="FootnoteText"/>
        <w:ind w:left="561"/>
      </w:pPr>
    </w:p>
    <w:p w:rsidR="00000000" w:rsidRDefault="00000000">
      <w:pPr>
        <w:pStyle w:val="FootnoteText"/>
        <w:ind w:left="561"/>
      </w:pPr>
      <w:r>
        <w:t>2)</w:t>
      </w:r>
      <w:r>
        <w:tab/>
        <w:t>При зачислении в практические школы отдается приоритет учащимся, которые успешно закончили специальную школу, а также учащимся, которые получили обязательное образование, но не закончили девятый класс специальной или начальной школы.  При наличии оправдательных причин могут приниматься также дети, которые не сдали экзамены за девятый класс начальной школы.  Практические школы с годовым или двухлетним курсами обучения принимают учащихся, которые получили обязательное образование в специальной (статья 31) или реабилитационной школе (статья 33).</w:t>
      </w:r>
    </w:p>
    <w:p w:rsidR="00000000" w:rsidRDefault="00000000">
      <w:pPr>
        <w:pStyle w:val="FootnoteText"/>
        <w:ind w:left="561"/>
      </w:pPr>
    </w:p>
    <w:p w:rsidR="00000000" w:rsidRDefault="00000000">
      <w:pPr>
        <w:pStyle w:val="FootnoteText"/>
        <w:ind w:left="561"/>
      </w:pPr>
      <w:r>
        <w:t>3)</w:t>
      </w:r>
      <w:r>
        <w:tab/>
        <w:t>По окончании трехлетнего образования в практической школе учащиеся сдают выпускные экзамены, а в случае школы с годовым или двухлетним курсом </w:t>
      </w:r>
      <w:r>
        <w:sym w:font="Symbol" w:char="F02D"/>
      </w:r>
      <w:r>
        <w:t xml:space="preserve"> получают табель об успеваемости по изученным дисциплинам.</w:t>
      </w:r>
    </w:p>
    <w:p w:rsidR="00000000" w:rsidRDefault="00000000">
      <w:pPr>
        <w:pStyle w:val="FootnoteText"/>
        <w:keepNext/>
      </w:pPr>
    </w:p>
    <w:p w:rsidR="00000000" w:rsidRDefault="00000000">
      <w:pPr>
        <w:pStyle w:val="FootnoteText"/>
        <w:keepNext/>
        <w:rPr>
          <w:i/>
          <w:iCs/>
        </w:rPr>
      </w:pPr>
      <w:r>
        <w:rPr>
          <w:i/>
          <w:iCs/>
        </w:rPr>
        <w:t>Статья 33:  Реабилитационные школы</w:t>
      </w:r>
    </w:p>
    <w:p w:rsidR="00000000" w:rsidRDefault="00000000">
      <w:pPr>
        <w:pStyle w:val="FootnoteText"/>
        <w:ind w:left="561"/>
      </w:pPr>
    </w:p>
    <w:p w:rsidR="00000000" w:rsidRDefault="00000000">
      <w:pPr>
        <w:pStyle w:val="FootnoteText"/>
        <w:ind w:left="561"/>
      </w:pPr>
      <w:r>
        <w:t>1)</w:t>
      </w:r>
      <w:r>
        <w:tab/>
        <w:t>Реабилитационные школы обеспечивают воспитание и образование трудновоспитуемых учащихся с такими дефектами умственного развития, которые не позволяют им учиться даже в специальной школе, однако дают им возможность приобрести самое элементарное образование.  Содержание учебного процесса нацелено на развитие навыков ухода за собой, личной гигиены, а также приобретение соразмерных знаний и навыков обращения с предметами повседневного пользования.</w:t>
      </w:r>
    </w:p>
    <w:p w:rsidR="00000000" w:rsidRDefault="00000000">
      <w:pPr>
        <w:pStyle w:val="FootnoteText"/>
        <w:ind w:left="561"/>
      </w:pPr>
    </w:p>
    <w:p w:rsidR="00000000" w:rsidRDefault="00000000">
      <w:pPr>
        <w:pStyle w:val="FootnoteText"/>
        <w:ind w:left="561"/>
      </w:pPr>
      <w:r>
        <w:t>2)</w:t>
      </w:r>
      <w:r>
        <w:tab/>
        <w:t>Срок обучения в исправительных школах составляет десять лет.</w:t>
      </w:r>
    </w:p>
    <w:p w:rsidR="00000000" w:rsidRDefault="00000000">
      <w:pPr>
        <w:pStyle w:val="FootnoteText"/>
        <w:ind w:left="561"/>
      </w:pPr>
    </w:p>
    <w:p w:rsidR="00000000" w:rsidRDefault="00000000">
      <w:pPr>
        <w:pStyle w:val="FootnoteText"/>
        <w:ind w:left="561"/>
      </w:pPr>
      <w:r>
        <w:t>3)</w:t>
      </w:r>
      <w:r>
        <w:tab/>
        <w:t>В соответствии с пунктом 2 статьи 37 детям с тяжелой формой психической инвалидности перед поступлением в реабилитационную школу и перед получением обязательного образования предоставляется возможность подготовительной учебы в течение одного</w:t>
      </w:r>
      <w:r>
        <w:noBreakHyphen/>
        <w:t>трех лет".</w:t>
      </w:r>
    </w:p>
  </w:footnote>
  <w:footnote w:id="363">
    <w:p w:rsidR="00000000" w:rsidRDefault="00000000">
      <w:pPr>
        <w:pStyle w:val="FootnoteText"/>
      </w:pPr>
      <w:r>
        <w:rPr>
          <w:rStyle w:val="FootnoteReference"/>
        </w:rPr>
        <w:footnoteRef/>
      </w:r>
      <w:r>
        <w:t xml:space="preserve"> </w:t>
      </w:r>
      <w:r>
        <w:tab/>
        <w:t>Согласно оценкам Межведомственной комиссии по делам общины рома, свыше половины учащихся специальных школ являются детьми рома и примерно 70% всех детей рома посещают специальные школы.</w:t>
      </w:r>
    </w:p>
    <w:p w:rsidR="00000000" w:rsidRDefault="00000000">
      <w:pPr>
        <w:pStyle w:val="FootnoteText"/>
      </w:pPr>
    </w:p>
  </w:footnote>
  <w:footnote w:id="364">
    <w:p w:rsidR="00000000" w:rsidRDefault="00000000">
      <w:pPr>
        <w:pStyle w:val="FootnoteText"/>
      </w:pPr>
      <w:r>
        <w:rPr>
          <w:rStyle w:val="FootnoteReference"/>
        </w:rPr>
        <w:footnoteRef/>
      </w:r>
      <w:r>
        <w:t xml:space="preserve"> </w:t>
      </w:r>
      <w:r>
        <w:tab/>
        <w:t>Правительство Чешской Республики своим Указом № 686 от 29 октября 1997 года об отчетности в отношении положения общины рома в Чешской Республике в связи с ситуацией, сложившейся в общине рома, поручило министру образования подготовить новые материалы для тестирования детей при переводе в специальные школы и в большей степени учитывать особенности характера и темперамента детей рома, с тем чтобы ограничить ранее применявшуюся практику повсеместного приема детей рома в специальные школы без документально зарегистрированных доказательств их особых умственных или образовательных потребностей.  В отчетный период подготовка новых методик для тестирования детей (включая детей, не принадлежащих к рома) еще не завершилась.</w:t>
      </w:r>
    </w:p>
  </w:footnote>
  <w:footnote w:id="365">
    <w:p w:rsidR="00000000" w:rsidRDefault="00000000">
      <w:pPr>
        <w:pStyle w:val="FootnoteText"/>
      </w:pPr>
      <w:r>
        <w:rPr>
          <w:rStyle w:val="FootnoteReference"/>
        </w:rPr>
        <w:footnoteRef/>
      </w:r>
      <w:r>
        <w:t xml:space="preserve"> </w:t>
      </w:r>
      <w:r>
        <w:tab/>
        <w:t>Закон № 19/2000 С</w:t>
      </w:r>
      <w:r>
        <w:rPr>
          <w:lang w:val="fr-CA"/>
        </w:rPr>
        <w:t>oll</w:t>
      </w:r>
      <w:r>
        <w:t>. о внесении поправок в закон № 29/1984 С</w:t>
      </w:r>
      <w:r>
        <w:rPr>
          <w:lang w:val="en-US"/>
        </w:rPr>
        <w:t>oll</w:t>
      </w:r>
      <w:r>
        <w:t>. о системе начальных, средних и послесредних профессиональных учебных заведений (Закон об учебных заведениях) с последующими поправками.</w:t>
      </w:r>
    </w:p>
    <w:p w:rsidR="00000000" w:rsidRDefault="00000000">
      <w:pPr>
        <w:pStyle w:val="FootnoteText"/>
      </w:pPr>
    </w:p>
  </w:footnote>
  <w:footnote w:id="366">
    <w:p w:rsidR="00000000" w:rsidRDefault="00000000">
      <w:pPr>
        <w:pStyle w:val="FootnoteText"/>
        <w:rPr>
          <w:i/>
          <w:iCs/>
        </w:rPr>
      </w:pPr>
      <w:r>
        <w:rPr>
          <w:rStyle w:val="FootnoteReference"/>
        </w:rPr>
        <w:footnoteRef/>
      </w:r>
      <w:r>
        <w:t xml:space="preserve"> </w:t>
      </w:r>
      <w:r>
        <w:tab/>
        <w:t>В статье 19 Закона об учебных заведениях прежде содержалась следующая формулировка:  "В средние школы… принимаются учащиеся и другие лица, которые успешно окончили начальную школу"</w:t>
      </w:r>
      <w:r>
        <w:rPr>
          <w:i/>
          <w:iCs/>
        </w:rPr>
        <w:t>.</w:t>
      </w:r>
      <w:r>
        <w:t xml:space="preserve">  Статья 19 в новой редакции гласит следующее:  "В средние школы… принимаются учащиеся и другие лица, которые завершили курс обязательного образования и которые соответствуют условиям приема, продемонстрировав в процессе поступления соответствующие способности, знания, интересы и состояние здоровья, необходимые для избранной сферы образования".</w:t>
      </w:r>
    </w:p>
    <w:p w:rsidR="00000000" w:rsidRDefault="00000000">
      <w:pPr>
        <w:pStyle w:val="FootnoteText"/>
      </w:pPr>
    </w:p>
  </w:footnote>
  <w:footnote w:id="367">
    <w:p w:rsidR="00000000" w:rsidRDefault="00000000">
      <w:pPr>
        <w:pStyle w:val="FootnoteText"/>
      </w:pPr>
      <w:r>
        <w:rPr>
          <w:rStyle w:val="FootnoteReference"/>
        </w:rPr>
        <w:footnoteRef/>
      </w:r>
      <w:r>
        <w:t xml:space="preserve"> </w:t>
      </w:r>
      <w:r>
        <w:tab/>
        <w:t>Создание подготовительных классов в специальных школах подвергается критике, поскольку для поступающих в них детей не создается естественная среда стандартной начальной школы или детского сада.</w:t>
      </w:r>
    </w:p>
    <w:p w:rsidR="00000000" w:rsidRDefault="00000000">
      <w:pPr>
        <w:pStyle w:val="FootnoteText"/>
      </w:pPr>
    </w:p>
  </w:footnote>
  <w:footnote w:id="368">
    <w:p w:rsidR="00000000" w:rsidRDefault="00000000">
      <w:pPr>
        <w:pStyle w:val="FootnoteText"/>
      </w:pPr>
      <w:r>
        <w:rPr>
          <w:rStyle w:val="FootnoteReference"/>
        </w:rPr>
        <w:footnoteRef/>
      </w:r>
      <w:r>
        <w:t xml:space="preserve"> </w:t>
      </w:r>
      <w:r>
        <w:tab/>
        <w:t>Согласно постановлению министерства образования, по делам молодежи и спорта № 12748/97-20 и последующему постановлению № 14169/98-22 о внесении в него поправок (применительно к детским садам).</w:t>
      </w:r>
    </w:p>
    <w:p w:rsidR="00000000" w:rsidRDefault="00000000">
      <w:pPr>
        <w:pStyle w:val="FootnoteText"/>
      </w:pPr>
    </w:p>
  </w:footnote>
  <w:footnote w:id="369">
    <w:p w:rsidR="00000000" w:rsidRDefault="00000000">
      <w:pPr>
        <w:pStyle w:val="FootnoteText"/>
      </w:pPr>
      <w:r>
        <w:rPr>
          <w:rStyle w:val="FootnoteReference"/>
        </w:rPr>
        <w:footnoteRef/>
      </w:r>
      <w:r>
        <w:t xml:space="preserve"> </w:t>
      </w:r>
      <w:r>
        <w:tab/>
        <w:t>В своем Постановлении № 686 от 29 октября 1997 года об отчетности в области положения общины рома в Чешской Республике правительство поручило министру образования, по делам молодежи и спорта "расширить сеть подготовительных классов в системе начального образования для учащихся из неблагоприятной языковой и социально-культурной среды".</w:t>
      </w:r>
    </w:p>
  </w:footnote>
  <w:footnote w:id="370">
    <w:p w:rsidR="00000000" w:rsidRDefault="00000000">
      <w:pPr>
        <w:pStyle w:val="FootnoteText"/>
      </w:pPr>
      <w:r>
        <w:rPr>
          <w:rStyle w:val="FootnoteReference"/>
        </w:rPr>
        <w:footnoteRef/>
      </w:r>
      <w:r>
        <w:t xml:space="preserve"> </w:t>
      </w:r>
      <w:r>
        <w:tab/>
        <w:t>Это предусмотрено инструкцией министерства образования, по делам молодежи и спорта об экспериментальном тестировании в подготовительных классах № 12748/97-20.</w:t>
      </w:r>
    </w:p>
  </w:footnote>
  <w:footnote w:id="371">
    <w:p w:rsidR="00000000" w:rsidRDefault="00000000">
      <w:pPr>
        <w:pStyle w:val="FootnoteText"/>
      </w:pPr>
      <w:r>
        <w:rPr>
          <w:rStyle w:val="FootnoteReference"/>
        </w:rPr>
        <w:footnoteRef/>
      </w:r>
      <w:r>
        <w:t xml:space="preserve"> </w:t>
      </w:r>
      <w:r>
        <w:tab/>
        <w:t>Это предусмотрено инструкцией о дополнительном образовании в начальных школах для выпускников специальных школ, изданной министерством образования, по делам молодежи и спорта № 17 908/95-24.</w:t>
      </w:r>
    </w:p>
    <w:p w:rsidR="00000000" w:rsidRDefault="00000000">
      <w:pPr>
        <w:pStyle w:val="FootnoteText"/>
      </w:pPr>
    </w:p>
  </w:footnote>
  <w:footnote w:id="372">
    <w:p w:rsidR="00000000" w:rsidRDefault="00000000">
      <w:pPr>
        <w:pStyle w:val="FootnoteText"/>
      </w:pPr>
      <w:r>
        <w:rPr>
          <w:rStyle w:val="FootnoteReference"/>
        </w:rPr>
        <w:footnoteRef/>
      </w:r>
      <w:r>
        <w:t xml:space="preserve"> </w:t>
      </w:r>
      <w:r>
        <w:tab/>
        <w:t xml:space="preserve">На основании пункта 10 раздела 4 постановления министерства образования, по делам молодежи и спорта № 127/1997 </w:t>
      </w:r>
      <w:r>
        <w:rPr>
          <w:lang w:val="en-US"/>
        </w:rPr>
        <w:t>Coll</w:t>
      </w:r>
      <w:r>
        <w:t>. о специальных школах и специальных детских садах для граждан, которые получили обязательное образование в младших классах специальной школы.</w:t>
      </w:r>
    </w:p>
  </w:footnote>
  <w:footnote w:id="373">
    <w:p w:rsidR="00000000" w:rsidRDefault="00000000">
      <w:pPr>
        <w:pStyle w:val="FootnoteText"/>
      </w:pPr>
      <w:r>
        <w:rPr>
          <w:rStyle w:val="FootnoteReference"/>
        </w:rPr>
        <w:footnoteRef/>
      </w:r>
      <w:r>
        <w:t xml:space="preserve"> </w:t>
      </w:r>
      <w:r>
        <w:tab/>
        <w:t>Инструкция министерства образования, по делам молодежи и спорта (№ 17908/95</w:t>
      </w:r>
      <w:r>
        <w:noBreakHyphen/>
        <w:t>24) о дополнительном образовании в начальной школе для выпускников специальных школ и инструкция (№ 18371/96-24) о дополнительном образовании в специальной школе.</w:t>
      </w:r>
    </w:p>
  </w:footnote>
  <w:footnote w:id="374">
    <w:p w:rsidR="00000000" w:rsidRDefault="00000000">
      <w:pPr>
        <w:pStyle w:val="FootnoteText"/>
      </w:pPr>
      <w:r>
        <w:rPr>
          <w:rStyle w:val="FootnoteReference"/>
        </w:rPr>
        <w:footnoteRef/>
      </w:r>
      <w:r>
        <w:t xml:space="preserve"> </w:t>
      </w:r>
      <w:r>
        <w:tab/>
        <w:t>Постановление правительства Чешской Республики № 493 от 8 сентября 1993 года об утверждении Национального плана мер по сокращению негативных последствий инвалидности.</w:t>
      </w:r>
    </w:p>
    <w:p w:rsidR="00000000" w:rsidRDefault="00000000">
      <w:pPr>
        <w:pStyle w:val="FootnoteText"/>
      </w:pPr>
    </w:p>
  </w:footnote>
  <w:footnote w:id="375">
    <w:p w:rsidR="00000000" w:rsidRDefault="00000000">
      <w:pPr>
        <w:pStyle w:val="FootnoteText"/>
      </w:pPr>
      <w:r>
        <w:rPr>
          <w:rStyle w:val="FootnoteReference"/>
        </w:rPr>
        <w:footnoteRef/>
      </w:r>
      <w:r>
        <w:t xml:space="preserve"> </w:t>
      </w:r>
      <w:r>
        <w:tab/>
        <w:t>Решение заместителя министра образования № 19096/97-24 о дополнительном образовании в реабилитационной школе.</w:t>
      </w:r>
    </w:p>
  </w:footnote>
  <w:footnote w:id="376">
    <w:p w:rsidR="00000000" w:rsidRDefault="00000000">
      <w:pPr>
        <w:pStyle w:val="FootnoteText"/>
      </w:pPr>
    </w:p>
    <w:p w:rsidR="00000000" w:rsidRDefault="00000000">
      <w:pPr>
        <w:pStyle w:val="FootnoteText"/>
      </w:pPr>
      <w:r>
        <w:rPr>
          <w:rStyle w:val="FootnoteReference"/>
        </w:rPr>
        <w:footnoteRef/>
      </w:r>
      <w:r>
        <w:t xml:space="preserve"> </w:t>
      </w:r>
      <w:r>
        <w:tab/>
        <w:t>Инструкция министерства образования, по делам молодежи и спорта № 17908/95</w:t>
      </w:r>
      <w:r>
        <w:noBreakHyphen/>
        <w:t>24.</w:t>
      </w:r>
    </w:p>
    <w:p w:rsidR="00000000" w:rsidRDefault="00000000">
      <w:pPr>
        <w:pStyle w:val="FootnoteText"/>
      </w:pPr>
    </w:p>
  </w:footnote>
  <w:footnote w:id="377">
    <w:p w:rsidR="00000000" w:rsidRDefault="00000000">
      <w:pPr>
        <w:pStyle w:val="FootnoteText"/>
      </w:pPr>
      <w:r>
        <w:rPr>
          <w:rStyle w:val="FootnoteReference"/>
        </w:rPr>
        <w:footnoteRef/>
      </w:r>
      <w:r>
        <w:t xml:space="preserve"> </w:t>
      </w:r>
      <w:r>
        <w:tab/>
        <w:t>Инструкция министерства образования, по делам молодежи и спорта № 18371/96</w:t>
      </w:r>
      <w:r>
        <w:noBreakHyphen/>
        <w:t>24.</w:t>
      </w:r>
    </w:p>
    <w:p w:rsidR="00000000" w:rsidRDefault="00000000">
      <w:pPr>
        <w:pStyle w:val="FootnoteText"/>
      </w:pPr>
    </w:p>
  </w:footnote>
  <w:footnote w:id="378">
    <w:p w:rsidR="00000000" w:rsidRDefault="00000000">
      <w:pPr>
        <w:pStyle w:val="FootnoteText"/>
      </w:pPr>
      <w:r>
        <w:rPr>
          <w:rStyle w:val="FootnoteReference"/>
        </w:rPr>
        <w:footnoteRef/>
      </w:r>
      <w:r>
        <w:t xml:space="preserve"> </w:t>
      </w:r>
      <w:r>
        <w:tab/>
        <w:t xml:space="preserve">6 декабря 1994 года Совет министров ЕС объявил о начале осуществления "Программы Леонардо да Винчи" на период 1995-1999 годов.  Чешская Республика сумела принять участие в подготовительном периоде, а с 1 октября 1997 года ЧР является полноправным участником этой программы.  Она участвует в осуществлении программы наравне с учреждениями стран Европейского союза и Европейской зоны свободной торговли.  </w:t>
      </w:r>
    </w:p>
  </w:footnote>
  <w:footnote w:id="379">
    <w:p w:rsidR="00000000" w:rsidRDefault="00000000">
      <w:pPr>
        <w:pStyle w:val="FootnoteText"/>
        <w:spacing w:line="288" w:lineRule="auto"/>
      </w:pPr>
      <w:r>
        <w:rPr>
          <w:rStyle w:val="FootnoteReference"/>
        </w:rPr>
        <w:footnoteRef/>
      </w:r>
      <w:r>
        <w:t xml:space="preserve"> </w:t>
      </w:r>
      <w:r>
        <w:tab/>
        <w:t xml:space="preserve">Закон об учреждении министерств и других центральных государственных административных органов Чешской Республики № 2/1969 </w:t>
      </w:r>
      <w:r>
        <w:rPr>
          <w:lang w:val="en-US"/>
        </w:rPr>
        <w:t>Coll</w:t>
      </w:r>
      <w:r>
        <w:t>. с последующими поправками.</w:t>
      </w:r>
    </w:p>
  </w:footnote>
  <w:footnote w:id="380">
    <w:p w:rsidR="00000000" w:rsidRDefault="00000000">
      <w:pPr>
        <w:pStyle w:val="FootnoteText"/>
      </w:pPr>
      <w:r>
        <w:rPr>
          <w:rStyle w:val="FootnoteReference"/>
        </w:rPr>
        <w:footnoteRef/>
      </w:r>
      <w:r>
        <w:t xml:space="preserve"> </w:t>
      </w:r>
      <w:r>
        <w:tab/>
        <w:t xml:space="preserve">Инструкция правительства № 324/1996 </w:t>
      </w:r>
      <w:r>
        <w:rPr>
          <w:lang w:val="en-US"/>
        </w:rPr>
        <w:t>Coll</w:t>
      </w:r>
      <w:r>
        <w:t>. об условиях и размерах субсидирования частных школ и дошкольных учреждений, а также расходов на содержание и оборудование учебных заведений.</w:t>
      </w:r>
    </w:p>
  </w:footnote>
  <w:footnote w:id="381">
    <w:p w:rsidR="00000000" w:rsidRDefault="00000000">
      <w:pPr>
        <w:pStyle w:val="FootnoteText"/>
        <w:spacing w:line="288" w:lineRule="auto"/>
      </w:pPr>
      <w:r>
        <w:rPr>
          <w:rStyle w:val="FootnoteReference"/>
        </w:rPr>
        <w:footnoteRef/>
      </w:r>
      <w:r>
        <w:t xml:space="preserve"> </w:t>
      </w:r>
      <w:r>
        <w:tab/>
        <w:t>Вопросы религиозных организаций и обществ включены в сферу основных полномочий министерства культуры и регламентируются следующими нормами:  Закон № 218/1999 С</w:t>
      </w:r>
      <w:r>
        <w:rPr>
          <w:lang w:val="en-US"/>
        </w:rPr>
        <w:t>oll</w:t>
      </w:r>
      <w:r>
        <w:t>. об экономической поддержке религиозных организаций и обществ со стороны государства с последующими поправками и соответствующие подзаконные акты государственных органов;  Закон о богословских учебных заведениях № 163/1990 </w:t>
      </w:r>
      <w:r>
        <w:rPr>
          <w:lang w:val="en-US"/>
        </w:rPr>
        <w:t>Coll</w:t>
      </w:r>
      <w:r>
        <w:t>.;  Закон о регулировании некоторых имущественных взаимоотношений между религиозными орденами и конгрегациями и Оломоуцким архиепископством с последующими поправками № 298/1990 С</w:t>
      </w:r>
      <w:r>
        <w:rPr>
          <w:lang w:val="en-US"/>
        </w:rPr>
        <w:t>oll</w:t>
      </w:r>
      <w:r>
        <w:t>.;  постановление Президиума чешского национального совета о юрисдикции органов Чешской Республики при осуществлении Закона о регулировании некоторых имущественных взаимоотношений между религиозными орденами и конгрегациями и Оломоуцским архиепископством № 307/1990 </w:t>
      </w:r>
      <w:r>
        <w:rPr>
          <w:lang w:val="en-US"/>
        </w:rPr>
        <w:t>Coll</w:t>
      </w:r>
      <w:r>
        <w:t>.;  Закон о свободе религии и статусе религиозных организаций и обществ № 308/1991 </w:t>
      </w:r>
      <w:r>
        <w:rPr>
          <w:lang w:val="en-US"/>
        </w:rPr>
        <w:t>Coll</w:t>
      </w:r>
      <w:r>
        <w:t>.;  Закон о регистрации религиозных организаций и обществ № 161/1992 </w:t>
      </w:r>
      <w:r>
        <w:rPr>
          <w:lang w:val="en-US"/>
        </w:rPr>
        <w:t>Coll</w:t>
      </w:r>
      <w:r>
        <w:t xml:space="preserve">.;  Инструкция правительства о личных должностных окладах священнослужителей и проповедников религиозных обществ с последующими поправками № 86/1993 </w:t>
      </w:r>
      <w:r>
        <w:rPr>
          <w:lang w:val="en-US"/>
        </w:rPr>
        <w:t>Coll</w:t>
      </w:r>
      <w:r>
        <w:t>.</w:t>
      </w:r>
    </w:p>
    <w:p w:rsidR="00000000" w:rsidRDefault="00000000">
      <w:pPr>
        <w:pStyle w:val="FootnoteText"/>
        <w:spacing w:line="288" w:lineRule="auto"/>
      </w:pPr>
    </w:p>
  </w:footnote>
  <w:footnote w:id="382">
    <w:p w:rsidR="00000000" w:rsidRDefault="00000000">
      <w:pPr>
        <w:pStyle w:val="FootnoteText"/>
      </w:pPr>
      <w:r>
        <w:rPr>
          <w:rStyle w:val="FootnoteReference"/>
        </w:rPr>
        <w:footnoteRef/>
      </w:r>
      <w:r>
        <w:t xml:space="preserve"> </w:t>
      </w:r>
      <w:r>
        <w:tab/>
        <w:t>Постановление правительства об условиях и размерах субсидирования частных школ, дошкольных учреждений и других учебных заведений.</w:t>
      </w:r>
    </w:p>
    <w:p w:rsidR="00000000" w:rsidRDefault="00000000">
      <w:pPr>
        <w:pStyle w:val="FootnoteText"/>
      </w:pPr>
    </w:p>
  </w:footnote>
  <w:footnote w:id="383">
    <w:p w:rsidR="00000000" w:rsidRDefault="00000000">
      <w:pPr>
        <w:pStyle w:val="FootnoteText"/>
      </w:pPr>
      <w:r>
        <w:rPr>
          <w:rStyle w:val="FootnoteReference"/>
        </w:rPr>
        <w:footnoteRef/>
      </w:r>
      <w:r>
        <w:t xml:space="preserve"> </w:t>
      </w:r>
      <w:r>
        <w:tab/>
        <w:t xml:space="preserve">Согласно постановлению министерства образования, по делам молодежи и спорта № 357/1997 </w:t>
      </w:r>
      <w:r>
        <w:rPr>
          <w:lang w:val="en-US"/>
        </w:rPr>
        <w:t>Coll</w:t>
      </w:r>
      <w:r>
        <w:t xml:space="preserve">. об организации, функционировании и задачах Инспекции учебных заведений </w:t>
      </w:r>
    </w:p>
    <w:p w:rsidR="00000000" w:rsidRDefault="00000000">
      <w:pPr>
        <w:pStyle w:val="FootnoteText"/>
      </w:pPr>
    </w:p>
  </w:footnote>
  <w:footnote w:id="384">
    <w:p w:rsidR="00000000" w:rsidRDefault="00000000">
      <w:pPr>
        <w:pStyle w:val="FootnoteText"/>
      </w:pPr>
      <w:r>
        <w:rPr>
          <w:rStyle w:val="FootnoteReference"/>
        </w:rPr>
        <w:footnoteRef/>
      </w:r>
      <w:r>
        <w:t xml:space="preserve"> </w:t>
      </w:r>
      <w:r>
        <w:tab/>
        <w:t xml:space="preserve">Опубликована в Сборнике законов под № 159/1991 </w:t>
      </w:r>
      <w:r>
        <w:rPr>
          <w:lang w:val="en-US"/>
        </w:rPr>
        <w:t>Coll</w:t>
      </w:r>
      <w:r>
        <w:t>. в разделе о переговорах о Конвенции об охране всемирного культурного и природного наследия.</w:t>
      </w:r>
    </w:p>
    <w:p w:rsidR="00000000" w:rsidRDefault="00000000">
      <w:pPr>
        <w:pStyle w:val="FootnoteText"/>
      </w:pPr>
    </w:p>
  </w:footnote>
  <w:footnote w:id="385">
    <w:p w:rsidR="00000000" w:rsidRDefault="00000000">
      <w:pPr>
        <w:pStyle w:val="FootnoteText"/>
      </w:pPr>
      <w:r>
        <w:rPr>
          <w:rStyle w:val="FootnoteReference"/>
        </w:rPr>
        <w:footnoteRef/>
      </w:r>
      <w:r>
        <w:t xml:space="preserve"> </w:t>
      </w:r>
      <w:r>
        <w:tab/>
        <w:t xml:space="preserve">Опубликована в Сборнике законов под № 15/1980 </w:t>
      </w:r>
      <w:r>
        <w:rPr>
          <w:lang w:val="en-US"/>
        </w:rPr>
        <w:t>Coll</w:t>
      </w:r>
      <w:r>
        <w:t>. в разделе о Конвенции о мерах, направленных на запрещение и предупреждение незаконного ввоза, вывоза и передачи права собственности на культурные ценности.</w:t>
      </w:r>
    </w:p>
    <w:p w:rsidR="00000000" w:rsidRDefault="00000000">
      <w:pPr>
        <w:pStyle w:val="FootnoteText"/>
      </w:pPr>
    </w:p>
  </w:footnote>
  <w:footnote w:id="386">
    <w:p w:rsidR="00000000" w:rsidRDefault="00000000">
      <w:pPr>
        <w:pStyle w:val="FootnoteText"/>
      </w:pPr>
      <w:r>
        <w:rPr>
          <w:rStyle w:val="FootnoteReference"/>
        </w:rPr>
        <w:footnoteRef/>
      </w:r>
      <w:r>
        <w:t xml:space="preserve"> </w:t>
      </w:r>
      <w:r>
        <w:tab/>
        <w:t xml:space="preserve">Опубликованы в Сборнике законов под № 94/1958 </w:t>
      </w:r>
      <w:r>
        <w:rPr>
          <w:lang w:val="en-US"/>
        </w:rPr>
        <w:t>Coll</w:t>
      </w:r>
      <w:r>
        <w:t>. в разделе о Конвенции о защите культурных ценностей в случае вооруженного конфликта и Протоколе к ней.</w:t>
      </w:r>
    </w:p>
    <w:p w:rsidR="00000000" w:rsidRDefault="00000000">
      <w:pPr>
        <w:pStyle w:val="FootnoteText"/>
      </w:pPr>
    </w:p>
  </w:footnote>
  <w:footnote w:id="387">
    <w:p w:rsidR="00000000" w:rsidRDefault="00000000">
      <w:pPr>
        <w:pStyle w:val="FootnoteText"/>
      </w:pPr>
      <w:r>
        <w:rPr>
          <w:rStyle w:val="FootnoteReference"/>
        </w:rPr>
        <w:footnoteRef/>
      </w:r>
      <w:r>
        <w:t xml:space="preserve"> </w:t>
      </w:r>
      <w:r>
        <w:tab/>
        <w:t xml:space="preserve">Постановление министерства иностранных дел № 12/1965 </w:t>
      </w:r>
      <w:r>
        <w:rPr>
          <w:lang w:val="en-US"/>
        </w:rPr>
        <w:t>Coll</w:t>
      </w:r>
      <w:r>
        <w:t>. о Конвенции об обмене официальными изданиями и правительственными документами между государствами и Конвенции о международном обмене изданиями.</w:t>
      </w:r>
    </w:p>
    <w:p w:rsidR="00000000" w:rsidRDefault="00000000">
      <w:pPr>
        <w:pStyle w:val="FootnoteText"/>
      </w:pPr>
    </w:p>
  </w:footnote>
  <w:footnote w:id="388">
    <w:p w:rsidR="00000000" w:rsidRDefault="00000000">
      <w:pPr>
        <w:pStyle w:val="FootnoteText"/>
      </w:pPr>
      <w:r>
        <w:rPr>
          <w:rStyle w:val="FootnoteReference"/>
        </w:rPr>
        <w:footnoteRef/>
      </w:r>
      <w:r>
        <w:t xml:space="preserve"> </w:t>
      </w:r>
      <w:r>
        <w:tab/>
        <w:t xml:space="preserve">Уведомление министерства иностранных дел № 102/1998 </w:t>
      </w:r>
      <w:r>
        <w:rPr>
          <w:lang w:val="en-US"/>
        </w:rPr>
        <w:t>Coll</w:t>
      </w:r>
      <w:r>
        <w:t xml:space="preserve">. о переговорах в отношении Соглашения о ввозе материалов образовательного, научного и культурного характера и уведомление министерства иностранных дел № 103/1998 </w:t>
      </w:r>
      <w:r>
        <w:rPr>
          <w:lang w:val="en-US"/>
        </w:rPr>
        <w:t>Coll</w:t>
      </w:r>
      <w:r>
        <w:t>. о переговорах в отношении Протокола к Соглашению о ввозе материалов образовательного, научного и культурного характера.</w:t>
      </w:r>
    </w:p>
    <w:p w:rsidR="00000000" w:rsidRDefault="00000000">
      <w:pPr>
        <w:pStyle w:val="FootnoteText"/>
      </w:pPr>
    </w:p>
  </w:footnote>
  <w:footnote w:id="389">
    <w:p w:rsidR="00000000" w:rsidRDefault="00000000">
      <w:pPr>
        <w:pStyle w:val="FootnoteText"/>
      </w:pPr>
      <w:r>
        <w:rPr>
          <w:rStyle w:val="FootnoteReference"/>
        </w:rPr>
        <w:footnoteRef/>
      </w:r>
      <w:r>
        <w:t xml:space="preserve"> Закон № 20/1987 </w:t>
      </w:r>
      <w:r>
        <w:rPr>
          <w:lang w:val="en-US"/>
        </w:rPr>
        <w:t>Coll</w:t>
      </w:r>
      <w:r>
        <w:t xml:space="preserve">. о государственной охране исторических памятников с последующими поправками;  Закон № 50/1976 </w:t>
      </w:r>
      <w:r>
        <w:rPr>
          <w:lang w:val="en-US"/>
        </w:rPr>
        <w:t>Coll</w:t>
      </w:r>
      <w:r>
        <w:t xml:space="preserve">.о плане застройки и Строительном кодексе с последующими поправками;  Закон № 244/1992 </w:t>
      </w:r>
      <w:r>
        <w:rPr>
          <w:lang w:val="en-US"/>
        </w:rPr>
        <w:t>Coll</w:t>
      </w:r>
      <w:r>
        <w:t xml:space="preserve">. об оценке воздействий на окружающую среду;  Закон № 114/1992 </w:t>
      </w:r>
      <w:r>
        <w:rPr>
          <w:lang w:val="en-US"/>
        </w:rPr>
        <w:t>Coll</w:t>
      </w:r>
      <w:r>
        <w:t>. об охране природы и ландшафта;  Закон</w:t>
      </w:r>
      <w:r>
        <w:rPr>
          <w:lang w:val="en-US"/>
        </w:rPr>
        <w:t> </w:t>
      </w:r>
      <w:r>
        <w:t xml:space="preserve">№ 97/1974 </w:t>
      </w:r>
      <w:r>
        <w:rPr>
          <w:lang w:val="en-US"/>
        </w:rPr>
        <w:t>Coll</w:t>
      </w:r>
      <w:r>
        <w:t>. об архивах с последующими поправками;  Закон</w:t>
      </w:r>
      <w:r>
        <w:rPr>
          <w:lang w:val="en-US"/>
        </w:rPr>
        <w:t> </w:t>
      </w:r>
      <w:r>
        <w:t xml:space="preserve">№ 273/1993 </w:t>
      </w:r>
      <w:r>
        <w:rPr>
          <w:lang w:val="en-US"/>
        </w:rPr>
        <w:t>Coll</w:t>
      </w:r>
      <w:r>
        <w:t xml:space="preserve">. о некоторых условиях производства, распространения и архивирования аудиовизуальных произведений и о дополнении некоторых законов и некоторых других предписаний с последующими поправками;  Закон № 148/1949 </w:t>
      </w:r>
      <w:r>
        <w:rPr>
          <w:lang w:val="en-US"/>
        </w:rPr>
        <w:t>Coll</w:t>
      </w:r>
      <w:r>
        <w:t xml:space="preserve">. о Национальной галерее в Праге с последующими поправками;  Закон № 54/1959 </w:t>
      </w:r>
      <w:r>
        <w:rPr>
          <w:lang w:val="en-US"/>
        </w:rPr>
        <w:t>Coll</w:t>
      </w:r>
      <w:r>
        <w:t xml:space="preserve">. о музеях и галереях с последующими поправками;  Закон № 71/1994 </w:t>
      </w:r>
      <w:r>
        <w:rPr>
          <w:lang w:val="en-US"/>
        </w:rPr>
        <w:t>Coll</w:t>
      </w:r>
      <w:r>
        <w:t>. о вывозе предметов культурной ценности и соответствующий Подзаконный акт министерства культуры ЧР с последующими поправками.</w:t>
      </w:r>
    </w:p>
  </w:footnote>
  <w:footnote w:id="390">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468/1991 </w:t>
      </w:r>
      <w:r>
        <w:rPr>
          <w:lang w:val="en-US"/>
        </w:rPr>
        <w:t>Coll</w:t>
      </w:r>
      <w:r>
        <w:t xml:space="preserve">. о радиовещании и телевидении с последующими поправками;  Закон № 483/1991 </w:t>
      </w:r>
      <w:r>
        <w:rPr>
          <w:lang w:val="en-US"/>
        </w:rPr>
        <w:t>Coll</w:t>
      </w:r>
      <w:r>
        <w:t xml:space="preserve">. о чешском телевидении с последующими поправками;  Закон № 484/1991 </w:t>
      </w:r>
      <w:r>
        <w:rPr>
          <w:lang w:val="en-US"/>
        </w:rPr>
        <w:t>Coll</w:t>
      </w:r>
      <w:r>
        <w:t xml:space="preserve">. чешском радио с последующими поправками;  Закон № 4874/1992 </w:t>
      </w:r>
      <w:r>
        <w:rPr>
          <w:lang w:val="en-US"/>
        </w:rPr>
        <w:t>Coll</w:t>
      </w:r>
      <w:r>
        <w:t xml:space="preserve">. о Совете по делам радиовещания и телевидения Чешской Республики с последующими поправками;  Закон № 252/1994 </w:t>
      </w:r>
      <w:r>
        <w:rPr>
          <w:lang w:val="en-US"/>
        </w:rPr>
        <w:t>Coll</w:t>
      </w:r>
      <w:r>
        <w:t xml:space="preserve">. о сборах на радиовещание и телевидение с последующими поправками;  Закон № 84/1968 </w:t>
      </w:r>
      <w:r>
        <w:rPr>
          <w:lang w:val="en-US"/>
        </w:rPr>
        <w:t>Coll</w:t>
      </w:r>
      <w:r>
        <w:t xml:space="preserve">. о периодической печати и других средствах массовой информации с последующими поправками;  Закон № 468/1995 </w:t>
      </w:r>
      <w:r>
        <w:rPr>
          <w:lang w:val="en-US"/>
        </w:rPr>
        <w:t>Coll</w:t>
      </w:r>
      <w:r>
        <w:t xml:space="preserve">. о регулировании рекламы и поправках и добавлениях к Закону № 468/1991 </w:t>
      </w:r>
      <w:r>
        <w:rPr>
          <w:lang w:val="en-US"/>
        </w:rPr>
        <w:t>Coll</w:t>
      </w:r>
      <w:r>
        <w:t xml:space="preserve">. о радиовещании и телевидении с последующими поправками;  Закон № 37/1995 </w:t>
      </w:r>
      <w:r>
        <w:rPr>
          <w:lang w:val="en-US"/>
        </w:rPr>
        <w:t>Coll</w:t>
      </w:r>
      <w:r>
        <w:t xml:space="preserve">. о непериодических публикациях и постановление о введении его в действие;  Закон № 53/1959 </w:t>
      </w:r>
      <w:r>
        <w:rPr>
          <w:lang w:val="en-US"/>
        </w:rPr>
        <w:t>Coll</w:t>
      </w:r>
      <w:r>
        <w:t xml:space="preserve">. об объединенной библиотечной системе и предписания об его осуществлении;  Закон № 35/1965 </w:t>
      </w:r>
      <w:r>
        <w:rPr>
          <w:lang w:val="en-US"/>
        </w:rPr>
        <w:t>Coll</w:t>
      </w:r>
      <w:r>
        <w:t xml:space="preserve">. о литературных, научных и художественных произведениях (Закон об авторском праве) с последующими поправками и предписания об его осуществлении;  Закон № 237/1995 </w:t>
      </w:r>
      <w:r>
        <w:rPr>
          <w:lang w:val="en-US"/>
        </w:rPr>
        <w:t>Coll</w:t>
      </w:r>
      <w:r>
        <w:t xml:space="preserve">. о коллективном осуществлении авторских прав и прав, связанных с авторством, и предписания о его осуществлении;  Закон № 318/1993 </w:t>
      </w:r>
      <w:r>
        <w:rPr>
          <w:lang w:val="en-US"/>
        </w:rPr>
        <w:t>Coll</w:t>
      </w:r>
      <w:r>
        <w:t xml:space="preserve">. о регулировании статуса культурных фондов и поправках к Закону  № 35/1965 </w:t>
      </w:r>
      <w:r>
        <w:rPr>
          <w:lang w:val="en-US"/>
        </w:rPr>
        <w:t>Coll</w:t>
      </w:r>
      <w:r>
        <w:t>. о литературных, научных и художественных произведениях (Закону об авторском праве) с последующими поправками.</w:t>
      </w:r>
    </w:p>
    <w:p w:rsidR="00000000" w:rsidRDefault="00000000">
      <w:pPr>
        <w:pStyle w:val="FootnoteText"/>
      </w:pPr>
    </w:p>
  </w:footnote>
  <w:footnote w:id="391">
    <w:p w:rsidR="00000000" w:rsidRDefault="00000000">
      <w:pPr>
        <w:pStyle w:val="FootnoteText"/>
      </w:pPr>
      <w:r>
        <w:rPr>
          <w:rStyle w:val="FootnoteReference"/>
        </w:rPr>
        <w:footnoteRef/>
      </w:r>
      <w:r>
        <w:t xml:space="preserve"> </w:t>
      </w:r>
      <w:r>
        <w:tab/>
        <w:t xml:space="preserve">Закон № 2/1969 </w:t>
      </w:r>
      <w:r>
        <w:rPr>
          <w:lang w:val="en-US"/>
        </w:rPr>
        <w:t>Coll</w:t>
      </w:r>
      <w:r>
        <w:t>. об учреждении министерств и других центральных государственных административных органов с последующими поправками.</w:t>
      </w:r>
    </w:p>
  </w:footnote>
  <w:footnote w:id="392">
    <w:p w:rsidR="00000000" w:rsidRDefault="00000000">
      <w:pPr>
        <w:pStyle w:val="FootnoteText"/>
      </w:pPr>
      <w:r>
        <w:rPr>
          <w:rStyle w:val="FootnoteReference"/>
        </w:rPr>
        <w:footnoteRef/>
      </w:r>
      <w:r>
        <w:t xml:space="preserve"> </w:t>
      </w:r>
      <w:r>
        <w:tab/>
        <w:t>Указ правительства № 401 от 28 апреля 1999 года о Стратегии по оказанию государством более эффективной поддержки культуре.</w:t>
      </w:r>
    </w:p>
    <w:p w:rsidR="00000000" w:rsidRDefault="00000000">
      <w:pPr>
        <w:pStyle w:val="FootnoteText"/>
      </w:pPr>
    </w:p>
  </w:footnote>
  <w:footnote w:id="393">
    <w:p w:rsidR="00000000" w:rsidRDefault="00000000">
      <w:pPr>
        <w:pStyle w:val="FootnoteText"/>
      </w:pPr>
      <w:r>
        <w:rPr>
          <w:rStyle w:val="FootnoteReference"/>
        </w:rPr>
        <w:footnoteRef/>
      </w:r>
      <w:r>
        <w:t xml:space="preserve"> </w:t>
      </w:r>
      <w:r>
        <w:tab/>
        <w:t>Закон № 425/1990 Соll. об окружных управлениях с последующими поправками.</w:t>
      </w:r>
    </w:p>
    <w:p w:rsidR="00000000" w:rsidRDefault="00000000">
      <w:pPr>
        <w:pStyle w:val="FootnoteText"/>
      </w:pPr>
    </w:p>
  </w:footnote>
  <w:footnote w:id="394">
    <w:p w:rsidR="00000000" w:rsidRDefault="00000000">
      <w:pPr>
        <w:pStyle w:val="FootnoteText"/>
      </w:pPr>
      <w:r>
        <w:rPr>
          <w:rStyle w:val="FootnoteReference"/>
        </w:rPr>
        <w:footnoteRef/>
      </w:r>
      <w:r>
        <w:t xml:space="preserve"> </w:t>
      </w:r>
      <w:r>
        <w:tab/>
        <w:t>Закон № 367/1990 Соll. о муниципалитетах (муниципальном устройстве) с последующими поправками.</w:t>
      </w:r>
    </w:p>
    <w:p w:rsidR="00000000" w:rsidRDefault="00000000">
      <w:pPr>
        <w:pStyle w:val="FootnoteText"/>
      </w:pPr>
    </w:p>
  </w:footnote>
  <w:footnote w:id="395">
    <w:p w:rsidR="00000000" w:rsidRDefault="00000000">
      <w:pPr>
        <w:pStyle w:val="FootnoteText"/>
      </w:pPr>
      <w:r>
        <w:rPr>
          <w:rStyle w:val="FootnoteReference"/>
        </w:rPr>
        <w:footnoteRef/>
      </w:r>
      <w:r>
        <w:t xml:space="preserve"> </w:t>
      </w:r>
      <w:r>
        <w:tab/>
        <w:t>Закон № 676/1990 Соll. о Правилах управления бюджетными средствами Чешской Республики и муниципалитетов в Чешской Республике (государственных бюджетных правилах) с последующими поправками.</w:t>
      </w:r>
    </w:p>
  </w:footnote>
  <w:footnote w:id="396">
    <w:p w:rsidR="00000000" w:rsidRDefault="00000000">
      <w:pPr>
        <w:pStyle w:val="FootnoteText"/>
      </w:pPr>
      <w:r>
        <w:rPr>
          <w:rStyle w:val="FootnoteReference"/>
        </w:rPr>
        <w:footnoteRef/>
      </w:r>
      <w:r>
        <w:t xml:space="preserve"> </w:t>
      </w:r>
      <w:r>
        <w:tab/>
        <w:t>Закон № 586/1992 Соll. о подоходном налоге с последующими поправками предусматривает, что физические и юридические лица, постоянно проживающие и функционирующие на территории Чешской Республики, могут в определенных пределах вычитать из сумм, подлежащих налогообложению, стоимость пожертвований, предоставляемых, среди прочего, на цели финансирования культуры.</w:t>
      </w:r>
    </w:p>
  </w:footnote>
  <w:footnote w:id="397">
    <w:p w:rsidR="00000000" w:rsidRDefault="00000000">
      <w:pPr>
        <w:pStyle w:val="FootnoteText"/>
      </w:pPr>
      <w:r>
        <w:rPr>
          <w:rStyle w:val="FootnoteReference"/>
        </w:rPr>
        <w:footnoteRef/>
      </w:r>
      <w:r>
        <w:t xml:space="preserve"> </w:t>
      </w:r>
      <w:r>
        <w:tab/>
        <w:t>Закон № 277/1997 Соll. о фондах и учредительных фондах.</w:t>
      </w:r>
    </w:p>
    <w:p w:rsidR="00000000" w:rsidRDefault="00000000">
      <w:pPr>
        <w:pStyle w:val="FootnoteText"/>
      </w:pPr>
    </w:p>
  </w:footnote>
  <w:footnote w:id="398">
    <w:p w:rsidR="00000000" w:rsidRDefault="00000000">
      <w:pPr>
        <w:pStyle w:val="FootnoteText"/>
      </w:pPr>
      <w:r>
        <w:rPr>
          <w:rStyle w:val="FootnoteReference"/>
        </w:rPr>
        <w:footnoteRef/>
      </w:r>
      <w:r>
        <w:t xml:space="preserve"> </w:t>
      </w:r>
      <w:r>
        <w:tab/>
        <w:t>Закон № 54/1959 Соll.о музеях и галереях с последующими поправками и Закон № 148/1949 Соll. о Национальной галерее в Праге.</w:t>
      </w:r>
    </w:p>
    <w:p w:rsidR="00000000" w:rsidRDefault="00000000">
      <w:pPr>
        <w:pStyle w:val="FootnoteText"/>
      </w:pPr>
    </w:p>
  </w:footnote>
  <w:footnote w:id="399">
    <w:p w:rsidR="00000000" w:rsidRDefault="00000000">
      <w:pPr>
        <w:pStyle w:val="FootnoteText"/>
      </w:pPr>
      <w:r>
        <w:rPr>
          <w:rStyle w:val="FootnoteReference"/>
        </w:rPr>
        <w:footnoteRef/>
      </w:r>
      <w:r>
        <w:t xml:space="preserve"> </w:t>
      </w:r>
      <w:r>
        <w:tab/>
        <w:t>Памятником является музей, экспозиции которого посвящены одному событию или лицу, включая его эпоху и окружение.  Одним из исключений является Национальный литературный музей, доступный для широкой публики и представляющий собой узко специализированную литературную коллекцию (фактически национальный литературный архив).</w:t>
      </w:r>
    </w:p>
  </w:footnote>
  <w:footnote w:id="400">
    <w:p w:rsidR="00000000" w:rsidRDefault="00000000">
      <w:pPr>
        <w:pStyle w:val="FootnoteText"/>
      </w:pPr>
    </w:p>
    <w:p w:rsidR="00000000" w:rsidRDefault="00000000">
      <w:pPr>
        <w:pStyle w:val="FootnoteText"/>
      </w:pPr>
      <w:r>
        <w:rPr>
          <w:rStyle w:val="FootnoteReference"/>
        </w:rPr>
        <w:footnoteRef/>
      </w:r>
      <w:r>
        <w:t xml:space="preserve"> </w:t>
      </w:r>
      <w:r>
        <w:tab/>
        <w:t>Закон № 53/1959</w:t>
      </w:r>
      <w:r>
        <w:rPr>
          <w:lang w:val="en-US"/>
        </w:rPr>
        <w:t xml:space="preserve"> </w:t>
      </w:r>
      <w:r>
        <w:t>Соll. об объединенной библиотечной системе (Закон о библиотеках) с последующими поправками и предписания о его осуществлении.</w:t>
      </w:r>
    </w:p>
    <w:p w:rsidR="00000000" w:rsidRDefault="00000000">
      <w:pPr>
        <w:pStyle w:val="FootnoteText"/>
        <w:spacing w:line="720" w:lineRule="auto"/>
      </w:pPr>
    </w:p>
  </w:footnote>
  <w:footnote w:id="401">
    <w:p w:rsidR="00000000" w:rsidRDefault="00000000">
      <w:pPr>
        <w:pStyle w:val="FootnoteText"/>
      </w:pPr>
      <w:r>
        <w:rPr>
          <w:rStyle w:val="FootnoteReference"/>
        </w:rPr>
        <w:footnoteRef/>
      </w:r>
      <w:r>
        <w:t xml:space="preserve"> </w:t>
      </w:r>
      <w:r>
        <w:tab/>
        <w:t>Закон № 241/1992 Соll. о Государственном фонде Чешской Республики для поддержки и развития чешской кинематографии с последующими поправками.</w:t>
      </w:r>
    </w:p>
    <w:p w:rsidR="00000000" w:rsidRDefault="00000000">
      <w:pPr>
        <w:pStyle w:val="FootnoteText"/>
      </w:pPr>
    </w:p>
  </w:footnote>
  <w:footnote w:id="402">
    <w:p w:rsidR="00000000" w:rsidRDefault="00000000">
      <w:pPr>
        <w:pStyle w:val="FootnoteText"/>
      </w:pPr>
      <w:r>
        <w:rPr>
          <w:rStyle w:val="FootnoteReference"/>
        </w:rPr>
        <w:footnoteRef/>
      </w:r>
      <w:r>
        <w:t xml:space="preserve"> </w:t>
      </w:r>
      <w:r>
        <w:tab/>
        <w:t>Закон № 273/1993</w:t>
      </w:r>
      <w:r>
        <w:rPr>
          <w:lang w:val="en-US"/>
        </w:rPr>
        <w:t xml:space="preserve"> </w:t>
      </w:r>
      <w:r>
        <w:t>Соll. о некоторых условиях производства, распространения и архивирования аудиовизуальной продукции и о дополнениях к некоторым другим законам и предписаниям.</w:t>
      </w:r>
    </w:p>
  </w:footnote>
  <w:footnote w:id="403">
    <w:p w:rsidR="00000000" w:rsidRDefault="00000000">
      <w:pPr>
        <w:pStyle w:val="FootnoteText"/>
      </w:pPr>
      <w:r>
        <w:rPr>
          <w:rStyle w:val="FootnoteReference"/>
        </w:rPr>
        <w:footnoteRef/>
      </w:r>
      <w:r>
        <w:t xml:space="preserve"> </w:t>
      </w:r>
      <w:r>
        <w:tab/>
        <w:t>Эти цифры не включают поддержку министерством культуры самодеятельных артистов из числа инвалидов и представителей национальных меньшинств.</w:t>
      </w:r>
    </w:p>
  </w:footnote>
  <w:footnote w:id="404">
    <w:p w:rsidR="00000000" w:rsidRDefault="00000000">
      <w:pPr>
        <w:pStyle w:val="FootnoteText"/>
      </w:pPr>
      <w:r>
        <w:rPr>
          <w:rStyle w:val="FootnoteReference"/>
        </w:rPr>
        <w:footnoteRef/>
      </w:r>
      <w:r>
        <w:tab/>
        <w:t>Эти данные необходимо рассматривать в сопоставлении с общей суммой средств, выделяемых министерством культуры на осуществление всех других проектов в области самодеятельного искусства и фольклора по заявкам других гражданских ассоциаций и организаторов, не принадлежащих к меньшинствам.  Например, общая сумма, затраченная министерством культуры на поддержку самодеятельных коллективов и артистов по заявкам организаций национальных меньшинств, примерно на одну треть больше суммы средств, потраченных министерством на проекты в области самодеятельного искусства по заявкам других гражданских ассоциаций и других некоммерческих организаций, созданных не по принципу принадлежности к меньшинствам, а на иной основе.</w:t>
      </w:r>
    </w:p>
  </w:footnote>
  <w:footnote w:id="405">
    <w:p w:rsidR="00000000" w:rsidRDefault="00000000">
      <w:pPr>
        <w:pStyle w:val="FootnoteText"/>
      </w:pPr>
      <w:r>
        <w:rPr>
          <w:rStyle w:val="FootnoteReference"/>
        </w:rPr>
        <w:footnoteRef/>
      </w:r>
      <w:r>
        <w:tab/>
        <w:t xml:space="preserve">См. также постановление правительства № 127/1995 </w:t>
      </w:r>
      <w:r>
        <w:rPr>
          <w:lang w:val="en-US"/>
        </w:rPr>
        <w:t>Coll</w:t>
      </w:r>
      <w:r>
        <w:t>. об объявлении историческими заповедными зонами целых районов некоторых городов и муниципалитетов, в которых сохранились комплексы народной архитектуры.</w:t>
      </w:r>
    </w:p>
  </w:footnote>
  <w:footnote w:id="406">
    <w:p w:rsidR="00000000" w:rsidRDefault="00000000">
      <w:pPr>
        <w:pStyle w:val="FootnoteText"/>
      </w:pPr>
      <w:r>
        <w:rPr>
          <w:rStyle w:val="FootnoteReference"/>
        </w:rPr>
        <w:footnoteRef/>
      </w:r>
      <w:r>
        <w:t xml:space="preserve"> </w:t>
      </w:r>
      <w:r>
        <w:tab/>
        <w:t>Закон № 71/1994 С</w:t>
      </w:r>
      <w:r>
        <w:rPr>
          <w:lang w:val="en-US"/>
        </w:rPr>
        <w:t>oll</w:t>
      </w:r>
      <w:r>
        <w:t>. о продаже и экспорте предметов, имеющих культурную ценность.</w:t>
      </w:r>
    </w:p>
  </w:footnote>
  <w:footnote w:id="407">
    <w:p w:rsidR="00000000" w:rsidRDefault="00000000">
      <w:pPr>
        <w:pStyle w:val="FootnoteText"/>
      </w:pPr>
      <w:r>
        <w:rPr>
          <w:rStyle w:val="FootnoteReference"/>
        </w:rPr>
        <w:footnoteRef/>
      </w:r>
      <w:r>
        <w:t xml:space="preserve"> </w:t>
      </w:r>
      <w:r>
        <w:tab/>
        <w:t>"Нормативы для начального образования" были утверждены министерством образования, по делам молодежи и спорта 22 августа 1995 года постановлением № 20819/95-26.  Образовательная программа "Начальная школа" была утверждена министерством образования, по делам молодежи и спорта постановлением № 16847/96-2 от 1 сентября 1996 года, а поправки и добавления к ней были утверждены министерством образования, по делам молодежи и спорта 25 августа 1998 года постановлением № 25018/98-22, вступившим в силу 1 сентября 1998 года.  Образовательная программа "Основная школа" была утверждена министерством образования, по делам молодежи и спорта постановлением № 12035/97-20.  Образовательная программа "Национальная школа" была утверждена министерством образования, по делам молодежи и спорта 17 марта 1997 года постановлением № 15724/97-20, вступившим в силу 1 сентября 1997 года, в качестве образовательной программы для 1-9 классов системы начального образования.  "Нормативы для образования в четырехлетней классической гимназии" были утверждены министерством образования, по делам молодежи и спорта 12 февраля 1996 года постановлением № 27532/95-2.  "Нормативы для среднего профессионального образования" были утверждены министерством образования, по делам молодежи и спорта 18 ноября 1997 года постановлением № 34221/97-23, вступившим в силу 1 января 1998 года.  Что касается учебы в средних профессиональных училищах и средних техникумах, то соответствующие темы рассмотрены в дидактических материалах, утвержденных министерством образования, по делам молодежи и спорта ЧР 21 июля 1998 года постановлением № 23212/98-23/230, вступившим в силу 1 сентября 1998 года.</w:t>
      </w:r>
    </w:p>
    <w:p w:rsidR="00000000" w:rsidRDefault="00000000">
      <w:pPr>
        <w:pStyle w:val="FootnoteText"/>
      </w:pPr>
    </w:p>
  </w:footnote>
  <w:footnote w:id="408">
    <w:p w:rsidR="00000000" w:rsidRDefault="00000000">
      <w:pPr>
        <w:pStyle w:val="FootnoteText"/>
      </w:pPr>
      <w:r>
        <w:rPr>
          <w:rStyle w:val="FootnoteReference"/>
        </w:rPr>
        <w:footnoteRef/>
      </w:r>
      <w:r>
        <w:t xml:space="preserve"> </w:t>
      </w:r>
      <w:r>
        <w:tab/>
        <w:t xml:space="preserve">Закон № 300/1992 </w:t>
      </w:r>
      <w:r>
        <w:rPr>
          <w:lang w:val="en-US"/>
        </w:rPr>
        <w:t>Coll</w:t>
      </w:r>
      <w:r>
        <w:t>. о государственной поддержке науки и исследовательской деятельности с последующими поправками.</w:t>
      </w:r>
    </w:p>
    <w:p w:rsidR="00000000" w:rsidRDefault="00000000">
      <w:pPr>
        <w:pStyle w:val="FootnoteText"/>
      </w:pPr>
    </w:p>
  </w:footnote>
  <w:footnote w:id="409">
    <w:p w:rsidR="00000000" w:rsidRDefault="00000000">
      <w:pPr>
        <w:pStyle w:val="FootnoteText"/>
      </w:pPr>
      <w:r>
        <w:rPr>
          <w:rStyle w:val="FootnoteReference"/>
        </w:rPr>
        <w:footnoteRef/>
      </w:r>
      <w:r>
        <w:t xml:space="preserve"> </w:t>
      </w:r>
      <w:r>
        <w:tab/>
        <w:t xml:space="preserve">Закон № 111/1998, </w:t>
      </w:r>
      <w:r>
        <w:rPr>
          <w:lang w:val="en-US"/>
        </w:rPr>
        <w:t>Coll</w:t>
      </w:r>
      <w:r>
        <w:t>. об университетах.</w:t>
      </w:r>
    </w:p>
    <w:p w:rsidR="00000000" w:rsidRDefault="00000000">
      <w:pPr>
        <w:pStyle w:val="FootnoteText"/>
      </w:pPr>
    </w:p>
  </w:footnote>
  <w:footnote w:id="410">
    <w:p w:rsidR="00000000" w:rsidRDefault="00000000">
      <w:pPr>
        <w:pStyle w:val="FootnoteText"/>
      </w:pPr>
      <w:r>
        <w:rPr>
          <w:rStyle w:val="FootnoteReference"/>
        </w:rPr>
        <w:footnoteRef/>
      </w:r>
      <w:r>
        <w:t xml:space="preserve"> </w:t>
      </w:r>
      <w:r>
        <w:tab/>
        <w:t xml:space="preserve">Управление по вопросам промышленной собственности (созданное в 1993 году в соответствии с Законом № 166/1993 </w:t>
      </w:r>
      <w:r>
        <w:rPr>
          <w:lang w:val="en-US"/>
        </w:rPr>
        <w:t>Coll</w:t>
      </w:r>
      <w:r>
        <w:t xml:space="preserve">. о поправках и дополнениях к Закону № 2/1969 </w:t>
      </w:r>
      <w:r>
        <w:rPr>
          <w:lang w:val="en-US"/>
        </w:rPr>
        <w:t>Coll</w:t>
      </w:r>
      <w:r>
        <w:t xml:space="preserve">.) является центральным государственным административным органом в соответствии с пунктом 1 статьи 2 Закона № 2/1969 </w:t>
      </w:r>
      <w:r>
        <w:rPr>
          <w:lang w:val="en-US"/>
        </w:rPr>
        <w:t>Coll</w:t>
      </w:r>
      <w:r>
        <w:t>.об учреждении министерств и других центральных государственных административных органов Чешской Республики с последующими поправками.</w:t>
      </w:r>
    </w:p>
    <w:p w:rsidR="00000000" w:rsidRDefault="00000000">
      <w:pPr>
        <w:pStyle w:val="FootnoteText"/>
      </w:pPr>
    </w:p>
  </w:footnote>
  <w:footnote w:id="411">
    <w:p w:rsidR="00000000" w:rsidRDefault="00000000">
      <w:pPr>
        <w:pStyle w:val="FootnoteText"/>
      </w:pPr>
      <w:r>
        <w:rPr>
          <w:rStyle w:val="FootnoteReference"/>
        </w:rPr>
        <w:footnoteRef/>
      </w:r>
      <w:r>
        <w:t xml:space="preserve"> </w:t>
      </w:r>
      <w:r>
        <w:tab/>
        <w:t>Заявление министерства иностранных дел  № 191/1995 С</w:t>
      </w:r>
      <w:r>
        <w:rPr>
          <w:lang w:val="en-US"/>
        </w:rPr>
        <w:t>oll</w:t>
      </w:r>
      <w:r>
        <w:t xml:space="preserve">. о переговорах по Договору о создании Всемирной торговой организации и договорах, которые являются его неотъемлемой частью и имеют обязательную юридическую силу для всех членов ВТО (Всемирной торговой организации). </w:t>
      </w:r>
    </w:p>
    <w:p w:rsidR="00000000" w:rsidRDefault="00000000">
      <w:pPr>
        <w:pStyle w:val="FootnoteText"/>
      </w:pPr>
    </w:p>
  </w:footnote>
  <w:footnote w:id="412">
    <w:p w:rsidR="00000000" w:rsidRDefault="00000000">
      <w:pPr>
        <w:pStyle w:val="FootnoteText"/>
      </w:pPr>
      <w:r>
        <w:rPr>
          <w:rStyle w:val="FootnoteReference"/>
        </w:rPr>
        <w:footnoteRef/>
      </w:r>
      <w:r>
        <w:t xml:space="preserve"> </w:t>
      </w:r>
      <w:r>
        <w:tab/>
        <w:t>ТАПИС - Соглашение по торговым аспектам прав интеллектуальной собственности.</w:t>
      </w:r>
    </w:p>
  </w:footnote>
  <w:footnote w:id="413">
    <w:p w:rsidR="00000000" w:rsidRDefault="00000000">
      <w:pPr>
        <w:pStyle w:val="FootnoteText"/>
      </w:pPr>
      <w:r>
        <w:rPr>
          <w:rStyle w:val="FootnoteReference"/>
        </w:rPr>
        <w:footnoteRef/>
      </w:r>
      <w:r>
        <w:t xml:space="preserve"> </w:t>
      </w:r>
      <w:r>
        <w:tab/>
        <w:t>ВОИС - Всемирная организация интеллектуальной собственности.  Текст Конвенции был опубликован в Постановлении Министерства иностранных дел № 69/1975 С</w:t>
      </w:r>
      <w:r>
        <w:rPr>
          <w:lang w:val="en-US"/>
        </w:rPr>
        <w:t>oll</w:t>
      </w:r>
      <w:r>
        <w:t xml:space="preserve">. о Конвенции о создании Всемирной организации интеллектуальной собственности, подписанной в Стокгольме 14 июня 1967 года, с поправками, внесенными постановлением министра иностранных дел № 80/1985. </w:t>
      </w:r>
    </w:p>
    <w:p w:rsidR="00000000" w:rsidRDefault="00000000">
      <w:pPr>
        <w:pStyle w:val="FootnoteText"/>
      </w:pPr>
    </w:p>
  </w:footnote>
  <w:footnote w:id="414">
    <w:p w:rsidR="00000000" w:rsidRDefault="00000000">
      <w:pPr>
        <w:pStyle w:val="FootnoteText"/>
      </w:pPr>
      <w:r>
        <w:rPr>
          <w:rStyle w:val="FootnoteReference"/>
        </w:rPr>
        <w:footnoteRef/>
      </w:r>
      <w:r>
        <w:t xml:space="preserve"> </w:t>
      </w:r>
      <w:r>
        <w:tab/>
        <w:t>Постановление министра иностранных дел № 64/1975 С</w:t>
      </w:r>
      <w:r>
        <w:rPr>
          <w:lang w:val="en-US"/>
        </w:rPr>
        <w:t>oll</w:t>
      </w:r>
      <w:r>
        <w:t>. о пересмотренной Парижской конвенции по охране промышленной собственности от 20 марта 1883 года (Парижской конвенции).</w:t>
      </w:r>
    </w:p>
    <w:p w:rsidR="00000000" w:rsidRDefault="00000000">
      <w:pPr>
        <w:pStyle w:val="FootnoteText"/>
      </w:pPr>
    </w:p>
  </w:footnote>
  <w:footnote w:id="415">
    <w:p w:rsidR="00000000" w:rsidRDefault="00000000">
      <w:pPr>
        <w:pStyle w:val="FootnoteText"/>
      </w:pPr>
      <w:r>
        <w:rPr>
          <w:rStyle w:val="FootnoteReference"/>
        </w:rPr>
        <w:footnoteRef/>
      </w:r>
      <w:r>
        <w:t xml:space="preserve"> </w:t>
      </w:r>
      <w:r>
        <w:tab/>
        <w:t>Постановление министра иностранных дел № 65/1975 С</w:t>
      </w:r>
      <w:r>
        <w:rPr>
          <w:lang w:val="en-US"/>
        </w:rPr>
        <w:t>oll</w:t>
      </w:r>
      <w:r>
        <w:t>. о Мадридском соглашении о международной регистрации знаков в стокгольмском варианте;  поправка:  № 78/1985, С</w:t>
      </w:r>
      <w:r>
        <w:rPr>
          <w:lang w:val="en-US"/>
        </w:rPr>
        <w:t>oll</w:t>
      </w:r>
      <w:r>
        <w:t>.</w:t>
      </w:r>
    </w:p>
  </w:footnote>
  <w:footnote w:id="416">
    <w:p w:rsidR="00000000" w:rsidRDefault="00000000">
      <w:pPr>
        <w:pStyle w:val="FootnoteText"/>
      </w:pPr>
    </w:p>
    <w:p w:rsidR="00000000" w:rsidRDefault="00000000">
      <w:pPr>
        <w:pStyle w:val="FootnoteText"/>
      </w:pPr>
      <w:r>
        <w:rPr>
          <w:rStyle w:val="FootnoteReference"/>
        </w:rPr>
        <w:footnoteRef/>
      </w:r>
      <w:r>
        <w:t xml:space="preserve"> </w:t>
      </w:r>
      <w:r>
        <w:tab/>
        <w:t>Уведомление министерства иностранных дел № 248/1996 С</w:t>
      </w:r>
      <w:r>
        <w:rPr>
          <w:lang w:val="en-US"/>
        </w:rPr>
        <w:t>oll</w:t>
      </w:r>
      <w:r>
        <w:t>. о присоединении Чешской Республики к Протоколу к Мадридскому соглашению о международной регистрации знаков.</w:t>
      </w:r>
    </w:p>
    <w:p w:rsidR="00000000" w:rsidRDefault="00000000">
      <w:pPr>
        <w:pStyle w:val="FootnoteText"/>
      </w:pPr>
    </w:p>
  </w:footnote>
  <w:footnote w:id="417">
    <w:p w:rsidR="00000000" w:rsidRDefault="00000000">
      <w:pPr>
        <w:pStyle w:val="FootnoteText"/>
      </w:pPr>
      <w:r>
        <w:rPr>
          <w:rStyle w:val="FootnoteReference"/>
        </w:rPr>
        <w:footnoteRef/>
      </w:r>
      <w:r>
        <w:t xml:space="preserve"> </w:t>
      </w:r>
      <w:r>
        <w:tab/>
        <w:t>Постановление министра иностранных дел № 66/1975 С</w:t>
      </w:r>
      <w:r>
        <w:rPr>
          <w:lang w:val="en-US"/>
        </w:rPr>
        <w:t>oll</w:t>
      </w:r>
      <w:r>
        <w:t>. о Ниццском соглашении о международной классификации товаров и услуг для регистрации знаков от 15 июня 1957 года, пересмотренном в Стокгольме 14 июля 1967 года.</w:t>
      </w:r>
    </w:p>
    <w:p w:rsidR="00000000" w:rsidRDefault="00000000">
      <w:pPr>
        <w:pStyle w:val="FootnoteText"/>
      </w:pPr>
    </w:p>
  </w:footnote>
  <w:footnote w:id="418">
    <w:p w:rsidR="00000000" w:rsidRDefault="00000000">
      <w:pPr>
        <w:pStyle w:val="FootnoteText"/>
      </w:pPr>
      <w:r>
        <w:rPr>
          <w:rStyle w:val="FootnoteReference"/>
        </w:rPr>
        <w:footnoteRef/>
      </w:r>
      <w:r>
        <w:t xml:space="preserve"> </w:t>
      </w:r>
      <w:r>
        <w:tab/>
        <w:t>Постановление министра иностранных дел № 67/1975 С</w:t>
      </w:r>
      <w:r>
        <w:rPr>
          <w:lang w:val="en-US"/>
        </w:rPr>
        <w:t>oll</w:t>
      </w:r>
      <w:r>
        <w:t>. о пересмотренном Лиссабонском соглашении об охране наименований мест происхождения и их международной регистрации;  поправка:  № 79/1985 С</w:t>
      </w:r>
      <w:r>
        <w:rPr>
          <w:lang w:val="en-US"/>
        </w:rPr>
        <w:t>oll</w:t>
      </w:r>
      <w:r>
        <w:t>.</w:t>
      </w:r>
    </w:p>
    <w:p w:rsidR="00000000" w:rsidRDefault="00000000">
      <w:pPr>
        <w:pStyle w:val="FootnoteText"/>
      </w:pPr>
    </w:p>
  </w:footnote>
  <w:footnote w:id="419">
    <w:p w:rsidR="00000000" w:rsidRDefault="00000000">
      <w:pPr>
        <w:pStyle w:val="FootnoteText"/>
      </w:pPr>
      <w:r>
        <w:rPr>
          <w:rStyle w:val="FootnoteReference"/>
        </w:rPr>
        <w:footnoteRef/>
      </w:r>
      <w:r>
        <w:t xml:space="preserve"> </w:t>
      </w:r>
      <w:r>
        <w:tab/>
        <w:t>Постановление министра иностранных дел № 28/1981 С</w:t>
      </w:r>
      <w:r>
        <w:rPr>
          <w:lang w:val="en-US"/>
        </w:rPr>
        <w:t>oll</w:t>
      </w:r>
      <w:r>
        <w:t>. с поправками, внесенными Постановлением № 85/1985 С</w:t>
      </w:r>
      <w:r>
        <w:rPr>
          <w:lang w:val="en-US"/>
        </w:rPr>
        <w:t>oll</w:t>
      </w:r>
      <w:r>
        <w:t>., о Локарнском соглашении об учреждении Международный классификации промышленных образцов, подписанном в Локарно 8 октября 1968 года.</w:t>
      </w:r>
    </w:p>
    <w:p w:rsidR="00000000" w:rsidRDefault="00000000">
      <w:pPr>
        <w:pStyle w:val="FootnoteText"/>
      </w:pPr>
    </w:p>
  </w:footnote>
  <w:footnote w:id="420">
    <w:p w:rsidR="00000000" w:rsidRDefault="00000000">
      <w:pPr>
        <w:pStyle w:val="FootnoteText"/>
      </w:pPr>
      <w:r>
        <w:rPr>
          <w:rStyle w:val="FootnoteReference"/>
        </w:rPr>
        <w:footnoteRef/>
      </w:r>
      <w:r>
        <w:t xml:space="preserve"> </w:t>
      </w:r>
      <w:r>
        <w:tab/>
        <w:t>Постановление министра иностранных дел № 110/1978 С</w:t>
      </w:r>
      <w:r>
        <w:rPr>
          <w:lang w:val="en-US"/>
        </w:rPr>
        <w:t>oll</w:t>
      </w:r>
      <w:r>
        <w:t>. о Страсбургском соглашении о Международный патентной классификации с последующими поправками.</w:t>
      </w:r>
    </w:p>
    <w:p w:rsidR="00000000" w:rsidRDefault="00000000">
      <w:pPr>
        <w:pStyle w:val="FootnoteText"/>
      </w:pPr>
    </w:p>
  </w:footnote>
  <w:footnote w:id="421">
    <w:p w:rsidR="00000000" w:rsidRDefault="00000000">
      <w:pPr>
        <w:pStyle w:val="FootnoteText"/>
      </w:pPr>
      <w:r>
        <w:rPr>
          <w:rStyle w:val="FootnoteReference"/>
        </w:rPr>
        <w:footnoteRef/>
      </w:r>
      <w:r>
        <w:t xml:space="preserve"> </w:t>
      </w:r>
      <w:r>
        <w:tab/>
        <w:t>Постановление министра иностранных дел № 212/1989 С</w:t>
      </w:r>
      <w:r>
        <w:rPr>
          <w:lang w:val="en-US"/>
        </w:rPr>
        <w:t>oll</w:t>
      </w:r>
      <w:r>
        <w:t>. о Будапештском договоре о международном признании депонирования микроорганизмов для целей патентной процедуры и Инструкции к Договору.</w:t>
      </w:r>
    </w:p>
    <w:p w:rsidR="00000000" w:rsidRDefault="00000000">
      <w:pPr>
        <w:pStyle w:val="FootnoteText"/>
      </w:pPr>
    </w:p>
  </w:footnote>
  <w:footnote w:id="422">
    <w:p w:rsidR="00000000" w:rsidRDefault="00000000">
      <w:pPr>
        <w:pStyle w:val="FootnoteText"/>
      </w:pPr>
      <w:r>
        <w:rPr>
          <w:rStyle w:val="FootnoteReference"/>
        </w:rPr>
        <w:footnoteRef/>
      </w:r>
      <w:r>
        <w:t xml:space="preserve"> </w:t>
      </w:r>
      <w:r>
        <w:tab/>
        <w:t>Уведомление министерства иностранных дел № 199/1996 С</w:t>
      </w:r>
      <w:r>
        <w:rPr>
          <w:lang w:val="en-US"/>
        </w:rPr>
        <w:t>oll</w:t>
      </w:r>
      <w:r>
        <w:t>. о переговорах в отношении Договора о праве на торговую марку.</w:t>
      </w:r>
    </w:p>
    <w:p w:rsidR="00000000" w:rsidRDefault="00000000">
      <w:pPr>
        <w:pStyle w:val="FootnoteText"/>
      </w:pPr>
    </w:p>
  </w:footnote>
  <w:footnote w:id="423">
    <w:p w:rsidR="00000000" w:rsidRDefault="00000000">
      <w:pPr>
        <w:pStyle w:val="FootnoteText"/>
      </w:pPr>
      <w:r>
        <w:rPr>
          <w:rStyle w:val="FootnoteReference"/>
        </w:rPr>
        <w:footnoteRef/>
      </w:r>
      <w:r>
        <w:t xml:space="preserve"> </w:t>
      </w:r>
      <w:r>
        <w:tab/>
        <w:t>Заявление федерального министерства иностранных дел № 296/1991 С</w:t>
      </w:r>
      <w:r>
        <w:rPr>
          <w:lang w:val="en-US"/>
        </w:rPr>
        <w:t>oll</w:t>
      </w:r>
      <w:r>
        <w:t>. о Договоре о патентном сотрудничестве и Инструкции к Договору с последующими поправками.</w:t>
      </w:r>
    </w:p>
    <w:p w:rsidR="00000000" w:rsidRDefault="00000000">
      <w:pPr>
        <w:pStyle w:val="FootnoteText"/>
      </w:pPr>
    </w:p>
  </w:footnote>
  <w:footnote w:id="424">
    <w:p w:rsidR="00000000" w:rsidRDefault="00000000">
      <w:pPr>
        <w:pStyle w:val="FootnoteText"/>
      </w:pPr>
      <w:r>
        <w:rPr>
          <w:rStyle w:val="FootnoteReference"/>
        </w:rPr>
        <w:footnoteRef/>
      </w:r>
      <w:r>
        <w:t xml:space="preserve"> </w:t>
      </w:r>
      <w:r>
        <w:tab/>
        <w:t>Конвенция № 401/1921 С</w:t>
      </w:r>
      <w:r>
        <w:rPr>
          <w:lang w:val="en-US"/>
        </w:rPr>
        <w:t>oll</w:t>
      </w:r>
      <w:r>
        <w:t>., Бернская конвенция о защите литературных и художественных произведений (от 1886 года), пересмотренная в Берлине в 1908 году;  с нынешним текстом Конвенции можно ознакомиться в постановлении министра иностранных дел № 133/1980 С</w:t>
      </w:r>
      <w:r>
        <w:rPr>
          <w:lang w:val="en-US"/>
        </w:rPr>
        <w:t>oll</w:t>
      </w:r>
      <w:r>
        <w:t>.</w:t>
      </w:r>
    </w:p>
    <w:p w:rsidR="00000000" w:rsidRDefault="00000000">
      <w:pPr>
        <w:pStyle w:val="FootnoteText"/>
      </w:pPr>
    </w:p>
  </w:footnote>
  <w:footnote w:id="425">
    <w:p w:rsidR="00000000" w:rsidRDefault="00000000">
      <w:pPr>
        <w:pStyle w:val="FootnoteText"/>
      </w:pPr>
      <w:r>
        <w:rPr>
          <w:rStyle w:val="FootnoteReference"/>
        </w:rPr>
        <w:footnoteRef/>
      </w:r>
      <w:r>
        <w:t xml:space="preserve"> </w:t>
      </w:r>
      <w:r>
        <w:tab/>
        <w:t>Постановление министра иностранных дел № 192/1964 С</w:t>
      </w:r>
      <w:r>
        <w:rPr>
          <w:lang w:val="en-US"/>
        </w:rPr>
        <w:t>oll</w:t>
      </w:r>
      <w:r>
        <w:t>. о Конвенции об охране прав артистов-исполнителей, производителей и органов радиовещания.</w:t>
      </w:r>
    </w:p>
  </w:footnote>
  <w:footnote w:id="426">
    <w:p w:rsidR="00000000" w:rsidRDefault="00000000">
      <w:pPr>
        <w:pStyle w:val="FootnoteText"/>
      </w:pPr>
      <w:r>
        <w:rPr>
          <w:rStyle w:val="FootnoteReference"/>
        </w:rPr>
        <w:footnoteRef/>
      </w:r>
      <w:r>
        <w:t xml:space="preserve"> </w:t>
      </w:r>
      <w:r>
        <w:tab/>
        <w:t>Закон № 35/1965, С</w:t>
      </w:r>
      <w:r>
        <w:rPr>
          <w:lang w:val="en-US"/>
        </w:rPr>
        <w:t>oll</w:t>
      </w:r>
      <w:r>
        <w:t>.о литературных, научных и художественных произведениях с последующими поправками.</w:t>
      </w:r>
    </w:p>
  </w:footnote>
  <w:footnote w:id="427">
    <w:p w:rsidR="00000000" w:rsidRDefault="00000000">
      <w:pPr>
        <w:pStyle w:val="FootnoteText"/>
      </w:pPr>
      <w:r>
        <w:rPr>
          <w:rStyle w:val="FootnoteReference"/>
        </w:rPr>
        <w:footnoteRef/>
      </w:r>
      <w:r>
        <w:t xml:space="preserve"> </w:t>
      </w:r>
      <w:r>
        <w:tab/>
        <w:t xml:space="preserve">Закон № 237/1995 </w:t>
      </w:r>
      <w:r>
        <w:rPr>
          <w:lang w:val="en-US"/>
        </w:rPr>
        <w:t>Coll</w:t>
      </w:r>
      <w:r>
        <w:t>. о коллективном осуществлении авторских прав и прав, связанных с авторскими правами, с последующими поправками.</w:t>
      </w:r>
    </w:p>
    <w:p w:rsidR="00000000" w:rsidRDefault="00000000">
      <w:pPr>
        <w:pStyle w:val="FootnoteText"/>
      </w:pPr>
    </w:p>
  </w:footnote>
  <w:footnote w:id="428">
    <w:p w:rsidR="00000000" w:rsidRDefault="00000000">
      <w:pPr>
        <w:pStyle w:val="FootnoteText"/>
      </w:pPr>
      <w:r>
        <w:rPr>
          <w:rStyle w:val="FootnoteReference"/>
        </w:rPr>
        <w:footnoteRef/>
      </w:r>
      <w:r>
        <w:t xml:space="preserve"> </w:t>
      </w:r>
      <w:r>
        <w:tab/>
        <w:t>Постановление правительства Чешской Республики № 355 от 27 мая 1998 года о проекте основных направлений Закона об авторских правах.</w:t>
      </w:r>
    </w:p>
  </w:footnote>
  <w:footnote w:id="429">
    <w:p w:rsidR="00000000" w:rsidRDefault="00000000">
      <w:pPr>
        <w:pStyle w:val="FootnoteText"/>
      </w:pPr>
      <w:r>
        <w:rPr>
          <w:rStyle w:val="FootnoteReference"/>
        </w:rPr>
        <w:footnoteRef/>
      </w:r>
      <w:r>
        <w:t xml:space="preserve"> </w:t>
      </w:r>
      <w:r>
        <w:tab/>
        <w:t xml:space="preserve">Закон № 527/1990 </w:t>
      </w:r>
      <w:r>
        <w:rPr>
          <w:lang w:val="en-US"/>
        </w:rPr>
        <w:t>Coll</w:t>
      </w:r>
      <w:r>
        <w:t>.об изобретениях, промышленных  образцах и рационализаторских предложениях с последующими поправками.</w:t>
      </w:r>
    </w:p>
    <w:p w:rsidR="00000000" w:rsidRDefault="00000000">
      <w:pPr>
        <w:pStyle w:val="FootnoteText"/>
      </w:pPr>
    </w:p>
  </w:footnote>
  <w:footnote w:id="430">
    <w:p w:rsidR="00000000" w:rsidRDefault="00000000">
      <w:pPr>
        <w:pStyle w:val="FootnoteText"/>
      </w:pPr>
      <w:r>
        <w:rPr>
          <w:rStyle w:val="FootnoteReference"/>
        </w:rPr>
        <w:footnoteRef/>
      </w:r>
      <w:r>
        <w:t xml:space="preserve"> </w:t>
      </w:r>
      <w:r>
        <w:tab/>
        <w:t xml:space="preserve">Закон № 478/1992 </w:t>
      </w:r>
      <w:r>
        <w:rPr>
          <w:lang w:val="en-US"/>
        </w:rPr>
        <w:t>Coll</w:t>
      </w:r>
      <w:r>
        <w:t>. об общеполезных образцах.</w:t>
      </w:r>
    </w:p>
    <w:p w:rsidR="00000000" w:rsidRDefault="00000000">
      <w:pPr>
        <w:pStyle w:val="FootnoteText"/>
      </w:pPr>
    </w:p>
  </w:footnote>
  <w:footnote w:id="431">
    <w:p w:rsidR="00000000" w:rsidRDefault="00000000">
      <w:pPr>
        <w:pStyle w:val="FootnoteText"/>
      </w:pPr>
      <w:r>
        <w:rPr>
          <w:rStyle w:val="FootnoteReference"/>
        </w:rPr>
        <w:footnoteRef/>
      </w:r>
      <w:r>
        <w:t xml:space="preserve"> </w:t>
      </w:r>
      <w:r>
        <w:tab/>
        <w:t xml:space="preserve">Закон  № 137/1995 </w:t>
      </w:r>
      <w:r>
        <w:rPr>
          <w:lang w:val="en-US"/>
        </w:rPr>
        <w:t>Coll</w:t>
      </w:r>
      <w:r>
        <w:t>. о товарных знаках.</w:t>
      </w:r>
    </w:p>
    <w:p w:rsidR="00000000" w:rsidRDefault="00000000">
      <w:pPr>
        <w:pStyle w:val="FootnoteText"/>
      </w:pPr>
    </w:p>
  </w:footnote>
  <w:footnote w:id="432">
    <w:p w:rsidR="00000000" w:rsidRDefault="00000000">
      <w:pPr>
        <w:pStyle w:val="FootnoteText"/>
      </w:pPr>
      <w:r>
        <w:rPr>
          <w:rStyle w:val="FootnoteReference"/>
        </w:rPr>
        <w:footnoteRef/>
      </w:r>
      <w:r>
        <w:t xml:space="preserve"> </w:t>
      </w:r>
      <w:r>
        <w:tab/>
        <w:t xml:space="preserve">Закон № 63/1991 </w:t>
      </w:r>
      <w:r>
        <w:rPr>
          <w:lang w:val="en-US"/>
        </w:rPr>
        <w:t>Coll</w:t>
      </w:r>
      <w:r>
        <w:t>. о защите конкуренции в экономической сфере с последующими поправками.</w:t>
      </w:r>
    </w:p>
    <w:p w:rsidR="00000000" w:rsidRDefault="00000000">
      <w:pPr>
        <w:pStyle w:val="FootnoteText"/>
      </w:pPr>
    </w:p>
  </w:footnote>
  <w:footnote w:id="433">
    <w:p w:rsidR="00000000" w:rsidRDefault="00000000">
      <w:pPr>
        <w:pStyle w:val="FootnoteText"/>
      </w:pPr>
      <w:r>
        <w:rPr>
          <w:rStyle w:val="FootnoteReference"/>
        </w:rPr>
        <w:footnoteRef/>
      </w:r>
      <w:r>
        <w:t xml:space="preserve"> </w:t>
      </w:r>
      <w:r>
        <w:tab/>
        <w:t xml:space="preserve">Закон № 142/1996 </w:t>
      </w:r>
      <w:r>
        <w:rPr>
          <w:lang w:val="en-US"/>
        </w:rPr>
        <w:t>Coll</w:t>
      </w:r>
      <w:r>
        <w:t>. о Коммерческом кодексе с последующими поправками.</w:t>
      </w:r>
    </w:p>
  </w:footnote>
  <w:footnote w:id="434">
    <w:p w:rsidR="00000000" w:rsidRDefault="00000000">
      <w:pPr>
        <w:pStyle w:val="FootnoteText"/>
      </w:pPr>
      <w:r>
        <w:rPr>
          <w:rStyle w:val="FootnoteReference"/>
        </w:rPr>
        <w:footnoteRef/>
      </w:r>
      <w:r>
        <w:t xml:space="preserve"> </w:t>
      </w:r>
      <w:r>
        <w:tab/>
        <w:t xml:space="preserve">Согласно Закону № 14/1993 </w:t>
      </w:r>
      <w:r>
        <w:rPr>
          <w:lang w:val="en-US"/>
        </w:rPr>
        <w:t>Coll</w:t>
      </w:r>
      <w:r>
        <w:t>. о мерах по охране промышленной собственности  одним из основных направлений деятельности Управления по вопросам промышленной собственности является принятие решений относительно обеспечения охраны изобретений, промышленных образцов, прикладных образцов, топографии полупроводниковой продукции, товарных знаков и обозначения происхождения продуктов.</w:t>
      </w:r>
    </w:p>
  </w:footnote>
  <w:footnote w:id="435">
    <w:p w:rsidR="00000000" w:rsidRDefault="00000000">
      <w:pPr>
        <w:pStyle w:val="FootnoteText"/>
      </w:pPr>
      <w:r>
        <w:rPr>
          <w:rStyle w:val="FootnoteReference"/>
        </w:rPr>
        <w:footnoteRef/>
      </w:r>
      <w:r>
        <w:t xml:space="preserve"> </w:t>
      </w:r>
      <w:r>
        <w:tab/>
        <w:t>Постановление правительства Чешской Республики № 397 от 10 июня 1998 года о Принципах политики Чешской Республики в области науки на рубеже ХХI века.</w:t>
      </w:r>
    </w:p>
  </w:footnote>
  <w:footnote w:id="436">
    <w:p w:rsidR="00000000" w:rsidRDefault="00000000">
      <w:pPr>
        <w:pStyle w:val="FootnoteText"/>
      </w:pPr>
    </w:p>
    <w:p w:rsidR="00000000" w:rsidRDefault="00000000">
      <w:pPr>
        <w:pStyle w:val="FootnoteText"/>
      </w:pPr>
      <w:r>
        <w:rPr>
          <w:rStyle w:val="FootnoteReference"/>
        </w:rPr>
        <w:footnoteRef/>
      </w:r>
      <w:r>
        <w:t xml:space="preserve"> </w:t>
      </w:r>
      <w:r>
        <w:tab/>
        <w:t>Постановление правительства Чешской Республики № 811 от 9 декабря 1998 года о подготовке национальной политики Чешской Республики в области научных исследований и разработок и о деятельности Государственного совета ЧР по вопросам научных исследований и разработок.  Национальная политика в области научных исследований и разработок была утверждена 5 января 2000 года постановлением правительства Чешской Республики № 16 (с исправлениями, внесенными постановлением правительства Чешской Республики № 145 от 2 февраля 2000 года).</w:t>
      </w:r>
    </w:p>
    <w:p w:rsidR="00000000" w:rsidRDefault="00000000">
      <w:pPr>
        <w:pStyle w:val="FootnoteText"/>
      </w:pPr>
    </w:p>
  </w:footnote>
  <w:footnote w:id="437">
    <w:p w:rsidR="00000000" w:rsidRDefault="00000000">
      <w:pPr>
        <w:pStyle w:val="FootnoteText"/>
      </w:pPr>
      <w:r>
        <w:rPr>
          <w:rStyle w:val="FootnoteReference"/>
        </w:rPr>
        <w:footnoteRef/>
      </w:r>
      <w:r>
        <w:t xml:space="preserve"> </w:t>
      </w:r>
      <w:r>
        <w:tab/>
        <w:t>Национальная политика Чешской Республики в области научных исследований и разработок была утверждена постановлением правительства Чешской Республики № 16 от 5 января 2000 года.</w:t>
      </w:r>
    </w:p>
    <w:p w:rsidR="00000000" w:rsidRDefault="00000000">
      <w:pPr>
        <w:pStyle w:val="FootnoteText"/>
      </w:pPr>
    </w:p>
  </w:footnote>
  <w:footnote w:id="438">
    <w:p w:rsidR="00000000" w:rsidRDefault="00000000">
      <w:pPr>
        <w:pStyle w:val="FootnoteText"/>
      </w:pPr>
      <w:r>
        <w:rPr>
          <w:rStyle w:val="FootnoteReference"/>
        </w:rPr>
        <w:footnoteRef/>
      </w:r>
      <w:r>
        <w:t xml:space="preserve"> </w:t>
      </w:r>
      <w:r>
        <w:tab/>
        <w:t>Аналитические материалы в этой связи были подготовлены для правительства Государственным советом ЧР по вопросам научных исследований и разработок.  Правительство своим постановлением № 563 от 9 июля 1999 года утвердило представленные выводы.</w:t>
      </w:r>
    </w:p>
    <w:p w:rsidR="00000000" w:rsidRDefault="00000000">
      <w:pPr>
        <w:pStyle w:val="FootnoteText"/>
      </w:pPr>
    </w:p>
  </w:footnote>
  <w:footnote w:id="439">
    <w:p w:rsidR="00000000" w:rsidRDefault="00000000">
      <w:pPr>
        <w:pStyle w:val="FootnoteText"/>
      </w:pPr>
      <w:r>
        <w:rPr>
          <w:rStyle w:val="FootnoteReference"/>
        </w:rPr>
        <w:footnoteRef/>
      </w:r>
      <w:r>
        <w:t xml:space="preserve"> </w:t>
      </w:r>
      <w:r>
        <w:tab/>
        <w:t>Постановление правительства Чешской Республики № 249 от 22 марта 1999 года о государственной поддержке исследований и разработок в 2000-2002 годах.</w:t>
      </w:r>
    </w:p>
    <w:p w:rsidR="00000000" w:rsidRDefault="00000000">
      <w:pPr>
        <w:pStyle w:val="FootnoteText"/>
      </w:pPr>
    </w:p>
  </w:footnote>
  <w:footnote w:id="440">
    <w:p w:rsidR="00000000" w:rsidRDefault="00000000">
      <w:pPr>
        <w:pStyle w:val="FootnoteText"/>
      </w:pPr>
      <w:r>
        <w:rPr>
          <w:rStyle w:val="FootnoteReference"/>
        </w:rPr>
        <w:footnoteRef/>
      </w:r>
      <w:r>
        <w:t xml:space="preserve"> </w:t>
      </w:r>
      <w:r>
        <w:tab/>
        <w:t xml:space="preserve">Закон № 300/1992 </w:t>
      </w:r>
      <w:r>
        <w:rPr>
          <w:lang w:val="en-US"/>
        </w:rPr>
        <w:t>Coll</w:t>
      </w:r>
      <w:r>
        <w:t>. о государственной поддержке науки и исследований с последующими поправками.</w:t>
      </w:r>
    </w:p>
    <w:p w:rsidR="00000000" w:rsidRDefault="00000000">
      <w:pPr>
        <w:pStyle w:val="FootnoteText"/>
      </w:pPr>
    </w:p>
  </w:footnote>
  <w:footnote w:id="441">
    <w:p w:rsidR="00000000" w:rsidRDefault="00000000">
      <w:pPr>
        <w:pStyle w:val="FootnoteText"/>
      </w:pPr>
      <w:r>
        <w:rPr>
          <w:rStyle w:val="FootnoteReference"/>
        </w:rPr>
        <w:footnoteRef/>
      </w:r>
      <w:r>
        <w:t xml:space="preserve"> </w:t>
      </w:r>
      <w:r>
        <w:tab/>
        <w:t xml:space="preserve">Согласно пункту </w:t>
      </w:r>
      <w:r>
        <w:rPr>
          <w:lang w:val="en-US"/>
        </w:rPr>
        <w:t>III</w:t>
      </w:r>
      <w:r>
        <w:t>.3 постановления правительства Чешской Республики № 16 от 5 января 2000 года о национальной политике Чешской Республики в области исследований и разработок все управляющие бюджетными статьями, которые предусматривают поддержку исследований и разработок, обязаны составить перспективные планы исследований и разработок в сфере своих полномочий и отразить их в проекте государственного бюджета на 2001 год.</w:t>
      </w:r>
    </w:p>
    <w:p w:rsidR="00000000" w:rsidRDefault="00000000">
      <w:pPr>
        <w:pStyle w:val="FootnoteText"/>
      </w:pPr>
    </w:p>
  </w:footnote>
  <w:footnote w:id="442">
    <w:p w:rsidR="00000000" w:rsidRDefault="00000000">
      <w:pPr>
        <w:pStyle w:val="FootnoteText"/>
      </w:pPr>
      <w:r>
        <w:rPr>
          <w:rStyle w:val="FootnoteReference"/>
        </w:rPr>
        <w:footnoteRef/>
      </w:r>
      <w:r>
        <w:t xml:space="preserve"> </w:t>
      </w:r>
      <w:r>
        <w:tab/>
        <w:t xml:space="preserve">Эта система функционирует в соответствии с Законом № 1/1995 </w:t>
      </w:r>
      <w:r>
        <w:rPr>
          <w:lang w:val="en-US"/>
        </w:rPr>
        <w:t>Coll</w:t>
      </w:r>
      <w:r>
        <w:t xml:space="preserve">. о государственной поддержке исследований и разработок, содержащим поправки и дополнения к Закону № 300/1992 </w:t>
      </w:r>
      <w:r>
        <w:rPr>
          <w:lang w:val="en-US"/>
        </w:rPr>
        <w:t>Coll</w:t>
      </w:r>
      <w:r>
        <w:t xml:space="preserve">. (полный текст опубликован под № 2/1995 </w:t>
      </w:r>
      <w:r>
        <w:rPr>
          <w:lang w:val="en-US"/>
        </w:rPr>
        <w:t>Coll</w:t>
      </w:r>
      <w:r>
        <w:t>.).</w:t>
      </w:r>
    </w:p>
  </w:footnote>
  <w:footnote w:id="443">
    <w:p w:rsidR="00000000" w:rsidRDefault="00000000">
      <w:pPr>
        <w:pStyle w:val="FootnoteText"/>
      </w:pPr>
    </w:p>
    <w:p w:rsidR="00000000" w:rsidRDefault="00000000">
      <w:pPr>
        <w:pStyle w:val="FootnoteText"/>
      </w:pPr>
      <w:r>
        <w:rPr>
          <w:rStyle w:val="FootnoteReference"/>
        </w:rPr>
        <w:footnoteRef/>
      </w:r>
      <w:r>
        <w:t xml:space="preserve"> </w:t>
      </w:r>
      <w:r>
        <w:tab/>
        <w:t>Правительство утвердило устав Агентства по субсидированию ЧР своим постановлением № 111 от 22 февраля 1995 года.</w:t>
      </w:r>
    </w:p>
  </w:footnote>
  <w:footnote w:id="444">
    <w:p w:rsidR="00000000" w:rsidRDefault="00000000">
      <w:pPr>
        <w:pStyle w:val="FootnoteText"/>
      </w:pPr>
    </w:p>
    <w:p w:rsidR="00000000" w:rsidRDefault="00000000">
      <w:pPr>
        <w:pStyle w:val="FootnoteText"/>
      </w:pPr>
      <w:r>
        <w:rPr>
          <w:rStyle w:val="FootnoteReference"/>
        </w:rPr>
        <w:footnoteRef/>
      </w:r>
      <w:r>
        <w:t xml:space="preserve"> </w:t>
      </w:r>
      <w:r>
        <w:tab/>
        <w:t>Постановление правительства Чешской Республики № 27 от 3 января 1996 года о правилах целенаправленного выделения финансовых ресурсов из государственного бюджета для поддержки исследований и разработок.</w:t>
      </w:r>
    </w:p>
    <w:p w:rsidR="00000000" w:rsidRDefault="00000000">
      <w:pPr>
        <w:pStyle w:val="FootnoteText"/>
      </w:pPr>
    </w:p>
  </w:footnote>
  <w:footnote w:id="445">
    <w:p w:rsidR="00000000" w:rsidRDefault="00000000">
      <w:pPr>
        <w:pStyle w:val="FootnoteText"/>
      </w:pPr>
      <w:r>
        <w:rPr>
          <w:rStyle w:val="FootnoteReference"/>
        </w:rPr>
        <w:footnoteRef/>
      </w:r>
      <w:r>
        <w:t xml:space="preserve"> </w:t>
      </w:r>
      <w:r>
        <w:tab/>
        <w:t>Постановление правительства Чешской Республики № 247 от 23 апреля 1997 года о принципах государственной политики в области исследований и разработок.  Это постановление было отменено постановлением правительства Чешской Республики № 16 от 5 января 2000 года.</w:t>
      </w:r>
    </w:p>
  </w:footnote>
  <w:footnote w:id="446">
    <w:p w:rsidR="00000000" w:rsidRDefault="00000000">
      <w:pPr>
        <w:pStyle w:val="FootnoteText"/>
      </w:pPr>
      <w:r>
        <w:rPr>
          <w:rStyle w:val="FootnoteReference"/>
        </w:rPr>
        <w:t>444</w:t>
      </w:r>
      <w:r>
        <w:t xml:space="preserve"> </w:t>
      </w:r>
      <w:r>
        <w:tab/>
        <w:t xml:space="preserve">Закон № 106/1999 </w:t>
      </w:r>
      <w:r>
        <w:rPr>
          <w:lang w:val="en-US"/>
        </w:rPr>
        <w:t>Coll</w:t>
      </w:r>
      <w:r>
        <w:t>. о свободном доступе к информации.</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E/1990/5/Add.47</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E/1990/5/Add.47</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FCA84DE"/>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3">
    <w:nsid w:val="680E2F53"/>
    <w:multiLevelType w:val="hybridMultilevel"/>
    <w:tmpl w:val="F51016F4"/>
    <w:lvl w:ilvl="0" w:tplc="C0284F0E">
      <w:start w:val="1"/>
      <w:numFmt w:val="lowerLetter"/>
      <w:lvlText w:val="%1)"/>
      <w:lvlJc w:val="left"/>
      <w:pPr>
        <w:tabs>
          <w:tab w:val="num" w:pos="1134"/>
        </w:tabs>
        <w:ind w:left="1134" w:hanging="567"/>
      </w:pPr>
      <w:rPr>
        <w:rFont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2"/>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7"/>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left" w:pos="6237"/>
      </w:tabs>
      <w:ind w:left="1134" w:hanging="567"/>
      <w:outlineLvl w:val="6"/>
    </w:pPr>
    <w:rPr>
      <w:b/>
      <w:bC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styleId="Subtitle">
    <w:name w:val="Subtitle"/>
    <w:basedOn w:val="Normal"/>
    <w:qFormat/>
    <w:pPr>
      <w:spacing w:after="60"/>
      <w:jc w:val="center"/>
      <w:outlineLvl w:val="1"/>
    </w:pPr>
    <w:rPr>
      <w:rFonts w:ascii="Arial" w:hAnsi="Arial" w:cs="Arial"/>
      <w:szCs w:val="24"/>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BodyText">
    <w:name w:val="Body Text"/>
    <w:basedOn w:val="Normal"/>
    <w:semiHidden/>
    <w:pPr>
      <w:widowControl w:val="0"/>
      <w:shd w:val="clear" w:color="auto" w:fill="FFFFFF"/>
      <w:tabs>
        <w:tab w:val="clear" w:pos="567"/>
        <w:tab w:val="clear" w:pos="1134"/>
        <w:tab w:val="clear" w:pos="1701"/>
        <w:tab w:val="clear" w:pos="2268"/>
        <w:tab w:val="clear" w:pos="6237"/>
      </w:tabs>
      <w:autoSpaceDE w:val="0"/>
      <w:autoSpaceDN w:val="0"/>
      <w:adjustRightInd w:val="0"/>
      <w:spacing w:line="240" w:lineRule="auto"/>
    </w:pPr>
    <w:rPr>
      <w:color w:val="000000"/>
      <w:szCs w:val="25"/>
      <w:lang w:eastAsia="ru-RU"/>
    </w:rPr>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
    <w:name w:val="текст 1"/>
    <w:basedOn w:val="Normal"/>
  </w:style>
  <w:style w:type="paragraph" w:customStyle="1" w:styleId="2">
    <w:name w:val="текст 2"/>
    <w:basedOn w:val="Normal"/>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styleId="BodyTextIndent">
    <w:name w:val="Body Text Indent"/>
    <w:basedOn w:val="Normal"/>
    <w:semiHidden/>
    <w:pPr>
      <w:tabs>
        <w:tab w:val="left" w:pos="567"/>
        <w:tab w:val="left" w:pos="1134"/>
        <w:tab w:val="left" w:pos="1701"/>
        <w:tab w:val="left" w:pos="2268"/>
        <w:tab w:val="left" w:pos="6237"/>
      </w:tabs>
      <w:ind w:left="567" w:hanging="567"/>
    </w:pPr>
  </w:style>
  <w:style w:type="paragraph" w:styleId="BodyText2">
    <w:name w:val="Body Text 2"/>
    <w:basedOn w:val="Normal"/>
    <w:semiHidden/>
    <w:pPr>
      <w:tabs>
        <w:tab w:val="left" w:pos="567"/>
        <w:tab w:val="left" w:pos="1134"/>
        <w:tab w:val="left" w:pos="1701"/>
        <w:tab w:val="left" w:pos="2268"/>
        <w:tab w:val="left" w:pos="6237"/>
      </w:tabs>
    </w:pPr>
    <w:rPr>
      <w:sz w:val="20"/>
    </w:rPr>
  </w:style>
  <w:style w:type="paragraph" w:styleId="BodyTextIndent2">
    <w:name w:val="Body Text Indent 2"/>
    <w:basedOn w:val="Normal"/>
    <w:semiHidden/>
    <w:pPr>
      <w:tabs>
        <w:tab w:val="left" w:pos="567"/>
        <w:tab w:val="left" w:pos="1134"/>
        <w:tab w:val="left" w:pos="1701"/>
        <w:tab w:val="left" w:pos="2268"/>
        <w:tab w:val="left" w:pos="6237"/>
      </w:tabs>
      <w:spacing w:line="720" w:lineRule="auto"/>
      <w:ind w:left="1701" w:hanging="1701"/>
    </w:pPr>
    <w:rPr>
      <w:i/>
      <w:iCs/>
    </w:rPr>
  </w:style>
  <w:style w:type="paragraph" w:styleId="BodyTextIndent3">
    <w:name w:val="Body Text Indent 3"/>
    <w:basedOn w:val="Normal"/>
    <w:semiHidden/>
    <w:pPr>
      <w:tabs>
        <w:tab w:val="left" w:pos="567"/>
        <w:tab w:val="left" w:pos="1134"/>
        <w:tab w:val="left" w:pos="1701"/>
        <w:tab w:val="left" w:pos="2268"/>
        <w:tab w:val="left" w:pos="6237"/>
      </w:tabs>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wmf"/><Relationship Id="rId18" Type="http://schemas.openxmlformats.org/officeDocument/2006/relationships/oleObject" Target="embeddings/oleObject3.bin"/><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wmf"/><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0.w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1.bin"/><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84390</Words>
  <Characters>481027</Characters>
  <Application>Microsoft Office Word</Application>
  <DocSecurity>4</DocSecurity>
  <Lines>4008</Lines>
  <Paragraphs>962</Paragraphs>
  <ScaleCrop>false</ScaleCrop>
  <HeadingPairs>
    <vt:vector size="2" baseType="variant">
      <vt:variant>
        <vt:lpstr>Title</vt:lpstr>
      </vt:variant>
      <vt:variant>
        <vt:i4>1</vt:i4>
      </vt:variant>
    </vt:vector>
  </HeadingPairs>
  <TitlesOfParts>
    <vt:vector size="1" baseType="lpstr">
      <vt:lpstr>42422.doc</vt:lpstr>
    </vt:vector>
  </TitlesOfParts>
  <Company> </Company>
  <LinksUpToDate>false</LinksUpToDate>
  <CharactersWithSpaces>590734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42422.doc</dc:title>
  <dc:subject>Bebenine</dc:subject>
  <dc:creator>TDudnikova</dc:creator>
  <cp:keywords/>
  <dc:description/>
  <cp:lastModifiedBy>auboin</cp:lastModifiedBy>
  <cp:revision>2</cp:revision>
  <cp:lastPrinted>2002-03-19T06:22:00Z</cp:lastPrinted>
  <dcterms:created xsi:type="dcterms:W3CDTF">2002-03-19T06:26:00Z</dcterms:created>
  <dcterms:modified xsi:type="dcterms:W3CDTF">2002-03-19T06:26:00Z</dcterms:modified>
</cp:coreProperties>
</file>