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A0D3E">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0D3E" w:rsidP="002A0D3E">
            <w:pPr>
              <w:spacing w:after="20"/>
              <w:jc w:val="right"/>
            </w:pPr>
            <w:r w:rsidRPr="002A0D3E">
              <w:rPr>
                <w:sz w:val="40"/>
              </w:rPr>
              <w:t>CERD</w:t>
            </w:r>
            <w:r>
              <w:t>/C/SR.1939</w:t>
            </w:r>
          </w:p>
        </w:tc>
      </w:tr>
      <w:tr w:rsidR="002D5AAC" w:rsidTr="002A0D3E">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A0D3E" w:rsidRDefault="002A0D3E" w:rsidP="002A0D3E">
            <w:pPr>
              <w:spacing w:before="240"/>
            </w:pPr>
            <w:r>
              <w:t>Distr. general</w:t>
            </w:r>
          </w:p>
          <w:p w:rsidR="002A0D3E" w:rsidRDefault="002A0D3E" w:rsidP="002A0D3E">
            <w:r>
              <w:t>31 de agosto de 2009</w:t>
            </w:r>
          </w:p>
          <w:p w:rsidR="002A0D3E" w:rsidRDefault="002A0D3E" w:rsidP="002A0D3E">
            <w:r>
              <w:t>Español</w:t>
            </w:r>
          </w:p>
          <w:p w:rsidR="002D5AAC" w:rsidRDefault="002A0D3E" w:rsidP="002A0D3E">
            <w:r>
              <w:t>Original: francés</w:t>
            </w:r>
          </w:p>
        </w:tc>
      </w:tr>
    </w:tbl>
    <w:p w:rsidR="002A0D3E" w:rsidRPr="003616B5" w:rsidRDefault="002A0D3E" w:rsidP="002A0D3E">
      <w:pPr>
        <w:spacing w:before="120"/>
        <w:rPr>
          <w:b/>
          <w:sz w:val="24"/>
          <w:szCs w:val="24"/>
        </w:rPr>
      </w:pPr>
      <w:r w:rsidRPr="003616B5">
        <w:rPr>
          <w:b/>
          <w:sz w:val="24"/>
          <w:szCs w:val="24"/>
        </w:rPr>
        <w:t>Comité para la Eliminación de la Discriminación Racial</w:t>
      </w:r>
    </w:p>
    <w:p w:rsidR="002A0D3E" w:rsidRPr="003616B5" w:rsidRDefault="002A0D3E" w:rsidP="002A0D3E">
      <w:pPr>
        <w:rPr>
          <w:b/>
        </w:rPr>
      </w:pPr>
      <w:r w:rsidRPr="003616B5">
        <w:rPr>
          <w:b/>
        </w:rPr>
        <w:t>75</w:t>
      </w:r>
      <w:r>
        <w:rPr>
          <w:b/>
        </w:rPr>
        <w:t>º</w:t>
      </w:r>
      <w:r w:rsidRPr="003616B5">
        <w:rPr>
          <w:b/>
        </w:rPr>
        <w:t xml:space="preserve"> período de sesiones </w:t>
      </w:r>
    </w:p>
    <w:p w:rsidR="002A0D3E" w:rsidRPr="003616B5" w:rsidRDefault="002A0D3E" w:rsidP="002A0D3E">
      <w:pPr>
        <w:spacing w:before="120"/>
        <w:rPr>
          <w:b/>
        </w:rPr>
      </w:pPr>
      <w:r w:rsidRPr="003616B5">
        <w:rPr>
          <w:b/>
        </w:rPr>
        <w:t>Acta resumida de la 1939</w:t>
      </w:r>
      <w:r>
        <w:rPr>
          <w:b/>
        </w:rPr>
        <w:t>ª</w:t>
      </w:r>
      <w:r w:rsidRPr="003616B5">
        <w:rPr>
          <w:b/>
        </w:rPr>
        <w:t xml:space="preserve"> sesión</w:t>
      </w:r>
    </w:p>
    <w:p w:rsidR="002A0D3E" w:rsidRPr="00501C95" w:rsidRDefault="002A0D3E" w:rsidP="002A0D3E">
      <w:pPr>
        <w:spacing w:after="120"/>
      </w:pPr>
      <w:r w:rsidRPr="00501C95">
        <w:t>Celebrada en el Palai</w:t>
      </w:r>
      <w:r w:rsidR="009E5B78">
        <w:t>s</w:t>
      </w:r>
      <w:r w:rsidRPr="00501C95">
        <w:t xml:space="preserve"> Wilson, Ginebra,</w:t>
      </w:r>
      <w:r>
        <w:t xml:space="preserve"> </w:t>
      </w:r>
      <w:r w:rsidRPr="00501C95">
        <w:t xml:space="preserve">el jueves 6 de agosto de </w:t>
      </w:r>
      <w:smartTag w:uri="urn:schemas-microsoft-com:office:smarttags" w:element="metricconverter">
        <w:smartTagPr>
          <w:attr w:name="ProductID" w:val="2009, a"/>
        </w:smartTagPr>
        <w:r w:rsidRPr="00501C95">
          <w:t>2009, a</w:t>
        </w:r>
      </w:smartTag>
      <w:r w:rsidRPr="00501C95">
        <w:t xml:space="preserve"> las 10.00 horas</w:t>
      </w:r>
    </w:p>
    <w:p w:rsidR="002A0D3E" w:rsidRPr="00501C95" w:rsidRDefault="002A0D3E" w:rsidP="002A0D3E">
      <w:pPr>
        <w:tabs>
          <w:tab w:val="right" w:pos="992"/>
          <w:tab w:val="left" w:pos="1134"/>
          <w:tab w:val="right" w:leader="dot" w:pos="8505"/>
        </w:tabs>
      </w:pPr>
      <w:r>
        <w:rPr>
          <w:i/>
        </w:rPr>
        <w:tab/>
      </w:r>
      <w:r w:rsidRPr="003616B5">
        <w:rPr>
          <w:i/>
        </w:rPr>
        <w:t>Presidenta:</w:t>
      </w:r>
      <w:r>
        <w:rPr>
          <w:i/>
        </w:rPr>
        <w:tab/>
      </w:r>
      <w:r w:rsidRPr="00501C95">
        <w:t>Sra. Dah</w:t>
      </w:r>
    </w:p>
    <w:p w:rsidR="002A0D3E" w:rsidRPr="00CB27D2" w:rsidRDefault="002A0D3E" w:rsidP="002A0D3E">
      <w:pPr>
        <w:pStyle w:val="HChG"/>
        <w:rPr>
          <w:b w:val="0"/>
        </w:rPr>
      </w:pPr>
      <w:r w:rsidRPr="00CB27D2">
        <w:rPr>
          <w:b w:val="0"/>
        </w:rPr>
        <w:t>Sumario</w:t>
      </w:r>
    </w:p>
    <w:p w:rsidR="002A0D3E" w:rsidRPr="00501C95" w:rsidRDefault="002A0D3E" w:rsidP="002A0D3E">
      <w:pPr>
        <w:pStyle w:val="SingleTxtG"/>
      </w:pPr>
      <w:r w:rsidRPr="00501C95">
        <w:t xml:space="preserve">Examen de los informes, observaciones e información presentados por los Estados partes de conformidad con el artículo 9 de la Convención </w:t>
      </w:r>
      <w:r w:rsidRPr="00CB27D2">
        <w:rPr>
          <w:i/>
        </w:rPr>
        <w:t>(continuación)</w:t>
      </w:r>
    </w:p>
    <w:p w:rsidR="002A0D3E" w:rsidRDefault="002A0D3E" w:rsidP="002A0D3E">
      <w:pPr>
        <w:pStyle w:val="SingleTxtG"/>
        <w:rPr>
          <w:i/>
        </w:rPr>
      </w:pPr>
      <w:r>
        <w:tab/>
      </w:r>
      <w:r w:rsidRPr="00181133">
        <w:rPr>
          <w:i/>
        </w:rPr>
        <w:t>Informes periódicos 17º a 19º de Polonia</w:t>
      </w:r>
      <w:r w:rsidRPr="00501C95">
        <w:t xml:space="preserve"> </w:t>
      </w:r>
      <w:r w:rsidRPr="00CB27D2">
        <w:rPr>
          <w:i/>
        </w:rPr>
        <w:t>(continuación)</w:t>
      </w:r>
    </w:p>
    <w:p w:rsidR="002A0D3E" w:rsidRDefault="002A0D3E" w:rsidP="002A0D3E">
      <w:pPr>
        <w:pStyle w:val="SingleTxtG"/>
      </w:pPr>
    </w:p>
    <w:p w:rsidR="002A0D3E" w:rsidRDefault="002A0D3E" w:rsidP="002A0D3E">
      <w:pPr>
        <w:pStyle w:val="SingleTxtG"/>
      </w:pPr>
    </w:p>
    <w:p w:rsidR="002A0D3E" w:rsidRDefault="002A0D3E" w:rsidP="002A0D3E">
      <w:pPr>
        <w:pStyle w:val="SingleTxtG"/>
      </w:pPr>
    </w:p>
    <w:p w:rsidR="00F844CF" w:rsidRDefault="00F844CF" w:rsidP="002A0D3E">
      <w:pPr>
        <w:pStyle w:val="SingleTxtG"/>
      </w:pPr>
    </w:p>
    <w:p w:rsidR="00F844CF" w:rsidRDefault="00F844CF" w:rsidP="002A0D3E">
      <w:pPr>
        <w:pStyle w:val="SingleTxtG"/>
      </w:pPr>
    </w:p>
    <w:p w:rsidR="00F844CF" w:rsidRDefault="00F844CF" w:rsidP="002A0D3E">
      <w:pPr>
        <w:pStyle w:val="SingleTxtG"/>
      </w:pPr>
    </w:p>
    <w:p w:rsidR="00F844CF" w:rsidRDefault="00F844CF" w:rsidP="002A0D3E">
      <w:pPr>
        <w:pStyle w:val="SingleTxtG"/>
      </w:pPr>
    </w:p>
    <w:p w:rsidR="00F844CF" w:rsidRDefault="00F844CF" w:rsidP="002A0D3E">
      <w:pPr>
        <w:pStyle w:val="SingleTxtG"/>
      </w:pPr>
    </w:p>
    <w:p w:rsidR="002A0D3E" w:rsidRDefault="002A0D3E" w:rsidP="002A0D3E">
      <w:pPr>
        <w:pStyle w:val="SingleTxtG"/>
      </w:pPr>
    </w:p>
    <w:p w:rsidR="002A0D3E" w:rsidRDefault="002A0D3E" w:rsidP="002A0D3E">
      <w:pPr>
        <w:pStyle w:val="SingleTxtG"/>
      </w:pPr>
    </w:p>
    <w:p w:rsidR="002A0D3E" w:rsidRDefault="002A0D3E" w:rsidP="002A0D3E">
      <w:pPr>
        <w:pStyle w:val="SingleTxtG"/>
      </w:pPr>
    </w:p>
    <w:p w:rsidR="002A0D3E" w:rsidRPr="00437C95" w:rsidRDefault="00437C95" w:rsidP="00437C95">
      <w:pPr>
        <w:pStyle w:val="SingleTxtG"/>
        <w:rPr>
          <w:i/>
        </w:rPr>
      </w:pPr>
      <w:r>
        <w:rPr>
          <w:rFonts w:cs="TimesNewRoman"/>
        </w:rPr>
        <w:br w:type="page"/>
      </w:r>
      <w:r w:rsidR="002A0D3E" w:rsidRPr="00437C95">
        <w:rPr>
          <w:i/>
        </w:rPr>
        <w:t>Se declara abierta la sesión a las 10.10 horas.</w:t>
      </w:r>
    </w:p>
    <w:p w:rsidR="002A0D3E" w:rsidRPr="00501C95" w:rsidRDefault="002A0D3E" w:rsidP="00437C95">
      <w:pPr>
        <w:pStyle w:val="H23G"/>
      </w:pPr>
      <w:r>
        <w:tab/>
      </w:r>
      <w:r>
        <w:tab/>
      </w:r>
      <w:r w:rsidRPr="00501C95">
        <w:t xml:space="preserve">Examen de los informes, observaciones e información presentados por los Estados partes de conformidad con el artículo 9 de la Convención </w:t>
      </w:r>
      <w:r w:rsidRPr="00181133">
        <w:rPr>
          <w:b w:val="0"/>
        </w:rPr>
        <w:t>(tema 5 del programa)</w:t>
      </w:r>
      <w:r>
        <w:t xml:space="preserve"> </w:t>
      </w:r>
      <w:r w:rsidRPr="00BF66D8">
        <w:rPr>
          <w:b w:val="0"/>
          <w:i/>
        </w:rPr>
        <w:t>(continuación)</w:t>
      </w:r>
    </w:p>
    <w:p w:rsidR="002A0D3E" w:rsidRPr="00501C95" w:rsidRDefault="002A0D3E" w:rsidP="002A0D3E">
      <w:pPr>
        <w:pStyle w:val="H23G"/>
      </w:pPr>
      <w:r>
        <w:tab/>
      </w:r>
      <w:r>
        <w:tab/>
      </w:r>
      <w:r w:rsidRPr="00181133">
        <w:rPr>
          <w:b w:val="0"/>
          <w:i/>
        </w:rPr>
        <w:t>Informes periódicos 17º a 19º de Polonia</w:t>
      </w:r>
      <w:r w:rsidRPr="00501C95">
        <w:t xml:space="preserve"> </w:t>
      </w:r>
      <w:r w:rsidRPr="00BF66D8">
        <w:rPr>
          <w:b w:val="0"/>
        </w:rPr>
        <w:t>(CERD/C/POL/19; HRI/CORE/POL/2009; lista de cuestiones que deben abordarse, documento sin signatura distribuido durante la sesión, en inglés solamente)</w:t>
      </w:r>
    </w:p>
    <w:p w:rsidR="002A0D3E" w:rsidRPr="00BF66D8" w:rsidRDefault="002A0D3E" w:rsidP="002A0D3E">
      <w:pPr>
        <w:pStyle w:val="SingleTxtG"/>
      </w:pPr>
      <w:r w:rsidRPr="00BF66D8">
        <w:t>1.</w:t>
      </w:r>
      <w:r w:rsidRPr="00BF66D8">
        <w:tab/>
      </w:r>
      <w:r w:rsidRPr="00BF66D8">
        <w:rPr>
          <w:i/>
        </w:rPr>
        <w:t xml:space="preserve">Por invitación de </w:t>
      </w:r>
      <w:smartTag w:uri="urn:schemas-microsoft-com:office:smarttags" w:element="PersonName">
        <w:smartTagPr>
          <w:attr w:name="ProductID" w:val="㒴甦ᇒ䞡က❚떙ཤ⋏谀&#10;&#10;la Convenci￳nonར⋏蠀la Constituci￳nམ⋏谀䷤㳧ᒈ0䷤㳧叓䵴莋ᭃ⠸厺བ⋏蠀薨ࠔ开(Ṁߥ薏幬ย䝠ﺚ㏪똗獱က秀ͨཌ⋏蠀Número de teléfonoཊ⋏踀A&amp;brir contactoཀ⋏谀&amp;Add to Contacts྾⋏踀&amp;Insert Addressྴ⋏谀&#10;la Convenci￳n觨ͪྲ⋏踀XML DOM Documentྨ⋏谀뾐⤳ව0뾐⤳笶ᇒາ쀀顏怾Mྦ⋏谀ᜌ梹戨ͩ㽠梹Mྜ⋏谀ੈ)鸁篒Ⴈ0鸁篒盁ᇏ킝ꀀω㍉Mྚ⋏谀句聵ຸ0句聵兆ᇕ犦뀀⋐䗩ྐ⋏蠀NT Authority\SYSTEMྎ⋏谀ⶔ箊ྰ0ⶔ箊ૉᇑ沉쀀뙏쒿྄⋏踀Security Managerྂ⋏谀&#10;la Convenci￳n&#10;࿸⋏谀&#10;la Presidentaͨ࿶⋏谀&#10;la Communaut￩࿬⋏谀&#10;la Pr￩sidente࿪⋏谀&#10;la Convenci￳n覅䌲퓛ဇ번͡⒨͡타༼⋏踀3C:\PROGRA~1\COMMON~1\MICROS~1\SMARTT~1\INTLNAME.DLLs༭⋏言C:\Program Files\Microsoft Office\OFFICE11\GdiPlus.DLL༢⋏蠀&gt;C:\Windows\system32\stdole2.tlbARTT~1\METCONV.DLL೓⋏蠀`el lunes 3 de agosto de 2009, a las 15.00 horas&#10;Nameೀ⋏踀3C:\PROGRA~1\COMMON~1\MICROS~1\SMARTT~1\INTLNAME.DLLೱ⋏言C:\PROGRA~1\COMMON~1\MICROS~1\SMARTT~1\3082\stintl.dll೦⋏谀yo꥘ԸĈԾ胈͡㉘͢귰͡⣰͢䯰͢Oce\Commn\Smart䜀͢ಗ⋏谀yꦐԸ⤰Ծ肨͡궐͡聨͡䯠͢䜀͢಄⋏蠀dC:\PROGRA~1\COMMON~1\MICROS~1\SMARTT~1\FPERSON.DLLͨᅐͨವ⋏蠀dC:\PROGRA~1\COMMON~1\MICROS~1\SMARTT~1\FPERSON.DLLͨ表ԫಪ⋏谀￹:㡰͢췸Շﹰͨ\ol\DRIVRS\W32X䜀͢l౛⋏谀°:퇨ԼꆨԾ㇠͢꺰͡퇐Լ1CROS~1\MARTT~1䜀͢ై⋏谀ÀC⮐͢禀Ծ㐸͢꽰͡툀Լ~ICROS~1SMARTT~䜀͢Ի౹⋏谀Ð툰ԼԽ㒰͢꿐͡툘Լs-com:ofice:off䜀͢౮⋏谀àu∐ͣ兘Ծ㔨͢뀰͡⊐ͣocom:offce:smar䜀͢Զట⋏蠀C:\Windows\system32\spool\DRIVERS\W32X86\3\UNIDRVUI.DLLఌ⋏谀C:\Windows\system32\spool\DRIVERS\W32X86\3\UNIDRV.DLLఽ⋏蠀C:\Windows\system32\spool\DRIVERS\W32X86\3\hpz3r4xl.dllల⋏蠀C:\Windows\system32\spool\DRIVERS\W32X86\3\HPFIE4xl.dllణ⋏谀ĩ㭀͢뉰͡Լ@䜀͢ැ⋏谀:㟸͢춘ՇԼ\ol\DRIVRS\W32X䜀͢lශ⋏蠀C:\Windows\system32\spool\DRIVERS\W32X86\3\hpzle4xl.dll෶⋏蠀C:\Windows\system32\spool\DRIVERS\W32X86\3\hpoj3603.xml෧⋏蠀C:\Windows\system32\spool\DRIVERS\W32X86\3\hpoj3603.xmlඔ⋏蠀C:\Windows\system32\spool\DRIVERS\W32X86\3\hpoj3603.xmlඅ⋏蠀C:\Windows\system32\spool\DRIVERS\W32X86\3\hpz3r4xl.dllය⋏谀ę2㖠͢눐͡Լ먻눤uModel䜀͢ණ⋏蠀C:\Windows\system32\spool\DRIVERS\W32X86\3\hpzsc4xl.dtd൘⋏蠀C:\Windows\system32\spool\DRIVERS\W32X86\3\hpoj3603.xml൉⋏蠀C:\Windows\system32\spool\DRIVERS\W32X86\3\hpzsc4xl.dtdൾ⋏蠀C:\Windows\system32\spool\DRIVERS\W32X86\3\hpzsc4xl.dtd൯⋏蠀C:\Windows\system32\spool\DRIVERS\W32X86\3\hpzsc4xl.dtdജ⋏蠀C:\Windows\system32\spool\DRIVERS\W32X86\3\hpzsc4xl.dtd誄䄲ퟚࠇ밨͡␰͡타ඟ⋏踀AppUpdatesFolderඕ⋏谀'Ḱ͡'캙ꌅ䤫᪋百飺ሠ͢ඓ⋏踀AppData\LocalLowඉ⋏蠀S:(ML;OICI;NW;;;LW)ඇ⋏谀ࣰ͡࢐͡䂘͢ꆤꔠក俶ᢽ猖앃ᚯነ͢ɽ⋏谀଀͡ठ͡䁨͢ꆤꔠក俶ᢽ猖앃ᚯ觐͡ɻ⋏谀'䂘͢'䶪뢏䦩䶷蠂嵚旇ጀ͢ɱ⋏谀鞘'䀈͢䃈͢䶪뢏䦩䶷蠂嵚旇襠͡ɯ⋏谀䀸͢㿘͢䃸͢삪ⰶ堒䮇킿큌뇟㦛፰͢ɥ⋏谀鞘'䁨͢鞘'삪ⰶ堒䮇킿큌뇟㦛計͡ɣ⋏谀'䂘͢䄨͢暬鉴䡧喍혻ⶇᏠ͢ə⋏谀'䃸͢'䦭嬷뒟䧁㜕봏艈ᑐ͢ɗ⋏踀Sample Playlists32ɍ⋏谀'ஐ͡'榳ᗊヮ䧁幫狃떯ᓀ͢ɋ⋏谀鞘'ீ͡鞘'榳ᗊヮ䧁幫狃떯誰͡Ɂ⋏谀'돐͡'買ﴢ긑䫣䲆ઑﺸᔰ͢ȿ⋏谀鞘'됀͡鞘'買ﴢ긑䫣䲆ઑﺸἐ͢ȵ⋏谀'䋘͢'參扛ꭈ仁Ὰ䙁᧼ᖠ͢ȳ⋏谀鞘'ࠀ͡鞘'參扛ꭈ仁Ὰ䙁᧼詸͡ȩ⋏蠀NetworkPlacesFolderȧ⋏谀䉈͢ਐ͡ߐ͡툋岨䤅㮮▿ꀞ厛ᘐ͢ȝ⋏谀'ߐ͡'糐Ⴠ䕧傸譄쭷路 ͢ț⋏谀鞘'ࠀ͡鞘'糐Ⴠ䕧傸譄쭷路ᾀ͢ȑ⋏谀'䏸͢'솺ჟ䌴ꉺ∋鵺ᛰ͢ȏ⋏谀鞘'ࡠ͡鞘'솺ჟ䌴ꉺ∋鵺Ᾰ͢ȅ⋏踀SearchHomeFolderȃ⋏谀䍨͢䑘͢࠰͡㟑ᤃ룊䄡㦦䝭ᘭ⪗ᝠ͢˹⋏言SystemCertificates˷⋏谀䏸͢䩐3ܘ)틠哮俛䢑䈏⥇靖័͢˭⋏谀鞘'䓨͢鞘'틠哮俛䢑䈏⥇靖῰͢˫⋏谀'ܘ)䕈͢헠뾹용䁌늲涮꾶桉ᡀ͢ˡ⋏谀䒈͢ࡠ͡䕸͢헠뾹용䁌늲涮꾶桉 ͢˟⋏踀Common Templates˕⋏谀'䒸͢'㟧륂垬䍇冑貰㉬ᢰ͢˓⋏谀鞘'䓨͢鞘'㟧륂垬䍇冑貰㉬⃐͢ˉ⋏谀'데͡䘸͢鏨꘲晎䣛禠痟֞ᤠ͢ˇ⋏谀鞘'뎠͡鞘'鏨꘲晎䣛禠痟֞⁠͢ʽ⋏言ControlPanelFolderʻ⋏谀'䖨͢'䫫芧꺴䙜ᒠ韐㓮捭ᦐ͢ʱ⋏踀SyncCenterFolderʯ⋏谀'✐͢'诸䍦셎䦲즗睴힄랄ᨀ͢ʥ⋏谀CredentialManager謏쌺퓛ࠇ켈忂&amp;徬ఊĀ筏〻灏獵灁pWord.Application.11䮀͢䮠͢䭰͢徠)൨ഄϨżϘϠϜϤŰ╠͡൨Ǭⓨ͡┸͡м鳀͡鱰͡丠͢㏀͢佰͢鳨͡┐͡䱐͢䱀͢謄쀲핐ࠇ볨͡䈰0&#10;타ϐ⋏谀釨͠e攀ϒ⋏谀⍀ࠊό⋏蠀ώ⋏깤谀朸͢ψ⋏큨谀鄌͢궡瘎ϊ⋏谀dτ⋏茷谀鄌͢φ⋏谀癤ࠀπ⋏%谀ς⋏谀ꆰ̼ͩ⋏耀*䲰̾͢⋏ﾜ耀.*̸ͨ⋏Ɛ谀ࠠ-䀇ሀ̺⋏m蠀䰰̴͢⋏R蠀䲠̶͢⋏耀,*䲀̰͢⋏耀&amp;*䱠̲͢⋏耀*䰠̬͢⋏耀d*̮⋏谀࣐-̨⋏⚈耀*ꖨ̪ͨ⋏碏耀V*̤⋏ň耀03à̦⋏耀23竰̠͡⋏耀4є ̢⋏耀63̜⋏耀83궷瘎̞⋏ 耀:3̘̀⋏큨耀&lt;3̚⋏耀&gt;3̔⋏⚐耀@3̖⋏贍耀B3⚊є̐⋏⚋耀D3є̒⋏耀F3̌⋏%耀H3耀̎⋏耀J3R̈⋏耀L3̊⋏耀N3̄⋏S耀P3em̆⋏鄡耀R3瓠臦̀⋏耀T3矬臦̂⋏⩨耀$3砱臦ͼ⋏耀&quot;*큠ѝ;⋏谀㳘ͩՠ͸⋏ầ耀 ԭ껬ͺ⋏谀홸Ԯ껬ʹ⋏燦谀ԹєͶ⋏Ƽ耀hԭ궡瘎Ͱ⋏Ÿ耀`ԭňєͲ⋏]耀lԭňєͬ⋏耀bԭ2ͮ⋏ķ耀pͩͨ⋏耀fԭͪ⋏㐰耀jԭ鷈љͤ⋏耀rԭՠͦ⋏ｸ耀nԭ͠⋏큨耀tͩ큧ѝ͢⋏耀vͩꕮ͜⋏癤耀xͩ%͞⋏耀zͩ͘⋏(耀|͚ͩ⋏耀*ͩ&quot;覄䈲핛ࠇ봈͡䈰0타ʰ⋏䎄蠀턀忂咰͢䀤徸ͨ█͡Ǆ佰͢㾀㾀耀耀䜀͢ʦ⋏䀬蠀2C:\PROGRA~1\COMMON~1\MICROS~1\SMARTT~1\METCONV.DLLŔ⋏䀡言C:\PROGRA~1\COMMON~1\MICROS~1\SMARTT~1\METCONV.DLL耀Ŋ⋏䀪蠀儰͢᭐͢儸͢᭘͢删͢兀͢က펀ခ䀀df偐͢傞͢䀄而콬͢3桎䇾儐͢儐͢儘͢儘͢泀͢铨͡Ÿ⋏䃸蠀刐͢僀͢刘͢僈͢僐͢᭠͢猓ᑰ猓&gt;@俈͡俰͡䀖耈㬄Ոᮌ͢㡑䧠冀͢冀͢冈͢冈͢沨͢氘͢Ů⋏蒀蠀C:\PROGRA~1\COMMON~1\MICROS~1\SMARTT~1\INTLNAME.DLLĜ⋏ౣ蠀叐͢儰͢变͢儸͢叠͢僐҅͢㬐҇퀀fh冠͢凮͢䀄耬͢Ꚅ'僟䗚剠͢剠͢剨͢剨͢涘͢洠͢Ē⋏踀/C:\PROGRA~1\COMMON~1\MICROS~1\SMARTT~1\MOFL.DLL畝鶧Ā⋏鯰谀0C:\PROGRA~1\COMMON~1\MICROS~1\SMARTT~1\FNAME.DLLꚶ鍊Ķ⋏踀C:\PROGRA~1\COMMON~1\MICROS~1\SMARTT~1\FNAME.DLL䰷ූĤ⋏ᥡ蠀呀͢刐͢呈͢刘͢呐͢删͢梛ᒰ梛　`b占͢厮͢䀔耈퉼͢弨睸갅䘧吠͢吠͢吨͢吨͢滐͢淸͢ǚ⋏ᯃ蠀켰͢叐͢켸͢变͢콀͢叠͢瑁怀lnㅨ͢㇀͢䀔耀㯤Ո3逰䘀咐͢咐͢咘͢咘͢咠͢咠͢ǈ⋏蠀턀忂탰͢佰͢퐸ͨ徸䜸/蠘ࠐ咰͢卜污⁮㤰㐭〴㤲䜀͢搮捯Ǿ⋏殜蠀Ђ㯲Y㯲Y䳴X㨔Y⭰ԫᑰԫǬ⋏鮃蠀Ѓ㲐Y㲐Y两X㨔Y⬀ԫὠԫǢ⋏某蠀Є䭎Y䭎Y佔X㨔YⱐԫƐ⋏㴷蠀Ѕ㲼Y㲼Y啄X㨔Y⯠ԫᶠԫƆ⋏䶋蠀І㳨Y㳨Y噴X㨔Yⴰԫᗀԫƴ⋏렷蠀Ї㴚Y㴚Y垤X㨔YⳀԫ㴰ԫƪ⋏蠀Ј㶎Y㶎Y嶔X㨔Yㄠԫ婠͢X⋏ᷡ蠀Ћ䀌Y䀌Y藴X㨔Y㆐ԫ夐͢N⋏〷蠀Ќ䁼Y䁼Y蜤X㨔Y㈀ԫ|⋏恖蠀Ў䆪Y䆪Y轴X㨔Y㉰ԫr⋏微蠀Џ䈴Y䈴Y邤X㨔Yῐԫ`⋏斻蠀А䉘Y䉘Y釔X㨔Y촀͢⋏깙蠀Б䊦Y䊦Y鐴X㨔Y⿐ԫᯠԫ⋏ﺐ蠀В䍢Y䍢Y镤X㨔Y぀ԫᣐԫ:⋏䆅蠀Г䔌Y䔌Y隔X㨔Y㽠ԫ㡠ԫ(⋏습蠀Д䓒Y䓒Y飴X㨔YグԫÞ⋏궄蠀Е䖔Y䖔Y魔X㨔Y㐀ԫÌ⋏蠀Ж䗚Y䗚Y鲄X㨔Y싐͢Â⋏叧蠀З䚒Y䚒YৄY㨔Y㦰ԫð⋏鹩蠀И䚨Y䚨Y黤X㨔Y═ԫæ⋏閚蠀Й䚾Y䚾YꀔX㨔Y⺀ԫ⌠ԫ⋏霬蠀К䅺Y䅺YꅄX㨔Y◀ԫ⋏ㆊ蠀Л䝢Y䝢YꦔX㨔Y䌠ԫᦰԫ飱跇撩윯첣廝㻡㑖Დꀖ炿쫗䨾鋿訲ꪲ샑譸됺ퟛఇ䈰0䱵ퟵඋ痉柦뤮䃞젶祼肰烋츔쥠烵㺧莠؆㷴蝮獩豗崲⳻텖줉쀍㒅伏宸讴ꩲ耬쪟茘㮒쏳鑬茪규総昔ㅗⲔ阹ر䗉㣉͠븽᷀鹓ṑȖ鱞ြ駊鈎໋⍷㼃෌鷄뾓猳輽柸䷡屒렧㑙娖憹潽䮸彚懦캁烾ഏ瞧⽜鮹苠῏䮹뮟礬灘⹣慳꙽蒂芨䮖ᆸ璹ꔉѼ穓ᒓ䐗蠣騉⻤깝昈༦嘋채㻗혗幫⍱볦⹐䢙ꪇᢸ࿐궺䊰ෛ᫗湘Պ铴쌻⺌䨁沧屐ᇚᵳᝲﷅ鷆㩕㕥㴷ㅸ뇓ਣ裆꧜遠㪄犵櫊헮㿿렯衮끤熞礱凂룝ᆼ뷍￺졧␝గ瀖ệⴷ晉ⰱ일팽劜ﵳ줐佲ఈ∬䭑搮㮖嗮俲殐췔惉헴휒ﲚ擙奣뢔棭텰춚䜸⋎렩㭥↗ﲰ蠫륬᷌䌅嫄뀕ꜝ湛뢅爫笗巏橵莓㍲狞㞥膆㿏锐ⶌ凮뵱対㩮潣苈ㄍ끮훌ẑ꽠嗬闁뺑끚逡⩫Ʈ種萒屵湩ᒙ핹⯓㸅씩뤦潹θ༣େ楟룊땫짡␬呜⳪ꈚා㨣᰼릭⫔䜟䜽⟊Ӛ਷훮仦翨尔튺⨎篞溈㷌㻁밬☋眩郪⎇楚᤮ꕢ恽ꛮ㟓熞苽熎鳞慶鲰䟮勦먓䒉䃃떤뗋瓳윯杢崱尨苜㓫쑷蠟뚻ᢹ츥륹剌裴峇}ꠧﻸ箜尖㶚匧啫䇄㙡帒໢疢癤셐烝ᙧ⊛霫ﱉ숐ฤ휥䍊瀙ᷣﻥ暅껉竢䱓謾༡赤㲹정딸輹٭셫ꇍ錏驒퀺쳹஥飝⼗閸്鄽B㙎ᇾ뮾嫥䧐哩ᗋ쎚큻㭜ꎪ䤃㔤凷矃㲃菇벸ǁꚸ苢濏曢鋛ࡑ䣂摣貉վ㰊跈Ԉ⬗룀屢溂嶣靗눱鎛褑⒇宻㨮樚ﰮ☃㑹뤒쵉舆㻹䁹ᖹ뮀쾝箸š桧ቴ領姻姭迱ꏈ雭즛꩑け篚埱ꞑ覌⮪懕ﾓꞀᒴ뽈ಉ췜凒㤴硆坱㸆줏䰙敔鑮샿ᮜ컔睹ꆬ竐᠞僒ꌂⷜ᫗྽᢭ȟᣤꅡ쮉煏᛾莰懩铦ៜ稌ᐃ㏗⯘ᮮ鞸甃Ḟ욫軙䎗൯凛썲犌煓棚Ⴛ덳욝艌茥ᮐ攌底竕佰왩献☓띲ᜲ궷뫁鉭㉜냶暛ퟙന열쟝嗌䳋屇쟴⹦槙檜絜鎘團卬풟㹰뉖㭎㯬泡髲孋륹㍛堗씷ᑵ┿鼯㕽懘퓰Ọ辗짫ᑜ娏堿⁏퀷瀴㷈绠ⷰ痮剾ᒺ騇헌묋꥔羼ἂ嘊✁꫘弼૎ꮁ⟌臜⚵җ닼禅⑨ŝ麭䤂嵧⎮꼮ꃧ沚茯釹쳘岌ꨇ댷ﯘꁬý祂뢴ഴൌ옴튼䬻ꥻ禎ʞ묌㈘‷㘷⮹䥲ⷡ鮯禗䆂드쟩胁퓋雺濷쎿෍伯寧ꫨ皁禲ꀞꖱ䍒珁妈㷅냉䳦芘뾅겤邩㮒ɀ蝘⤋譽勢嫕㵇휲䮲ᠬᕪ沼킁앢恝핢횼평ᙢ搮揸變챫ࣛ殐瀱灐ᆓ뢼⿔쵧馝ល찦圍켂ⴌṑ裦ぜᶡ䣮졲ꯓꢏ͎⾢쯷犟἟䷍鉜ᖹﵤ煬퐆ᙺ寣懮ࡆ躟ᄏꀺ䨷籮ׂ㆏墖ⷙ∕⹤ᔥ䎞岤첦큝ṙ쫑譜꟎訡鵩춸ʥ荏䉇尔蛘쓂牿劆ૺ뢮㭖Ɠ఼辚ꘓ匯㔚룯朗ﳰ攅Ɪ・르雱뎋峘刽첟쌕샎傅釭茯暐㶳祱瀞릶⃁蜎뎥髤鬴热㉧규ઔᦦ廉ཱﻤ첀㜪ꥫ㩏ꡈ䦎鋘嵸꠿胮﫵끥䔔ꚹ㴒㢮䬌齤뿓㮨眓༨悮秮霄׍᳎徯⩾ꤴϚ衍쥬ᑽ徸ⓐ몆ἳ㋜ᆿ஻﹖䘻绢䲥讋቉퍰ⅼ촆螥骦娽솲Ꮔ捔쫎煫䐝鋙㤀䶞䕭㺋혖뀢屃讒麴㮒葾螛ޅ旔媝讹町픧ఇ\က⇨͢곐͡俠͢⣀͢嶢㋘܋䦠憒藧坄횦嶢㋘܋䦠憒藧坄횦ఊ괜Ѹ҅⌸͢䯀͢ヰ͢⍰͢ઝ䰛䙁꾤旒ઝ䰛䙁꾤旒ఊ⴬ӨⴰӨę劀͢汩撫됎䂯羛棵䡻뛢汩撫됎䂯羛棵䡻뛢ఊ梛聰3뤀͢勰͢ꀈ͢᳾蟯凊乫皌盥銪表᳾蟯凊乫皌盥銪表ఊ᥈ð᥌ð巈讼瀺헦ࠇ'兜͠鮒쯁ᇓⶌꀀ㟌醵'ߌ-аÀ䘀'ꏜ͠皘콠ⅅ俶疑鵱ꢜ貉͢㍌͢ෟ䧄ᬄ䡨떳鿤ฒ碑͢৤0䂑㭑婩䙐ꎇ籠р͢૜0㸮魼◕䢘薝칱늨Ն닼ԷअÀ䘀츠Ձ厼͠ӯÀ䘀 풘Ձ琬ͩ朕ᇍ㎛㌫ᑯ ሸՈ夔͠큌ⷸ寺ရꨀ䐀勞讑尻헣蒸*ﱸ3Windows\System32\Wbem;C:\hp\bin\Python;C:\Program Files\QuickTime\QTSystem\謄쀲헎ࠇ봨͡ﭨ3&#10;타؎⋏塕蠀销͡殸͢⺈$؋⋏甶蠀殠͢毐͢默'؄⋏䮫蠀殸͢毨͢㊸$؁⋏蠀毐͢氀͢鲨'؂⋏玟蠀毨͢泀͢骰'ۿ⋏￰蠀冐͢氰͢㍰$۸⋏屛蠀氘͢汈͢骰'۵⋏犋蠀氰͢池͢⺈$۶⋏䣼蠀汈͢汸͢ὠ$۳⋏劷蠀池͢沐͢ᱸ$۬⋏שּׂ蠀汸͢沨͢ば$۩⋏鬘蠀沐͢冐͢ㅰ$۪⋏릜蠀氀͢儠͢儰ۧ͢⋏ꔳ蠀泜͢泜۠͢⋏붔蠀Name۝⋏렠蠀Desc渖۞⋏⨮蠀剰͢洸͢ὠ$ۛ⋏䭋蠀洠͢浐͢ば$۔⋏蠀洸͢浨͢⺈$ۑ⋏ׯ蠀浐͢涀͢㊸$ے⋏拧蠀浨͢涘͢鲨'ۏ⋏䔵蠀涀͢剰͢骰'ۈ⋏瀯蠀Name೼ۅ⋏죮蠀Desc岗ۆ⋏蠀Name勦ۃ⋏耸蠀吰͢渐͢ὠ$ڼ⋏ऌ蠀淸͢渨͢ば$ڹ⋏眮蠀渐͢湀͢⺈$ں⋏렗蠀渨͢湘͢骰'ڷ⋏獯蠀湀͢湰͢㊸$ڰ⋏롬蠀湘͢溈͢鲨'ڭ⋏繽蠀湰͢溠͢㍰$ڮ⋏ꎦ蠀溈͢溸͢⾈$ګ⋏湨蠀溠͢滐͢ꒈ'ڤ⋏콳蠀溸͢吰͢鴘'ڡ⋏뮑蠀ᾔ梛钨͠ڢ⋏箓蠀Descڟ⋏렅蠀l㊸$ژ⋏벽谀ꈸ眡䳔眡柲獮ڕ⋏蠀噰㒴甦ᇒ䞡က❚떙ږ⋏㗇蠀’鲨'ළ뮙杞㨟誄䄲핛ࠇ落/ﭨ3타䊾ↁ킸蠀陀င濐͢⢈͡랮䊵ↁﵻ蠀陘င濸͢澨͢뎗䊰ↁ슞蠀陰င瀠͢濐͢獁䅏ↁ왧蠀隈င灈͢濸͢Н䅊ↁ蠀隠င灰͢瀠͢䅁ↁ㫪蠀隸င炘͢灈͢뒞䅜ↁ宙蠀雐င烀͢灰͢휳䅛ↁ蠀鑠င烨͢炘͢䅖ↁ㗹蠀锼င焐͢烀͢렍䅭ↁ鮸蠀鎴င焸͢烨͢㜀䅨ↁЛ蠀鐨င煠͢焐͢談䅧ↁ荜蠀Ⳁҍ熈͢焸͢⿷䅢ↁ껢蠀ⴈҍ熰͢煠͢꽳䅹ↁꪹ蠀ཨҍ燘͢熈͢岚䅴ↁ蠀㵨ѵ爀͢熰͢౳䅳ↁ蠀쪠Ѹ爨͢燘͢뗗䄎ↁꛧ蠀쪼Ѹ牸͢爀͢卼䄅ↁ谀眆ЄЈщщ㒄홷鳜䄀ↁ湽蠀'狰͢爨͢۳䄟ↁઑ蠀AddRef棡䄚ↁ䈗谀眆ЌАъʰъ㽐箄䄑ↁ蠀'瑘͢牸͢䄬ↁ̅蠀Release屻릓쩴㕿ঊ䄫ↁ샗蠀GetTypeInfo埮룏䄦ↁꝂ蠀GetIDsOfNames䄽ↁ黢蠀Invoke崾⛧洦ኤө嚕䄸ↁꐟ蠀ProgId狕症㪊쳏郝䄷ↁ뀉蠀SmartTagCount䄲ↁ选蠀SmartTagNameﻴ䇉ↁ蠀Recognize㇨落퇦敲䇄ↁ힛蠀İӨ璀͢狰͢䕀䇃ↁ쭰蠀啘Ҋ璨͢瑘͢狞䇞ↁ뮀蠀啰Ҋ瓐͢璀͢ℨ䇕ↁ꠽蠀喈Ҋ瓸͢璨͢ꮹ䇐ↁ毳蠀喠Ҋ甠͢瓐͢흰䇯ↁ蠀喸Ҋ畈͢瓸͢䇪ↁ廦蠀嗐Ҋ異͢甠͢䇡ↁ撚蠀嗨Ҋ疘͢畈͢檱䇼ↁ㬝蠀嘀Ҋ痀͢異͢☖䇻ↁ㼿蠀嘘Ҋ痨͢疘͢㥜䇶ↁክ蠀嘰Ҋ瘐͢痀͢됲䆍ↁᗴ蠀噈Ҋ瘸͢痨͢㈋䆈ↁ⛽蠀噠Ҋ癠͢瘐͢䆇ↁ䮛蠀噸Ҋ皈͢瘸͢᜚䆂ↁ蠀嚐Ҋ皰͢癠͢䆙ↁ鸆蠀吐Ҋ盘͢皈͢ꦹ䆔ↁ蠀哬Ҋ眀͢皰͢偔䆓ↁ栮蠀協Ҋ眨͢盘͢액䆮ↁ罳蠀厴Ҋ睐͢眀͢䆥ↁ蠀ⳈӨ顨͢眨͢쉻ⓕ렬豲煆鋏餻쿭梨㏿譍脺퓛ࠇ∴᭐Ő᭔щᲤщ᳀щ᳜щxᅀ8緐͢Ω᳸Ę纀͢℠᳸ƠĈĬ纬͢∴ᶼÐÀᅀǸ$绘͢∴Ṅ̀ƨ¨ᅀȜ0∴ὨɘὬщ⇄щ⇰щ∜щÀᅀΠH耸͢∴≈ð≌щ⌼щ⍌щ⍜щØᅀӄ,縨͢∴⍬ðᅀӤ(Ĭ 缰͢∴⏐À ĈᅀԼ$羈͢∴ ⑀ŀĠĠᅀ՜,∴&#10;┄ƀŐĸᅀ֌,∴◬Ƙ◰щ➈щ➜щ➰щŐᅀټ0翠͢∴⟄̀ƨŨᅀܸ0∴&#10;⣨ကමƀᅀݘΩ㊠ࣜ°℠㊠̀ʔࣰ话ᄺ픒ࠇ䲀眆䯨眆ა眇'緼͢䲀眆䯨眆ა眇'e\緐͢䲀眆䯨眆ა眇ɘ'織͢䲀眆䯨眆ა眇ɘ';.縨͢䲀眆䯨眆ა眇d'䲀眆䯨眆ა眇È'䲀眆䯨眆ა眇Ĭ'缄͢䲀眆䯨眆ა眇Ĭ'RO绘͢䲀眆䯨眆ა眇ʼ'罜͢䲀眆䯨眆ა眇ʼ'St缰͢䲀眆䯨眆ა眇̠'羴͢䲀眆䯨眆ა眇̠'PR羈͢䲀眆䯨眆ა眇ь'而͢䲀眆䯨眆ა眇ь'am翠͢䲀眆䯨眆ა眇Ǵ'聤͢䲀眆䯨眆ა眇Ǵ'C:耸͢覊䐺햂ࠇ∡⦜∡⨠Ȁ$∡⪤ Ȁ&lt; ∣⯈`⹼ъ⻜ъ⻨ъ⻴ъT鄴͢∣ⱐĬ⼄ъ〰ъ぀ъぐъ0ȀhĬ鄈͢∣ⶰHĬ∦⺀`耓∦⺀x°考∦⺀Ì考∦ ⺀¨è考∦&#10;⺀ÀĄ考∦⺀ØĠ考∦⺀ðŀ考∦&#10;⺀ĈŠ考∦⺀Ġƀ考∦⺀ĸƠ耄∦⺀Őǀ耄∦⺀ŨǠ耄∦⺀ƀȀ耄∦⺀ƘȠ考ሦ⺀ưȸ耋ሦ⺀ǈɔ耋ሦ⺀Ǡɰ耋∠⺀Ǹʔ∦⻤Ȑʬ耈䈦⻤Ȩˀ耆ሦ⻤ɀ˔耋ሦ⻤ɘ˨耋ሦ⻤ɰ̀耋ሦ⻤ʈ̜耋∣⻤ʠ̼dĬ∤㌔ʸက͐∦ 㐘͠Ø∥!㐘ː͸∣&quot;㐘˨Ό HĬ∤#㝼̀ကΠ∦$㢼δĘ∥%㢼̘ό0∠&amp;㢼̰Ϥਢ'㥀͈Є0❵∤(㨌͠တМT∦)㩀дŀ譬ꀺퟕࠇ䲀眆䯨眆ა眇Ɛ'䲀眆䯨眆ა眇Ĭ'쌑۱랷房醌͢ﳜ譸⻛譸㖻㾿휶쓵濧෌䮽醸͢茁컵ﾸ컇蘃䏈ῶᰰ۟⏷쑾絠첏뺰釤͢楤귶헤鷿諤ಢ㧟﷗ｳ똓྿Ϸ侟⟮鏷짻牾뤿鈐͢ﮓ﷉绤㽲龹俜⟮鏷￻ǿ玧࿖ॖ뾮䕉䑎鈼͢䀈ࠁ$ဂ䀛鉨͢4耀쀀䑬䀀䑞耀耀銔͢耀耀䏲䀈Ђဂက䀴鋀͢䀩䀦䀪鋬͢㾀㾀Ld錘͢;:&lt;;)ª㾀鍄͢㾀鍰͢F䵅⭆䀂鎜͢Ƒᙳ攀ﳀͥ䈰0Ɣ鏈͢ƕƖƗƘƙ鏴͢ƛƜƝƞƟ鐠͢ƠơƢƣƤ鑌͢ƦƧƨƩƪ鑸͢ƫƬƭƮƯ钤͢ƱƲƳƴƵ铐͢ƶƷƸƹƺ铼͢Ƽƽƾƿǀ锨͢ǁǂǃǄǅ镔͢ǇǈǉǊǋ門͢ǌǍǎǏǐ閬͢ǒǓǔǕǖ闘͢ǗǘǙǚǛ阄͢ǝǞǟǠǡ阰͢ǢǣǤǥǦ陜͢ǨǩǪǫǬ隈͢ǭǮǯǰǱ隴͢ǳǴǵǶǷ雠͢ǸǹǺǻǼ霌͢ǾǿȀȁȂ霸͢ȃȄȅȆȇ靤͢ȉȊȋȌȍ鞐͢ȎȏȐȑȒ鞼͢ȔȕȖȗȘ韨͢șȚțȜȝ頔͢ȟȠȡȢȣȤȥȦȧ誄䄲픳ࠇ뵨͡ﭨ3타ᠶ⋏ 蠀ⳤӨ颐͢睐͢Oᠭ⋏i蠀Hӎ餈͢顨͢iᠨ⋏o蠀AddRefiᠧ⋏o蠀Release滰ы癰ndᠢ⋏s蠀ꄠ梜魠͢颐͢᠙⋏\蠀GetTypeInfoe\᠔⋏F蠀GetIDsOfNames᠓⋏L蠀Invoke\Local\᠎⋏o蠀Recognize2lic᠅⋏i蠀PropertyPages᠀⋏m蠀AddRef\᡿⋏n蠀Release滰ы癰be᡺⋏C蠀GetTypeInfo;Cᡱ⋏P蠀GetIDsOfNamesᡬ⋏i蠀Invokem\ᖐ蔀햖ᡫ⋏ﭨ蠀ProgId:\Progrᡦ⋏ 蠀SmartTagCountᡝ⋏l蠀SmartTagNamerᡘ⋏蠀RecognizeERSPᡗ⋏F蠀ꅈ梜鮈͢餈͢tᡒ⋏A蠀ꅰ梜鮰͢魠͢Cᡉ⋏L蠀ꆘ梜鯘͢鮈͢nᡄ⋏C蠀곀梜鰀͢鮰͢oᡃ⋏e蠀곴梜鰨͢鯘͢oᢾ⋏l蠀ꕸ梜鱐͢鰀͢aᢵ⋏.蠀Ɡ梜鱸͢鰨͢aᢰ⋏|蠀ꠌ梜鲠͢鱐͢R᢯⋏E蠀ꦨ梜鳈͢鱸͢.ᢪ⋏蠀꠨梜鳰͢鲠͢rᢡ⋏r蠀ᤈð鴘͢鳈͢eᢜ⋏l蠀ᤤð鵨͢鳰͢pᢛ⋏o谀眆МРыꙈы夐s=ᢖ⋏\蠀礼'몘͢鴘͢mᢍ⋏n蠀AddRefAᢈ⋏=蠀ReleaseSpec=Cᢇ⋏W蠀GetTypeInfo\cᢂ⋏.蠀GetIDsOfNames᣹⋏L蠀InvokeOST_CHEᣴ⋏=蠀Recognize2:Hᣳ⋏E蠀PropertyPageOᣮ⋏L蠀AddRefsᣥ⋏s蠀ReleaseData\Lᣠ⋏a蠀GetTypeInfo\Cᣟ⋏L蠀GetIDsOfNamesᣚ⋏S蠀InvokeineServᣑ⋏e蠀ProgIdervicesᣌ⋏S蠀SmartTagCountᣋ⋏\蠀SmartTagNamecᣆ⋏s蠀RecognizeFICEἽ⋏\蠀FName.SmartTagAppData\Loca论瘺퓛ఇ䲀眆䯨眆ა眇ɘ'ꁴ͢䲀眆䯨眆ა眇ɘ'-6ꁈ͢䲀眆䯨眆ა眇d'ꃌ͢䲀眆䯨眆ა眇d'F6ꂠ͢䲀眆䯨眆ა眇È'䲀眆䯨眆ა眇Ĭ'䲀眆䯨眆ა眇ʼ'ꅼ͢䲀眆䯨眆ა眇ʼ'逨͠ꅐ͢䲀眆䯨眆ა眇̠'ꇔ͢䲀眆䯨眆ა眇̠'m3ꆨ͢dows;CWindows\System32讋䘻헥ౘ3ᐰࠔ㣐˘纠˙绠˙缠˙罠˙羠˙翀˙耠˙\覔娺헔ఇ℘梛꓈梜梛梛辀Ïꑼ梜謏쌺ퟋఇ∥ᄘH∴ᄘŐ띤ы뢴ы룐ы룬ыᅀ,,8ꂠ͢ΩዀŰꃸ͢℠ዀƠĈƄꄤ͢∴ᎄÐÀ¨ᅀɐ$∴ᐌ̀ƨÀᅀɴ0∴ᔰð뭼ы뱬ы뱼ы벌ыØᅀЄH,ꁈ͢∴ᙔðᅀР(Ɛ ꅐ͢∴ᚸÀ ĈᅀѸ$ꆨ͢∴ ᜨŀĠĠᅀҘ,∴&#10;៬ƀŐĸᅀӘ,认怲핐ࠇﻘߥ牠Ԯ타幾♋튈谀ࠐ패԰幸♋폈谀ࠐ푨԰幺♋픈谀ࠐ햨԰年♋홰谀ࠐ휸԰并♋ퟘ谀ࠐ԰幰♋谀ࠐ԰干♋谀ࠐ԰後♋谀ࠐ԰徎♋谀ࠐ԰很♋谀ࠐ԰徊♋谀ࠐ԰径♋谀ࠐ԰徆♋谀ࠐ԰往♋谀ࠐ԰԰԰讃伺헻ࠇ艈͡ꑸ*芈͡芨͡艈͡苈͡ꑸ*脈͡讌䄻헜素ͨ릈,नԪ㸐߸㶐߸㻐߸㺰߸ꮸ*갸*Ć讫机헓ง³Reconoce los nombres de las personas a las que ha enviado mensajes de correo electrónico recientemente. Esta operación se combina con las acciones asociadas a nombres de personas.\Ap誄䄲헴ࠇ붨͡逨͠타Წ⋏o蠀깄Ā묐͢鵨͢Ძ⋏i蠀퇀忂䜀͢㊴ͣ唠͡Ღ⋏m蠀İ֙뵨͢ೈ߾Ო⋏n蠀Ā뺨͢몘͢Ი⋏C蠀㺌߼뵀͢삈͢Თ⋏P蠀퇀忂䜀͢N賔߷䀘߼Გ⋏i蠀médiasᲉ⋏逨蠀㿴߼൨߾밨͢ᲄ⋏蠀퇀忂䜀͢G뮄͢㿐߼ᲃ⋏蠀nombreux᱾⋏蠀㾬߼뮰͢뱸͢ᱵ⋏蠀퇀忂䜀͢&gt;민͢㾈߼ᱰ⋏蠀㽤߼밨͢볈͢ᱯ⋏蠀퇀忂䜀͢;ꛔ߻㽀߼ᱪ⋏蠀㼜߼뱸͢뵀͢ᱡ⋏蠀퇀忂䜀͢7ꛬ߻㻸߼ᱜ⋏蠀constaterᱛ⋏蠀㻔߼볈͢문͢᱖⋏蠀ﺠ‷붐͢뫨͢ᱍ⋏蠀ﺸ‷붸͢뵨͢᱈⋏蠀ﻐ‷뷠͢붐͢᱇⋏蠀ﻨ‷빘͢붸͢᱂⋏蠀Ｐ‷뿨͢븰͢᰹⋏蠀８‷븈͢빘͢ᰴ⋏蠀＀‷븰͢뷠͢ᰳ⋏蠀퇀忂䜀͢- 봔͢㺰߼ᰮ⋏蠀ːР뻐͢묐͢ᰥ⋏蠀İЫ뻸͢뺨͢ᰠ⋏蠀厰偽뼠͢뻐͢ᰟ⋏蠀叠偽뽈͢뻸͢ᰚ⋏蠀又偽뽰͢뼠͢ᰑ⋏蠀厘偽뾘͢뽈͢ᰌ⋏蠀ƀ֛뿀͢뽰͢ᰋ⋏蠀ҠР又ԫ뾘͢ᰆ⋏蠀ｈ‷팈߷븈͢ᏽ⋏耀忊ꊘ*ͨ䜀͢ᏸ⋏蠀퇀忂䜀͢*ꜜ߻㹨߼᏷⋏蠀atterréᏲ⋏蠀㹄߼문͢샘͢Ꮹ⋏蠀퇀忂䜀͢&quot;쁜͢㸠߼Ꮴ⋏蠀㷼߼삈͢섨͢Ꮳ⋏蠀퇀忂䜀͢꜄߻㷘߼Ꮮ⋏蠀㶴߼샘͢셸͢Ꮥ⋏蠀퇀忂䜀͢೬߾㶐߼Ꮠ⋏蠀㵬߼섨͢쇈͢Ꮟ⋏蠀퇀忂䜀഼͢߾㵈߼Ꮚ⋏蠀㴤߼셸͢,Ꮑ⋏蠀퇀忂䜀͢Ꚍ߻㴀߼Ꮌ⋏蠀퇀忂䜀ꙴ͢߻㲸߼Ꮋ⋏蠀퇀忂䜀͢∔߻㱰߼讀䰺퓛ࠇ祋藹䴙䃘撈瑎煳润讀䰺헟ࠇ噰㒴甦ᇒ䞡က❚떙誄䄲헟ࠇ뷈͡逨͠타Ꮔ⋏ 蠀М䟮Y䟮Y꫄X㨔Y⻰ԫᏺ⋏h蠀Н䡺Y䡺Y꯴X㨔Y쒐͢Ꮸ⋏o蠀П䥎Y䥎Y꾄X㨔Y⽠ԫᚠԫጞ⋏k蠀С䇲Y䇲Y뇤X㨔Y㶠ԫ䄠ԫጌ⋏O蠀Т䧐Y䧐Y댔X㨔Y㸐ԫጂ⋏s蠀У㯜Y㯜Y둄X㨔Y㓠ԫ᎐ԫጰ⋏\蠀Ф䝸Y䝸Y땴X㨔Y㕐ԫ왐͢ጦ⋏w蠀Х㿊Y㿊Y뚤X㨔Yፔ⋏n蠀Ц䏪Y䏪Y럔X㨔Y㗀ԫᓠԫፊ⋏蠀Ч䏔Y䏔Y뤄X㨔Y䂰ԫ㬀ԫ፸⋏蠀Ш䣬Y䣬Y﷤X㨔Y㳀ԫ፮⋏蠀Ы䇜Y䇜Y범X㨔Y㭰ԫኜ⋏蠀Ь㮀Y㮀Y뷄X㨔Y㳀ԫ⎐ԫኒ⋏蠀Э㿠Y㿠Y쀤X㨔Y䥀ԫኀ⋏蠀Ю䆒Y䆒YᩤY㨔Y᥀ԫ኶⋏蠀Я䐖Y䐖Y셔X㨔Y㴰ԫ⚠ԫኤ⋏蠀в䤸Y䤸Y슄X㨔Y㻰ԫ㎐ԫዚ⋏蠀д䩺Y䩺Y쎴X㨔Y㐀ԫẀԫ覄䈲퓛ࠇ빨͡匈ԫ타ᅤ⋏蠀䀁㫪Y㫪Y䯄X㨔Y찠͢찠͢ᅚ⋏蠀䀉㷺Y㷺Y穀X㨔Yᅈ⋏蠀䀊㺜Y㺜Y耄X㨔Yᆾ⋏蠀䐉㸖Y㸖YϔY㨔Yᆬ⋏蠀䐊㾊Y㾊Y脴X㨔Yᆢ⋏蠀䠉㹀Y㹀YԄY㨔Yᆐ⋏깄蠀䠊㼨Y㼨Y艤X㨔Yᆆ⋏늈蠀䰊㽄Y㽄Y莔X㨔Yᇴ⋏蠀倊㽮Y㽮Y蓄X㨔Yᇪ⋏蠀吊㾘Y㾘YᤴY㨔Yᇘ⋏?蠀퀐͢呀͢퀘͢呈͢퀠͢呐͢偼偼䀀|~牠2狊2䀄而큌͢僼͢뗉㙁쾀͢쾀͢쾈͢쾈͢ㅠͣ㄰ͣᇎ⋏癤蠀㥸Ո㠨Ո㦀Ո㠰Ո㦈Ո㠸Ո‰깕‱뀀⬀͡⭪͡䀄而㦴Ո㡤Ո캎䓦쿰͢쿰͢쿸͢쿸͢ㄘͣㅸͣሼ⋏n蠀퉀͢켰͢퉈͢켸͢퉐͢콀͢㾃꓂㾞倀_匠͠厔͠䀄而퍜͢콬͢`䃕큠͢큠͢큨͢큨͢㈸ͣㆨͣሲ⋏踀/C:\PROGRA~1\COMMON~1\MICROS~1\SMARTT~1\MOFL.DLLԭLሠ⋏蠀턀忂㆘Ո咰͢퓸ͨ徸池ࠌ葘ࠐ탰͢-029 (S).䜀͢Āሖ⋏R蠀2C:\PROGRA~1\COMMON~1\MICROS~1\SMARTT~1\FPERSON.DLLሄ⋏늀言C:\PROGRA~1\COMMON~1\MICROS~1\SMARTT~1\FPERSON.DLLቺ⋏ň蠀팠͢퀐͢패͢퀘͢팰͢퀠͢梕梕df퇐͢툞͢䀔耈픜͢同͢강䘧튐͢튐͢튘͢튘͢翐ͨ纰ͨቨ⋏늇蠀2C:\PROGRA~1\COMMON~1\MICROS~1\SMARTT~1\METCONV.DLL቞⋏蠀퐀͢퉀͢퐈͢퉈͢퐐͢퉐͢挂蘺挃뀀^`莰3菾3䀔耈퐼͢큌͢갾䘧퍰͢퍰͢퍸͢퍸͢⦨Ԯ⢸Ԯቌ⋏%谀0C:\PROGRA~1\COMMON~1\MICROS~1\SMARTT~1\FDATE.DLLLቂ⋏⩨蠀퓠͢팠͢퓨͢패͢퓰͢팰͢碀喖碅쀀ⷐ͡⹀͡䀄耈ힼ͢퍜͢桫䢻푐͢푐͢푘͢푘꧀͢԰ꤰ԰ኰ⋏Ŭ踀C:\PROGRA~1\COMMON~1\MICROS~1\SMARTT~1\FDATE.DLLԼLኦ⋏활蠀핐͢퐀͢하͢퐈͢할͢퐐͢梼쯫梼က`b푰͢풾͢䀔耈弨睸퉼͢꯴䘧픰͢픰͢픸͢픸͢텘Լ큨Լኔ⋏蠀횠͢퓠͢효͢퓨͢횰͢퓰͢爷ᕡ爷ꀀnp㘘͢㙮͢䀔耈훜͢ꤤ'㞈䧠ῴ睮햠͢햠͢햨͢햨͢ԼԼኊ⋏蠀͢͢͢͢͢͢㼀䲢㼀倀゠͡ㄊ͡䀄而͢͢ꜟ㱭혐͢혐͢혘͢혘͢ԼԼዸ⋏蠀턀忂㆘Ո궘ࠓ徸隘ͨ儠Շ൨혰͢䞑횀͢횀͢횈͢䜀͢ĀԼዮ⋏蠀힀͢핐͢히͢하͢힐͢할͢戌ዱ戌jl㚐͢㛦͢䀔耈徠睸햌͢㠈䧠훰͢훰͢훸͢훸͢ԼԼዜ⋏蠀ퟰ͢͢ퟸ͢͢͢͢幹幻쀀np㜈͢㝞͢䀔耈͢͢읻䜥흠͢흠͢흨͢흨͢ԼԼዒ⋏蠀͢횠͢"/>
        </w:smartTagPr>
        <w:r w:rsidRPr="00BF66D8">
          <w:rPr>
            <w:i/>
          </w:rPr>
          <w:t>la Presidenta</w:t>
        </w:r>
      </w:smartTag>
      <w:r w:rsidRPr="00BF66D8">
        <w:rPr>
          <w:i/>
        </w:rPr>
        <w:t>, los miembros de la delegación de Polonia vuelven a tomar asiento a la mesa del Comité</w:t>
      </w:r>
      <w:r>
        <w:rPr>
          <w:i/>
        </w:rPr>
        <w:t>.</w:t>
      </w:r>
    </w:p>
    <w:p w:rsidR="002A0D3E" w:rsidRPr="00501C95" w:rsidRDefault="002A0D3E" w:rsidP="002A0D3E">
      <w:pPr>
        <w:pStyle w:val="SingleTxtG"/>
      </w:pPr>
      <w:r w:rsidRPr="00501C95">
        <w:t>2.</w:t>
      </w:r>
      <w:r w:rsidRPr="00501C95">
        <w:tab/>
        <w:t xml:space="preserve">El </w:t>
      </w:r>
      <w:r w:rsidRPr="00BF66D8">
        <w:rPr>
          <w:b/>
        </w:rPr>
        <w:t>Sr. Rzemieniewski</w:t>
      </w:r>
      <w:r w:rsidRPr="00501C95">
        <w:t xml:space="preserve"> (Polonia) explica que en virtud de </w:t>
      </w:r>
      <w:smartTag w:uri="urn:schemas-microsoft-com:office:smarttags" w:element="PersonName">
        <w:smartTagPr>
          <w:attr w:name="ProductID" w:val="la Ley"/>
        </w:smartTagPr>
        <w:r w:rsidRPr="00501C95">
          <w:t>la Ley</w:t>
        </w:r>
      </w:smartTag>
      <w:r w:rsidRPr="00501C95">
        <w:t xml:space="preserve"> de 6 de enero de 2005 </w:t>
      </w:r>
      <w:r w:rsidRPr="00501C95">
        <w:rPr>
          <w:iCs/>
        </w:rPr>
        <w:t>sobre minorías nacionales y étnicas e idiomas regionales</w:t>
      </w:r>
      <w:r w:rsidRPr="00501C95">
        <w:t>, son miembros de una minoría nacional los individuos que residen en territorio polaco, poseen vínculos antiguos, duraderos y sólidos con Polonia (sus ancestros tienen que haber vivido en Polonia desde hace por lo menos 100 años), presentan características étnicas, culturales, religiosas o lingüísticas específicas, son lo suficientemente numerosos, y están determinados a preservar las características que constituyen su identidad, en particular su cultura, sus tradiciones, su religión o su idioma.</w:t>
      </w:r>
      <w:r>
        <w:t xml:space="preserve"> </w:t>
      </w:r>
      <w:r w:rsidRPr="00501C95">
        <w:t>En Polonia, una minoría nacional, contrariamente a una minoría étnica, debe identificarse asimismo con una nación organizada en el marco de determinado Estado.</w:t>
      </w:r>
    </w:p>
    <w:p w:rsidR="002A0D3E" w:rsidRPr="00501C95" w:rsidRDefault="002A0D3E" w:rsidP="002A0D3E">
      <w:pPr>
        <w:pStyle w:val="SingleTxtG"/>
      </w:pPr>
      <w:r w:rsidRPr="00501C95">
        <w:t>3.</w:t>
      </w:r>
      <w:r w:rsidRPr="00501C95">
        <w:tab/>
        <w:t>El Sr. Rzemieniewski afirma que Polonia no distingue entre los derechos de las minorías nacionales y los de las minorías étnicas, y que la única diferencia entre estos derechos tiene que ver con cuestiones de nomenclatura y terminología.</w:t>
      </w:r>
      <w:r>
        <w:t xml:space="preserve"> </w:t>
      </w:r>
      <w:r w:rsidRPr="00501C95">
        <w:t>En Polonia no existe más que un solo idioma regional, el idioma casubio (CERD/C/POL/19, párr.</w:t>
      </w:r>
      <w:r>
        <w:t xml:space="preserve"> </w:t>
      </w:r>
      <w:r w:rsidRPr="00501C95">
        <w:t xml:space="preserve">227), reconocido como tal en el sentido de </w:t>
      </w:r>
      <w:smartTag w:uri="urn:schemas-microsoft-com:office:smarttags" w:element="PersonName">
        <w:smartTagPr>
          <w:attr w:name="ProductID" w:val="la Carta Europea"/>
        </w:smartTagPr>
        <w:r w:rsidRPr="00501C95">
          <w:t>la Carta Europea</w:t>
        </w:r>
      </w:smartTag>
      <w:r w:rsidRPr="00501C95">
        <w:t xml:space="preserve"> de las Lenguas Regionales o Minoritarias.</w:t>
      </w:r>
      <w:r>
        <w:t xml:space="preserve"> </w:t>
      </w:r>
      <w:r w:rsidRPr="00501C95">
        <w:t>Este idioma, af</w:t>
      </w:r>
      <w:r>
        <w:t>í</w:t>
      </w:r>
      <w:r w:rsidRPr="00501C95">
        <w:t>n al polaco y considerado desde hace mucho tiempo como un dialecto, está actualmente protegido jurídicamente por el Estado en calidad de idioma regional.</w:t>
      </w:r>
      <w:r>
        <w:t xml:space="preserve"> </w:t>
      </w:r>
      <w:r w:rsidRPr="00501C95">
        <w:t xml:space="preserve">Los casubios </w:t>
      </w:r>
      <w:r>
        <w:t xml:space="preserve">están </w:t>
      </w:r>
      <w:r w:rsidRPr="00501C95">
        <w:t>muy apegados a su idioma y el número de escuelas en que se enseña este idioma ha aumentado mucho en los últimos años.</w:t>
      </w:r>
      <w:r>
        <w:t xml:space="preserve"> </w:t>
      </w:r>
      <w:r w:rsidRPr="00501C95">
        <w:t>Polonia cuenta con dos emisoras de radio privadas, una en bielorruso y la otra en casubio.</w:t>
      </w:r>
    </w:p>
    <w:p w:rsidR="002A0D3E" w:rsidRPr="00501C95" w:rsidRDefault="002A0D3E" w:rsidP="002A0D3E">
      <w:pPr>
        <w:pStyle w:val="SingleTxtG"/>
      </w:pPr>
      <w:r w:rsidRPr="00501C95">
        <w:t>4.</w:t>
      </w:r>
      <w:r w:rsidRPr="00501C95">
        <w:tab/>
        <w:t>En el pasado, las minorías nacionales y étnicas representaban entre el 30 y 50% de la población polaca.</w:t>
      </w:r>
      <w:r>
        <w:t xml:space="preserve"> </w:t>
      </w:r>
      <w:r w:rsidRPr="00501C95">
        <w:t xml:space="preserve">Debido a la modificación de las fronteras y al exterminio de los romaníes y de los judíos durante </w:t>
      </w:r>
      <w:smartTag w:uri="urn:schemas-microsoft-com:office:smarttags" w:element="PersonName">
        <w:smartTagPr>
          <w:attr w:name="ProductID" w:val="la Segunda Guerra"/>
        </w:smartTagPr>
        <w:r w:rsidRPr="00501C95">
          <w:t>la Segunda Guerra</w:t>
        </w:r>
      </w:smartTag>
      <w:r w:rsidRPr="00501C95">
        <w:t xml:space="preserve"> Mundial, llegó un momento en que las minorías no representaban más que un pequeño número de personas.</w:t>
      </w:r>
      <w:r>
        <w:t xml:space="preserve"> </w:t>
      </w:r>
      <w:r w:rsidRPr="00501C95">
        <w:t>Es verdad que las cifras actuales señalan una disminución del número de personas pertenecientes a minorías, pero el número de minorías, 13, no ha variado.</w:t>
      </w:r>
    </w:p>
    <w:p w:rsidR="002A0D3E" w:rsidRPr="00501C95" w:rsidRDefault="002A0D3E" w:rsidP="002A0D3E">
      <w:pPr>
        <w:pStyle w:val="SingleTxtG"/>
      </w:pPr>
      <w:r w:rsidRPr="00501C95">
        <w:t>5.</w:t>
      </w:r>
      <w:r w:rsidRPr="00501C95">
        <w:tab/>
        <w:t xml:space="preserve">Respondiendo al Sr. Avtonomov, que desea saber por qué, según el </w:t>
      </w:r>
      <w:bookmarkStart w:id="0" w:name="_Hlk204495350"/>
      <w:r w:rsidRPr="00501C95">
        <w:rPr>
          <w:bCs/>
          <w:iCs/>
        </w:rPr>
        <w:t>Censo Nacional de Población y Vivienda</w:t>
      </w:r>
      <w:bookmarkEnd w:id="0"/>
      <w:r w:rsidRPr="00501C95">
        <w:rPr>
          <w:bCs/>
          <w:iCs/>
        </w:rPr>
        <w:t xml:space="preserve"> </w:t>
      </w:r>
      <w:r w:rsidRPr="00501C95">
        <w:t>de 2002, el número de karaim (párr</w:t>
      </w:r>
      <w:r>
        <w:t xml:space="preserve">. </w:t>
      </w:r>
      <w:r w:rsidRPr="00501C95">
        <w:t>82) ascendería a 43, cuando en los datos correspondientes al decenio de 1980 éstos sumaban una centena, el Sr. Rzemieniewski explica que en el censo de 2002 se incluyó por primera vez una pregunta directa sobre la pertenencia a una minoría étnica, lo que permitió establecer con más precisión el número de personas pertenecientes a cada minoría.</w:t>
      </w:r>
      <w:r>
        <w:t xml:space="preserve"> </w:t>
      </w:r>
      <w:r w:rsidRPr="00501C95">
        <w:t>Explica que ciertas minorías tienden efectivamente a asimilarse muy rápidamente, razón por la cual el Gobierno de Polonia procura contener este fenómeno protegiéndolos jurídicamente.</w:t>
      </w:r>
      <w:r>
        <w:t xml:space="preserve"> </w:t>
      </w:r>
      <w:r w:rsidRPr="00501C95">
        <w:t>Esta tendencia no se aplica a los karaim, que son una minoría muy dinámica, muy educada y muy diplomada.</w:t>
      </w:r>
      <w:r>
        <w:t xml:space="preserve"> </w:t>
      </w:r>
      <w:r w:rsidRPr="00501C95">
        <w:t>No se ha detectado ninguna variación en la composición de la comunidad karaim en los últimos años.</w:t>
      </w:r>
    </w:p>
    <w:p w:rsidR="002A0D3E" w:rsidRPr="00501C95" w:rsidRDefault="002A0D3E" w:rsidP="002A0D3E">
      <w:pPr>
        <w:pStyle w:val="SingleTxtG"/>
        <w:keepNext/>
        <w:keepLines/>
      </w:pPr>
      <w:r w:rsidRPr="00501C95">
        <w:t>6.</w:t>
      </w:r>
      <w:r w:rsidRPr="00501C95">
        <w:tab/>
        <w:t xml:space="preserve">Por lo que toca a la participación de los representantes de las minorías nacionales y étnicas en la vida pública, el Sr. Rzemieniewski indica que la legislación polaca sobre las elecciones es una de las únicas en el mundo que permite a las minorías nacionales participar en la elección del Presidente, de </w:t>
      </w:r>
      <w:smartTag w:uri="urn:schemas-microsoft-com:office:smarttags" w:element="PersonName">
        <w:smartTagPr>
          <w:attr w:name="ProductID" w:val="la C￡mara Baja"/>
        </w:smartTagPr>
        <w:smartTag w:uri="urn:schemas-microsoft-com:office:smarttags" w:element="PersonName">
          <w:smartTagPr>
            <w:attr w:name="ProductID" w:val="la C￡mara"/>
          </w:smartTagPr>
          <w:r w:rsidRPr="00501C95">
            <w:t>la Cámara</w:t>
          </w:r>
        </w:smartTag>
        <w:r w:rsidRPr="00501C95">
          <w:t xml:space="preserve"> Baja</w:t>
        </w:r>
      </w:smartTag>
      <w:r w:rsidRPr="00501C95">
        <w:t xml:space="preserve"> y del Senado, en las elecciones municipales y en las elecciones de los consejos distritales así como en las elecciones directas de los responsables municipales y de los alcaldes de las ciudades y comunas.</w:t>
      </w:r>
      <w:r>
        <w:t xml:space="preserve"> </w:t>
      </w:r>
      <w:r w:rsidRPr="00501C95">
        <w:t>Participan asimismo en el referéndum nacional y en los referéndums locales.</w:t>
      </w:r>
      <w:r>
        <w:t xml:space="preserve"> </w:t>
      </w:r>
      <w:r w:rsidRPr="00501C95">
        <w:t>Los partidos étnicos no están prohibidos, pero no existen en Polonia</w:t>
      </w:r>
      <w:r>
        <w:t>.</w:t>
      </w:r>
    </w:p>
    <w:p w:rsidR="002A0D3E" w:rsidRPr="00501C95" w:rsidRDefault="002A0D3E" w:rsidP="002A0D3E">
      <w:pPr>
        <w:pStyle w:val="SingleTxtG"/>
      </w:pPr>
      <w:r w:rsidRPr="00501C95">
        <w:t>7.</w:t>
      </w:r>
      <w:r w:rsidRPr="00501C95">
        <w:tab/>
        <w:t>En cuanto a las actividades de las comunidades étnicas en los gobiernos locales, el representante polaco indica que la minoría bielorrusa dispone de un comité electoral nacional con gran éxito en la provincia donde está muy representada.</w:t>
      </w:r>
      <w:r>
        <w:t xml:space="preserve"> </w:t>
      </w:r>
      <w:r w:rsidRPr="00501C95">
        <w:t>Las minorías tienen acceso a los servicios públicos, participan en los referéndums y tienen los mismos derechos que los polacos.</w:t>
      </w:r>
      <w:r>
        <w:t xml:space="preserve"> </w:t>
      </w:r>
      <w:r w:rsidRPr="00501C95">
        <w:t>Además, los idiomas regionales y los idiomas de las minorías pueden ser utilizados en las comunicaciones con la administración cuando la</w:t>
      </w:r>
      <w:r>
        <w:t>s</w:t>
      </w:r>
      <w:r w:rsidRPr="00501C95">
        <w:t xml:space="preserve"> minorías representan al menos el 25% de la población de una municipalidad o de una región determinada.</w:t>
      </w:r>
    </w:p>
    <w:p w:rsidR="002A0D3E" w:rsidRPr="00501C95" w:rsidRDefault="002A0D3E" w:rsidP="002A0D3E">
      <w:pPr>
        <w:pStyle w:val="SingleTxtG"/>
      </w:pPr>
      <w:r w:rsidRPr="00501C95">
        <w:t>8.</w:t>
      </w:r>
      <w:r w:rsidRPr="00501C95">
        <w:tab/>
        <w:t>La</w:t>
      </w:r>
      <w:r w:rsidRPr="00E25BFC">
        <w:t xml:space="preserve"> </w:t>
      </w:r>
      <w:r w:rsidRPr="00E25BFC">
        <w:rPr>
          <w:b/>
        </w:rPr>
        <w:t>Sra. Ploszajska</w:t>
      </w:r>
      <w:r w:rsidRPr="00501C95">
        <w:t xml:space="preserve"> (Polonia) indica que los idiomas minoritarios son considerados como un activo en Polonia, razón por la cual el Estado los protege jurídicamente, en particular en la esfera de la educación.</w:t>
      </w:r>
      <w:r>
        <w:t xml:space="preserve"> </w:t>
      </w:r>
      <w:r w:rsidRPr="00501C95">
        <w:t xml:space="preserve">En el artículo 35 de </w:t>
      </w:r>
      <w:smartTag w:uri="urn:schemas-microsoft-com:office:smarttags" w:element="PersonName">
        <w:smartTagPr>
          <w:attr w:name="ProductID" w:val="la Constituci￳n"/>
        </w:smartTagPr>
        <w:r w:rsidRPr="00501C95">
          <w:t>la Constitución</w:t>
        </w:r>
      </w:smartTag>
      <w:r w:rsidRPr="00501C95">
        <w:t xml:space="preserve"> se prevé que los miembros de las minorías nacionales o étnicas pueden estudiar su idioma materno y seguir estudios en su idioma materno.</w:t>
      </w:r>
      <w:r>
        <w:t xml:space="preserve"> </w:t>
      </w:r>
      <w:r w:rsidRPr="00501C95">
        <w:t xml:space="preserve">Además, en el artículo 17 de </w:t>
      </w:r>
      <w:smartTag w:uri="urn:schemas-microsoft-com:office:smarttags" w:element="PersonName">
        <w:smartTagPr>
          <w:attr w:name="ProductID" w:val="la Ley"/>
        </w:smartTagPr>
        <w:r w:rsidRPr="00501C95">
          <w:t>la Ley</w:t>
        </w:r>
      </w:smartTag>
      <w:r w:rsidRPr="00501C95">
        <w:t xml:space="preserve"> </w:t>
      </w:r>
      <w:r w:rsidRPr="00501C95">
        <w:rPr>
          <w:iCs/>
        </w:rPr>
        <w:t>sobre minorías nacionales y étnicas e idiomas regionales</w:t>
      </w:r>
      <w:r w:rsidRPr="00501C95">
        <w:t xml:space="preserve"> se consagra el derecho de las personas pertenecientes a las minorías a aprender su idioma materno gracias a cursos dictados en ese idioma.</w:t>
      </w:r>
      <w:r>
        <w:t xml:space="preserve"> </w:t>
      </w:r>
      <w:r w:rsidRPr="00501C95">
        <w:t>En dicha ley se prevé asimismo que los establecimientos escolares y las instituciones públicas deben permitir que los alumnos conserven su identidad nacional, étnica, lingüística y religiosa, en particular su idioma, su historia y su cultura.</w:t>
      </w:r>
    </w:p>
    <w:p w:rsidR="002A0D3E" w:rsidRPr="00501C95" w:rsidRDefault="002A0D3E" w:rsidP="002A0D3E">
      <w:pPr>
        <w:pStyle w:val="SingleTxtG"/>
      </w:pPr>
      <w:r w:rsidRPr="00501C95">
        <w:t>9.</w:t>
      </w:r>
      <w:r w:rsidRPr="00501C95">
        <w:tab/>
        <w:t>La Sra.</w:t>
      </w:r>
      <w:r>
        <w:t xml:space="preserve"> </w:t>
      </w:r>
      <w:r w:rsidRPr="00501C95">
        <w:t>Ploszajska indica que en Polonia existen escuelas en que se imparte la enseñanza en los idiomas de los grupos minoritarios y otras que ofrecen cursos complementarios en los idiomas minoritarios, como las escuelas bilingües.</w:t>
      </w:r>
      <w:r>
        <w:t xml:space="preserve"> </w:t>
      </w:r>
      <w:r w:rsidRPr="00501C95">
        <w:t xml:space="preserve">Las clases de enseñanza en idioma minoritario se organizan a partir de </w:t>
      </w:r>
      <w:r>
        <w:t>7</w:t>
      </w:r>
      <w:r w:rsidRPr="00501C95">
        <w:t xml:space="preserve"> alumnos en las escuelas primarias y secundarias y de 14 alumnos en los liceos.</w:t>
      </w:r>
      <w:r>
        <w:t xml:space="preserve"> </w:t>
      </w:r>
      <w:r w:rsidRPr="00501C95">
        <w:t>La administración debe proporcionar manuales escolares en los idiomas minoritarios respectivos.</w:t>
      </w:r>
      <w:r>
        <w:t xml:space="preserve"> </w:t>
      </w:r>
      <w:r w:rsidRPr="00501C95">
        <w:t>En general, las propias minorías se encargan de elaborar dichos manuales, que son financiados por la municipalidad de la localidad interesada.</w:t>
      </w:r>
      <w:r>
        <w:t xml:space="preserve"> </w:t>
      </w:r>
      <w:r w:rsidRPr="00501C95">
        <w:t>El Estado otorga asimismo una subvención a los establecimientos escolares que se esfuerzan por mantener una identidad lingüística.</w:t>
      </w:r>
      <w:r>
        <w:t xml:space="preserve"> </w:t>
      </w:r>
      <w:r w:rsidRPr="00501C95">
        <w:t>Además, desde 2004, los padres pueden solicitar que sus hijos rindan exámenes de fin de ciclo de primaria y secundaria en un idioma minoritario.</w:t>
      </w:r>
    </w:p>
    <w:p w:rsidR="002A0D3E" w:rsidRPr="00501C95" w:rsidRDefault="002A0D3E" w:rsidP="002A0D3E">
      <w:pPr>
        <w:pStyle w:val="SingleTxtG"/>
      </w:pPr>
      <w:r w:rsidRPr="00501C95">
        <w:t>10</w:t>
      </w:r>
      <w:r>
        <w:t>.</w:t>
      </w:r>
      <w:r w:rsidRPr="00501C95">
        <w:tab/>
        <w:t>En cuanto al lugar que ocupan los idiomas de las minorías en los programas escolares, la Sra.</w:t>
      </w:r>
      <w:r>
        <w:t xml:space="preserve"> </w:t>
      </w:r>
      <w:r w:rsidRPr="00501C95">
        <w:t>Ploszajska señala que una fundación privada financia dos escuelas cuyo idioma de enseñanza es el hebreo.</w:t>
      </w:r>
      <w:r>
        <w:t xml:space="preserve"> </w:t>
      </w:r>
      <w:r w:rsidRPr="00501C95">
        <w:t>Además, la minoría checa ha solicitado que se introduzca su idioma como idioma de enseñanza tanto en los parvularios como en la universidad, como ocurre actualmente.</w:t>
      </w:r>
      <w:r>
        <w:t xml:space="preserve"> </w:t>
      </w:r>
      <w:r w:rsidRPr="00501C95">
        <w:t>En cambio, no existe ningún programa de enseñanza en el idioma de las minorías tártara y karaim, que no han manifestado ningún interés en ello.</w:t>
      </w:r>
      <w:r>
        <w:t xml:space="preserve"> </w:t>
      </w:r>
      <w:r w:rsidRPr="00501C95">
        <w:t>Por su parte, el ruso siempre se ha estudiado como idioma extranjero, siendo fácil encontrar personal docente de habla rusa, habida cuenta del elevado número de rusoparlantes en el país.</w:t>
      </w:r>
    </w:p>
    <w:p w:rsidR="00374AB4" w:rsidRDefault="002A0D3E" w:rsidP="002A0D3E">
      <w:pPr>
        <w:pStyle w:val="SingleTxtG"/>
      </w:pPr>
      <w:r w:rsidRPr="00501C95">
        <w:t>11.</w:t>
      </w:r>
      <w:r w:rsidRPr="00501C95">
        <w:tab/>
        <w:t>Debido a la diversidad de los orígenes étnicos y nacionales de los alumnos, éstos están expuestos al pluriculturalismo desde la escuela primaria.</w:t>
      </w:r>
      <w:r>
        <w:t xml:space="preserve"> </w:t>
      </w:r>
      <w:r w:rsidRPr="00501C95">
        <w:t>Desde el inicio del año escolar de 2009, se impartirán en las escuelas cursos destinados a promover el patrimonio cultural de las diferentes minorías del país.</w:t>
      </w:r>
      <w:r>
        <w:t xml:space="preserve"> </w:t>
      </w:r>
      <w:r w:rsidRPr="00501C95">
        <w:t xml:space="preserve">Además, </w:t>
      </w:r>
      <w:smartTag w:uri="urn:schemas-microsoft-com:office:smarttags" w:element="PersonName">
        <w:smartTagPr>
          <w:attr w:name="ProductID" w:val="la Comisi￳n Mixta"/>
        </w:smartTagPr>
        <w:r w:rsidRPr="00501C95">
          <w:t>la Comisión Mixta</w:t>
        </w:r>
      </w:smartTag>
      <w:r w:rsidRPr="00501C95">
        <w:t xml:space="preserve"> del Gobierno y las </w:t>
      </w:r>
    </w:p>
    <w:p w:rsidR="002A0D3E" w:rsidRPr="00501C95" w:rsidRDefault="002A0D3E" w:rsidP="002A0D3E">
      <w:pPr>
        <w:pStyle w:val="SingleTxtG"/>
      </w:pPr>
      <w:r w:rsidRPr="00501C95">
        <w:t>Minorías Nacionales y Étnicas trabaja en colaboración con los diferentes Ministerios así como con los servicios competentes de las autoridades locales en la redacción de documentos estratégicos en favor de las minorías lituana y alemana, con miras a analizar con precisión la situación de estas minorías y elaborar directrices para mejorar sus condiciones de vida.</w:t>
      </w:r>
      <w:r>
        <w:t xml:space="preserve"> </w:t>
      </w:r>
      <w:r w:rsidRPr="00501C95">
        <w:t>El objetivo deseado es hacer lo propio para todas las minorías del país.</w:t>
      </w:r>
    </w:p>
    <w:p w:rsidR="002A0D3E" w:rsidRPr="00501C95" w:rsidRDefault="002A0D3E" w:rsidP="002A0D3E">
      <w:pPr>
        <w:pStyle w:val="SingleTxtG"/>
      </w:pPr>
      <w:r w:rsidRPr="00501C95">
        <w:t>12.</w:t>
      </w:r>
      <w:r w:rsidRPr="00501C95">
        <w:tab/>
        <w:t>La Sra.</w:t>
      </w:r>
      <w:r>
        <w:t xml:space="preserve"> </w:t>
      </w:r>
      <w:r w:rsidRPr="00501C95">
        <w:t>Ploszajska dice que el idioma romaní es un idioma oral del que existen varios dialectos.</w:t>
      </w:r>
      <w:r>
        <w:t xml:space="preserve"> </w:t>
      </w:r>
      <w:r w:rsidRPr="00501C95">
        <w:t>En 2008 el Consejo de Europa inició un programa con miras a su codificación, en cuyo marco se creó un equipo especial, integrado por miembros de las diversas comunidades romaníes así como del Ministerio de Educación Nacional.</w:t>
      </w:r>
      <w:r>
        <w:t xml:space="preserve"> </w:t>
      </w:r>
      <w:r w:rsidRPr="00501C95">
        <w:t>Este equipo ha llegado a elaborar manuales escolares en romaní polaco, que se han distribuido gratuitamente a los alumnos romaníes.</w:t>
      </w:r>
      <w:r>
        <w:t xml:space="preserve"> </w:t>
      </w:r>
      <w:r w:rsidRPr="00501C95">
        <w:t>En un principio los padres romaníes se mostraron reticentes a que sus hijos fuesen escolarizados en las escuelas de enseñanza general, porque temían que éstos perdieran su identidad cultural y su idioma.</w:t>
      </w:r>
      <w:r>
        <w:t xml:space="preserve"> </w:t>
      </w:r>
      <w:r w:rsidRPr="00501C95">
        <w:t>En el marco de una iniciativa experimental, se ha creado un parvulario administrado por miembros de la comunidad romaní para acoger a estos niños así como una escuela privada subvencionada por el Estado.</w:t>
      </w:r>
    </w:p>
    <w:p w:rsidR="002A0D3E" w:rsidRPr="00501C95" w:rsidRDefault="002A0D3E" w:rsidP="002A0D3E">
      <w:pPr>
        <w:pStyle w:val="SingleTxtG"/>
      </w:pPr>
      <w:r w:rsidRPr="00501C95">
        <w:t>13</w:t>
      </w:r>
      <w:r>
        <w:t>.</w:t>
      </w:r>
      <w:r w:rsidRPr="00501C95">
        <w:tab/>
        <w:t xml:space="preserve">El </w:t>
      </w:r>
      <w:r w:rsidRPr="00E25BFC">
        <w:rPr>
          <w:b/>
        </w:rPr>
        <w:t>Sr. Rzemieniewski</w:t>
      </w:r>
      <w:r w:rsidRPr="00501C95">
        <w:t xml:space="preserve"> (Polonia) dice que en el Programa para </w:t>
      </w:r>
      <w:smartTag w:uri="urn:schemas-microsoft-com:office:smarttags" w:element="PersonName">
        <w:smartTagPr>
          <w:attr w:name="ProductID" w:val="la Comunidad Roman￭"/>
        </w:smartTagPr>
        <w:r w:rsidRPr="00501C95">
          <w:t>la Comunidad Romaní</w:t>
        </w:r>
      </w:smartTag>
      <w:r w:rsidRPr="00501C95">
        <w:t xml:space="preserve"> en Polonia se hace hincapié en la educación para que los niños de esta minoría obtengan mejores resultados escolares.</w:t>
      </w:r>
      <w:r>
        <w:t xml:space="preserve"> </w:t>
      </w:r>
      <w:r w:rsidRPr="00501C95">
        <w:t xml:space="preserve">Este programa se basa en la creación de </w:t>
      </w:r>
      <w:r w:rsidRPr="00501C95">
        <w:rPr>
          <w:bCs/>
        </w:rPr>
        <w:t xml:space="preserve">auxiliares docentes especializados en alumnos romaníes </w:t>
      </w:r>
      <w:r w:rsidRPr="00501C95">
        <w:t xml:space="preserve">así como de </w:t>
      </w:r>
      <w:r w:rsidRPr="00501C95">
        <w:rPr>
          <w:bCs/>
        </w:rPr>
        <w:t>maestros de apoyo</w:t>
      </w:r>
      <w:r w:rsidRPr="00501C95">
        <w:t>, que dedican una atención especial a los alumnos romaníes.</w:t>
      </w:r>
      <w:r>
        <w:t xml:space="preserve"> </w:t>
      </w:r>
      <w:r w:rsidRPr="00501C95">
        <w:t>Éstos desempeñan además el papel de intermediarios entre las familias y los profesores, garantizando que los niños tengan un buen rendimiento en la escuela y comprendan mejor las dificultades con que tropiezan al hablar su idioma.</w:t>
      </w:r>
      <w:r>
        <w:t xml:space="preserve"> </w:t>
      </w:r>
      <w:r w:rsidRPr="00501C95">
        <w:t>Un centenar de alumnos romaníes han recibido becas, siendo el objetivo del Ministerio de Educación sensibilizar a los miembros de esta comunidad respecto de las ventajas de la instrucción, que es el único medio para abrirse un lugar en el mercado del trabajo actual.</w:t>
      </w:r>
      <w:r>
        <w:t xml:space="preserve"> </w:t>
      </w:r>
      <w:r w:rsidRPr="00501C95">
        <w:t>Estas diversas medidas han resultado fructíferas, porque desde su aplicación la tasa de escolarización de los alumnos de la comunidad romaní ha aumentado considerablemente.</w:t>
      </w:r>
    </w:p>
    <w:p w:rsidR="002A0D3E" w:rsidRPr="00501C95" w:rsidRDefault="002A0D3E" w:rsidP="002A0D3E">
      <w:pPr>
        <w:pStyle w:val="SingleTxtG"/>
      </w:pPr>
      <w:r w:rsidRPr="00501C95">
        <w:t>14.</w:t>
      </w:r>
      <w:r w:rsidRPr="00501C95">
        <w:tab/>
        <w:t>Las clases exclusivamente reservadas a los romaníes creadas por la mayoría de los países europeos para favorecer la escolarización de los niños de esta comunidad han sido finalmente estimadas nefastas porque aíslan a estos niños del resto de la población y les impiden, por razones lingüísticas, seguir estudios en las clases frecuentadas por los alumnos de etnia polaca.</w:t>
      </w:r>
      <w:r>
        <w:t xml:space="preserve"> </w:t>
      </w:r>
      <w:r w:rsidRPr="00501C95">
        <w:t>Así pues, el Ministerio de Educación Nacional ha prohibido la creación de nuevas clases de este tipo y ha suprimido progresivamente la mayoría de las clases existentes.</w:t>
      </w:r>
      <w:r>
        <w:t xml:space="preserve"> </w:t>
      </w:r>
      <w:r w:rsidRPr="00501C95">
        <w:t>Actualmente menos de un centenar de alumnos frecuenta estas clases, en las regiones donde las comunidades romaníes son más numerosas, y está previsto que todos los niños romaníes se hayan integrado en el sistema educativo tradicional y estudien al lado de los demás niños polacos a partir del inicio del año escolar en septiembre de 2010.</w:t>
      </w:r>
    </w:p>
    <w:p w:rsidR="002A0D3E" w:rsidRPr="00501C95" w:rsidRDefault="002A0D3E" w:rsidP="002A0D3E">
      <w:pPr>
        <w:pStyle w:val="SingleTxtG"/>
      </w:pPr>
      <w:r w:rsidRPr="00501C95">
        <w:t>15.</w:t>
      </w:r>
      <w:r w:rsidRPr="00501C95">
        <w:tab/>
        <w:t>Con todo, se plantea un nuevo problema en materia de la educación de los jóvenes romaníes de Polonia: en efecto, algunos de ellos que han migrado con sus familias a los países escandinavos y a las islas británicas regresan actualmente a Polonia sin reunir los conocimientos escolares suficientes para integrarse en los establecimientos de enseñanza tradicional.</w:t>
      </w:r>
      <w:r>
        <w:t xml:space="preserve"> </w:t>
      </w:r>
      <w:r w:rsidRPr="00501C95">
        <w:t>Las autoridades competentes deberán encontrar la manera de reubicar a estos alumnos en el nivel correspondiente sin crear nuevas "clases romaníes".</w:t>
      </w:r>
    </w:p>
    <w:p w:rsidR="00374AB4" w:rsidRDefault="002A0D3E" w:rsidP="002A0D3E">
      <w:pPr>
        <w:pStyle w:val="SingleTxtG"/>
      </w:pPr>
      <w:r w:rsidRPr="00501C95">
        <w:t>16.</w:t>
      </w:r>
      <w:r w:rsidRPr="00501C95">
        <w:tab/>
        <w:t>Para la preservación de la lengua romaní, que ha sufrido los embates del inglés y del polaco, ha sido necesario codificarla, aunque también para responder a las necesidades y a las exigencias del mundo contemporáneo y de la nueva generación.</w:t>
      </w:r>
      <w:r>
        <w:t xml:space="preserve"> </w:t>
      </w:r>
      <w:r w:rsidRPr="00501C95">
        <w:t xml:space="preserve">Así, actualmente </w:t>
      </w:r>
    </w:p>
    <w:p w:rsidR="00374AB4" w:rsidRDefault="00374AB4" w:rsidP="002A0D3E">
      <w:pPr>
        <w:pStyle w:val="SingleTxtG"/>
      </w:pPr>
    </w:p>
    <w:p w:rsidR="002A0D3E" w:rsidRPr="00501C95" w:rsidRDefault="002A0D3E" w:rsidP="002A0D3E">
      <w:pPr>
        <w:pStyle w:val="SingleTxtG"/>
      </w:pPr>
      <w:r w:rsidRPr="00501C95">
        <w:t>existen páginas web e historietas en romaní así como diversas publicaciones que reproducen en un idioma jurídico romaní, que ha sido necesario inventar, textos legislativos relativos a esta comunidad.</w:t>
      </w:r>
      <w:r>
        <w:t xml:space="preserve"> </w:t>
      </w:r>
      <w:r w:rsidRPr="00501C95">
        <w:t xml:space="preserve">Por último, a partir de 2010 se impartirán cursos de idioma romaní a los estudiantes de pedagogía de </w:t>
      </w:r>
      <w:smartTag w:uri="urn:schemas-microsoft-com:office:smarttags" w:element="PersonName">
        <w:smartTagPr>
          <w:attr w:name="ProductID" w:val="la Universidad"/>
        </w:smartTagPr>
        <w:r w:rsidRPr="00501C95">
          <w:t>la Universidad</w:t>
        </w:r>
      </w:smartTag>
      <w:r w:rsidRPr="00501C95">
        <w:t xml:space="preserve"> de Cracovia, lo que facilitará sus intercambios con sus futuros alumnos pertenecientes a esta comunidad.</w:t>
      </w:r>
    </w:p>
    <w:p w:rsidR="002A0D3E" w:rsidRPr="00501C95" w:rsidRDefault="002A0D3E" w:rsidP="002A0D3E">
      <w:pPr>
        <w:pStyle w:val="SingleTxtG"/>
      </w:pPr>
      <w:r w:rsidRPr="00501C95">
        <w:t>17.</w:t>
      </w:r>
      <w:r w:rsidRPr="00501C95">
        <w:tab/>
        <w:t xml:space="preserve">La </w:t>
      </w:r>
      <w:r w:rsidRPr="00E56C9A">
        <w:rPr>
          <w:b/>
        </w:rPr>
        <w:t>Sra. Radziszewska</w:t>
      </w:r>
      <w:r w:rsidRPr="00501C95">
        <w:t xml:space="preserve"> (Polonia) dice que la enseñanza es gratuita y obligatoria desde los </w:t>
      </w:r>
      <w:r>
        <w:t>6</w:t>
      </w:r>
      <w:r w:rsidRPr="00501C95">
        <w:t xml:space="preserve"> hasta los 15 años y que, a partir de 2010, se pondrá en marcha un proyecto piloto para la enseñanza de los niños romaníes de </w:t>
      </w:r>
      <w:r>
        <w:t>3</w:t>
      </w:r>
      <w:r w:rsidRPr="00501C95">
        <w:t xml:space="preserve"> a </w:t>
      </w:r>
      <w:r>
        <w:t>6</w:t>
      </w:r>
      <w:r w:rsidRPr="00501C95">
        <w:t xml:space="preserve"> años de edad.</w:t>
      </w:r>
    </w:p>
    <w:p w:rsidR="002A0D3E" w:rsidRPr="00501C95" w:rsidRDefault="002A0D3E" w:rsidP="002A0D3E">
      <w:pPr>
        <w:pStyle w:val="SingleTxtG"/>
      </w:pPr>
      <w:r w:rsidRPr="00501C95">
        <w:t>18.</w:t>
      </w:r>
      <w:r w:rsidRPr="00501C95">
        <w:tab/>
        <w:t xml:space="preserve">El </w:t>
      </w:r>
      <w:r w:rsidRPr="00E56C9A">
        <w:rPr>
          <w:b/>
        </w:rPr>
        <w:t>Sr. Wydra</w:t>
      </w:r>
      <w:r w:rsidRPr="00501C95">
        <w:t xml:space="preserve"> (Polonia) dice que nada se opone a que un miembro de la comunidad romaní integre las fuerzas policiales, pero que actualmente ningún agente de policía es de origen romaní.</w:t>
      </w:r>
      <w:r>
        <w:t xml:space="preserve"> </w:t>
      </w:r>
      <w:r w:rsidRPr="00501C95">
        <w:t>Ello no significa que la policía sea indiferente a la suerte de los romaníes, por el contrario, funcionarios de policía experimentados que se han granjeado la confianza de esta comunidad se encargan de su seguridad y procuran detectar cualquier forma de discriminación o intolerancia que la afecte.</w:t>
      </w:r>
    </w:p>
    <w:p w:rsidR="002A0D3E" w:rsidRPr="00501C95" w:rsidRDefault="002A0D3E" w:rsidP="002A0D3E">
      <w:pPr>
        <w:pStyle w:val="SingleTxtG"/>
      </w:pPr>
      <w:r w:rsidRPr="00501C95">
        <w:t>19.</w:t>
      </w:r>
      <w:r w:rsidRPr="00501C95">
        <w:tab/>
        <w:t>El establecimiento de perfiles étnicos está prohibido por la ley y todo agente uniformado sospechoso de haber recurrido a él debe desistir de ello.</w:t>
      </w:r>
      <w:r>
        <w:t xml:space="preserve"> </w:t>
      </w:r>
      <w:r w:rsidRPr="00501C95">
        <w:t>En efecto, el Código Deontológico de la policía exige que los funcionarios se comporten de manera imparcial y que se abstengan de toda consideración racial, religiosa, política o vinculada al origen étnico de las personas en el ejercicio de sus funciones.</w:t>
      </w:r>
      <w:r>
        <w:t xml:space="preserve"> </w:t>
      </w:r>
      <w:r w:rsidRPr="00501C95">
        <w:t>Las personas que estimen que han sido perjudicadas pueden interponer una queja ante la policía o recurrir al Mediador, que actuará de manera independiente.</w:t>
      </w:r>
      <w:r>
        <w:t xml:space="preserve"> </w:t>
      </w:r>
      <w:r w:rsidRPr="00501C95">
        <w:t>Se entabla acción penal sistemáticamente en los casos de abuso comprobado de poder por parte de un miembro de las fuerzas del orden.</w:t>
      </w:r>
    </w:p>
    <w:p w:rsidR="002A0D3E" w:rsidRPr="00501C95" w:rsidRDefault="002A0D3E" w:rsidP="002A0D3E">
      <w:pPr>
        <w:pStyle w:val="SingleTxtG"/>
      </w:pPr>
      <w:r w:rsidRPr="00501C95">
        <w:t>20.</w:t>
      </w:r>
      <w:r w:rsidRPr="00501C95">
        <w:tab/>
        <w:t>Se ha llevado a cabo una campaña de lucha contra la discriminación en el seno de la policía y se han organizado cursos de formación destinados a los agentes de policía para prevenir toda incitación al odio racial o a la xenofobia, así como todo comportamiento discriminatorio vinculado con el origen racial o étnico de la víctima, o con su sexo o su orientación sexual.</w:t>
      </w:r>
    </w:p>
    <w:p w:rsidR="002A0D3E" w:rsidRPr="00501C95" w:rsidRDefault="002A0D3E" w:rsidP="002A0D3E">
      <w:pPr>
        <w:pStyle w:val="SingleTxtG"/>
      </w:pPr>
      <w:r w:rsidRPr="00501C95">
        <w:t>21.</w:t>
      </w:r>
      <w:r w:rsidRPr="00501C95">
        <w:tab/>
        <w:t xml:space="preserve">La </w:t>
      </w:r>
      <w:r w:rsidRPr="00E56C9A">
        <w:rPr>
          <w:b/>
        </w:rPr>
        <w:t>Sra. Glowaka-Mazur</w:t>
      </w:r>
      <w:r w:rsidRPr="00501C95">
        <w:t xml:space="preserve"> (Polonia) dice que el número de quejas procedentes de la comunidad romaní por rechazarse su acceso a servicios básicos es ínfimo.</w:t>
      </w:r>
      <w:r>
        <w:t xml:space="preserve"> </w:t>
      </w:r>
      <w:r w:rsidRPr="00501C95">
        <w:t>Cita algunos ejemplos en los que unos comerciantes negaban el acceso a los romaníes a sus establecimientos comerciales.</w:t>
      </w:r>
      <w:r>
        <w:t xml:space="preserve"> </w:t>
      </w:r>
      <w:r w:rsidRPr="00501C95">
        <w:t>El Ministerio del Interior ha intervenido sistemáticamente mediante la designación de un Mediador que contribuya a solucionar estos asuntos esencialmente privados.</w:t>
      </w:r>
      <w:r>
        <w:t xml:space="preserve"> </w:t>
      </w:r>
      <w:r w:rsidRPr="00501C95">
        <w:t>En todos los casos los romaníes han obtenido una reparación.</w:t>
      </w:r>
    </w:p>
    <w:p w:rsidR="002A0D3E" w:rsidRPr="00501C95" w:rsidRDefault="002A0D3E" w:rsidP="002A0D3E">
      <w:pPr>
        <w:pStyle w:val="SingleTxtG"/>
      </w:pPr>
      <w:r w:rsidRPr="00501C95">
        <w:t>22.</w:t>
      </w:r>
      <w:r w:rsidRPr="00501C95">
        <w:tab/>
        <w:t xml:space="preserve">La </w:t>
      </w:r>
      <w:r w:rsidRPr="00E56C9A">
        <w:rPr>
          <w:b/>
        </w:rPr>
        <w:t>Sra. Gorzynska</w:t>
      </w:r>
      <w:r w:rsidRPr="00501C95">
        <w:t xml:space="preserve"> (Polonia) dice que en virtud del artículo 91 de </w:t>
      </w:r>
      <w:smartTag w:uri="urn:schemas-microsoft-com:office:smarttags" w:element="PersonName">
        <w:smartTagPr>
          <w:attr w:name="ProductID" w:val="la Constituci￳n"/>
        </w:smartTagPr>
        <w:r w:rsidRPr="00501C95">
          <w:t>la Constitución</w:t>
        </w:r>
      </w:smartTag>
      <w:r w:rsidRPr="00501C95">
        <w:t>, los instrumentos internacionales son parte del ordenamiento jurídico interno y son directamente aplicables.</w:t>
      </w:r>
      <w:r>
        <w:t xml:space="preserve"> </w:t>
      </w:r>
      <w:r w:rsidRPr="00501C95">
        <w:t xml:space="preserve">En </w:t>
      </w:r>
      <w:smartTag w:uri="urn:schemas-microsoft-com:office:smarttags" w:element="PersonName">
        <w:smartTagPr>
          <w:attr w:name="ProductID" w:val="la Constituci￳n"/>
        </w:smartTagPr>
        <w:r w:rsidRPr="00501C95">
          <w:t>la Constitución</w:t>
        </w:r>
      </w:smartTag>
      <w:r w:rsidRPr="00501C95">
        <w:t xml:space="preserve"> se estipula además que </w:t>
      </w:r>
      <w:smartTag w:uri="urn:schemas-microsoft-com:office:smarttags" w:element="PersonName">
        <w:smartTagPr>
          <w:attr w:name="ProductID" w:val="la Rep￺blica"/>
        </w:smartTagPr>
        <w:r w:rsidRPr="00501C95">
          <w:t>la República</w:t>
        </w:r>
      </w:smartTag>
      <w:r w:rsidRPr="00501C95">
        <w:t xml:space="preserve"> de Polonia respeta el derecho internacional.</w:t>
      </w:r>
      <w:r>
        <w:t xml:space="preserve"> </w:t>
      </w:r>
      <w:r w:rsidRPr="00501C95">
        <w:t xml:space="preserve">Polonia es miembro de </w:t>
      </w:r>
      <w:smartTag w:uri="urn:schemas-microsoft-com:office:smarttags" w:element="PersonName">
        <w:smartTagPr>
          <w:attr w:name="ProductID" w:val="la Uni￳n Europea"/>
        </w:smartTagPr>
        <w:r w:rsidRPr="00501C95">
          <w:t>la Unión Europea</w:t>
        </w:r>
      </w:smartTag>
      <w:r w:rsidRPr="00501C95">
        <w:t xml:space="preserve"> desde 2004, y todos lo convenios europeos son parte de su ordenamiento jurídico interno.</w:t>
      </w:r>
      <w:r>
        <w:t xml:space="preserve"> </w:t>
      </w:r>
      <w:r w:rsidRPr="00501C95">
        <w:t>Los instrumentos internacionales prevalecen sobre la legislación interna.</w:t>
      </w:r>
      <w:r>
        <w:t xml:space="preserve"> </w:t>
      </w:r>
      <w:r w:rsidRPr="00501C95">
        <w:t xml:space="preserve">Desde junio de 2007 Polonia prepara un catálogo de todas las decisiones de los tribunales, en que consta efectivamente que ningún tribunal ha hecho referencia a </w:t>
      </w:r>
      <w:smartTag w:uri="urn:schemas-microsoft-com:office:smarttags" w:element="PersonName">
        <w:smartTagPr>
          <w:attr w:name="ProductID" w:val="la Convenci￳n Internacional"/>
        </w:smartTagPr>
        <w:r w:rsidRPr="00501C95">
          <w:t xml:space="preserve">la </w:t>
        </w:r>
        <w:r w:rsidRPr="00501C95">
          <w:rPr>
            <w:bCs/>
            <w:lang w:val="es-ES_tradnl"/>
          </w:rPr>
          <w:t>Convención Internacional</w:t>
        </w:r>
      </w:smartTag>
      <w:r w:rsidRPr="00501C95">
        <w:rPr>
          <w:bCs/>
          <w:lang w:val="es-ES_tradnl"/>
        </w:rPr>
        <w:t xml:space="preserve"> sobre </w:t>
      </w:r>
      <w:smartTag w:uri="urn:schemas-microsoft-com:office:smarttags" w:element="PersonName">
        <w:smartTagPr>
          <w:attr w:name="ProductID" w:val="la Eliminaci￳n"/>
        </w:smartTagPr>
        <w:r w:rsidRPr="00501C95">
          <w:rPr>
            <w:bCs/>
            <w:lang w:val="es-ES_tradnl"/>
          </w:rPr>
          <w:t>la Eliminación</w:t>
        </w:r>
      </w:smartTag>
      <w:r w:rsidRPr="00501C95">
        <w:rPr>
          <w:bCs/>
          <w:lang w:val="es-ES_tradnl"/>
        </w:rPr>
        <w:t xml:space="preserve"> de todas las Formas de Discriminación Racial</w:t>
      </w:r>
      <w:r w:rsidRPr="00501C95">
        <w:t xml:space="preserve"> en sus decisiones.</w:t>
      </w:r>
      <w:r>
        <w:t xml:space="preserve"> </w:t>
      </w:r>
      <w:r w:rsidRPr="00501C95">
        <w:t>Sin embargo, es muy posible que los tribunales no hayan comunicado todas sus decisiones.</w:t>
      </w:r>
      <w:r>
        <w:t xml:space="preserve"> </w:t>
      </w:r>
      <w:r w:rsidRPr="00501C95">
        <w:t xml:space="preserve">Si bien los tribunales no han hecho referencia a </w:t>
      </w:r>
      <w:smartTag w:uri="urn:schemas-microsoft-com:office:smarttags" w:element="PersonName">
        <w:smartTagPr>
          <w:attr w:name="ProductID" w:val="la Convenci￳n"/>
        </w:smartTagPr>
        <w:r w:rsidRPr="00501C95">
          <w:t>la Convención</w:t>
        </w:r>
      </w:smartTag>
      <w:r w:rsidRPr="00501C95">
        <w:t xml:space="preserve">, si se refieren con mucha frecuencia al Convenio Europeo para </w:t>
      </w:r>
      <w:smartTag w:uri="urn:schemas-microsoft-com:office:smarttags" w:element="PersonName">
        <w:smartTagPr>
          <w:attr w:name="ProductID" w:val="la Protecci￳n"/>
        </w:smartTagPr>
        <w:r w:rsidRPr="00501C95">
          <w:t>la Protección</w:t>
        </w:r>
      </w:smartTag>
      <w:r w:rsidRPr="00501C95">
        <w:t xml:space="preserve"> de los Derechos Humanos.</w:t>
      </w:r>
      <w:r>
        <w:t xml:space="preserve"> </w:t>
      </w:r>
      <w:r w:rsidRPr="00501C95">
        <w:t>Polonia reconoce que es importante sensibilizar a los jueces respecto de las disposiciones de los instrumentos internacionales relativos a la discriminación racial para que se refieran más a ellos.</w:t>
      </w:r>
      <w:r>
        <w:t xml:space="preserve"> </w:t>
      </w:r>
      <w:r w:rsidRPr="00501C95">
        <w:t>Los delitos y crímenes por motivos racistas son sistemáticamente objeto de acciones judiciales.</w:t>
      </w:r>
      <w:r>
        <w:t xml:space="preserve"> </w:t>
      </w:r>
      <w:r w:rsidRPr="00501C95">
        <w:t xml:space="preserve">En virtud del artículo 118 del Código Penal, todo o crimen racista que haya provocado la muerte de la víctima es susceptible de una pena de </w:t>
      </w:r>
      <w:smartTag w:uri="urn:schemas-microsoft-com:office:smarttags" w:element="metricconverter">
        <w:smartTagPr>
          <w:attr w:name="ProductID" w:val="12 a"/>
        </w:smartTagPr>
        <w:r w:rsidRPr="00501C95">
          <w:t>12 a</w:t>
        </w:r>
      </w:smartTag>
      <w:r w:rsidRPr="00501C95">
        <w:t xml:space="preserve"> 25 años de prisión.</w:t>
      </w:r>
      <w:r>
        <w:t xml:space="preserve"> </w:t>
      </w:r>
      <w:r w:rsidRPr="00501C95">
        <w:t>En el artículo 256 del Código Penal se reprime la propaganda en favor del fascismo y de otros sistemas estatales totalitarios así como la incitación al odio fundado en las diferencias étnicas o raciales.</w:t>
      </w:r>
      <w:r>
        <w:t xml:space="preserve"> </w:t>
      </w:r>
      <w:r w:rsidRPr="00501C95">
        <w:t>En el artículo 257 del mismo Código se penaliza el insulto público a personas físicas debido a su pertenencia a determinada nacionalidad, etnia, raza o religión.</w:t>
      </w:r>
      <w:r>
        <w:t xml:space="preserve"> </w:t>
      </w:r>
      <w:r w:rsidRPr="00501C95">
        <w:t>Por último, la motivación racista de un acto se considera en todo caso como una circunstancia agravante.</w:t>
      </w:r>
    </w:p>
    <w:p w:rsidR="002A0D3E" w:rsidRPr="00501C95" w:rsidRDefault="002A0D3E" w:rsidP="002A0D3E">
      <w:pPr>
        <w:pStyle w:val="SingleTxtG"/>
      </w:pPr>
      <w:r w:rsidRPr="00501C95">
        <w:t>23.</w:t>
      </w:r>
      <w:r w:rsidRPr="00501C95">
        <w:tab/>
        <w:t xml:space="preserve">La </w:t>
      </w:r>
      <w:r w:rsidRPr="00E56C9A">
        <w:rPr>
          <w:b/>
        </w:rPr>
        <w:t>Sra. Radziszewska</w:t>
      </w:r>
      <w:r w:rsidRPr="00501C95">
        <w:t xml:space="preserve"> (Polonia) dice que se prevé enmendar el artículo 256 del Código Penal para sancionar a los sitios web de propaganda nazi.</w:t>
      </w:r>
      <w:r>
        <w:t xml:space="preserve"> </w:t>
      </w:r>
      <w:r w:rsidRPr="00501C95">
        <w:t xml:space="preserve">En cuanto a la difusión de </w:t>
      </w:r>
      <w:smartTag w:uri="urn:schemas-microsoft-com:office:smarttags" w:element="PersonName">
        <w:smartTagPr>
          <w:attr w:name="ProductID" w:val="la Convenci￳n"/>
        </w:smartTagPr>
        <w:r w:rsidRPr="00501C95">
          <w:t>la Convención</w:t>
        </w:r>
      </w:smartTag>
      <w:r w:rsidRPr="00501C95">
        <w:t xml:space="preserve"> en el sistema judicial, señala que </w:t>
      </w:r>
      <w:smartTag w:uri="urn:schemas-microsoft-com:office:smarttags" w:element="PersonName">
        <w:smartTagPr>
          <w:attr w:name="ProductID" w:val="la Uni￳n Europea"/>
        </w:smartTagPr>
        <w:r w:rsidRPr="00501C95">
          <w:t>la Unión Europea</w:t>
        </w:r>
      </w:smartTag>
      <w:r w:rsidRPr="00501C95">
        <w:t xml:space="preserve"> ha desbloqueado créditos para que Polonia pueda formar a los magistrados y sensibilizarlos respecto de las cuestiones relativas a los derechos humanos y la discriminación racial.</w:t>
      </w:r>
    </w:p>
    <w:p w:rsidR="002A0D3E" w:rsidRPr="00501C95" w:rsidRDefault="002A0D3E" w:rsidP="002A0D3E">
      <w:pPr>
        <w:pStyle w:val="SingleTxtG"/>
      </w:pPr>
      <w:r w:rsidRPr="00501C95">
        <w:t>24.</w:t>
      </w:r>
      <w:r w:rsidRPr="00501C95">
        <w:tab/>
        <w:t xml:space="preserve">La </w:t>
      </w:r>
      <w:r w:rsidRPr="00E56C9A">
        <w:rPr>
          <w:b/>
        </w:rPr>
        <w:t>Sra. Petryna</w:t>
      </w:r>
      <w:r w:rsidRPr="00501C95">
        <w:t xml:space="preserve"> (Polonia) dice que el número de acciones judiciales entabladas por delitos y crímenes de motivación racista ha aumentado netamente desde 2008, lo que se explica en particular por los factores siguientes: la mejor sensibilización de la opinión pública a la lucha contra la discriminación racial y el racismo y el establecimiento de mecanismos eficaces que facilitan la presentación de quejas y la detección de los crímenes y delitos de que se trata.</w:t>
      </w:r>
      <w:r>
        <w:t xml:space="preserve"> </w:t>
      </w:r>
      <w:r w:rsidRPr="00501C95">
        <w:t>Se observa asimismo un aumento del número de casos relativos a la publicación de declaraciones y material racista en Internet.</w:t>
      </w:r>
      <w:r>
        <w:t xml:space="preserve"> </w:t>
      </w:r>
      <w:r w:rsidRPr="00501C95">
        <w:t>Varios factores explican también este fenómeno, en particular el aumento considerable del número de internautas y una mejor vigilancia de los sitios por parte de la policía.</w:t>
      </w:r>
      <w:r>
        <w:t xml:space="preserve"> </w:t>
      </w:r>
      <w:r w:rsidRPr="00501C95">
        <w:t>De hecho, es lamentable que algunos casos relativos a declaraciones racistas en la web no sean objeto de condena alguna, pero suele ser muy difícil identificar a sus autores, pues muchos servidores se encuentran ubicados en territorios de otros Estados donde no puede adoptarse ninguna medida, en nombre de la defensa de la libertad de expresión.</w:t>
      </w:r>
      <w:r>
        <w:t xml:space="preserve"> </w:t>
      </w:r>
      <w:r w:rsidRPr="00501C95">
        <w:t>En cuanto a las organizaciones que se dedican a actividades xenófobas y racistas, el Ministerio Público ha realizado muchas investigaciones de conformidad con las medidas recomendadas en el Programa nacional de lucha contra la discriminación racial, la xenofobia y las formas conexas de intolerancia de 2004-2009.</w:t>
      </w:r>
      <w:r>
        <w:t xml:space="preserve"> </w:t>
      </w:r>
      <w:r w:rsidRPr="00501C95">
        <w:t>En dicho Programa se prevé retirar el estatuto jurídico a las organizaciones racistas.</w:t>
      </w:r>
      <w:r>
        <w:t xml:space="preserve"> </w:t>
      </w:r>
      <w:r w:rsidRPr="00501C95">
        <w:t>Cuando se entablan acciones en este sentido, resulta con frecuencia difícil recabar pruebas sobre las actividades racistas de las organizaciones y el único medio de disolverlas es condenando a sus miembros fundadores.</w:t>
      </w:r>
    </w:p>
    <w:p w:rsidR="002A0D3E" w:rsidRPr="00501C95" w:rsidRDefault="002A0D3E" w:rsidP="002A0D3E">
      <w:pPr>
        <w:pStyle w:val="SingleTxtG"/>
      </w:pPr>
      <w:r w:rsidRPr="00501C95">
        <w:t>25.</w:t>
      </w:r>
      <w:r w:rsidRPr="00501C95">
        <w:tab/>
        <w:t>También ha aumentado el número de agresiones contra extranjeros.</w:t>
      </w:r>
      <w:r>
        <w:t xml:space="preserve"> </w:t>
      </w:r>
      <w:r w:rsidRPr="00501C95">
        <w:t>En la mayoría de los casos, las víctimas son personas de origen africano.</w:t>
      </w:r>
      <w:r>
        <w:t xml:space="preserve"> </w:t>
      </w:r>
      <w:r w:rsidRPr="00501C95">
        <w:t>También en esta esfera, todos los casos son objeto de investigaciones y dan lugar a condenas.</w:t>
      </w:r>
      <w:r>
        <w:t xml:space="preserve"> </w:t>
      </w:r>
      <w:r w:rsidRPr="00501C95">
        <w:t>En cuanto al problema del racismo en los deportes, si se descubre a os culpables, se les entabla asimismo acción judicial.</w:t>
      </w:r>
      <w:r>
        <w:t xml:space="preserve"> </w:t>
      </w:r>
      <w:r w:rsidRPr="00501C95">
        <w:t>A la fecha se han dictado cuatro condenas contra aficionados que han proferido insultos racistas en estadios de fútbol.</w:t>
      </w:r>
    </w:p>
    <w:p w:rsidR="00374AB4" w:rsidRDefault="002A0D3E" w:rsidP="002A0D3E">
      <w:pPr>
        <w:pStyle w:val="SingleTxtG"/>
      </w:pPr>
      <w:r w:rsidRPr="00501C95">
        <w:t>26.</w:t>
      </w:r>
      <w:r w:rsidRPr="00501C95">
        <w:tab/>
        <w:t xml:space="preserve">La </w:t>
      </w:r>
      <w:r w:rsidRPr="00E56C9A">
        <w:rPr>
          <w:b/>
        </w:rPr>
        <w:t>Sra. Zemanek</w:t>
      </w:r>
      <w:r w:rsidRPr="00501C95">
        <w:t xml:space="preserve"> (Polonia) se refiere a las denuncias formuladas por algunas </w:t>
      </w:r>
      <w:r>
        <w:t>organizaciones no gubernamentales</w:t>
      </w:r>
      <w:r w:rsidRPr="00501C95">
        <w:t xml:space="preserve"> según las cuales algunos chechenos no han podido obtener permisos de residencia temporal.</w:t>
      </w:r>
      <w:r>
        <w:t xml:space="preserve"> </w:t>
      </w:r>
      <w:r w:rsidRPr="00501C95">
        <w:t>Explica que en general, los chechenos no tienen ninguna dificultad para obtener el estatuto de refugiado.</w:t>
      </w:r>
      <w:r>
        <w:t xml:space="preserve"> </w:t>
      </w:r>
      <w:r w:rsidRPr="00501C95">
        <w:t>Las personas que no pueden obtener este estatuto obtienen generalmente un permiso de estadía denominado "autorización de estancia", habida cuenta de los peligros en que podrían incurrir en caso de regresar a su país de origen.</w:t>
      </w:r>
      <w:r>
        <w:t xml:space="preserve"> </w:t>
      </w:r>
      <w:r w:rsidRPr="00501C95">
        <w:t>En mayo de 2008 Polonia adoptó medidas para aplicar la Directiva N</w:t>
      </w:r>
      <w:r>
        <w:t>º</w:t>
      </w:r>
      <w:r w:rsidRPr="00501C95">
        <w:t xml:space="preserve"> 2004/83/CE de </w:t>
      </w:r>
      <w:smartTag w:uri="urn:schemas-microsoft-com:office:smarttags" w:element="PersonName">
        <w:smartTagPr>
          <w:attr w:name="ProductID" w:val="la Uni￳n Europea"/>
        </w:smartTagPr>
        <w:r w:rsidRPr="00501C95">
          <w:t>la Unión Europea</w:t>
        </w:r>
      </w:smartTag>
      <w:r w:rsidRPr="00501C95">
        <w:t xml:space="preserve"> por la que se establecen normas mínimas relativas a los requisitos para el reconocimiento y el estatuto de nacionales de terceros países o apátridas como refugiados o personas que necesitan otro tipo de protección internacional.</w:t>
      </w:r>
      <w:r>
        <w:t xml:space="preserve"> </w:t>
      </w:r>
      <w:r w:rsidRPr="00501C95">
        <w:t xml:space="preserve">Ello significa que los chechenos pueden aspirar a una protección </w:t>
      </w:r>
    </w:p>
    <w:p w:rsidR="00374AB4" w:rsidRDefault="00374AB4" w:rsidP="002A0D3E">
      <w:pPr>
        <w:pStyle w:val="SingleTxtG"/>
      </w:pPr>
    </w:p>
    <w:p w:rsidR="002A0D3E" w:rsidRPr="00501C95" w:rsidRDefault="002A0D3E" w:rsidP="002A0D3E">
      <w:pPr>
        <w:pStyle w:val="SingleTxtG"/>
      </w:pPr>
      <w:r w:rsidRPr="00501C95">
        <w:t>complementaria ante las autoridades polacas.</w:t>
      </w:r>
      <w:r>
        <w:t xml:space="preserve"> </w:t>
      </w:r>
      <w:r w:rsidRPr="00501C95">
        <w:t>Por otra parte, constituyen el grupo de extranjeros más importante que gozan de la protección de Polonia.</w:t>
      </w:r>
      <w:r>
        <w:t xml:space="preserve"> </w:t>
      </w:r>
      <w:r w:rsidRPr="00501C95">
        <w:t>Puede recurrirse de toda negativa de reconocimiento de la condición de refugiado o de una protección complementaria.</w:t>
      </w:r>
    </w:p>
    <w:p w:rsidR="002A0D3E" w:rsidRPr="00501C95" w:rsidRDefault="002A0D3E" w:rsidP="002A0D3E">
      <w:pPr>
        <w:pStyle w:val="SingleTxtG"/>
      </w:pPr>
      <w:r w:rsidRPr="00501C95">
        <w:t>27.</w:t>
      </w:r>
      <w:r w:rsidRPr="00501C95">
        <w:tab/>
        <w:t>La Sra.</w:t>
      </w:r>
      <w:r>
        <w:t xml:space="preserve"> </w:t>
      </w:r>
      <w:r w:rsidRPr="00501C95">
        <w:t>Zemanek señala que se enseña gratuitamente el idioma polaco en todos los centros de refugiados.</w:t>
      </w:r>
      <w:r>
        <w:t xml:space="preserve"> </w:t>
      </w:r>
      <w:r w:rsidRPr="00501C95">
        <w:t>Cuando una persona obtiene el estatuto de refugiado, debe seguir un programa obligatorio de aprendizaje del polaco de 12 meses de duración.</w:t>
      </w:r>
      <w:r>
        <w:t xml:space="preserve"> </w:t>
      </w:r>
      <w:r w:rsidRPr="00501C95">
        <w:t>Los hijos de refugiados, como cualquier otro menor, están obligados a escolarizarse hasta los 15 años de edad.</w:t>
      </w:r>
      <w:r>
        <w:t xml:space="preserve"> </w:t>
      </w:r>
      <w:r w:rsidRPr="00501C95">
        <w:t>Esta obligación se aplica indistintamente del estatuto jurídico o de la nacionalidad del niño.</w:t>
      </w:r>
      <w:r>
        <w:t xml:space="preserve"> </w:t>
      </w:r>
      <w:r w:rsidRPr="00501C95">
        <w:t>En cuanto a las deserciones escolares, las autoridades competentes en materia de educación piden a los asistentes sociales que se reúnan con los padres de niños refugiados u otros que hayan desertado la escuela.</w:t>
      </w:r>
      <w:r>
        <w:t xml:space="preserve"> </w:t>
      </w:r>
      <w:r w:rsidRPr="00501C95">
        <w:t>Con todo, resulta imposible buscar a los niños en sus hogares para verificar que estén efectivamente escolarizados.</w:t>
      </w:r>
    </w:p>
    <w:p w:rsidR="002A0D3E" w:rsidRPr="00501C95" w:rsidRDefault="002A0D3E" w:rsidP="002A0D3E">
      <w:pPr>
        <w:pStyle w:val="SingleTxtG"/>
      </w:pPr>
      <w:r w:rsidRPr="00501C95">
        <w:t>28.</w:t>
      </w:r>
      <w:r w:rsidRPr="00501C95">
        <w:tab/>
        <w:t>La Sra.</w:t>
      </w:r>
      <w:r>
        <w:t xml:space="preserve"> </w:t>
      </w:r>
      <w:r w:rsidRPr="00501C95">
        <w:t>Zemanek (Polonia), evocando el acceso a la asistencia social de los solicitantes de asilo, recuerda que en mayo de 2008 Polonia dio cumplimiento a la Directiva N</w:t>
      </w:r>
      <w:r>
        <w:t>º</w:t>
      </w:r>
      <w:r w:rsidRPr="00501C95">
        <w:t xml:space="preserve"> 2004/83 del Consejo de </w:t>
      </w:r>
      <w:smartTag w:uri="urn:schemas-microsoft-com:office:smarttags" w:element="PersonName">
        <w:smartTagPr>
          <w:attr w:name="ProductID" w:val="la Uni￳n Europea"/>
        </w:smartTagPr>
        <w:r w:rsidRPr="00501C95">
          <w:t>la Unión Europea</w:t>
        </w:r>
      </w:smartTag>
      <w:r w:rsidRPr="00501C95">
        <w:t xml:space="preserve"> para evitar toda discriminación en materia de protección complementaria.</w:t>
      </w:r>
      <w:r>
        <w:t xml:space="preserve"> </w:t>
      </w:r>
      <w:r w:rsidRPr="00501C95">
        <w:t>Todas las personas reconocidas como refugiados tienen derecho a gozar de los programas de asistencia social y de inserción.</w:t>
      </w:r>
    </w:p>
    <w:p w:rsidR="002A0D3E" w:rsidRPr="00501C95" w:rsidRDefault="002A0D3E" w:rsidP="002A0D3E">
      <w:pPr>
        <w:pStyle w:val="SingleTxtG"/>
      </w:pPr>
      <w:r w:rsidRPr="00501C95">
        <w:t>29.</w:t>
      </w:r>
      <w:r w:rsidRPr="00501C95">
        <w:tab/>
        <w:t>La</w:t>
      </w:r>
      <w:r w:rsidRPr="00E56C9A">
        <w:t xml:space="preserve"> </w:t>
      </w:r>
      <w:r w:rsidRPr="00E56C9A">
        <w:rPr>
          <w:b/>
        </w:rPr>
        <w:t>Sra. Ploszajska</w:t>
      </w:r>
      <w:r w:rsidRPr="00501C95">
        <w:t xml:space="preserve"> indica que </w:t>
      </w:r>
      <w:smartTag w:uri="urn:schemas-microsoft-com:office:smarttags" w:element="PersonName">
        <w:smartTagPr>
          <w:attr w:name="ProductID" w:val="la Ley"/>
        </w:smartTagPr>
        <w:r w:rsidRPr="00501C95">
          <w:t>la Ley</w:t>
        </w:r>
      </w:smartTag>
      <w:r w:rsidRPr="00501C95">
        <w:t xml:space="preserve"> sobre la educación en Polonia garantiza a los niños extranjeros el acceso a la educación en pie de igualdad con los niños polacos.</w:t>
      </w:r>
      <w:r>
        <w:t xml:space="preserve"> </w:t>
      </w:r>
      <w:r w:rsidRPr="00501C95">
        <w:t>La enseñanza es gratuita, incluso en el caso de los alumnos que hayan cumplido los 16 años de edad y están todavía sometidos a la obligación escolar.</w:t>
      </w:r>
      <w:r>
        <w:t xml:space="preserve"> </w:t>
      </w:r>
      <w:r w:rsidRPr="00501C95">
        <w:t>Este derecho se extiende asimismo a los estudiantes que ya han terminado el periodo de la escolaridad obligatoria pero desean continuar sus estudios.</w:t>
      </w:r>
      <w:r>
        <w:t xml:space="preserve"> </w:t>
      </w:r>
      <w:r w:rsidRPr="00501C95">
        <w:t>La novedad principal es la institución de este derecho para los hijos de refugiados o solicitantes de asilo, y el hecho de que tienen la posibilidad, como los niños romaníes, de seguir cursos en el idioma de su país de origen.</w:t>
      </w:r>
    </w:p>
    <w:p w:rsidR="002A0D3E" w:rsidRPr="00501C95" w:rsidRDefault="002A0D3E" w:rsidP="002A0D3E">
      <w:pPr>
        <w:pStyle w:val="SingleTxtG"/>
      </w:pPr>
      <w:r w:rsidRPr="00501C95">
        <w:t>30.</w:t>
      </w:r>
      <w:r w:rsidRPr="00501C95">
        <w:tab/>
        <w:t xml:space="preserve">La </w:t>
      </w:r>
      <w:r w:rsidRPr="00E56C9A">
        <w:rPr>
          <w:b/>
        </w:rPr>
        <w:t>Sra. Przygucka</w:t>
      </w:r>
      <w:r w:rsidRPr="00501C95">
        <w:t xml:space="preserve"> (Polonia) afirma, a propósito del acceso a la atención de la salud, que los extranjeros reconocidos como refugiados gozan de un subsidio del Estado para financiar sus primas de seguro médico y que las personas que solicitan el reconocimiento de la condición de refugiado reciben la misma atención de la salud que las personas plenamente aseguradas.</w:t>
      </w:r>
      <w:r>
        <w:t xml:space="preserve"> </w:t>
      </w:r>
      <w:r w:rsidRPr="00501C95">
        <w:t xml:space="preserve">En cuanto a la prueba de detección del VIH/SIDA, </w:t>
      </w:r>
      <w:smartTag w:uri="urn:schemas-microsoft-com:office:smarttags" w:element="PersonName">
        <w:smartTagPr>
          <w:attr w:name="ProductID" w:val="la Oficina"/>
        </w:smartTagPr>
        <w:r w:rsidRPr="00501C95">
          <w:t>la Oficina</w:t>
        </w:r>
      </w:smartTag>
      <w:r w:rsidRPr="00501C95">
        <w:t xml:space="preserve"> de Extranjería organiza exámenes de detección gratuitos, anónimos y no obligatorios.</w:t>
      </w:r>
      <w:r>
        <w:t xml:space="preserve"> </w:t>
      </w:r>
      <w:r w:rsidRPr="00501C95">
        <w:t>Si un extranjero se niega a someterse a esta prueba ello no incide absolutamente en la tramitación de su solicitud de asilo.</w:t>
      </w:r>
      <w:r>
        <w:t xml:space="preserve"> </w:t>
      </w:r>
      <w:r w:rsidRPr="00501C95">
        <w:t>Además, las pruebas de detección están completamente financiadas con cargo al presupuesto del Estado y, en caso de enfermedad, también lo está el tratamiento antirretroviral.</w:t>
      </w:r>
      <w:r>
        <w:t xml:space="preserve"> </w:t>
      </w:r>
      <w:r w:rsidRPr="00501C95">
        <w:t>Por otra parte, se han adoptado medidas para poner en práctica un sistema de sensibilización a las culturas extranjeras en el marco de los estudios de medicina y para luchar contra los prejuicios negativos con respecto a las personas de distinto origen racial o étnico.</w:t>
      </w:r>
    </w:p>
    <w:p w:rsidR="002A0D3E" w:rsidRPr="00501C95" w:rsidRDefault="002A0D3E" w:rsidP="002A0D3E">
      <w:pPr>
        <w:pStyle w:val="SingleTxtG"/>
      </w:pPr>
      <w:r w:rsidRPr="00501C95">
        <w:t>31.</w:t>
      </w:r>
      <w:r w:rsidRPr="00501C95">
        <w:tab/>
        <w:t xml:space="preserve">El </w:t>
      </w:r>
      <w:r w:rsidRPr="00E56C9A">
        <w:rPr>
          <w:b/>
        </w:rPr>
        <w:t>Sr. Rapacki</w:t>
      </w:r>
      <w:r w:rsidRPr="00501C95">
        <w:t xml:space="preserve"> (Polonia) indica, en respuesta a la pregunta del Sr. Amir, que los resultados de la investigación sobre las denuncias de que existirían prisiones secretas de </w:t>
      </w:r>
      <w:smartTag w:uri="urn:schemas-microsoft-com:office:smarttags" w:element="PersonName">
        <w:smartTagPr>
          <w:attr w:name="ProductID" w:val="la CIA"/>
        </w:smartTagPr>
        <w:r w:rsidRPr="00501C95">
          <w:t>la CIA</w:t>
        </w:r>
      </w:smartTag>
      <w:r w:rsidRPr="00501C95">
        <w:t xml:space="preserve"> en Polonia y personas sospechosas de terrorismo fueron remitidas o presentadas a las instancias judiciales competentes en Varsovia en abril de 2009, y que el asunto ha sido declarado como "documento clasificado".</w:t>
      </w:r>
      <w:r>
        <w:t xml:space="preserve"> </w:t>
      </w:r>
      <w:r w:rsidRPr="00501C95">
        <w:t>Por ahora, el expediente se mantiene todavía confidencial porque el proceso no ha concluido.</w:t>
      </w:r>
      <w:r>
        <w:t xml:space="preserve"> </w:t>
      </w:r>
      <w:r w:rsidRPr="00501C95">
        <w:t>Una vez que concluya el proceso y se conozcan las conclusiones, se presentará toda la información necesaria o solicitada a los organismos internacionales.</w:t>
      </w:r>
    </w:p>
    <w:p w:rsidR="002A0D3E" w:rsidRPr="00501C95" w:rsidRDefault="002A0D3E" w:rsidP="002A0D3E">
      <w:pPr>
        <w:pStyle w:val="SingleTxtG"/>
      </w:pPr>
      <w:r w:rsidRPr="00501C95">
        <w:t>32.</w:t>
      </w:r>
      <w:r w:rsidRPr="00501C95">
        <w:tab/>
        <w:t>El</w:t>
      </w:r>
      <w:r w:rsidRPr="00AA4C1D">
        <w:t xml:space="preserve"> </w:t>
      </w:r>
      <w:r w:rsidRPr="00AA4C1D">
        <w:rPr>
          <w:b/>
        </w:rPr>
        <w:t>Sr. Thornberry</w:t>
      </w:r>
      <w:r w:rsidRPr="00501C95">
        <w:t xml:space="preserve"> señala que la discriminación lingüística suele ser la cenicienta de las discriminaciones pero que ocupa con todo un lugar importante en los instrumentos fundamentales de derechos humanos.</w:t>
      </w:r>
      <w:r>
        <w:t xml:space="preserve"> </w:t>
      </w:r>
      <w:r w:rsidRPr="00501C95">
        <w:t>Destaca que es muy difícil exhumar un idioma una vez que ha caído en desuso y que el uso de la escritura puede ser eficaz en ese sentido.</w:t>
      </w:r>
      <w:r>
        <w:t xml:space="preserve"> </w:t>
      </w:r>
      <w:r w:rsidRPr="00501C95">
        <w:t xml:space="preserve">Por lo tanto, conviene preservar el considerable patrimonio lingüístico de que dispone Polonia, por otra parte, la </w:t>
      </w:r>
      <w:r>
        <w:t>organización no gubernamental</w:t>
      </w:r>
      <w:r w:rsidRPr="00501C95">
        <w:t xml:space="preserve"> "Save the Children" ha llegado a la conclusión de que la inmersión total en el idioma del país de acogida desde la llegada al país no es tan eficaz como el método consistente en comenzar por una enseñanza en el idioma materno del interesado, para luego aprender progresivamente el idioma del país de acogida, conclusión que no concierne al idioma romaní en particular pero que es de aplicación general.</w:t>
      </w:r>
    </w:p>
    <w:p w:rsidR="002A0D3E" w:rsidRPr="00501C95" w:rsidRDefault="002A0D3E" w:rsidP="002A0D3E">
      <w:pPr>
        <w:pStyle w:val="SingleTxtG"/>
      </w:pPr>
      <w:r w:rsidRPr="00501C95">
        <w:t>33.</w:t>
      </w:r>
      <w:r w:rsidRPr="00501C95">
        <w:tab/>
        <w:t xml:space="preserve">El </w:t>
      </w:r>
      <w:r w:rsidRPr="00AA4C1D">
        <w:rPr>
          <w:b/>
        </w:rPr>
        <w:t>Sr. de Gouttes</w:t>
      </w:r>
      <w:r w:rsidRPr="00501C95">
        <w:t xml:space="preserve"> señala que la dificultad de establecer la prueba de una discriminación racial es un problema común a todos los países.</w:t>
      </w:r>
      <w:r>
        <w:t xml:space="preserve"> </w:t>
      </w:r>
      <w:r w:rsidRPr="00501C95">
        <w:t>Por ello, pregunta si en la legislación polaca se prevén mecanismos de alivio o de inversión de la carga de la prueba en materia civil, en particular con respecto a las discriminaciones en el empleo y la vivienda.</w:t>
      </w:r>
      <w:r>
        <w:t xml:space="preserve"> </w:t>
      </w:r>
      <w:r w:rsidRPr="00501C95">
        <w:t>Por otra parte, desea saber si en el derecho polaco se admite el "</w:t>
      </w:r>
      <w:r w:rsidRPr="00501C95">
        <w:rPr>
          <w:i/>
          <w:iCs/>
        </w:rPr>
        <w:t>testing</w:t>
      </w:r>
      <w:r w:rsidRPr="00501C95">
        <w:t>" utilizado en cada vez más países o la investigación a fin de determinar cualesquiera actitudes discriminatorias de los gerentes de restaurantes y otros lugares públicos, agencias de empleo, agencias inmobiliarias, etc.</w:t>
      </w:r>
    </w:p>
    <w:p w:rsidR="002A0D3E" w:rsidRPr="00501C95" w:rsidRDefault="002A0D3E" w:rsidP="002A0D3E">
      <w:pPr>
        <w:pStyle w:val="SingleTxtG"/>
      </w:pPr>
      <w:r w:rsidRPr="00501C95">
        <w:t>34.</w:t>
      </w:r>
      <w:r w:rsidRPr="00501C95">
        <w:tab/>
        <w:t xml:space="preserve">La </w:t>
      </w:r>
      <w:r w:rsidRPr="00AA4C1D">
        <w:rPr>
          <w:b/>
        </w:rPr>
        <w:t>Sra. Radziszewka</w:t>
      </w:r>
      <w:r w:rsidRPr="00501C95">
        <w:t xml:space="preserve"> (Polonia) dice, con respecto a la discriminación en el sector del empleo, que una Directiva de </w:t>
      </w:r>
      <w:smartTag w:uri="urn:schemas-microsoft-com:office:smarttags" w:element="PersonName">
        <w:smartTagPr>
          <w:attr w:name="ProductID" w:val="la Uni￳n Europea"/>
        </w:smartTagPr>
        <w:r w:rsidRPr="00501C95">
          <w:t>la Unión Europea</w:t>
        </w:r>
      </w:smartTag>
      <w:r w:rsidRPr="00501C95">
        <w:t xml:space="preserve"> proh</w:t>
      </w:r>
      <w:r>
        <w:t>í</w:t>
      </w:r>
      <w:r w:rsidRPr="00501C95">
        <w:t>be al respecto la discriminación fundada en el sexo, la edad o el origen nacional, y que las disposiciones de este Directiva se han incorporado en el derecho polaco.</w:t>
      </w:r>
      <w:r>
        <w:t xml:space="preserve"> </w:t>
      </w:r>
      <w:r w:rsidRPr="00501C95">
        <w:t>En Polonia no se admite la discriminación por motivos raciales o de origen étnico.</w:t>
      </w:r>
      <w:r>
        <w:t xml:space="preserve"> </w:t>
      </w:r>
      <w:r w:rsidRPr="00501C95">
        <w:t>Todos los ciudadanos son iguales en derechos a este respecto y, en caso de violación de sus derechos, pueden interponer una denuncia ante los tribunales o ante el Mediador, que es la instancia más alta en materia de derechos humanos en Polonia desde hace 20 años.</w:t>
      </w:r>
    </w:p>
    <w:p w:rsidR="002A0D3E" w:rsidRPr="00501C95" w:rsidRDefault="002A0D3E" w:rsidP="002A0D3E">
      <w:pPr>
        <w:pStyle w:val="SingleTxtG"/>
      </w:pPr>
      <w:r w:rsidRPr="00501C95">
        <w:t>35.</w:t>
      </w:r>
      <w:r w:rsidRPr="00501C95">
        <w:tab/>
        <w:t xml:space="preserve">La </w:t>
      </w:r>
      <w:r w:rsidRPr="00AA4C1D">
        <w:rPr>
          <w:b/>
        </w:rPr>
        <w:t>Sra. Ksieniewicz</w:t>
      </w:r>
      <w:r w:rsidRPr="00501C95">
        <w:t xml:space="preserve"> (Polonia) precisa que, aparte de </w:t>
      </w:r>
      <w:smartTag w:uri="urn:schemas-microsoft-com:office:smarttags" w:element="PersonName">
        <w:smartTagPr>
          <w:attr w:name="ProductID" w:val="la Directiva"/>
        </w:smartTagPr>
        <w:r w:rsidRPr="00501C95">
          <w:t>la Directiva</w:t>
        </w:r>
      </w:smartTag>
      <w:r w:rsidRPr="00501C95">
        <w:t xml:space="preserve"> mencionada, existen otras Directivas que prohíben la discriminación en la esfera del trabajo y determinan el marco general de igualdad en materia de empleo y de igualdad entre los sexos.</w:t>
      </w:r>
      <w:r>
        <w:t xml:space="preserve"> </w:t>
      </w:r>
      <w:r w:rsidRPr="00501C95">
        <w:t>También es uno de los principios rectores del Código de Trabajo.</w:t>
      </w:r>
      <w:r>
        <w:t xml:space="preserve"> </w:t>
      </w:r>
      <w:r w:rsidRPr="00501C95">
        <w:t>Todos los empleados están protegidos, pero algunos grupos son objeto de protecciones especiales, en particular las mujeres en lo relativo a la higiene y la procreación.</w:t>
      </w:r>
    </w:p>
    <w:p w:rsidR="002A0D3E" w:rsidRPr="00501C95" w:rsidRDefault="002A0D3E" w:rsidP="002A0D3E">
      <w:pPr>
        <w:pStyle w:val="SingleTxtG"/>
      </w:pPr>
      <w:r w:rsidRPr="00501C95">
        <w:t>36.</w:t>
      </w:r>
      <w:r w:rsidRPr="00501C95">
        <w:tab/>
        <w:t>El</w:t>
      </w:r>
      <w:r w:rsidRPr="00AA4C1D">
        <w:t xml:space="preserve"> </w:t>
      </w:r>
      <w:r w:rsidRPr="00AA4C1D">
        <w:rPr>
          <w:b/>
        </w:rPr>
        <w:t>Sr. Amir</w:t>
      </w:r>
      <w:r w:rsidRPr="00501C95">
        <w:t xml:space="preserve"> (Relator para Polonia), al presentar las observaciones preliminares sobre el diálogo con la delegación, toma nota de que no existe ninguna instancia encargada de la cuestión de la discriminación en Polonia.</w:t>
      </w:r>
      <w:r>
        <w:t xml:space="preserve"> </w:t>
      </w:r>
      <w:r w:rsidRPr="00501C95">
        <w:t>Sin embargo, el establecimiento de la institución que dirige el jefe de la delegación polaca es prueba de la existencia de una nueva conciencia que debería hacer cambiar ciertas mentalidades y ciertas actitudes.</w:t>
      </w:r>
      <w:r>
        <w:t xml:space="preserve"> </w:t>
      </w:r>
      <w:r w:rsidRPr="00501C95">
        <w:t>La delegación ha anunciado la existencia de nuevas leyes destinadas a combatir el racismo y la discriminación racial y desde este punto de vista, la enmienda aportada al Código Penal es efectivamente una solución disuasiva.</w:t>
      </w:r>
      <w:r>
        <w:t xml:space="preserve"> </w:t>
      </w:r>
      <w:r w:rsidRPr="00501C95">
        <w:t xml:space="preserve">Por otra parte, el Sr. Amir se felicita del elemento positivo que constituye la actitud, más bien rara, de </w:t>
      </w:r>
      <w:smartTag w:uri="urn:schemas-microsoft-com:office:smarttags" w:element="PersonName">
        <w:smartTagPr>
          <w:attr w:name="ProductID" w:val="la Federaci￳n Nacional"/>
        </w:smartTagPr>
        <w:smartTag w:uri="urn:schemas-microsoft-com:office:smarttags" w:element="PersonName">
          <w:smartTagPr>
            <w:attr w:name="ProductID" w:val="la Federaci￳n"/>
          </w:smartTagPr>
          <w:r w:rsidRPr="00501C95">
            <w:t>la Federación</w:t>
          </w:r>
        </w:smartTag>
        <w:r w:rsidRPr="00501C95">
          <w:t xml:space="preserve"> Nacional</w:t>
        </w:r>
      </w:smartTag>
      <w:r w:rsidRPr="00501C95">
        <w:t xml:space="preserve"> de Fútbol de Polonia, que ha aceptado hacer suyas las directivas gubernamentales sobre la lucha contra el racismo en el ambiente deportivo, propugnando al respecto una toma de conciencia por parte de los aficionados.</w:t>
      </w:r>
      <w:r>
        <w:t xml:space="preserve"> </w:t>
      </w:r>
      <w:r w:rsidRPr="00501C95">
        <w:t>Estima que la conferencia sobre el racismo, prevista para octubre del 2009 en Polonia, es asimismo una iniciativa muy positiva.</w:t>
      </w:r>
      <w:r>
        <w:t xml:space="preserve"> </w:t>
      </w:r>
      <w:r w:rsidRPr="00501C95">
        <w:t>Toma nota de todo lo dicho por la delegación respecto del derecho de las minorías nacionales y étnicas y de los idiomas regionales.</w:t>
      </w:r>
      <w:r>
        <w:t xml:space="preserve"> </w:t>
      </w:r>
      <w:r w:rsidRPr="00501C95">
        <w:t>En particular, toma nota con satisfacción de que la comunidad casubia está protegida por el Estado, en particular en la esfera de la educación y gracias la publicación de manuales en su idioma, con ayuda del Estado.</w:t>
      </w:r>
      <w:r>
        <w:t xml:space="preserve"> </w:t>
      </w:r>
      <w:r w:rsidRPr="00501C95">
        <w:t>Destacando por otra parte que los romaníes se niegan a integrar las fuerzas de policía no obstante la voluntad política del Estado de integrarlos, propone examinar más adelante en el marco de los trabajos del Comité</w:t>
      </w:r>
      <w:r>
        <w:t xml:space="preserve"> </w:t>
      </w:r>
      <w:r w:rsidRPr="00501C95">
        <w:t>los motivos por los cuales los romaníes oponen actualmente esa negativa.</w:t>
      </w:r>
      <w:r>
        <w:t xml:space="preserve"> </w:t>
      </w:r>
      <w:r w:rsidRPr="00501C95">
        <w:t>En conclusión, manifiesta su total satisfacción al concluir el examen del informe de Polonia, señalando que la delegación ha logrado responder a todas las preguntas que se le han formulado, lo que revela un notable progreso en la lucha contra el racismo en este país.</w:t>
      </w:r>
    </w:p>
    <w:p w:rsidR="002A0D3E" w:rsidRPr="00501C95" w:rsidRDefault="002A0D3E" w:rsidP="002A0D3E">
      <w:pPr>
        <w:pStyle w:val="SingleTxtG"/>
      </w:pPr>
      <w:r w:rsidRPr="00501C95">
        <w:t>37.</w:t>
      </w:r>
      <w:r w:rsidRPr="00501C95">
        <w:tab/>
        <w:t xml:space="preserve">La </w:t>
      </w:r>
      <w:r w:rsidRPr="00ED3EF7">
        <w:rPr>
          <w:b/>
        </w:rPr>
        <w:t>Presidenta</w:t>
      </w:r>
      <w:r w:rsidRPr="00501C95">
        <w:t xml:space="preserve"> se suma al Sr. Amir para agradecer a la delegación y se felicita del diálogo correcto y plenamente satisfactorio a que ha dado lugar el examen de los informes periódicos 17</w:t>
      </w:r>
      <w:r>
        <w:t xml:space="preserve">º </w:t>
      </w:r>
      <w:r w:rsidRPr="00501C95">
        <w:t>a 19</w:t>
      </w:r>
      <w:r>
        <w:t>º</w:t>
      </w:r>
      <w:r w:rsidRPr="00501C95">
        <w:t xml:space="preserve"> de Polonia.</w:t>
      </w:r>
    </w:p>
    <w:p w:rsidR="002A0D3E" w:rsidRPr="00501C95" w:rsidRDefault="002A0D3E" w:rsidP="002A0D3E">
      <w:pPr>
        <w:pStyle w:val="SingleTxtG"/>
      </w:pPr>
      <w:r w:rsidRPr="00501C95">
        <w:t>38.</w:t>
      </w:r>
      <w:r w:rsidRPr="00501C95">
        <w:tab/>
      </w:r>
      <w:r w:rsidRPr="00AA4C1D">
        <w:rPr>
          <w:i/>
        </w:rPr>
        <w:t>La delegación de Polonia se retira.</w:t>
      </w:r>
    </w:p>
    <w:p w:rsidR="002A0D3E" w:rsidRPr="00AA4C1D" w:rsidRDefault="002A0D3E" w:rsidP="002A0D3E">
      <w:pPr>
        <w:pStyle w:val="SingleTxtG"/>
        <w:rPr>
          <w:i/>
        </w:rPr>
      </w:pPr>
      <w:r w:rsidRPr="00AA4C1D">
        <w:rPr>
          <w:i/>
        </w:rPr>
        <w:t>Se levanta la sesión a las 13.05 horas.</w:t>
      </w:r>
    </w:p>
    <w:p w:rsidR="002A0D3E" w:rsidRPr="00AA4C1D" w:rsidRDefault="002A0D3E" w:rsidP="002A0D3E">
      <w:pPr>
        <w:pStyle w:val="SingleTxtG"/>
        <w:jc w:val="center"/>
        <w:rPr>
          <w:u w:val="single"/>
        </w:rPr>
      </w:pPr>
      <w:r>
        <w:rPr>
          <w:u w:val="single"/>
        </w:rPr>
        <w:tab/>
      </w:r>
      <w:r>
        <w:rPr>
          <w:u w:val="single"/>
        </w:rPr>
        <w:tab/>
      </w:r>
      <w:r>
        <w:rPr>
          <w:u w:val="single"/>
        </w:rPr>
        <w:tab/>
      </w:r>
    </w:p>
    <w:p w:rsidR="00381C24" w:rsidRPr="001075E9" w:rsidRDefault="00381C24" w:rsidP="001075E9"/>
    <w:sectPr w:rsidR="00381C24" w:rsidRPr="001075E9" w:rsidSect="002A0D3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5F4" w:rsidRDefault="006F25F4">
      <w:r>
        <w:separator/>
      </w:r>
    </w:p>
  </w:endnote>
  <w:endnote w:type="continuationSeparator" w:id="0">
    <w:p w:rsidR="006F25F4" w:rsidRDefault="006F2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3E" w:rsidRPr="002A0D3E" w:rsidRDefault="002A0D3E" w:rsidP="002A0D3E">
    <w:pPr>
      <w:pStyle w:val="Footer"/>
      <w:tabs>
        <w:tab w:val="right" w:pos="9598"/>
      </w:tabs>
    </w:pPr>
    <w:r w:rsidRPr="002A0D3E">
      <w:rPr>
        <w:b/>
        <w:sz w:val="18"/>
      </w:rPr>
      <w:fldChar w:fldCharType="begin"/>
    </w:r>
    <w:r w:rsidRPr="002A0D3E">
      <w:rPr>
        <w:b/>
        <w:sz w:val="18"/>
      </w:rPr>
      <w:instrText xml:space="preserve"> PAGE  \* MERGEFORMAT </w:instrText>
    </w:r>
    <w:r w:rsidRPr="002A0D3E">
      <w:rPr>
        <w:b/>
        <w:sz w:val="18"/>
      </w:rPr>
      <w:fldChar w:fldCharType="separate"/>
    </w:r>
    <w:r w:rsidR="00C503AB">
      <w:rPr>
        <w:b/>
        <w:noProof/>
        <w:sz w:val="18"/>
      </w:rPr>
      <w:t>8</w:t>
    </w:r>
    <w:r w:rsidRPr="002A0D3E">
      <w:rPr>
        <w:b/>
        <w:sz w:val="18"/>
      </w:rPr>
      <w:fldChar w:fldCharType="end"/>
    </w:r>
    <w:r>
      <w:rPr>
        <w:b/>
        <w:sz w:val="18"/>
      </w:rPr>
      <w:tab/>
    </w:r>
    <w:r>
      <w:t>GE.09-44139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3E" w:rsidRPr="002A0D3E" w:rsidRDefault="002A0D3E" w:rsidP="002A0D3E">
    <w:pPr>
      <w:pStyle w:val="Footer"/>
      <w:tabs>
        <w:tab w:val="right" w:pos="9598"/>
      </w:tabs>
      <w:rPr>
        <w:b/>
        <w:sz w:val="18"/>
      </w:rPr>
    </w:pPr>
    <w:r>
      <w:t>GE.09-44139</w:t>
    </w:r>
    <w:r>
      <w:tab/>
    </w:r>
    <w:r w:rsidRPr="002A0D3E">
      <w:rPr>
        <w:b/>
        <w:sz w:val="18"/>
      </w:rPr>
      <w:fldChar w:fldCharType="begin"/>
    </w:r>
    <w:r w:rsidRPr="002A0D3E">
      <w:rPr>
        <w:b/>
        <w:sz w:val="18"/>
      </w:rPr>
      <w:instrText xml:space="preserve"> PAGE  \* MERGEFORMAT </w:instrText>
    </w:r>
    <w:r w:rsidRPr="002A0D3E">
      <w:rPr>
        <w:b/>
        <w:sz w:val="18"/>
      </w:rPr>
      <w:fldChar w:fldCharType="separate"/>
    </w:r>
    <w:r w:rsidR="00C503AB">
      <w:rPr>
        <w:b/>
        <w:noProof/>
        <w:sz w:val="18"/>
      </w:rPr>
      <w:t>9</w:t>
    </w:r>
    <w:r w:rsidRPr="002A0D3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77D" w:rsidRDefault="0005677D" w:rsidP="0005677D">
    <w:pPr>
      <w:pStyle w:val="Footer"/>
      <w:pBdr>
        <w:bottom w:val="single" w:sz="4" w:space="1" w:color="auto"/>
      </w:pBdr>
      <w:rPr>
        <w:sz w:val="20"/>
      </w:rPr>
    </w:pPr>
  </w:p>
  <w:p w:rsidR="0005677D" w:rsidRPr="00E95740" w:rsidRDefault="0005677D" w:rsidP="001F7A41">
    <w:pPr>
      <w:pStyle w:val="FootnoteText"/>
      <w:rPr>
        <w:i w:val="0"/>
      </w:rPr>
    </w:pPr>
    <w:r w:rsidRPr="005B0A06">
      <w:rPr>
        <w:szCs w:val="24"/>
      </w:rPr>
      <w:tab/>
    </w:r>
    <w:r w:rsidRPr="005B0A06">
      <w:rPr>
        <w:szCs w:val="24"/>
      </w:rPr>
      <w:tab/>
    </w:r>
    <w:r w:rsidRPr="00E95740">
      <w:rPr>
        <w:i w:val="0"/>
      </w:rPr>
      <w:t>La presente acta podrá ser objeto de correcciones.</w:t>
    </w:r>
  </w:p>
  <w:p w:rsidR="0005677D" w:rsidRPr="00E95740" w:rsidRDefault="0005677D" w:rsidP="001F7A41">
    <w:pPr>
      <w:pStyle w:val="FootnoteText"/>
      <w:rPr>
        <w:i w:val="0"/>
      </w:rPr>
    </w:pPr>
    <w:r w:rsidRPr="00E95740">
      <w:rPr>
        <w:i w:val="0"/>
      </w:rPr>
      <w:tab/>
    </w:r>
    <w:r w:rsidRPr="00E95740">
      <w:rPr>
        <w:i w:val="0"/>
      </w:rPr>
      <w:tab/>
      <w:t xml:space="preserve">Las correcciones deberán redactarse en uno de los idiomas de trabajo. Deberán presentarse en forma de memorando, incorporarse en un ejemplar del acta y enviarse, </w:t>
    </w:r>
    <w:r w:rsidRPr="00E95740">
      <w:rPr>
        <w:b/>
        <w:i w:val="0"/>
      </w:rPr>
      <w:t>dentro del plazo de una semana a partir de la fecha del presente documento</w:t>
    </w:r>
    <w:r w:rsidRPr="00E95740">
      <w:rPr>
        <w:i w:val="0"/>
      </w:rPr>
      <w:t xml:space="preserve">, a </w:t>
    </w:r>
    <w:smartTag w:uri="urn:schemas-microsoft-com:office:smarttags" w:element="PersonName">
      <w:smartTagPr>
        <w:attr w:name="ProductID" w:val="la Secci￳n"/>
      </w:smartTagPr>
      <w:r w:rsidRPr="00E95740">
        <w:rPr>
          <w:i w:val="0"/>
        </w:rPr>
        <w:t>la Sección</w:t>
      </w:r>
    </w:smartTag>
    <w:r w:rsidRPr="00E95740">
      <w:rPr>
        <w:i w:val="0"/>
      </w:rPr>
      <w:t xml:space="preserve"> de Edición, oficina E. 4108, Palacio de las Naciones, Ginebra.</w:t>
    </w:r>
  </w:p>
  <w:p w:rsidR="0005677D" w:rsidRPr="00E95740" w:rsidRDefault="0005677D" w:rsidP="001F7A41">
    <w:pPr>
      <w:pStyle w:val="FootnoteText"/>
      <w:rPr>
        <w:rFonts w:cs="TimesNewRoman"/>
        <w:i w:val="0"/>
      </w:rPr>
    </w:pPr>
    <w:r w:rsidRPr="00E95740">
      <w:rPr>
        <w:i w:val="0"/>
      </w:rPr>
      <w:tab/>
    </w:r>
    <w:r w:rsidRPr="00E95740">
      <w:rPr>
        <w:i w:val="0"/>
      </w:rPr>
      <w:tab/>
      <w:t>Las correcciones que se introduzcan en las actas de las sesiones del Comité se reunirán en un documento único que se publicará poco después del período de sesiones</w:t>
    </w:r>
    <w:r w:rsidRPr="00E95740">
      <w:rPr>
        <w:rFonts w:cs="TimesNewRoman"/>
        <w:i w:val="0"/>
      </w:rPr>
      <w:t>.</w:t>
    </w:r>
  </w:p>
  <w:p w:rsidR="0005677D" w:rsidRPr="0005677D" w:rsidRDefault="0005677D" w:rsidP="0005677D"/>
  <w:p w:rsidR="00811023" w:rsidRDefault="002A0D3E">
    <w:pPr>
      <w:pStyle w:val="Footer"/>
    </w:pPr>
    <w:r>
      <w:rPr>
        <w:sz w:val="20"/>
      </w:rPr>
      <w:t>GE.09-44139</w:t>
    </w:r>
    <w:r w:rsidR="0081102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211009    231009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5F4" w:rsidRPr="001075E9" w:rsidRDefault="006F25F4" w:rsidP="001075E9">
      <w:pPr>
        <w:tabs>
          <w:tab w:val="right" w:pos="2155"/>
        </w:tabs>
        <w:spacing w:after="80" w:line="240" w:lineRule="auto"/>
        <w:ind w:left="680"/>
        <w:rPr>
          <w:u w:val="single"/>
        </w:rPr>
      </w:pPr>
      <w:r>
        <w:rPr>
          <w:u w:val="single"/>
        </w:rPr>
        <w:tab/>
      </w:r>
    </w:p>
  </w:footnote>
  <w:footnote w:type="continuationSeparator" w:id="0">
    <w:p w:rsidR="006F25F4" w:rsidRDefault="006F2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3E" w:rsidRPr="002A0D3E" w:rsidRDefault="002A0D3E" w:rsidP="002A0D3E">
    <w:pPr>
      <w:pStyle w:val="Header"/>
    </w:pPr>
    <w:r w:rsidRPr="002A0D3E">
      <w:t>CERD/C/SR.1939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D3E" w:rsidRPr="002A0D3E" w:rsidRDefault="002A0D3E" w:rsidP="002A0D3E">
    <w:pPr>
      <w:pStyle w:val="Header"/>
      <w:jc w:val="right"/>
    </w:pPr>
    <w:r w:rsidRPr="002A0D3E">
      <w:t>CERD/C/SR.1939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1023"/>
    <w:rsid w:val="00006BB9"/>
    <w:rsid w:val="000107A1"/>
    <w:rsid w:val="0002339D"/>
    <w:rsid w:val="00036733"/>
    <w:rsid w:val="0005677D"/>
    <w:rsid w:val="000706A1"/>
    <w:rsid w:val="000B57E7"/>
    <w:rsid w:val="000F09DF"/>
    <w:rsid w:val="000F61B2"/>
    <w:rsid w:val="001075E9"/>
    <w:rsid w:val="00145F2F"/>
    <w:rsid w:val="00160FF7"/>
    <w:rsid w:val="00180183"/>
    <w:rsid w:val="00196389"/>
    <w:rsid w:val="001C7A89"/>
    <w:rsid w:val="001F7A41"/>
    <w:rsid w:val="00201F1A"/>
    <w:rsid w:val="002433EC"/>
    <w:rsid w:val="0025226E"/>
    <w:rsid w:val="002A0D3E"/>
    <w:rsid w:val="002A2EFC"/>
    <w:rsid w:val="002C0E18"/>
    <w:rsid w:val="002C33BB"/>
    <w:rsid w:val="002D5AAC"/>
    <w:rsid w:val="00301299"/>
    <w:rsid w:val="00322004"/>
    <w:rsid w:val="003402C2"/>
    <w:rsid w:val="00374AB4"/>
    <w:rsid w:val="00381C24"/>
    <w:rsid w:val="003958D0"/>
    <w:rsid w:val="004031F0"/>
    <w:rsid w:val="004340F2"/>
    <w:rsid w:val="00437C95"/>
    <w:rsid w:val="00454E07"/>
    <w:rsid w:val="00471CB3"/>
    <w:rsid w:val="0050108D"/>
    <w:rsid w:val="00572E19"/>
    <w:rsid w:val="00595485"/>
    <w:rsid w:val="005B0A06"/>
    <w:rsid w:val="005F0B42"/>
    <w:rsid w:val="00610686"/>
    <w:rsid w:val="00634841"/>
    <w:rsid w:val="00655A21"/>
    <w:rsid w:val="006725B3"/>
    <w:rsid w:val="006808A9"/>
    <w:rsid w:val="006F25F4"/>
    <w:rsid w:val="006F35EE"/>
    <w:rsid w:val="007021FF"/>
    <w:rsid w:val="007076CB"/>
    <w:rsid w:val="007967DF"/>
    <w:rsid w:val="00811023"/>
    <w:rsid w:val="0082515B"/>
    <w:rsid w:val="00834B71"/>
    <w:rsid w:val="0086445C"/>
    <w:rsid w:val="00865FAC"/>
    <w:rsid w:val="008728CD"/>
    <w:rsid w:val="008A08D7"/>
    <w:rsid w:val="008A13F9"/>
    <w:rsid w:val="008C0F65"/>
    <w:rsid w:val="00906890"/>
    <w:rsid w:val="00951972"/>
    <w:rsid w:val="00954E65"/>
    <w:rsid w:val="009E5B78"/>
    <w:rsid w:val="00A17DFD"/>
    <w:rsid w:val="00A21237"/>
    <w:rsid w:val="00A4674B"/>
    <w:rsid w:val="00A917B3"/>
    <w:rsid w:val="00AB4B51"/>
    <w:rsid w:val="00B10CC7"/>
    <w:rsid w:val="00B30BE5"/>
    <w:rsid w:val="00B62458"/>
    <w:rsid w:val="00BB36EA"/>
    <w:rsid w:val="00BD33EE"/>
    <w:rsid w:val="00C503AB"/>
    <w:rsid w:val="00C60F0C"/>
    <w:rsid w:val="00C63C2A"/>
    <w:rsid w:val="00C805C9"/>
    <w:rsid w:val="00CA1679"/>
    <w:rsid w:val="00D05347"/>
    <w:rsid w:val="00D734BB"/>
    <w:rsid w:val="00D90138"/>
    <w:rsid w:val="00E2442A"/>
    <w:rsid w:val="00E73F76"/>
    <w:rsid w:val="00E95740"/>
    <w:rsid w:val="00EA31D8"/>
    <w:rsid w:val="00EA5579"/>
    <w:rsid w:val="00EF1360"/>
    <w:rsid w:val="00EF3220"/>
    <w:rsid w:val="00EF7198"/>
    <w:rsid w:val="00F41883"/>
    <w:rsid w:val="00F844CF"/>
    <w:rsid w:val="00F94155"/>
    <w:rsid w:val="00FA6307"/>
    <w:rsid w:val="00FB238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2A0D3E"/>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1F7A41"/>
    <w:pPr>
      <w:tabs>
        <w:tab w:val="right" w:pos="1021"/>
      </w:tabs>
      <w:spacing w:after="120" w:line="220" w:lineRule="exact"/>
      <w:ind w:left="1134" w:right="1134" w:hanging="1134"/>
    </w:pPr>
    <w:rPr>
      <w:i/>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4533</Words>
  <Characters>24935</Characters>
  <Application>Microsoft Office Word</Application>
  <DocSecurity>4</DocSecurity>
  <Lines>207</Lines>
  <Paragraphs>58</Paragraphs>
  <ScaleCrop>false</ScaleCrop>
  <HeadingPairs>
    <vt:vector size="2" baseType="variant">
      <vt:variant>
        <vt:lpstr>Título</vt:lpstr>
      </vt:variant>
      <vt:variant>
        <vt:i4>1</vt:i4>
      </vt:variant>
    </vt:vector>
  </HeadingPairs>
  <TitlesOfParts>
    <vt:vector size="1" baseType="lpstr">
      <vt:lpstr>CERD/C/SR.1939</vt:lpstr>
    </vt:vector>
  </TitlesOfParts>
  <Company/>
  <LinksUpToDate>false</LinksUpToDate>
  <CharactersWithSpaces>29410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CERD/C/SR.1939</dc:title>
  <dc:subject>09-44139 FINAL</dc:subject>
  <dc:creator>Luz ZAPATA</dc:creator>
  <cp:keywords/>
  <dc:description/>
  <cp:lastModifiedBy>Admieng</cp:lastModifiedBy>
  <cp:revision>2</cp:revision>
  <cp:lastPrinted>2009-10-23T09:46:00Z</cp:lastPrinted>
  <dcterms:created xsi:type="dcterms:W3CDTF">2009-10-23T09:51:00Z</dcterms:created>
  <dcterms:modified xsi:type="dcterms:W3CDTF">2009-10-23T09:51:00Z</dcterms:modified>
</cp:coreProperties>
</file>