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F7432A" w14:textId="77777777" w:rsidR="00D9658E" w:rsidRPr="00673DC1" w:rsidRDefault="00D9658E" w:rsidP="00D9658E">
      <w:pPr>
        <w:spacing w:line="240" w:lineRule="auto"/>
        <w:rPr>
          <w:sz w:val="2"/>
        </w:rPr>
        <w:sectPr w:rsidR="00D9658E" w:rsidRPr="00673DC1" w:rsidSect="004B5867">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673DC1">
        <w:rPr>
          <w:rStyle w:val="CommentReference"/>
          <w:szCs w:val="20"/>
        </w:rPr>
        <w:commentReference w:id="0"/>
      </w:r>
    </w:p>
    <w:p w14:paraId="57911017" w14:textId="77777777" w:rsidR="004B5867" w:rsidRPr="00673DC1" w:rsidRDefault="004B5867" w:rsidP="0085472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pPr>
      <w:r w:rsidRPr="00673DC1">
        <w:t>Comité para la Eliminación de la Discriminación contra la Mujer</w:t>
      </w:r>
    </w:p>
    <w:p w14:paraId="7323367E" w14:textId="77777777" w:rsidR="004B5867" w:rsidRPr="00673DC1" w:rsidRDefault="004B5867" w:rsidP="004B5867">
      <w:pPr>
        <w:pStyle w:val="SingleTxt"/>
        <w:spacing w:after="0" w:line="120" w:lineRule="exact"/>
        <w:rPr>
          <w:sz w:val="10"/>
        </w:rPr>
      </w:pPr>
    </w:p>
    <w:p w14:paraId="28EE6E72" w14:textId="77777777" w:rsidR="004B5867" w:rsidRPr="00673DC1" w:rsidRDefault="004B5867" w:rsidP="004B5867">
      <w:pPr>
        <w:pStyle w:val="SingleTxt"/>
        <w:spacing w:after="0" w:line="120" w:lineRule="exact"/>
        <w:rPr>
          <w:sz w:val="10"/>
        </w:rPr>
      </w:pPr>
    </w:p>
    <w:p w14:paraId="5E0FC9D4" w14:textId="77777777" w:rsidR="004B5867" w:rsidRPr="00673DC1" w:rsidRDefault="004B5867" w:rsidP="004B5867">
      <w:pPr>
        <w:pStyle w:val="SingleTxt"/>
        <w:spacing w:after="0" w:line="120" w:lineRule="exact"/>
        <w:rPr>
          <w:sz w:val="10"/>
        </w:rPr>
      </w:pPr>
    </w:p>
    <w:p w14:paraId="146425EE" w14:textId="77777777" w:rsidR="004B5867" w:rsidRPr="004D7CFB" w:rsidRDefault="004B5867" w:rsidP="004B5867">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14:ligatures w14:val="none"/>
        </w:rPr>
      </w:pPr>
      <w:r w:rsidRPr="00673DC1">
        <w:rPr>
          <w:w w:val="100"/>
        </w:rPr>
        <mc:AlternateContent>
          <mc:Choice Requires="wps">
            <w:drawing>
              <wp:anchor distT="0" distB="0" distL="114300" distR="114300" simplePos="0" relativeHeight="251659264" behindDoc="0" locked="0" layoutInCell="1" allowOverlap="1" wp14:anchorId="44253692" wp14:editId="6529A2A1">
                <wp:simplePos x="0" y="0"/>
                <wp:positionH relativeFrom="column">
                  <wp:posOffset>548640</wp:posOffset>
                </wp:positionH>
                <wp:positionV relativeFrom="paragraph">
                  <wp:posOffset>-12700</wp:posOffset>
                </wp:positionV>
                <wp:extent cx="914400" cy="0"/>
                <wp:effectExtent l="0" t="0" r="0" b="0"/>
                <wp:wrapNone/>
                <wp:docPr id="395230233"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128BCA4"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4D7CFB">
        <w:rPr>
          <w:spacing w:val="5"/>
          <w:w w:val="104"/>
          <w:kern w:val="14"/>
          <w:sz w:val="17"/>
          <w:szCs w:val="20"/>
          <w14:ligatures w14:val="none"/>
        </w:rPr>
        <w:tab/>
        <w:t>*</w:t>
      </w:r>
      <w:r w:rsidRPr="004D7CFB">
        <w:rPr>
          <w:spacing w:val="5"/>
          <w:w w:val="104"/>
          <w:kern w:val="14"/>
          <w:sz w:val="17"/>
          <w:szCs w:val="20"/>
          <w14:ligatures w14:val="none"/>
        </w:rPr>
        <w:tab/>
      </w:r>
      <w:r w:rsidRPr="00673DC1">
        <w:rPr>
          <w:spacing w:val="5"/>
          <w:w w:val="104"/>
          <w:kern w:val="14"/>
          <w:sz w:val="17"/>
          <w:szCs w:val="20"/>
          <w14:ligatures w14:val="none"/>
        </w:rPr>
        <w:t>La versión original del presente documento no fue objeto de revisión editorial oficial.</w:t>
      </w:r>
    </w:p>
    <w:p w14:paraId="3737B6B6" w14:textId="77777777" w:rsidR="004B5867" w:rsidRPr="00673DC1" w:rsidRDefault="004B5867" w:rsidP="004B5867">
      <w:pPr>
        <w:pStyle w:val="TitleHCH"/>
        <w:ind w:right="1272"/>
        <w:rPr>
          <w:b w:val="0"/>
        </w:rPr>
      </w:pPr>
      <w:r w:rsidRPr="00673DC1">
        <w:tab/>
      </w:r>
      <w:r w:rsidRPr="00673DC1">
        <w:tab/>
        <w:t>Información recibida de Türkiye relativa al seguimiento de las observaciones finales de su octavo informe periódico</w:t>
      </w:r>
      <w:r w:rsidRPr="00673DC1">
        <w:rPr>
          <w:b w:val="0"/>
          <w:bCs/>
          <w:sz w:val="20"/>
          <w:szCs w:val="16"/>
        </w:rPr>
        <w:t>*</w:t>
      </w:r>
    </w:p>
    <w:p w14:paraId="6F69466C" w14:textId="77777777" w:rsidR="004B5867" w:rsidRPr="00673DC1" w:rsidRDefault="004B5867" w:rsidP="004B5867">
      <w:pPr>
        <w:pStyle w:val="SingleTxt"/>
        <w:spacing w:after="0" w:line="120" w:lineRule="exact"/>
        <w:rPr>
          <w:sz w:val="10"/>
        </w:rPr>
      </w:pPr>
    </w:p>
    <w:p w14:paraId="34BF8310" w14:textId="77777777" w:rsidR="004B5867" w:rsidRPr="00673DC1" w:rsidRDefault="004B5867" w:rsidP="004B5867">
      <w:pPr>
        <w:pStyle w:val="SingleTxt"/>
        <w:spacing w:after="0" w:line="120" w:lineRule="exact"/>
        <w:rPr>
          <w:sz w:val="10"/>
        </w:rPr>
      </w:pPr>
    </w:p>
    <w:p w14:paraId="3D44202B" w14:textId="77777777" w:rsidR="004B5867" w:rsidRPr="00673DC1" w:rsidRDefault="004B5867" w:rsidP="004B5867">
      <w:pPr>
        <w:pStyle w:val="SingleTxt"/>
        <w:jc w:val="right"/>
      </w:pPr>
      <w:r w:rsidRPr="00673DC1">
        <w:t>[Fecha de recepción: 12 de julio de 2024]</w:t>
      </w:r>
    </w:p>
    <w:p w14:paraId="15401574" w14:textId="77777777" w:rsidR="004B5867" w:rsidRPr="00673DC1" w:rsidRDefault="004B5867">
      <w:pPr>
        <w:suppressAutoHyphens w:val="0"/>
        <w:spacing w:after="160" w:line="259" w:lineRule="auto"/>
        <w:rPr>
          <w:kern w:val="14"/>
        </w:rPr>
      </w:pPr>
      <w:r w:rsidRPr="00673DC1">
        <w:br w:type="page"/>
      </w:r>
    </w:p>
    <w:p w14:paraId="198274B9" w14:textId="77777777" w:rsidR="004B5867" w:rsidRPr="004D7CFB" w:rsidRDefault="004B5867" w:rsidP="004B586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673DC1">
        <w:lastRenderedPageBreak/>
        <w:tab/>
      </w:r>
      <w:r w:rsidRPr="00673DC1">
        <w:tab/>
        <w:t>Información sobre el seguimiento</w:t>
      </w:r>
    </w:p>
    <w:p w14:paraId="3CC4A2D1" w14:textId="77777777" w:rsidR="004B5867" w:rsidRPr="004D7CFB" w:rsidRDefault="004B5867" w:rsidP="004B5867">
      <w:pPr>
        <w:pStyle w:val="SingleTxt"/>
        <w:spacing w:after="0" w:line="120" w:lineRule="exact"/>
        <w:rPr>
          <w:sz w:val="10"/>
        </w:rPr>
      </w:pPr>
    </w:p>
    <w:p w14:paraId="5EA6FBF3" w14:textId="77777777" w:rsidR="004B5867" w:rsidRPr="004D7CFB" w:rsidRDefault="004B5867" w:rsidP="004B5867">
      <w:pPr>
        <w:pStyle w:val="SingleTxt"/>
        <w:spacing w:after="0" w:line="120" w:lineRule="exact"/>
        <w:rPr>
          <w:sz w:val="10"/>
        </w:rPr>
      </w:pPr>
    </w:p>
    <w:p w14:paraId="296D9817" w14:textId="4E229F87" w:rsidR="004B5867" w:rsidRPr="004D7CFB" w:rsidRDefault="004B5867" w:rsidP="009B0F7B">
      <w:pPr>
        <w:pStyle w:val="SingleTxt"/>
        <w:numPr>
          <w:ilvl w:val="0"/>
          <w:numId w:val="26"/>
        </w:numPr>
        <w:ind w:left="1267"/>
      </w:pPr>
      <w:r w:rsidRPr="00673DC1">
        <w:t>Se hace referencia a las observaciones finales (</w:t>
      </w:r>
      <w:hyperlink r:id="rId20" w:history="1">
        <w:r w:rsidRPr="00673DC1">
          <w:rPr>
            <w:rStyle w:val="Hyperlink"/>
          </w:rPr>
          <w:t>CEDAW/C/TUR/CO/8</w:t>
        </w:r>
      </w:hyperlink>
      <w:r w:rsidRPr="00673DC1">
        <w:t>) del Comité para la Eliminación de la Discriminación contra la Mujer, de fecha 4 de julio de 2022, relativas al octavo informe periódico de la República de Türkiye. En el párrafo 62, el Comité pidió a Türkiye que proporcionase respuestas por escrito sobre las medidas adoptadas para aplicar las recomendaciones que figuraban en los párrafos</w:t>
      </w:r>
      <w:r w:rsidR="00C31247" w:rsidRPr="00673DC1">
        <w:t> </w:t>
      </w:r>
      <w:r w:rsidRPr="00673DC1">
        <w:t>31 a), 38 a) y 40 a) de las observaciones finales. A continuación figuran las respuestas del Gobierno de Türkiye.</w:t>
      </w:r>
    </w:p>
    <w:p w14:paraId="6C706DDD" w14:textId="77777777" w:rsidR="004B5867" w:rsidRPr="00673DC1" w:rsidRDefault="004B5867" w:rsidP="004B5867">
      <w:pPr>
        <w:pStyle w:val="SingleTxt"/>
        <w:spacing w:after="0" w:line="120" w:lineRule="exact"/>
        <w:rPr>
          <w:bCs/>
          <w:sz w:val="10"/>
        </w:rPr>
      </w:pPr>
    </w:p>
    <w:p w14:paraId="3033AA60" w14:textId="77777777" w:rsidR="004B5867" w:rsidRPr="00673DC1" w:rsidRDefault="004B5867" w:rsidP="004B5867">
      <w:pPr>
        <w:pStyle w:val="SingleTxt"/>
        <w:spacing w:after="0" w:line="120" w:lineRule="exact"/>
        <w:rPr>
          <w:bCs/>
          <w:sz w:val="10"/>
        </w:rPr>
      </w:pPr>
    </w:p>
    <w:p w14:paraId="52078427" w14:textId="77777777" w:rsidR="004B5867" w:rsidRPr="00673DC1" w:rsidRDefault="004B5867" w:rsidP="00C31247">
      <w:pPr>
        <w:pStyle w:val="H1"/>
        <w:tabs>
          <w:tab w:val="right" w:pos="1022"/>
          <w:tab w:val="left" w:pos="1267"/>
          <w:tab w:val="left" w:pos="1742"/>
          <w:tab w:val="left" w:pos="2218"/>
          <w:tab w:val="left" w:pos="2693"/>
          <w:tab w:val="left" w:pos="3182"/>
          <w:tab w:val="left" w:pos="3658"/>
          <w:tab w:val="left" w:pos="4133"/>
          <w:tab w:val="left" w:pos="4410"/>
          <w:tab w:val="left" w:pos="4622"/>
          <w:tab w:val="left" w:pos="5098"/>
          <w:tab w:val="left" w:pos="5400"/>
          <w:tab w:val="left" w:pos="5573"/>
        </w:tabs>
        <w:ind w:left="1267" w:right="2640" w:hanging="1267"/>
        <w:rPr>
          <w:b w:val="0"/>
        </w:rPr>
      </w:pPr>
      <w:r w:rsidRPr="00673DC1">
        <w:tab/>
        <w:t>A.</w:t>
      </w:r>
      <w:r w:rsidRPr="00673DC1">
        <w:tab/>
        <w:t>Información de seguimiento relativa al párrafo 31 a) de las observaciones finales</w:t>
      </w:r>
    </w:p>
    <w:p w14:paraId="0565A590" w14:textId="77777777" w:rsidR="004B5867" w:rsidRPr="004D7CFB" w:rsidRDefault="004B5867" w:rsidP="004B5867">
      <w:pPr>
        <w:pStyle w:val="SingleTxt"/>
        <w:spacing w:after="0" w:line="120" w:lineRule="exact"/>
        <w:rPr>
          <w:sz w:val="10"/>
        </w:rPr>
      </w:pPr>
    </w:p>
    <w:p w14:paraId="278D2D2D" w14:textId="77777777" w:rsidR="004B5867" w:rsidRPr="004D7CFB" w:rsidRDefault="004B5867" w:rsidP="004B5867">
      <w:pPr>
        <w:pStyle w:val="SingleTxt"/>
        <w:spacing w:after="0" w:line="120" w:lineRule="exact"/>
        <w:rPr>
          <w:sz w:val="10"/>
        </w:rPr>
      </w:pPr>
    </w:p>
    <w:p w14:paraId="32B7286C" w14:textId="4061D1EC" w:rsidR="004B5867" w:rsidRPr="004D7CFB" w:rsidRDefault="004B5867" w:rsidP="009B0F7B">
      <w:pPr>
        <w:pStyle w:val="SingleTxt"/>
        <w:numPr>
          <w:ilvl w:val="0"/>
          <w:numId w:val="26"/>
        </w:numPr>
        <w:ind w:left="1267"/>
      </w:pPr>
      <w:r w:rsidRPr="00673DC1">
        <w:t>El artículo 29 del Código Penal de Türkiye regula la provocación injusta. La ley no considera que los crímenes cometidos por “costumbre” u “honor” tengan circunstancias atenuantes.</w:t>
      </w:r>
    </w:p>
    <w:p w14:paraId="275C4B29" w14:textId="45021F7C" w:rsidR="004B5867" w:rsidRPr="00673DC1" w:rsidRDefault="004B5867" w:rsidP="009B0F7B">
      <w:pPr>
        <w:pStyle w:val="SingleTxt"/>
        <w:numPr>
          <w:ilvl w:val="0"/>
          <w:numId w:val="26"/>
        </w:numPr>
        <w:ind w:left="1267"/>
      </w:pPr>
      <w:r w:rsidRPr="00673DC1">
        <w:t>Las autoridades judiciales evalúan las disposiciones relativas a la provocación injusta en función de las características del caso concreto y deciden si corresponde o no aplicarlas.</w:t>
      </w:r>
    </w:p>
    <w:p w14:paraId="40BBFC70" w14:textId="3EE9F94D" w:rsidR="004B5867" w:rsidRPr="004D7CFB" w:rsidRDefault="004B5867" w:rsidP="009B0F7B">
      <w:pPr>
        <w:pStyle w:val="SingleTxt"/>
        <w:numPr>
          <w:ilvl w:val="0"/>
          <w:numId w:val="26"/>
        </w:numPr>
        <w:ind w:left="1267"/>
      </w:pPr>
      <w:r w:rsidRPr="00673DC1">
        <w:t>En caso de que corresponda aplicarlas debido a una provocación injusta, deben dejar constancia de los motivos al exponer la decisión.</w:t>
      </w:r>
    </w:p>
    <w:p w14:paraId="7A8D4E9C" w14:textId="08C40E56" w:rsidR="004B5867" w:rsidRPr="00673DC1" w:rsidRDefault="004B5867" w:rsidP="009B0F7B">
      <w:pPr>
        <w:pStyle w:val="SingleTxt"/>
        <w:numPr>
          <w:ilvl w:val="0"/>
          <w:numId w:val="26"/>
        </w:numPr>
        <w:ind w:left="1267"/>
      </w:pPr>
      <w:r w:rsidRPr="00673DC1">
        <w:t>Según el derecho penal turco, la provocación injusta es un motivo que influye en la culpabilidad, no en el cumplimiento de la ley.</w:t>
      </w:r>
    </w:p>
    <w:p w14:paraId="1A6FC9A9" w14:textId="120D019C" w:rsidR="004B5867" w:rsidRPr="00673DC1" w:rsidRDefault="004B5867" w:rsidP="009B0F7B">
      <w:pPr>
        <w:pStyle w:val="SingleTxt"/>
        <w:numPr>
          <w:ilvl w:val="0"/>
          <w:numId w:val="26"/>
        </w:numPr>
        <w:ind w:left="1267"/>
      </w:pPr>
      <w:r w:rsidRPr="00673DC1">
        <w:t xml:space="preserve">En la justificación jurídica del artículo 29, se afirma que “[...] la rabia o la angustia violenta deben ser producto de un acto injusto. Esta frase fue incluida en el artículo con el propósito de evitar que se apliquen erróneamente circunstancias atenuantes por provocación injusta en nuestro país, en especial en los asesinatos de familiares, denominados </w:t>
      </w:r>
      <w:r w:rsidR="00C31247" w:rsidRPr="00673DC1">
        <w:t>‘</w:t>
      </w:r>
      <w:r w:rsidRPr="00673DC1">
        <w:t>asesinato por honor</w:t>
      </w:r>
      <w:r w:rsidR="00C31247" w:rsidRPr="00673DC1">
        <w:t>’”</w:t>
      </w:r>
      <w:r w:rsidRPr="00673DC1">
        <w:t>. La ley define con claridad que no hay coexistencia posible entre el asesinato por honor y las disposiciones relativas a la provocación injusta.</w:t>
      </w:r>
    </w:p>
    <w:p w14:paraId="5E8A8A7B" w14:textId="6D6D27F0" w:rsidR="004B5867" w:rsidRPr="004D7CFB" w:rsidRDefault="004B5867" w:rsidP="009B0F7B">
      <w:pPr>
        <w:pStyle w:val="SingleTxt"/>
        <w:numPr>
          <w:ilvl w:val="0"/>
          <w:numId w:val="26"/>
        </w:numPr>
        <w:ind w:left="1267"/>
      </w:pPr>
      <w:r w:rsidRPr="00673DC1">
        <w:t>Además, los motivos atribuidos a la cultura, las costumbres, las tradiciones y el honor no se consideran circunstancias atenuantes respecto de ningún tipo de delito.</w:t>
      </w:r>
    </w:p>
    <w:p w14:paraId="16DE59ED" w14:textId="14B74DEF" w:rsidR="004B5867" w:rsidRPr="004D7CFB" w:rsidRDefault="004B5867" w:rsidP="009B0F7B">
      <w:pPr>
        <w:pStyle w:val="SingleTxt"/>
        <w:numPr>
          <w:ilvl w:val="0"/>
          <w:numId w:val="26"/>
        </w:numPr>
        <w:ind w:left="1267"/>
      </w:pPr>
      <w:r w:rsidRPr="00673DC1">
        <w:t>En el artículo 82 del Código Penal de Türkiye, figura que la “comisión del delito por motivos consuetudinarios” es una forma cualificada del delito y, en respuesta, dispone la pena de “cadena perpetua agravada”, que es la más severa de nuestro sistema de justicia penal.</w:t>
      </w:r>
    </w:p>
    <w:p w14:paraId="29897903" w14:textId="7E284FEF" w:rsidR="004B5867" w:rsidRPr="00673DC1" w:rsidRDefault="004B5867" w:rsidP="009B0F7B">
      <w:pPr>
        <w:pStyle w:val="SingleTxt"/>
        <w:numPr>
          <w:ilvl w:val="0"/>
          <w:numId w:val="26"/>
        </w:numPr>
        <w:ind w:left="1267"/>
      </w:pPr>
      <w:r w:rsidRPr="00673DC1">
        <w:t>La expresión “por motivos consuetudinarios” ofrece una definición amplia que abarca también los actos considerados en la definición de “asesinato por honor”. Al incluir ese artículo, el legislador ha pretendido prevenir los delitos cometidos por esos motivos.</w:t>
      </w:r>
    </w:p>
    <w:p w14:paraId="48BAAE58" w14:textId="72E5E707" w:rsidR="004B5867" w:rsidRPr="004D7CFB" w:rsidRDefault="004B5867" w:rsidP="009B0F7B">
      <w:pPr>
        <w:pStyle w:val="SingleTxt"/>
        <w:numPr>
          <w:ilvl w:val="0"/>
          <w:numId w:val="26"/>
        </w:numPr>
        <w:ind w:left="1267"/>
      </w:pPr>
      <w:r w:rsidRPr="00673DC1">
        <w:t>En varias decisiones de la Asamblea de la Sala de lo Penal del Tribunal de Casación se ha señalado que el concepto de costumbre también abarca el concepto del honor, que se aplicará la forma más grave de la pena que corresponda y que no se corresponde aplicar las disposiciones relativas a la provocación injusta (es decir, que no se le reducirá la pena) en los casos en que el autor haya actuado casi en el sentido de una misión.</w:t>
      </w:r>
    </w:p>
    <w:p w14:paraId="0DBB1400" w14:textId="03225FBE" w:rsidR="004B5867" w:rsidRPr="004D7CFB" w:rsidRDefault="004B5867" w:rsidP="009B0F7B">
      <w:pPr>
        <w:pStyle w:val="SingleTxt"/>
        <w:numPr>
          <w:ilvl w:val="0"/>
          <w:numId w:val="26"/>
        </w:numPr>
        <w:ind w:left="1267"/>
        <w:rPr>
          <w:spacing w:val="1"/>
        </w:rPr>
      </w:pPr>
      <w:r w:rsidRPr="00673DC1">
        <w:rPr>
          <w:spacing w:val="1"/>
        </w:rPr>
        <w:t xml:space="preserve">Por otra parte, se llevaron a cabo diversas actividades para incorporar mejoras jurídicas en el marco del Cuarto Plan de Acción Nacional para Combatir la Violencia </w:t>
      </w:r>
      <w:r w:rsidRPr="00673DC1">
        <w:rPr>
          <w:spacing w:val="0"/>
        </w:rPr>
        <w:t>contra las Mujeres (2021-2025) y del Plan de Acción de Derechos Humanos (2021</w:t>
      </w:r>
      <w:r w:rsidR="009B0F7B" w:rsidRPr="00673DC1">
        <w:rPr>
          <w:spacing w:val="0"/>
        </w:rPr>
        <w:noBreakHyphen/>
      </w:r>
      <w:r w:rsidRPr="00673DC1">
        <w:rPr>
          <w:spacing w:val="0"/>
        </w:rPr>
        <w:t>2023).</w:t>
      </w:r>
    </w:p>
    <w:p w14:paraId="2128E9B0" w14:textId="72AF08DE" w:rsidR="004B5867" w:rsidRPr="004D7CFB" w:rsidRDefault="004B5867" w:rsidP="009B0F7B">
      <w:pPr>
        <w:pStyle w:val="SingleTxt"/>
        <w:numPr>
          <w:ilvl w:val="0"/>
          <w:numId w:val="26"/>
        </w:numPr>
        <w:ind w:left="1267"/>
      </w:pPr>
      <w:r w:rsidRPr="00673DC1">
        <w:lastRenderedPageBreak/>
        <w:t>Para combatir más eficazmente la violencia contra las mujeres y reforzar la disuasión, en 2021 se incorporaron modificaciones en los artículos 82, 86, 96 y 109 del Código Penal de Türkiye, mediante las cuales se consideran agravados los delitos de homicidio doloso, lesiones dolosas, maltrato y privación de la libertad cuando se cometen contra el cónyuge divorciado.</w:t>
      </w:r>
    </w:p>
    <w:p w14:paraId="5A47408A" w14:textId="72DC4D52" w:rsidR="004B5867" w:rsidRPr="004D7CFB" w:rsidRDefault="004B5867" w:rsidP="009B0F7B">
      <w:pPr>
        <w:pStyle w:val="SingleTxt"/>
        <w:numPr>
          <w:ilvl w:val="0"/>
          <w:numId w:val="26"/>
        </w:numPr>
        <w:ind w:left="1267"/>
      </w:pPr>
      <w:r w:rsidRPr="00673DC1">
        <w:t>En 2022, la Ley de modificación del Código Penal de Türkiye y de otras leyes incorporó varios cambios para combatir la violencia contra las mujeres:</w:t>
      </w:r>
    </w:p>
    <w:p w14:paraId="2E72D7EC" w14:textId="4BB65A74" w:rsidR="004B5867" w:rsidRPr="004D7CFB" w:rsidRDefault="004B5867" w:rsidP="004B5867">
      <w:pPr>
        <w:pStyle w:val="SingleTxt"/>
        <w:tabs>
          <w:tab w:val="right" w:pos="1685"/>
        </w:tabs>
        <w:ind w:left="1742" w:hanging="475"/>
      </w:pPr>
      <w:r w:rsidRPr="004D7CFB">
        <w:tab/>
        <w:t>•</w:t>
      </w:r>
      <w:r w:rsidRPr="004D7CFB">
        <w:tab/>
      </w:r>
      <w:r w:rsidRPr="00673DC1">
        <w:t>Los delitos de homicidio doloso, lesiones dolosas, amenazas, tortura y crueldad “cometidos contra la mujer” se regularon como delitos agravados con penas más severas;</w:t>
      </w:r>
    </w:p>
    <w:p w14:paraId="4A1ECC75" w14:textId="2DB90210" w:rsidR="004B5867" w:rsidRPr="004D7CFB" w:rsidRDefault="004B5867" w:rsidP="004B5867">
      <w:pPr>
        <w:pStyle w:val="SingleTxt"/>
        <w:tabs>
          <w:tab w:val="right" w:pos="1685"/>
        </w:tabs>
        <w:ind w:left="1742" w:hanging="475"/>
      </w:pPr>
      <w:r w:rsidRPr="004D7CFB">
        <w:tab/>
        <w:t>•</w:t>
      </w:r>
      <w:r w:rsidRPr="004D7CFB">
        <w:tab/>
      </w:r>
      <w:r w:rsidRPr="00673DC1">
        <w:t>Se incluyó el delito de lesiones dolosas cometidas contra mujeres en el Código de Procedimiento Penal como motivo de detención;</w:t>
      </w:r>
    </w:p>
    <w:p w14:paraId="1C906F97" w14:textId="2D90E533" w:rsidR="004B5867" w:rsidRPr="004D7CFB" w:rsidRDefault="004B5867" w:rsidP="004B5867">
      <w:pPr>
        <w:pStyle w:val="SingleTxt"/>
        <w:tabs>
          <w:tab w:val="right" w:pos="1685"/>
        </w:tabs>
        <w:ind w:left="1742" w:hanging="475"/>
      </w:pPr>
      <w:r w:rsidRPr="004D7CFB">
        <w:tab/>
        <w:t>•</w:t>
      </w:r>
      <w:r w:rsidRPr="004D7CFB">
        <w:tab/>
      </w:r>
      <w:r w:rsidRPr="00673DC1">
        <w:t>Se amplió el alcance de los delitos catalogados y el de las mujeres víctimas de violencia que se beneficiarán de la práctica de la asignación gratuita de un abogado;</w:t>
      </w:r>
    </w:p>
    <w:p w14:paraId="15CCB909" w14:textId="6CCF3689" w:rsidR="004B5867" w:rsidRPr="004D7CFB" w:rsidRDefault="004B5867" w:rsidP="004B5867">
      <w:pPr>
        <w:pStyle w:val="SingleTxt"/>
        <w:tabs>
          <w:tab w:val="right" w:pos="1685"/>
        </w:tabs>
        <w:ind w:left="1742" w:hanging="475"/>
      </w:pPr>
      <w:r w:rsidRPr="004D7CFB">
        <w:tab/>
        <w:t>•</w:t>
      </w:r>
      <w:r w:rsidRPr="004D7CFB">
        <w:tab/>
      </w:r>
      <w:r w:rsidRPr="00673DC1">
        <w:t>Se modificó la redacción del segundo párrafo del artículo 62 de la siguiente manera: “</w:t>
      </w:r>
      <w:r w:rsidRPr="00673DC1">
        <w:rPr>
          <w:i/>
          <w:iCs/>
        </w:rPr>
        <w:t>Como recurso atenuante discrecional, podrán tenerse en cuenta el pasado del autor, sus relaciones sociales, conductas que muestren arrepentimiento después del acto y durante el proceso judicial, o los posibles efectos de la pena en el futuro del autor.</w:t>
      </w:r>
      <w:r w:rsidRPr="00673DC1">
        <w:t xml:space="preserve"> </w:t>
      </w:r>
      <w:r w:rsidRPr="00673DC1">
        <w:rPr>
          <w:i/>
          <w:iCs/>
        </w:rPr>
        <w:t>Sin embargo, las actitudes y comportamientos formales del autor que tengan por objeto influir en el tribunal del juicio no se tienen en consideración como motivo de atenuación discrecional. Los motivos por los que se aplique la atenuación discrecional deberán figurar en la decisión con sus justificaciones</w:t>
      </w:r>
      <w:r w:rsidRPr="00673DC1">
        <w:t>”.</w:t>
      </w:r>
    </w:p>
    <w:p w14:paraId="5199E8D0" w14:textId="74631112" w:rsidR="004B5867" w:rsidRPr="00673DC1" w:rsidRDefault="004B5867" w:rsidP="009B0F7B">
      <w:pPr>
        <w:pStyle w:val="SingleTxt"/>
        <w:numPr>
          <w:ilvl w:val="0"/>
          <w:numId w:val="26"/>
        </w:numPr>
        <w:ind w:left="1267"/>
      </w:pPr>
      <w:r w:rsidRPr="00673DC1">
        <w:t>En 2022 y 2023 se organizaron nueve talleres de intercambio de experiencias dirigidos a jueces de juzgados cautelares (juzgados de familia) encargados de tomar decisiones en el marco de la Ley núm. 6284 de Protección de la Familia y Prevención de la Violencia contra la Mujer. También participaron fiscales que trabajan en oficinas de investigación sobre la violencia doméstica. Como resultado de estos talleres, se preparó una guía exhaustiva titulada “Guía de aplicación de la Ley núm. 6284” dirigida a los jueces y fiscales. Además, se preparó un cuadernillo sobre la legislación relativa a la violencia contra la mujer, que constituye una fuente de referencia sobre legislación en materia de violencia doméstica, tanto los instrumentos nacionales como los internacionales, por ejemplo, la Convención para la Eliminación de Todas las Formas de Discriminación contra la Mujer.</w:t>
      </w:r>
    </w:p>
    <w:p w14:paraId="4D41F6BA" w14:textId="2F603AEA" w:rsidR="004B5867" w:rsidRPr="004D7CFB" w:rsidRDefault="004B5867" w:rsidP="009B0F7B">
      <w:pPr>
        <w:pStyle w:val="SingleTxt"/>
        <w:numPr>
          <w:ilvl w:val="0"/>
          <w:numId w:val="26"/>
        </w:numPr>
        <w:ind w:left="1267"/>
      </w:pPr>
      <w:r w:rsidRPr="00673DC1">
        <w:t>Con el fin de examinar el Código Penal de Türkiye y la legislación conexa para mejorar la prevención de la violencia contra las mujeres, el Ministerio de Justicia creó en 2020 una Comisión Científica en el seno de su Dirección General de Legislación. Esta comisión permanente realiza investigaciones, formula recomendaciones y prepara propuestas legislativas.</w:t>
      </w:r>
    </w:p>
    <w:p w14:paraId="11500C83" w14:textId="77777777" w:rsidR="004B5867" w:rsidRPr="00673DC1" w:rsidRDefault="004B5867" w:rsidP="004B5867">
      <w:pPr>
        <w:pStyle w:val="SingleTxt"/>
        <w:spacing w:after="0" w:line="120" w:lineRule="exact"/>
        <w:rPr>
          <w:b/>
          <w:bCs/>
          <w:sz w:val="10"/>
        </w:rPr>
      </w:pPr>
    </w:p>
    <w:p w14:paraId="655E5F26" w14:textId="77777777" w:rsidR="004B5867" w:rsidRPr="00673DC1" w:rsidRDefault="004B5867" w:rsidP="004B5867">
      <w:pPr>
        <w:pStyle w:val="SingleTxt"/>
        <w:spacing w:after="0" w:line="120" w:lineRule="exact"/>
        <w:rPr>
          <w:b/>
          <w:bCs/>
          <w:sz w:val="10"/>
        </w:rPr>
      </w:pPr>
    </w:p>
    <w:p w14:paraId="6AE55BE2" w14:textId="46FCA54D" w:rsidR="004B5867" w:rsidRPr="004D7CFB" w:rsidRDefault="004B5867" w:rsidP="000C74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40" w:hanging="1267"/>
      </w:pPr>
      <w:r w:rsidRPr="00673DC1">
        <w:tab/>
        <w:t>B.</w:t>
      </w:r>
      <w:r w:rsidRPr="00673DC1">
        <w:tab/>
        <w:t>Información de seguimiento relativa al párrafo 38 a) de las observaciones finales</w:t>
      </w:r>
    </w:p>
    <w:p w14:paraId="5AA7C919" w14:textId="77777777" w:rsidR="004B5867" w:rsidRPr="004D7CFB" w:rsidRDefault="004B5867" w:rsidP="004B5867">
      <w:pPr>
        <w:pStyle w:val="SingleTxt"/>
        <w:spacing w:after="0" w:line="120" w:lineRule="exact"/>
        <w:rPr>
          <w:sz w:val="10"/>
        </w:rPr>
      </w:pPr>
    </w:p>
    <w:p w14:paraId="6B2E354D" w14:textId="77777777" w:rsidR="004B5867" w:rsidRPr="004D7CFB" w:rsidRDefault="004B5867" w:rsidP="004B5867">
      <w:pPr>
        <w:pStyle w:val="SingleTxt"/>
        <w:spacing w:after="0" w:line="120" w:lineRule="exact"/>
        <w:rPr>
          <w:sz w:val="10"/>
        </w:rPr>
      </w:pPr>
    </w:p>
    <w:p w14:paraId="1306CCBF" w14:textId="6D32B1A0" w:rsidR="004B5867" w:rsidRPr="004D7CFB" w:rsidRDefault="004B5867" w:rsidP="009B0F7B">
      <w:pPr>
        <w:pStyle w:val="SingleTxt"/>
        <w:numPr>
          <w:ilvl w:val="0"/>
          <w:numId w:val="26"/>
        </w:numPr>
        <w:ind w:left="1267"/>
      </w:pPr>
      <w:r w:rsidRPr="00673DC1">
        <w:t>El 12º Plan de Desarrollo de Türkiye (2024-2028), en vigor desde noviembre de 2023, prioriza el aumento de la participación femenina en los mecanismos decisorios. El plan describe estrategias para:</w:t>
      </w:r>
    </w:p>
    <w:p w14:paraId="46BBCA06" w14:textId="0DB86A2C" w:rsidR="004B5867" w:rsidRPr="004D7CFB" w:rsidRDefault="004B5867" w:rsidP="004B5867">
      <w:pPr>
        <w:pStyle w:val="SingleTxt"/>
        <w:tabs>
          <w:tab w:val="right" w:pos="1685"/>
        </w:tabs>
        <w:ind w:left="1742" w:hanging="475"/>
      </w:pPr>
      <w:r w:rsidRPr="004D7CFB">
        <w:tab/>
        <w:t>•</w:t>
      </w:r>
      <w:r w:rsidRPr="004D7CFB">
        <w:tab/>
      </w:r>
      <w:r w:rsidRPr="00673DC1">
        <w:t>Aplicar cuotas y programas de apoyo: estas “medidas especiales de carácter temporal” tienen por objeto impulsar la representación de las mujeres en la educación, el empleo y las funciones decisorias;</w:t>
      </w:r>
    </w:p>
    <w:p w14:paraId="5BE3B9B6" w14:textId="76CDC49E" w:rsidR="004B5867" w:rsidRPr="004D7CFB" w:rsidRDefault="004B5867" w:rsidP="004B5867">
      <w:pPr>
        <w:pStyle w:val="SingleTxt"/>
        <w:tabs>
          <w:tab w:val="right" w:pos="1685"/>
        </w:tabs>
        <w:ind w:left="1742" w:hanging="475"/>
      </w:pPr>
      <w:r w:rsidRPr="004D7CFB">
        <w:lastRenderedPageBreak/>
        <w:tab/>
        <w:t>•</w:t>
      </w:r>
      <w:r w:rsidRPr="004D7CFB">
        <w:tab/>
      </w:r>
      <w:r w:rsidRPr="00673DC1">
        <w:t>Aumentar el liderazgo femenino: el plan fomenta el aumento gradual de la participación de las mujeres en todos los niveles de gobernanza, incluidos los sectores público y privado, y la política.</w:t>
      </w:r>
    </w:p>
    <w:p w14:paraId="3E605765" w14:textId="74FB55A6" w:rsidR="004B5867" w:rsidRPr="004D7CFB" w:rsidRDefault="004B5867" w:rsidP="009B0F7B">
      <w:pPr>
        <w:pStyle w:val="SingleTxt"/>
        <w:numPr>
          <w:ilvl w:val="0"/>
          <w:numId w:val="26"/>
        </w:numPr>
        <w:ind w:left="1267"/>
      </w:pPr>
      <w:r w:rsidRPr="00673DC1">
        <w:t>El plan fija la meta de que, a más tardar en 2028, haya un 5 % de alcaldesas y un 25 % de representación femenina en el Parlamento.</w:t>
      </w:r>
    </w:p>
    <w:p w14:paraId="1D065FED" w14:textId="6AA8C8FE" w:rsidR="004B5867" w:rsidRPr="004D7CFB" w:rsidRDefault="004B5867" w:rsidP="009B0F7B">
      <w:pPr>
        <w:pStyle w:val="SingleTxt"/>
        <w:numPr>
          <w:ilvl w:val="0"/>
          <w:numId w:val="26"/>
        </w:numPr>
        <w:ind w:left="1267"/>
      </w:pPr>
      <w:r w:rsidRPr="00673DC1">
        <w:t>El Documento Estratégico y Plan de Acción sobre el Empoderamiento de las Mujeres (2018-2023) abordó la representación de las mujeres en los mecanismos decisorios desde una perspectiva multidimensional incorporando reformas jurídicas y administrativas, iniciativas para impulsar la participación de las mujeres en los procesos decisorios y actividades de sensibilización dirigidas tanto a las mujeres como al conjunto de la sociedad. Además, el plan asignaba responsabilidades claras a las instituciones y organizaciones públicas pertinentes.</w:t>
      </w:r>
    </w:p>
    <w:p w14:paraId="07A03547" w14:textId="5C3EEA47" w:rsidR="004B5867" w:rsidRPr="004D7CFB" w:rsidRDefault="004B5867" w:rsidP="009B0F7B">
      <w:pPr>
        <w:pStyle w:val="SingleTxt"/>
        <w:numPr>
          <w:ilvl w:val="0"/>
          <w:numId w:val="26"/>
        </w:numPr>
        <w:ind w:left="1267"/>
      </w:pPr>
      <w:r w:rsidRPr="00673DC1">
        <w:t xml:space="preserve">En el nuevo Documento Estratégico y Plan de Acción sobre el Empoderamiento </w:t>
      </w:r>
      <w:r w:rsidRPr="00673DC1">
        <w:rPr>
          <w:spacing w:val="2"/>
        </w:rPr>
        <w:t>de las Mujeres (2024-2028), hay una sección independiente dedicada a la participación</w:t>
      </w:r>
      <w:r w:rsidRPr="00673DC1">
        <w:t xml:space="preserve"> en los mecanismos decisorios y de liderazgo. El plan describe estrategias para aumentar la participación de las mujeres en esos procesos, en especial creando capacidad en las instituciones, desarrollando actividades de concienciación pública, efectuando investigación y definiendo reglamentos.</w:t>
      </w:r>
    </w:p>
    <w:p w14:paraId="3A210CD3" w14:textId="153692AC" w:rsidR="004B5867" w:rsidRPr="00673DC1" w:rsidRDefault="004B5867" w:rsidP="009B0F7B">
      <w:pPr>
        <w:pStyle w:val="SingleTxt"/>
        <w:numPr>
          <w:ilvl w:val="0"/>
          <w:numId w:val="26"/>
        </w:numPr>
        <w:ind w:left="1267"/>
      </w:pPr>
      <w:r w:rsidRPr="00673DC1">
        <w:t>El número de diputadas y su tasa de representación han ido aumentando a lo largo de los años.</w:t>
      </w:r>
    </w:p>
    <w:p w14:paraId="44D53BCD" w14:textId="77777777" w:rsidR="004B5867" w:rsidRPr="00673DC1" w:rsidRDefault="004B5867" w:rsidP="004B5867">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40"/>
        <w:gridCol w:w="2440"/>
        <w:gridCol w:w="2440"/>
      </w:tblGrid>
      <w:tr w:rsidR="004B5867" w:rsidRPr="004D7CFB" w14:paraId="40869AF7" w14:textId="77777777" w:rsidTr="00632446">
        <w:trPr>
          <w:tblHeader/>
        </w:trPr>
        <w:tc>
          <w:tcPr>
            <w:tcW w:w="2440" w:type="dxa"/>
            <w:tcBorders>
              <w:top w:val="single" w:sz="4" w:space="0" w:color="auto"/>
              <w:bottom w:val="single" w:sz="12" w:space="0" w:color="auto"/>
            </w:tcBorders>
            <w:shd w:val="clear" w:color="auto" w:fill="auto"/>
            <w:vAlign w:val="bottom"/>
          </w:tcPr>
          <w:p w14:paraId="2D881138" w14:textId="65F8367E" w:rsidR="004B5867" w:rsidRPr="004D7CFB" w:rsidRDefault="004B5867" w:rsidP="00774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rPr>
                <w:i/>
                <w:sz w:val="14"/>
              </w:rPr>
            </w:pPr>
            <w:r w:rsidRPr="004D7CFB">
              <w:rPr>
                <w:i/>
                <w:sz w:val="14"/>
              </w:rPr>
              <w:t>Año</w:t>
            </w:r>
          </w:p>
        </w:tc>
        <w:tc>
          <w:tcPr>
            <w:tcW w:w="2440" w:type="dxa"/>
            <w:tcBorders>
              <w:top w:val="single" w:sz="4" w:space="0" w:color="auto"/>
              <w:bottom w:val="single" w:sz="12" w:space="0" w:color="auto"/>
            </w:tcBorders>
            <w:shd w:val="clear" w:color="auto" w:fill="auto"/>
            <w:vAlign w:val="bottom"/>
          </w:tcPr>
          <w:p w14:paraId="58096E7A" w14:textId="636FE211" w:rsidR="004B5867" w:rsidRPr="004D7CFB" w:rsidRDefault="004B5867" w:rsidP="00774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44" w:right="40"/>
              <w:jc w:val="right"/>
              <w:rPr>
                <w:i/>
                <w:sz w:val="14"/>
              </w:rPr>
            </w:pPr>
            <w:r w:rsidRPr="004D7CFB">
              <w:rPr>
                <w:i/>
                <w:sz w:val="14"/>
              </w:rPr>
              <w:t>Diputadas</w:t>
            </w:r>
          </w:p>
        </w:tc>
        <w:tc>
          <w:tcPr>
            <w:tcW w:w="2440" w:type="dxa"/>
            <w:tcBorders>
              <w:top w:val="single" w:sz="4" w:space="0" w:color="auto"/>
              <w:bottom w:val="single" w:sz="12" w:space="0" w:color="auto"/>
            </w:tcBorders>
            <w:shd w:val="clear" w:color="auto" w:fill="auto"/>
            <w:vAlign w:val="bottom"/>
          </w:tcPr>
          <w:p w14:paraId="7CE0360D" w14:textId="67494260" w:rsidR="004B5867" w:rsidRPr="004D7CFB" w:rsidRDefault="004B5867" w:rsidP="007742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44" w:right="40"/>
              <w:jc w:val="right"/>
              <w:rPr>
                <w:i/>
                <w:sz w:val="14"/>
              </w:rPr>
            </w:pPr>
            <w:r w:rsidRPr="004D7CFB">
              <w:rPr>
                <w:i/>
                <w:sz w:val="14"/>
              </w:rPr>
              <w:t>Representación (%)</w:t>
            </w:r>
          </w:p>
        </w:tc>
      </w:tr>
      <w:tr w:rsidR="004B5867" w:rsidRPr="004D7CFB" w14:paraId="3A1D06D6" w14:textId="77777777" w:rsidTr="00632446">
        <w:trPr>
          <w:trHeight w:hRule="exact" w:val="115"/>
          <w:tblHeader/>
        </w:trPr>
        <w:tc>
          <w:tcPr>
            <w:tcW w:w="2440" w:type="dxa"/>
            <w:tcBorders>
              <w:top w:val="single" w:sz="12" w:space="0" w:color="auto"/>
            </w:tcBorders>
            <w:shd w:val="clear" w:color="auto" w:fill="auto"/>
            <w:vAlign w:val="bottom"/>
          </w:tcPr>
          <w:p w14:paraId="06F3D485" w14:textId="77777777" w:rsidR="004B5867" w:rsidRPr="004D7CFB" w:rsidRDefault="004B5867" w:rsidP="006324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440" w:type="dxa"/>
            <w:tcBorders>
              <w:top w:val="single" w:sz="12" w:space="0" w:color="auto"/>
            </w:tcBorders>
            <w:shd w:val="clear" w:color="auto" w:fill="auto"/>
            <w:vAlign w:val="bottom"/>
          </w:tcPr>
          <w:p w14:paraId="532C9D2D" w14:textId="77777777" w:rsidR="004B5867" w:rsidRPr="004D7CFB" w:rsidRDefault="004B5867" w:rsidP="006324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440" w:type="dxa"/>
            <w:tcBorders>
              <w:top w:val="single" w:sz="12" w:space="0" w:color="auto"/>
            </w:tcBorders>
            <w:shd w:val="clear" w:color="auto" w:fill="auto"/>
            <w:vAlign w:val="bottom"/>
          </w:tcPr>
          <w:p w14:paraId="71969D4A" w14:textId="77777777" w:rsidR="004B5867" w:rsidRPr="004D7CFB" w:rsidRDefault="004B5867" w:rsidP="006324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4B5867" w:rsidRPr="004D7CFB" w14:paraId="34A177B7" w14:textId="77777777" w:rsidTr="00632446">
        <w:tc>
          <w:tcPr>
            <w:tcW w:w="2440" w:type="dxa"/>
            <w:shd w:val="clear" w:color="auto" w:fill="auto"/>
            <w:vAlign w:val="bottom"/>
          </w:tcPr>
          <w:p w14:paraId="069C0967" w14:textId="77777777" w:rsidR="004B5867" w:rsidRPr="004D7CFB" w:rsidRDefault="004B5867" w:rsidP="006324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4D7CFB">
              <w:rPr>
                <w:b/>
                <w:bCs/>
                <w:sz w:val="17"/>
              </w:rPr>
              <w:t>2002</w:t>
            </w:r>
          </w:p>
        </w:tc>
        <w:tc>
          <w:tcPr>
            <w:tcW w:w="2440" w:type="dxa"/>
            <w:shd w:val="clear" w:color="auto" w:fill="auto"/>
            <w:vAlign w:val="bottom"/>
          </w:tcPr>
          <w:p w14:paraId="2B2156BD" w14:textId="77777777" w:rsidR="004B5867" w:rsidRPr="004D7CFB" w:rsidRDefault="004B5867" w:rsidP="006324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D7CFB">
              <w:rPr>
                <w:sz w:val="17"/>
              </w:rPr>
              <w:t>24</w:t>
            </w:r>
          </w:p>
        </w:tc>
        <w:tc>
          <w:tcPr>
            <w:tcW w:w="2440" w:type="dxa"/>
            <w:shd w:val="clear" w:color="auto" w:fill="auto"/>
            <w:vAlign w:val="bottom"/>
          </w:tcPr>
          <w:p w14:paraId="39094B7B" w14:textId="57163FD0" w:rsidR="004B5867" w:rsidRPr="004D7CFB" w:rsidRDefault="004B5867" w:rsidP="006324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D7CFB">
              <w:rPr>
                <w:sz w:val="17"/>
              </w:rPr>
              <w:t>4</w:t>
            </w:r>
            <w:r w:rsidR="007742B6" w:rsidRPr="004D7CFB">
              <w:rPr>
                <w:sz w:val="17"/>
              </w:rPr>
              <w:t>,</w:t>
            </w:r>
            <w:r w:rsidRPr="004D7CFB">
              <w:rPr>
                <w:sz w:val="17"/>
              </w:rPr>
              <w:t>40</w:t>
            </w:r>
          </w:p>
        </w:tc>
      </w:tr>
      <w:tr w:rsidR="004B5867" w:rsidRPr="004D7CFB" w14:paraId="62E95A3D" w14:textId="77777777" w:rsidTr="00632446">
        <w:tc>
          <w:tcPr>
            <w:tcW w:w="2440" w:type="dxa"/>
            <w:shd w:val="clear" w:color="auto" w:fill="auto"/>
            <w:vAlign w:val="bottom"/>
          </w:tcPr>
          <w:p w14:paraId="317A6CA4" w14:textId="77777777" w:rsidR="004B5867" w:rsidRPr="004D7CFB" w:rsidRDefault="004B5867" w:rsidP="006324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4D7CFB">
              <w:rPr>
                <w:b/>
                <w:bCs/>
                <w:sz w:val="17"/>
              </w:rPr>
              <w:t>2018</w:t>
            </w:r>
          </w:p>
        </w:tc>
        <w:tc>
          <w:tcPr>
            <w:tcW w:w="2440" w:type="dxa"/>
            <w:shd w:val="clear" w:color="auto" w:fill="auto"/>
            <w:vAlign w:val="bottom"/>
          </w:tcPr>
          <w:p w14:paraId="40A69C28" w14:textId="77777777" w:rsidR="004B5867" w:rsidRPr="004D7CFB" w:rsidRDefault="004B5867" w:rsidP="006324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D7CFB">
              <w:rPr>
                <w:sz w:val="17"/>
              </w:rPr>
              <w:t>104</w:t>
            </w:r>
          </w:p>
        </w:tc>
        <w:tc>
          <w:tcPr>
            <w:tcW w:w="2440" w:type="dxa"/>
            <w:shd w:val="clear" w:color="auto" w:fill="auto"/>
            <w:vAlign w:val="bottom"/>
          </w:tcPr>
          <w:p w14:paraId="52C1766F" w14:textId="6FD36EEB" w:rsidR="004B5867" w:rsidRPr="004D7CFB" w:rsidRDefault="004B5867" w:rsidP="006324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D7CFB">
              <w:rPr>
                <w:sz w:val="17"/>
              </w:rPr>
              <w:t>17,45</w:t>
            </w:r>
          </w:p>
        </w:tc>
      </w:tr>
      <w:tr w:rsidR="004B5867" w:rsidRPr="004D7CFB" w14:paraId="14FEA85C" w14:textId="77777777" w:rsidTr="00632446">
        <w:tc>
          <w:tcPr>
            <w:tcW w:w="2440" w:type="dxa"/>
            <w:tcBorders>
              <w:bottom w:val="single" w:sz="12" w:space="0" w:color="auto"/>
            </w:tcBorders>
            <w:shd w:val="clear" w:color="auto" w:fill="auto"/>
            <w:vAlign w:val="bottom"/>
          </w:tcPr>
          <w:p w14:paraId="2D37AECD" w14:textId="77777777" w:rsidR="004B5867" w:rsidRPr="004D7CFB" w:rsidRDefault="004B5867" w:rsidP="006324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4D7CFB">
              <w:rPr>
                <w:b/>
                <w:bCs/>
                <w:sz w:val="17"/>
              </w:rPr>
              <w:t>2023</w:t>
            </w:r>
          </w:p>
        </w:tc>
        <w:tc>
          <w:tcPr>
            <w:tcW w:w="2440" w:type="dxa"/>
            <w:tcBorders>
              <w:bottom w:val="single" w:sz="12" w:space="0" w:color="auto"/>
            </w:tcBorders>
            <w:shd w:val="clear" w:color="auto" w:fill="auto"/>
            <w:vAlign w:val="bottom"/>
          </w:tcPr>
          <w:p w14:paraId="4C39C3BE" w14:textId="77777777" w:rsidR="004B5867" w:rsidRPr="004D7CFB" w:rsidRDefault="004B5867" w:rsidP="006324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D7CFB">
              <w:rPr>
                <w:sz w:val="17"/>
              </w:rPr>
              <w:t>119</w:t>
            </w:r>
          </w:p>
        </w:tc>
        <w:tc>
          <w:tcPr>
            <w:tcW w:w="2440" w:type="dxa"/>
            <w:tcBorders>
              <w:bottom w:val="single" w:sz="12" w:space="0" w:color="auto"/>
            </w:tcBorders>
            <w:shd w:val="clear" w:color="auto" w:fill="auto"/>
            <w:vAlign w:val="bottom"/>
          </w:tcPr>
          <w:p w14:paraId="5F171E9F" w14:textId="19E5EAAD" w:rsidR="004B5867" w:rsidRPr="004D7CFB" w:rsidRDefault="004B5867" w:rsidP="006324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D7CFB">
              <w:rPr>
                <w:sz w:val="17"/>
              </w:rPr>
              <w:t>19,83</w:t>
            </w:r>
          </w:p>
        </w:tc>
      </w:tr>
    </w:tbl>
    <w:p w14:paraId="20F5BF37" w14:textId="77777777" w:rsidR="004B5867" w:rsidRPr="004D7CFB" w:rsidRDefault="004B5867" w:rsidP="004B5867">
      <w:pPr>
        <w:pStyle w:val="SingleTxt"/>
        <w:spacing w:after="0" w:line="120" w:lineRule="exact"/>
        <w:rPr>
          <w:sz w:val="10"/>
        </w:rPr>
      </w:pPr>
    </w:p>
    <w:p w14:paraId="5DC481AA" w14:textId="77777777" w:rsidR="004B5867" w:rsidRPr="004D7CFB" w:rsidRDefault="004B5867" w:rsidP="004B5867">
      <w:pPr>
        <w:pStyle w:val="SingleTxt"/>
        <w:spacing w:after="0" w:line="120" w:lineRule="exact"/>
        <w:rPr>
          <w:sz w:val="10"/>
        </w:rPr>
      </w:pPr>
    </w:p>
    <w:p w14:paraId="5E9DF0DB" w14:textId="6B4CA449" w:rsidR="004B5867" w:rsidRPr="004D7CFB" w:rsidRDefault="004B5867" w:rsidP="009B0F7B">
      <w:pPr>
        <w:pStyle w:val="SingleTxt"/>
        <w:numPr>
          <w:ilvl w:val="0"/>
          <w:numId w:val="26"/>
        </w:numPr>
        <w:ind w:left="1267"/>
      </w:pPr>
      <w:r w:rsidRPr="00673DC1">
        <w:t>Se han instituido políticas para promover la participación de las mujeres y los hombres en la política en igualdad de condiciones. Esas políticas y medidas están estipuladas en los reglamentos internos y estatutos de los partidos políticos.</w:t>
      </w:r>
    </w:p>
    <w:p w14:paraId="35D68EC5" w14:textId="77E47D16" w:rsidR="004B5867" w:rsidRPr="004D7CFB" w:rsidRDefault="004B5867" w:rsidP="009B0F7B">
      <w:pPr>
        <w:pStyle w:val="SingleTxt"/>
        <w:numPr>
          <w:ilvl w:val="0"/>
          <w:numId w:val="26"/>
        </w:numPr>
        <w:ind w:left="1267"/>
      </w:pPr>
      <w:r w:rsidRPr="00673DC1">
        <w:t>Algunos partidos políticos pueden aplicar voluntariamente medidas como cuotas, descuentos o no cobrar las tasas a las candidatas.</w:t>
      </w:r>
    </w:p>
    <w:p w14:paraId="62EEDC8E" w14:textId="493B81E8" w:rsidR="004B5867" w:rsidRPr="004D7CFB" w:rsidRDefault="004B5867" w:rsidP="009B0F7B">
      <w:pPr>
        <w:pStyle w:val="SingleTxt"/>
        <w:numPr>
          <w:ilvl w:val="0"/>
          <w:numId w:val="26"/>
        </w:numPr>
        <w:ind w:left="1267"/>
      </w:pPr>
      <w:r w:rsidRPr="00673DC1">
        <w:t>El proyecto Liderazgo de las Mujeres en la Política y la Empresa en Türkiye se aplica en colaboración con ONU-Mujeres y la Comisión para la Igualdad de Oportunidades de la Mujer y el Hombre de la Gran Asamblea Nacional de Türkiye. Su principal objetivo es apoyar el liderazgo de las mujeres en los puestos decisorios y velar por la igualdad de oportunidades entre las mujeres y los hombres en la política y el sector privado. El proyecto comenzó el 1 de mayo de 2021 y durará hasta el 31 de julio de 2024. Este proyecto es una importante contribución a los esfuerzos de Türkiye por aumentar la participación de la mujer en los puestos decisorios.</w:t>
      </w:r>
    </w:p>
    <w:p w14:paraId="31FB304A" w14:textId="18B1FCB9" w:rsidR="007742B6" w:rsidRPr="00673DC1" w:rsidRDefault="004B5867" w:rsidP="009B0F7B">
      <w:pPr>
        <w:pStyle w:val="SingleTxt"/>
        <w:numPr>
          <w:ilvl w:val="0"/>
          <w:numId w:val="26"/>
        </w:numPr>
        <w:ind w:left="1267"/>
      </w:pPr>
      <w:r w:rsidRPr="00673DC1">
        <w:t>En las elecciones locales de marzo de 2024, se observó un aumento significativo del número de mujeres que ocupaban cargos en el gobierno local. La siguiente tabla muestra los resultados no oficiales:</w:t>
      </w:r>
    </w:p>
    <w:p w14:paraId="5ACDB57D" w14:textId="77777777" w:rsidR="004B5867" w:rsidRPr="004D7CFB" w:rsidRDefault="004B5867" w:rsidP="001D3F2D">
      <w:pPr>
        <w:pStyle w:val="SingleTxt"/>
        <w:spacing w:after="0" w:line="120" w:lineRule="exact"/>
        <w:rPr>
          <w:sz w:val="10"/>
        </w:rPr>
      </w:pPr>
    </w:p>
    <w:tbl>
      <w:tblPr>
        <w:tblStyle w:val="GridTable4-Accent3"/>
        <w:tblW w:w="7308" w:type="dxa"/>
        <w:tblInd w:w="12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006"/>
        <w:gridCol w:w="860"/>
        <w:gridCol w:w="860"/>
        <w:gridCol w:w="861"/>
        <w:gridCol w:w="860"/>
        <w:gridCol w:w="861"/>
      </w:tblGrid>
      <w:tr w:rsidR="007742B6" w:rsidRPr="004D7CFB" w14:paraId="2C9F5688" w14:textId="77777777" w:rsidTr="007742B6">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006" w:type="dxa"/>
            <w:tcBorders>
              <w:top w:val="single" w:sz="4" w:space="0" w:color="auto"/>
              <w:bottom w:val="single" w:sz="12" w:space="0" w:color="auto"/>
            </w:tcBorders>
            <w:shd w:val="clear" w:color="auto" w:fill="auto"/>
            <w:noWrap/>
            <w:vAlign w:val="bottom"/>
          </w:tcPr>
          <w:p w14:paraId="49D214F4" w14:textId="63C57397" w:rsidR="007742B6" w:rsidRPr="004D7CFB" w:rsidRDefault="007742B6" w:rsidP="007742B6">
            <w:pPr>
              <w:spacing w:before="80" w:after="80" w:line="160" w:lineRule="exact"/>
              <w:ind w:right="40"/>
              <w:rPr>
                <w:i/>
                <w:color w:val="auto"/>
                <w:sz w:val="14"/>
                <w:szCs w:val="16"/>
              </w:rPr>
            </w:pPr>
            <w:r w:rsidRPr="00673DC1">
              <w:rPr>
                <w:b w:val="0"/>
                <w:bCs w:val="0"/>
                <w:i/>
                <w:iCs/>
                <w:color w:val="auto"/>
                <w:sz w:val="14"/>
                <w:szCs w:val="16"/>
              </w:rPr>
              <w:t>Puesto</w:t>
            </w:r>
          </w:p>
        </w:tc>
        <w:tc>
          <w:tcPr>
            <w:tcW w:w="860" w:type="dxa"/>
            <w:tcBorders>
              <w:top w:val="single" w:sz="4" w:space="0" w:color="auto"/>
              <w:bottom w:val="single" w:sz="12" w:space="0" w:color="auto"/>
            </w:tcBorders>
            <w:shd w:val="clear" w:color="auto" w:fill="auto"/>
            <w:noWrap/>
            <w:vAlign w:val="bottom"/>
          </w:tcPr>
          <w:p w14:paraId="1B7AB53A" w14:textId="28F0455E" w:rsidR="007742B6" w:rsidRPr="004D7CFB" w:rsidRDefault="007742B6" w:rsidP="007742B6">
            <w:pPr>
              <w:spacing w:before="80" w:after="80" w:line="160" w:lineRule="exact"/>
              <w:ind w:right="40"/>
              <w:jc w:val="right"/>
              <w:cnfStyle w:val="100000000000" w:firstRow="1" w:lastRow="0" w:firstColumn="0" w:lastColumn="0" w:oddVBand="0" w:evenVBand="0" w:oddHBand="0" w:evenHBand="0" w:firstRowFirstColumn="0" w:firstRowLastColumn="0" w:lastRowFirstColumn="0" w:lastRowLastColumn="0"/>
              <w:rPr>
                <w:i/>
                <w:color w:val="auto"/>
                <w:sz w:val="14"/>
                <w:szCs w:val="16"/>
              </w:rPr>
            </w:pPr>
            <w:r w:rsidRPr="00673DC1">
              <w:rPr>
                <w:b w:val="0"/>
                <w:bCs w:val="0"/>
                <w:i/>
                <w:iCs/>
                <w:color w:val="auto"/>
                <w:sz w:val="14"/>
                <w:szCs w:val="16"/>
              </w:rPr>
              <w:t>Mujeres elegidas</w:t>
            </w:r>
          </w:p>
        </w:tc>
        <w:tc>
          <w:tcPr>
            <w:tcW w:w="860" w:type="dxa"/>
            <w:tcBorders>
              <w:top w:val="single" w:sz="4" w:space="0" w:color="auto"/>
              <w:bottom w:val="single" w:sz="12" w:space="0" w:color="auto"/>
            </w:tcBorders>
            <w:shd w:val="clear" w:color="auto" w:fill="auto"/>
            <w:noWrap/>
            <w:vAlign w:val="bottom"/>
          </w:tcPr>
          <w:p w14:paraId="4D872AB7" w14:textId="2FEF5F21" w:rsidR="007742B6" w:rsidRPr="004D7CFB" w:rsidRDefault="007742B6" w:rsidP="007742B6">
            <w:pPr>
              <w:spacing w:before="80" w:after="80" w:line="160" w:lineRule="exact"/>
              <w:ind w:right="40"/>
              <w:jc w:val="right"/>
              <w:cnfStyle w:val="100000000000" w:firstRow="1" w:lastRow="0" w:firstColumn="0" w:lastColumn="0" w:oddVBand="0" w:evenVBand="0" w:oddHBand="0" w:evenHBand="0" w:firstRowFirstColumn="0" w:firstRowLastColumn="0" w:lastRowFirstColumn="0" w:lastRowLastColumn="0"/>
              <w:rPr>
                <w:i/>
                <w:color w:val="auto"/>
                <w:sz w:val="14"/>
                <w:szCs w:val="16"/>
              </w:rPr>
            </w:pPr>
            <w:r w:rsidRPr="00673DC1">
              <w:rPr>
                <w:b w:val="0"/>
                <w:bCs w:val="0"/>
                <w:i/>
                <w:iCs/>
                <w:color w:val="auto"/>
                <w:sz w:val="14"/>
                <w:szCs w:val="16"/>
              </w:rPr>
              <w:t xml:space="preserve">Porcentaje </w:t>
            </w:r>
            <w:r w:rsidRPr="00673DC1">
              <w:rPr>
                <w:b w:val="0"/>
                <w:bCs w:val="0"/>
                <w:i/>
                <w:iCs/>
                <w:color w:val="auto"/>
                <w:sz w:val="14"/>
                <w:szCs w:val="16"/>
              </w:rPr>
              <w:br/>
              <w:t>de mujeres</w:t>
            </w:r>
          </w:p>
        </w:tc>
        <w:tc>
          <w:tcPr>
            <w:tcW w:w="861" w:type="dxa"/>
            <w:tcBorders>
              <w:top w:val="single" w:sz="4" w:space="0" w:color="auto"/>
              <w:bottom w:val="single" w:sz="12" w:space="0" w:color="auto"/>
            </w:tcBorders>
            <w:shd w:val="clear" w:color="auto" w:fill="auto"/>
            <w:noWrap/>
            <w:vAlign w:val="bottom"/>
          </w:tcPr>
          <w:p w14:paraId="557E949B" w14:textId="7440D045" w:rsidR="007742B6" w:rsidRPr="004D7CFB" w:rsidRDefault="007742B6" w:rsidP="007742B6">
            <w:pPr>
              <w:spacing w:before="80" w:after="80" w:line="160" w:lineRule="exact"/>
              <w:ind w:right="40"/>
              <w:jc w:val="right"/>
              <w:cnfStyle w:val="100000000000" w:firstRow="1" w:lastRow="0" w:firstColumn="0" w:lastColumn="0" w:oddVBand="0" w:evenVBand="0" w:oddHBand="0" w:evenHBand="0" w:firstRowFirstColumn="0" w:firstRowLastColumn="0" w:lastRowFirstColumn="0" w:lastRowLastColumn="0"/>
              <w:rPr>
                <w:i/>
                <w:color w:val="auto"/>
                <w:sz w:val="14"/>
                <w:szCs w:val="16"/>
              </w:rPr>
            </w:pPr>
            <w:r w:rsidRPr="00673DC1">
              <w:rPr>
                <w:b w:val="0"/>
                <w:bCs w:val="0"/>
                <w:i/>
                <w:iCs/>
                <w:color w:val="auto"/>
                <w:sz w:val="14"/>
                <w:szCs w:val="16"/>
              </w:rPr>
              <w:t>Hombres elegidos</w:t>
            </w:r>
          </w:p>
        </w:tc>
        <w:tc>
          <w:tcPr>
            <w:tcW w:w="860" w:type="dxa"/>
            <w:tcBorders>
              <w:top w:val="single" w:sz="4" w:space="0" w:color="auto"/>
              <w:bottom w:val="single" w:sz="12" w:space="0" w:color="auto"/>
            </w:tcBorders>
            <w:shd w:val="clear" w:color="auto" w:fill="auto"/>
            <w:noWrap/>
            <w:vAlign w:val="bottom"/>
          </w:tcPr>
          <w:p w14:paraId="7417EE40" w14:textId="19660875" w:rsidR="007742B6" w:rsidRPr="004D7CFB" w:rsidRDefault="007742B6" w:rsidP="007742B6">
            <w:pPr>
              <w:spacing w:before="80" w:after="80" w:line="160" w:lineRule="exact"/>
              <w:ind w:right="40"/>
              <w:jc w:val="right"/>
              <w:cnfStyle w:val="100000000000" w:firstRow="1" w:lastRow="0" w:firstColumn="0" w:lastColumn="0" w:oddVBand="0" w:evenVBand="0" w:oddHBand="0" w:evenHBand="0" w:firstRowFirstColumn="0" w:firstRowLastColumn="0" w:lastRowFirstColumn="0" w:lastRowLastColumn="0"/>
              <w:rPr>
                <w:i/>
                <w:color w:val="auto"/>
                <w:sz w:val="14"/>
                <w:szCs w:val="16"/>
              </w:rPr>
            </w:pPr>
            <w:r w:rsidRPr="00673DC1">
              <w:rPr>
                <w:b w:val="0"/>
                <w:bCs w:val="0"/>
                <w:i/>
                <w:iCs/>
                <w:color w:val="auto"/>
                <w:sz w:val="14"/>
                <w:szCs w:val="16"/>
              </w:rPr>
              <w:t>Porcentaje</w:t>
            </w:r>
            <w:r w:rsidRPr="00673DC1">
              <w:rPr>
                <w:b w:val="0"/>
                <w:bCs w:val="0"/>
                <w:i/>
                <w:iCs/>
                <w:color w:val="auto"/>
                <w:sz w:val="14"/>
                <w:szCs w:val="16"/>
              </w:rPr>
              <w:br/>
              <w:t>de hombres</w:t>
            </w:r>
          </w:p>
        </w:tc>
        <w:tc>
          <w:tcPr>
            <w:tcW w:w="861" w:type="dxa"/>
            <w:tcBorders>
              <w:top w:val="single" w:sz="4" w:space="0" w:color="auto"/>
              <w:bottom w:val="single" w:sz="12" w:space="0" w:color="auto"/>
            </w:tcBorders>
            <w:shd w:val="clear" w:color="auto" w:fill="auto"/>
            <w:noWrap/>
            <w:vAlign w:val="bottom"/>
          </w:tcPr>
          <w:p w14:paraId="551BF553" w14:textId="3AF1C82D" w:rsidR="007742B6" w:rsidRPr="004D7CFB" w:rsidRDefault="007742B6" w:rsidP="007742B6">
            <w:pPr>
              <w:spacing w:before="80" w:after="80" w:line="160" w:lineRule="exact"/>
              <w:ind w:right="40"/>
              <w:jc w:val="right"/>
              <w:cnfStyle w:val="100000000000" w:firstRow="1" w:lastRow="0" w:firstColumn="0" w:lastColumn="0" w:oddVBand="0" w:evenVBand="0" w:oddHBand="0" w:evenHBand="0" w:firstRowFirstColumn="0" w:firstRowLastColumn="0" w:lastRowFirstColumn="0" w:lastRowLastColumn="0"/>
              <w:rPr>
                <w:i/>
                <w:color w:val="auto"/>
                <w:sz w:val="14"/>
                <w:szCs w:val="16"/>
              </w:rPr>
            </w:pPr>
            <w:r w:rsidRPr="00673DC1">
              <w:rPr>
                <w:b w:val="0"/>
                <w:bCs w:val="0"/>
                <w:i/>
                <w:iCs/>
                <w:color w:val="auto"/>
                <w:sz w:val="14"/>
                <w:szCs w:val="16"/>
              </w:rPr>
              <w:t>Total</w:t>
            </w:r>
          </w:p>
        </w:tc>
      </w:tr>
      <w:tr w:rsidR="007742B6" w:rsidRPr="004D7CFB" w14:paraId="186996EF" w14:textId="77777777" w:rsidTr="007742B6">
        <w:trPr>
          <w:cnfStyle w:val="100000000000" w:firstRow="1" w:lastRow="0" w:firstColumn="0" w:lastColumn="0" w:oddVBand="0" w:evenVBand="0" w:oddHBand="0" w:evenHBand="0" w:firstRowFirstColumn="0" w:firstRowLastColumn="0" w:lastRowFirstColumn="0" w:lastRowLastColumn="0"/>
          <w:trHeight w:hRule="exact" w:val="115"/>
          <w:tblHeader/>
        </w:trPr>
        <w:tc>
          <w:tcPr>
            <w:cnfStyle w:val="001000000000" w:firstRow="0" w:lastRow="0" w:firstColumn="1" w:lastColumn="0" w:oddVBand="0" w:evenVBand="0" w:oddHBand="0" w:evenHBand="0" w:firstRowFirstColumn="0" w:firstRowLastColumn="0" w:lastRowFirstColumn="0" w:lastRowLastColumn="0"/>
            <w:tcW w:w="3006" w:type="dxa"/>
            <w:tcBorders>
              <w:top w:val="single" w:sz="12" w:space="0" w:color="auto"/>
              <w:left w:val="none" w:sz="0" w:space="0" w:color="auto"/>
              <w:bottom w:val="none" w:sz="0" w:space="0" w:color="auto"/>
            </w:tcBorders>
            <w:shd w:val="clear" w:color="auto" w:fill="auto"/>
            <w:noWrap/>
            <w:vAlign w:val="bottom"/>
          </w:tcPr>
          <w:p w14:paraId="6F8D60D3" w14:textId="77777777" w:rsidR="007742B6" w:rsidRPr="004D7CFB" w:rsidRDefault="007742B6" w:rsidP="007742B6">
            <w:pPr>
              <w:spacing w:before="40" w:after="40" w:line="210" w:lineRule="exact"/>
              <w:ind w:right="40"/>
              <w:rPr>
                <w:sz w:val="17"/>
                <w:szCs w:val="17"/>
              </w:rPr>
            </w:pPr>
          </w:p>
        </w:tc>
        <w:tc>
          <w:tcPr>
            <w:tcW w:w="860" w:type="dxa"/>
            <w:tcBorders>
              <w:top w:val="single" w:sz="12" w:space="0" w:color="auto"/>
              <w:bottom w:val="none" w:sz="0" w:space="0" w:color="auto"/>
            </w:tcBorders>
            <w:shd w:val="clear" w:color="auto" w:fill="auto"/>
            <w:noWrap/>
            <w:vAlign w:val="bottom"/>
          </w:tcPr>
          <w:p w14:paraId="1DC87F02" w14:textId="77777777" w:rsidR="007742B6" w:rsidRPr="004D7CFB" w:rsidRDefault="007742B6" w:rsidP="007742B6">
            <w:pPr>
              <w:spacing w:before="40" w:after="40" w:line="210" w:lineRule="exact"/>
              <w:ind w:right="40"/>
              <w:jc w:val="right"/>
              <w:cnfStyle w:val="100000000000" w:firstRow="1" w:lastRow="0" w:firstColumn="0" w:lastColumn="0" w:oddVBand="0" w:evenVBand="0" w:oddHBand="0" w:evenHBand="0" w:firstRowFirstColumn="0" w:firstRowLastColumn="0" w:lastRowFirstColumn="0" w:lastRowLastColumn="0"/>
              <w:rPr>
                <w:sz w:val="17"/>
                <w:szCs w:val="17"/>
              </w:rPr>
            </w:pPr>
          </w:p>
        </w:tc>
        <w:tc>
          <w:tcPr>
            <w:tcW w:w="860" w:type="dxa"/>
            <w:tcBorders>
              <w:top w:val="single" w:sz="12" w:space="0" w:color="auto"/>
              <w:bottom w:val="none" w:sz="0" w:space="0" w:color="auto"/>
            </w:tcBorders>
            <w:shd w:val="clear" w:color="auto" w:fill="auto"/>
            <w:noWrap/>
            <w:vAlign w:val="bottom"/>
          </w:tcPr>
          <w:p w14:paraId="2FBD290C" w14:textId="77777777" w:rsidR="007742B6" w:rsidRPr="004D7CFB" w:rsidRDefault="007742B6" w:rsidP="007742B6">
            <w:pPr>
              <w:spacing w:before="40" w:after="40" w:line="210" w:lineRule="exact"/>
              <w:ind w:right="40"/>
              <w:jc w:val="right"/>
              <w:cnfStyle w:val="100000000000" w:firstRow="1" w:lastRow="0" w:firstColumn="0" w:lastColumn="0" w:oddVBand="0" w:evenVBand="0" w:oddHBand="0" w:evenHBand="0" w:firstRowFirstColumn="0" w:firstRowLastColumn="0" w:lastRowFirstColumn="0" w:lastRowLastColumn="0"/>
              <w:rPr>
                <w:sz w:val="17"/>
                <w:szCs w:val="17"/>
              </w:rPr>
            </w:pPr>
          </w:p>
        </w:tc>
        <w:tc>
          <w:tcPr>
            <w:tcW w:w="861" w:type="dxa"/>
            <w:tcBorders>
              <w:top w:val="single" w:sz="12" w:space="0" w:color="auto"/>
              <w:bottom w:val="none" w:sz="0" w:space="0" w:color="auto"/>
            </w:tcBorders>
            <w:shd w:val="clear" w:color="auto" w:fill="auto"/>
            <w:noWrap/>
            <w:vAlign w:val="bottom"/>
          </w:tcPr>
          <w:p w14:paraId="06DC897B" w14:textId="77777777" w:rsidR="007742B6" w:rsidRPr="004D7CFB" w:rsidRDefault="007742B6" w:rsidP="007742B6">
            <w:pPr>
              <w:spacing w:before="40" w:after="40" w:line="210" w:lineRule="exact"/>
              <w:ind w:right="40"/>
              <w:jc w:val="right"/>
              <w:cnfStyle w:val="100000000000" w:firstRow="1" w:lastRow="0" w:firstColumn="0" w:lastColumn="0" w:oddVBand="0" w:evenVBand="0" w:oddHBand="0" w:evenHBand="0" w:firstRowFirstColumn="0" w:firstRowLastColumn="0" w:lastRowFirstColumn="0" w:lastRowLastColumn="0"/>
              <w:rPr>
                <w:sz w:val="17"/>
                <w:szCs w:val="17"/>
              </w:rPr>
            </w:pPr>
          </w:p>
        </w:tc>
        <w:tc>
          <w:tcPr>
            <w:tcW w:w="860" w:type="dxa"/>
            <w:tcBorders>
              <w:top w:val="single" w:sz="12" w:space="0" w:color="auto"/>
              <w:bottom w:val="none" w:sz="0" w:space="0" w:color="auto"/>
            </w:tcBorders>
            <w:shd w:val="clear" w:color="auto" w:fill="auto"/>
            <w:noWrap/>
            <w:vAlign w:val="bottom"/>
          </w:tcPr>
          <w:p w14:paraId="5592D82C" w14:textId="77777777" w:rsidR="007742B6" w:rsidRPr="004D7CFB" w:rsidRDefault="007742B6" w:rsidP="007742B6">
            <w:pPr>
              <w:spacing w:before="40" w:after="40" w:line="210" w:lineRule="exact"/>
              <w:ind w:right="40"/>
              <w:jc w:val="right"/>
              <w:cnfStyle w:val="100000000000" w:firstRow="1" w:lastRow="0" w:firstColumn="0" w:lastColumn="0" w:oddVBand="0" w:evenVBand="0" w:oddHBand="0" w:evenHBand="0" w:firstRowFirstColumn="0" w:firstRowLastColumn="0" w:lastRowFirstColumn="0" w:lastRowLastColumn="0"/>
              <w:rPr>
                <w:sz w:val="17"/>
                <w:szCs w:val="17"/>
              </w:rPr>
            </w:pPr>
          </w:p>
        </w:tc>
        <w:tc>
          <w:tcPr>
            <w:tcW w:w="861" w:type="dxa"/>
            <w:tcBorders>
              <w:top w:val="single" w:sz="12" w:space="0" w:color="auto"/>
              <w:bottom w:val="none" w:sz="0" w:space="0" w:color="auto"/>
              <w:right w:val="none" w:sz="0" w:space="0" w:color="auto"/>
            </w:tcBorders>
            <w:shd w:val="clear" w:color="auto" w:fill="auto"/>
            <w:noWrap/>
            <w:vAlign w:val="bottom"/>
          </w:tcPr>
          <w:p w14:paraId="7D7BFB6E" w14:textId="77777777" w:rsidR="007742B6" w:rsidRPr="004D7CFB" w:rsidRDefault="007742B6" w:rsidP="007742B6">
            <w:pPr>
              <w:spacing w:before="40" w:after="40" w:line="210" w:lineRule="exact"/>
              <w:ind w:right="40"/>
              <w:jc w:val="right"/>
              <w:cnfStyle w:val="100000000000" w:firstRow="1" w:lastRow="0" w:firstColumn="0" w:lastColumn="0" w:oddVBand="0" w:evenVBand="0" w:oddHBand="0" w:evenHBand="0" w:firstRowFirstColumn="0" w:firstRowLastColumn="0" w:lastRowFirstColumn="0" w:lastRowLastColumn="0"/>
              <w:rPr>
                <w:color w:val="auto"/>
                <w:sz w:val="17"/>
                <w:szCs w:val="17"/>
              </w:rPr>
            </w:pPr>
          </w:p>
        </w:tc>
      </w:tr>
      <w:tr w:rsidR="007742B6" w:rsidRPr="004D7CFB" w14:paraId="063493C6" w14:textId="77777777" w:rsidTr="007742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6" w:type="dxa"/>
            <w:shd w:val="clear" w:color="auto" w:fill="auto"/>
            <w:noWrap/>
            <w:vAlign w:val="bottom"/>
            <w:hideMark/>
          </w:tcPr>
          <w:p w14:paraId="77C77007" w14:textId="77777777" w:rsidR="007742B6" w:rsidRPr="004D7CFB" w:rsidRDefault="007742B6" w:rsidP="007742B6">
            <w:pPr>
              <w:tabs>
                <w:tab w:val="left" w:pos="288"/>
                <w:tab w:val="left" w:pos="576"/>
                <w:tab w:val="left" w:pos="864"/>
                <w:tab w:val="left" w:pos="1152"/>
              </w:tabs>
              <w:spacing w:before="40" w:after="40" w:line="210" w:lineRule="exact"/>
              <w:ind w:right="40"/>
              <w:rPr>
                <w:sz w:val="17"/>
                <w:szCs w:val="17"/>
              </w:rPr>
            </w:pPr>
            <w:r w:rsidRPr="004D7CFB">
              <w:rPr>
                <w:sz w:val="17"/>
                <w:szCs w:val="17"/>
              </w:rPr>
              <w:t>Alcaldía del Municipio Metropolitano</w:t>
            </w:r>
          </w:p>
        </w:tc>
        <w:tc>
          <w:tcPr>
            <w:tcW w:w="860" w:type="dxa"/>
            <w:shd w:val="clear" w:color="auto" w:fill="auto"/>
            <w:noWrap/>
            <w:vAlign w:val="bottom"/>
            <w:hideMark/>
          </w:tcPr>
          <w:p w14:paraId="3921A777" w14:textId="77777777" w:rsidR="007742B6" w:rsidRPr="004D7CFB" w:rsidRDefault="007742B6" w:rsidP="007742B6">
            <w:pPr>
              <w:tabs>
                <w:tab w:val="left" w:pos="288"/>
                <w:tab w:val="left" w:pos="576"/>
                <w:tab w:val="left" w:pos="864"/>
                <w:tab w:val="left" w:pos="1152"/>
              </w:tabs>
              <w:spacing w:before="40" w:after="40" w:line="210" w:lineRule="exact"/>
              <w:ind w:right="40"/>
              <w:jc w:val="right"/>
              <w:cnfStyle w:val="000000100000" w:firstRow="0" w:lastRow="0" w:firstColumn="0" w:lastColumn="0" w:oddVBand="0" w:evenVBand="0" w:oddHBand="1" w:evenHBand="0" w:firstRowFirstColumn="0" w:firstRowLastColumn="0" w:lastRowFirstColumn="0" w:lastRowLastColumn="0"/>
              <w:rPr>
                <w:sz w:val="17"/>
                <w:szCs w:val="17"/>
              </w:rPr>
            </w:pPr>
            <w:r w:rsidRPr="004D7CFB">
              <w:rPr>
                <w:sz w:val="17"/>
                <w:szCs w:val="17"/>
              </w:rPr>
              <w:t>5</w:t>
            </w:r>
          </w:p>
        </w:tc>
        <w:tc>
          <w:tcPr>
            <w:tcW w:w="860" w:type="dxa"/>
            <w:shd w:val="clear" w:color="auto" w:fill="auto"/>
            <w:noWrap/>
            <w:vAlign w:val="bottom"/>
            <w:hideMark/>
          </w:tcPr>
          <w:p w14:paraId="5B2261DC" w14:textId="77777777" w:rsidR="007742B6" w:rsidRPr="004D7CFB" w:rsidRDefault="007742B6" w:rsidP="007742B6">
            <w:pPr>
              <w:tabs>
                <w:tab w:val="left" w:pos="288"/>
                <w:tab w:val="left" w:pos="576"/>
                <w:tab w:val="left" w:pos="864"/>
                <w:tab w:val="left" w:pos="1152"/>
              </w:tabs>
              <w:spacing w:before="40" w:after="40" w:line="210" w:lineRule="exact"/>
              <w:ind w:right="40"/>
              <w:jc w:val="right"/>
              <w:cnfStyle w:val="000000100000" w:firstRow="0" w:lastRow="0" w:firstColumn="0" w:lastColumn="0" w:oddVBand="0" w:evenVBand="0" w:oddHBand="1" w:evenHBand="0" w:firstRowFirstColumn="0" w:firstRowLastColumn="0" w:lastRowFirstColumn="0" w:lastRowLastColumn="0"/>
              <w:rPr>
                <w:sz w:val="17"/>
                <w:szCs w:val="17"/>
              </w:rPr>
            </w:pPr>
            <w:r w:rsidRPr="004D7CFB">
              <w:rPr>
                <w:sz w:val="17"/>
                <w:szCs w:val="17"/>
              </w:rPr>
              <w:t>16,67</w:t>
            </w:r>
          </w:p>
        </w:tc>
        <w:tc>
          <w:tcPr>
            <w:tcW w:w="861" w:type="dxa"/>
            <w:shd w:val="clear" w:color="auto" w:fill="auto"/>
            <w:noWrap/>
            <w:vAlign w:val="bottom"/>
            <w:hideMark/>
          </w:tcPr>
          <w:p w14:paraId="511128C3" w14:textId="77777777" w:rsidR="007742B6" w:rsidRPr="004D7CFB" w:rsidRDefault="007742B6" w:rsidP="007742B6">
            <w:pPr>
              <w:tabs>
                <w:tab w:val="left" w:pos="288"/>
                <w:tab w:val="left" w:pos="576"/>
                <w:tab w:val="left" w:pos="864"/>
                <w:tab w:val="left" w:pos="1152"/>
              </w:tabs>
              <w:spacing w:before="40" w:after="40" w:line="210" w:lineRule="exact"/>
              <w:ind w:right="40"/>
              <w:jc w:val="right"/>
              <w:cnfStyle w:val="000000100000" w:firstRow="0" w:lastRow="0" w:firstColumn="0" w:lastColumn="0" w:oddVBand="0" w:evenVBand="0" w:oddHBand="1" w:evenHBand="0" w:firstRowFirstColumn="0" w:firstRowLastColumn="0" w:lastRowFirstColumn="0" w:lastRowLastColumn="0"/>
              <w:rPr>
                <w:sz w:val="17"/>
                <w:szCs w:val="17"/>
              </w:rPr>
            </w:pPr>
            <w:r w:rsidRPr="004D7CFB">
              <w:rPr>
                <w:sz w:val="17"/>
                <w:szCs w:val="17"/>
              </w:rPr>
              <w:t>25</w:t>
            </w:r>
          </w:p>
        </w:tc>
        <w:tc>
          <w:tcPr>
            <w:tcW w:w="860" w:type="dxa"/>
            <w:shd w:val="clear" w:color="auto" w:fill="auto"/>
            <w:noWrap/>
            <w:vAlign w:val="bottom"/>
            <w:hideMark/>
          </w:tcPr>
          <w:p w14:paraId="1A5593A3" w14:textId="77777777" w:rsidR="007742B6" w:rsidRPr="004D7CFB" w:rsidRDefault="007742B6" w:rsidP="007742B6">
            <w:pPr>
              <w:tabs>
                <w:tab w:val="left" w:pos="288"/>
                <w:tab w:val="left" w:pos="576"/>
                <w:tab w:val="left" w:pos="864"/>
                <w:tab w:val="left" w:pos="1152"/>
              </w:tabs>
              <w:spacing w:before="40" w:after="40" w:line="210" w:lineRule="exact"/>
              <w:ind w:right="40"/>
              <w:jc w:val="right"/>
              <w:cnfStyle w:val="000000100000" w:firstRow="0" w:lastRow="0" w:firstColumn="0" w:lastColumn="0" w:oddVBand="0" w:evenVBand="0" w:oddHBand="1" w:evenHBand="0" w:firstRowFirstColumn="0" w:firstRowLastColumn="0" w:lastRowFirstColumn="0" w:lastRowLastColumn="0"/>
              <w:rPr>
                <w:sz w:val="17"/>
                <w:szCs w:val="17"/>
              </w:rPr>
            </w:pPr>
            <w:r w:rsidRPr="004D7CFB">
              <w:rPr>
                <w:sz w:val="17"/>
                <w:szCs w:val="17"/>
              </w:rPr>
              <w:t>83,33</w:t>
            </w:r>
          </w:p>
        </w:tc>
        <w:tc>
          <w:tcPr>
            <w:tcW w:w="861" w:type="dxa"/>
            <w:shd w:val="clear" w:color="auto" w:fill="auto"/>
            <w:noWrap/>
            <w:vAlign w:val="bottom"/>
            <w:hideMark/>
          </w:tcPr>
          <w:p w14:paraId="600DA30A" w14:textId="77777777" w:rsidR="007742B6" w:rsidRPr="004D7CFB" w:rsidRDefault="007742B6" w:rsidP="007742B6">
            <w:pPr>
              <w:tabs>
                <w:tab w:val="left" w:pos="288"/>
                <w:tab w:val="left" w:pos="576"/>
                <w:tab w:val="left" w:pos="864"/>
                <w:tab w:val="left" w:pos="1152"/>
              </w:tabs>
              <w:spacing w:before="40" w:after="40" w:line="210" w:lineRule="exact"/>
              <w:ind w:right="40"/>
              <w:jc w:val="right"/>
              <w:cnfStyle w:val="000000100000" w:firstRow="0" w:lastRow="0" w:firstColumn="0" w:lastColumn="0" w:oddVBand="0" w:evenVBand="0" w:oddHBand="1" w:evenHBand="0" w:firstRowFirstColumn="0" w:firstRowLastColumn="0" w:lastRowFirstColumn="0" w:lastRowLastColumn="0"/>
              <w:rPr>
                <w:sz w:val="17"/>
                <w:szCs w:val="17"/>
              </w:rPr>
            </w:pPr>
            <w:r w:rsidRPr="004D7CFB">
              <w:rPr>
                <w:sz w:val="17"/>
                <w:szCs w:val="17"/>
              </w:rPr>
              <w:t>30</w:t>
            </w:r>
          </w:p>
        </w:tc>
      </w:tr>
      <w:tr w:rsidR="007742B6" w:rsidRPr="004D7CFB" w14:paraId="190716F3" w14:textId="77777777" w:rsidTr="007742B6">
        <w:tc>
          <w:tcPr>
            <w:cnfStyle w:val="001000000000" w:firstRow="0" w:lastRow="0" w:firstColumn="1" w:lastColumn="0" w:oddVBand="0" w:evenVBand="0" w:oddHBand="0" w:evenHBand="0" w:firstRowFirstColumn="0" w:firstRowLastColumn="0" w:lastRowFirstColumn="0" w:lastRowLastColumn="0"/>
            <w:tcW w:w="3006" w:type="dxa"/>
            <w:shd w:val="clear" w:color="auto" w:fill="auto"/>
            <w:noWrap/>
            <w:vAlign w:val="bottom"/>
            <w:hideMark/>
          </w:tcPr>
          <w:p w14:paraId="2A15BDF1" w14:textId="77777777" w:rsidR="007742B6" w:rsidRPr="004D7CFB" w:rsidRDefault="007742B6" w:rsidP="007742B6">
            <w:pPr>
              <w:tabs>
                <w:tab w:val="left" w:pos="288"/>
                <w:tab w:val="left" w:pos="576"/>
                <w:tab w:val="left" w:pos="864"/>
                <w:tab w:val="left" w:pos="1152"/>
              </w:tabs>
              <w:spacing w:before="40" w:after="40" w:line="210" w:lineRule="exact"/>
              <w:ind w:right="40"/>
              <w:rPr>
                <w:sz w:val="17"/>
                <w:szCs w:val="17"/>
              </w:rPr>
            </w:pPr>
            <w:r w:rsidRPr="004D7CFB">
              <w:rPr>
                <w:sz w:val="17"/>
                <w:szCs w:val="17"/>
              </w:rPr>
              <w:t>Alcaldía Municipal</w:t>
            </w:r>
          </w:p>
        </w:tc>
        <w:tc>
          <w:tcPr>
            <w:tcW w:w="860" w:type="dxa"/>
            <w:shd w:val="clear" w:color="auto" w:fill="auto"/>
            <w:noWrap/>
            <w:vAlign w:val="bottom"/>
            <w:hideMark/>
          </w:tcPr>
          <w:p w14:paraId="1F248412" w14:textId="77777777" w:rsidR="007742B6" w:rsidRPr="004D7CFB" w:rsidRDefault="007742B6" w:rsidP="007742B6">
            <w:pPr>
              <w:tabs>
                <w:tab w:val="left" w:pos="288"/>
                <w:tab w:val="left" w:pos="576"/>
                <w:tab w:val="left" w:pos="864"/>
                <w:tab w:val="left" w:pos="1152"/>
              </w:tabs>
              <w:spacing w:before="40" w:after="40" w:line="210" w:lineRule="exact"/>
              <w:ind w:right="40"/>
              <w:jc w:val="right"/>
              <w:cnfStyle w:val="000000000000" w:firstRow="0" w:lastRow="0" w:firstColumn="0" w:lastColumn="0" w:oddVBand="0" w:evenVBand="0" w:oddHBand="0" w:evenHBand="0" w:firstRowFirstColumn="0" w:firstRowLastColumn="0" w:lastRowFirstColumn="0" w:lastRowLastColumn="0"/>
              <w:rPr>
                <w:sz w:val="17"/>
                <w:szCs w:val="17"/>
              </w:rPr>
            </w:pPr>
            <w:r w:rsidRPr="004D7CFB">
              <w:rPr>
                <w:sz w:val="17"/>
                <w:szCs w:val="17"/>
              </w:rPr>
              <w:t>73</w:t>
            </w:r>
          </w:p>
        </w:tc>
        <w:tc>
          <w:tcPr>
            <w:tcW w:w="860" w:type="dxa"/>
            <w:shd w:val="clear" w:color="auto" w:fill="auto"/>
            <w:noWrap/>
            <w:vAlign w:val="bottom"/>
            <w:hideMark/>
          </w:tcPr>
          <w:p w14:paraId="56EB5EE2" w14:textId="77777777" w:rsidR="007742B6" w:rsidRPr="004D7CFB" w:rsidRDefault="007742B6" w:rsidP="007742B6">
            <w:pPr>
              <w:tabs>
                <w:tab w:val="left" w:pos="288"/>
                <w:tab w:val="left" w:pos="576"/>
                <w:tab w:val="left" w:pos="864"/>
                <w:tab w:val="left" w:pos="1152"/>
              </w:tabs>
              <w:spacing w:before="40" w:after="40" w:line="210" w:lineRule="exact"/>
              <w:ind w:right="40"/>
              <w:jc w:val="right"/>
              <w:cnfStyle w:val="000000000000" w:firstRow="0" w:lastRow="0" w:firstColumn="0" w:lastColumn="0" w:oddVBand="0" w:evenVBand="0" w:oddHBand="0" w:evenHBand="0" w:firstRowFirstColumn="0" w:firstRowLastColumn="0" w:lastRowFirstColumn="0" w:lastRowLastColumn="0"/>
              <w:rPr>
                <w:sz w:val="17"/>
                <w:szCs w:val="17"/>
              </w:rPr>
            </w:pPr>
            <w:r w:rsidRPr="004D7CFB">
              <w:rPr>
                <w:sz w:val="17"/>
                <w:szCs w:val="17"/>
              </w:rPr>
              <w:t>5,38</w:t>
            </w:r>
          </w:p>
        </w:tc>
        <w:tc>
          <w:tcPr>
            <w:tcW w:w="861" w:type="dxa"/>
            <w:shd w:val="clear" w:color="auto" w:fill="auto"/>
            <w:noWrap/>
            <w:vAlign w:val="bottom"/>
            <w:hideMark/>
          </w:tcPr>
          <w:p w14:paraId="1EA3F4B9" w14:textId="4434448D" w:rsidR="007742B6" w:rsidRPr="004D7CFB" w:rsidRDefault="007742B6" w:rsidP="007742B6">
            <w:pPr>
              <w:tabs>
                <w:tab w:val="left" w:pos="288"/>
                <w:tab w:val="left" w:pos="576"/>
                <w:tab w:val="left" w:pos="864"/>
                <w:tab w:val="left" w:pos="1152"/>
              </w:tabs>
              <w:spacing w:before="40" w:after="40" w:line="210" w:lineRule="exact"/>
              <w:ind w:right="40"/>
              <w:jc w:val="right"/>
              <w:cnfStyle w:val="000000000000" w:firstRow="0" w:lastRow="0" w:firstColumn="0" w:lastColumn="0" w:oddVBand="0" w:evenVBand="0" w:oddHBand="0" w:evenHBand="0" w:firstRowFirstColumn="0" w:firstRowLastColumn="0" w:lastRowFirstColumn="0" w:lastRowLastColumn="0"/>
              <w:rPr>
                <w:sz w:val="17"/>
                <w:szCs w:val="17"/>
              </w:rPr>
            </w:pPr>
            <w:r w:rsidRPr="004D7CFB">
              <w:rPr>
                <w:sz w:val="17"/>
                <w:szCs w:val="17"/>
              </w:rPr>
              <w:t>1 283</w:t>
            </w:r>
          </w:p>
        </w:tc>
        <w:tc>
          <w:tcPr>
            <w:tcW w:w="860" w:type="dxa"/>
            <w:shd w:val="clear" w:color="auto" w:fill="auto"/>
            <w:noWrap/>
            <w:vAlign w:val="bottom"/>
            <w:hideMark/>
          </w:tcPr>
          <w:p w14:paraId="12F010E9" w14:textId="77777777" w:rsidR="007742B6" w:rsidRPr="004D7CFB" w:rsidRDefault="007742B6" w:rsidP="007742B6">
            <w:pPr>
              <w:tabs>
                <w:tab w:val="left" w:pos="288"/>
                <w:tab w:val="left" w:pos="576"/>
                <w:tab w:val="left" w:pos="864"/>
                <w:tab w:val="left" w:pos="1152"/>
              </w:tabs>
              <w:spacing w:before="40" w:after="40" w:line="210" w:lineRule="exact"/>
              <w:ind w:right="40"/>
              <w:jc w:val="right"/>
              <w:cnfStyle w:val="000000000000" w:firstRow="0" w:lastRow="0" w:firstColumn="0" w:lastColumn="0" w:oddVBand="0" w:evenVBand="0" w:oddHBand="0" w:evenHBand="0" w:firstRowFirstColumn="0" w:firstRowLastColumn="0" w:lastRowFirstColumn="0" w:lastRowLastColumn="0"/>
              <w:rPr>
                <w:sz w:val="17"/>
                <w:szCs w:val="17"/>
              </w:rPr>
            </w:pPr>
            <w:r w:rsidRPr="004D7CFB">
              <w:rPr>
                <w:sz w:val="17"/>
                <w:szCs w:val="17"/>
              </w:rPr>
              <w:t>94,62</w:t>
            </w:r>
          </w:p>
        </w:tc>
        <w:tc>
          <w:tcPr>
            <w:tcW w:w="861" w:type="dxa"/>
            <w:shd w:val="clear" w:color="auto" w:fill="auto"/>
            <w:noWrap/>
            <w:vAlign w:val="bottom"/>
            <w:hideMark/>
          </w:tcPr>
          <w:p w14:paraId="1EC57ADC" w14:textId="6381AC7B" w:rsidR="007742B6" w:rsidRPr="004D7CFB" w:rsidRDefault="007742B6" w:rsidP="007742B6">
            <w:pPr>
              <w:tabs>
                <w:tab w:val="left" w:pos="288"/>
                <w:tab w:val="left" w:pos="576"/>
                <w:tab w:val="left" w:pos="864"/>
                <w:tab w:val="left" w:pos="1152"/>
              </w:tabs>
              <w:spacing w:before="40" w:after="40" w:line="210" w:lineRule="exact"/>
              <w:ind w:right="40"/>
              <w:jc w:val="right"/>
              <w:cnfStyle w:val="000000000000" w:firstRow="0" w:lastRow="0" w:firstColumn="0" w:lastColumn="0" w:oddVBand="0" w:evenVBand="0" w:oddHBand="0" w:evenHBand="0" w:firstRowFirstColumn="0" w:firstRowLastColumn="0" w:lastRowFirstColumn="0" w:lastRowLastColumn="0"/>
              <w:rPr>
                <w:sz w:val="17"/>
                <w:szCs w:val="17"/>
              </w:rPr>
            </w:pPr>
            <w:r w:rsidRPr="004D7CFB">
              <w:rPr>
                <w:sz w:val="17"/>
                <w:szCs w:val="17"/>
              </w:rPr>
              <w:t>1 356</w:t>
            </w:r>
          </w:p>
        </w:tc>
      </w:tr>
      <w:tr w:rsidR="007742B6" w:rsidRPr="004D7CFB" w14:paraId="1496C78E" w14:textId="77777777" w:rsidTr="007742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6" w:type="dxa"/>
            <w:shd w:val="clear" w:color="auto" w:fill="auto"/>
            <w:noWrap/>
            <w:vAlign w:val="bottom"/>
            <w:hideMark/>
          </w:tcPr>
          <w:p w14:paraId="400837A0" w14:textId="77777777" w:rsidR="007742B6" w:rsidRPr="004D7CFB" w:rsidRDefault="007742B6" w:rsidP="007742B6">
            <w:pPr>
              <w:tabs>
                <w:tab w:val="left" w:pos="288"/>
                <w:tab w:val="left" w:pos="576"/>
                <w:tab w:val="left" w:pos="864"/>
                <w:tab w:val="left" w:pos="1152"/>
              </w:tabs>
              <w:spacing w:before="40" w:after="40" w:line="210" w:lineRule="exact"/>
              <w:ind w:right="40"/>
              <w:rPr>
                <w:sz w:val="17"/>
                <w:szCs w:val="17"/>
              </w:rPr>
            </w:pPr>
            <w:r w:rsidRPr="004D7CFB">
              <w:rPr>
                <w:sz w:val="17"/>
                <w:szCs w:val="17"/>
              </w:rPr>
              <w:t>Concejo Municipal</w:t>
            </w:r>
          </w:p>
        </w:tc>
        <w:tc>
          <w:tcPr>
            <w:tcW w:w="860" w:type="dxa"/>
            <w:shd w:val="clear" w:color="auto" w:fill="auto"/>
            <w:noWrap/>
            <w:vAlign w:val="bottom"/>
            <w:hideMark/>
          </w:tcPr>
          <w:p w14:paraId="164ADCAE" w14:textId="4ED4AF7A" w:rsidR="007742B6" w:rsidRPr="004D7CFB" w:rsidRDefault="007742B6" w:rsidP="007742B6">
            <w:pPr>
              <w:tabs>
                <w:tab w:val="left" w:pos="288"/>
                <w:tab w:val="left" w:pos="576"/>
                <w:tab w:val="left" w:pos="864"/>
                <w:tab w:val="left" w:pos="1152"/>
              </w:tabs>
              <w:spacing w:before="40" w:after="40" w:line="210" w:lineRule="exact"/>
              <w:ind w:right="40"/>
              <w:jc w:val="right"/>
              <w:cnfStyle w:val="000000100000" w:firstRow="0" w:lastRow="0" w:firstColumn="0" w:lastColumn="0" w:oddVBand="0" w:evenVBand="0" w:oddHBand="1" w:evenHBand="0" w:firstRowFirstColumn="0" w:firstRowLastColumn="0" w:lastRowFirstColumn="0" w:lastRowLastColumn="0"/>
              <w:rPr>
                <w:sz w:val="17"/>
                <w:szCs w:val="17"/>
              </w:rPr>
            </w:pPr>
            <w:r w:rsidRPr="004D7CFB">
              <w:rPr>
                <w:sz w:val="17"/>
                <w:szCs w:val="17"/>
              </w:rPr>
              <w:t>2 567</w:t>
            </w:r>
          </w:p>
        </w:tc>
        <w:tc>
          <w:tcPr>
            <w:tcW w:w="860" w:type="dxa"/>
            <w:shd w:val="clear" w:color="auto" w:fill="auto"/>
            <w:noWrap/>
            <w:vAlign w:val="bottom"/>
            <w:hideMark/>
          </w:tcPr>
          <w:p w14:paraId="5100B3BC" w14:textId="77777777" w:rsidR="007742B6" w:rsidRPr="004D7CFB" w:rsidRDefault="007742B6" w:rsidP="007742B6">
            <w:pPr>
              <w:tabs>
                <w:tab w:val="left" w:pos="288"/>
                <w:tab w:val="left" w:pos="576"/>
                <w:tab w:val="left" w:pos="864"/>
                <w:tab w:val="left" w:pos="1152"/>
              </w:tabs>
              <w:spacing w:before="40" w:after="40" w:line="210" w:lineRule="exact"/>
              <w:ind w:right="40"/>
              <w:jc w:val="right"/>
              <w:cnfStyle w:val="000000100000" w:firstRow="0" w:lastRow="0" w:firstColumn="0" w:lastColumn="0" w:oddVBand="0" w:evenVBand="0" w:oddHBand="1" w:evenHBand="0" w:firstRowFirstColumn="0" w:firstRowLastColumn="0" w:lastRowFirstColumn="0" w:lastRowLastColumn="0"/>
              <w:rPr>
                <w:sz w:val="17"/>
                <w:szCs w:val="17"/>
              </w:rPr>
            </w:pPr>
            <w:r w:rsidRPr="004D7CFB">
              <w:rPr>
                <w:sz w:val="17"/>
                <w:szCs w:val="17"/>
              </w:rPr>
              <w:t>12,25</w:t>
            </w:r>
          </w:p>
        </w:tc>
        <w:tc>
          <w:tcPr>
            <w:tcW w:w="861" w:type="dxa"/>
            <w:shd w:val="clear" w:color="auto" w:fill="auto"/>
            <w:noWrap/>
            <w:vAlign w:val="bottom"/>
            <w:hideMark/>
          </w:tcPr>
          <w:p w14:paraId="22FC19CD" w14:textId="69A22682" w:rsidR="007742B6" w:rsidRPr="004D7CFB" w:rsidRDefault="007742B6" w:rsidP="007742B6">
            <w:pPr>
              <w:tabs>
                <w:tab w:val="left" w:pos="288"/>
                <w:tab w:val="left" w:pos="576"/>
                <w:tab w:val="left" w:pos="864"/>
                <w:tab w:val="left" w:pos="1152"/>
              </w:tabs>
              <w:spacing w:before="40" w:after="40" w:line="210" w:lineRule="exact"/>
              <w:ind w:right="40"/>
              <w:jc w:val="right"/>
              <w:cnfStyle w:val="000000100000" w:firstRow="0" w:lastRow="0" w:firstColumn="0" w:lastColumn="0" w:oddVBand="0" w:evenVBand="0" w:oddHBand="1" w:evenHBand="0" w:firstRowFirstColumn="0" w:firstRowLastColumn="0" w:lastRowFirstColumn="0" w:lastRowLastColumn="0"/>
              <w:rPr>
                <w:sz w:val="17"/>
                <w:szCs w:val="17"/>
              </w:rPr>
            </w:pPr>
            <w:r w:rsidRPr="004D7CFB">
              <w:rPr>
                <w:sz w:val="17"/>
                <w:szCs w:val="17"/>
              </w:rPr>
              <w:t>18 385</w:t>
            </w:r>
          </w:p>
        </w:tc>
        <w:tc>
          <w:tcPr>
            <w:tcW w:w="860" w:type="dxa"/>
            <w:shd w:val="clear" w:color="auto" w:fill="auto"/>
            <w:noWrap/>
            <w:vAlign w:val="bottom"/>
            <w:hideMark/>
          </w:tcPr>
          <w:p w14:paraId="3C769388" w14:textId="77777777" w:rsidR="007742B6" w:rsidRPr="004D7CFB" w:rsidRDefault="007742B6" w:rsidP="007742B6">
            <w:pPr>
              <w:tabs>
                <w:tab w:val="left" w:pos="288"/>
                <w:tab w:val="left" w:pos="576"/>
                <w:tab w:val="left" w:pos="864"/>
                <w:tab w:val="left" w:pos="1152"/>
              </w:tabs>
              <w:spacing w:before="40" w:after="40" w:line="210" w:lineRule="exact"/>
              <w:ind w:right="40"/>
              <w:jc w:val="right"/>
              <w:cnfStyle w:val="000000100000" w:firstRow="0" w:lastRow="0" w:firstColumn="0" w:lastColumn="0" w:oddVBand="0" w:evenVBand="0" w:oddHBand="1" w:evenHBand="0" w:firstRowFirstColumn="0" w:firstRowLastColumn="0" w:lastRowFirstColumn="0" w:lastRowLastColumn="0"/>
              <w:rPr>
                <w:sz w:val="17"/>
                <w:szCs w:val="17"/>
              </w:rPr>
            </w:pPr>
            <w:r w:rsidRPr="004D7CFB">
              <w:rPr>
                <w:sz w:val="17"/>
                <w:szCs w:val="17"/>
              </w:rPr>
              <w:t>87,75</w:t>
            </w:r>
          </w:p>
        </w:tc>
        <w:tc>
          <w:tcPr>
            <w:tcW w:w="861" w:type="dxa"/>
            <w:shd w:val="clear" w:color="auto" w:fill="auto"/>
            <w:noWrap/>
            <w:vAlign w:val="bottom"/>
            <w:hideMark/>
          </w:tcPr>
          <w:p w14:paraId="2C069BE1" w14:textId="4B5BD5F4" w:rsidR="007742B6" w:rsidRPr="004D7CFB" w:rsidRDefault="007742B6" w:rsidP="007742B6">
            <w:pPr>
              <w:tabs>
                <w:tab w:val="left" w:pos="288"/>
                <w:tab w:val="left" w:pos="576"/>
                <w:tab w:val="left" w:pos="864"/>
                <w:tab w:val="left" w:pos="1152"/>
              </w:tabs>
              <w:spacing w:before="40" w:after="40" w:line="210" w:lineRule="exact"/>
              <w:ind w:right="40"/>
              <w:jc w:val="right"/>
              <w:cnfStyle w:val="000000100000" w:firstRow="0" w:lastRow="0" w:firstColumn="0" w:lastColumn="0" w:oddVBand="0" w:evenVBand="0" w:oddHBand="1" w:evenHBand="0" w:firstRowFirstColumn="0" w:firstRowLastColumn="0" w:lastRowFirstColumn="0" w:lastRowLastColumn="0"/>
              <w:rPr>
                <w:sz w:val="17"/>
                <w:szCs w:val="17"/>
              </w:rPr>
            </w:pPr>
            <w:r w:rsidRPr="004D7CFB">
              <w:rPr>
                <w:sz w:val="17"/>
                <w:szCs w:val="17"/>
              </w:rPr>
              <w:t>20 952</w:t>
            </w:r>
          </w:p>
        </w:tc>
      </w:tr>
      <w:tr w:rsidR="007742B6" w:rsidRPr="004D7CFB" w14:paraId="3317D0E1" w14:textId="77777777" w:rsidTr="007742B6">
        <w:tc>
          <w:tcPr>
            <w:cnfStyle w:val="001000000000" w:firstRow="0" w:lastRow="0" w:firstColumn="1" w:lastColumn="0" w:oddVBand="0" w:evenVBand="0" w:oddHBand="0" w:evenHBand="0" w:firstRowFirstColumn="0" w:firstRowLastColumn="0" w:lastRowFirstColumn="0" w:lastRowLastColumn="0"/>
            <w:tcW w:w="3006" w:type="dxa"/>
            <w:shd w:val="clear" w:color="auto" w:fill="auto"/>
            <w:noWrap/>
            <w:vAlign w:val="bottom"/>
            <w:hideMark/>
          </w:tcPr>
          <w:p w14:paraId="77724AA1" w14:textId="77777777" w:rsidR="007742B6" w:rsidRPr="004D7CFB" w:rsidRDefault="007742B6" w:rsidP="007742B6">
            <w:pPr>
              <w:tabs>
                <w:tab w:val="left" w:pos="288"/>
                <w:tab w:val="left" w:pos="576"/>
                <w:tab w:val="left" w:pos="864"/>
                <w:tab w:val="left" w:pos="1152"/>
              </w:tabs>
              <w:spacing w:before="40" w:after="40" w:line="210" w:lineRule="exact"/>
              <w:ind w:right="40"/>
              <w:rPr>
                <w:sz w:val="17"/>
                <w:szCs w:val="17"/>
              </w:rPr>
            </w:pPr>
            <w:r w:rsidRPr="004D7CFB">
              <w:rPr>
                <w:sz w:val="17"/>
                <w:szCs w:val="17"/>
              </w:rPr>
              <w:lastRenderedPageBreak/>
              <w:t>Concejo Provincial</w:t>
            </w:r>
          </w:p>
        </w:tc>
        <w:tc>
          <w:tcPr>
            <w:tcW w:w="860" w:type="dxa"/>
            <w:shd w:val="clear" w:color="auto" w:fill="auto"/>
            <w:noWrap/>
            <w:vAlign w:val="bottom"/>
            <w:hideMark/>
          </w:tcPr>
          <w:p w14:paraId="76A5FD98" w14:textId="77777777" w:rsidR="007742B6" w:rsidRPr="004D7CFB" w:rsidRDefault="007742B6" w:rsidP="007742B6">
            <w:pPr>
              <w:tabs>
                <w:tab w:val="left" w:pos="288"/>
                <w:tab w:val="left" w:pos="576"/>
                <w:tab w:val="left" w:pos="864"/>
                <w:tab w:val="left" w:pos="1152"/>
              </w:tabs>
              <w:spacing w:before="40" w:after="40" w:line="210" w:lineRule="exact"/>
              <w:ind w:right="40"/>
              <w:jc w:val="right"/>
              <w:cnfStyle w:val="000000000000" w:firstRow="0" w:lastRow="0" w:firstColumn="0" w:lastColumn="0" w:oddVBand="0" w:evenVBand="0" w:oddHBand="0" w:evenHBand="0" w:firstRowFirstColumn="0" w:firstRowLastColumn="0" w:lastRowFirstColumn="0" w:lastRowLastColumn="0"/>
              <w:rPr>
                <w:sz w:val="17"/>
                <w:szCs w:val="17"/>
              </w:rPr>
            </w:pPr>
            <w:r w:rsidRPr="004D7CFB">
              <w:rPr>
                <w:sz w:val="17"/>
                <w:szCs w:val="17"/>
              </w:rPr>
              <w:t>63</w:t>
            </w:r>
          </w:p>
        </w:tc>
        <w:tc>
          <w:tcPr>
            <w:tcW w:w="860" w:type="dxa"/>
            <w:shd w:val="clear" w:color="auto" w:fill="auto"/>
            <w:noWrap/>
            <w:vAlign w:val="bottom"/>
            <w:hideMark/>
          </w:tcPr>
          <w:p w14:paraId="58FE9AD7" w14:textId="77777777" w:rsidR="007742B6" w:rsidRPr="004D7CFB" w:rsidRDefault="007742B6" w:rsidP="007742B6">
            <w:pPr>
              <w:tabs>
                <w:tab w:val="left" w:pos="288"/>
                <w:tab w:val="left" w:pos="576"/>
                <w:tab w:val="left" w:pos="864"/>
                <w:tab w:val="left" w:pos="1152"/>
              </w:tabs>
              <w:spacing w:before="40" w:after="40" w:line="210" w:lineRule="exact"/>
              <w:ind w:right="40"/>
              <w:jc w:val="right"/>
              <w:cnfStyle w:val="000000000000" w:firstRow="0" w:lastRow="0" w:firstColumn="0" w:lastColumn="0" w:oddVBand="0" w:evenVBand="0" w:oddHBand="0" w:evenHBand="0" w:firstRowFirstColumn="0" w:firstRowLastColumn="0" w:lastRowFirstColumn="0" w:lastRowLastColumn="0"/>
              <w:rPr>
                <w:sz w:val="17"/>
                <w:szCs w:val="17"/>
              </w:rPr>
            </w:pPr>
            <w:r w:rsidRPr="004D7CFB">
              <w:rPr>
                <w:sz w:val="17"/>
                <w:szCs w:val="17"/>
              </w:rPr>
              <w:t>4,91</w:t>
            </w:r>
          </w:p>
        </w:tc>
        <w:tc>
          <w:tcPr>
            <w:tcW w:w="861" w:type="dxa"/>
            <w:shd w:val="clear" w:color="auto" w:fill="auto"/>
            <w:noWrap/>
            <w:vAlign w:val="bottom"/>
            <w:hideMark/>
          </w:tcPr>
          <w:p w14:paraId="3A87163A" w14:textId="33893C5A" w:rsidR="007742B6" w:rsidRPr="004D7CFB" w:rsidRDefault="007742B6" w:rsidP="007742B6">
            <w:pPr>
              <w:tabs>
                <w:tab w:val="left" w:pos="288"/>
                <w:tab w:val="left" w:pos="576"/>
                <w:tab w:val="left" w:pos="864"/>
                <w:tab w:val="left" w:pos="1152"/>
              </w:tabs>
              <w:spacing w:before="40" w:after="40" w:line="210" w:lineRule="exact"/>
              <w:ind w:right="40"/>
              <w:jc w:val="right"/>
              <w:cnfStyle w:val="000000000000" w:firstRow="0" w:lastRow="0" w:firstColumn="0" w:lastColumn="0" w:oddVBand="0" w:evenVBand="0" w:oddHBand="0" w:evenHBand="0" w:firstRowFirstColumn="0" w:firstRowLastColumn="0" w:lastRowFirstColumn="0" w:lastRowLastColumn="0"/>
              <w:rPr>
                <w:sz w:val="17"/>
                <w:szCs w:val="17"/>
              </w:rPr>
            </w:pPr>
            <w:r w:rsidRPr="004D7CFB">
              <w:rPr>
                <w:sz w:val="17"/>
                <w:szCs w:val="17"/>
              </w:rPr>
              <w:t>1 219</w:t>
            </w:r>
          </w:p>
        </w:tc>
        <w:tc>
          <w:tcPr>
            <w:tcW w:w="860" w:type="dxa"/>
            <w:shd w:val="clear" w:color="auto" w:fill="auto"/>
            <w:noWrap/>
            <w:vAlign w:val="bottom"/>
            <w:hideMark/>
          </w:tcPr>
          <w:p w14:paraId="6B6C8D07" w14:textId="77777777" w:rsidR="007742B6" w:rsidRPr="004D7CFB" w:rsidRDefault="007742B6" w:rsidP="007742B6">
            <w:pPr>
              <w:tabs>
                <w:tab w:val="left" w:pos="288"/>
                <w:tab w:val="left" w:pos="576"/>
                <w:tab w:val="left" w:pos="864"/>
                <w:tab w:val="left" w:pos="1152"/>
              </w:tabs>
              <w:spacing w:before="40" w:after="40" w:line="210" w:lineRule="exact"/>
              <w:ind w:right="40"/>
              <w:jc w:val="right"/>
              <w:cnfStyle w:val="000000000000" w:firstRow="0" w:lastRow="0" w:firstColumn="0" w:lastColumn="0" w:oddVBand="0" w:evenVBand="0" w:oddHBand="0" w:evenHBand="0" w:firstRowFirstColumn="0" w:firstRowLastColumn="0" w:lastRowFirstColumn="0" w:lastRowLastColumn="0"/>
              <w:rPr>
                <w:sz w:val="17"/>
                <w:szCs w:val="17"/>
              </w:rPr>
            </w:pPr>
            <w:r w:rsidRPr="004D7CFB">
              <w:rPr>
                <w:sz w:val="17"/>
                <w:szCs w:val="17"/>
              </w:rPr>
              <w:t>95,09</w:t>
            </w:r>
          </w:p>
        </w:tc>
        <w:tc>
          <w:tcPr>
            <w:tcW w:w="861" w:type="dxa"/>
            <w:shd w:val="clear" w:color="auto" w:fill="auto"/>
            <w:noWrap/>
            <w:vAlign w:val="bottom"/>
            <w:hideMark/>
          </w:tcPr>
          <w:p w14:paraId="3E6B3D34" w14:textId="36187494" w:rsidR="007742B6" w:rsidRPr="004D7CFB" w:rsidRDefault="007742B6" w:rsidP="007742B6">
            <w:pPr>
              <w:tabs>
                <w:tab w:val="left" w:pos="288"/>
                <w:tab w:val="left" w:pos="576"/>
                <w:tab w:val="left" w:pos="864"/>
                <w:tab w:val="left" w:pos="1152"/>
              </w:tabs>
              <w:spacing w:before="40" w:after="40" w:line="210" w:lineRule="exact"/>
              <w:ind w:right="40"/>
              <w:jc w:val="right"/>
              <w:cnfStyle w:val="000000000000" w:firstRow="0" w:lastRow="0" w:firstColumn="0" w:lastColumn="0" w:oddVBand="0" w:evenVBand="0" w:oddHBand="0" w:evenHBand="0" w:firstRowFirstColumn="0" w:firstRowLastColumn="0" w:lastRowFirstColumn="0" w:lastRowLastColumn="0"/>
              <w:rPr>
                <w:sz w:val="17"/>
                <w:szCs w:val="17"/>
              </w:rPr>
            </w:pPr>
            <w:r w:rsidRPr="004D7CFB">
              <w:rPr>
                <w:sz w:val="17"/>
                <w:szCs w:val="17"/>
              </w:rPr>
              <w:t>1 282</w:t>
            </w:r>
          </w:p>
        </w:tc>
      </w:tr>
      <w:tr w:rsidR="007742B6" w:rsidRPr="004D7CFB" w14:paraId="04732185" w14:textId="77777777" w:rsidTr="007742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6" w:type="dxa"/>
            <w:tcBorders>
              <w:bottom w:val="single" w:sz="12" w:space="0" w:color="auto"/>
            </w:tcBorders>
            <w:shd w:val="clear" w:color="auto" w:fill="auto"/>
            <w:noWrap/>
            <w:vAlign w:val="bottom"/>
            <w:hideMark/>
          </w:tcPr>
          <w:p w14:paraId="33B50B2D" w14:textId="77777777" w:rsidR="007742B6" w:rsidRPr="004D7CFB" w:rsidRDefault="007742B6" w:rsidP="007742B6">
            <w:pPr>
              <w:tabs>
                <w:tab w:val="left" w:pos="288"/>
                <w:tab w:val="left" w:pos="576"/>
                <w:tab w:val="left" w:pos="864"/>
                <w:tab w:val="left" w:pos="1152"/>
              </w:tabs>
              <w:spacing w:before="40" w:after="40" w:line="210" w:lineRule="exact"/>
              <w:ind w:right="40"/>
              <w:rPr>
                <w:sz w:val="17"/>
                <w:szCs w:val="17"/>
              </w:rPr>
            </w:pPr>
            <w:r w:rsidRPr="004D7CFB">
              <w:rPr>
                <w:sz w:val="17"/>
                <w:szCs w:val="17"/>
              </w:rPr>
              <w:t>Autoridad municipal (</w:t>
            </w:r>
            <w:r w:rsidRPr="004D7CFB">
              <w:rPr>
                <w:i/>
                <w:iCs/>
                <w:sz w:val="17"/>
                <w:szCs w:val="17"/>
              </w:rPr>
              <w:t>mujtar</w:t>
            </w:r>
            <w:r w:rsidRPr="004D7CFB">
              <w:rPr>
                <w:sz w:val="17"/>
                <w:szCs w:val="17"/>
              </w:rPr>
              <w:t>)</w:t>
            </w:r>
          </w:p>
        </w:tc>
        <w:tc>
          <w:tcPr>
            <w:tcW w:w="860" w:type="dxa"/>
            <w:tcBorders>
              <w:bottom w:val="single" w:sz="12" w:space="0" w:color="auto"/>
            </w:tcBorders>
            <w:shd w:val="clear" w:color="auto" w:fill="auto"/>
            <w:noWrap/>
            <w:vAlign w:val="bottom"/>
            <w:hideMark/>
          </w:tcPr>
          <w:p w14:paraId="437A831B" w14:textId="0EF51F33" w:rsidR="007742B6" w:rsidRPr="004D7CFB" w:rsidRDefault="007742B6" w:rsidP="007742B6">
            <w:pPr>
              <w:tabs>
                <w:tab w:val="left" w:pos="288"/>
                <w:tab w:val="left" w:pos="576"/>
                <w:tab w:val="left" w:pos="864"/>
                <w:tab w:val="left" w:pos="1152"/>
              </w:tabs>
              <w:spacing w:before="40" w:after="40" w:line="210" w:lineRule="exact"/>
              <w:ind w:right="40"/>
              <w:jc w:val="right"/>
              <w:cnfStyle w:val="000000100000" w:firstRow="0" w:lastRow="0" w:firstColumn="0" w:lastColumn="0" w:oddVBand="0" w:evenVBand="0" w:oddHBand="1" w:evenHBand="0" w:firstRowFirstColumn="0" w:firstRowLastColumn="0" w:lastRowFirstColumn="0" w:lastRowLastColumn="0"/>
              <w:rPr>
                <w:sz w:val="17"/>
                <w:szCs w:val="17"/>
              </w:rPr>
            </w:pPr>
            <w:r w:rsidRPr="004D7CFB">
              <w:rPr>
                <w:sz w:val="17"/>
                <w:szCs w:val="17"/>
              </w:rPr>
              <w:t>1 442</w:t>
            </w:r>
          </w:p>
        </w:tc>
        <w:tc>
          <w:tcPr>
            <w:tcW w:w="860" w:type="dxa"/>
            <w:tcBorders>
              <w:bottom w:val="single" w:sz="12" w:space="0" w:color="auto"/>
            </w:tcBorders>
            <w:shd w:val="clear" w:color="auto" w:fill="auto"/>
            <w:noWrap/>
            <w:vAlign w:val="bottom"/>
            <w:hideMark/>
          </w:tcPr>
          <w:p w14:paraId="4E0480C5" w14:textId="77777777" w:rsidR="007742B6" w:rsidRPr="004D7CFB" w:rsidRDefault="007742B6" w:rsidP="007742B6">
            <w:pPr>
              <w:tabs>
                <w:tab w:val="left" w:pos="288"/>
                <w:tab w:val="left" w:pos="576"/>
                <w:tab w:val="left" w:pos="864"/>
                <w:tab w:val="left" w:pos="1152"/>
              </w:tabs>
              <w:spacing w:before="40" w:after="40" w:line="210" w:lineRule="exact"/>
              <w:ind w:right="40"/>
              <w:jc w:val="right"/>
              <w:cnfStyle w:val="000000100000" w:firstRow="0" w:lastRow="0" w:firstColumn="0" w:lastColumn="0" w:oddVBand="0" w:evenVBand="0" w:oddHBand="1" w:evenHBand="0" w:firstRowFirstColumn="0" w:firstRowLastColumn="0" w:lastRowFirstColumn="0" w:lastRowLastColumn="0"/>
              <w:rPr>
                <w:sz w:val="17"/>
                <w:szCs w:val="17"/>
              </w:rPr>
            </w:pPr>
            <w:r w:rsidRPr="004D7CFB">
              <w:rPr>
                <w:sz w:val="17"/>
                <w:szCs w:val="17"/>
              </w:rPr>
              <w:t>3,12</w:t>
            </w:r>
          </w:p>
        </w:tc>
        <w:tc>
          <w:tcPr>
            <w:tcW w:w="861" w:type="dxa"/>
            <w:tcBorders>
              <w:bottom w:val="single" w:sz="12" w:space="0" w:color="auto"/>
            </w:tcBorders>
            <w:shd w:val="clear" w:color="auto" w:fill="auto"/>
            <w:noWrap/>
            <w:vAlign w:val="bottom"/>
            <w:hideMark/>
          </w:tcPr>
          <w:p w14:paraId="1DCCD6DE" w14:textId="4FB95170" w:rsidR="007742B6" w:rsidRPr="004D7CFB" w:rsidRDefault="007742B6" w:rsidP="007742B6">
            <w:pPr>
              <w:tabs>
                <w:tab w:val="left" w:pos="288"/>
                <w:tab w:val="left" w:pos="576"/>
                <w:tab w:val="left" w:pos="864"/>
                <w:tab w:val="left" w:pos="1152"/>
              </w:tabs>
              <w:spacing w:before="40" w:after="40" w:line="210" w:lineRule="exact"/>
              <w:ind w:right="40"/>
              <w:jc w:val="right"/>
              <w:cnfStyle w:val="000000100000" w:firstRow="0" w:lastRow="0" w:firstColumn="0" w:lastColumn="0" w:oddVBand="0" w:evenVBand="0" w:oddHBand="1" w:evenHBand="0" w:firstRowFirstColumn="0" w:firstRowLastColumn="0" w:lastRowFirstColumn="0" w:lastRowLastColumn="0"/>
              <w:rPr>
                <w:sz w:val="17"/>
                <w:szCs w:val="17"/>
              </w:rPr>
            </w:pPr>
            <w:r w:rsidRPr="004D7CFB">
              <w:rPr>
                <w:sz w:val="17"/>
                <w:szCs w:val="17"/>
              </w:rPr>
              <w:t>44 760</w:t>
            </w:r>
          </w:p>
        </w:tc>
        <w:tc>
          <w:tcPr>
            <w:tcW w:w="860" w:type="dxa"/>
            <w:tcBorders>
              <w:bottom w:val="single" w:sz="12" w:space="0" w:color="auto"/>
            </w:tcBorders>
            <w:shd w:val="clear" w:color="auto" w:fill="auto"/>
            <w:noWrap/>
            <w:vAlign w:val="bottom"/>
            <w:hideMark/>
          </w:tcPr>
          <w:p w14:paraId="565BB932" w14:textId="77777777" w:rsidR="007742B6" w:rsidRPr="004D7CFB" w:rsidRDefault="007742B6" w:rsidP="007742B6">
            <w:pPr>
              <w:tabs>
                <w:tab w:val="left" w:pos="288"/>
                <w:tab w:val="left" w:pos="576"/>
                <w:tab w:val="left" w:pos="864"/>
                <w:tab w:val="left" w:pos="1152"/>
              </w:tabs>
              <w:spacing w:before="40" w:after="40" w:line="210" w:lineRule="exact"/>
              <w:ind w:right="40"/>
              <w:jc w:val="right"/>
              <w:cnfStyle w:val="000000100000" w:firstRow="0" w:lastRow="0" w:firstColumn="0" w:lastColumn="0" w:oddVBand="0" w:evenVBand="0" w:oddHBand="1" w:evenHBand="0" w:firstRowFirstColumn="0" w:firstRowLastColumn="0" w:lastRowFirstColumn="0" w:lastRowLastColumn="0"/>
              <w:rPr>
                <w:sz w:val="17"/>
                <w:szCs w:val="17"/>
              </w:rPr>
            </w:pPr>
            <w:r w:rsidRPr="004D7CFB">
              <w:rPr>
                <w:sz w:val="17"/>
                <w:szCs w:val="17"/>
              </w:rPr>
              <w:t>96,88</w:t>
            </w:r>
          </w:p>
        </w:tc>
        <w:tc>
          <w:tcPr>
            <w:tcW w:w="861" w:type="dxa"/>
            <w:tcBorders>
              <w:bottom w:val="single" w:sz="12" w:space="0" w:color="auto"/>
            </w:tcBorders>
            <w:shd w:val="clear" w:color="auto" w:fill="auto"/>
            <w:noWrap/>
            <w:vAlign w:val="bottom"/>
            <w:hideMark/>
          </w:tcPr>
          <w:p w14:paraId="17DC95FF" w14:textId="38BC7927" w:rsidR="007742B6" w:rsidRPr="004D7CFB" w:rsidRDefault="007742B6" w:rsidP="007742B6">
            <w:pPr>
              <w:tabs>
                <w:tab w:val="left" w:pos="288"/>
                <w:tab w:val="left" w:pos="576"/>
                <w:tab w:val="left" w:pos="864"/>
                <w:tab w:val="left" w:pos="1152"/>
              </w:tabs>
              <w:spacing w:before="40" w:after="40" w:line="210" w:lineRule="exact"/>
              <w:ind w:right="40"/>
              <w:jc w:val="right"/>
              <w:cnfStyle w:val="000000100000" w:firstRow="0" w:lastRow="0" w:firstColumn="0" w:lastColumn="0" w:oddVBand="0" w:evenVBand="0" w:oddHBand="1" w:evenHBand="0" w:firstRowFirstColumn="0" w:firstRowLastColumn="0" w:lastRowFirstColumn="0" w:lastRowLastColumn="0"/>
              <w:rPr>
                <w:sz w:val="17"/>
                <w:szCs w:val="17"/>
              </w:rPr>
            </w:pPr>
            <w:r w:rsidRPr="004D7CFB">
              <w:rPr>
                <w:sz w:val="17"/>
                <w:szCs w:val="17"/>
              </w:rPr>
              <w:t>46 202</w:t>
            </w:r>
          </w:p>
        </w:tc>
      </w:tr>
    </w:tbl>
    <w:p w14:paraId="0C785EDA" w14:textId="77777777" w:rsidR="004B5867" w:rsidRPr="004D7CFB" w:rsidRDefault="004B5867" w:rsidP="001D3F2D">
      <w:pPr>
        <w:pStyle w:val="SingleTxt"/>
        <w:spacing w:after="0" w:line="120" w:lineRule="exact"/>
        <w:rPr>
          <w:sz w:val="10"/>
        </w:rPr>
      </w:pPr>
    </w:p>
    <w:p w14:paraId="4BBA4B58" w14:textId="77777777" w:rsidR="001D3F2D" w:rsidRPr="004D7CFB" w:rsidRDefault="001D3F2D" w:rsidP="001D3F2D">
      <w:pPr>
        <w:pStyle w:val="SingleTxt"/>
        <w:spacing w:after="0" w:line="120" w:lineRule="exact"/>
        <w:rPr>
          <w:sz w:val="10"/>
        </w:rPr>
      </w:pPr>
    </w:p>
    <w:p w14:paraId="03A0F803" w14:textId="2BC3371F" w:rsidR="004B5867" w:rsidRPr="004D7CFB" w:rsidRDefault="004B5867" w:rsidP="009B0F7B">
      <w:pPr>
        <w:pStyle w:val="SingleTxt"/>
        <w:numPr>
          <w:ilvl w:val="0"/>
          <w:numId w:val="26"/>
        </w:numPr>
        <w:ind w:left="1267"/>
      </w:pPr>
      <w:r w:rsidRPr="00673DC1">
        <w:t>Actualmente, hay una mujer en el Gabinete, lo que representa el 5,88 % de las funciones ministeriales. De los 70 Viceministerios, 6 están ocupados por mujeres, lo que representa el 8,57 % de esos cargos.</w:t>
      </w:r>
    </w:p>
    <w:p w14:paraId="1DB2CF22" w14:textId="4044CB5B" w:rsidR="004B5867" w:rsidRPr="004D7CFB" w:rsidRDefault="004B5867" w:rsidP="009B0F7B">
      <w:pPr>
        <w:pStyle w:val="SingleTxt"/>
        <w:numPr>
          <w:ilvl w:val="0"/>
          <w:numId w:val="26"/>
        </w:numPr>
        <w:ind w:left="1267"/>
      </w:pPr>
      <w:r w:rsidRPr="00673DC1">
        <w:t>En cuanto a los puestos directivos en el sector público (datos de diciembre de</w:t>
      </w:r>
      <w:r w:rsidR="00F8287C" w:rsidRPr="00673DC1">
        <w:t> </w:t>
      </w:r>
      <w:r w:rsidRPr="00673DC1">
        <w:t>2023), las mujeres ocupan el 13,76 % de los puestos de dirección general y el</w:t>
      </w:r>
      <w:r w:rsidR="00F8287C" w:rsidRPr="00673DC1">
        <w:t> </w:t>
      </w:r>
      <w:r w:rsidRPr="00673DC1">
        <w:t>13,57 % de los puestos de subdirección general. Los datos de mayo de 2024 revelan que las mujeres representan el 42,66 % de todo el personal público. Resulta alentador observar una tendencia positiva en los distintos ministerios, incluidos los de Interior, Relaciones Exteriores y Justicia.</w:t>
      </w:r>
    </w:p>
    <w:p w14:paraId="2E3DD9ED" w14:textId="32BEE4F5" w:rsidR="004B5867" w:rsidRPr="004D7CFB" w:rsidRDefault="004B5867" w:rsidP="009B0F7B">
      <w:pPr>
        <w:pStyle w:val="SingleTxt"/>
        <w:numPr>
          <w:ilvl w:val="0"/>
          <w:numId w:val="26"/>
        </w:numPr>
        <w:ind w:left="1267"/>
      </w:pPr>
      <w:r w:rsidRPr="00673DC1">
        <w:t>El número de mujeres que trabajan en el Ministerio del Interior ido aumentando a lo largo de los años:</w:t>
      </w:r>
    </w:p>
    <w:p w14:paraId="6FC104E5" w14:textId="77777777" w:rsidR="004B5867" w:rsidRPr="004D7CFB" w:rsidRDefault="004B5867" w:rsidP="001D3F2D">
      <w:pPr>
        <w:pStyle w:val="SingleTxt"/>
        <w:spacing w:after="0" w:line="120" w:lineRule="exact"/>
        <w:rPr>
          <w:sz w:val="10"/>
        </w:rPr>
      </w:pPr>
    </w:p>
    <w:tbl>
      <w:tblPr>
        <w:tblStyle w:val="GridTable4-Accent3"/>
        <w:tblW w:w="7357" w:type="dxa"/>
        <w:tblInd w:w="12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292"/>
        <w:gridCol w:w="1532"/>
        <w:gridCol w:w="1533"/>
      </w:tblGrid>
      <w:tr w:rsidR="001D3F2D" w:rsidRPr="004D7CFB" w14:paraId="65F3D524" w14:textId="77777777" w:rsidTr="001D3F2D">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4292" w:type="dxa"/>
            <w:tcBorders>
              <w:top w:val="single" w:sz="4" w:space="0" w:color="auto"/>
              <w:left w:val="none" w:sz="0" w:space="0" w:color="auto"/>
              <w:bottom w:val="single" w:sz="12" w:space="0" w:color="auto"/>
              <w:right w:val="none" w:sz="0" w:space="0" w:color="auto"/>
            </w:tcBorders>
            <w:shd w:val="clear" w:color="auto" w:fill="auto"/>
            <w:vAlign w:val="bottom"/>
          </w:tcPr>
          <w:p w14:paraId="71F16285" w14:textId="77777777" w:rsidR="001D3F2D" w:rsidRPr="00673DC1" w:rsidRDefault="001D3F2D" w:rsidP="001D3F2D">
            <w:pPr>
              <w:pStyle w:val="SingleTxtG"/>
              <w:tabs>
                <w:tab w:val="clear" w:pos="1701"/>
                <w:tab w:val="clear" w:pos="2268"/>
                <w:tab w:val="clear" w:pos="2835"/>
              </w:tabs>
              <w:spacing w:before="80" w:after="80" w:line="160" w:lineRule="exact"/>
              <w:ind w:left="0" w:right="40"/>
              <w:jc w:val="left"/>
              <w:rPr>
                <w:b w:val="0"/>
                <w:bCs w:val="0"/>
                <w:i/>
                <w:color w:val="auto"/>
                <w:sz w:val="14"/>
                <w:lang w:val="es-ES_tradnl"/>
              </w:rPr>
            </w:pPr>
            <w:r w:rsidRPr="00673DC1">
              <w:rPr>
                <w:b w:val="0"/>
                <w:bCs w:val="0"/>
                <w:i/>
                <w:iCs/>
                <w:color w:val="auto"/>
                <w:sz w:val="14"/>
                <w:lang w:val="es-ES_tradnl"/>
              </w:rPr>
              <w:t>Departamento</w:t>
            </w:r>
          </w:p>
        </w:tc>
        <w:tc>
          <w:tcPr>
            <w:tcW w:w="1532" w:type="dxa"/>
            <w:tcBorders>
              <w:top w:val="single" w:sz="4" w:space="0" w:color="auto"/>
              <w:left w:val="none" w:sz="0" w:space="0" w:color="auto"/>
              <w:bottom w:val="single" w:sz="12" w:space="0" w:color="auto"/>
              <w:right w:val="none" w:sz="0" w:space="0" w:color="auto"/>
            </w:tcBorders>
            <w:shd w:val="clear" w:color="auto" w:fill="auto"/>
            <w:vAlign w:val="bottom"/>
          </w:tcPr>
          <w:p w14:paraId="545D8BF7" w14:textId="460CFDE6" w:rsidR="001D3F2D" w:rsidRPr="00673DC1" w:rsidRDefault="001D3F2D" w:rsidP="001D3F2D">
            <w:pPr>
              <w:pStyle w:val="SingleTxtG"/>
              <w:tabs>
                <w:tab w:val="clear" w:pos="1701"/>
                <w:tab w:val="clear" w:pos="2268"/>
                <w:tab w:val="clear" w:pos="2835"/>
              </w:tabs>
              <w:spacing w:before="80" w:after="80" w:line="160" w:lineRule="exact"/>
              <w:ind w:left="0" w:right="40"/>
              <w:jc w:val="right"/>
              <w:cnfStyle w:val="100000000000" w:firstRow="1" w:lastRow="0" w:firstColumn="0" w:lastColumn="0" w:oddVBand="0" w:evenVBand="0" w:oddHBand="0" w:evenHBand="0" w:firstRowFirstColumn="0" w:firstRowLastColumn="0" w:lastRowFirstColumn="0" w:lastRowLastColumn="0"/>
              <w:rPr>
                <w:b w:val="0"/>
                <w:bCs w:val="0"/>
                <w:i/>
                <w:color w:val="auto"/>
                <w:sz w:val="14"/>
                <w:lang w:val="es-ES_tradnl"/>
              </w:rPr>
            </w:pPr>
            <w:r w:rsidRPr="00673DC1">
              <w:rPr>
                <w:b w:val="0"/>
                <w:bCs w:val="0"/>
                <w:i/>
                <w:iCs/>
                <w:color w:val="auto"/>
                <w:sz w:val="14"/>
                <w:lang w:val="es-ES_tradnl"/>
              </w:rPr>
              <w:t>Personal femenino</w:t>
            </w:r>
            <w:r w:rsidRPr="00673DC1">
              <w:rPr>
                <w:b w:val="0"/>
                <w:bCs w:val="0"/>
                <w:i/>
                <w:iCs/>
                <w:color w:val="auto"/>
                <w:sz w:val="14"/>
                <w:lang w:val="es-ES_tradnl"/>
              </w:rPr>
              <w:br/>
              <w:t>en 2016</w:t>
            </w:r>
          </w:p>
        </w:tc>
        <w:tc>
          <w:tcPr>
            <w:tcW w:w="1533" w:type="dxa"/>
            <w:tcBorders>
              <w:top w:val="single" w:sz="4" w:space="0" w:color="auto"/>
              <w:left w:val="none" w:sz="0" w:space="0" w:color="auto"/>
              <w:bottom w:val="single" w:sz="12" w:space="0" w:color="auto"/>
              <w:right w:val="none" w:sz="0" w:space="0" w:color="auto"/>
            </w:tcBorders>
            <w:shd w:val="clear" w:color="auto" w:fill="auto"/>
            <w:vAlign w:val="bottom"/>
          </w:tcPr>
          <w:p w14:paraId="23CF621E" w14:textId="58EF81A6" w:rsidR="001D3F2D" w:rsidRPr="00673DC1" w:rsidRDefault="001D3F2D" w:rsidP="001D3F2D">
            <w:pPr>
              <w:pStyle w:val="SingleTxtG"/>
              <w:tabs>
                <w:tab w:val="clear" w:pos="1701"/>
                <w:tab w:val="clear" w:pos="2268"/>
                <w:tab w:val="clear" w:pos="2835"/>
              </w:tabs>
              <w:spacing w:before="80" w:after="80" w:line="160" w:lineRule="exact"/>
              <w:ind w:left="0" w:right="40"/>
              <w:jc w:val="right"/>
              <w:cnfStyle w:val="100000000000" w:firstRow="1" w:lastRow="0" w:firstColumn="0" w:lastColumn="0" w:oddVBand="0" w:evenVBand="0" w:oddHBand="0" w:evenHBand="0" w:firstRowFirstColumn="0" w:firstRowLastColumn="0" w:lastRowFirstColumn="0" w:lastRowLastColumn="0"/>
              <w:rPr>
                <w:b w:val="0"/>
                <w:bCs w:val="0"/>
                <w:i/>
                <w:color w:val="auto"/>
                <w:sz w:val="14"/>
                <w:lang w:val="es-ES_tradnl"/>
              </w:rPr>
            </w:pPr>
            <w:r w:rsidRPr="00673DC1">
              <w:rPr>
                <w:b w:val="0"/>
                <w:bCs w:val="0"/>
                <w:i/>
                <w:iCs/>
                <w:color w:val="auto"/>
                <w:sz w:val="14"/>
                <w:lang w:val="es-ES_tradnl"/>
              </w:rPr>
              <w:t>Personal femenino</w:t>
            </w:r>
            <w:r w:rsidRPr="00673DC1">
              <w:rPr>
                <w:b w:val="0"/>
                <w:bCs w:val="0"/>
                <w:i/>
                <w:iCs/>
                <w:color w:val="auto"/>
                <w:sz w:val="14"/>
                <w:lang w:val="es-ES_tradnl"/>
              </w:rPr>
              <w:br/>
              <w:t>en 2022-2024</w:t>
            </w:r>
          </w:p>
        </w:tc>
      </w:tr>
      <w:tr w:rsidR="001D3F2D" w:rsidRPr="004D7CFB" w14:paraId="5A47A683" w14:textId="77777777" w:rsidTr="001D3F2D">
        <w:trPr>
          <w:cnfStyle w:val="100000000000" w:firstRow="1" w:lastRow="0" w:firstColumn="0" w:lastColumn="0" w:oddVBand="0" w:evenVBand="0" w:oddHBand="0" w:evenHBand="0" w:firstRowFirstColumn="0" w:firstRowLastColumn="0" w:lastRowFirstColumn="0" w:lastRowLastColumn="0"/>
          <w:trHeight w:hRule="exact" w:val="115"/>
          <w:tblHeader/>
        </w:trPr>
        <w:tc>
          <w:tcPr>
            <w:cnfStyle w:val="001000000000" w:firstRow="0" w:lastRow="0" w:firstColumn="1" w:lastColumn="0" w:oddVBand="0" w:evenVBand="0" w:oddHBand="0" w:evenHBand="0" w:firstRowFirstColumn="0" w:firstRowLastColumn="0" w:lastRowFirstColumn="0" w:lastRowLastColumn="0"/>
            <w:tcW w:w="4292" w:type="dxa"/>
            <w:tcBorders>
              <w:top w:val="single" w:sz="12" w:space="0" w:color="auto"/>
              <w:left w:val="none" w:sz="0" w:space="0" w:color="auto"/>
              <w:bottom w:val="none" w:sz="0" w:space="0" w:color="auto"/>
              <w:right w:val="none" w:sz="0" w:space="0" w:color="auto"/>
            </w:tcBorders>
            <w:shd w:val="clear" w:color="auto" w:fill="auto"/>
            <w:vAlign w:val="bottom"/>
          </w:tcPr>
          <w:p w14:paraId="1F1EDFC7" w14:textId="77777777" w:rsidR="001D3F2D" w:rsidRPr="00673DC1" w:rsidRDefault="001D3F2D" w:rsidP="001D3F2D">
            <w:pPr>
              <w:pStyle w:val="SingleTxtG"/>
              <w:tabs>
                <w:tab w:val="clear" w:pos="1701"/>
                <w:tab w:val="clear" w:pos="2268"/>
                <w:tab w:val="clear" w:pos="2835"/>
              </w:tabs>
              <w:spacing w:before="40" w:after="40" w:line="210" w:lineRule="exact"/>
              <w:ind w:left="0" w:right="40"/>
              <w:jc w:val="left"/>
              <w:rPr>
                <w:sz w:val="17"/>
                <w:lang w:val="es-ES_tradnl"/>
              </w:rPr>
            </w:pPr>
          </w:p>
        </w:tc>
        <w:tc>
          <w:tcPr>
            <w:tcW w:w="1532" w:type="dxa"/>
            <w:tcBorders>
              <w:top w:val="single" w:sz="12" w:space="0" w:color="auto"/>
              <w:left w:val="none" w:sz="0" w:space="0" w:color="auto"/>
              <w:bottom w:val="none" w:sz="0" w:space="0" w:color="auto"/>
              <w:right w:val="none" w:sz="0" w:space="0" w:color="auto"/>
            </w:tcBorders>
            <w:shd w:val="clear" w:color="auto" w:fill="auto"/>
            <w:vAlign w:val="bottom"/>
          </w:tcPr>
          <w:p w14:paraId="7E7B8A44" w14:textId="77777777" w:rsidR="001D3F2D" w:rsidRPr="00673DC1" w:rsidRDefault="001D3F2D" w:rsidP="001D3F2D">
            <w:pPr>
              <w:pStyle w:val="SingleTxtG"/>
              <w:tabs>
                <w:tab w:val="clear" w:pos="1701"/>
                <w:tab w:val="clear" w:pos="2268"/>
                <w:tab w:val="clear" w:pos="2835"/>
              </w:tabs>
              <w:spacing w:before="40" w:after="40" w:line="210" w:lineRule="exact"/>
              <w:ind w:left="0" w:right="40"/>
              <w:jc w:val="right"/>
              <w:cnfStyle w:val="100000000000" w:firstRow="1" w:lastRow="0" w:firstColumn="0" w:lastColumn="0" w:oddVBand="0" w:evenVBand="0" w:oddHBand="0" w:evenHBand="0" w:firstRowFirstColumn="0" w:firstRowLastColumn="0" w:lastRowFirstColumn="0" w:lastRowLastColumn="0"/>
              <w:rPr>
                <w:sz w:val="17"/>
                <w:lang w:val="es-ES_tradnl"/>
              </w:rPr>
            </w:pPr>
          </w:p>
        </w:tc>
        <w:tc>
          <w:tcPr>
            <w:tcW w:w="1533" w:type="dxa"/>
            <w:tcBorders>
              <w:top w:val="single" w:sz="12" w:space="0" w:color="auto"/>
              <w:left w:val="none" w:sz="0" w:space="0" w:color="auto"/>
              <w:bottom w:val="none" w:sz="0" w:space="0" w:color="auto"/>
              <w:right w:val="none" w:sz="0" w:space="0" w:color="auto"/>
            </w:tcBorders>
            <w:shd w:val="clear" w:color="auto" w:fill="auto"/>
            <w:vAlign w:val="bottom"/>
          </w:tcPr>
          <w:p w14:paraId="64743CA6" w14:textId="77777777" w:rsidR="001D3F2D" w:rsidRPr="00673DC1" w:rsidRDefault="001D3F2D" w:rsidP="001D3F2D">
            <w:pPr>
              <w:pStyle w:val="SingleTxtG"/>
              <w:tabs>
                <w:tab w:val="clear" w:pos="1701"/>
                <w:tab w:val="clear" w:pos="2268"/>
                <w:tab w:val="clear" w:pos="2835"/>
              </w:tabs>
              <w:spacing w:before="40" w:after="40" w:line="210" w:lineRule="exact"/>
              <w:ind w:left="0" w:right="40"/>
              <w:jc w:val="right"/>
              <w:cnfStyle w:val="100000000000" w:firstRow="1" w:lastRow="0" w:firstColumn="0" w:lastColumn="0" w:oddVBand="0" w:evenVBand="0" w:oddHBand="0" w:evenHBand="0" w:firstRowFirstColumn="0" w:firstRowLastColumn="0" w:lastRowFirstColumn="0" w:lastRowLastColumn="0"/>
              <w:rPr>
                <w:color w:val="auto"/>
                <w:sz w:val="17"/>
                <w:lang w:val="es-ES_tradnl"/>
              </w:rPr>
            </w:pPr>
          </w:p>
        </w:tc>
      </w:tr>
      <w:tr w:rsidR="001D3F2D" w:rsidRPr="004D7CFB" w14:paraId="371B373F" w14:textId="77777777" w:rsidTr="001D3F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92" w:type="dxa"/>
            <w:shd w:val="clear" w:color="auto" w:fill="auto"/>
            <w:vAlign w:val="bottom"/>
          </w:tcPr>
          <w:p w14:paraId="5644A16A" w14:textId="77777777" w:rsidR="001D3F2D" w:rsidRPr="00673DC1" w:rsidRDefault="001D3F2D" w:rsidP="001D3F2D">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z w:val="17"/>
                <w:lang w:val="es-ES_tradnl"/>
              </w:rPr>
            </w:pPr>
            <w:r w:rsidRPr="00673DC1">
              <w:rPr>
                <w:sz w:val="17"/>
                <w:lang w:val="es-ES_tradnl"/>
              </w:rPr>
              <w:t>Candidatas y Gobernadoras Distritales</w:t>
            </w:r>
          </w:p>
        </w:tc>
        <w:tc>
          <w:tcPr>
            <w:tcW w:w="1532" w:type="dxa"/>
            <w:shd w:val="clear" w:color="auto" w:fill="auto"/>
            <w:vAlign w:val="bottom"/>
          </w:tcPr>
          <w:p w14:paraId="21F14975" w14:textId="77777777" w:rsidR="001D3F2D" w:rsidRPr="00673DC1" w:rsidRDefault="001D3F2D" w:rsidP="001D3F2D">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cnfStyle w:val="000000100000" w:firstRow="0" w:lastRow="0" w:firstColumn="0" w:lastColumn="0" w:oddVBand="0" w:evenVBand="0" w:oddHBand="1" w:evenHBand="0" w:firstRowFirstColumn="0" w:firstRowLastColumn="0" w:lastRowFirstColumn="0" w:lastRowLastColumn="0"/>
              <w:rPr>
                <w:sz w:val="17"/>
                <w:lang w:val="es-ES_tradnl"/>
              </w:rPr>
            </w:pPr>
            <w:r w:rsidRPr="00673DC1">
              <w:rPr>
                <w:sz w:val="17"/>
                <w:lang w:val="es-ES_tradnl"/>
              </w:rPr>
              <w:t>32</w:t>
            </w:r>
          </w:p>
        </w:tc>
        <w:tc>
          <w:tcPr>
            <w:tcW w:w="1533" w:type="dxa"/>
            <w:shd w:val="clear" w:color="auto" w:fill="auto"/>
            <w:vAlign w:val="bottom"/>
          </w:tcPr>
          <w:p w14:paraId="409BE133" w14:textId="4DB5783E" w:rsidR="001D3F2D" w:rsidRPr="00673DC1" w:rsidRDefault="001D3F2D" w:rsidP="001D3F2D">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cnfStyle w:val="000000100000" w:firstRow="0" w:lastRow="0" w:firstColumn="0" w:lastColumn="0" w:oddVBand="0" w:evenVBand="0" w:oddHBand="1" w:evenHBand="0" w:firstRowFirstColumn="0" w:firstRowLastColumn="0" w:lastRowFirstColumn="0" w:lastRowLastColumn="0"/>
              <w:rPr>
                <w:sz w:val="17"/>
                <w:lang w:val="es-ES_tradnl"/>
              </w:rPr>
            </w:pPr>
            <w:r w:rsidRPr="00673DC1">
              <w:rPr>
                <w:sz w:val="17"/>
                <w:lang w:val="es-ES_tradnl"/>
              </w:rPr>
              <w:t>93 (2023)</w:t>
            </w:r>
          </w:p>
        </w:tc>
      </w:tr>
      <w:tr w:rsidR="001D3F2D" w:rsidRPr="004D7CFB" w14:paraId="10A45326" w14:textId="77777777" w:rsidTr="001D3F2D">
        <w:tc>
          <w:tcPr>
            <w:cnfStyle w:val="001000000000" w:firstRow="0" w:lastRow="0" w:firstColumn="1" w:lastColumn="0" w:oddVBand="0" w:evenVBand="0" w:oddHBand="0" w:evenHBand="0" w:firstRowFirstColumn="0" w:firstRowLastColumn="0" w:lastRowFirstColumn="0" w:lastRowLastColumn="0"/>
            <w:tcW w:w="4292" w:type="dxa"/>
            <w:shd w:val="clear" w:color="auto" w:fill="auto"/>
            <w:vAlign w:val="bottom"/>
          </w:tcPr>
          <w:p w14:paraId="2A233DEF" w14:textId="77777777" w:rsidR="001D3F2D" w:rsidRPr="00673DC1" w:rsidRDefault="001D3F2D" w:rsidP="001D3F2D">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z w:val="17"/>
                <w:lang w:val="es-ES_tradnl"/>
              </w:rPr>
            </w:pPr>
            <w:r w:rsidRPr="00673DC1">
              <w:rPr>
                <w:sz w:val="17"/>
                <w:lang w:val="es-ES_tradnl"/>
              </w:rPr>
              <w:t>Servicios de Seguridad</w:t>
            </w:r>
          </w:p>
        </w:tc>
        <w:tc>
          <w:tcPr>
            <w:tcW w:w="1532" w:type="dxa"/>
            <w:shd w:val="clear" w:color="auto" w:fill="auto"/>
            <w:vAlign w:val="bottom"/>
          </w:tcPr>
          <w:p w14:paraId="250BCFB2" w14:textId="7A720CA8" w:rsidR="001D3F2D" w:rsidRPr="00673DC1" w:rsidRDefault="001D3F2D" w:rsidP="001D3F2D">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cnfStyle w:val="000000000000" w:firstRow="0" w:lastRow="0" w:firstColumn="0" w:lastColumn="0" w:oddVBand="0" w:evenVBand="0" w:oddHBand="0" w:evenHBand="0" w:firstRowFirstColumn="0" w:firstRowLastColumn="0" w:lastRowFirstColumn="0" w:lastRowLastColumn="0"/>
              <w:rPr>
                <w:sz w:val="17"/>
                <w:lang w:val="es-ES_tradnl"/>
              </w:rPr>
            </w:pPr>
            <w:r w:rsidRPr="00673DC1">
              <w:rPr>
                <w:sz w:val="17"/>
                <w:lang w:val="es-ES_tradnl"/>
              </w:rPr>
              <w:t>15 038</w:t>
            </w:r>
          </w:p>
        </w:tc>
        <w:tc>
          <w:tcPr>
            <w:tcW w:w="1533" w:type="dxa"/>
            <w:shd w:val="clear" w:color="auto" w:fill="auto"/>
            <w:vAlign w:val="bottom"/>
          </w:tcPr>
          <w:p w14:paraId="512B9948" w14:textId="3F7D19DF" w:rsidR="001D3F2D" w:rsidRPr="00673DC1" w:rsidRDefault="001D3F2D" w:rsidP="001D3F2D">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cnfStyle w:val="000000000000" w:firstRow="0" w:lastRow="0" w:firstColumn="0" w:lastColumn="0" w:oddVBand="0" w:evenVBand="0" w:oddHBand="0" w:evenHBand="0" w:firstRowFirstColumn="0" w:firstRowLastColumn="0" w:lastRowFirstColumn="0" w:lastRowLastColumn="0"/>
              <w:rPr>
                <w:sz w:val="17"/>
                <w:lang w:val="es-ES_tradnl"/>
              </w:rPr>
            </w:pPr>
            <w:r w:rsidRPr="00673DC1">
              <w:rPr>
                <w:sz w:val="17"/>
                <w:lang w:val="es-ES_tradnl"/>
              </w:rPr>
              <w:t>31 238 (2024)</w:t>
            </w:r>
          </w:p>
        </w:tc>
      </w:tr>
      <w:tr w:rsidR="001D3F2D" w:rsidRPr="004D7CFB" w14:paraId="59FB0BBC" w14:textId="77777777" w:rsidTr="001D3F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92" w:type="dxa"/>
            <w:shd w:val="clear" w:color="auto" w:fill="auto"/>
            <w:vAlign w:val="bottom"/>
          </w:tcPr>
          <w:p w14:paraId="0B16932D" w14:textId="77777777" w:rsidR="001D3F2D" w:rsidRPr="00673DC1" w:rsidRDefault="001D3F2D" w:rsidP="001D3F2D">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z w:val="17"/>
                <w:lang w:val="es-ES_tradnl"/>
              </w:rPr>
            </w:pPr>
            <w:r w:rsidRPr="00673DC1">
              <w:rPr>
                <w:sz w:val="17"/>
                <w:lang w:val="es-ES_tradnl"/>
              </w:rPr>
              <w:t>Servicios de la Gendarmería</w:t>
            </w:r>
          </w:p>
        </w:tc>
        <w:tc>
          <w:tcPr>
            <w:tcW w:w="1532" w:type="dxa"/>
            <w:shd w:val="clear" w:color="auto" w:fill="auto"/>
            <w:vAlign w:val="bottom"/>
          </w:tcPr>
          <w:p w14:paraId="7C18EBED" w14:textId="77777777" w:rsidR="001D3F2D" w:rsidRPr="00673DC1" w:rsidRDefault="001D3F2D" w:rsidP="001D3F2D">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cnfStyle w:val="000000100000" w:firstRow="0" w:lastRow="0" w:firstColumn="0" w:lastColumn="0" w:oddVBand="0" w:evenVBand="0" w:oddHBand="1" w:evenHBand="0" w:firstRowFirstColumn="0" w:firstRowLastColumn="0" w:lastRowFirstColumn="0" w:lastRowLastColumn="0"/>
              <w:rPr>
                <w:sz w:val="17"/>
                <w:lang w:val="es-ES_tradnl"/>
              </w:rPr>
            </w:pPr>
            <w:r w:rsidRPr="00673DC1">
              <w:rPr>
                <w:sz w:val="17"/>
                <w:lang w:val="es-ES_tradnl"/>
              </w:rPr>
              <w:t>709</w:t>
            </w:r>
          </w:p>
        </w:tc>
        <w:tc>
          <w:tcPr>
            <w:tcW w:w="1533" w:type="dxa"/>
            <w:shd w:val="clear" w:color="auto" w:fill="auto"/>
            <w:vAlign w:val="bottom"/>
          </w:tcPr>
          <w:p w14:paraId="631FE758" w14:textId="367C7DF4" w:rsidR="001D3F2D" w:rsidRPr="00673DC1" w:rsidRDefault="001D3F2D" w:rsidP="001D3F2D">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cnfStyle w:val="000000100000" w:firstRow="0" w:lastRow="0" w:firstColumn="0" w:lastColumn="0" w:oddVBand="0" w:evenVBand="0" w:oddHBand="1" w:evenHBand="0" w:firstRowFirstColumn="0" w:firstRowLastColumn="0" w:lastRowFirstColumn="0" w:lastRowLastColumn="0"/>
              <w:rPr>
                <w:sz w:val="17"/>
                <w:lang w:val="es-ES_tradnl"/>
              </w:rPr>
            </w:pPr>
            <w:r w:rsidRPr="00673DC1">
              <w:rPr>
                <w:sz w:val="17"/>
                <w:lang w:val="es-ES_tradnl"/>
              </w:rPr>
              <w:t>2 229 (2022)</w:t>
            </w:r>
          </w:p>
        </w:tc>
      </w:tr>
      <w:tr w:rsidR="001D3F2D" w:rsidRPr="004D7CFB" w14:paraId="6456E39B" w14:textId="77777777" w:rsidTr="001D3F2D">
        <w:tc>
          <w:tcPr>
            <w:cnfStyle w:val="001000000000" w:firstRow="0" w:lastRow="0" w:firstColumn="1" w:lastColumn="0" w:oddVBand="0" w:evenVBand="0" w:oddHBand="0" w:evenHBand="0" w:firstRowFirstColumn="0" w:firstRowLastColumn="0" w:lastRowFirstColumn="0" w:lastRowLastColumn="0"/>
            <w:tcW w:w="4292" w:type="dxa"/>
            <w:shd w:val="clear" w:color="auto" w:fill="auto"/>
            <w:vAlign w:val="bottom"/>
          </w:tcPr>
          <w:p w14:paraId="0EFE134D" w14:textId="77777777" w:rsidR="001D3F2D" w:rsidRPr="00673DC1" w:rsidRDefault="001D3F2D" w:rsidP="001D3F2D">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z w:val="17"/>
                <w:lang w:val="es-ES_tradnl"/>
              </w:rPr>
            </w:pPr>
            <w:r w:rsidRPr="00673DC1">
              <w:rPr>
                <w:sz w:val="17"/>
                <w:lang w:val="es-ES_tradnl"/>
              </w:rPr>
              <w:t>Servicios de Guardacostas</w:t>
            </w:r>
          </w:p>
        </w:tc>
        <w:tc>
          <w:tcPr>
            <w:tcW w:w="1532" w:type="dxa"/>
            <w:shd w:val="clear" w:color="auto" w:fill="auto"/>
            <w:vAlign w:val="bottom"/>
          </w:tcPr>
          <w:p w14:paraId="443728F2" w14:textId="77777777" w:rsidR="001D3F2D" w:rsidRPr="00673DC1" w:rsidRDefault="001D3F2D" w:rsidP="001D3F2D">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cnfStyle w:val="000000000000" w:firstRow="0" w:lastRow="0" w:firstColumn="0" w:lastColumn="0" w:oddVBand="0" w:evenVBand="0" w:oddHBand="0" w:evenHBand="0" w:firstRowFirstColumn="0" w:firstRowLastColumn="0" w:lastRowFirstColumn="0" w:lastRowLastColumn="0"/>
              <w:rPr>
                <w:sz w:val="17"/>
                <w:lang w:val="es-ES_tradnl"/>
              </w:rPr>
            </w:pPr>
            <w:r w:rsidRPr="00673DC1">
              <w:rPr>
                <w:sz w:val="17"/>
                <w:lang w:val="es-ES_tradnl"/>
              </w:rPr>
              <w:t>16</w:t>
            </w:r>
          </w:p>
        </w:tc>
        <w:tc>
          <w:tcPr>
            <w:tcW w:w="1533" w:type="dxa"/>
            <w:shd w:val="clear" w:color="auto" w:fill="auto"/>
            <w:vAlign w:val="bottom"/>
          </w:tcPr>
          <w:p w14:paraId="132A99B1" w14:textId="41A58C16" w:rsidR="001D3F2D" w:rsidRPr="00673DC1" w:rsidRDefault="001D3F2D" w:rsidP="001D3F2D">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cnfStyle w:val="000000000000" w:firstRow="0" w:lastRow="0" w:firstColumn="0" w:lastColumn="0" w:oddVBand="0" w:evenVBand="0" w:oddHBand="0" w:evenHBand="0" w:firstRowFirstColumn="0" w:firstRowLastColumn="0" w:lastRowFirstColumn="0" w:lastRowLastColumn="0"/>
              <w:rPr>
                <w:sz w:val="17"/>
                <w:lang w:val="es-ES_tradnl"/>
              </w:rPr>
            </w:pPr>
            <w:r w:rsidRPr="00673DC1">
              <w:rPr>
                <w:sz w:val="17"/>
                <w:lang w:val="es-ES_tradnl"/>
              </w:rPr>
              <w:t>101 (2022)</w:t>
            </w:r>
          </w:p>
        </w:tc>
      </w:tr>
      <w:tr w:rsidR="001D3F2D" w:rsidRPr="004D7CFB" w14:paraId="0F71F09E" w14:textId="77777777" w:rsidTr="001D3F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92" w:type="dxa"/>
            <w:shd w:val="clear" w:color="auto" w:fill="auto"/>
            <w:vAlign w:val="bottom"/>
          </w:tcPr>
          <w:p w14:paraId="74669602" w14:textId="77777777" w:rsidR="001D3F2D" w:rsidRPr="004D7CFB" w:rsidRDefault="001D3F2D" w:rsidP="001D3F2D">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z w:val="17"/>
                <w:lang w:val="es-ES_tradnl"/>
              </w:rPr>
            </w:pPr>
            <w:r w:rsidRPr="00673DC1">
              <w:rPr>
                <w:sz w:val="17"/>
                <w:lang w:val="es-ES_tradnl"/>
              </w:rPr>
              <w:t xml:space="preserve">Presidencia de Gestión de la Migración </w:t>
            </w:r>
          </w:p>
        </w:tc>
        <w:tc>
          <w:tcPr>
            <w:tcW w:w="1532" w:type="dxa"/>
            <w:shd w:val="clear" w:color="auto" w:fill="auto"/>
            <w:vAlign w:val="bottom"/>
          </w:tcPr>
          <w:p w14:paraId="1E95CFBA" w14:textId="77777777" w:rsidR="001D3F2D" w:rsidRPr="00673DC1" w:rsidRDefault="001D3F2D" w:rsidP="001D3F2D">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cnfStyle w:val="000000100000" w:firstRow="0" w:lastRow="0" w:firstColumn="0" w:lastColumn="0" w:oddVBand="0" w:evenVBand="0" w:oddHBand="1" w:evenHBand="0" w:firstRowFirstColumn="0" w:firstRowLastColumn="0" w:lastRowFirstColumn="0" w:lastRowLastColumn="0"/>
              <w:rPr>
                <w:sz w:val="17"/>
                <w:lang w:val="es-ES_tradnl"/>
              </w:rPr>
            </w:pPr>
            <w:r w:rsidRPr="00673DC1">
              <w:rPr>
                <w:sz w:val="17"/>
                <w:lang w:val="es-ES_tradnl"/>
              </w:rPr>
              <w:t>422</w:t>
            </w:r>
          </w:p>
        </w:tc>
        <w:tc>
          <w:tcPr>
            <w:tcW w:w="1533" w:type="dxa"/>
            <w:shd w:val="clear" w:color="auto" w:fill="auto"/>
            <w:vAlign w:val="bottom"/>
          </w:tcPr>
          <w:p w14:paraId="744ED5EE" w14:textId="09F97B6C" w:rsidR="001D3F2D" w:rsidRPr="00673DC1" w:rsidRDefault="001D3F2D" w:rsidP="001D3F2D">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cnfStyle w:val="000000100000" w:firstRow="0" w:lastRow="0" w:firstColumn="0" w:lastColumn="0" w:oddVBand="0" w:evenVBand="0" w:oddHBand="1" w:evenHBand="0" w:firstRowFirstColumn="0" w:firstRowLastColumn="0" w:lastRowFirstColumn="0" w:lastRowLastColumn="0"/>
              <w:rPr>
                <w:sz w:val="17"/>
                <w:lang w:val="es-ES_tradnl"/>
              </w:rPr>
            </w:pPr>
            <w:r w:rsidRPr="00673DC1">
              <w:rPr>
                <w:sz w:val="17"/>
                <w:lang w:val="es-ES_tradnl"/>
              </w:rPr>
              <w:t>3 266 (2024)</w:t>
            </w:r>
          </w:p>
        </w:tc>
      </w:tr>
      <w:tr w:rsidR="001D3F2D" w:rsidRPr="004D7CFB" w14:paraId="072A26B0" w14:textId="77777777" w:rsidTr="001D3F2D">
        <w:tc>
          <w:tcPr>
            <w:cnfStyle w:val="001000000000" w:firstRow="0" w:lastRow="0" w:firstColumn="1" w:lastColumn="0" w:oddVBand="0" w:evenVBand="0" w:oddHBand="0" w:evenHBand="0" w:firstRowFirstColumn="0" w:firstRowLastColumn="0" w:lastRowFirstColumn="0" w:lastRowLastColumn="0"/>
            <w:tcW w:w="4292" w:type="dxa"/>
            <w:shd w:val="clear" w:color="auto" w:fill="auto"/>
            <w:vAlign w:val="bottom"/>
          </w:tcPr>
          <w:p w14:paraId="21289945" w14:textId="77777777" w:rsidR="001D3F2D" w:rsidRPr="004D7CFB" w:rsidRDefault="001D3F2D" w:rsidP="001D3F2D">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z w:val="17"/>
                <w:lang w:val="es-ES_tradnl"/>
              </w:rPr>
            </w:pPr>
            <w:r w:rsidRPr="00673DC1">
              <w:rPr>
                <w:sz w:val="17"/>
                <w:lang w:val="es-ES_tradnl"/>
              </w:rPr>
              <w:t xml:space="preserve">Autoridad de Gestión de Emergencias y Desastres </w:t>
            </w:r>
          </w:p>
        </w:tc>
        <w:tc>
          <w:tcPr>
            <w:tcW w:w="1532" w:type="dxa"/>
            <w:shd w:val="clear" w:color="auto" w:fill="auto"/>
            <w:vAlign w:val="bottom"/>
          </w:tcPr>
          <w:p w14:paraId="2D8CA490" w14:textId="77777777" w:rsidR="001D3F2D" w:rsidRPr="00673DC1" w:rsidRDefault="001D3F2D" w:rsidP="001D3F2D">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cnfStyle w:val="000000000000" w:firstRow="0" w:lastRow="0" w:firstColumn="0" w:lastColumn="0" w:oddVBand="0" w:evenVBand="0" w:oddHBand="0" w:evenHBand="0" w:firstRowFirstColumn="0" w:firstRowLastColumn="0" w:lastRowFirstColumn="0" w:lastRowLastColumn="0"/>
              <w:rPr>
                <w:sz w:val="17"/>
                <w:lang w:val="es-ES_tradnl"/>
              </w:rPr>
            </w:pPr>
            <w:r w:rsidRPr="00673DC1">
              <w:rPr>
                <w:sz w:val="17"/>
                <w:lang w:val="es-ES_tradnl"/>
              </w:rPr>
              <w:t>967</w:t>
            </w:r>
          </w:p>
        </w:tc>
        <w:tc>
          <w:tcPr>
            <w:tcW w:w="1533" w:type="dxa"/>
            <w:shd w:val="clear" w:color="auto" w:fill="auto"/>
            <w:vAlign w:val="bottom"/>
          </w:tcPr>
          <w:p w14:paraId="07920082" w14:textId="27D57365" w:rsidR="001D3F2D" w:rsidRPr="00673DC1" w:rsidRDefault="001D3F2D" w:rsidP="001D3F2D">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cnfStyle w:val="000000000000" w:firstRow="0" w:lastRow="0" w:firstColumn="0" w:lastColumn="0" w:oddVBand="0" w:evenVBand="0" w:oddHBand="0" w:evenHBand="0" w:firstRowFirstColumn="0" w:firstRowLastColumn="0" w:lastRowFirstColumn="0" w:lastRowLastColumn="0"/>
              <w:rPr>
                <w:sz w:val="17"/>
                <w:lang w:val="es-ES_tradnl"/>
              </w:rPr>
            </w:pPr>
            <w:r w:rsidRPr="00673DC1">
              <w:rPr>
                <w:sz w:val="17"/>
                <w:lang w:val="es-ES_tradnl"/>
              </w:rPr>
              <w:t>1 057 (2022)</w:t>
            </w:r>
          </w:p>
        </w:tc>
      </w:tr>
      <w:tr w:rsidR="001D3F2D" w:rsidRPr="004D7CFB" w14:paraId="3DDA96E9" w14:textId="77777777" w:rsidTr="001D3F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92" w:type="dxa"/>
            <w:tcBorders>
              <w:bottom w:val="single" w:sz="12" w:space="0" w:color="auto"/>
            </w:tcBorders>
            <w:shd w:val="clear" w:color="auto" w:fill="auto"/>
            <w:vAlign w:val="bottom"/>
          </w:tcPr>
          <w:p w14:paraId="771AEEE6" w14:textId="77777777" w:rsidR="001D3F2D" w:rsidRPr="004D7CFB" w:rsidRDefault="001D3F2D" w:rsidP="001D3F2D">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z w:val="17"/>
                <w:lang w:val="es-ES_tradnl"/>
              </w:rPr>
            </w:pPr>
            <w:r w:rsidRPr="00673DC1">
              <w:rPr>
                <w:sz w:val="17"/>
                <w:lang w:val="es-ES_tradnl"/>
              </w:rPr>
              <w:t>Dirección General de Población y Asuntos de Ciudadanía</w:t>
            </w:r>
          </w:p>
        </w:tc>
        <w:tc>
          <w:tcPr>
            <w:tcW w:w="1532" w:type="dxa"/>
            <w:tcBorders>
              <w:bottom w:val="single" w:sz="12" w:space="0" w:color="auto"/>
            </w:tcBorders>
            <w:shd w:val="clear" w:color="auto" w:fill="auto"/>
            <w:vAlign w:val="bottom"/>
          </w:tcPr>
          <w:p w14:paraId="5F4BD9E6" w14:textId="6C741B44" w:rsidR="001D3F2D" w:rsidRPr="00673DC1" w:rsidRDefault="001D3F2D" w:rsidP="001D3F2D">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cnfStyle w:val="000000100000" w:firstRow="0" w:lastRow="0" w:firstColumn="0" w:lastColumn="0" w:oddVBand="0" w:evenVBand="0" w:oddHBand="1" w:evenHBand="0" w:firstRowFirstColumn="0" w:firstRowLastColumn="0" w:lastRowFirstColumn="0" w:lastRowLastColumn="0"/>
              <w:rPr>
                <w:sz w:val="17"/>
                <w:lang w:val="es-ES_tradnl"/>
              </w:rPr>
            </w:pPr>
            <w:r w:rsidRPr="00673DC1">
              <w:rPr>
                <w:sz w:val="17"/>
                <w:lang w:val="es-ES_tradnl"/>
              </w:rPr>
              <w:t>3 614</w:t>
            </w:r>
          </w:p>
        </w:tc>
        <w:tc>
          <w:tcPr>
            <w:tcW w:w="1533" w:type="dxa"/>
            <w:tcBorders>
              <w:bottom w:val="single" w:sz="12" w:space="0" w:color="auto"/>
            </w:tcBorders>
            <w:shd w:val="clear" w:color="auto" w:fill="auto"/>
            <w:vAlign w:val="bottom"/>
          </w:tcPr>
          <w:p w14:paraId="7BF33F91" w14:textId="40AB9E32" w:rsidR="001D3F2D" w:rsidRPr="00673DC1" w:rsidRDefault="001D3F2D" w:rsidP="001D3F2D">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cnfStyle w:val="000000100000" w:firstRow="0" w:lastRow="0" w:firstColumn="0" w:lastColumn="0" w:oddVBand="0" w:evenVBand="0" w:oddHBand="1" w:evenHBand="0" w:firstRowFirstColumn="0" w:firstRowLastColumn="0" w:lastRowFirstColumn="0" w:lastRowLastColumn="0"/>
              <w:rPr>
                <w:sz w:val="17"/>
                <w:lang w:val="es-ES_tradnl"/>
              </w:rPr>
            </w:pPr>
            <w:r w:rsidRPr="00673DC1">
              <w:rPr>
                <w:sz w:val="17"/>
                <w:lang w:val="es-ES_tradnl"/>
              </w:rPr>
              <w:t>4 993 (2024)</w:t>
            </w:r>
          </w:p>
        </w:tc>
      </w:tr>
    </w:tbl>
    <w:p w14:paraId="709DD496" w14:textId="77777777" w:rsidR="001D3F2D" w:rsidRPr="00673DC1" w:rsidRDefault="001D3F2D" w:rsidP="001D3F2D">
      <w:pPr>
        <w:pStyle w:val="SingleTxt"/>
        <w:spacing w:after="0" w:line="120" w:lineRule="exact"/>
        <w:rPr>
          <w:sz w:val="10"/>
        </w:rPr>
      </w:pPr>
    </w:p>
    <w:p w14:paraId="114F2469" w14:textId="77777777" w:rsidR="001D3F2D" w:rsidRPr="00673DC1" w:rsidRDefault="001D3F2D" w:rsidP="001D3F2D">
      <w:pPr>
        <w:pStyle w:val="SingleTxt"/>
        <w:spacing w:after="0" w:line="120" w:lineRule="exact"/>
        <w:rPr>
          <w:sz w:val="10"/>
        </w:rPr>
      </w:pPr>
    </w:p>
    <w:p w14:paraId="38F2A68C" w14:textId="4E5DC753" w:rsidR="004B5867" w:rsidRPr="004D7CFB" w:rsidRDefault="004B5867" w:rsidP="009B0F7B">
      <w:pPr>
        <w:pStyle w:val="SingleTxt"/>
        <w:numPr>
          <w:ilvl w:val="0"/>
          <w:numId w:val="26"/>
        </w:numPr>
        <w:ind w:left="1267"/>
      </w:pPr>
      <w:r w:rsidRPr="00673DC1">
        <w:t>En el Ministerio de Relaciones Exteriores, son mujeres el 38 % de los diplomáticos de carrera, 16 de los 32 directores generales y 19 de los 50 subdirectores generales. La proporción de directoras generales y subdirectoras generales de ese Ministerio ha aumentado del 29,6 % al 42,7 % desde 2020.</w:t>
      </w:r>
    </w:p>
    <w:p w14:paraId="2F16348E" w14:textId="4CD05419" w:rsidR="004B5867" w:rsidRPr="00673DC1" w:rsidRDefault="004B5867" w:rsidP="009B0F7B">
      <w:pPr>
        <w:pStyle w:val="SingleTxt"/>
        <w:numPr>
          <w:ilvl w:val="0"/>
          <w:numId w:val="26"/>
        </w:numPr>
        <w:ind w:left="1267"/>
      </w:pPr>
      <w:r w:rsidRPr="00673DC1">
        <w:t>La proporción de Embajadoras ha aumentado constantemente desde 2000, pues del 4,6 % en 2000 ha pasado al 27,3 % en mayo de 2024 (83 de 304 son mujeres). En 2016, esta tasa era del 17,6 % y llegó al 25 % en 2020.</w:t>
      </w:r>
    </w:p>
    <w:p w14:paraId="310DCED4" w14:textId="55EABE0E" w:rsidR="004B5867" w:rsidRPr="004D7CFB" w:rsidRDefault="004B5867" w:rsidP="009B0F7B">
      <w:pPr>
        <w:pStyle w:val="SingleTxt"/>
        <w:numPr>
          <w:ilvl w:val="0"/>
          <w:numId w:val="26"/>
        </w:numPr>
        <w:ind w:left="1267"/>
      </w:pPr>
      <w:r w:rsidRPr="00673DC1">
        <w:t>La organización central y provincial del Ministerio de Justicia emplea a 184.193</w:t>
      </w:r>
      <w:r w:rsidR="00F8287C" w:rsidRPr="00673DC1">
        <w:t> </w:t>
      </w:r>
      <w:r w:rsidRPr="00673DC1">
        <w:t xml:space="preserve">personas (excluida la Institución de Medicina Forense), de las cuales 60.344 son mujeres y 123.849 son hombres. La organización central emplea a 638 jueces y fiscales (incluida la Academia Turca de Justicia), de los cuales 153 son mujeres y </w:t>
      </w:r>
      <w:r w:rsidR="00500E21" w:rsidRPr="00673DC1">
        <w:t>485</w:t>
      </w:r>
      <w:r w:rsidR="00500E21" w:rsidRPr="00673DC1">
        <w:t> </w:t>
      </w:r>
      <w:r w:rsidRPr="00673DC1">
        <w:t>son hombres.</w:t>
      </w:r>
    </w:p>
    <w:p w14:paraId="019B748A" w14:textId="4E9D7EA4" w:rsidR="004B5867" w:rsidRPr="004D7CFB" w:rsidRDefault="004B5867" w:rsidP="009B0F7B">
      <w:pPr>
        <w:pStyle w:val="SingleTxt"/>
        <w:numPr>
          <w:ilvl w:val="0"/>
          <w:numId w:val="26"/>
        </w:numPr>
        <w:ind w:left="1267"/>
      </w:pPr>
      <w:r w:rsidRPr="00673DC1">
        <w:t>Los datos revelan que, entre 2018 y 2023, el número de juezas y fiscales aumentó un 22 %, si bien el número general aumentó un 17 %.</w:t>
      </w:r>
    </w:p>
    <w:p w14:paraId="7C9C1784" w14:textId="2D71A2FA" w:rsidR="004B5867" w:rsidRPr="004D7CFB" w:rsidRDefault="004B5867" w:rsidP="009B0F7B">
      <w:pPr>
        <w:pStyle w:val="SingleTxt"/>
        <w:numPr>
          <w:ilvl w:val="0"/>
          <w:numId w:val="26"/>
        </w:numPr>
        <w:ind w:left="1267"/>
      </w:pPr>
      <w:r w:rsidRPr="00673DC1">
        <w:t xml:space="preserve">Según los datos del Consejo de Jueces y Fiscales de mayo de 2024, son mujeres 7.583 de los 16.191 jueces y 1.320 de los 7.596 fiscales que prestan servicios en los órganos judiciales y la jurisdicción administrativa. En cuanto a la situación de la mujer en los órganos judiciales superiores, son mujeres 613 de los 1.105 jueces y fiscales del Tribunal de Casación, 919 de los 2.730 jueces y fiscales de los Tribunales Regionales de Justicia, 248 de los 489 jueces y fiscales del Consejo de Estado, </w:t>
      </w:r>
      <w:r w:rsidR="00006CEB" w:rsidRPr="00673DC1">
        <w:t>146</w:t>
      </w:r>
      <w:r w:rsidR="00006CEB" w:rsidRPr="00673DC1">
        <w:t> </w:t>
      </w:r>
      <w:r w:rsidRPr="00673DC1">
        <w:t xml:space="preserve">de los 449 jueces que prestan servicios en los Tribunales Administrativos Regionales </w:t>
      </w:r>
      <w:r w:rsidR="00006CEB" w:rsidRPr="00673DC1">
        <w:lastRenderedPageBreak/>
        <w:t>y</w:t>
      </w:r>
      <w:r w:rsidR="00006CEB" w:rsidRPr="00673DC1">
        <w:t> </w:t>
      </w:r>
      <w:r w:rsidRPr="00673DC1">
        <w:t>26 de los 270 jueces de instrucción e inspectores de juntas del Consejo de Jueces y</w:t>
      </w:r>
      <w:r w:rsidR="000E11FE" w:rsidRPr="00673DC1">
        <w:t> </w:t>
      </w:r>
      <w:r w:rsidRPr="00673DC1">
        <w:t>Fiscales.</w:t>
      </w:r>
    </w:p>
    <w:p w14:paraId="1076A462" w14:textId="52A290C4" w:rsidR="004B5867" w:rsidRPr="00673DC1" w:rsidRDefault="004B5867" w:rsidP="009B0F7B">
      <w:pPr>
        <w:pStyle w:val="SingleTxt"/>
        <w:numPr>
          <w:ilvl w:val="0"/>
          <w:numId w:val="26"/>
        </w:numPr>
        <w:ind w:left="1267"/>
      </w:pPr>
      <w:r w:rsidRPr="00673DC1">
        <w:t>Más allá de los puestos directivos en los ministerios, los avances también son evidentes en el ámbito académico. En las universidades, el 46,43 % del profesorado son mujeres. Al desglosar los datos, se observa que la concentración de mujeres es mayor en algunos puestos: el 51,65 % de los profesores y el 53,84 % de los auxiliares de investigación. Entre el profesorado titular, son mujeres el 47,39 % de los doctorados y el 41,21 % de los profesores asociados.</w:t>
      </w:r>
    </w:p>
    <w:p w14:paraId="644033D3" w14:textId="7B862C01" w:rsidR="004B5867" w:rsidRPr="004D7CFB" w:rsidRDefault="004B5867" w:rsidP="009B0F7B">
      <w:pPr>
        <w:pStyle w:val="SingleTxt"/>
        <w:numPr>
          <w:ilvl w:val="0"/>
          <w:numId w:val="26"/>
        </w:numPr>
        <w:ind w:left="1267"/>
      </w:pPr>
      <w:r w:rsidRPr="00673DC1">
        <w:t xml:space="preserve">El Comunicado sobre Gobernanza Empresarial de la Junta de Mercados de Capitales (II-17.1) incluye el principio 4.3.9, que dispone un principio voluntario de “cumplir o explicar”. Este principio alienta a las empresas a fijar la meta mínima </w:t>
      </w:r>
      <w:r w:rsidR="00006CEB" w:rsidRPr="00673DC1">
        <w:t>del</w:t>
      </w:r>
      <w:r w:rsidR="00006CEB" w:rsidRPr="00673DC1">
        <w:t> </w:t>
      </w:r>
      <w:r w:rsidRPr="00673DC1">
        <w:t>25 % de representación femenina en su directorio, junto con el correspondiente calendario para alcanzar esa meta. También se pretende que las empresas instituyan políticas en pro de esa meta y evalúen anualmente sus progresos.</w:t>
      </w:r>
    </w:p>
    <w:p w14:paraId="4042929F" w14:textId="72738500" w:rsidR="004B5867" w:rsidRPr="004D7CFB" w:rsidRDefault="004B5867" w:rsidP="009B0F7B">
      <w:pPr>
        <w:pStyle w:val="SingleTxt"/>
        <w:numPr>
          <w:ilvl w:val="0"/>
          <w:numId w:val="26"/>
        </w:numPr>
        <w:ind w:left="1267"/>
      </w:pPr>
      <w:r w:rsidRPr="00673DC1">
        <w:t xml:space="preserve">Muchas asociaciones y organizaciones no gubernamentales (ONG) también trabajan para aumentar la representación femenina en la política local. La Unión de Municipios de </w:t>
      </w:r>
      <w:r w:rsidRPr="004D7CFB">
        <w:t>Türkiye</w:t>
      </w:r>
      <w:r w:rsidRPr="00673DC1">
        <w:t>, por ejemplo, trabaja para aumentar la representación femenina en los gobiernos locales organizando programas de capacitación y concienciación dirigidos a las mujeres de la política local. También presionan a la Comisión para la Igualdad de Oportunidades de la Mujer y el Hombre y a la administración central para que promuevan una mayor representación femenina a nivel local.</w:t>
      </w:r>
    </w:p>
    <w:p w14:paraId="7289713A" w14:textId="5749B8B4" w:rsidR="004B5867" w:rsidRPr="004D7CFB" w:rsidRDefault="004B5867" w:rsidP="009B0F7B">
      <w:pPr>
        <w:pStyle w:val="SingleTxt"/>
        <w:numPr>
          <w:ilvl w:val="0"/>
          <w:numId w:val="26"/>
        </w:numPr>
        <w:ind w:left="1267"/>
      </w:pPr>
      <w:r w:rsidRPr="00673DC1">
        <w:t>Además, las subcomisiones creadas en el marco de la Comisión para la Igualdad de Oportunidades de la Mujer y el Hombre formularon importantes recomendaciones para potenciar la participación de las mujeres en los campos de la ciencia, la tecnología, la ingeniería y las matemáticas, promover la iniciativa empresarial y las cooperativas de mujeres y conciliar la vida laboral y familiar, lo que allanó el camino para aumentar la participación de las mujeres en los mecanismos decisorios.</w:t>
      </w:r>
    </w:p>
    <w:p w14:paraId="5B0369BC" w14:textId="7C0ADE42" w:rsidR="004B5867" w:rsidRPr="004D7CFB" w:rsidRDefault="004B5867" w:rsidP="009B0F7B">
      <w:pPr>
        <w:pStyle w:val="SingleTxt"/>
        <w:numPr>
          <w:ilvl w:val="0"/>
          <w:numId w:val="26"/>
        </w:numPr>
        <w:ind w:left="1267"/>
      </w:pPr>
      <w:r w:rsidRPr="00673DC1">
        <w:t xml:space="preserve">En la 27ª Legislatura (2018-2019), la Comisión para la Igualdad de Oportunidades de la Mujer y el Hombre creó una subcomisión de orientación de la juventud, especialmente las niñas, para que elijan carreras de esos campos. La Subcomisión recomendó planes de acción ministeriales conjuntos, la mejora de la infraestructura universitaria de los programas de ciencia, tecnología, ingeniería y matemáticas y la incorporación de cursos de esos campos en las escuelas primarias. En la 27ª Legislatura (2020-2021), la Comisión para la Igualdad de Oportunidades de la Mujer y el Hombre creó una subcomisión para aumentar el empleo femenino, fortalecer y apoyar el espíritu empresarial de las mujeres y las cooperativas. La Subcomisión recomendó que, para empoderar económicamente a las mujeres, se determinaran los obstáculos que dificultan su participación en todos los sectores, se fortaleciera la igualdad en las iniciativas gubernamentales, se aumentara la representación de las mujeres en los órganos electivos y se formularan políticas de </w:t>
      </w:r>
      <w:r w:rsidRPr="00673DC1">
        <w:rPr>
          <w:spacing w:val="2"/>
        </w:rPr>
        <w:t>empleo específicas para las mujeres desfavorecidas. En la 27ª Legislatura (2020-2021),</w:t>
      </w:r>
      <w:r w:rsidRPr="00673DC1">
        <w:t xml:space="preserve"> la Comisión para la Igualdad de Oportunidades de la Mujer y el Hombre creó una subcomisión sobre el equilibrio entre la vida laboral y familiar de la mujer. La Subcomisión propuso medidas para mejorar la conciliación de la vida laboral y familiar de las mujeres, como reformas jurídicas, ampliación de los servicios de guardería, atención a las personas mayores, modalidades de trabajo flexibles y adecuación de los horarios laborales a los escolares. Estas recomendaciones se tienen en cuenta en las propuestas legislativas y en la labor de las instituciones pertinentes.</w:t>
      </w:r>
    </w:p>
    <w:p w14:paraId="65232070" w14:textId="292B8F25" w:rsidR="004B5867" w:rsidRPr="004D7CFB" w:rsidRDefault="004B5867" w:rsidP="009B0F7B">
      <w:pPr>
        <w:pStyle w:val="SingleTxt"/>
        <w:numPr>
          <w:ilvl w:val="0"/>
          <w:numId w:val="26"/>
        </w:numPr>
        <w:ind w:left="1267"/>
      </w:pPr>
      <w:r w:rsidRPr="00673DC1">
        <w:rPr>
          <w:spacing w:val="2"/>
        </w:rPr>
        <w:t>A partir del documento Visión sin Barreras 2021, el Plan Nacional de Acción sobre los Derechos de las Personas con Discapacidad (publicado el 2 de febrero de 2023)</w:t>
      </w:r>
      <w:r w:rsidRPr="00673DC1">
        <w:t xml:space="preserve"> </w:t>
      </w:r>
      <w:r w:rsidRPr="00673DC1">
        <w:lastRenderedPageBreak/>
        <w:t>describe medidas concretas para alcanzar los objetivos de accesibilidad entre 2023 y 2025. El informe sobre la marcha de los trabajos del primer año pone de relieve la importancia de sentar las bases para futuras iniciativas. Aunque la mayoría de las actividades están en sus fases iniciales, ya se han conseguido algunos logros importantes:</w:t>
      </w:r>
    </w:p>
    <w:p w14:paraId="17DC24E4" w14:textId="2C3BAA8B" w:rsidR="004B5867" w:rsidRPr="004D7CFB" w:rsidRDefault="001D3F2D" w:rsidP="001D3F2D">
      <w:pPr>
        <w:pStyle w:val="SingleTxt"/>
        <w:tabs>
          <w:tab w:val="right" w:pos="1685"/>
        </w:tabs>
        <w:ind w:left="1742" w:hanging="475"/>
      </w:pPr>
      <w:r w:rsidRPr="004D7CFB">
        <w:tab/>
      </w:r>
      <w:r w:rsidR="004B5867" w:rsidRPr="004D7CFB">
        <w:t>•</w:t>
      </w:r>
      <w:r w:rsidR="004B5867" w:rsidRPr="004D7CFB">
        <w:tab/>
      </w:r>
      <w:r w:rsidR="004B5867" w:rsidRPr="00673DC1">
        <w:t>Sensibilización sobre accesibilidad: se pusieron en marcha programas de capacitación dirigidos a diversos grupos, en especial a instituciones públicas, con lo que se mejoró la comprensión y el compromiso con la accesibilidad;</w:t>
      </w:r>
    </w:p>
    <w:p w14:paraId="10487773" w14:textId="080A66BF" w:rsidR="004B5867" w:rsidRPr="004D7CFB" w:rsidRDefault="001D3F2D" w:rsidP="001D3F2D">
      <w:pPr>
        <w:pStyle w:val="SingleTxt"/>
        <w:tabs>
          <w:tab w:val="right" w:pos="1685"/>
        </w:tabs>
        <w:ind w:left="1742" w:hanging="475"/>
      </w:pPr>
      <w:r w:rsidRPr="004D7CFB">
        <w:tab/>
      </w:r>
      <w:r w:rsidR="004B5867" w:rsidRPr="004D7CFB">
        <w:t>•</w:t>
      </w:r>
      <w:r w:rsidR="004B5867" w:rsidRPr="004D7CFB">
        <w:tab/>
      </w:r>
      <w:r w:rsidR="004B5867" w:rsidRPr="00673DC1">
        <w:t>Ayuda domiciliaria: se puso en marcha un programa piloto para prestar la asistencia muy necesaria a las personas discapacitadas que necesitan atención, lo que fue en beneficio sobre todo de las personas que se encargan de su cuidado, que suelen ser mujeres;</w:t>
      </w:r>
    </w:p>
    <w:p w14:paraId="77AC973B" w14:textId="12147579" w:rsidR="004B5867" w:rsidRPr="004D7CFB" w:rsidRDefault="001D3F2D" w:rsidP="001D3F2D">
      <w:pPr>
        <w:pStyle w:val="SingleTxt"/>
        <w:tabs>
          <w:tab w:val="right" w:pos="1685"/>
        </w:tabs>
        <w:ind w:left="1742" w:hanging="475"/>
      </w:pPr>
      <w:r w:rsidRPr="004D7CFB">
        <w:tab/>
      </w:r>
      <w:r w:rsidR="004B5867" w:rsidRPr="004D7CFB">
        <w:t>•</w:t>
      </w:r>
      <w:r w:rsidR="004B5867" w:rsidRPr="004D7CFB">
        <w:tab/>
      </w:r>
      <w:r w:rsidR="004B5867" w:rsidRPr="00673DC1">
        <w:t>Mejora de la atención en las instituciones residenciales: se instituyeron nuevas normas de calidad de los servicios de atención y se instruyó al personal a fin de mejorar la calidad del servicio que reciben los residentes.</w:t>
      </w:r>
    </w:p>
    <w:p w14:paraId="3A946D9E" w14:textId="3D18D8AD" w:rsidR="004B5867" w:rsidRPr="004D7CFB" w:rsidRDefault="004B5867" w:rsidP="009B0F7B">
      <w:pPr>
        <w:pStyle w:val="SingleTxt"/>
        <w:numPr>
          <w:ilvl w:val="0"/>
          <w:numId w:val="26"/>
        </w:numPr>
        <w:ind w:left="1267"/>
      </w:pPr>
      <w:r w:rsidRPr="00673DC1">
        <w:t>Estos primeros pasos allanan el camino para seguir avanzando en los próximos años del Plan de Acción Nacional.</w:t>
      </w:r>
    </w:p>
    <w:p w14:paraId="499E3360" w14:textId="08625DCC" w:rsidR="004B5867" w:rsidRPr="004D7CFB" w:rsidRDefault="004B5867" w:rsidP="009B0F7B">
      <w:pPr>
        <w:pStyle w:val="SingleTxt"/>
        <w:numPr>
          <w:ilvl w:val="0"/>
          <w:numId w:val="26"/>
        </w:numPr>
        <w:ind w:left="1267"/>
      </w:pPr>
      <w:r w:rsidRPr="00673DC1">
        <w:t>A fin de que todas las personas tengan igualdad de acceso y oportunidades, uno de los principios básicos del Plan es dar prioridad a la igualdad entre los hombres y las mujeres, por lo que el desarrollo y la prestación de servicios harán hincapié en las necesidades de las mujeres y niñas discapacitadas.</w:t>
      </w:r>
    </w:p>
    <w:p w14:paraId="24875884" w14:textId="724F2DE6" w:rsidR="004B5867" w:rsidRPr="004D7CFB" w:rsidRDefault="004B5867" w:rsidP="009B0F7B">
      <w:pPr>
        <w:pStyle w:val="SingleTxt"/>
        <w:numPr>
          <w:ilvl w:val="0"/>
          <w:numId w:val="26"/>
        </w:numPr>
        <w:ind w:left="1267"/>
      </w:pPr>
      <w:r w:rsidRPr="00673DC1">
        <w:t>En el ámbito de las políticas relativas a la protección de los derechos y la justicia, se ha fijado el objetivo de impulsar la participación de las personas discapacitadas en los mecanismos decisorios y se han definido actividades para efectuar estudios que desarrollen la capacidad de las ONG que operan en el campo de la discapacidad.</w:t>
      </w:r>
    </w:p>
    <w:p w14:paraId="0EE5E0E8" w14:textId="0D9BE3A5" w:rsidR="004B5867" w:rsidRPr="004D7CFB" w:rsidRDefault="004B5867" w:rsidP="009B0F7B">
      <w:pPr>
        <w:pStyle w:val="SingleTxt"/>
        <w:numPr>
          <w:ilvl w:val="0"/>
          <w:numId w:val="26"/>
        </w:numPr>
        <w:ind w:left="1267"/>
      </w:pPr>
      <w:r w:rsidRPr="00673DC1">
        <w:t>La Junta de Seguimiento y Evaluación de los Derechos de las Personas con Discapacidad, creada mediante la Circular Presidencial núm. 2021/23, congrega a representantes de alto nivel de los organismos gubernamentales y organizaciones pertinentes y las dos ONG de discapacidad más influyentes, y se reúne dos veces al año para colaborar y coordinar estrechamente la protección y la promoción de los derechos de las personas con discapacidad. En su última reunión, celebrada el 21 de mayo de 2024, bajo la dirección del Ministerio de Familia y Servicios Sociales, se dedicó a evaluar el primer año del Plan de Acción Nacional sobre los Derechos de las Personas con Discapacidad y la accesibilidad web de las instituciones públicas. También participaron en esta productiva sesión viceministros de los ministerios miembros y representantes de ONG.</w:t>
      </w:r>
    </w:p>
    <w:p w14:paraId="1EDE8354" w14:textId="77777777" w:rsidR="001D3F2D" w:rsidRPr="00673DC1" w:rsidRDefault="001D3F2D" w:rsidP="001D3F2D">
      <w:pPr>
        <w:pStyle w:val="SingleTxt"/>
        <w:spacing w:after="0" w:line="120" w:lineRule="exact"/>
        <w:rPr>
          <w:b/>
          <w:bCs/>
          <w:sz w:val="10"/>
        </w:rPr>
      </w:pPr>
    </w:p>
    <w:p w14:paraId="76D7A898" w14:textId="77777777" w:rsidR="001D3F2D" w:rsidRPr="00673DC1" w:rsidRDefault="001D3F2D" w:rsidP="001D3F2D">
      <w:pPr>
        <w:pStyle w:val="SingleTxt"/>
        <w:spacing w:after="0" w:line="120" w:lineRule="exact"/>
        <w:rPr>
          <w:b/>
          <w:bCs/>
          <w:sz w:val="10"/>
        </w:rPr>
      </w:pPr>
    </w:p>
    <w:p w14:paraId="10117D9A" w14:textId="5960EFAD" w:rsidR="004B5867" w:rsidRPr="004D7CFB" w:rsidRDefault="004B5867" w:rsidP="00E10B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40" w:hanging="1267"/>
      </w:pPr>
      <w:r w:rsidRPr="00673DC1">
        <w:tab/>
        <w:t>C.</w:t>
      </w:r>
      <w:r w:rsidRPr="00673DC1">
        <w:tab/>
        <w:t>Información de seguimiento relativa al párrafo 40 a) de las observaciones finales</w:t>
      </w:r>
    </w:p>
    <w:p w14:paraId="7EC84D92" w14:textId="77777777" w:rsidR="001D3F2D" w:rsidRPr="004D7CFB" w:rsidRDefault="001D3F2D" w:rsidP="001D3F2D">
      <w:pPr>
        <w:pStyle w:val="SingleTxt"/>
        <w:spacing w:after="0" w:line="120" w:lineRule="exact"/>
        <w:rPr>
          <w:sz w:val="10"/>
        </w:rPr>
      </w:pPr>
    </w:p>
    <w:p w14:paraId="03EEE6B8" w14:textId="77777777" w:rsidR="001D3F2D" w:rsidRPr="004D7CFB" w:rsidRDefault="001D3F2D" w:rsidP="001D3F2D">
      <w:pPr>
        <w:pStyle w:val="SingleTxt"/>
        <w:spacing w:after="0" w:line="120" w:lineRule="exact"/>
        <w:rPr>
          <w:sz w:val="10"/>
        </w:rPr>
      </w:pPr>
    </w:p>
    <w:p w14:paraId="0EEFC4D3" w14:textId="6F37D232" w:rsidR="004B5867" w:rsidRPr="004D7CFB" w:rsidRDefault="004B5867" w:rsidP="009B0F7B">
      <w:pPr>
        <w:pStyle w:val="SingleTxt"/>
        <w:numPr>
          <w:ilvl w:val="0"/>
          <w:numId w:val="26"/>
        </w:numPr>
        <w:ind w:left="1267"/>
      </w:pPr>
      <w:r w:rsidRPr="00673DC1">
        <w:t>La Constitución turca garantiza el derecho de las personas a asociarse y realizar actividades pacíficas (artículo 33), lo que permite a los ciudadanos reunirse con diversos fines y participar en la sociedad civil. En virtud del artículo 34, toda persona puede ejercer el derecho a reunirse y manifestarse al amparo de la ley.</w:t>
      </w:r>
    </w:p>
    <w:p w14:paraId="0B5A4E7D" w14:textId="655324BD" w:rsidR="004B5867" w:rsidRPr="004D7CFB" w:rsidRDefault="004B5867" w:rsidP="009B0F7B">
      <w:pPr>
        <w:pStyle w:val="SingleTxt"/>
        <w:numPr>
          <w:ilvl w:val="0"/>
          <w:numId w:val="26"/>
        </w:numPr>
        <w:ind w:left="1267"/>
      </w:pPr>
      <w:r w:rsidRPr="00673DC1">
        <w:t>La libertad de expresión, incluid</w:t>
      </w:r>
      <w:r w:rsidR="00E10B2B" w:rsidRPr="00673DC1">
        <w:t>os</w:t>
      </w:r>
      <w:r w:rsidRPr="00673DC1">
        <w:t xml:space="preserve"> la libertad de prensa y el periodismo, también está consagrada en la Constitución. Estos derechos, junto con el derecho a la defensa jurídica, son esenciales para que la democracia funcione como corresponde y garantizan el acceso a otros derechos fundamentales.</w:t>
      </w:r>
    </w:p>
    <w:p w14:paraId="6617D965" w14:textId="41B54299" w:rsidR="004B5867" w:rsidRPr="00673DC1" w:rsidRDefault="004B5867" w:rsidP="009B0F7B">
      <w:pPr>
        <w:pStyle w:val="SingleTxt"/>
        <w:numPr>
          <w:ilvl w:val="0"/>
          <w:numId w:val="26"/>
        </w:numPr>
        <w:ind w:left="1267"/>
      </w:pPr>
      <w:r w:rsidRPr="00673DC1">
        <w:lastRenderedPageBreak/>
        <w:t>En Türkiye, la Ley núm. 5253 de Asociaciones garantiza la gobernanza adecuada al autorizar inspecciones para verificar que las asociaciones operan de acuerdo con sus objetivos declarados y mantienen registros financieros exactos. Aunque solo se realizan auditorías cuando son necesarias, es alentador observar la baja prevalencia de irregularidades entre las asociaciones de mujeres. En 2021, solo el 0,84 % de las asociaciones auditadas estaban dirigidas por mujeres, cifra que fue similar a las de 2022 y 2023.</w:t>
      </w:r>
    </w:p>
    <w:p w14:paraId="4A73741B" w14:textId="2673CF97" w:rsidR="004B5867" w:rsidRPr="004D7CFB" w:rsidRDefault="004B5867" w:rsidP="009B0F7B">
      <w:pPr>
        <w:pStyle w:val="SingleTxt"/>
        <w:numPr>
          <w:ilvl w:val="0"/>
          <w:numId w:val="26"/>
        </w:numPr>
        <w:ind w:left="1267"/>
      </w:pPr>
      <w:r w:rsidRPr="00673DC1">
        <w:t>La Dirección General de Relaciones con la Sociedad Civil del Ministerio del Interior dio apoyo activo a iniciativas para empoderar a las mujeres financiando 234</w:t>
      </w:r>
      <w:r w:rsidR="00482FA4" w:rsidRPr="00673DC1">
        <w:t> </w:t>
      </w:r>
      <w:r w:rsidRPr="00673DC1">
        <w:t>proyectos centrados en combatir la violencia contra las mujeres y los derechos de las mujeres entre 2014 y 2023.</w:t>
      </w:r>
    </w:p>
    <w:p w14:paraId="323D1833" w14:textId="6FB30EF3" w:rsidR="004B5867" w:rsidRPr="004D7CFB" w:rsidRDefault="004B5867" w:rsidP="009B0F7B">
      <w:pPr>
        <w:pStyle w:val="SingleTxt"/>
        <w:numPr>
          <w:ilvl w:val="0"/>
          <w:numId w:val="26"/>
        </w:numPr>
        <w:ind w:left="1267"/>
      </w:pPr>
      <w:r w:rsidRPr="00673DC1">
        <w:t>El Ministerio de Familia y Servicios Sociales reconoce que las ONG centradas en las mujeres son asociadas fundamentales para promover la situación de la mujer. Esta colaboración se materializa en la elaboración conjunta de políticas, el intercambio de información a través de reuniones de consulta y la incorporación de los conocimientos especializados de las ONG en el seguimiento y la evaluación de las políticas aplicadas.</w:t>
      </w:r>
    </w:p>
    <w:p w14:paraId="6D9DAC19" w14:textId="290C697F" w:rsidR="004B5867" w:rsidRPr="00673DC1" w:rsidRDefault="004B5867" w:rsidP="009B0F7B">
      <w:pPr>
        <w:pStyle w:val="SingleTxt"/>
        <w:numPr>
          <w:ilvl w:val="0"/>
          <w:numId w:val="26"/>
        </w:numPr>
        <w:ind w:left="1267"/>
      </w:pPr>
      <w:r w:rsidRPr="00673DC1">
        <w:t>El Ministerio de Familia y Servicios Sociales coordinó la redacción de un documento estratégico y plan de acción para el empoderamiento de las mujeres (2024</w:t>
      </w:r>
      <w:r w:rsidR="00854720" w:rsidRPr="00673DC1">
        <w:noBreakHyphen/>
      </w:r>
      <w:r w:rsidRPr="00673DC1">
        <w:t>2028). Este plan integra valiosas aportaciones de instituciones públicas, gobiernos locales, universidades, ONG y asociaciones profesionales. El plan de acción reconoce el papel vital de la sociedad civil, por lo que considera transversal la cooperación con las ONG. Mediante ese método colaborativo, el Ministerio trabaja activamente con diversas partes interesadas para empoderar a las mujeres.</w:t>
      </w:r>
    </w:p>
    <w:p w14:paraId="3818BF3C" w14:textId="792BEB23" w:rsidR="004B5867" w:rsidRPr="00673DC1" w:rsidRDefault="004B5867" w:rsidP="009B0F7B">
      <w:pPr>
        <w:pStyle w:val="SingleTxt"/>
        <w:numPr>
          <w:ilvl w:val="0"/>
          <w:numId w:val="26"/>
        </w:numPr>
        <w:ind w:left="1267"/>
      </w:pPr>
      <w:r w:rsidRPr="00673DC1">
        <w:t xml:space="preserve">A fin de fortalecer la capacidad de las ONG en materia de servicios sociales y asistencia social en consonancia con la labor del Ministerio de Familia y Servicios Sociales, y para mejorar las relaciones con la sociedad civil, se elaboró y comenzó a </w:t>
      </w:r>
      <w:r w:rsidRPr="00673DC1">
        <w:rPr>
          <w:spacing w:val="2"/>
        </w:rPr>
        <w:t>aplicar el Documento de la Visión y el Plan de Acción de la Sociedad Civil 2022-2023.</w:t>
      </w:r>
    </w:p>
    <w:p w14:paraId="001F0006" w14:textId="3C4E2AF3" w:rsidR="004B5867" w:rsidRPr="004D7CFB" w:rsidRDefault="004B5867" w:rsidP="009B0F7B">
      <w:pPr>
        <w:pStyle w:val="SingleTxt"/>
        <w:numPr>
          <w:ilvl w:val="0"/>
          <w:numId w:val="26"/>
        </w:numPr>
        <w:ind w:left="1267"/>
      </w:pPr>
      <w:r w:rsidRPr="00673DC1">
        <w:t>El 7 de octubre de 2021, el Ministerio de Familia y Servicios Sociales acogió el acto titulado “Encuentros de la Sociedad Civil” como parte de los preparativos del Documento de la Visión y el Plan de Acción de la Sociedad Civil. El acto, presidido por el Ministro de Familia y Servicios Sociales, se organizó con la participación de representantes de 43 organizaciones de la sociedad civil.</w:t>
      </w:r>
    </w:p>
    <w:p w14:paraId="6C97110F" w14:textId="7AE06C3F" w:rsidR="004B5867" w:rsidRPr="004D7CFB" w:rsidRDefault="004B5867" w:rsidP="009B0F7B">
      <w:pPr>
        <w:pStyle w:val="SingleTxt"/>
        <w:numPr>
          <w:ilvl w:val="0"/>
          <w:numId w:val="26"/>
        </w:numPr>
        <w:ind w:left="1267"/>
      </w:pPr>
      <w:r w:rsidRPr="00673DC1">
        <w:t>El acto “Reuniones del Mundo Académico: Mujeres”, presidido por el Ministerio de Familia y Servicios Sociales, tuvo lugar el 4 de julio de 2022 y contó con la participación de representantes de 26 Centros Universitarios de Investigación y Problemas de la Mujer.</w:t>
      </w:r>
    </w:p>
    <w:p w14:paraId="2AC0452D" w14:textId="0D9CC4C1" w:rsidR="004B5867" w:rsidRPr="004D7CFB" w:rsidRDefault="004B5867" w:rsidP="009B0F7B">
      <w:pPr>
        <w:pStyle w:val="SingleTxt"/>
        <w:numPr>
          <w:ilvl w:val="0"/>
          <w:numId w:val="26"/>
        </w:numPr>
        <w:ind w:left="1267"/>
      </w:pPr>
      <w:r w:rsidRPr="00673DC1">
        <w:t>El Ministerio del Interior organiza reuniones periódicas para abordar la violencia contra las mujeres con un grupo diverso de partes interesadas, entre las que se cuentan expertos, investigadores, organizaciones profesionales, ONG de mujeres, organizaciones internacionales y representantes de los medios de comunicación.</w:t>
      </w:r>
    </w:p>
    <w:p w14:paraId="54201C5B" w14:textId="7EF5A3A5" w:rsidR="004B5867" w:rsidRPr="00673DC1" w:rsidRDefault="004B5867" w:rsidP="009B0F7B">
      <w:pPr>
        <w:pStyle w:val="SingleTxt"/>
        <w:numPr>
          <w:ilvl w:val="0"/>
          <w:numId w:val="26"/>
        </w:numPr>
        <w:ind w:left="1267"/>
      </w:pPr>
      <w:r w:rsidRPr="00673DC1">
        <w:t>Para concienciar sobre la lucha contra la violencia de género, el Ministerio de Justicia organiza reuniones de diálogo a las que asisten diversas partes interesadas locales, en particular representantes de instituciones y organizaciones públicas, jueces y fiscales, colegios de abogados y ONG.</w:t>
      </w:r>
    </w:p>
    <w:p w14:paraId="0A5177A0" w14:textId="5EE4166F" w:rsidR="004B5867" w:rsidRPr="004D7CFB" w:rsidRDefault="004B5867" w:rsidP="009B0F7B">
      <w:pPr>
        <w:pStyle w:val="SingleTxt"/>
        <w:numPr>
          <w:ilvl w:val="0"/>
          <w:numId w:val="26"/>
        </w:numPr>
        <w:ind w:left="1267"/>
      </w:pPr>
      <w:r w:rsidRPr="00673DC1">
        <w:t>Para promover la concienciación sobre los derechos humanos, la Institución de Derechos Humanos e Igualdad de Türkiye presenta entrevistas con especialistas en su canal de YouTube (HREIT Academy).</w:t>
      </w:r>
    </w:p>
    <w:p w14:paraId="6F58403D" w14:textId="3940AD93" w:rsidR="004B5867" w:rsidRPr="004D7CFB" w:rsidRDefault="004B5867" w:rsidP="009B0F7B">
      <w:pPr>
        <w:pStyle w:val="SingleTxt"/>
        <w:numPr>
          <w:ilvl w:val="0"/>
          <w:numId w:val="26"/>
        </w:numPr>
        <w:ind w:left="1267"/>
      </w:pPr>
      <w:r w:rsidRPr="00673DC1">
        <w:lastRenderedPageBreak/>
        <w:t>La Institución organiza reuniones de la Comisión Consultiva contra la Discriminación para abordar los retos y las soluciones al respecto. Estas reuniones fomentan un entorno propicio para que las defensoras de los derechos humanos, abogadas y periodistas defiendan libremente los derechos de la mujer.</w:t>
      </w:r>
    </w:p>
    <w:p w14:paraId="0BEEB93B" w14:textId="2ED9B9F3" w:rsidR="004B5867" w:rsidRPr="00673DC1" w:rsidRDefault="004B5867" w:rsidP="009B0F7B">
      <w:pPr>
        <w:pStyle w:val="SingleTxt"/>
        <w:numPr>
          <w:ilvl w:val="0"/>
          <w:numId w:val="26"/>
        </w:numPr>
        <w:ind w:left="1267"/>
      </w:pPr>
      <w:r w:rsidRPr="00673DC1">
        <w:t>La Institución convoca periódicamente reuniones regionales de consulta con asociaciones de mujeres y organizaciones de la sociedad civil para tratar diversas cuestiones.</w:t>
      </w:r>
    </w:p>
    <w:p w14:paraId="4A9DA8D4" w14:textId="4777CB58" w:rsidR="004B5867" w:rsidRPr="00673DC1" w:rsidRDefault="004B5867" w:rsidP="004B5867">
      <w:pPr>
        <w:pStyle w:val="SingleTxt"/>
      </w:pPr>
      <w:r w:rsidRPr="00673DC1">
        <w:rPr>
          <w:w w:val="100"/>
        </w:rPr>
        <mc:AlternateContent>
          <mc:Choice Requires="wps">
            <w:drawing>
              <wp:anchor distT="0" distB="0" distL="114300" distR="114300" simplePos="0" relativeHeight="251660288" behindDoc="0" locked="0" layoutInCell="1" allowOverlap="1" wp14:anchorId="62B54E28" wp14:editId="0D9B8EF3">
                <wp:simplePos x="0" y="0"/>
                <wp:positionH relativeFrom="column">
                  <wp:posOffset>2669540</wp:posOffset>
                </wp:positionH>
                <wp:positionV relativeFrom="paragraph">
                  <wp:posOffset>304800</wp:posOffset>
                </wp:positionV>
                <wp:extent cx="914400" cy="0"/>
                <wp:effectExtent l="0" t="0" r="0" b="0"/>
                <wp:wrapNone/>
                <wp:docPr id="591351540"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CD226D"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4B5867" w:rsidRPr="00673DC1" w:rsidSect="004B5867">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07-29T15:47:00Z" w:initials="Start">
    <w:p w14:paraId="77AD9A29" w14:textId="77777777" w:rsidR="00D9658E" w:rsidRDefault="00D9658E">
      <w:pPr>
        <w:pStyle w:val="CommentText"/>
      </w:pPr>
      <w:r>
        <w:rPr>
          <w:rStyle w:val="CommentReference"/>
        </w:rPr>
        <w:annotationRef/>
      </w:r>
      <w:r>
        <w:t>&lt;&lt;ODS JOB NO&gt;&gt;N2421006S&lt;&lt;ODS JOB NO&gt;&gt;</w:t>
      </w:r>
    </w:p>
    <w:p w14:paraId="4CBFF714" w14:textId="77777777" w:rsidR="00D9658E" w:rsidRDefault="00D9658E">
      <w:pPr>
        <w:pStyle w:val="CommentText"/>
      </w:pPr>
      <w:r>
        <w:t>&lt;&lt;ODS DOC SYMBOL1&gt;&gt;CEDAW/C/TUR/FCO/8&lt;&lt;ODS DOC SYMBOL1&gt;&gt;</w:t>
      </w:r>
    </w:p>
    <w:p w14:paraId="0F051750" w14:textId="7B769321" w:rsidR="00D9658E" w:rsidRDefault="00D9658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0F05175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421F6FAC" w16cex:dateUtc="2024-07-29T19: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0F051750" w16cid:durableId="421F6FA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E0B13C" w14:textId="77777777" w:rsidR="005E6AFA" w:rsidRDefault="005E6AFA" w:rsidP="00331D20">
      <w:r>
        <w:separator/>
      </w:r>
    </w:p>
  </w:endnote>
  <w:endnote w:type="continuationSeparator" w:id="0">
    <w:p w14:paraId="7C0CD9CC" w14:textId="77777777" w:rsidR="005E6AFA" w:rsidRDefault="005E6AFA"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D9658E" w14:paraId="2AF0CB2E" w14:textId="77777777" w:rsidTr="00D9658E">
      <w:tc>
        <w:tcPr>
          <w:tcW w:w="4920" w:type="dxa"/>
          <w:shd w:val="clear" w:color="auto" w:fill="auto"/>
          <w:vAlign w:val="bottom"/>
        </w:tcPr>
        <w:p w14:paraId="51EE4DA1" w14:textId="77777777" w:rsidR="00D9658E" w:rsidRPr="00D9658E" w:rsidRDefault="00D9658E" w:rsidP="00D9658E">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3E24F5A7" w14:textId="77777777" w:rsidR="00D9658E" w:rsidRPr="00D9658E" w:rsidRDefault="00D9658E" w:rsidP="00D9658E">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24-13036</w:t>
          </w:r>
          <w:r>
            <w:rPr>
              <w:b w:val="0"/>
              <w:color w:val="000000"/>
              <w:sz w:val="14"/>
            </w:rPr>
            <w:fldChar w:fldCharType="end"/>
          </w:r>
        </w:p>
      </w:tc>
    </w:tr>
  </w:tbl>
  <w:p w14:paraId="72AF706F" w14:textId="77777777" w:rsidR="00D9658E" w:rsidRPr="00D9658E" w:rsidRDefault="00D9658E" w:rsidP="00D965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D9658E" w14:paraId="7390BA46" w14:textId="77777777" w:rsidTr="00D9658E">
      <w:tc>
        <w:tcPr>
          <w:tcW w:w="4920" w:type="dxa"/>
          <w:shd w:val="clear" w:color="auto" w:fill="auto"/>
          <w:vAlign w:val="bottom"/>
        </w:tcPr>
        <w:p w14:paraId="7C5FD6C9" w14:textId="77777777" w:rsidR="00D9658E" w:rsidRPr="00D9658E" w:rsidRDefault="00D9658E" w:rsidP="00D9658E">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24-13036</w:t>
          </w:r>
          <w:r>
            <w:rPr>
              <w:b w:val="0"/>
              <w:color w:val="000000"/>
              <w:sz w:val="14"/>
            </w:rPr>
            <w:fldChar w:fldCharType="end"/>
          </w:r>
        </w:p>
      </w:tc>
      <w:tc>
        <w:tcPr>
          <w:tcW w:w="4920" w:type="dxa"/>
          <w:shd w:val="clear" w:color="auto" w:fill="auto"/>
          <w:vAlign w:val="bottom"/>
        </w:tcPr>
        <w:p w14:paraId="03BFE3BF" w14:textId="77777777" w:rsidR="00D9658E" w:rsidRPr="00D9658E" w:rsidRDefault="00D9658E" w:rsidP="00D9658E">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12470FDC" w14:textId="77777777" w:rsidR="00D9658E" w:rsidRPr="00D9658E" w:rsidRDefault="00D9658E" w:rsidP="00D9658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9BF6C7" w14:textId="77777777" w:rsidR="00D9658E" w:rsidRPr="00D9658E" w:rsidRDefault="00D9658E" w:rsidP="00D9658E">
    <w:pPr>
      <w:pStyle w:val="Footer"/>
      <w:spacing w:line="120" w:lineRule="exact"/>
      <w:rPr>
        <w:b w:val="0"/>
        <w:sz w:val="10"/>
      </w:rPr>
    </w:pPr>
    <w:r>
      <w:rPr>
        <w:b w:val="0"/>
        <w:sz w:val="10"/>
      </w:rPr>
      <w:drawing>
        <wp:anchor distT="0" distB="0" distL="114300" distR="114300" simplePos="0" relativeHeight="251658240" behindDoc="0" locked="0" layoutInCell="1" allowOverlap="1" wp14:anchorId="63936EC0" wp14:editId="2A0CB1EA">
          <wp:simplePos x="0" y="0"/>
          <wp:positionH relativeFrom="column">
            <wp:posOffset>5568315</wp:posOffset>
          </wp:positionH>
          <wp:positionV relativeFrom="paragraph">
            <wp:posOffset>-283210</wp:posOffset>
          </wp:positionV>
          <wp:extent cx="694690" cy="694690"/>
          <wp:effectExtent l="0" t="0" r="0" b="0"/>
          <wp:wrapNone/>
          <wp:docPr id="2600048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D9658E" w14:paraId="04AAA394" w14:textId="77777777" w:rsidTr="00D9658E">
      <w:tc>
        <w:tcPr>
          <w:tcW w:w="3830" w:type="dxa"/>
          <w:shd w:val="clear" w:color="auto" w:fill="auto"/>
        </w:tcPr>
        <w:p w14:paraId="2C5717EC" w14:textId="1AE1C34D" w:rsidR="00D9658E" w:rsidRDefault="00D9658E" w:rsidP="00D9658E">
          <w:pPr>
            <w:pStyle w:val="ReleaseDate"/>
          </w:pPr>
          <w:r>
            <w:t>24-13036 (S)    2</w:t>
          </w:r>
          <w:r w:rsidR="009B0F7B">
            <w:t>2</w:t>
          </w:r>
          <w:r>
            <w:t xml:space="preserve">0724    </w:t>
          </w:r>
          <w:r w:rsidR="009B0F7B">
            <w:t>07</w:t>
          </w:r>
          <w:r>
            <w:t>0</w:t>
          </w:r>
          <w:r w:rsidR="009B0F7B">
            <w:t>8</w:t>
          </w:r>
          <w:r>
            <w:t>24</w:t>
          </w:r>
        </w:p>
        <w:p w14:paraId="243D743B" w14:textId="77777777" w:rsidR="00D9658E" w:rsidRPr="00D9658E" w:rsidRDefault="00D9658E" w:rsidP="00D9658E">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*2413036*</w:t>
          </w:r>
        </w:p>
      </w:tc>
      <w:tc>
        <w:tcPr>
          <w:tcW w:w="4920" w:type="dxa"/>
          <w:shd w:val="clear" w:color="auto" w:fill="auto"/>
        </w:tcPr>
        <w:p w14:paraId="64A0B773" w14:textId="77777777" w:rsidR="00D9658E" w:rsidRDefault="00D9658E" w:rsidP="00D9658E">
          <w:pPr>
            <w:pStyle w:val="Footer"/>
            <w:ind w:right="86"/>
            <w:jc w:val="right"/>
            <w:rPr>
              <w:b w:val="0"/>
              <w:sz w:val="20"/>
            </w:rPr>
          </w:pPr>
          <w:r>
            <w:rPr>
              <w:b w:val="0"/>
              <w:sz w:val="20"/>
            </w:rPr>
            <w:drawing>
              <wp:inline distT="0" distB="0" distL="0" distR="0" wp14:anchorId="441222A4" wp14:editId="06C7D61B">
                <wp:extent cx="1082042" cy="231648"/>
                <wp:effectExtent l="0" t="0" r="3810" b="0"/>
                <wp:docPr id="1315009465" name="Picture 2"/>
                <wp:cNvGraphicFramePr/>
                <a:graphic xmlns:a="http://schemas.openxmlformats.org/drawingml/2006/main">
                  <a:graphicData uri="http://schemas.openxmlformats.org/drawingml/2006/picture">
                    <pic:pic xmlns:pic="http://schemas.openxmlformats.org/drawingml/2006/picture">
                      <pic:nvPicPr>
                        <pic:cNvPr id="1315009465"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21520E5A" w14:textId="77777777" w:rsidR="00D9658E" w:rsidRPr="00D9658E" w:rsidRDefault="00D9658E" w:rsidP="00D9658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64C526" w14:textId="77777777" w:rsidR="005E6AFA" w:rsidRDefault="005E6AFA" w:rsidP="00331D20">
      <w:r>
        <w:separator/>
      </w:r>
    </w:p>
  </w:footnote>
  <w:footnote w:type="continuationSeparator" w:id="0">
    <w:p w14:paraId="34C2E437" w14:textId="77777777" w:rsidR="005E6AFA" w:rsidRDefault="005E6AFA"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9658E" w14:paraId="08F088E4" w14:textId="77777777" w:rsidTr="00D9658E">
      <w:trPr>
        <w:trHeight w:hRule="exact" w:val="864"/>
      </w:trPr>
      <w:tc>
        <w:tcPr>
          <w:tcW w:w="4920" w:type="dxa"/>
          <w:shd w:val="clear" w:color="auto" w:fill="auto"/>
          <w:vAlign w:val="bottom"/>
        </w:tcPr>
        <w:p w14:paraId="42E9472B" w14:textId="77777777" w:rsidR="00D9658E" w:rsidRPr="00D9658E" w:rsidRDefault="00D9658E" w:rsidP="00D9658E">
          <w:pPr>
            <w:pStyle w:val="Header"/>
            <w:spacing w:after="80"/>
            <w:rPr>
              <w:b/>
            </w:rPr>
          </w:pPr>
          <w:r>
            <w:rPr>
              <w:b/>
            </w:rPr>
            <w:fldChar w:fldCharType="begin"/>
          </w:r>
          <w:r>
            <w:rPr>
              <w:b/>
            </w:rPr>
            <w:instrText xml:space="preserve"> DOCVARIABLE "Symbol1" \* MERGEFORMAT </w:instrText>
          </w:r>
          <w:r>
            <w:rPr>
              <w:b/>
            </w:rPr>
            <w:fldChar w:fldCharType="separate"/>
          </w:r>
          <w:r>
            <w:rPr>
              <w:b/>
            </w:rPr>
            <w:t>CEDAW/C/TUR/FCO/8</w:t>
          </w:r>
          <w:r>
            <w:rPr>
              <w:b/>
            </w:rPr>
            <w:fldChar w:fldCharType="end"/>
          </w:r>
        </w:p>
      </w:tc>
      <w:tc>
        <w:tcPr>
          <w:tcW w:w="4920" w:type="dxa"/>
          <w:shd w:val="clear" w:color="auto" w:fill="auto"/>
          <w:vAlign w:val="bottom"/>
        </w:tcPr>
        <w:p w14:paraId="0A5C1078" w14:textId="77777777" w:rsidR="00D9658E" w:rsidRDefault="00D9658E" w:rsidP="00D9658E">
          <w:pPr>
            <w:pStyle w:val="Header"/>
          </w:pPr>
        </w:p>
      </w:tc>
    </w:tr>
  </w:tbl>
  <w:p w14:paraId="0EC03646" w14:textId="77777777" w:rsidR="00D9658E" w:rsidRPr="00D9658E" w:rsidRDefault="00D9658E" w:rsidP="00D9658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9658E" w14:paraId="3DE5ED49" w14:textId="77777777" w:rsidTr="00D9658E">
      <w:trPr>
        <w:trHeight w:hRule="exact" w:val="864"/>
      </w:trPr>
      <w:tc>
        <w:tcPr>
          <w:tcW w:w="4920" w:type="dxa"/>
          <w:shd w:val="clear" w:color="auto" w:fill="auto"/>
          <w:vAlign w:val="bottom"/>
        </w:tcPr>
        <w:p w14:paraId="2A08D184" w14:textId="77777777" w:rsidR="00D9658E" w:rsidRDefault="00D9658E" w:rsidP="00D9658E">
          <w:pPr>
            <w:pStyle w:val="Header"/>
          </w:pPr>
        </w:p>
      </w:tc>
      <w:tc>
        <w:tcPr>
          <w:tcW w:w="4920" w:type="dxa"/>
          <w:shd w:val="clear" w:color="auto" w:fill="auto"/>
          <w:vAlign w:val="bottom"/>
        </w:tcPr>
        <w:p w14:paraId="2F5A7FCF" w14:textId="77777777" w:rsidR="00D9658E" w:rsidRPr="00D9658E" w:rsidRDefault="00D9658E" w:rsidP="00D9658E">
          <w:pPr>
            <w:pStyle w:val="Header"/>
            <w:spacing w:after="80"/>
            <w:jc w:val="right"/>
            <w:rPr>
              <w:b/>
            </w:rPr>
          </w:pPr>
          <w:r>
            <w:rPr>
              <w:b/>
            </w:rPr>
            <w:fldChar w:fldCharType="begin"/>
          </w:r>
          <w:r>
            <w:rPr>
              <w:b/>
            </w:rPr>
            <w:instrText xml:space="preserve"> DOCVARIABLE "Symbol1" \* MERGEFORMAT </w:instrText>
          </w:r>
          <w:r>
            <w:rPr>
              <w:b/>
            </w:rPr>
            <w:fldChar w:fldCharType="separate"/>
          </w:r>
          <w:r>
            <w:rPr>
              <w:b/>
            </w:rPr>
            <w:t>CEDAW/C/TUR/FCO/8</w:t>
          </w:r>
          <w:r>
            <w:rPr>
              <w:b/>
            </w:rPr>
            <w:fldChar w:fldCharType="end"/>
          </w:r>
        </w:p>
      </w:tc>
    </w:tr>
  </w:tbl>
  <w:p w14:paraId="38CCCF21" w14:textId="77777777" w:rsidR="00D9658E" w:rsidRPr="00D9658E" w:rsidRDefault="00D9658E" w:rsidP="00D9658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D9658E" w14:paraId="6AABF557" w14:textId="77777777" w:rsidTr="00D9658E">
      <w:trPr>
        <w:gridAfter w:val="1"/>
        <w:wAfter w:w="15" w:type="dxa"/>
        <w:trHeight w:hRule="exact" w:val="864"/>
      </w:trPr>
      <w:tc>
        <w:tcPr>
          <w:tcW w:w="1267" w:type="dxa"/>
          <w:tcBorders>
            <w:bottom w:val="single" w:sz="4" w:space="0" w:color="auto"/>
          </w:tcBorders>
          <w:shd w:val="clear" w:color="auto" w:fill="auto"/>
          <w:vAlign w:val="bottom"/>
        </w:tcPr>
        <w:p w14:paraId="44E16A7C" w14:textId="77777777" w:rsidR="00D9658E" w:rsidRDefault="00D9658E" w:rsidP="00D9658E">
          <w:pPr>
            <w:pStyle w:val="Header"/>
            <w:spacing w:after="120"/>
          </w:pPr>
        </w:p>
      </w:tc>
      <w:tc>
        <w:tcPr>
          <w:tcW w:w="2059" w:type="dxa"/>
          <w:tcBorders>
            <w:bottom w:val="single" w:sz="4" w:space="0" w:color="auto"/>
          </w:tcBorders>
          <w:shd w:val="clear" w:color="auto" w:fill="auto"/>
          <w:vAlign w:val="bottom"/>
        </w:tcPr>
        <w:p w14:paraId="16BEDE28" w14:textId="77777777" w:rsidR="00D9658E" w:rsidRPr="00D9658E" w:rsidRDefault="00D9658E" w:rsidP="00D9658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335D6678" w14:textId="77777777" w:rsidR="00D9658E" w:rsidRDefault="00D9658E" w:rsidP="00D9658E">
          <w:pPr>
            <w:pStyle w:val="Header"/>
            <w:spacing w:after="120"/>
          </w:pPr>
        </w:p>
      </w:tc>
      <w:tc>
        <w:tcPr>
          <w:tcW w:w="6480" w:type="dxa"/>
          <w:gridSpan w:val="3"/>
          <w:tcBorders>
            <w:bottom w:val="single" w:sz="4" w:space="0" w:color="auto"/>
          </w:tcBorders>
          <w:shd w:val="clear" w:color="auto" w:fill="auto"/>
          <w:vAlign w:val="bottom"/>
        </w:tcPr>
        <w:p w14:paraId="2130DD71" w14:textId="77777777" w:rsidR="00D9658E" w:rsidRPr="00D9658E" w:rsidRDefault="00D9658E" w:rsidP="00D9658E">
          <w:pPr>
            <w:spacing w:after="80" w:line="240" w:lineRule="auto"/>
            <w:jc w:val="right"/>
            <w:rPr>
              <w:position w:val="-4"/>
            </w:rPr>
          </w:pPr>
          <w:r>
            <w:rPr>
              <w:position w:val="-4"/>
              <w:sz w:val="40"/>
            </w:rPr>
            <w:t>CEDAW</w:t>
          </w:r>
          <w:r>
            <w:rPr>
              <w:position w:val="-4"/>
            </w:rPr>
            <w:t>/C/TUR/FCO/8</w:t>
          </w:r>
        </w:p>
      </w:tc>
    </w:tr>
    <w:tr w:rsidR="00D9658E" w:rsidRPr="00D9658E" w14:paraId="046F2007" w14:textId="77777777" w:rsidTr="00D9658E">
      <w:trPr>
        <w:trHeight w:hRule="exact" w:val="2880"/>
      </w:trPr>
      <w:tc>
        <w:tcPr>
          <w:tcW w:w="1267" w:type="dxa"/>
          <w:tcBorders>
            <w:top w:val="single" w:sz="4" w:space="0" w:color="auto"/>
            <w:bottom w:val="single" w:sz="12" w:space="0" w:color="auto"/>
          </w:tcBorders>
          <w:shd w:val="clear" w:color="auto" w:fill="auto"/>
        </w:tcPr>
        <w:p w14:paraId="61EFFAC5" w14:textId="77777777" w:rsidR="00D9658E" w:rsidRPr="00D9658E" w:rsidRDefault="00D9658E" w:rsidP="00D9658E">
          <w:pPr>
            <w:pStyle w:val="Header"/>
            <w:spacing w:before="120"/>
            <w:jc w:val="center"/>
          </w:pPr>
          <w:r>
            <w:t xml:space="preserve"> </w:t>
          </w:r>
          <w:r>
            <w:drawing>
              <wp:inline distT="0" distB="0" distL="0" distR="0" wp14:anchorId="4F78CA0C" wp14:editId="67EBFE9B">
                <wp:extent cx="713232" cy="597103"/>
                <wp:effectExtent l="0" t="0" r="0" b="0"/>
                <wp:docPr id="110564970" name="Picture 1"/>
                <wp:cNvGraphicFramePr/>
                <a:graphic xmlns:a="http://schemas.openxmlformats.org/drawingml/2006/main">
                  <a:graphicData uri="http://schemas.openxmlformats.org/drawingml/2006/picture">
                    <pic:pic xmlns:pic="http://schemas.openxmlformats.org/drawingml/2006/picture">
                      <pic:nvPicPr>
                        <pic:cNvPr id="110564970"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E74548C" w14:textId="77777777" w:rsidR="00D9658E" w:rsidRPr="00D9658E" w:rsidRDefault="00D9658E" w:rsidP="00D9658E">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FDC57CC" w14:textId="77777777" w:rsidR="00D9658E" w:rsidRPr="004B5867" w:rsidRDefault="00D9658E" w:rsidP="00D9658E">
          <w:pPr>
            <w:pStyle w:val="Header"/>
            <w:spacing w:before="109"/>
            <w:rPr>
              <w:lang w:val="es-ES_tradnl"/>
            </w:rPr>
          </w:pPr>
        </w:p>
      </w:tc>
      <w:tc>
        <w:tcPr>
          <w:tcW w:w="3140" w:type="dxa"/>
          <w:gridSpan w:val="2"/>
          <w:tcBorders>
            <w:top w:val="single" w:sz="4" w:space="0" w:color="auto"/>
            <w:bottom w:val="single" w:sz="12" w:space="0" w:color="auto"/>
          </w:tcBorders>
          <w:shd w:val="clear" w:color="auto" w:fill="auto"/>
        </w:tcPr>
        <w:p w14:paraId="23211E41" w14:textId="77777777" w:rsidR="00D9658E" w:rsidRDefault="00D9658E" w:rsidP="00D9658E">
          <w:pPr>
            <w:pStyle w:val="Distribution"/>
            <w:spacing w:before="240"/>
          </w:pPr>
          <w:r>
            <w:t>Distr. general</w:t>
          </w:r>
        </w:p>
        <w:p w14:paraId="489261BB" w14:textId="77777777" w:rsidR="00D9658E" w:rsidRDefault="00D9658E" w:rsidP="00D9658E">
          <w:pPr>
            <w:pStyle w:val="Publication"/>
          </w:pPr>
          <w:r>
            <w:t>16 de julio de 2024</w:t>
          </w:r>
        </w:p>
        <w:p w14:paraId="32BC0CAA" w14:textId="77777777" w:rsidR="00D9658E" w:rsidRDefault="00D9658E" w:rsidP="00D9658E">
          <w:pPr>
            <w:rPr>
              <w:lang w:val="es-ES"/>
            </w:rPr>
          </w:pPr>
          <w:r>
            <w:rPr>
              <w:lang w:val="es-ES"/>
            </w:rPr>
            <w:t>Español</w:t>
          </w:r>
        </w:p>
        <w:p w14:paraId="733EA567" w14:textId="77777777" w:rsidR="00D9658E" w:rsidRDefault="00D9658E" w:rsidP="00D9658E">
          <w:pPr>
            <w:pStyle w:val="Original"/>
          </w:pPr>
          <w:r>
            <w:t>Original: inglés</w:t>
          </w:r>
        </w:p>
        <w:p w14:paraId="455C63D8" w14:textId="26BA01F6" w:rsidR="00D9658E" w:rsidRPr="00D9658E" w:rsidRDefault="00854720" w:rsidP="00D9658E">
          <w:pPr>
            <w:rPr>
              <w:lang w:val="es-ES"/>
            </w:rPr>
          </w:pPr>
          <w:r>
            <w:rPr>
              <w:lang w:val="es-ES"/>
            </w:rPr>
            <w:t>Español, francés e inglés únicamente</w:t>
          </w:r>
        </w:p>
      </w:tc>
    </w:tr>
  </w:tbl>
  <w:p w14:paraId="362C55C1" w14:textId="77777777" w:rsidR="00D9658E" w:rsidRPr="00854720" w:rsidRDefault="00D9658E" w:rsidP="00D9658E">
    <w:pPr>
      <w:pStyle w:val="Header"/>
      <w:rPr>
        <w:sz w:val="2"/>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0BD53BB"/>
    <w:multiLevelType w:val="hybridMultilevel"/>
    <w:tmpl w:val="8BB2A8DE"/>
    <w:lvl w:ilvl="0" w:tplc="DAC8CBB6">
      <w:start w:val="1"/>
      <w:numFmt w:val="decimal"/>
      <w:lvlText w:val="%1."/>
      <w:lvlJc w:val="left"/>
      <w:pPr>
        <w:ind w:left="1747" w:hanging="480"/>
      </w:pPr>
      <w:rPr>
        <w:rFonts w:hint="default"/>
      </w:rPr>
    </w:lvl>
    <w:lvl w:ilvl="1" w:tplc="040A0019" w:tentative="1">
      <w:start w:val="1"/>
      <w:numFmt w:val="lowerLetter"/>
      <w:lvlText w:val="%2."/>
      <w:lvlJc w:val="left"/>
      <w:pPr>
        <w:ind w:left="2347" w:hanging="360"/>
      </w:pPr>
    </w:lvl>
    <w:lvl w:ilvl="2" w:tplc="040A001B" w:tentative="1">
      <w:start w:val="1"/>
      <w:numFmt w:val="lowerRoman"/>
      <w:lvlText w:val="%3."/>
      <w:lvlJc w:val="right"/>
      <w:pPr>
        <w:ind w:left="3067" w:hanging="180"/>
      </w:pPr>
    </w:lvl>
    <w:lvl w:ilvl="3" w:tplc="040A000F" w:tentative="1">
      <w:start w:val="1"/>
      <w:numFmt w:val="decimal"/>
      <w:lvlText w:val="%4."/>
      <w:lvlJc w:val="left"/>
      <w:pPr>
        <w:ind w:left="3787" w:hanging="360"/>
      </w:pPr>
    </w:lvl>
    <w:lvl w:ilvl="4" w:tplc="040A0019" w:tentative="1">
      <w:start w:val="1"/>
      <w:numFmt w:val="lowerLetter"/>
      <w:lvlText w:val="%5."/>
      <w:lvlJc w:val="left"/>
      <w:pPr>
        <w:ind w:left="4507" w:hanging="360"/>
      </w:pPr>
    </w:lvl>
    <w:lvl w:ilvl="5" w:tplc="040A001B" w:tentative="1">
      <w:start w:val="1"/>
      <w:numFmt w:val="lowerRoman"/>
      <w:lvlText w:val="%6."/>
      <w:lvlJc w:val="right"/>
      <w:pPr>
        <w:ind w:left="5227" w:hanging="180"/>
      </w:pPr>
    </w:lvl>
    <w:lvl w:ilvl="6" w:tplc="040A000F" w:tentative="1">
      <w:start w:val="1"/>
      <w:numFmt w:val="decimal"/>
      <w:lvlText w:val="%7."/>
      <w:lvlJc w:val="left"/>
      <w:pPr>
        <w:ind w:left="5947" w:hanging="360"/>
      </w:pPr>
    </w:lvl>
    <w:lvl w:ilvl="7" w:tplc="040A0019" w:tentative="1">
      <w:start w:val="1"/>
      <w:numFmt w:val="lowerLetter"/>
      <w:lvlText w:val="%8."/>
      <w:lvlJc w:val="left"/>
      <w:pPr>
        <w:ind w:left="6667" w:hanging="360"/>
      </w:pPr>
    </w:lvl>
    <w:lvl w:ilvl="8" w:tplc="040A001B" w:tentative="1">
      <w:start w:val="1"/>
      <w:numFmt w:val="lowerRoman"/>
      <w:lvlText w:val="%9."/>
      <w:lvlJc w:val="right"/>
      <w:pPr>
        <w:ind w:left="7387" w:hanging="180"/>
      </w:pPr>
    </w:lvl>
  </w:abstractNum>
  <w:abstractNum w:abstractNumId="7" w15:restartNumberingAfterBreak="0">
    <w:nsid w:val="43CF1B4B"/>
    <w:multiLevelType w:val="singleLevel"/>
    <w:tmpl w:val="2B6C3CF0"/>
    <w:lvl w:ilvl="0">
      <w:start w:val="1"/>
      <w:numFmt w:val="decimal"/>
      <w:lvlRestart w:val="0"/>
      <w:lvlText w:val="%1."/>
      <w:lvlJc w:val="left"/>
      <w:pPr>
        <w:tabs>
          <w:tab w:val="num" w:pos="475"/>
        </w:tabs>
        <w:ind w:left="0" w:firstLine="0"/>
      </w:pPr>
      <w:rPr>
        <w:spacing w:val="0"/>
        <w:w w:val="100"/>
      </w:r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5"/>
  </w:num>
  <w:num w:numId="9" w16cid:durableId="250091437">
    <w:abstractNumId w:val="11"/>
  </w:num>
  <w:num w:numId="10" w16cid:durableId="524252012">
    <w:abstractNumId w:val="10"/>
  </w:num>
  <w:num w:numId="11" w16cid:durableId="1374187316">
    <w:abstractNumId w:val="9"/>
  </w:num>
  <w:num w:numId="12" w16cid:durableId="36052305">
    <w:abstractNumId w:val="12"/>
  </w:num>
  <w:num w:numId="13" w16cid:durableId="1679231921">
    <w:abstractNumId w:val="5"/>
  </w:num>
  <w:num w:numId="14" w16cid:durableId="1031536774">
    <w:abstractNumId w:val="11"/>
  </w:num>
  <w:num w:numId="15" w16cid:durableId="875393002">
    <w:abstractNumId w:val="9"/>
  </w:num>
  <w:num w:numId="16" w16cid:durableId="1483237288">
    <w:abstractNumId w:val="9"/>
  </w:num>
  <w:num w:numId="17" w16cid:durableId="912012482">
    <w:abstractNumId w:val="9"/>
  </w:num>
  <w:num w:numId="18" w16cid:durableId="1379892502">
    <w:abstractNumId w:val="9"/>
  </w:num>
  <w:num w:numId="19" w16cid:durableId="1788037444">
    <w:abstractNumId w:val="9"/>
  </w:num>
  <w:num w:numId="20" w16cid:durableId="984509384">
    <w:abstractNumId w:val="9"/>
  </w:num>
  <w:num w:numId="21" w16cid:durableId="723914449">
    <w:abstractNumId w:val="9"/>
  </w:num>
  <w:num w:numId="22" w16cid:durableId="563181366">
    <w:abstractNumId w:val="9"/>
  </w:num>
  <w:num w:numId="23" w16cid:durableId="1979722990">
    <w:abstractNumId w:val="9"/>
  </w:num>
  <w:num w:numId="24" w16cid:durableId="1877236076">
    <w:abstractNumId w:val="10"/>
  </w:num>
  <w:num w:numId="25" w16cid:durableId="1461075889">
    <w:abstractNumId w:val="9"/>
  </w:num>
  <w:num w:numId="26" w16cid:durableId="1316225288">
    <w:abstractNumId w:val="7"/>
  </w:num>
  <w:num w:numId="27" w16cid:durableId="808326811">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activeWritingStyle w:appName="MSWord" w:lang="es-ES_tradnl" w:vendorID="64" w:dllVersion="0" w:nlCheck="1" w:checkStyle="0"/>
  <w:activeWritingStyle w:appName="MSWord" w:lang="en-US" w:vendorID="64" w:dllVersion="0" w:nlCheck="1" w:checkStyle="0"/>
  <w:activeWritingStyle w:appName="MSWord" w:lang="es-ES" w:vendorID="64" w:dllVersion="0" w:nlCheck="1" w:checkStyle="0"/>
  <w:proofState w:spelling="clean" w:grammar="clean"/>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3036*"/>
    <w:docVar w:name="CreationDt" w:val="29/07/2024 3:47: PM"/>
    <w:docVar w:name="DocCategory" w:val="Doc"/>
    <w:docVar w:name="DocType" w:val="Final"/>
    <w:docVar w:name="DutyStation" w:val="New York"/>
    <w:docVar w:name="FooterJN" w:val="24-13036"/>
    <w:docVar w:name="jobn" w:val="24-13036 (S)"/>
    <w:docVar w:name="jobnDT" w:val="24-13036 (S)   290724"/>
    <w:docVar w:name="jobnDTDT" w:val="24-13036 (S)   290724   290724"/>
    <w:docVar w:name="JobNo" w:val="2413036S"/>
    <w:docVar w:name="JobNo2" w:val="24210063:47: PM"/>
    <w:docVar w:name="LocalDrive" w:val="-1"/>
    <w:docVar w:name="OandT" w:val="EMS/KRT"/>
    <w:docVar w:name="sss1" w:val="CEDAW/C/TUR/FCO/8"/>
    <w:docVar w:name="sss2" w:val="-"/>
    <w:docVar w:name="Symbol1" w:val="CEDAW/C/TUR/FCO/8"/>
    <w:docVar w:name="Symbol2" w:val="-"/>
    <w:docVar w:name="Title1" w:val="_x0009__x0009_Información recibida de Türkiye relativa al seguimiento de las observaciones finales de su octavo informe periódico*_x000d_"/>
  </w:docVars>
  <w:rsids>
    <w:rsidRoot w:val="00A2618F"/>
    <w:rsid w:val="00001169"/>
    <w:rsid w:val="00001967"/>
    <w:rsid w:val="00006CEB"/>
    <w:rsid w:val="00010244"/>
    <w:rsid w:val="00013EAA"/>
    <w:rsid w:val="0003395D"/>
    <w:rsid w:val="00035BE0"/>
    <w:rsid w:val="00036B92"/>
    <w:rsid w:val="000438CC"/>
    <w:rsid w:val="000605CD"/>
    <w:rsid w:val="00072C55"/>
    <w:rsid w:val="00082CAA"/>
    <w:rsid w:val="00096CED"/>
    <w:rsid w:val="000B15D9"/>
    <w:rsid w:val="000B205D"/>
    <w:rsid w:val="000C1825"/>
    <w:rsid w:val="000C2A21"/>
    <w:rsid w:val="000C5658"/>
    <w:rsid w:val="000C748E"/>
    <w:rsid w:val="000D4CC6"/>
    <w:rsid w:val="000E11FE"/>
    <w:rsid w:val="00105618"/>
    <w:rsid w:val="0010776C"/>
    <w:rsid w:val="0013082E"/>
    <w:rsid w:val="001325B0"/>
    <w:rsid w:val="00143468"/>
    <w:rsid w:val="0014787C"/>
    <w:rsid w:val="00151F81"/>
    <w:rsid w:val="00153B16"/>
    <w:rsid w:val="00171CDD"/>
    <w:rsid w:val="00172722"/>
    <w:rsid w:val="0019568A"/>
    <w:rsid w:val="0019644A"/>
    <w:rsid w:val="001978D5"/>
    <w:rsid w:val="001B45D4"/>
    <w:rsid w:val="001C56D0"/>
    <w:rsid w:val="001C63A4"/>
    <w:rsid w:val="001D3F2D"/>
    <w:rsid w:val="001E0B45"/>
    <w:rsid w:val="001E0F7F"/>
    <w:rsid w:val="0021740E"/>
    <w:rsid w:val="002274BF"/>
    <w:rsid w:val="00244928"/>
    <w:rsid w:val="00247400"/>
    <w:rsid w:val="0026105F"/>
    <w:rsid w:val="002738D7"/>
    <w:rsid w:val="0027492E"/>
    <w:rsid w:val="00293B83"/>
    <w:rsid w:val="002A1443"/>
    <w:rsid w:val="002B21BC"/>
    <w:rsid w:val="002B5C1E"/>
    <w:rsid w:val="002C0212"/>
    <w:rsid w:val="002C1E96"/>
    <w:rsid w:val="002C26FC"/>
    <w:rsid w:val="002D39AE"/>
    <w:rsid w:val="002F1792"/>
    <w:rsid w:val="00303FC9"/>
    <w:rsid w:val="00331D20"/>
    <w:rsid w:val="00334B31"/>
    <w:rsid w:val="00346746"/>
    <w:rsid w:val="00362190"/>
    <w:rsid w:val="00363328"/>
    <w:rsid w:val="00363CAF"/>
    <w:rsid w:val="00365FD7"/>
    <w:rsid w:val="00371CD6"/>
    <w:rsid w:val="00372D6A"/>
    <w:rsid w:val="0037485E"/>
    <w:rsid w:val="00383895"/>
    <w:rsid w:val="00386D66"/>
    <w:rsid w:val="003B1169"/>
    <w:rsid w:val="003C6E4F"/>
    <w:rsid w:val="003E5E54"/>
    <w:rsid w:val="003F0CDB"/>
    <w:rsid w:val="003F2223"/>
    <w:rsid w:val="003F75F8"/>
    <w:rsid w:val="00402632"/>
    <w:rsid w:val="00403A93"/>
    <w:rsid w:val="00414121"/>
    <w:rsid w:val="00427352"/>
    <w:rsid w:val="00447A4B"/>
    <w:rsid w:val="00452A4F"/>
    <w:rsid w:val="00475B02"/>
    <w:rsid w:val="0047638E"/>
    <w:rsid w:val="00482FA4"/>
    <w:rsid w:val="00495E7B"/>
    <w:rsid w:val="00496138"/>
    <w:rsid w:val="0049669D"/>
    <w:rsid w:val="004A1153"/>
    <w:rsid w:val="004A348F"/>
    <w:rsid w:val="004A5DE7"/>
    <w:rsid w:val="004B3C07"/>
    <w:rsid w:val="004B51B0"/>
    <w:rsid w:val="004B5867"/>
    <w:rsid w:val="004D292D"/>
    <w:rsid w:val="004D7CFB"/>
    <w:rsid w:val="004F5722"/>
    <w:rsid w:val="00500E21"/>
    <w:rsid w:val="005074C6"/>
    <w:rsid w:val="00520343"/>
    <w:rsid w:val="005355D7"/>
    <w:rsid w:val="00540DC8"/>
    <w:rsid w:val="0054211F"/>
    <w:rsid w:val="00543230"/>
    <w:rsid w:val="0055190C"/>
    <w:rsid w:val="00551D40"/>
    <w:rsid w:val="0055741C"/>
    <w:rsid w:val="005610B1"/>
    <w:rsid w:val="00561254"/>
    <w:rsid w:val="00572F2E"/>
    <w:rsid w:val="00585412"/>
    <w:rsid w:val="00590764"/>
    <w:rsid w:val="005B6239"/>
    <w:rsid w:val="005D4F00"/>
    <w:rsid w:val="005D7188"/>
    <w:rsid w:val="005D71A2"/>
    <w:rsid w:val="005E32AB"/>
    <w:rsid w:val="005E4EBE"/>
    <w:rsid w:val="005E5518"/>
    <w:rsid w:val="005E6AFA"/>
    <w:rsid w:val="00602A10"/>
    <w:rsid w:val="00620589"/>
    <w:rsid w:val="0063771D"/>
    <w:rsid w:val="00665A84"/>
    <w:rsid w:val="00673DC1"/>
    <w:rsid w:val="0067696A"/>
    <w:rsid w:val="00684B07"/>
    <w:rsid w:val="006B25EE"/>
    <w:rsid w:val="006C4937"/>
    <w:rsid w:val="006C7738"/>
    <w:rsid w:val="006E3966"/>
    <w:rsid w:val="006E7D87"/>
    <w:rsid w:val="006F4C5D"/>
    <w:rsid w:val="006F5920"/>
    <w:rsid w:val="0071286D"/>
    <w:rsid w:val="007256AE"/>
    <w:rsid w:val="00727155"/>
    <w:rsid w:val="00735E6D"/>
    <w:rsid w:val="007367D5"/>
    <w:rsid w:val="00737468"/>
    <w:rsid w:val="007633C9"/>
    <w:rsid w:val="007742B6"/>
    <w:rsid w:val="007752D9"/>
    <w:rsid w:val="00780650"/>
    <w:rsid w:val="007A01B3"/>
    <w:rsid w:val="007B0481"/>
    <w:rsid w:val="007B4CD6"/>
    <w:rsid w:val="007C417F"/>
    <w:rsid w:val="007D56EE"/>
    <w:rsid w:val="007F49D0"/>
    <w:rsid w:val="008138CB"/>
    <w:rsid w:val="00816C74"/>
    <w:rsid w:val="00821509"/>
    <w:rsid w:val="008257C6"/>
    <w:rsid w:val="0083038C"/>
    <w:rsid w:val="00842240"/>
    <w:rsid w:val="00847569"/>
    <w:rsid w:val="00851EB0"/>
    <w:rsid w:val="00854720"/>
    <w:rsid w:val="0085578E"/>
    <w:rsid w:val="008557A4"/>
    <w:rsid w:val="00863195"/>
    <w:rsid w:val="00871053"/>
    <w:rsid w:val="00877270"/>
    <w:rsid w:val="0088056D"/>
    <w:rsid w:val="0088203D"/>
    <w:rsid w:val="00891297"/>
    <w:rsid w:val="008A2590"/>
    <w:rsid w:val="008D55F3"/>
    <w:rsid w:val="008E04FC"/>
    <w:rsid w:val="008E425E"/>
    <w:rsid w:val="008E7B74"/>
    <w:rsid w:val="008E7C6C"/>
    <w:rsid w:val="008F11CA"/>
    <w:rsid w:val="00907C59"/>
    <w:rsid w:val="009247FB"/>
    <w:rsid w:val="009369B6"/>
    <w:rsid w:val="00947CFB"/>
    <w:rsid w:val="00957CCC"/>
    <w:rsid w:val="00970C1A"/>
    <w:rsid w:val="00973F66"/>
    <w:rsid w:val="009851B4"/>
    <w:rsid w:val="00992AAE"/>
    <w:rsid w:val="009A5CD2"/>
    <w:rsid w:val="009A648D"/>
    <w:rsid w:val="009B00E9"/>
    <w:rsid w:val="009B0F7B"/>
    <w:rsid w:val="009B21D9"/>
    <w:rsid w:val="009B3A91"/>
    <w:rsid w:val="009D56BA"/>
    <w:rsid w:val="009E347F"/>
    <w:rsid w:val="00A075F2"/>
    <w:rsid w:val="00A10133"/>
    <w:rsid w:val="00A236CC"/>
    <w:rsid w:val="00A2618F"/>
    <w:rsid w:val="00A46579"/>
    <w:rsid w:val="00A6175A"/>
    <w:rsid w:val="00A72797"/>
    <w:rsid w:val="00A75ACC"/>
    <w:rsid w:val="00AA29EE"/>
    <w:rsid w:val="00AD7748"/>
    <w:rsid w:val="00AE3EA7"/>
    <w:rsid w:val="00AF7305"/>
    <w:rsid w:val="00B0696B"/>
    <w:rsid w:val="00B078CC"/>
    <w:rsid w:val="00B125A0"/>
    <w:rsid w:val="00B263A1"/>
    <w:rsid w:val="00B272FA"/>
    <w:rsid w:val="00B27698"/>
    <w:rsid w:val="00B37E38"/>
    <w:rsid w:val="00B40AA8"/>
    <w:rsid w:val="00B43769"/>
    <w:rsid w:val="00B46E0E"/>
    <w:rsid w:val="00B70DAA"/>
    <w:rsid w:val="00B7299C"/>
    <w:rsid w:val="00B771CE"/>
    <w:rsid w:val="00B77304"/>
    <w:rsid w:val="00B82B27"/>
    <w:rsid w:val="00B86667"/>
    <w:rsid w:val="00B901FD"/>
    <w:rsid w:val="00BB6CFE"/>
    <w:rsid w:val="00BB7C93"/>
    <w:rsid w:val="00BC2C8A"/>
    <w:rsid w:val="00BC57DB"/>
    <w:rsid w:val="00BD408F"/>
    <w:rsid w:val="00BE02E9"/>
    <w:rsid w:val="00BE5F2A"/>
    <w:rsid w:val="00C0328E"/>
    <w:rsid w:val="00C075D2"/>
    <w:rsid w:val="00C119B8"/>
    <w:rsid w:val="00C16A02"/>
    <w:rsid w:val="00C16D72"/>
    <w:rsid w:val="00C174A0"/>
    <w:rsid w:val="00C2038F"/>
    <w:rsid w:val="00C20676"/>
    <w:rsid w:val="00C2259E"/>
    <w:rsid w:val="00C31247"/>
    <w:rsid w:val="00C343CE"/>
    <w:rsid w:val="00C371DA"/>
    <w:rsid w:val="00C60123"/>
    <w:rsid w:val="00C6119A"/>
    <w:rsid w:val="00C64F8A"/>
    <w:rsid w:val="00C93179"/>
    <w:rsid w:val="00CA3333"/>
    <w:rsid w:val="00CA5C32"/>
    <w:rsid w:val="00CB11A0"/>
    <w:rsid w:val="00CB1E52"/>
    <w:rsid w:val="00CC2D86"/>
    <w:rsid w:val="00CE35F9"/>
    <w:rsid w:val="00D073CE"/>
    <w:rsid w:val="00D23FFB"/>
    <w:rsid w:val="00D359CA"/>
    <w:rsid w:val="00D409D0"/>
    <w:rsid w:val="00D42E7C"/>
    <w:rsid w:val="00D86D11"/>
    <w:rsid w:val="00D93D5E"/>
    <w:rsid w:val="00D95922"/>
    <w:rsid w:val="00D9658E"/>
    <w:rsid w:val="00DA089F"/>
    <w:rsid w:val="00DA14E8"/>
    <w:rsid w:val="00DA185B"/>
    <w:rsid w:val="00DA5C6A"/>
    <w:rsid w:val="00DB0712"/>
    <w:rsid w:val="00DB2CE6"/>
    <w:rsid w:val="00DB652C"/>
    <w:rsid w:val="00DC26B7"/>
    <w:rsid w:val="00DC6F6F"/>
    <w:rsid w:val="00DE23A2"/>
    <w:rsid w:val="00DE254A"/>
    <w:rsid w:val="00E10B2B"/>
    <w:rsid w:val="00E15685"/>
    <w:rsid w:val="00E235F8"/>
    <w:rsid w:val="00E41C8B"/>
    <w:rsid w:val="00E52620"/>
    <w:rsid w:val="00E548DF"/>
    <w:rsid w:val="00E6471F"/>
    <w:rsid w:val="00E664B0"/>
    <w:rsid w:val="00E75652"/>
    <w:rsid w:val="00E8036E"/>
    <w:rsid w:val="00E91D35"/>
    <w:rsid w:val="00EA1709"/>
    <w:rsid w:val="00EA1DE6"/>
    <w:rsid w:val="00EA54EE"/>
    <w:rsid w:val="00EB0FE3"/>
    <w:rsid w:val="00EB322D"/>
    <w:rsid w:val="00EB408A"/>
    <w:rsid w:val="00EB7F33"/>
    <w:rsid w:val="00EC2B39"/>
    <w:rsid w:val="00EE7FD3"/>
    <w:rsid w:val="00EF52CE"/>
    <w:rsid w:val="00EF6BA9"/>
    <w:rsid w:val="00F05AC4"/>
    <w:rsid w:val="00F1074D"/>
    <w:rsid w:val="00F3740C"/>
    <w:rsid w:val="00F62E36"/>
    <w:rsid w:val="00F65F4F"/>
    <w:rsid w:val="00F72729"/>
    <w:rsid w:val="00F742B1"/>
    <w:rsid w:val="00F8287C"/>
    <w:rsid w:val="00F95E56"/>
    <w:rsid w:val="00FD0BF4"/>
    <w:rsid w:val="00FD1B9D"/>
    <w:rsid w:val="00FD2F26"/>
    <w:rsid w:val="00FD7ABF"/>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BD3E1F"/>
  <w15:chartTrackingRefBased/>
  <w15:docId w15:val="{93C55102-986E-40F9-A6C7-FC91AF281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Title">
    <w:name w:val="Title"/>
    <w:basedOn w:val="Normal"/>
    <w:next w:val="Normal"/>
    <w:link w:val="TitleChar"/>
    <w:uiPriority w:val="10"/>
    <w:qFormat/>
    <w:rsid w:val="00A261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618F"/>
    <w:rPr>
      <w:rFonts w:asciiTheme="majorHAnsi" w:eastAsiaTheme="majorEastAsia" w:hAnsiTheme="majorHAnsi" w:cstheme="majorBidi"/>
      <w:spacing w:val="-10"/>
      <w:w w:val="103"/>
      <w:kern w:val="28"/>
      <w:sz w:val="56"/>
      <w:szCs w:val="56"/>
      <w:lang w:val="es-ES_tradnl" w:eastAsia="en-US"/>
    </w:rPr>
  </w:style>
  <w:style w:type="paragraph" w:styleId="Subtitle">
    <w:name w:val="Subtitle"/>
    <w:basedOn w:val="Normal"/>
    <w:next w:val="Normal"/>
    <w:link w:val="SubtitleChar"/>
    <w:uiPriority w:val="11"/>
    <w:qFormat/>
    <w:rsid w:val="00A2618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618F"/>
    <w:rPr>
      <w:rFonts w:eastAsiaTheme="majorEastAsia" w:cstheme="majorBidi"/>
      <w:color w:val="595959" w:themeColor="text1" w:themeTint="A6"/>
      <w:spacing w:val="15"/>
      <w:w w:val="103"/>
      <w:sz w:val="28"/>
      <w:szCs w:val="28"/>
      <w:lang w:val="es-ES_tradnl" w:eastAsia="en-US"/>
    </w:rPr>
  </w:style>
  <w:style w:type="paragraph" w:styleId="Quote">
    <w:name w:val="Quote"/>
    <w:basedOn w:val="Normal"/>
    <w:next w:val="Normal"/>
    <w:link w:val="QuoteChar"/>
    <w:uiPriority w:val="29"/>
    <w:qFormat/>
    <w:rsid w:val="00A2618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2618F"/>
    <w:rPr>
      <w:rFonts w:ascii="Times New Roman" w:eastAsiaTheme="minorHAnsi" w:hAnsi="Times New Roman" w:cs="Times New Roman"/>
      <w:i/>
      <w:iCs/>
      <w:color w:val="404040" w:themeColor="text1" w:themeTint="BF"/>
      <w:spacing w:val="4"/>
      <w:w w:val="103"/>
      <w:sz w:val="20"/>
      <w:lang w:val="es-ES_tradnl" w:eastAsia="en-US"/>
    </w:rPr>
  </w:style>
  <w:style w:type="paragraph" w:styleId="ListParagraph">
    <w:name w:val="List Paragraph"/>
    <w:basedOn w:val="Normal"/>
    <w:uiPriority w:val="34"/>
    <w:qFormat/>
    <w:rsid w:val="00A2618F"/>
    <w:pPr>
      <w:ind w:left="720"/>
      <w:contextualSpacing/>
    </w:pPr>
  </w:style>
  <w:style w:type="character" w:styleId="IntenseEmphasis">
    <w:name w:val="Intense Emphasis"/>
    <w:basedOn w:val="DefaultParagraphFont"/>
    <w:uiPriority w:val="21"/>
    <w:qFormat/>
    <w:rsid w:val="00A2618F"/>
    <w:rPr>
      <w:i/>
      <w:iCs/>
      <w:color w:val="0F4761" w:themeColor="accent1" w:themeShade="BF"/>
    </w:rPr>
  </w:style>
  <w:style w:type="paragraph" w:styleId="IntenseQuote">
    <w:name w:val="Intense Quote"/>
    <w:basedOn w:val="Normal"/>
    <w:next w:val="Normal"/>
    <w:link w:val="IntenseQuoteChar"/>
    <w:uiPriority w:val="30"/>
    <w:qFormat/>
    <w:rsid w:val="00A261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618F"/>
    <w:rPr>
      <w:rFonts w:ascii="Times New Roman" w:eastAsiaTheme="minorHAnsi" w:hAnsi="Times New Roman" w:cs="Times New Roman"/>
      <w:i/>
      <w:iCs/>
      <w:color w:val="0F4761" w:themeColor="accent1" w:themeShade="BF"/>
      <w:spacing w:val="4"/>
      <w:w w:val="103"/>
      <w:sz w:val="20"/>
      <w:lang w:val="es-ES_tradnl" w:eastAsia="en-US"/>
    </w:rPr>
  </w:style>
  <w:style w:type="character" w:styleId="IntenseReference">
    <w:name w:val="Intense Reference"/>
    <w:basedOn w:val="DefaultParagraphFont"/>
    <w:uiPriority w:val="32"/>
    <w:qFormat/>
    <w:rsid w:val="00A2618F"/>
    <w:rPr>
      <w:b/>
      <w:bCs/>
      <w:smallCaps/>
      <w:color w:val="0F4761" w:themeColor="accent1" w:themeShade="BF"/>
      <w:spacing w:val="5"/>
    </w:rPr>
  </w:style>
  <w:style w:type="paragraph" w:styleId="CommentText">
    <w:name w:val="annotation text"/>
    <w:basedOn w:val="Normal"/>
    <w:link w:val="CommentTextChar"/>
    <w:uiPriority w:val="99"/>
    <w:unhideWhenUsed/>
    <w:rsid w:val="00D9658E"/>
    <w:pPr>
      <w:spacing w:line="240" w:lineRule="auto"/>
    </w:pPr>
    <w:rPr>
      <w:szCs w:val="20"/>
    </w:rPr>
  </w:style>
  <w:style w:type="character" w:customStyle="1" w:styleId="CommentTextChar">
    <w:name w:val="Comment Text Char"/>
    <w:basedOn w:val="DefaultParagraphFont"/>
    <w:link w:val="CommentText"/>
    <w:uiPriority w:val="99"/>
    <w:rsid w:val="00D9658E"/>
    <w:rPr>
      <w:rFonts w:ascii="Times New Roman" w:eastAsiaTheme="minorHAnsi" w:hAnsi="Times New Roman" w:cs="Times New Roman"/>
      <w:spacing w:val="4"/>
      <w:w w:val="103"/>
      <w:sz w:val="20"/>
      <w:szCs w:val="20"/>
      <w:lang w:val="es-ES_tradnl" w:eastAsia="en-US"/>
    </w:rPr>
  </w:style>
  <w:style w:type="paragraph" w:styleId="CommentSubject">
    <w:name w:val="annotation subject"/>
    <w:basedOn w:val="CommentText"/>
    <w:next w:val="CommentText"/>
    <w:link w:val="CommentSubjectChar"/>
    <w:uiPriority w:val="99"/>
    <w:semiHidden/>
    <w:unhideWhenUsed/>
    <w:rsid w:val="00D9658E"/>
    <w:rPr>
      <w:b/>
      <w:bCs/>
    </w:rPr>
  </w:style>
  <w:style w:type="character" w:customStyle="1" w:styleId="CommentSubjectChar">
    <w:name w:val="Comment Subject Char"/>
    <w:basedOn w:val="CommentTextChar"/>
    <w:link w:val="CommentSubject"/>
    <w:uiPriority w:val="99"/>
    <w:semiHidden/>
    <w:rsid w:val="00D9658E"/>
    <w:rPr>
      <w:rFonts w:ascii="Times New Roman" w:eastAsiaTheme="minorHAnsi" w:hAnsi="Times New Roman" w:cs="Times New Roman"/>
      <w:b/>
      <w:bCs/>
      <w:spacing w:val="4"/>
      <w:w w:val="103"/>
      <w:sz w:val="20"/>
      <w:szCs w:val="20"/>
      <w:lang w:val="es-ES_tradnl" w:eastAsia="en-US"/>
    </w:rPr>
  </w:style>
  <w:style w:type="table" w:styleId="GridTable4-Accent3">
    <w:name w:val="Grid Table 4 Accent 3"/>
    <w:basedOn w:val="TableNormal"/>
    <w:uiPriority w:val="49"/>
    <w:rsid w:val="004B5867"/>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paragraph" w:customStyle="1" w:styleId="SingleTxtG">
    <w:name w:val="_ Single Txt_G"/>
    <w:basedOn w:val="Normal"/>
    <w:link w:val="SingleTxtGChar"/>
    <w:qFormat/>
    <w:rsid w:val="007742B6"/>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szCs w:val="20"/>
      <w:lang w:val="en-GB"/>
      <w14:ligatures w14:val="none"/>
    </w:rPr>
  </w:style>
  <w:style w:type="character" w:customStyle="1" w:styleId="SingleTxtGChar">
    <w:name w:val="_ Single Txt_G Char"/>
    <w:link w:val="SingleTxtG"/>
    <w:locked/>
    <w:rsid w:val="007742B6"/>
    <w:rPr>
      <w:rFonts w:ascii="Times New Roman" w:eastAsiaTheme="minorHAnsi" w:hAnsi="Times New Roman" w:cs="Times New Roman"/>
      <w:kern w:val="0"/>
      <w:sz w:val="20"/>
      <w:szCs w:val="20"/>
      <w:lang w:val="en-GB" w:eastAsia="en-US"/>
      <w14:ligatures w14:val="none"/>
    </w:rPr>
  </w:style>
  <w:style w:type="paragraph" w:styleId="Revision">
    <w:name w:val="Revision"/>
    <w:hidden/>
    <w:uiPriority w:val="99"/>
    <w:semiHidden/>
    <w:rsid w:val="00C31247"/>
    <w:pPr>
      <w:spacing w:after="0" w:line="240" w:lineRule="auto"/>
    </w:pPr>
    <w:rPr>
      <w:rFonts w:ascii="Times New Roman" w:eastAsiaTheme="minorHAnsi" w:hAnsi="Times New Roman" w:cs="Times New Roman"/>
      <w:spacing w:val="4"/>
      <w:w w:val="103"/>
      <w:sz w:val="20"/>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s/CEDAW/C/TUR/CO/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B81DA04-CDC6-454A-889A-AB246C0C93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3713</Words>
  <Characters>20427</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Eugenio Monjeau Solari</dc:creator>
  <cp:keywords/>
  <dc:description/>
  <cp:lastModifiedBy>Eugenio Monjeau Solari</cp:lastModifiedBy>
  <cp:revision>2</cp:revision>
  <dcterms:created xsi:type="dcterms:W3CDTF">2024-07-30T13:20:00Z</dcterms:created>
  <dcterms:modified xsi:type="dcterms:W3CDTF">2024-07-30T13:20:00Z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2413036</vt:lpwstr>
  </property>
  <property fmtid="{D5CDD505-2E9C-101B-9397-08002B2CF9AE}" pid="3" name="ODSRefJobNo">
    <vt:lpwstr>2421006</vt:lpwstr>
  </property>
  <property fmtid="{D5CDD505-2E9C-101B-9397-08002B2CF9AE}" pid="4" name="Symbol1">
    <vt:lpwstr>CEDAW/C/TUR/FCO/8</vt:lpwstr>
  </property>
  <property fmtid="{D5CDD505-2E9C-101B-9397-08002B2CF9AE}" pid="5" name="Symbol2">
    <vt:lpwstr/>
  </property>
  <property fmtid="{D5CDD505-2E9C-101B-9397-08002B2CF9AE}" pid="6" name="Translator">
    <vt:lpwstr>KRT</vt:lpwstr>
  </property>
  <property fmtid="{D5CDD505-2E9C-101B-9397-08002B2CF9AE}" pid="7" name="Operator">
    <vt:lpwstr>EMS</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Release Date">
    <vt:lpwstr>220724</vt:lpwstr>
  </property>
  <property fmtid="{D5CDD505-2E9C-101B-9397-08002B2CF9AE}" pid="13" name="Title1">
    <vt:lpwstr>		Información recibida de Türkiye relativa al seguimiento de las observaciones finales de su octavo informe periódico*_x000d_</vt:lpwstr>
  </property>
</Properties>
</file>