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B0F07" w:rsidP="005B6F7C">
            <w:pPr>
              <w:bidi w:val="0"/>
              <w:spacing w:after="20"/>
              <w:jc w:val="left"/>
              <w:rPr>
                <w:szCs w:val="20"/>
              </w:rPr>
            </w:pPr>
            <w:r w:rsidRPr="00FB0F07">
              <w:rPr>
                <w:sz w:val="40"/>
                <w:szCs w:val="20"/>
              </w:rPr>
              <w:t>A</w:t>
            </w:r>
            <w:r>
              <w:rPr>
                <w:szCs w:val="20"/>
              </w:rPr>
              <w:t>/HRC/RES/34/3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5B6F7C" w:rsidP="005B6F7C">
            <w:pPr>
              <w:bidi w:val="0"/>
              <w:spacing w:before="240"/>
              <w:jc w:val="left"/>
              <w:rPr>
                <w:szCs w:val="20"/>
              </w:rPr>
            </w:pPr>
            <w:r>
              <w:rPr>
                <w:szCs w:val="20"/>
              </w:rPr>
              <w:t>Distr.: General</w:t>
            </w:r>
          </w:p>
          <w:p w:rsidR="005B6F7C" w:rsidRDefault="005B6F7C" w:rsidP="005B6F7C">
            <w:pPr>
              <w:bidi w:val="0"/>
              <w:jc w:val="left"/>
              <w:rPr>
                <w:szCs w:val="20"/>
              </w:rPr>
            </w:pPr>
            <w:r>
              <w:rPr>
                <w:szCs w:val="20"/>
              </w:rPr>
              <w:t xml:space="preserve">6 </w:t>
            </w:r>
            <w:r w:rsidRPr="002F0858">
              <w:rPr>
                <w:szCs w:val="20"/>
              </w:rPr>
              <w:t xml:space="preserve">April </w:t>
            </w:r>
            <w:r>
              <w:rPr>
                <w:szCs w:val="20"/>
              </w:rPr>
              <w:t>2017</w:t>
            </w:r>
          </w:p>
          <w:p w:rsidR="005B6F7C" w:rsidRDefault="005B6F7C" w:rsidP="005B6F7C">
            <w:pPr>
              <w:bidi w:val="0"/>
              <w:jc w:val="left"/>
              <w:rPr>
                <w:szCs w:val="20"/>
              </w:rPr>
            </w:pPr>
            <w:r>
              <w:rPr>
                <w:szCs w:val="20"/>
              </w:rPr>
              <w:t>Arabic</w:t>
            </w:r>
          </w:p>
          <w:p w:rsidR="005B6F7C" w:rsidRPr="003E159A" w:rsidRDefault="005B6F7C" w:rsidP="005B6F7C">
            <w:pPr>
              <w:bidi w:val="0"/>
              <w:jc w:val="left"/>
              <w:rPr>
                <w:szCs w:val="20"/>
              </w:rPr>
            </w:pPr>
            <w:r>
              <w:rPr>
                <w:szCs w:val="20"/>
              </w:rPr>
              <w:t>Original: English</w:t>
            </w:r>
          </w:p>
        </w:tc>
      </w:tr>
    </w:tbl>
    <w:p w:rsidR="005B6F7C"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5B6F7C" w:rsidRDefault="005B6F7C" w:rsidP="005B2417">
      <w:pPr>
        <w:spacing w:line="380" w:lineRule="exact"/>
        <w:rPr>
          <w:b/>
          <w:bCs/>
          <w:rtl/>
        </w:rPr>
      </w:pPr>
      <w:r w:rsidRPr="00615383">
        <w:rPr>
          <w:b/>
          <w:bCs/>
          <w:rtl/>
        </w:rPr>
        <w:t xml:space="preserve">الدورة </w:t>
      </w:r>
      <w:r>
        <w:rPr>
          <w:rFonts w:hint="cs"/>
          <w:b/>
          <w:bCs/>
          <w:rtl/>
        </w:rPr>
        <w:t>الرابعة</w:t>
      </w:r>
      <w:r w:rsidRPr="00615383">
        <w:rPr>
          <w:b/>
          <w:bCs/>
          <w:rtl/>
        </w:rPr>
        <w:t xml:space="preserve"> والثلاثون</w:t>
      </w:r>
    </w:p>
    <w:p w:rsidR="005B6F7C" w:rsidRPr="00543EB7" w:rsidRDefault="005B6F7C" w:rsidP="005B2417">
      <w:pPr>
        <w:spacing w:line="380" w:lineRule="exact"/>
        <w:rPr>
          <w:rtl/>
        </w:rPr>
      </w:pPr>
      <w:r w:rsidRPr="00543EB7">
        <w:rPr>
          <w:rFonts w:hint="cs"/>
          <w:rtl/>
        </w:rPr>
        <w:t xml:space="preserve">27 شباط/فبراير - 24 آذار/مارس 2017 </w:t>
      </w:r>
    </w:p>
    <w:p w:rsidR="005B6F7C" w:rsidRDefault="005B6F7C" w:rsidP="005B2417">
      <w:pPr>
        <w:spacing w:line="380" w:lineRule="exact"/>
        <w:rPr>
          <w:rtl/>
        </w:rPr>
      </w:pPr>
      <w:r w:rsidRPr="00A03EB4">
        <w:rPr>
          <w:rtl/>
        </w:rPr>
        <w:t>البند 3 من جدول الأعمال</w:t>
      </w:r>
    </w:p>
    <w:p w:rsidR="005B6F7C" w:rsidRPr="002F0858" w:rsidRDefault="005B6F7C" w:rsidP="005B6F7C">
      <w:pPr>
        <w:pStyle w:val="HChGA"/>
        <w:rPr>
          <w:rFonts w:eastAsiaTheme="minorEastAsia"/>
          <w:rtl/>
          <w:lang w:val="fr-FR" w:eastAsia="zh-CN"/>
        </w:rPr>
      </w:pPr>
      <w:r>
        <w:rPr>
          <w:rFonts w:hint="cs"/>
          <w:rtl/>
        </w:rPr>
        <w:tab/>
      </w:r>
      <w:r>
        <w:rPr>
          <w:rFonts w:hint="cs"/>
          <w:rtl/>
        </w:rPr>
        <w:tab/>
        <w:t>قرار</w:t>
      </w:r>
      <w:r>
        <w:rPr>
          <w:rFonts w:eastAsiaTheme="minorEastAsia" w:hint="cs"/>
          <w:rtl/>
          <w:lang w:val="fr-FR" w:eastAsia="zh-CN"/>
        </w:rPr>
        <w:t xml:space="preserve"> اعتمده مجلس حقوق الإنسان في 23 آذار/مارس 2017</w:t>
      </w:r>
    </w:p>
    <w:p w:rsidR="005B6F7C" w:rsidRPr="00284244" w:rsidRDefault="005B6F7C" w:rsidP="005B6F7C">
      <w:pPr>
        <w:pStyle w:val="H1GA"/>
        <w:ind w:left="2268" w:hanging="1021"/>
        <w:rPr>
          <w:rtl/>
        </w:rPr>
      </w:pPr>
      <w:r w:rsidRPr="00284244">
        <w:rPr>
          <w:rFonts w:hint="cs"/>
          <w:rtl/>
        </w:rPr>
        <w:t>3</w:t>
      </w:r>
      <w:r>
        <w:rPr>
          <w:rFonts w:hint="cs"/>
          <w:rtl/>
        </w:rPr>
        <w:t>4</w:t>
      </w:r>
      <w:r w:rsidRPr="00284244">
        <w:rPr>
          <w:rtl/>
        </w:rPr>
        <w:t>/</w:t>
      </w:r>
      <w:r>
        <w:rPr>
          <w:rFonts w:hint="cs"/>
          <w:rtl/>
        </w:rPr>
        <w:t>3</w:t>
      </w:r>
      <w:r w:rsidR="005D5348">
        <w:rPr>
          <w:rFonts w:hint="cs"/>
          <w:rtl/>
        </w:rPr>
        <w:t>-</w:t>
      </w:r>
      <w:r w:rsidRPr="00284244">
        <w:rPr>
          <w:rFonts w:hint="cs"/>
          <w:rtl/>
        </w:rPr>
        <w:tab/>
      </w:r>
      <w:r>
        <w:rPr>
          <w:rFonts w:hint="cs"/>
          <w:rtl/>
        </w:rPr>
        <w:t xml:space="preserve">ولاية </w:t>
      </w:r>
      <w:r w:rsidRPr="00335B41">
        <w:rPr>
          <w:rtl/>
        </w:rPr>
        <w:t>الخبير المستقل المعني بآثار الديون الخارجية للدول، وما</w:t>
      </w:r>
      <w:r>
        <w:rPr>
          <w:rFonts w:hint="cs"/>
          <w:rtl/>
        </w:rPr>
        <w:t> </w:t>
      </w:r>
      <w:r w:rsidRPr="00335B41">
        <w:rPr>
          <w:rtl/>
        </w:rPr>
        <w:t xml:space="preserve">يتصل بها من التزامات مالية دولية أخرى عليها، في التمتع الكامل بجميع حقوق الإنسان، وخاصة الحقوق الاقتصادية والاجتماعية والثقافية </w:t>
      </w:r>
    </w:p>
    <w:p w:rsidR="005B6F7C" w:rsidRPr="00DC3541" w:rsidRDefault="005B6F7C" w:rsidP="005B6F7C">
      <w:pPr>
        <w:pStyle w:val="SingleTxtGA"/>
        <w:rPr>
          <w:i/>
          <w:iCs/>
          <w:rtl/>
        </w:rPr>
      </w:pPr>
      <w:r w:rsidRPr="00DC3541">
        <w:rPr>
          <w:i/>
          <w:iCs/>
          <w:rtl/>
          <w:lang w:bidi="ar"/>
        </w:rPr>
        <w:tab/>
        <w:t>إن مجلس حقوق الإنسان،</w:t>
      </w:r>
    </w:p>
    <w:p w:rsidR="005B6F7C" w:rsidRDefault="005B6F7C" w:rsidP="005B6F7C">
      <w:pPr>
        <w:pStyle w:val="SingleTxtGA"/>
        <w:rPr>
          <w:rtl/>
          <w:lang w:bidi="ar"/>
        </w:rPr>
      </w:pPr>
      <w:r>
        <w:rPr>
          <w:rtl/>
          <w:lang w:bidi="ar"/>
        </w:rPr>
        <w:tab/>
      </w:r>
      <w:r w:rsidRPr="00C75945">
        <w:rPr>
          <w:i/>
          <w:iCs/>
          <w:rtl/>
          <w:lang w:bidi="ar"/>
        </w:rPr>
        <w:t>إذ يسترشد</w:t>
      </w:r>
      <w:r>
        <w:rPr>
          <w:rtl/>
          <w:lang w:bidi="ar"/>
        </w:rPr>
        <w:t xml:space="preserve"> </w:t>
      </w:r>
      <w:r>
        <w:rPr>
          <w:rFonts w:hint="cs"/>
          <w:rtl/>
          <w:lang w:bidi="ar"/>
        </w:rPr>
        <w:t>ب</w:t>
      </w:r>
      <w:r>
        <w:rPr>
          <w:rtl/>
          <w:lang w:bidi="ar"/>
        </w:rPr>
        <w:t>ميثاق الأمم المتحدة،</w:t>
      </w:r>
      <w:r>
        <w:rPr>
          <w:rFonts w:hint="cs"/>
          <w:rtl/>
          <w:lang w:bidi="ar"/>
        </w:rPr>
        <w:t xml:space="preserve"> وب</w:t>
      </w:r>
      <w:r>
        <w:rPr>
          <w:rtl/>
          <w:lang w:bidi="ar"/>
        </w:rPr>
        <w:t>الإعلان العالمي لحقوق الإنسان، و</w:t>
      </w:r>
      <w:r>
        <w:rPr>
          <w:rFonts w:hint="cs"/>
          <w:rtl/>
          <w:lang w:bidi="ar"/>
        </w:rPr>
        <w:t>ب</w:t>
      </w:r>
      <w:r>
        <w:rPr>
          <w:rtl/>
          <w:lang w:bidi="ar"/>
        </w:rPr>
        <w:t xml:space="preserve">إعلان وبرنامج عمل فيينا، </w:t>
      </w:r>
      <w:r>
        <w:rPr>
          <w:rFonts w:hint="cs"/>
          <w:rtl/>
          <w:lang w:bidi="ar"/>
        </w:rPr>
        <w:t>وب</w:t>
      </w:r>
      <w:r>
        <w:rPr>
          <w:rtl/>
        </w:rPr>
        <w:t>الصكوك الدولية الأخرى ذات الصلة بحقوق الإنسان</w:t>
      </w:r>
      <w:r>
        <w:rPr>
          <w:rFonts w:hint="cs"/>
          <w:rtl/>
          <w:lang w:bidi="ar"/>
        </w:rPr>
        <w:t>،</w:t>
      </w:r>
    </w:p>
    <w:p w:rsidR="005B6F7C" w:rsidRDefault="005B6F7C" w:rsidP="005B6F7C">
      <w:pPr>
        <w:pStyle w:val="SingleTxtGA"/>
        <w:rPr>
          <w:rtl/>
          <w:lang w:bidi="ar"/>
        </w:rPr>
      </w:pPr>
      <w:r>
        <w:rPr>
          <w:rFonts w:hint="cs"/>
          <w:i/>
          <w:iCs/>
          <w:rtl/>
        </w:rPr>
        <w:tab/>
      </w:r>
      <w:r w:rsidRPr="00B305DA">
        <w:rPr>
          <w:i/>
          <w:iCs/>
          <w:rtl/>
        </w:rPr>
        <w:t>وإذ ي</w:t>
      </w:r>
      <w:r>
        <w:rPr>
          <w:rFonts w:hint="cs"/>
          <w:i/>
          <w:iCs/>
          <w:rtl/>
        </w:rPr>
        <w:t>ؤكد من جديد</w:t>
      </w:r>
      <w:r>
        <w:rPr>
          <w:rtl/>
        </w:rPr>
        <w:t xml:space="preserve"> جميع القرارات والمقررات التي اعتمدتها لجنة حقوق الإنسان </w:t>
      </w:r>
      <w:r>
        <w:rPr>
          <w:rFonts w:hint="cs"/>
          <w:rtl/>
        </w:rPr>
        <w:t>و</w:t>
      </w:r>
      <w:r>
        <w:rPr>
          <w:rtl/>
        </w:rPr>
        <w:t xml:space="preserve">مجلس حقوق الإنسان فيما يتصل بآثار سياسات التكيف الهيكلي والإصلاح الاقتصادي والديون الخارجية في التمتع الكامل بجميع حقوق الإنسان، وخاصة الحقوق الاقتصادية والاجتماعية والثقافية، وآخرها قرار المجلس </w:t>
      </w:r>
      <w:r>
        <w:rPr>
          <w:rFonts w:hint="cs"/>
          <w:rtl/>
        </w:rPr>
        <w:t>31</w:t>
      </w:r>
      <w:r>
        <w:rPr>
          <w:rtl/>
        </w:rPr>
        <w:t>/1</w:t>
      </w:r>
      <w:r>
        <w:rPr>
          <w:rFonts w:hint="cs"/>
          <w:rtl/>
        </w:rPr>
        <w:t>1</w:t>
      </w:r>
      <w:r>
        <w:rPr>
          <w:rtl/>
        </w:rPr>
        <w:t xml:space="preserve"> المؤرخ </w:t>
      </w:r>
      <w:r>
        <w:rPr>
          <w:rFonts w:hint="cs"/>
          <w:rtl/>
        </w:rPr>
        <w:t>23 آذار/مارس 2016</w:t>
      </w:r>
      <w:r>
        <w:rPr>
          <w:rtl/>
        </w:rPr>
        <w:t xml:space="preserve">، </w:t>
      </w:r>
    </w:p>
    <w:p w:rsidR="005B6F7C" w:rsidRDefault="005B6F7C" w:rsidP="005B6F7C">
      <w:pPr>
        <w:pStyle w:val="SingleTxtGA"/>
        <w:rPr>
          <w:rtl/>
        </w:rPr>
      </w:pPr>
      <w:r>
        <w:rPr>
          <w:rFonts w:hint="cs"/>
          <w:rtl/>
          <w:lang w:bidi="ar"/>
        </w:rPr>
        <w:tab/>
      </w:r>
      <w:r w:rsidRPr="00BA2186">
        <w:rPr>
          <w:i/>
          <w:iCs/>
          <w:rtl/>
        </w:rPr>
        <w:t>وإذ ي</w:t>
      </w:r>
      <w:r>
        <w:rPr>
          <w:rFonts w:hint="cs"/>
          <w:i/>
          <w:iCs/>
          <w:rtl/>
        </w:rPr>
        <w:t>ؤكد من جديد</w:t>
      </w:r>
      <w:r w:rsidRPr="00BA2186">
        <w:rPr>
          <w:i/>
          <w:iCs/>
          <w:rtl/>
        </w:rPr>
        <w:t xml:space="preserve"> أيضاً</w:t>
      </w:r>
      <w:r w:rsidRPr="00BA2186">
        <w:rPr>
          <w:rtl/>
        </w:rPr>
        <w:t xml:space="preserve"> قراره دإ-10/1 المؤرخ 23 شباط/فبراير 2009 المتعلق بتأثير الأزمتين الاقتصادية والمالية العالميتين على إعمال حقوق الإنسان والتمتع الفعل</w:t>
      </w:r>
      <w:r w:rsidRPr="00BA2186">
        <w:rPr>
          <w:rFonts w:eastAsiaTheme="minorEastAsia" w:hint="cs"/>
          <w:rtl/>
          <w:lang w:val="fr-FR" w:eastAsia="zh-CN"/>
        </w:rPr>
        <w:t>ي</w:t>
      </w:r>
      <w:r w:rsidRPr="00BA2186">
        <w:rPr>
          <w:rtl/>
        </w:rPr>
        <w:t xml:space="preserve"> بها على الصعيد العالمي،</w:t>
      </w:r>
    </w:p>
    <w:p w:rsidR="005B6F7C" w:rsidRDefault="005B6F7C" w:rsidP="005B6F7C">
      <w:pPr>
        <w:pStyle w:val="SingleTxtGA"/>
        <w:rPr>
          <w:rtl/>
          <w:lang w:bidi="ar"/>
        </w:rPr>
      </w:pPr>
      <w:r w:rsidRPr="00A10C01">
        <w:rPr>
          <w:rFonts w:hint="cs"/>
          <w:spacing w:val="-4"/>
          <w:rtl/>
          <w:lang w:bidi="ar"/>
        </w:rPr>
        <w:tab/>
      </w:r>
      <w:r w:rsidRPr="00A10C01">
        <w:rPr>
          <w:i/>
          <w:iCs/>
          <w:spacing w:val="-4"/>
          <w:rtl/>
          <w:lang w:bidi="ar"/>
        </w:rPr>
        <w:t>وإذ يشير</w:t>
      </w:r>
      <w:r w:rsidRPr="00A10C01">
        <w:rPr>
          <w:spacing w:val="-4"/>
          <w:rtl/>
          <w:lang w:bidi="ar"/>
        </w:rPr>
        <w:t xml:space="preserve"> إلى قرار مجلس حقوق الإنسان 5/1 بشأن بناء مؤسسات المجلس، وقراره 5/2</w:t>
      </w:r>
      <w:r w:rsidRPr="00877323">
        <w:rPr>
          <w:rtl/>
          <w:lang w:bidi="ar"/>
        </w:rPr>
        <w:t xml:space="preserve"> بشأن مدونة قواعد السلوك ل</w:t>
      </w:r>
      <w:r>
        <w:rPr>
          <w:rFonts w:hint="cs"/>
          <w:rtl/>
          <w:lang w:val="fr-FR" w:eastAsia="zh-CN"/>
        </w:rPr>
        <w:t xml:space="preserve">أصحاب </w:t>
      </w:r>
      <w:proofErr w:type="spellStart"/>
      <w:r>
        <w:rPr>
          <w:rFonts w:hint="cs"/>
          <w:rtl/>
          <w:lang w:val="fr-FR" w:eastAsia="zh-CN"/>
        </w:rPr>
        <w:t>ال</w:t>
      </w:r>
      <w:proofErr w:type="spellEnd"/>
      <w:r w:rsidRPr="00877323">
        <w:rPr>
          <w:rtl/>
          <w:lang w:bidi="ar"/>
        </w:rPr>
        <w:t>ولايات في إطار الإجراءات الخاصة لمجلس حقوق الإنسان، المؤرخين 18 حزيران/يونيه 2007، وإذ يشدد على أن على المكلف بولاية أن يؤدي واجباته وفقاً لهذين القرارين ومرفقيهما،</w:t>
      </w:r>
    </w:p>
    <w:p w:rsidR="005B6F7C" w:rsidRDefault="005B6F7C" w:rsidP="005B6F7C">
      <w:pPr>
        <w:pStyle w:val="SingleTxtGA"/>
        <w:rPr>
          <w:rtl/>
          <w:lang w:bidi="ar"/>
        </w:rPr>
      </w:pPr>
      <w:r>
        <w:rPr>
          <w:rFonts w:hint="cs"/>
          <w:rtl/>
          <w:lang w:bidi="ar"/>
        </w:rPr>
        <w:lastRenderedPageBreak/>
        <w:tab/>
      </w:r>
      <w:r w:rsidRPr="00C037F0">
        <w:rPr>
          <w:i/>
          <w:iCs/>
          <w:rtl/>
          <w:lang w:bidi="ar"/>
        </w:rPr>
        <w:t>وإذ يضع في اعتباره</w:t>
      </w:r>
      <w:r w:rsidRPr="00C037F0">
        <w:rPr>
          <w:rtl/>
          <w:lang w:bidi="ar"/>
        </w:rPr>
        <w:t xml:space="preserve"> الفقرة 6 من قرار الجمعية العامة 60/251 المؤرخ 15 آذار/</w:t>
      </w:r>
      <w:r>
        <w:rPr>
          <w:rFonts w:hint="cs"/>
          <w:rtl/>
          <w:lang w:bidi="ar"/>
        </w:rPr>
        <w:t xml:space="preserve"> </w:t>
      </w:r>
      <w:r w:rsidRPr="00C037F0">
        <w:rPr>
          <w:rtl/>
          <w:lang w:bidi="ar"/>
        </w:rPr>
        <w:t>مارس</w:t>
      </w:r>
      <w:r>
        <w:rPr>
          <w:rFonts w:hint="cs"/>
          <w:rtl/>
          <w:lang w:bidi="ar"/>
        </w:rPr>
        <w:t> </w:t>
      </w:r>
      <w:r w:rsidRPr="00C037F0">
        <w:rPr>
          <w:rtl/>
          <w:lang w:bidi="ar"/>
        </w:rPr>
        <w:t>2006،</w:t>
      </w:r>
    </w:p>
    <w:p w:rsidR="005B6F7C" w:rsidRDefault="005B6F7C" w:rsidP="005B6F7C">
      <w:pPr>
        <w:pStyle w:val="SingleTxtGA"/>
        <w:rPr>
          <w:rtl/>
        </w:rPr>
      </w:pPr>
      <w:r>
        <w:rPr>
          <w:rFonts w:hint="cs"/>
          <w:rtl/>
          <w:lang w:bidi="ar"/>
        </w:rPr>
        <w:tab/>
      </w:r>
      <w:r w:rsidRPr="00C037F0">
        <w:rPr>
          <w:i/>
          <w:iCs/>
          <w:rtl/>
          <w:lang w:bidi="ar"/>
        </w:rPr>
        <w:t>وإذ يشدد</w:t>
      </w:r>
      <w:r w:rsidRPr="00C037F0">
        <w:rPr>
          <w:rtl/>
          <w:lang w:bidi="ar"/>
        </w:rPr>
        <w:t xml:space="preserve"> على أن أحد مقاصد الأمم المتحدة هو تحقيق التعاون الدولي في حل المشاكل الدولية ذات الطابع الاقتصادي أو الاجتماعي أو الثقافي أو الإنساني،</w:t>
      </w:r>
    </w:p>
    <w:p w:rsidR="005B6F7C" w:rsidRDefault="005B6F7C" w:rsidP="005B6F7C">
      <w:pPr>
        <w:pStyle w:val="SingleTxtGA"/>
        <w:rPr>
          <w:rtl/>
        </w:rPr>
      </w:pPr>
      <w:r>
        <w:rPr>
          <w:rFonts w:hint="cs"/>
          <w:rtl/>
        </w:rPr>
        <w:tab/>
      </w:r>
      <w:r w:rsidRPr="00C037F0">
        <w:rPr>
          <w:i/>
          <w:iCs/>
          <w:rtl/>
        </w:rPr>
        <w:t>وإذ يؤكد</w:t>
      </w:r>
      <w:r>
        <w:rPr>
          <w:rFonts w:hint="cs"/>
          <w:rtl/>
        </w:rPr>
        <w:t xml:space="preserve"> على</w:t>
      </w:r>
      <w:r w:rsidRPr="00C037F0">
        <w:rPr>
          <w:rtl/>
        </w:rPr>
        <w:t xml:space="preserve"> أن المؤتمر العالمي لحقوق الإنسان </w:t>
      </w:r>
      <w:r>
        <w:rPr>
          <w:rFonts w:hint="cs"/>
          <w:rtl/>
        </w:rPr>
        <w:t xml:space="preserve">قد </w:t>
      </w:r>
      <w:r w:rsidRPr="00C037F0">
        <w:rPr>
          <w:rtl/>
        </w:rPr>
        <w:t xml:space="preserve">اتفق على دعوة المجتمع الدولي إلى بذل كل ما في وسعه من أجل المساعدة على تخفيف عبء الديون الخارجية </w:t>
      </w:r>
      <w:r>
        <w:rPr>
          <w:rFonts w:hint="cs"/>
          <w:rtl/>
        </w:rPr>
        <w:t>الواقع</w:t>
      </w:r>
      <w:r w:rsidRPr="00C037F0">
        <w:rPr>
          <w:rtl/>
        </w:rPr>
        <w:t xml:space="preserve"> على عاتق البلدان النامية، بغية تكملة الجهود التي تبذلها حكومات هذه البلدان من أجل تحقيق الإعمال </w:t>
      </w:r>
      <w:r>
        <w:rPr>
          <w:rFonts w:hint="cs"/>
          <w:rtl/>
        </w:rPr>
        <w:t>الكامل</w:t>
      </w:r>
      <w:r w:rsidRPr="00C037F0">
        <w:rPr>
          <w:rtl/>
        </w:rPr>
        <w:t xml:space="preserve"> للحقوق الاقتصادية والاجتماعية والثقافية لشعوبها،</w:t>
      </w:r>
    </w:p>
    <w:p w:rsidR="005B6F7C" w:rsidRDefault="005B6F7C" w:rsidP="005B6F7C">
      <w:pPr>
        <w:pStyle w:val="SingleTxtGA"/>
        <w:rPr>
          <w:rtl/>
        </w:rPr>
      </w:pPr>
      <w:r>
        <w:rPr>
          <w:rFonts w:hint="cs"/>
          <w:rtl/>
        </w:rPr>
        <w:tab/>
      </w:r>
      <w:r w:rsidRPr="002F0BE6">
        <w:rPr>
          <w:rFonts w:hint="cs"/>
          <w:i/>
          <w:iCs/>
          <w:rtl/>
        </w:rPr>
        <w:t>وإذ يشدّد</w:t>
      </w:r>
      <w:r>
        <w:rPr>
          <w:rFonts w:hint="cs"/>
          <w:rtl/>
        </w:rPr>
        <w:t xml:space="preserve"> على أسبقية وسائل تنفيذ خطة التنمية المستدامة لعام 2030، وإذ يؤكّد في هذا الصدد على المبادئ الأساسية للتعاون الدولي التي تتسم بأهمية محورية للتحقيق العملي لأهداف التنمية المستدامة،</w:t>
      </w:r>
    </w:p>
    <w:p w:rsidR="005B6F7C" w:rsidRDefault="005B6F7C" w:rsidP="005B6F7C">
      <w:pPr>
        <w:pStyle w:val="SingleTxtGA"/>
        <w:rPr>
          <w:rtl/>
        </w:rPr>
      </w:pPr>
      <w:r>
        <w:rPr>
          <w:rFonts w:hint="cs"/>
          <w:rtl/>
        </w:rPr>
        <w:tab/>
      </w:r>
      <w:r w:rsidRPr="002262D3">
        <w:rPr>
          <w:i/>
          <w:iCs/>
          <w:rtl/>
        </w:rPr>
        <w:t>وإذ يشدد</w:t>
      </w:r>
      <w:r w:rsidRPr="002262D3">
        <w:rPr>
          <w:rtl/>
        </w:rPr>
        <w:t xml:space="preserve"> </w:t>
      </w:r>
      <w:r w:rsidRPr="005D5348">
        <w:rPr>
          <w:rFonts w:hint="cs"/>
          <w:i/>
          <w:iCs/>
          <w:rtl/>
        </w:rPr>
        <w:t>أيضا</w:t>
      </w:r>
      <w:r w:rsidR="005D5348">
        <w:rPr>
          <w:rFonts w:hint="cs"/>
          <w:i/>
          <w:iCs/>
          <w:rtl/>
        </w:rPr>
        <w:t>ً</w:t>
      </w:r>
      <w:r>
        <w:rPr>
          <w:rFonts w:hint="cs"/>
          <w:rtl/>
        </w:rPr>
        <w:t xml:space="preserve"> </w:t>
      </w:r>
      <w:r w:rsidRPr="002262D3">
        <w:rPr>
          <w:rtl/>
        </w:rPr>
        <w:t xml:space="preserve">على ما أُعرب عنه في </w:t>
      </w:r>
      <w:r>
        <w:rPr>
          <w:rFonts w:hint="cs"/>
          <w:rtl/>
        </w:rPr>
        <w:t xml:space="preserve">خطة التنمية المستدامة لعام 2030 من عزم على مساعدة </w:t>
      </w:r>
      <w:r w:rsidRPr="00B522A5">
        <w:rPr>
          <w:rtl/>
        </w:rPr>
        <w:t xml:space="preserve">البلدان النامية في تحقيق القدرة على تحمل الديون </w:t>
      </w:r>
      <w:r>
        <w:rPr>
          <w:rFonts w:hint="cs"/>
          <w:rtl/>
        </w:rPr>
        <w:t>في الأجل الطويل عن طريق اتباع سياسات منسَّقة تهدف إلى دعم تمويل الديون والتخفيف من الديون وإعادة هيكلة الديون، حسبما يكون مناسباً، وإلى معالجة الديون الخارجية للبلدان الفقيرة المرتفعة المديونية من أجل الحد من حالة المديونية الحرجة،</w:t>
      </w:r>
    </w:p>
    <w:p w:rsidR="005B6F7C" w:rsidRPr="00BC6318" w:rsidRDefault="005B6F7C" w:rsidP="005B6F7C">
      <w:pPr>
        <w:pStyle w:val="SingleTxtGA"/>
        <w:rPr>
          <w:highlight w:val="yellow"/>
          <w:rtl/>
        </w:rPr>
      </w:pPr>
      <w:r>
        <w:rPr>
          <w:rFonts w:hint="cs"/>
          <w:rtl/>
        </w:rPr>
        <w:tab/>
      </w:r>
      <w:r w:rsidRPr="00E77F26">
        <w:rPr>
          <w:rFonts w:hint="cs"/>
          <w:i/>
          <w:iCs/>
          <w:rtl/>
        </w:rPr>
        <w:t>وإذ يسلّم</w:t>
      </w:r>
      <w:r>
        <w:rPr>
          <w:rFonts w:hint="cs"/>
          <w:rtl/>
        </w:rPr>
        <w:t xml:space="preserve"> بالالتزامات المتعهد بها في خطة عمل أديس أبابا، وإذ يلاحظ أن بلداناً كثيرة، على الرغم من الجهود الدولية المبذولة للتخفيف من الديون، ما زالت </w:t>
      </w:r>
      <w:r w:rsidRPr="00BC6318">
        <w:rPr>
          <w:rFonts w:hint="cs"/>
          <w:rtl/>
          <w:lang w:val="fr-FR" w:eastAsia="zh-CN"/>
        </w:rPr>
        <w:t>هشة أمام</w:t>
      </w:r>
      <w:r w:rsidRPr="00BC6318">
        <w:rPr>
          <w:rFonts w:hint="cs"/>
          <w:rtl/>
        </w:rPr>
        <w:t xml:space="preserve"> أزمة الديون وبعضها يوجد في خضم أزمة،</w:t>
      </w:r>
      <w:r>
        <w:rPr>
          <w:rFonts w:hint="cs"/>
          <w:rtl/>
        </w:rPr>
        <w:t xml:space="preserve"> بما في ذلك عدد من أقل البلدان نمواً ومن الدول الجزرية الصغيرة النامية وبعض البلدان المتقدمة،</w:t>
      </w:r>
    </w:p>
    <w:p w:rsidR="005B6F7C" w:rsidRDefault="005B6F7C" w:rsidP="005B6F7C">
      <w:pPr>
        <w:pStyle w:val="SingleTxtGA"/>
        <w:rPr>
          <w:rtl/>
        </w:rPr>
      </w:pPr>
      <w:r>
        <w:rPr>
          <w:rFonts w:hint="cs"/>
          <w:rtl/>
        </w:rPr>
        <w:tab/>
      </w:r>
      <w:r w:rsidRPr="00497A0D">
        <w:rPr>
          <w:rFonts w:hint="cs"/>
          <w:i/>
          <w:iCs/>
          <w:rtl/>
        </w:rPr>
        <w:t>وإذ يضع في اعتباره</w:t>
      </w:r>
      <w:r>
        <w:rPr>
          <w:rFonts w:hint="cs"/>
          <w:rtl/>
        </w:rPr>
        <w:t xml:space="preserve"> دور وولاية وأنشطة الوكالات والصناديق والبرامج الأخرى التابعة للأمم المتحدة في التعامل مع مسألتي الديون الخارجية والالتزامات المالية الدولية،</w:t>
      </w:r>
    </w:p>
    <w:p w:rsidR="005B6F7C" w:rsidRDefault="005B6F7C" w:rsidP="005B6F7C">
      <w:pPr>
        <w:pStyle w:val="SingleTxtGA"/>
      </w:pPr>
      <w:r>
        <w:rPr>
          <w:rFonts w:hint="cs"/>
          <w:rtl/>
        </w:rPr>
        <w:tab/>
      </w:r>
      <w:r w:rsidRPr="00F86E64">
        <w:rPr>
          <w:rFonts w:hint="cs"/>
          <w:i/>
          <w:iCs/>
          <w:rtl/>
        </w:rPr>
        <w:t xml:space="preserve">وإذ </w:t>
      </w:r>
      <w:r>
        <w:rPr>
          <w:rFonts w:hint="cs"/>
          <w:i/>
          <w:iCs/>
          <w:rtl/>
        </w:rPr>
        <w:t>يدرك</w:t>
      </w:r>
      <w:r w:rsidRPr="00F86E64">
        <w:rPr>
          <w:rFonts w:hint="cs"/>
          <w:i/>
          <w:iCs/>
          <w:rtl/>
        </w:rPr>
        <w:t xml:space="preserve"> </w:t>
      </w:r>
      <w:r w:rsidRPr="00F86E64">
        <w:rPr>
          <w:rtl/>
        </w:rPr>
        <w:t>تزايد الإقرار بأن عبء الديون المتزايد</w:t>
      </w:r>
      <w:r>
        <w:rPr>
          <w:rFonts w:hint="cs"/>
          <w:rtl/>
        </w:rPr>
        <w:t xml:space="preserve"> </w:t>
      </w:r>
      <w:r w:rsidRPr="00F86E64">
        <w:rPr>
          <w:rtl/>
        </w:rPr>
        <w:t xml:space="preserve">الذي تواجهه أشد البلدان النامية مديونية، </w:t>
      </w:r>
      <w:r>
        <w:rPr>
          <w:rFonts w:hint="cs"/>
          <w:rtl/>
        </w:rPr>
        <w:t>وخاصة</w:t>
      </w:r>
      <w:r w:rsidRPr="00F86E64">
        <w:rPr>
          <w:rtl/>
        </w:rPr>
        <w:t xml:space="preserve"> أقل</w:t>
      </w:r>
      <w:r>
        <w:rPr>
          <w:rFonts w:hint="cs"/>
          <w:rtl/>
        </w:rPr>
        <w:t xml:space="preserve"> البلدان</w:t>
      </w:r>
      <w:r w:rsidRPr="00F86E64">
        <w:rPr>
          <w:rtl/>
        </w:rPr>
        <w:t xml:space="preserve"> نمواً، </w:t>
      </w:r>
      <w:r>
        <w:rPr>
          <w:rFonts w:hint="cs"/>
          <w:rtl/>
        </w:rPr>
        <w:t xml:space="preserve">هو عبء </w:t>
      </w:r>
      <w:r w:rsidRPr="00F86E64">
        <w:rPr>
          <w:rtl/>
        </w:rPr>
        <w:t xml:space="preserve">لا يُحتمل ويشكل إحدى العقبات الرئيسية التي تحول دون إحراز تقدم في تحقيق تنمية مستدامة محورها الناس وفي القضاء على الفقر، وأن خدمة الديون الباهظة </w:t>
      </w:r>
      <w:r>
        <w:rPr>
          <w:rFonts w:hint="cs"/>
          <w:rtl/>
        </w:rPr>
        <w:t>ت</w:t>
      </w:r>
      <w:r w:rsidRPr="00F86E64">
        <w:rPr>
          <w:rtl/>
        </w:rPr>
        <w:t xml:space="preserve">حدّ بشدة من قدرة كثير من البلدان النامية </w:t>
      </w:r>
      <w:r>
        <w:rPr>
          <w:rFonts w:hint="cs"/>
          <w:rtl/>
        </w:rPr>
        <w:t>وبعض البلدان المتقدمة</w:t>
      </w:r>
      <w:r w:rsidRPr="00F86E64">
        <w:rPr>
          <w:rtl/>
        </w:rPr>
        <w:t xml:space="preserve"> على النهوض بالتنمية الاجتماعية وتقديم الخدمات الأساسية من أجل تهيئة </w:t>
      </w:r>
      <w:r>
        <w:rPr>
          <w:rFonts w:hint="cs"/>
          <w:rtl/>
        </w:rPr>
        <w:t>الأوضاع الضرورية</w:t>
      </w:r>
      <w:r w:rsidRPr="00F86E64">
        <w:rPr>
          <w:rtl/>
        </w:rPr>
        <w:t xml:space="preserve"> لإعمال الحقوق الاقتصادية والاجتماعية والثقافية،</w:t>
      </w:r>
    </w:p>
    <w:p w:rsidR="005B6F7C" w:rsidRDefault="005B6F7C" w:rsidP="005B6F7C">
      <w:pPr>
        <w:pStyle w:val="SingleTxtGA"/>
        <w:rPr>
          <w:rtl/>
        </w:rPr>
      </w:pPr>
      <w:r>
        <w:rPr>
          <w:rFonts w:hint="cs"/>
          <w:rtl/>
        </w:rPr>
        <w:tab/>
      </w:r>
      <w:r w:rsidRPr="00981AE0">
        <w:rPr>
          <w:i/>
          <w:iCs/>
          <w:rtl/>
        </w:rPr>
        <w:t>وإذ يعرب عن قلقه</w:t>
      </w:r>
      <w:r w:rsidRPr="00981AE0">
        <w:rPr>
          <w:rtl/>
        </w:rPr>
        <w:t xml:space="preserve"> من أن البلدان النامية</w:t>
      </w:r>
      <w:r>
        <w:rPr>
          <w:rFonts w:hint="cs"/>
          <w:rtl/>
        </w:rPr>
        <w:t xml:space="preserve"> لا تزال</w:t>
      </w:r>
      <w:r w:rsidRPr="00981AE0">
        <w:rPr>
          <w:rtl/>
        </w:rPr>
        <w:t xml:space="preserve">، على الرغم من إعادة جدولة ديونها مراراً وتكراراً، تسدد سنوياً مبلغاً أكبر من المبلغ الفعلي الذي تتلقاه كمساعدة إنمائية رسمية، </w:t>
      </w:r>
    </w:p>
    <w:p w:rsidR="005B6F7C" w:rsidRDefault="005B6F7C" w:rsidP="005B6F7C">
      <w:pPr>
        <w:pStyle w:val="SingleTxtGA"/>
        <w:rPr>
          <w:rtl/>
        </w:rPr>
      </w:pPr>
      <w:r>
        <w:rPr>
          <w:rFonts w:hint="cs"/>
          <w:rtl/>
        </w:rPr>
        <w:tab/>
      </w:r>
      <w:r w:rsidRPr="00317E17">
        <w:rPr>
          <w:rFonts w:hint="cs"/>
          <w:i/>
          <w:iCs/>
          <w:rtl/>
        </w:rPr>
        <w:t>وإذ يذكِّر</w:t>
      </w:r>
      <w:r>
        <w:rPr>
          <w:rFonts w:hint="cs"/>
          <w:rtl/>
        </w:rPr>
        <w:t xml:space="preserve"> بال</w:t>
      </w:r>
      <w:r w:rsidRPr="00317E17">
        <w:rPr>
          <w:rtl/>
        </w:rPr>
        <w:t xml:space="preserve">مبادئ </w:t>
      </w:r>
      <w:r>
        <w:rPr>
          <w:rFonts w:hint="cs"/>
          <w:rtl/>
        </w:rPr>
        <w:t>ال</w:t>
      </w:r>
      <w:r w:rsidRPr="00317E17">
        <w:rPr>
          <w:rtl/>
        </w:rPr>
        <w:t xml:space="preserve">أساسية </w:t>
      </w:r>
      <w:r>
        <w:rPr>
          <w:rFonts w:hint="cs"/>
          <w:rtl/>
        </w:rPr>
        <w:t>المتعلقة</w:t>
      </w:r>
      <w:r w:rsidRPr="00317E17">
        <w:rPr>
          <w:rtl/>
        </w:rPr>
        <w:t xml:space="preserve"> </w:t>
      </w:r>
      <w:r>
        <w:rPr>
          <w:rFonts w:hint="cs"/>
          <w:rtl/>
        </w:rPr>
        <w:t>ب</w:t>
      </w:r>
      <w:r w:rsidRPr="00317E17">
        <w:rPr>
          <w:rtl/>
        </w:rPr>
        <w:t>عمليات إعا</w:t>
      </w:r>
      <w:r>
        <w:rPr>
          <w:rtl/>
        </w:rPr>
        <w:t xml:space="preserve">دة هيكلة الديون </w:t>
      </w:r>
      <w:r w:rsidRPr="005B6F7C">
        <w:rPr>
          <w:sz w:val="30"/>
          <w:rtl/>
        </w:rPr>
        <w:t>السيادية</w:t>
      </w:r>
      <w:r w:rsidRPr="005B6F7C">
        <w:rPr>
          <w:sz w:val="30"/>
          <w:vertAlign w:val="superscript"/>
          <w:rtl/>
        </w:rPr>
        <w:t>(</w:t>
      </w:r>
      <w:r w:rsidRPr="005B6F7C">
        <w:rPr>
          <w:rStyle w:val="FootnoteReference"/>
          <w:sz w:val="30"/>
          <w:szCs w:val="30"/>
          <w:rtl/>
        </w:rPr>
        <w:footnoteReference w:id="1"/>
      </w:r>
      <w:r w:rsidRPr="005B6F7C">
        <w:rPr>
          <w:sz w:val="30"/>
          <w:vertAlign w:val="superscript"/>
          <w:rtl/>
        </w:rPr>
        <w:t>)</w:t>
      </w:r>
      <w:r>
        <w:rPr>
          <w:rFonts w:hint="cs"/>
          <w:rtl/>
        </w:rPr>
        <w:t xml:space="preserve"> التي تؤكّد على أن أعمال إعادة هيكلة الديون السيادية ينبغي الانتهاء منها في الوقت المناسب وبكفاءة وأن تؤدي هذه الأعمال إلى إيجاد حالة ديون مستقرة في الدولة المدينة، على نحو يقلّل </w:t>
      </w:r>
      <w:r>
        <w:rPr>
          <w:rFonts w:hint="cs"/>
          <w:rtl/>
        </w:rPr>
        <w:lastRenderedPageBreak/>
        <w:t>إلى أدنى حد من التكاليف الاقتصادية والاجتماعية ويكفل تحقيق الاستقرار للنظام المالي الدولي ويحترم حقوق الإنسان،</w:t>
      </w:r>
    </w:p>
    <w:p w:rsidR="005B6F7C" w:rsidRDefault="005B6F7C" w:rsidP="005B6F7C">
      <w:pPr>
        <w:pStyle w:val="SingleTxtGA"/>
        <w:rPr>
          <w:rtl/>
        </w:rPr>
      </w:pPr>
      <w:r>
        <w:rPr>
          <w:rFonts w:hint="cs"/>
          <w:rtl/>
        </w:rPr>
        <w:tab/>
      </w:r>
      <w:r w:rsidRPr="00B305DA">
        <w:rPr>
          <w:i/>
          <w:iCs/>
          <w:rtl/>
        </w:rPr>
        <w:t>وإذ يسلّم</w:t>
      </w:r>
      <w:r>
        <w:rPr>
          <w:rtl/>
        </w:rPr>
        <w:t xml:space="preserve"> بالحق السيادي لكل دولة في إعادة هيكلة ديونها السيادية، وهو حق ينبغي ألا يعطله أو يع</w:t>
      </w:r>
      <w:r>
        <w:rPr>
          <w:rFonts w:hint="cs"/>
          <w:rtl/>
        </w:rPr>
        <w:t>و</w:t>
      </w:r>
      <w:r>
        <w:rPr>
          <w:rtl/>
        </w:rPr>
        <w:t xml:space="preserve">قه أي إجراء </w:t>
      </w:r>
      <w:r>
        <w:rPr>
          <w:rFonts w:hint="cs"/>
          <w:rtl/>
        </w:rPr>
        <w:t>صادر عن</w:t>
      </w:r>
      <w:r>
        <w:rPr>
          <w:rtl/>
        </w:rPr>
        <w:t xml:space="preserve"> دولة أخرى،</w:t>
      </w:r>
    </w:p>
    <w:p w:rsidR="005B6F7C" w:rsidRDefault="005B6F7C" w:rsidP="005B6F7C">
      <w:pPr>
        <w:pStyle w:val="SingleTxtGA"/>
        <w:rPr>
          <w:rtl/>
        </w:rPr>
      </w:pPr>
      <w:r>
        <w:rPr>
          <w:rFonts w:hint="cs"/>
          <w:rtl/>
        </w:rPr>
        <w:tab/>
      </w:r>
      <w:r w:rsidRPr="00940DFB">
        <w:rPr>
          <w:i/>
          <w:iCs/>
          <w:rtl/>
        </w:rPr>
        <w:t xml:space="preserve">وإذ </w:t>
      </w:r>
      <w:r>
        <w:rPr>
          <w:rFonts w:hint="cs"/>
          <w:i/>
          <w:iCs/>
          <w:rtl/>
        </w:rPr>
        <w:t>يسلّم أيضاً</w:t>
      </w:r>
      <w:r w:rsidRPr="00940DFB">
        <w:rPr>
          <w:rtl/>
        </w:rPr>
        <w:t xml:space="preserve"> بأن التدفقات المالية غير المشروعة، بما فيها التهرّب الضريبي من جانب الأفراد ذوي الأرصدة المالية الضخمة والتهرُّب الضريبي التجاري عن طريق التلاعب بالفواتير التجارية وتجنب دفع الضرائب من جانب الشركات عبر الوطنية، تُسهم في تراكم ديون لا يمكن تحمّلها بالنظر إلى أن الحكومات المفتقرة إلى الإيرادات المحلية قد تلجأ إلى الاقتراض الخارجي،</w:t>
      </w:r>
    </w:p>
    <w:p w:rsidR="005B6F7C" w:rsidRDefault="005B6F7C" w:rsidP="005B6F7C">
      <w:pPr>
        <w:pStyle w:val="SingleTxtGA"/>
        <w:rPr>
          <w:rtl/>
        </w:rPr>
      </w:pPr>
      <w:r>
        <w:rPr>
          <w:rFonts w:hint="cs"/>
          <w:rtl/>
        </w:rPr>
        <w:tab/>
      </w:r>
      <w:r w:rsidRPr="00B305DA">
        <w:rPr>
          <w:i/>
          <w:iCs/>
          <w:rtl/>
        </w:rPr>
        <w:t>وإذ يؤكد</w:t>
      </w:r>
      <w:r>
        <w:rPr>
          <w:rtl/>
        </w:rPr>
        <w:t xml:space="preserve"> أن عبء الديون يزيد من تعقيد المشاكل العديدة التي تواجهها البلدان النامية، وي</w:t>
      </w:r>
      <w:r>
        <w:rPr>
          <w:rFonts w:hint="cs"/>
          <w:rtl/>
        </w:rPr>
        <w:t>ُ</w:t>
      </w:r>
      <w:r>
        <w:rPr>
          <w:rtl/>
        </w:rPr>
        <w:t xml:space="preserve">سهم في انتشار الفقر المدقع، ويشكل عقبة أمام التنمية البشرية المستدامة، ومن ثم فإنه عائق خطير يعترض سبيل إعمال جميع حقوق الإنسان، </w:t>
      </w:r>
    </w:p>
    <w:p w:rsidR="005B6F7C" w:rsidRDefault="005B6F7C" w:rsidP="005B6F7C">
      <w:pPr>
        <w:pStyle w:val="SingleTxtGA"/>
        <w:rPr>
          <w:rtl/>
        </w:rPr>
      </w:pPr>
      <w:r>
        <w:rPr>
          <w:rFonts w:hint="cs"/>
          <w:rtl/>
        </w:rPr>
        <w:tab/>
        <w:t>1-</w:t>
      </w:r>
      <w:r>
        <w:rPr>
          <w:rFonts w:hint="cs"/>
          <w:rtl/>
        </w:rPr>
        <w:tab/>
      </w:r>
      <w:r w:rsidRPr="002949FF">
        <w:rPr>
          <w:i/>
          <w:iCs/>
          <w:rtl/>
        </w:rPr>
        <w:t>يذكِّر</w:t>
      </w:r>
      <w:r>
        <w:rPr>
          <w:rtl/>
        </w:rPr>
        <w:t xml:space="preserve"> بأن</w:t>
      </w:r>
      <w:r>
        <w:rPr>
          <w:rFonts w:hint="cs"/>
          <w:rtl/>
        </w:rPr>
        <w:t xml:space="preserve"> </w:t>
      </w:r>
      <w:r w:rsidRPr="002949FF">
        <w:rPr>
          <w:rtl/>
        </w:rPr>
        <w:t xml:space="preserve">كل دولة </w:t>
      </w:r>
      <w:r>
        <w:rPr>
          <w:rFonts w:hint="cs"/>
          <w:rtl/>
        </w:rPr>
        <w:t xml:space="preserve">هي </w:t>
      </w:r>
      <w:r w:rsidRPr="002949FF">
        <w:rPr>
          <w:rtl/>
        </w:rPr>
        <w:t xml:space="preserve">المسؤولة </w:t>
      </w:r>
      <w:r>
        <w:rPr>
          <w:rFonts w:hint="cs"/>
          <w:rtl/>
        </w:rPr>
        <w:t>في المقام الأول</w:t>
      </w:r>
      <w:r w:rsidRPr="002949FF">
        <w:rPr>
          <w:rtl/>
        </w:rPr>
        <w:t xml:space="preserve"> عن النهوض بالتنمية الاقتصادية والاجتماعية والثقافية لشعبها، وأن لها الحق والمسؤولية في اختيار وسائلها وأهدافها</w:t>
      </w:r>
      <w:r>
        <w:rPr>
          <w:rFonts w:hint="cs"/>
          <w:rtl/>
        </w:rPr>
        <w:t> </w:t>
      </w:r>
      <w:r w:rsidRPr="002949FF">
        <w:rPr>
          <w:rtl/>
        </w:rPr>
        <w:t xml:space="preserve">الإنمائية لبلوغ هذه الغاية، وينبغي ألا تخضع لأي إملاءات خارجية بعينها فيما يتعلق بالسياسة الاقتصادية؛ </w:t>
      </w:r>
    </w:p>
    <w:p w:rsidR="005B6F7C" w:rsidRDefault="005B6F7C" w:rsidP="005B6F7C">
      <w:pPr>
        <w:pStyle w:val="SingleTxtGA"/>
        <w:rPr>
          <w:rtl/>
        </w:rPr>
      </w:pPr>
      <w:r>
        <w:rPr>
          <w:rFonts w:hint="cs"/>
          <w:rtl/>
        </w:rPr>
        <w:tab/>
        <w:t>2-</w:t>
      </w:r>
      <w:r>
        <w:rPr>
          <w:rFonts w:hint="cs"/>
          <w:rtl/>
        </w:rPr>
        <w:tab/>
      </w:r>
      <w:r w:rsidRPr="002949FF">
        <w:rPr>
          <w:i/>
          <w:iCs/>
          <w:rtl/>
        </w:rPr>
        <w:t>يسلِّم</w:t>
      </w:r>
      <w:r w:rsidRPr="002949FF">
        <w:rPr>
          <w:rtl/>
        </w:rPr>
        <w:t xml:space="preserve"> بأن برامج الإصلاح في مجال التكيف الهيكلي </w:t>
      </w:r>
      <w:proofErr w:type="spellStart"/>
      <w:r>
        <w:rPr>
          <w:rFonts w:hint="cs"/>
          <w:rtl/>
        </w:rPr>
        <w:t>والمشروطيات</w:t>
      </w:r>
      <w:proofErr w:type="spellEnd"/>
      <w:r w:rsidRPr="002949FF">
        <w:rPr>
          <w:rtl/>
        </w:rPr>
        <w:t xml:space="preserve"> المتعلقة بالسياسات العامة تحدّ من الإنفاق العام وتفرض حدوداً قصوى ثابتة على الإنفاق، ولا تولي اهتماماً كافياً لتوفير الخدمات الاجتماعية، وأنه لا يتمكن سوى عدد قليل من البلدان من تحقيق نمو مستدام أعلى </w:t>
      </w:r>
      <w:r>
        <w:rPr>
          <w:rFonts w:hint="cs"/>
          <w:rtl/>
        </w:rPr>
        <w:t xml:space="preserve">في ظل </w:t>
      </w:r>
      <w:r w:rsidRPr="002949FF">
        <w:rPr>
          <w:rtl/>
        </w:rPr>
        <w:t xml:space="preserve">هذه البرامج؛ </w:t>
      </w:r>
    </w:p>
    <w:p w:rsidR="005B6F7C" w:rsidRDefault="005B6F7C" w:rsidP="005B6F7C">
      <w:pPr>
        <w:pStyle w:val="SingleTxtGA"/>
        <w:rPr>
          <w:rtl/>
        </w:rPr>
      </w:pPr>
      <w:r>
        <w:rPr>
          <w:rFonts w:hint="cs"/>
          <w:rtl/>
        </w:rPr>
        <w:tab/>
        <w:t>3-</w:t>
      </w:r>
      <w:r>
        <w:rPr>
          <w:rFonts w:hint="cs"/>
          <w:rtl/>
        </w:rPr>
        <w:tab/>
      </w:r>
      <w:r w:rsidRPr="00C10328">
        <w:rPr>
          <w:i/>
          <w:iCs/>
          <w:rtl/>
        </w:rPr>
        <w:t>يسلِّم أيضاً</w:t>
      </w:r>
      <w:r w:rsidRPr="00C10328">
        <w:rPr>
          <w:rtl/>
        </w:rPr>
        <w:t xml:space="preserve"> بأن تخفيف عبء الديون يمكن أن يؤدي دوراً رئيسياً في تحرير موارد ينبغي تخصيصها للأنشطة التي تنسجم مع تحقيق نمو وتنمية مستدامين، بما في ذلك الحد من الفقر وبلوغ الأهداف الإنمائية، بما يشمل الأهداف المحددة في </w:t>
      </w:r>
      <w:r>
        <w:rPr>
          <w:rFonts w:hint="cs"/>
          <w:rtl/>
        </w:rPr>
        <w:t>خطة التنمية المستدامة لعام</w:t>
      </w:r>
      <w:r>
        <w:rPr>
          <w:rFonts w:hint="eastAsia"/>
          <w:rtl/>
        </w:rPr>
        <w:t> </w:t>
      </w:r>
      <w:r>
        <w:rPr>
          <w:rFonts w:hint="cs"/>
          <w:rtl/>
        </w:rPr>
        <w:t>2030</w:t>
      </w:r>
      <w:r w:rsidRPr="00C10328">
        <w:rPr>
          <w:rtl/>
        </w:rPr>
        <w:t xml:space="preserve">، وأنه </w:t>
      </w:r>
      <w:r>
        <w:rPr>
          <w:rFonts w:hint="cs"/>
          <w:rtl/>
        </w:rPr>
        <w:t xml:space="preserve">لذلك </w:t>
      </w:r>
      <w:r w:rsidRPr="00C10328">
        <w:rPr>
          <w:rtl/>
        </w:rPr>
        <w:t xml:space="preserve">يتعين المضي </w:t>
      </w:r>
      <w:r>
        <w:rPr>
          <w:rFonts w:hint="cs"/>
          <w:rtl/>
        </w:rPr>
        <w:t>على نحو يتسم بال</w:t>
      </w:r>
      <w:r w:rsidRPr="00C10328">
        <w:rPr>
          <w:rtl/>
        </w:rPr>
        <w:t>تصميم و</w:t>
      </w:r>
      <w:r>
        <w:rPr>
          <w:rFonts w:hint="cs"/>
          <w:rtl/>
        </w:rPr>
        <w:t>ال</w:t>
      </w:r>
      <w:r w:rsidRPr="00C10328">
        <w:rPr>
          <w:rtl/>
        </w:rPr>
        <w:t xml:space="preserve">سرعة في اتخاذ تدابير للتخفيف من عبء الديون، حيثما يكون ذلك مناسباً، </w:t>
      </w:r>
      <w:r>
        <w:rPr>
          <w:rFonts w:hint="cs"/>
          <w:rtl/>
        </w:rPr>
        <w:t>مع ضمان</w:t>
      </w:r>
      <w:r w:rsidRPr="00C10328">
        <w:rPr>
          <w:rtl/>
        </w:rPr>
        <w:t xml:space="preserve"> ألا تحل هذه التدابير محل مصادر التمويل البديلة وأن تقترن بزيادة في المساعدة الإنمائية الرسمية؛ </w:t>
      </w:r>
    </w:p>
    <w:p w:rsidR="005B6F7C" w:rsidRDefault="005B6F7C" w:rsidP="005B6F7C">
      <w:pPr>
        <w:pStyle w:val="SingleTxtGA"/>
        <w:rPr>
          <w:rtl/>
        </w:rPr>
      </w:pPr>
      <w:r>
        <w:rPr>
          <w:rFonts w:hint="cs"/>
          <w:rtl/>
        </w:rPr>
        <w:tab/>
        <w:t>4-</w:t>
      </w:r>
      <w:r>
        <w:rPr>
          <w:rFonts w:hint="cs"/>
          <w:rtl/>
        </w:rPr>
        <w:tab/>
      </w:r>
      <w:r w:rsidRPr="00C10328">
        <w:rPr>
          <w:i/>
          <w:iCs/>
          <w:rtl/>
        </w:rPr>
        <w:t>يحث</w:t>
      </w:r>
      <w:r w:rsidRPr="00C10328">
        <w:rPr>
          <w:rtl/>
        </w:rPr>
        <w:t xml:space="preserve"> المجتمع الدولي، بما في ذلك منظومة الأمم المتحدة ومؤسسات </w:t>
      </w:r>
      <w:r>
        <w:rPr>
          <w:rFonts w:hint="cs"/>
          <w:rtl/>
        </w:rPr>
        <w:t xml:space="preserve">            </w:t>
      </w:r>
      <w:proofErr w:type="spellStart"/>
      <w:r w:rsidRPr="00C10328">
        <w:rPr>
          <w:rtl/>
        </w:rPr>
        <w:t>بريتون</w:t>
      </w:r>
      <w:proofErr w:type="spellEnd"/>
      <w:r w:rsidRPr="00C10328">
        <w:rPr>
          <w:rtl/>
        </w:rPr>
        <w:t xml:space="preserve"> </w:t>
      </w:r>
      <w:proofErr w:type="spellStart"/>
      <w:r w:rsidRPr="00C10328">
        <w:rPr>
          <w:rtl/>
        </w:rPr>
        <w:t>وودز</w:t>
      </w:r>
      <w:proofErr w:type="spellEnd"/>
      <w:r w:rsidRPr="00C10328">
        <w:rPr>
          <w:rtl/>
        </w:rPr>
        <w:t xml:space="preserve"> والقطاع الخاص، على اتخاذ التدابير والإجراءات الملائمة لتنفيذ التعهدات والالتزامات والاتفاقات والقرارات المنبثقة عن المؤتمرات الرئيسية ومؤتمرات القمة التي عقدتها الأمم المتحدة، بما فيها قمة الألفية، والمؤتمر العالمي لحقوق الإنسان، والمؤتمر العالمي لمكافحة العنصرية والتمييز العنصري وكره الأجانب وما يتصل بذلك من تعصب، ومؤتمر القمة العالمي للتنمية المستدامة، والمؤتمر الدولي لتمويل التنمية، وخاصة ما يتعلق منها بمسألة مشكلة الديون الخارجية للبلدان النامية، لا سيما البلدان المثقلة بالديون من بين البلدان الفقيرة وأقل البلدان نمواً والبلدان التي تمر اقتصاداتها بمرحلة انتقالية؛ </w:t>
      </w:r>
    </w:p>
    <w:p w:rsidR="005B6F7C" w:rsidRDefault="005B6F7C" w:rsidP="005B6F7C">
      <w:pPr>
        <w:pStyle w:val="SingleTxtGA"/>
        <w:rPr>
          <w:rtl/>
        </w:rPr>
      </w:pPr>
      <w:r>
        <w:rPr>
          <w:rFonts w:hint="cs"/>
          <w:rtl/>
        </w:rPr>
        <w:lastRenderedPageBreak/>
        <w:tab/>
        <w:t>5-</w:t>
      </w:r>
      <w:r>
        <w:rPr>
          <w:rFonts w:hint="cs"/>
          <w:rtl/>
        </w:rPr>
        <w:tab/>
      </w:r>
      <w:r w:rsidRPr="003972A2">
        <w:rPr>
          <w:i/>
          <w:iCs/>
          <w:rtl/>
        </w:rPr>
        <w:t>يكرر</w:t>
      </w:r>
      <w:r w:rsidRPr="003972A2">
        <w:rPr>
          <w:rtl/>
        </w:rPr>
        <w:t xml:space="preserve"> طلبه إلى مفوض الأمم المتحدة السامي لحقوق الإنسان أن </w:t>
      </w:r>
      <w:r>
        <w:rPr>
          <w:rFonts w:hint="cs"/>
          <w:rtl/>
        </w:rPr>
        <w:t>ي</w:t>
      </w:r>
      <w:r w:rsidRPr="003972A2">
        <w:rPr>
          <w:rtl/>
        </w:rPr>
        <w:t xml:space="preserve">ولي مزيداً من الاهتمام لمشكلة أعباء الديون التي تثقل كاهل البلدان النامية، </w:t>
      </w:r>
      <w:r>
        <w:rPr>
          <w:rFonts w:hint="cs"/>
          <w:rtl/>
        </w:rPr>
        <w:t>و</w:t>
      </w:r>
      <w:r w:rsidRPr="003972A2">
        <w:rPr>
          <w:rtl/>
        </w:rPr>
        <w:t xml:space="preserve">لا سيما أقل البلدان نمواً، وخاصة لما يترتب على التدابير </w:t>
      </w:r>
      <w:r>
        <w:rPr>
          <w:rFonts w:hint="cs"/>
          <w:rtl/>
        </w:rPr>
        <w:t xml:space="preserve">الناشئة عن </w:t>
      </w:r>
      <w:r w:rsidRPr="003972A2">
        <w:rPr>
          <w:rtl/>
        </w:rPr>
        <w:t xml:space="preserve">الديون الخارجية من آثار اجتماعية؛ </w:t>
      </w:r>
    </w:p>
    <w:p w:rsidR="005B6F7C" w:rsidRDefault="005B6F7C" w:rsidP="005B6F7C">
      <w:pPr>
        <w:pStyle w:val="SingleTxtGA"/>
        <w:rPr>
          <w:rtl/>
        </w:rPr>
      </w:pPr>
      <w:r>
        <w:rPr>
          <w:rFonts w:hint="cs"/>
          <w:rtl/>
        </w:rPr>
        <w:tab/>
        <w:t>6-</w:t>
      </w:r>
      <w:r>
        <w:rPr>
          <w:rFonts w:hint="cs"/>
          <w:rtl/>
        </w:rPr>
        <w:tab/>
      </w:r>
      <w:r w:rsidRPr="00E20C99">
        <w:rPr>
          <w:i/>
          <w:iCs/>
          <w:rtl/>
        </w:rPr>
        <w:t>يك</w:t>
      </w:r>
      <w:r>
        <w:rPr>
          <w:rFonts w:hint="cs"/>
          <w:i/>
          <w:iCs/>
          <w:rtl/>
        </w:rPr>
        <w:t>رر التأكيد</w:t>
      </w:r>
      <w:r w:rsidRPr="003972A2">
        <w:rPr>
          <w:rtl/>
        </w:rPr>
        <w:t xml:space="preserve"> </w:t>
      </w:r>
      <w:r w:rsidRPr="00E20C99">
        <w:rPr>
          <w:rFonts w:hint="cs"/>
          <w:i/>
          <w:iCs/>
          <w:rtl/>
        </w:rPr>
        <w:t>أيضاً</w:t>
      </w:r>
      <w:r>
        <w:rPr>
          <w:rFonts w:hint="cs"/>
          <w:rtl/>
        </w:rPr>
        <w:t xml:space="preserve"> </w:t>
      </w:r>
      <w:r w:rsidRPr="003972A2">
        <w:rPr>
          <w:rtl/>
        </w:rPr>
        <w:t xml:space="preserve">في هذا الصدد أن أنشطة </w:t>
      </w:r>
      <w:r w:rsidRPr="00E20C99">
        <w:rPr>
          <w:rtl/>
        </w:rPr>
        <w:t>صناديق الاستثمار الانتهازية</w:t>
      </w:r>
      <w:r>
        <w:rPr>
          <w:rFonts w:hint="cs"/>
          <w:rtl/>
        </w:rPr>
        <w:t xml:space="preserve"> </w:t>
      </w:r>
      <w:r w:rsidRPr="003972A2">
        <w:rPr>
          <w:rtl/>
        </w:rPr>
        <w:t xml:space="preserve">تسلط الضوء على بعض ما يعتري النظام المالي العالمي من مشاكل وتدل </w:t>
      </w:r>
      <w:r>
        <w:rPr>
          <w:rtl/>
        </w:rPr>
        <w:t>على الطابع الجائر للنظام القائم</w:t>
      </w:r>
      <w:r w:rsidRPr="003972A2">
        <w:rPr>
          <w:rtl/>
        </w:rPr>
        <w:t xml:space="preserve"> الذي يؤثر تأثيراً مباشراً في التمتع بحقوق الإنسان في الدول المدينة، ويهيب بالدول أن تنظر في تنفيذ أطر قانونية </w:t>
      </w:r>
      <w:r>
        <w:rPr>
          <w:rFonts w:hint="cs"/>
          <w:rtl/>
        </w:rPr>
        <w:t>لتقليص</w:t>
      </w:r>
      <w:r w:rsidRPr="003972A2">
        <w:rPr>
          <w:rtl/>
        </w:rPr>
        <w:t xml:space="preserve"> أنشطة </w:t>
      </w:r>
      <w:r w:rsidRPr="00E20C99">
        <w:rPr>
          <w:rtl/>
        </w:rPr>
        <w:t>صناديق الاستثمار الانتهازية</w:t>
      </w:r>
      <w:r>
        <w:rPr>
          <w:rFonts w:hint="cs"/>
          <w:rtl/>
        </w:rPr>
        <w:t xml:space="preserve"> الجشعة داخل</w:t>
      </w:r>
      <w:r w:rsidRPr="003972A2">
        <w:rPr>
          <w:rtl/>
        </w:rPr>
        <w:t xml:space="preserve"> ولاياتها القضائية؛</w:t>
      </w:r>
    </w:p>
    <w:p w:rsidR="005B6F7C" w:rsidRDefault="005B6F7C" w:rsidP="005B6F7C">
      <w:pPr>
        <w:pStyle w:val="SingleTxtGA"/>
        <w:rPr>
          <w:rtl/>
        </w:rPr>
      </w:pPr>
      <w:r>
        <w:rPr>
          <w:rFonts w:hint="cs"/>
          <w:rtl/>
        </w:rPr>
        <w:tab/>
        <w:t>7-</w:t>
      </w:r>
      <w:r>
        <w:rPr>
          <w:rFonts w:hint="cs"/>
          <w:rtl/>
        </w:rPr>
        <w:tab/>
      </w:r>
      <w:r w:rsidRPr="00674AE5">
        <w:rPr>
          <w:rFonts w:hint="cs"/>
          <w:i/>
          <w:iCs/>
          <w:rtl/>
        </w:rPr>
        <w:t>يحيط علماً مع التقدير</w:t>
      </w:r>
      <w:r>
        <w:rPr>
          <w:rFonts w:hint="cs"/>
          <w:rtl/>
        </w:rPr>
        <w:t xml:space="preserve"> بالتقرير المرحلي للجنة الاستشارية بشأن أنشطة الصناديق الانتهازية وتأثيرها على </w:t>
      </w:r>
      <w:r w:rsidRPr="005B6F7C">
        <w:rPr>
          <w:rFonts w:hint="cs"/>
          <w:sz w:val="30"/>
          <w:rtl/>
        </w:rPr>
        <w:t>حقوق الإنسان</w:t>
      </w:r>
      <w:r w:rsidRPr="005B6F7C">
        <w:rPr>
          <w:sz w:val="30"/>
          <w:vertAlign w:val="superscript"/>
          <w:rtl/>
        </w:rPr>
        <w:t>(</w:t>
      </w:r>
      <w:r w:rsidRPr="005B6F7C">
        <w:rPr>
          <w:rStyle w:val="FootnoteReference"/>
          <w:sz w:val="30"/>
          <w:szCs w:val="30"/>
          <w:rtl/>
        </w:rPr>
        <w:footnoteReference w:id="2"/>
      </w:r>
      <w:r w:rsidRPr="005B6F7C">
        <w:rPr>
          <w:sz w:val="30"/>
          <w:vertAlign w:val="superscript"/>
          <w:rtl/>
        </w:rPr>
        <w:t>)</w:t>
      </w:r>
      <w:r w:rsidRPr="005B6F7C">
        <w:rPr>
          <w:rFonts w:hint="cs"/>
          <w:sz w:val="30"/>
          <w:rtl/>
        </w:rPr>
        <w:t>، ويطلب إلى</w:t>
      </w:r>
      <w:r>
        <w:rPr>
          <w:rFonts w:hint="cs"/>
          <w:rtl/>
        </w:rPr>
        <w:t xml:space="preserve"> اللجنة أن تقدِّم تقريراً نهائياً عن الموضوع إلى مجلس حقوق الإنسان في دورته التاسعة والثلاثين كيما ينظر فيه؛</w:t>
      </w:r>
    </w:p>
    <w:p w:rsidR="005B6F7C" w:rsidRDefault="005B6F7C" w:rsidP="005B6F7C">
      <w:pPr>
        <w:pStyle w:val="SingleTxtGA"/>
        <w:rPr>
          <w:rtl/>
        </w:rPr>
      </w:pPr>
      <w:r>
        <w:rPr>
          <w:rFonts w:hint="cs"/>
          <w:rtl/>
        </w:rPr>
        <w:tab/>
        <w:t>8-</w:t>
      </w:r>
      <w:r>
        <w:rPr>
          <w:rFonts w:hint="cs"/>
          <w:rtl/>
        </w:rPr>
        <w:tab/>
      </w:r>
      <w:r w:rsidRPr="00022314">
        <w:rPr>
          <w:i/>
          <w:iCs/>
          <w:rtl/>
        </w:rPr>
        <w:t>يرحب</w:t>
      </w:r>
      <w:r w:rsidRPr="00022314">
        <w:rPr>
          <w:rtl/>
        </w:rPr>
        <w:t xml:space="preserve"> </w:t>
      </w:r>
      <w:r>
        <w:rPr>
          <w:rFonts w:hint="cs"/>
          <w:rtl/>
        </w:rPr>
        <w:t>بأعمال وإسهامات</w:t>
      </w:r>
      <w:r w:rsidRPr="00022314">
        <w:rPr>
          <w:rtl/>
        </w:rPr>
        <w:t xml:space="preserve"> الخبير المستقل المعني بآثار الديون الخارجية للدول</w:t>
      </w:r>
      <w:r>
        <w:rPr>
          <w:rFonts w:hint="cs"/>
          <w:rtl/>
        </w:rPr>
        <w:t>، وما يتصل بها من التزامات مالية دولية أخرى عليها،</w:t>
      </w:r>
      <w:r w:rsidRPr="00022314">
        <w:rPr>
          <w:rtl/>
        </w:rPr>
        <w:t xml:space="preserve"> </w:t>
      </w:r>
      <w:r>
        <w:rPr>
          <w:rFonts w:hint="cs"/>
          <w:rtl/>
        </w:rPr>
        <w:t>في</w:t>
      </w:r>
      <w:r w:rsidRPr="00022314">
        <w:rPr>
          <w:rtl/>
        </w:rPr>
        <w:t xml:space="preserve"> التمتع الكامل بجميع حقوق الإنسان، وخاصة الحقوق الاقتصادية والاجتماعية والثقافية، ويحيط علماً مع التقدير بتقريره الأخير </w:t>
      </w:r>
      <w:r>
        <w:rPr>
          <w:rFonts w:hint="cs"/>
          <w:rtl/>
        </w:rPr>
        <w:t xml:space="preserve">المقدَّم </w:t>
      </w:r>
      <w:r w:rsidRPr="00022314">
        <w:rPr>
          <w:rtl/>
        </w:rPr>
        <w:t xml:space="preserve">إلى </w:t>
      </w:r>
      <w:r>
        <w:rPr>
          <w:rFonts w:hint="cs"/>
          <w:rtl/>
        </w:rPr>
        <w:t xml:space="preserve">مجلس </w:t>
      </w:r>
      <w:r w:rsidRPr="005B6F7C">
        <w:rPr>
          <w:rFonts w:hint="cs"/>
          <w:sz w:val="30"/>
          <w:rtl/>
        </w:rPr>
        <w:t>حقوق الإنسان</w:t>
      </w:r>
      <w:r w:rsidRPr="005B6F7C">
        <w:rPr>
          <w:sz w:val="30"/>
          <w:vertAlign w:val="superscript"/>
          <w:rtl/>
        </w:rPr>
        <w:t>(</w:t>
      </w:r>
      <w:r w:rsidRPr="005B6F7C">
        <w:rPr>
          <w:rStyle w:val="FootnoteReference"/>
          <w:sz w:val="30"/>
          <w:szCs w:val="30"/>
          <w:rtl/>
        </w:rPr>
        <w:footnoteReference w:id="3"/>
      </w:r>
      <w:r w:rsidRPr="005B6F7C">
        <w:rPr>
          <w:sz w:val="30"/>
          <w:vertAlign w:val="superscript"/>
          <w:rtl/>
        </w:rPr>
        <w:t>)</w:t>
      </w:r>
      <w:r w:rsidRPr="005B6F7C">
        <w:rPr>
          <w:rFonts w:hint="cs"/>
          <w:sz w:val="30"/>
          <w:rtl/>
        </w:rPr>
        <w:t>؛</w:t>
      </w:r>
    </w:p>
    <w:p w:rsidR="005B6F7C" w:rsidRDefault="005B6F7C" w:rsidP="005B6F7C">
      <w:pPr>
        <w:pStyle w:val="SingleTxtGA"/>
        <w:rPr>
          <w:rtl/>
        </w:rPr>
      </w:pPr>
      <w:r>
        <w:rPr>
          <w:rFonts w:hint="cs"/>
          <w:rtl/>
        </w:rPr>
        <w:tab/>
        <w:t>9-</w:t>
      </w:r>
      <w:r>
        <w:rPr>
          <w:rFonts w:hint="cs"/>
          <w:rtl/>
        </w:rPr>
        <w:tab/>
      </w:r>
      <w:r w:rsidRPr="00AC6E76">
        <w:rPr>
          <w:i/>
          <w:iCs/>
          <w:rtl/>
        </w:rPr>
        <w:t>يقرر</w:t>
      </w:r>
      <w:r w:rsidRPr="00AC6E76">
        <w:rPr>
          <w:rtl/>
        </w:rPr>
        <w:t xml:space="preserve"> تمديد ولاية </w:t>
      </w:r>
      <w:r w:rsidRPr="00022314">
        <w:rPr>
          <w:rtl/>
        </w:rPr>
        <w:t>الخبير المستقل المعني بآثار الديون الخارجية للدول</w:t>
      </w:r>
      <w:r>
        <w:rPr>
          <w:rFonts w:hint="cs"/>
          <w:rtl/>
        </w:rPr>
        <w:t>، وما يتصل بها من التزامات مالية دولية أخرى عليها،</w:t>
      </w:r>
      <w:r w:rsidRPr="00022314">
        <w:rPr>
          <w:rtl/>
        </w:rPr>
        <w:t xml:space="preserve"> </w:t>
      </w:r>
      <w:r>
        <w:rPr>
          <w:rFonts w:hint="cs"/>
          <w:rtl/>
        </w:rPr>
        <w:t>في</w:t>
      </w:r>
      <w:r w:rsidRPr="00022314">
        <w:rPr>
          <w:rtl/>
        </w:rPr>
        <w:t xml:space="preserve"> </w:t>
      </w:r>
      <w:r w:rsidRPr="00AC6E76">
        <w:rPr>
          <w:rtl/>
        </w:rPr>
        <w:t xml:space="preserve">التمتع الكامل بجميع حقوق الإنسان، وخاصة الحقوق الاقتصادية والاجتماعية والثقافية، لفترة ثلاث سنوات، ويطلب إلى الخبير المستقل أن يولي اهتماماً خاصاً </w:t>
      </w:r>
      <w:r>
        <w:rPr>
          <w:rFonts w:hint="cs"/>
          <w:rtl/>
        </w:rPr>
        <w:t>لما يلي</w:t>
      </w:r>
      <w:r w:rsidRPr="00AC6E76">
        <w:rPr>
          <w:rtl/>
        </w:rPr>
        <w:t>:</w:t>
      </w:r>
    </w:p>
    <w:p w:rsidR="005B6F7C" w:rsidRDefault="005B6F7C" w:rsidP="005B6F7C">
      <w:pPr>
        <w:pStyle w:val="SingleTxtGA"/>
        <w:rPr>
          <w:rtl/>
        </w:rPr>
      </w:pPr>
      <w:r>
        <w:rPr>
          <w:rFonts w:hint="cs"/>
          <w:rtl/>
        </w:rPr>
        <w:tab/>
        <w:t>(أ)</w:t>
      </w:r>
      <w:r>
        <w:rPr>
          <w:rFonts w:hint="cs"/>
          <w:rtl/>
        </w:rPr>
        <w:tab/>
      </w:r>
      <w:r w:rsidRPr="009F3132">
        <w:rPr>
          <w:rtl/>
        </w:rPr>
        <w:t xml:space="preserve">آثار الديون الخارجية والسياسات المعتمدة </w:t>
      </w:r>
      <w:r>
        <w:rPr>
          <w:rFonts w:hint="cs"/>
          <w:rtl/>
        </w:rPr>
        <w:t>للتعامل مع هذه الديون</w:t>
      </w:r>
      <w:r w:rsidRPr="009F3132">
        <w:rPr>
          <w:rtl/>
        </w:rPr>
        <w:t xml:space="preserve"> على التمتع الكامل بجميع حقوق الإنسان، وبخاصة الحقوق الاقتصادية والاجتماعية والثقافية؛ </w:t>
      </w:r>
    </w:p>
    <w:p w:rsidR="005B6F7C" w:rsidRDefault="005B6F7C" w:rsidP="005B6F7C">
      <w:pPr>
        <w:pStyle w:val="SingleTxtGA"/>
        <w:rPr>
          <w:rtl/>
        </w:rPr>
      </w:pPr>
      <w:r>
        <w:rPr>
          <w:rFonts w:hint="cs"/>
          <w:rtl/>
        </w:rPr>
        <w:tab/>
        <w:t>(ب)</w:t>
      </w:r>
      <w:r>
        <w:rPr>
          <w:rFonts w:hint="cs"/>
          <w:rtl/>
        </w:rPr>
        <w:tab/>
      </w:r>
      <w:r w:rsidRPr="009F3132">
        <w:rPr>
          <w:rtl/>
        </w:rPr>
        <w:t>تأثير الديون الخارجية وغيرها من الالتزامات المالية الدولية المتصلة بها على قدرة الدول على وضع وتنفيذ سياساتها وبرامجها، بما في ذلك الميزانيات الوطنية التي تستجيب للمتطلبات الحيوية لتعزيز إعمال الحقوق الاجتماعية؛</w:t>
      </w:r>
    </w:p>
    <w:p w:rsidR="005B6F7C" w:rsidRDefault="005B6F7C" w:rsidP="005B6F7C">
      <w:pPr>
        <w:pStyle w:val="SingleTxtGA"/>
        <w:rPr>
          <w:rtl/>
        </w:rPr>
      </w:pPr>
      <w:r>
        <w:rPr>
          <w:rFonts w:hint="cs"/>
          <w:rtl/>
        </w:rPr>
        <w:tab/>
        <w:t>(ج)</w:t>
      </w:r>
      <w:r>
        <w:rPr>
          <w:rFonts w:hint="cs"/>
          <w:rtl/>
        </w:rPr>
        <w:tab/>
      </w:r>
      <w:r w:rsidRPr="009F3132">
        <w:rPr>
          <w:rtl/>
        </w:rPr>
        <w:t xml:space="preserve">التدابير المتخذة من </w:t>
      </w:r>
      <w:r>
        <w:rPr>
          <w:rFonts w:hint="cs"/>
          <w:rtl/>
        </w:rPr>
        <w:t>جانب</w:t>
      </w:r>
      <w:r w:rsidRPr="009F3132">
        <w:rPr>
          <w:rtl/>
        </w:rPr>
        <w:t xml:space="preserve"> الحكومات والقطاع الخاص والمؤسسات المالية الدولية للتخفيف من حدة هذه الآثار في البلدان النامية، ولا سيما أشد البلدان فقراً والبلدان المثقلة بالديون؛</w:t>
      </w:r>
    </w:p>
    <w:p w:rsidR="005B6F7C" w:rsidRDefault="005B6F7C" w:rsidP="005B6F7C">
      <w:pPr>
        <w:pStyle w:val="SingleTxtGA"/>
        <w:rPr>
          <w:rtl/>
        </w:rPr>
      </w:pPr>
      <w:r>
        <w:rPr>
          <w:rFonts w:hint="cs"/>
          <w:rtl/>
        </w:rPr>
        <w:tab/>
        <w:t>(د)</w:t>
      </w:r>
      <w:r>
        <w:rPr>
          <w:rFonts w:hint="cs"/>
          <w:rtl/>
        </w:rPr>
        <w:tab/>
      </w:r>
      <w:r w:rsidRPr="009F3132">
        <w:rPr>
          <w:rtl/>
        </w:rPr>
        <w:t>التطورات الجديدة والإجراءات والمبادرات الجاري اتخاذها</w:t>
      </w:r>
      <w:r>
        <w:rPr>
          <w:rFonts w:hint="cs"/>
          <w:rtl/>
        </w:rPr>
        <w:t>،</w:t>
      </w:r>
      <w:r w:rsidRPr="009F3132">
        <w:rPr>
          <w:rtl/>
        </w:rPr>
        <w:t xml:space="preserve"> فيما يتعلق بسياسات الإصلاح الاقتصادي وحقوق الإنسان</w:t>
      </w:r>
      <w:r>
        <w:rPr>
          <w:rFonts w:hint="cs"/>
          <w:rtl/>
        </w:rPr>
        <w:t>،</w:t>
      </w:r>
      <w:r w:rsidRPr="009F3132">
        <w:rPr>
          <w:rtl/>
        </w:rPr>
        <w:t xml:space="preserve"> من جانب المؤسسات المالية الدولية</w:t>
      </w:r>
      <w:r>
        <w:rPr>
          <w:rFonts w:hint="cs"/>
          <w:rtl/>
        </w:rPr>
        <w:t>،</w:t>
      </w:r>
      <w:r w:rsidRPr="009F3132">
        <w:rPr>
          <w:rtl/>
        </w:rPr>
        <w:t xml:space="preserve"> </w:t>
      </w:r>
      <w:r>
        <w:rPr>
          <w:rFonts w:hint="cs"/>
          <w:rtl/>
        </w:rPr>
        <w:t>و</w:t>
      </w:r>
      <w:r w:rsidRPr="009F3132">
        <w:rPr>
          <w:rtl/>
        </w:rPr>
        <w:t xml:space="preserve">هيئات الأمم المتحدة </w:t>
      </w:r>
      <w:r>
        <w:rPr>
          <w:rFonts w:hint="cs"/>
          <w:rtl/>
        </w:rPr>
        <w:t xml:space="preserve">الأخرى، </w:t>
      </w:r>
      <w:r w:rsidRPr="009F3132">
        <w:rPr>
          <w:rtl/>
        </w:rPr>
        <w:t>والمنظمات الحكومية الدولية</w:t>
      </w:r>
      <w:r>
        <w:rPr>
          <w:rFonts w:hint="cs"/>
          <w:rtl/>
        </w:rPr>
        <w:t>،</w:t>
      </w:r>
      <w:r w:rsidRPr="009F3132">
        <w:rPr>
          <w:rtl/>
        </w:rPr>
        <w:t xml:space="preserve"> والمنظمات غير الحكومية؛ </w:t>
      </w:r>
    </w:p>
    <w:p w:rsidR="005B6F7C" w:rsidRDefault="005B6F7C" w:rsidP="005B6F7C">
      <w:pPr>
        <w:pStyle w:val="SingleTxtGA"/>
        <w:rPr>
          <w:rtl/>
        </w:rPr>
      </w:pPr>
      <w:r>
        <w:rPr>
          <w:rFonts w:hint="cs"/>
          <w:rtl/>
        </w:rPr>
        <w:tab/>
        <w:t>(ه)</w:t>
      </w:r>
      <w:r>
        <w:rPr>
          <w:rFonts w:hint="cs"/>
          <w:rtl/>
        </w:rPr>
        <w:tab/>
        <w:t xml:space="preserve">آثار كل من الديون العامة والإصلاح الاقتصادي وسياسات التوحيد المالي على </w:t>
      </w:r>
      <w:r w:rsidRPr="009F3132">
        <w:rPr>
          <w:rtl/>
        </w:rPr>
        <w:t xml:space="preserve">تحقيق أهداف </w:t>
      </w:r>
      <w:r>
        <w:rPr>
          <w:rFonts w:hint="cs"/>
          <w:rtl/>
        </w:rPr>
        <w:t>التنمية المستدامة</w:t>
      </w:r>
      <w:r w:rsidRPr="009F3132">
        <w:rPr>
          <w:rtl/>
        </w:rPr>
        <w:t xml:space="preserve">؛ </w:t>
      </w:r>
    </w:p>
    <w:p w:rsidR="005B6F7C" w:rsidRDefault="005B6F7C" w:rsidP="005B6F7C">
      <w:pPr>
        <w:pStyle w:val="SingleTxtGA"/>
        <w:rPr>
          <w:rtl/>
        </w:rPr>
      </w:pPr>
      <w:r>
        <w:rPr>
          <w:rFonts w:hint="cs"/>
          <w:rtl/>
        </w:rPr>
        <w:lastRenderedPageBreak/>
        <w:tab/>
        <w:t>(و)</w:t>
      </w:r>
      <w:r>
        <w:rPr>
          <w:rFonts w:hint="cs"/>
          <w:rtl/>
        </w:rPr>
        <w:tab/>
      </w:r>
      <w:r w:rsidRPr="008D3E34">
        <w:rPr>
          <w:rtl/>
        </w:rPr>
        <w:t>التأثير السلبي ل</w:t>
      </w:r>
      <w:r>
        <w:rPr>
          <w:rFonts w:hint="cs"/>
          <w:rtl/>
        </w:rPr>
        <w:t>ل</w:t>
      </w:r>
      <w:r w:rsidRPr="008D3E34">
        <w:rPr>
          <w:rtl/>
        </w:rPr>
        <w:t xml:space="preserve">تدفقات </w:t>
      </w:r>
      <w:r>
        <w:rPr>
          <w:rFonts w:hint="cs"/>
          <w:rtl/>
        </w:rPr>
        <w:t>المالية غير المشروعة</w:t>
      </w:r>
      <w:r w:rsidRPr="008D3E34">
        <w:rPr>
          <w:rtl/>
        </w:rPr>
        <w:t xml:space="preserve"> </w:t>
      </w:r>
      <w:r>
        <w:rPr>
          <w:rFonts w:hint="cs"/>
          <w:rtl/>
        </w:rPr>
        <w:t>على</w:t>
      </w:r>
      <w:r w:rsidRPr="008D3E34">
        <w:rPr>
          <w:rtl/>
        </w:rPr>
        <w:t xml:space="preserve"> التمتع بحقوق الإنسان</w:t>
      </w:r>
      <w:r>
        <w:rPr>
          <w:rFonts w:hint="cs"/>
          <w:rtl/>
        </w:rPr>
        <w:t>؛</w:t>
      </w:r>
    </w:p>
    <w:p w:rsidR="005B6F7C" w:rsidRDefault="005B6F7C" w:rsidP="005B6F7C">
      <w:pPr>
        <w:pStyle w:val="SingleTxtGA"/>
        <w:rPr>
          <w:rtl/>
        </w:rPr>
      </w:pPr>
      <w:r>
        <w:rPr>
          <w:rFonts w:hint="cs"/>
          <w:rtl/>
        </w:rPr>
        <w:tab/>
        <w:t>(ز)</w:t>
      </w:r>
      <w:r>
        <w:rPr>
          <w:rFonts w:hint="cs"/>
          <w:rtl/>
        </w:rPr>
        <w:tab/>
      </w:r>
      <w:r w:rsidRPr="008D3E34">
        <w:rPr>
          <w:rtl/>
        </w:rPr>
        <w:t>العملية التي عُهد إليها بمتابعة المؤتمر الدولي لتمويل التنمية، بغية توجيه انتباهها إلى مسألة آثار التكيف الهيكلي والديون الخارجية على التمتع بحقوق الإنسان، وخاصة الحقوق الاقتصادية والاجتماعية والثقافية؛</w:t>
      </w:r>
    </w:p>
    <w:p w:rsidR="005B6F7C" w:rsidRPr="00DC3541" w:rsidRDefault="005B6F7C" w:rsidP="005B6F7C">
      <w:pPr>
        <w:pStyle w:val="SingleTxtGA"/>
        <w:rPr>
          <w:spacing w:val="-2"/>
          <w:rtl/>
        </w:rPr>
      </w:pPr>
      <w:r w:rsidRPr="00DC3541">
        <w:rPr>
          <w:rFonts w:hint="cs"/>
          <w:spacing w:val="-2"/>
          <w:rtl/>
        </w:rPr>
        <w:tab/>
        <w:t>(ح)</w:t>
      </w:r>
      <w:r w:rsidRPr="00DC3541">
        <w:rPr>
          <w:rFonts w:hint="cs"/>
          <w:spacing w:val="-2"/>
          <w:rtl/>
        </w:rPr>
        <w:tab/>
      </w:r>
      <w:r w:rsidRPr="00DC3541">
        <w:rPr>
          <w:spacing w:val="-2"/>
          <w:rtl/>
        </w:rPr>
        <w:t xml:space="preserve">تعزيز التشاور مع جميع </w:t>
      </w:r>
      <w:r w:rsidRPr="00DC3541">
        <w:rPr>
          <w:rFonts w:hint="cs"/>
          <w:spacing w:val="-2"/>
          <w:rtl/>
        </w:rPr>
        <w:t xml:space="preserve">الجهات المعنية صاحبة المصلحة </w:t>
      </w:r>
      <w:r w:rsidRPr="00DC3541">
        <w:rPr>
          <w:spacing w:val="-2"/>
          <w:rtl/>
        </w:rPr>
        <w:t>بغية إنجاز هذه الولاية</w:t>
      </w:r>
      <w:r w:rsidRPr="00DC3541">
        <w:rPr>
          <w:rFonts w:hint="cs"/>
          <w:spacing w:val="-2"/>
          <w:rtl/>
        </w:rPr>
        <w:t>؛</w:t>
      </w:r>
    </w:p>
    <w:p w:rsidR="005B6F7C" w:rsidRPr="00DC3541" w:rsidRDefault="005B6F7C" w:rsidP="005B6F7C">
      <w:pPr>
        <w:pStyle w:val="SingleTxtGA"/>
        <w:rPr>
          <w:spacing w:val="-2"/>
          <w:rtl/>
        </w:rPr>
      </w:pPr>
      <w:r w:rsidRPr="00DC3541">
        <w:rPr>
          <w:rFonts w:hint="cs"/>
          <w:spacing w:val="-2"/>
          <w:rtl/>
        </w:rPr>
        <w:tab/>
        <w:t>10-</w:t>
      </w:r>
      <w:r w:rsidRPr="00DC3541">
        <w:rPr>
          <w:rFonts w:hint="cs"/>
          <w:spacing w:val="-2"/>
          <w:rtl/>
        </w:rPr>
        <w:tab/>
      </w:r>
      <w:r w:rsidRPr="00DC3541">
        <w:rPr>
          <w:i/>
          <w:iCs/>
          <w:spacing w:val="-2"/>
          <w:rtl/>
        </w:rPr>
        <w:t>يهيب</w:t>
      </w:r>
      <w:r w:rsidRPr="00DC3541">
        <w:rPr>
          <w:spacing w:val="-2"/>
          <w:rtl/>
        </w:rPr>
        <w:t xml:space="preserve"> بجميع الحكومات أن تتعاون مع الخبير المستقل وأن تساعده في أداء مهام ولايته، وأن تزوده بجميع المعلومات الضرورية التي يطلبها، وأن تنظر جدياً في الاستجابة لطلبات الخبير المستقل المتعلقة بزيارة بلدانها </w:t>
      </w:r>
      <w:r w:rsidRPr="00DC3541">
        <w:rPr>
          <w:rFonts w:hint="cs"/>
          <w:spacing w:val="-2"/>
          <w:rtl/>
        </w:rPr>
        <w:t xml:space="preserve">من أجل </w:t>
      </w:r>
      <w:r w:rsidRPr="00DC3541">
        <w:rPr>
          <w:spacing w:val="-2"/>
          <w:rtl/>
        </w:rPr>
        <w:t>تمكينه من الاضطلاع بواجباته على نحو فعال؛</w:t>
      </w:r>
    </w:p>
    <w:p w:rsidR="005B6F7C" w:rsidRDefault="005B6F7C" w:rsidP="005B6F7C">
      <w:pPr>
        <w:pStyle w:val="SingleTxtGA"/>
        <w:rPr>
          <w:rtl/>
        </w:rPr>
      </w:pPr>
      <w:r>
        <w:rPr>
          <w:rFonts w:hint="cs"/>
          <w:rtl/>
        </w:rPr>
        <w:tab/>
        <w:t>11-</w:t>
      </w:r>
      <w:r>
        <w:rPr>
          <w:rFonts w:hint="cs"/>
          <w:rtl/>
        </w:rPr>
        <w:tab/>
      </w:r>
      <w:r w:rsidRPr="00997E2E">
        <w:rPr>
          <w:i/>
          <w:iCs/>
          <w:rtl/>
        </w:rPr>
        <w:t>يحثّ</w:t>
      </w:r>
      <w:r w:rsidRPr="006452C4">
        <w:rPr>
          <w:rtl/>
        </w:rPr>
        <w:t xml:space="preserve"> المنظمات الدولية والمؤسسات المالية الدولية والمنظمات غير الحكومية والقطاع الخاص على التعاون الكامل مع الخبير المستقل في اضطلاعه بولايته؛ </w:t>
      </w:r>
    </w:p>
    <w:p w:rsidR="005B6F7C" w:rsidRDefault="005B6F7C" w:rsidP="005B6F7C">
      <w:pPr>
        <w:pStyle w:val="SingleTxtGA"/>
        <w:rPr>
          <w:rtl/>
        </w:rPr>
      </w:pPr>
      <w:r>
        <w:rPr>
          <w:rFonts w:hint="cs"/>
          <w:rtl/>
        </w:rPr>
        <w:tab/>
        <w:t>12-</w:t>
      </w:r>
      <w:r>
        <w:rPr>
          <w:rFonts w:hint="cs"/>
          <w:rtl/>
        </w:rPr>
        <w:tab/>
      </w:r>
      <w:r w:rsidRPr="00997E2E">
        <w:rPr>
          <w:rFonts w:hint="cs"/>
          <w:i/>
          <w:iCs/>
          <w:rtl/>
        </w:rPr>
        <w:t>يطلب</w:t>
      </w:r>
      <w:r>
        <w:rPr>
          <w:rFonts w:hint="cs"/>
          <w:rtl/>
        </w:rPr>
        <w:t xml:space="preserve"> إلى الخبير المستقل أن ي</w:t>
      </w:r>
      <w:r w:rsidRPr="00F23889">
        <w:rPr>
          <w:rtl/>
        </w:rPr>
        <w:t xml:space="preserve">شارك في الحوارات والمنتديات </w:t>
      </w:r>
      <w:proofErr w:type="spellStart"/>
      <w:r w:rsidRPr="00F23889">
        <w:rPr>
          <w:rtl/>
        </w:rPr>
        <w:t>السياساتية</w:t>
      </w:r>
      <w:proofErr w:type="spellEnd"/>
      <w:r w:rsidRPr="00F23889">
        <w:rPr>
          <w:rtl/>
        </w:rPr>
        <w:t xml:space="preserve"> الدولية ذات الصلة بتنفيذ خطة التنمية المستدامة لعام 2030، و</w:t>
      </w:r>
      <w:r>
        <w:rPr>
          <w:rFonts w:hint="cs"/>
          <w:rtl/>
        </w:rPr>
        <w:t>أن ي</w:t>
      </w:r>
      <w:r w:rsidRPr="00F23889">
        <w:rPr>
          <w:rtl/>
        </w:rPr>
        <w:t>ج</w:t>
      </w:r>
      <w:r>
        <w:rPr>
          <w:rFonts w:hint="cs"/>
          <w:rtl/>
        </w:rPr>
        <w:t>ري</w:t>
      </w:r>
      <w:r w:rsidRPr="00F23889">
        <w:rPr>
          <w:rtl/>
        </w:rPr>
        <w:t xml:space="preserve"> بحوث</w:t>
      </w:r>
      <w:r>
        <w:rPr>
          <w:rFonts w:hint="cs"/>
          <w:rtl/>
        </w:rPr>
        <w:t>ا</w:t>
      </w:r>
      <w:r w:rsidR="00BA6EE1">
        <w:rPr>
          <w:rFonts w:hint="cs"/>
          <w:rtl/>
        </w:rPr>
        <w:t>ً</w:t>
      </w:r>
      <w:bookmarkStart w:id="0" w:name="_GoBack"/>
      <w:bookmarkEnd w:id="0"/>
      <w:r w:rsidRPr="00F23889">
        <w:rPr>
          <w:rtl/>
        </w:rPr>
        <w:t xml:space="preserve"> مواضيعية و</w:t>
      </w:r>
      <w:r>
        <w:rPr>
          <w:rFonts w:hint="cs"/>
          <w:rtl/>
        </w:rPr>
        <w:t>ي</w:t>
      </w:r>
      <w:r>
        <w:rPr>
          <w:rtl/>
        </w:rPr>
        <w:t>سد</w:t>
      </w:r>
      <w:r>
        <w:rPr>
          <w:rFonts w:hint="cs"/>
          <w:rtl/>
        </w:rPr>
        <w:t>ي</w:t>
      </w:r>
      <w:r w:rsidRPr="00F23889">
        <w:rPr>
          <w:rtl/>
        </w:rPr>
        <w:t xml:space="preserve"> المشورة </w:t>
      </w:r>
      <w:r>
        <w:rPr>
          <w:rFonts w:hint="cs"/>
          <w:rtl/>
        </w:rPr>
        <w:t>إلى ا</w:t>
      </w:r>
      <w:r w:rsidRPr="00F23889">
        <w:rPr>
          <w:rtl/>
        </w:rPr>
        <w:t>لدول</w:t>
      </w:r>
      <w:r>
        <w:rPr>
          <w:rFonts w:hint="cs"/>
          <w:rtl/>
        </w:rPr>
        <w:t xml:space="preserve"> والمؤسسات المالية الدولية</w:t>
      </w:r>
      <w:r w:rsidRPr="00F23889">
        <w:rPr>
          <w:rtl/>
        </w:rPr>
        <w:t xml:space="preserve"> </w:t>
      </w:r>
      <w:r>
        <w:rPr>
          <w:rFonts w:hint="cs"/>
          <w:rtl/>
        </w:rPr>
        <w:t>والقطاع الخاص</w:t>
      </w:r>
      <w:r w:rsidRPr="00F23889">
        <w:rPr>
          <w:rtl/>
        </w:rPr>
        <w:t xml:space="preserve"> والمجتمع المدني بشأن التنفيذ الفعال </w:t>
      </w:r>
      <w:r>
        <w:rPr>
          <w:rFonts w:hint="cs"/>
          <w:rtl/>
        </w:rPr>
        <w:t>لخطة عام 2030 في ميدان الإقراض الدولي، والسياسة المالية وحقوق الإنسان، مولي</w:t>
      </w:r>
      <w:r w:rsidR="009B70E9">
        <w:rPr>
          <w:rFonts w:hint="cs"/>
          <w:rtl/>
        </w:rPr>
        <w:t xml:space="preserve">اً </w:t>
      </w:r>
      <w:r>
        <w:rPr>
          <w:rFonts w:hint="cs"/>
          <w:rtl/>
        </w:rPr>
        <w:t>اهتمام</w:t>
      </w:r>
      <w:r w:rsidR="009B70E9">
        <w:rPr>
          <w:rFonts w:hint="cs"/>
          <w:rtl/>
        </w:rPr>
        <w:t xml:space="preserve">اً </w:t>
      </w:r>
      <w:r>
        <w:rPr>
          <w:rFonts w:hint="cs"/>
          <w:rtl/>
        </w:rPr>
        <w:t>خاص</w:t>
      </w:r>
      <w:r w:rsidR="009B70E9">
        <w:rPr>
          <w:rFonts w:hint="cs"/>
          <w:rtl/>
        </w:rPr>
        <w:t xml:space="preserve">اً </w:t>
      </w:r>
      <w:r>
        <w:rPr>
          <w:rFonts w:hint="cs"/>
          <w:rtl/>
        </w:rPr>
        <w:t>للهدفين 10 و17 من أهداف التنمية المستدامة</w:t>
      </w:r>
      <w:r w:rsidRPr="00F23889">
        <w:rPr>
          <w:rtl/>
        </w:rPr>
        <w:t>؛</w:t>
      </w:r>
    </w:p>
    <w:p w:rsidR="005B6F7C" w:rsidRDefault="005B6F7C" w:rsidP="005B6F7C">
      <w:pPr>
        <w:pStyle w:val="SingleTxtGA"/>
        <w:rPr>
          <w:rtl/>
        </w:rPr>
      </w:pPr>
      <w:r>
        <w:rPr>
          <w:rFonts w:hint="cs"/>
          <w:rtl/>
        </w:rPr>
        <w:tab/>
        <w:t>13-</w:t>
      </w:r>
      <w:r>
        <w:rPr>
          <w:rFonts w:hint="cs"/>
          <w:rtl/>
        </w:rPr>
        <w:tab/>
      </w:r>
      <w:r w:rsidRPr="00707041">
        <w:rPr>
          <w:rFonts w:hint="cs"/>
          <w:i/>
          <w:iCs/>
          <w:rtl/>
        </w:rPr>
        <w:t xml:space="preserve">يطلب </w:t>
      </w:r>
      <w:r>
        <w:rPr>
          <w:rFonts w:hint="cs"/>
          <w:rtl/>
        </w:rPr>
        <w:t xml:space="preserve">إلى الخبير المستقل </w:t>
      </w:r>
      <w:r w:rsidRPr="00707041">
        <w:rPr>
          <w:rFonts w:hint="cs"/>
          <w:i/>
          <w:iCs/>
          <w:rtl/>
        </w:rPr>
        <w:t>أيضاً</w:t>
      </w:r>
      <w:r>
        <w:rPr>
          <w:rFonts w:hint="cs"/>
          <w:rtl/>
        </w:rPr>
        <w:t xml:space="preserve"> أن يضع مبادئ توجيهية بشأن تقييمات تأثير سياسات الإصلاح الاقتصادي على حقوق الإنسان، بالتشاور مع الدول والمؤسسات المالية الدولية والجهات الأخرى المعنية صاحبة المصلحة، وأن ينظّم مشاورات للخبراء من أجل وضع المبادئ التوجيهية وتحديد أدوات تقييم التأثير الموجودة؛</w:t>
      </w:r>
    </w:p>
    <w:p w:rsidR="005B6F7C" w:rsidRPr="00F86E64" w:rsidRDefault="005B6F7C" w:rsidP="005B6F7C">
      <w:pPr>
        <w:pStyle w:val="SingleTxtGA"/>
        <w:rPr>
          <w:rtl/>
        </w:rPr>
      </w:pPr>
      <w:r>
        <w:rPr>
          <w:rFonts w:hint="cs"/>
          <w:rtl/>
        </w:rPr>
        <w:tab/>
        <w:t>14-</w:t>
      </w:r>
      <w:r>
        <w:rPr>
          <w:rFonts w:hint="cs"/>
          <w:rtl/>
        </w:rPr>
        <w:tab/>
      </w:r>
      <w:r w:rsidRPr="00997E2E">
        <w:rPr>
          <w:rFonts w:hint="cs"/>
          <w:i/>
          <w:iCs/>
          <w:rtl/>
        </w:rPr>
        <w:t>يدعو</w:t>
      </w:r>
      <w:r>
        <w:rPr>
          <w:rFonts w:hint="cs"/>
          <w:rtl/>
        </w:rPr>
        <w:t xml:space="preserve"> الخبير المستقل إلى أن يقدِّم في سياق تقريره السنوي النتائج التي يخلص إليها والمبادئ التوجيهية إلى مجلس حقوق الإنسان؛</w:t>
      </w:r>
    </w:p>
    <w:p w:rsidR="005B6F7C" w:rsidRDefault="005B6F7C" w:rsidP="005B6F7C">
      <w:pPr>
        <w:pStyle w:val="SingleTxtGA"/>
        <w:rPr>
          <w:rtl/>
        </w:rPr>
      </w:pPr>
      <w:r>
        <w:rPr>
          <w:rFonts w:hint="cs"/>
          <w:rtl/>
        </w:rPr>
        <w:tab/>
        <w:t>15-</w:t>
      </w:r>
      <w:r>
        <w:rPr>
          <w:rFonts w:hint="cs"/>
          <w:rtl/>
        </w:rPr>
        <w:tab/>
      </w:r>
      <w:r w:rsidRPr="00DB2B95">
        <w:rPr>
          <w:rFonts w:hint="cs"/>
          <w:i/>
          <w:iCs/>
          <w:rtl/>
        </w:rPr>
        <w:t>يطلب</w:t>
      </w:r>
      <w:r>
        <w:rPr>
          <w:rFonts w:hint="cs"/>
          <w:rtl/>
        </w:rPr>
        <w:t xml:space="preserve"> إلى المفوض السامي أن يزوّد الخبير المستقل بجميع الموارد البشرية والمالية الضرورية لتأدية مهام ولايته بشكل فعال؛</w:t>
      </w:r>
    </w:p>
    <w:p w:rsidR="005B6F7C" w:rsidRDefault="005B6F7C" w:rsidP="005B6F7C">
      <w:pPr>
        <w:pStyle w:val="SingleTxtGA"/>
        <w:rPr>
          <w:rtl/>
        </w:rPr>
      </w:pPr>
      <w:r>
        <w:rPr>
          <w:rFonts w:hint="cs"/>
          <w:rtl/>
        </w:rPr>
        <w:tab/>
        <w:t>16-</w:t>
      </w:r>
      <w:r>
        <w:rPr>
          <w:rFonts w:hint="cs"/>
          <w:rtl/>
        </w:rPr>
        <w:tab/>
      </w:r>
      <w:r w:rsidRPr="00DB2B95">
        <w:rPr>
          <w:rFonts w:hint="cs"/>
          <w:i/>
          <w:iCs/>
          <w:rtl/>
        </w:rPr>
        <w:t>يطلب</w:t>
      </w:r>
      <w:r>
        <w:rPr>
          <w:rFonts w:hint="cs"/>
          <w:rtl/>
        </w:rPr>
        <w:t xml:space="preserve"> إلى الخبير المستقل </w:t>
      </w:r>
      <w:r w:rsidRPr="00DB2B95">
        <w:rPr>
          <w:rtl/>
        </w:rPr>
        <w:t>أن يقدم بانتظام تقارير إلى مجلس حقوق الإنسان وإلى الجمعية العامة وفقاً لبر</w:t>
      </w:r>
      <w:r>
        <w:rPr>
          <w:rFonts w:hint="cs"/>
          <w:rtl/>
        </w:rPr>
        <w:t>ن</w:t>
      </w:r>
      <w:r w:rsidRPr="00DB2B95">
        <w:rPr>
          <w:rtl/>
        </w:rPr>
        <w:t xml:space="preserve">امج عمل كل منهما؛ </w:t>
      </w:r>
    </w:p>
    <w:p w:rsidR="005B6F7C" w:rsidRDefault="005B6F7C" w:rsidP="005B6F7C">
      <w:pPr>
        <w:pStyle w:val="SingleTxtGA"/>
      </w:pPr>
      <w:r>
        <w:rPr>
          <w:rFonts w:hint="cs"/>
          <w:rtl/>
        </w:rPr>
        <w:tab/>
        <w:t>17-</w:t>
      </w:r>
      <w:r>
        <w:rPr>
          <w:rFonts w:hint="cs"/>
          <w:rtl/>
        </w:rPr>
        <w:tab/>
      </w:r>
      <w:r w:rsidRPr="00DB2B95">
        <w:rPr>
          <w:i/>
          <w:iCs/>
          <w:rtl/>
        </w:rPr>
        <w:t>يقرر</w:t>
      </w:r>
      <w:r w:rsidRPr="00DB2B95">
        <w:rPr>
          <w:rtl/>
        </w:rPr>
        <w:t xml:space="preserve"> مواصلة النظر في هذه المسألة في دورته </w:t>
      </w:r>
      <w:r>
        <w:rPr>
          <w:rFonts w:hint="cs"/>
          <w:rtl/>
        </w:rPr>
        <w:t>السابعة والثلاثين</w:t>
      </w:r>
      <w:r w:rsidRPr="00DB2B95">
        <w:rPr>
          <w:rtl/>
        </w:rPr>
        <w:t xml:space="preserve"> في إطار البند نفسه من جدول الأعمال.</w:t>
      </w:r>
    </w:p>
    <w:p w:rsidR="005B6F7C" w:rsidRPr="00810BA7" w:rsidRDefault="005B6F7C" w:rsidP="005B6F7C">
      <w:pPr>
        <w:pStyle w:val="SingleTxtGA"/>
        <w:jc w:val="right"/>
        <w:rPr>
          <w:sz w:val="30"/>
          <w:rtl/>
        </w:rPr>
      </w:pPr>
      <w:r w:rsidRPr="00810BA7">
        <w:rPr>
          <w:rFonts w:hint="eastAsia"/>
          <w:i/>
          <w:iCs/>
          <w:rtl/>
        </w:rPr>
        <w:t>الجلسة</w:t>
      </w:r>
      <w:r w:rsidRPr="00810BA7">
        <w:rPr>
          <w:i/>
          <w:iCs/>
          <w:rtl/>
        </w:rPr>
        <w:t xml:space="preserve"> </w:t>
      </w:r>
      <w:r>
        <w:rPr>
          <w:rFonts w:hint="cs"/>
          <w:i/>
          <w:iCs/>
          <w:rtl/>
        </w:rPr>
        <w:t>56</w:t>
      </w:r>
      <w:r w:rsidRPr="00810BA7">
        <w:rPr>
          <w:rFonts w:hint="cs"/>
          <w:i/>
          <w:iCs/>
          <w:sz w:val="30"/>
          <w:rtl/>
        </w:rPr>
        <w:br/>
      </w:r>
      <w:r w:rsidRPr="00810BA7">
        <w:rPr>
          <w:i/>
          <w:iCs/>
          <w:sz w:val="30"/>
          <w:rtl/>
        </w:rPr>
        <w:t>2</w:t>
      </w:r>
      <w:r>
        <w:rPr>
          <w:rFonts w:hint="cs"/>
          <w:i/>
          <w:iCs/>
          <w:sz w:val="30"/>
          <w:rtl/>
        </w:rPr>
        <w:t>3</w:t>
      </w:r>
      <w:r w:rsidRPr="00810BA7">
        <w:rPr>
          <w:i/>
          <w:iCs/>
          <w:sz w:val="30"/>
          <w:rtl/>
        </w:rPr>
        <w:t xml:space="preserve"> </w:t>
      </w:r>
      <w:r w:rsidRPr="00810BA7">
        <w:rPr>
          <w:rFonts w:hint="eastAsia"/>
          <w:i/>
          <w:iCs/>
          <w:sz w:val="30"/>
          <w:rtl/>
        </w:rPr>
        <w:t>آذار</w:t>
      </w:r>
      <w:r w:rsidRPr="00810BA7">
        <w:rPr>
          <w:i/>
          <w:iCs/>
          <w:sz w:val="30"/>
          <w:rtl/>
        </w:rPr>
        <w:t>/مارس 2017</w:t>
      </w:r>
    </w:p>
    <w:p w:rsidR="005B6F7C" w:rsidRPr="00810BA7" w:rsidRDefault="005B6F7C" w:rsidP="005B6F7C">
      <w:pPr>
        <w:pStyle w:val="SingleTxtGA"/>
        <w:rPr>
          <w:rtl/>
        </w:rPr>
      </w:pPr>
      <w:r w:rsidRPr="00810BA7">
        <w:rPr>
          <w:rFonts w:hint="cs"/>
          <w:rtl/>
        </w:rPr>
        <w:t>[اعتمد بتصويت مسجل بأغلبية 3</w:t>
      </w:r>
      <w:r>
        <w:rPr>
          <w:rFonts w:hint="cs"/>
          <w:rtl/>
        </w:rPr>
        <w:t>1</w:t>
      </w:r>
      <w:r w:rsidRPr="00810BA7">
        <w:rPr>
          <w:rFonts w:hint="cs"/>
          <w:rtl/>
        </w:rPr>
        <w:t xml:space="preserve"> صوتاً مقابل </w:t>
      </w:r>
      <w:r>
        <w:rPr>
          <w:rFonts w:hint="cs"/>
          <w:rtl/>
        </w:rPr>
        <w:t>16</w:t>
      </w:r>
      <w:r w:rsidRPr="00810BA7">
        <w:rPr>
          <w:rFonts w:hint="cs"/>
          <w:rtl/>
        </w:rPr>
        <w:t>، و</w:t>
      </w:r>
      <w:r>
        <w:rPr>
          <w:rFonts w:hint="cs"/>
          <w:rtl/>
        </w:rPr>
        <w:t xml:space="preserve">لم يسجل </w:t>
      </w:r>
      <w:r w:rsidRPr="00810BA7">
        <w:rPr>
          <w:rFonts w:hint="cs"/>
          <w:rtl/>
        </w:rPr>
        <w:t xml:space="preserve">امتناع </w:t>
      </w:r>
      <w:r>
        <w:rPr>
          <w:rFonts w:hint="cs"/>
          <w:rtl/>
        </w:rPr>
        <w:t>أي عضو</w:t>
      </w:r>
      <w:r w:rsidRPr="00810BA7">
        <w:rPr>
          <w:rFonts w:hint="cs"/>
          <w:rtl/>
        </w:rPr>
        <w:t xml:space="preserve"> عن التصويت. وكانت نتيجة التصويت كما يلي:</w:t>
      </w:r>
    </w:p>
    <w:p w:rsidR="005B6F7C" w:rsidRPr="00810BA7" w:rsidRDefault="005B6F7C" w:rsidP="005B6F7C">
      <w:pPr>
        <w:pStyle w:val="SingleTxtGA"/>
        <w:ind w:left="1928"/>
        <w:rPr>
          <w:sz w:val="30"/>
          <w:rtl/>
        </w:rPr>
      </w:pPr>
      <w:r>
        <w:rPr>
          <w:i/>
          <w:iCs/>
          <w:sz w:val="30"/>
          <w:rtl/>
        </w:rPr>
        <w:br w:type="page"/>
      </w:r>
      <w:r w:rsidRPr="00810BA7">
        <w:rPr>
          <w:rFonts w:hint="eastAsia"/>
          <w:i/>
          <w:iCs/>
          <w:sz w:val="30"/>
          <w:rtl/>
        </w:rPr>
        <w:lastRenderedPageBreak/>
        <w:t>المؤيدون</w:t>
      </w:r>
      <w:r w:rsidRPr="00810BA7">
        <w:rPr>
          <w:rFonts w:hint="cs"/>
          <w:sz w:val="30"/>
          <w:rtl/>
        </w:rPr>
        <w:t>:</w:t>
      </w:r>
    </w:p>
    <w:p w:rsidR="005B6F7C" w:rsidRPr="00810BA7" w:rsidRDefault="005B6F7C" w:rsidP="009B70E9">
      <w:pPr>
        <w:pStyle w:val="SingleTxtGA"/>
        <w:ind w:left="2608"/>
        <w:rPr>
          <w:rtl/>
        </w:rPr>
      </w:pPr>
      <w:r w:rsidRPr="00BA2186">
        <w:rPr>
          <w:rtl/>
        </w:rPr>
        <w:t>إثيوبيا</w:t>
      </w:r>
      <w:r>
        <w:rPr>
          <w:rtl/>
        </w:rPr>
        <w:t>،</w:t>
      </w:r>
      <w:r w:rsidRPr="00BA2186">
        <w:rPr>
          <w:rtl/>
        </w:rPr>
        <w:t xml:space="preserve"> إكوادور</w:t>
      </w:r>
      <w:r>
        <w:rPr>
          <w:rtl/>
        </w:rPr>
        <w:t>،</w:t>
      </w:r>
      <w:r w:rsidRPr="00BA2186">
        <w:rPr>
          <w:rtl/>
        </w:rPr>
        <w:t xml:space="preserve"> الإمارات العربية المتحدة</w:t>
      </w:r>
      <w:r>
        <w:rPr>
          <w:rtl/>
        </w:rPr>
        <w:t>،</w:t>
      </w:r>
      <w:r w:rsidRPr="00BA2186">
        <w:rPr>
          <w:rtl/>
        </w:rPr>
        <w:t xml:space="preserve"> إندونيسيا</w:t>
      </w:r>
      <w:r>
        <w:rPr>
          <w:rtl/>
        </w:rPr>
        <w:t>،</w:t>
      </w:r>
      <w:r w:rsidRPr="00BA2186">
        <w:rPr>
          <w:rtl/>
        </w:rPr>
        <w:t xml:space="preserve"> باراغواي</w:t>
      </w:r>
      <w:r>
        <w:rPr>
          <w:rtl/>
        </w:rPr>
        <w:t>،</w:t>
      </w:r>
      <w:r w:rsidRPr="00BA2186">
        <w:rPr>
          <w:rtl/>
        </w:rPr>
        <w:t xml:space="preserve"> بنغلاديش</w:t>
      </w:r>
      <w:r>
        <w:rPr>
          <w:rtl/>
        </w:rPr>
        <w:t>،</w:t>
      </w:r>
      <w:r w:rsidRPr="00BA2186">
        <w:rPr>
          <w:rtl/>
        </w:rPr>
        <w:t xml:space="preserve"> بنما</w:t>
      </w:r>
      <w:r>
        <w:rPr>
          <w:rtl/>
        </w:rPr>
        <w:t>،</w:t>
      </w:r>
      <w:r w:rsidRPr="00BA2186">
        <w:rPr>
          <w:rtl/>
        </w:rPr>
        <w:t xml:space="preserve"> بوتسوانا</w:t>
      </w:r>
      <w:r>
        <w:rPr>
          <w:rtl/>
        </w:rPr>
        <w:t>،</w:t>
      </w:r>
      <w:r w:rsidRPr="00BA2186">
        <w:rPr>
          <w:rtl/>
        </w:rPr>
        <w:t xml:space="preserve"> بوروندي</w:t>
      </w:r>
      <w:r>
        <w:rPr>
          <w:rtl/>
        </w:rPr>
        <w:t>،</w:t>
      </w:r>
      <w:r w:rsidRPr="00BA2186">
        <w:rPr>
          <w:rtl/>
        </w:rPr>
        <w:t xml:space="preserve"> بوليفيا (دولة - المتعددة القوميات)</w:t>
      </w:r>
      <w:r>
        <w:rPr>
          <w:rtl/>
        </w:rPr>
        <w:t>،</w:t>
      </w:r>
      <w:r w:rsidRPr="00BA2186">
        <w:rPr>
          <w:rtl/>
        </w:rPr>
        <w:t xml:space="preserve"> توغو</w:t>
      </w:r>
      <w:r>
        <w:rPr>
          <w:rtl/>
        </w:rPr>
        <w:t>،</w:t>
      </w:r>
      <w:r w:rsidRPr="00BA2186">
        <w:rPr>
          <w:rtl/>
        </w:rPr>
        <w:t xml:space="preserve"> تونس</w:t>
      </w:r>
      <w:r>
        <w:rPr>
          <w:rtl/>
        </w:rPr>
        <w:t>،</w:t>
      </w:r>
      <w:r w:rsidRPr="00BA2186">
        <w:rPr>
          <w:rtl/>
        </w:rPr>
        <w:t xml:space="preserve"> جنوب أفريقيا</w:t>
      </w:r>
      <w:r>
        <w:rPr>
          <w:rtl/>
        </w:rPr>
        <w:t>،</w:t>
      </w:r>
      <w:r w:rsidRPr="00BA2186">
        <w:rPr>
          <w:rtl/>
        </w:rPr>
        <w:t xml:space="preserve"> رواندا</w:t>
      </w:r>
      <w:r>
        <w:rPr>
          <w:rtl/>
        </w:rPr>
        <w:t>،</w:t>
      </w:r>
      <w:r w:rsidRPr="00BA2186">
        <w:rPr>
          <w:rtl/>
        </w:rPr>
        <w:t xml:space="preserve"> السلفادور</w:t>
      </w:r>
      <w:r>
        <w:rPr>
          <w:rtl/>
        </w:rPr>
        <w:t>،</w:t>
      </w:r>
      <w:r w:rsidRPr="00BA2186">
        <w:rPr>
          <w:rtl/>
        </w:rPr>
        <w:t xml:space="preserve"> الصين</w:t>
      </w:r>
      <w:r>
        <w:rPr>
          <w:rtl/>
        </w:rPr>
        <w:t>،</w:t>
      </w:r>
      <w:r w:rsidRPr="00BA2186">
        <w:rPr>
          <w:rtl/>
        </w:rPr>
        <w:t xml:space="preserve"> العراق</w:t>
      </w:r>
      <w:r>
        <w:rPr>
          <w:rtl/>
        </w:rPr>
        <w:t>،</w:t>
      </w:r>
      <w:r w:rsidRPr="00BA2186">
        <w:rPr>
          <w:rtl/>
        </w:rPr>
        <w:t xml:space="preserve"> غانا</w:t>
      </w:r>
      <w:r>
        <w:rPr>
          <w:rtl/>
        </w:rPr>
        <w:t>،</w:t>
      </w:r>
      <w:r w:rsidRPr="00BA2186">
        <w:rPr>
          <w:rtl/>
        </w:rPr>
        <w:t xml:space="preserve"> الفلبين</w:t>
      </w:r>
      <w:r>
        <w:rPr>
          <w:rtl/>
        </w:rPr>
        <w:t>،</w:t>
      </w:r>
      <w:r w:rsidRPr="00BA2186">
        <w:rPr>
          <w:rtl/>
        </w:rPr>
        <w:t xml:space="preserve"> فنزويلا (جمهورية </w:t>
      </w:r>
      <w:r w:rsidR="009B70E9">
        <w:rPr>
          <w:rFonts w:hint="cs"/>
          <w:rtl/>
        </w:rPr>
        <w:t>-</w:t>
      </w:r>
      <w:r w:rsidRPr="00BA2186">
        <w:rPr>
          <w:rtl/>
        </w:rPr>
        <w:t xml:space="preserve"> </w:t>
      </w:r>
      <w:proofErr w:type="spellStart"/>
      <w:r w:rsidRPr="00BA2186">
        <w:rPr>
          <w:rtl/>
        </w:rPr>
        <w:t>البوليفارية</w:t>
      </w:r>
      <w:proofErr w:type="spellEnd"/>
      <w:r w:rsidRPr="00BA2186">
        <w:rPr>
          <w:rtl/>
        </w:rPr>
        <w:t>)</w:t>
      </w:r>
      <w:r>
        <w:rPr>
          <w:rtl/>
        </w:rPr>
        <w:t>،</w:t>
      </w:r>
      <w:r w:rsidRPr="00BA2186">
        <w:rPr>
          <w:rtl/>
        </w:rPr>
        <w:t xml:space="preserve"> قطر</w:t>
      </w:r>
      <w:r>
        <w:rPr>
          <w:rtl/>
        </w:rPr>
        <w:t>،</w:t>
      </w:r>
      <w:r w:rsidRPr="00BA2186">
        <w:rPr>
          <w:rtl/>
        </w:rPr>
        <w:t xml:space="preserve"> قيرغيزستان</w:t>
      </w:r>
      <w:r>
        <w:rPr>
          <w:rtl/>
        </w:rPr>
        <w:t>،</w:t>
      </w:r>
      <w:r w:rsidRPr="00BA2186">
        <w:rPr>
          <w:rtl/>
        </w:rPr>
        <w:t xml:space="preserve"> كوبا</w:t>
      </w:r>
      <w:r>
        <w:rPr>
          <w:rtl/>
        </w:rPr>
        <w:t>،</w:t>
      </w:r>
      <w:r w:rsidRPr="00BA2186">
        <w:rPr>
          <w:rtl/>
        </w:rPr>
        <w:t xml:space="preserve"> كوت ديفوار</w:t>
      </w:r>
      <w:r>
        <w:rPr>
          <w:rtl/>
        </w:rPr>
        <w:t>،</w:t>
      </w:r>
      <w:r w:rsidRPr="00BA2186">
        <w:rPr>
          <w:rtl/>
        </w:rPr>
        <w:t xml:space="preserve"> الكونغو</w:t>
      </w:r>
      <w:r>
        <w:rPr>
          <w:rtl/>
        </w:rPr>
        <w:t>،</w:t>
      </w:r>
      <w:r w:rsidRPr="00BA2186">
        <w:rPr>
          <w:rtl/>
        </w:rPr>
        <w:t xml:space="preserve"> كينيا</w:t>
      </w:r>
      <w:r>
        <w:rPr>
          <w:rtl/>
        </w:rPr>
        <w:t>،</w:t>
      </w:r>
      <w:r w:rsidRPr="00BA2186">
        <w:rPr>
          <w:rtl/>
        </w:rPr>
        <w:t xml:space="preserve"> مصر</w:t>
      </w:r>
      <w:r>
        <w:rPr>
          <w:rtl/>
        </w:rPr>
        <w:t>،</w:t>
      </w:r>
      <w:r w:rsidRPr="00BA2186">
        <w:rPr>
          <w:rtl/>
        </w:rPr>
        <w:t xml:space="preserve"> المملكة العربية السعودية</w:t>
      </w:r>
      <w:r>
        <w:rPr>
          <w:rtl/>
        </w:rPr>
        <w:t>،</w:t>
      </w:r>
      <w:r w:rsidRPr="00BA2186">
        <w:rPr>
          <w:rtl/>
        </w:rPr>
        <w:t xml:space="preserve"> منغوليا</w:t>
      </w:r>
      <w:r>
        <w:rPr>
          <w:rtl/>
        </w:rPr>
        <w:t>،</w:t>
      </w:r>
      <w:r w:rsidRPr="00BA2186">
        <w:rPr>
          <w:rtl/>
        </w:rPr>
        <w:t xml:space="preserve"> نيجيريا</w:t>
      </w:r>
      <w:r>
        <w:rPr>
          <w:rtl/>
        </w:rPr>
        <w:t>،</w:t>
      </w:r>
      <w:r w:rsidRPr="00BA2186">
        <w:rPr>
          <w:rtl/>
        </w:rPr>
        <w:t xml:space="preserve"> الهند</w:t>
      </w:r>
    </w:p>
    <w:p w:rsidR="005B6F7C" w:rsidRPr="00810BA7" w:rsidRDefault="005B6F7C" w:rsidP="005B6F7C">
      <w:pPr>
        <w:pStyle w:val="SingleTxtGA"/>
        <w:ind w:left="1928"/>
        <w:rPr>
          <w:sz w:val="30"/>
          <w:rtl/>
        </w:rPr>
      </w:pPr>
      <w:r w:rsidRPr="00810BA7">
        <w:rPr>
          <w:rFonts w:hint="eastAsia"/>
          <w:i/>
          <w:iCs/>
          <w:sz w:val="30"/>
          <w:rtl/>
        </w:rPr>
        <w:t>المعارضون</w:t>
      </w:r>
      <w:r w:rsidRPr="00810BA7">
        <w:rPr>
          <w:rFonts w:hint="cs"/>
          <w:sz w:val="30"/>
          <w:rtl/>
        </w:rPr>
        <w:t>:</w:t>
      </w:r>
    </w:p>
    <w:p w:rsidR="005B6F7C" w:rsidRDefault="005B6F7C" w:rsidP="005B6F7C">
      <w:pPr>
        <w:pStyle w:val="SingleTxtGA"/>
        <w:ind w:left="2608"/>
        <w:rPr>
          <w:sz w:val="30"/>
          <w:rtl/>
        </w:rPr>
      </w:pPr>
      <w:r w:rsidRPr="00BA2186">
        <w:rPr>
          <w:sz w:val="30"/>
          <w:rtl/>
        </w:rPr>
        <w:t>ألبانيا</w:t>
      </w:r>
      <w:r>
        <w:rPr>
          <w:sz w:val="30"/>
          <w:rtl/>
        </w:rPr>
        <w:t>،</w:t>
      </w:r>
      <w:r w:rsidRPr="00BA2186">
        <w:rPr>
          <w:sz w:val="30"/>
          <w:rtl/>
        </w:rPr>
        <w:t xml:space="preserve"> ألمانيا</w:t>
      </w:r>
      <w:r>
        <w:rPr>
          <w:sz w:val="30"/>
          <w:rtl/>
        </w:rPr>
        <w:t>،</w:t>
      </w:r>
      <w:r w:rsidRPr="00BA2186">
        <w:rPr>
          <w:sz w:val="30"/>
          <w:rtl/>
        </w:rPr>
        <w:t xml:space="preserve"> البرازيل</w:t>
      </w:r>
      <w:r>
        <w:rPr>
          <w:sz w:val="30"/>
          <w:rtl/>
        </w:rPr>
        <w:t>،</w:t>
      </w:r>
      <w:r w:rsidRPr="00BA2186">
        <w:rPr>
          <w:sz w:val="30"/>
          <w:rtl/>
        </w:rPr>
        <w:t xml:space="preserve"> البرتغال</w:t>
      </w:r>
      <w:r>
        <w:rPr>
          <w:sz w:val="30"/>
          <w:rtl/>
        </w:rPr>
        <w:t>،</w:t>
      </w:r>
      <w:r w:rsidRPr="00BA2186">
        <w:rPr>
          <w:sz w:val="30"/>
          <w:rtl/>
        </w:rPr>
        <w:t xml:space="preserve"> بلجيكا</w:t>
      </w:r>
      <w:r>
        <w:rPr>
          <w:sz w:val="30"/>
          <w:rtl/>
        </w:rPr>
        <w:t>،</w:t>
      </w:r>
      <w:r w:rsidRPr="00BA2186">
        <w:rPr>
          <w:sz w:val="30"/>
          <w:rtl/>
        </w:rPr>
        <w:t xml:space="preserve"> جمهورية كوريا</w:t>
      </w:r>
      <w:r>
        <w:rPr>
          <w:sz w:val="30"/>
          <w:rtl/>
        </w:rPr>
        <w:t>،</w:t>
      </w:r>
      <w:r w:rsidRPr="00BA2186">
        <w:rPr>
          <w:sz w:val="30"/>
          <w:rtl/>
        </w:rPr>
        <w:t xml:space="preserve"> جورجيا</w:t>
      </w:r>
      <w:r>
        <w:rPr>
          <w:sz w:val="30"/>
          <w:rtl/>
        </w:rPr>
        <w:t>،</w:t>
      </w:r>
      <w:r w:rsidRPr="00BA2186">
        <w:rPr>
          <w:sz w:val="30"/>
          <w:rtl/>
        </w:rPr>
        <w:t xml:space="preserve"> سلوفينيا</w:t>
      </w:r>
      <w:r>
        <w:rPr>
          <w:sz w:val="30"/>
          <w:rtl/>
        </w:rPr>
        <w:t>،</w:t>
      </w:r>
      <w:r w:rsidRPr="00BA2186">
        <w:rPr>
          <w:sz w:val="30"/>
          <w:rtl/>
        </w:rPr>
        <w:t xml:space="preserve"> سويسرا</w:t>
      </w:r>
      <w:r>
        <w:rPr>
          <w:sz w:val="30"/>
          <w:rtl/>
        </w:rPr>
        <w:t>،</w:t>
      </w:r>
      <w:r w:rsidRPr="00BA2186">
        <w:rPr>
          <w:sz w:val="30"/>
          <w:rtl/>
        </w:rPr>
        <w:t xml:space="preserve"> كرواتيا</w:t>
      </w:r>
      <w:r>
        <w:rPr>
          <w:sz w:val="30"/>
          <w:rtl/>
        </w:rPr>
        <w:t>،</w:t>
      </w:r>
      <w:r w:rsidRPr="00BA2186">
        <w:rPr>
          <w:sz w:val="30"/>
          <w:rtl/>
        </w:rPr>
        <w:t xml:space="preserve"> لاتفيا</w:t>
      </w:r>
      <w:r>
        <w:rPr>
          <w:sz w:val="30"/>
          <w:rtl/>
        </w:rPr>
        <w:t>،</w:t>
      </w:r>
      <w:r w:rsidRPr="00BA2186">
        <w:rPr>
          <w:sz w:val="30"/>
          <w:rtl/>
        </w:rPr>
        <w:t xml:space="preserve"> الم</w:t>
      </w:r>
      <w:r w:rsidR="009B70E9">
        <w:rPr>
          <w:sz w:val="30"/>
          <w:rtl/>
        </w:rPr>
        <w:t>ملكة المتحدة لبريطانيا العظمى و</w:t>
      </w:r>
      <w:r w:rsidR="009B70E9">
        <w:rPr>
          <w:rFonts w:hint="cs"/>
          <w:sz w:val="30"/>
          <w:rtl/>
        </w:rPr>
        <w:t>آ</w:t>
      </w:r>
      <w:r w:rsidRPr="00BA2186">
        <w:rPr>
          <w:sz w:val="30"/>
          <w:rtl/>
        </w:rPr>
        <w:t>يرلندا الشمالية</w:t>
      </w:r>
      <w:r>
        <w:rPr>
          <w:sz w:val="30"/>
          <w:rtl/>
        </w:rPr>
        <w:t>،</w:t>
      </w:r>
      <w:r w:rsidRPr="00BA2186">
        <w:rPr>
          <w:sz w:val="30"/>
          <w:rtl/>
        </w:rPr>
        <w:t xml:space="preserve"> هنغاريا</w:t>
      </w:r>
      <w:r>
        <w:rPr>
          <w:sz w:val="30"/>
          <w:rtl/>
        </w:rPr>
        <w:t>،</w:t>
      </w:r>
      <w:r w:rsidRPr="00BA2186">
        <w:rPr>
          <w:sz w:val="30"/>
          <w:rtl/>
        </w:rPr>
        <w:t xml:space="preserve"> هولندا</w:t>
      </w:r>
      <w:r>
        <w:rPr>
          <w:sz w:val="30"/>
          <w:rtl/>
        </w:rPr>
        <w:t>،</w:t>
      </w:r>
      <w:r w:rsidRPr="00BA2186">
        <w:rPr>
          <w:sz w:val="30"/>
          <w:rtl/>
        </w:rPr>
        <w:t xml:space="preserve"> الولايات المتحدة الأمريكية</w:t>
      </w:r>
      <w:r>
        <w:rPr>
          <w:sz w:val="30"/>
          <w:rtl/>
        </w:rPr>
        <w:t>،</w:t>
      </w:r>
      <w:r w:rsidRPr="00BA2186">
        <w:rPr>
          <w:sz w:val="30"/>
          <w:rtl/>
        </w:rPr>
        <w:t xml:space="preserve"> اليابان</w:t>
      </w:r>
      <w:r w:rsidRPr="00810BA7">
        <w:rPr>
          <w:rFonts w:hint="cs"/>
          <w:sz w:val="30"/>
          <w:rtl/>
        </w:rPr>
        <w:t>.]</w:t>
      </w:r>
    </w:p>
    <w:p w:rsidR="005B6F7C" w:rsidRPr="007041EE" w:rsidRDefault="007041EE" w:rsidP="007041EE">
      <w:pPr>
        <w:spacing w:before="120"/>
        <w:jc w:val="center"/>
        <w:rPr>
          <w:u w:val="single"/>
          <w:rtl/>
        </w:rPr>
      </w:pPr>
      <w:r>
        <w:rPr>
          <w:u w:val="single"/>
          <w:rtl/>
        </w:rPr>
        <w:tab/>
      </w:r>
      <w:r>
        <w:rPr>
          <w:u w:val="single"/>
          <w:rtl/>
        </w:rPr>
        <w:tab/>
      </w:r>
      <w:r>
        <w:rPr>
          <w:u w:val="single"/>
          <w:rtl/>
        </w:rPr>
        <w:tab/>
      </w:r>
    </w:p>
    <w:p w:rsidR="00B54045" w:rsidRPr="003E159A" w:rsidRDefault="00B54045" w:rsidP="001773DB">
      <w:pPr>
        <w:spacing w:line="380" w:lineRule="exact"/>
        <w:jc w:val="left"/>
        <w:rPr>
          <w:sz w:val="30"/>
          <w:rtl/>
          <w:lang w:bidi="ar"/>
        </w:rPr>
      </w:pPr>
    </w:p>
    <w:sectPr w:rsidR="00B54045" w:rsidRPr="003E159A" w:rsidSect="00FB0F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7AF" w:rsidRPr="002901D9" w:rsidRDefault="004C17AF" w:rsidP="002901D9">
      <w:pPr>
        <w:spacing w:after="60" w:line="240" w:lineRule="auto"/>
        <w:rPr>
          <w:i/>
          <w:iCs/>
        </w:rPr>
      </w:pPr>
      <w:r>
        <w:rPr>
          <w:rFonts w:hint="cs"/>
          <w:i/>
          <w:iCs/>
          <w:rtl/>
        </w:rPr>
        <w:t>الحواشي</w:t>
      </w:r>
    </w:p>
  </w:endnote>
  <w:endnote w:type="continuationSeparator" w:id="0">
    <w:p w:rsidR="004C17AF" w:rsidRDefault="004C17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07" w:rsidRPr="005B6F7C" w:rsidRDefault="005B6F7C" w:rsidP="005B6F7C">
    <w:pPr>
      <w:pStyle w:val="Footer"/>
      <w:tabs>
        <w:tab w:val="right" w:pos="9598"/>
      </w:tabs>
      <w:rPr>
        <w:sz w:val="17"/>
      </w:rPr>
    </w:pPr>
    <w:r>
      <w:rPr>
        <w:sz w:val="17"/>
      </w:rPr>
      <w:t>GE.17-05593</w:t>
    </w:r>
    <w:r>
      <w:rPr>
        <w:sz w:val="17"/>
      </w:rPr>
      <w:tab/>
    </w:r>
    <w:r w:rsidRPr="005B6F7C">
      <w:rPr>
        <w:b/>
        <w:sz w:val="18"/>
      </w:rPr>
      <w:fldChar w:fldCharType="begin"/>
    </w:r>
    <w:r w:rsidRPr="005B6F7C">
      <w:rPr>
        <w:b/>
        <w:sz w:val="18"/>
      </w:rPr>
      <w:instrText xml:space="preserve"> PAGE  \* MERGEFORMAT </w:instrText>
    </w:r>
    <w:r w:rsidRPr="005B6F7C">
      <w:rPr>
        <w:b/>
        <w:sz w:val="18"/>
      </w:rPr>
      <w:fldChar w:fldCharType="separate"/>
    </w:r>
    <w:r w:rsidR="00BA6EE1">
      <w:rPr>
        <w:b/>
        <w:noProof/>
        <w:sz w:val="18"/>
      </w:rPr>
      <w:t>4</w:t>
    </w:r>
    <w:r w:rsidRPr="005B6F7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B6F7C" w:rsidRDefault="005B6F7C" w:rsidP="006959B0">
    <w:pPr>
      <w:pStyle w:val="Footer"/>
      <w:tabs>
        <w:tab w:val="right" w:pos="9599"/>
      </w:tabs>
      <w:jc w:val="left"/>
      <w:rPr>
        <w:b/>
        <w:sz w:val="18"/>
        <w:lang w:val="en-US"/>
      </w:rPr>
    </w:pPr>
    <w:r w:rsidRPr="005B6F7C">
      <w:rPr>
        <w:b/>
        <w:sz w:val="18"/>
        <w:lang w:val="en-US"/>
      </w:rPr>
      <w:fldChar w:fldCharType="begin"/>
    </w:r>
    <w:r w:rsidRPr="005B6F7C">
      <w:rPr>
        <w:b/>
        <w:sz w:val="18"/>
        <w:lang w:val="en-US"/>
      </w:rPr>
      <w:instrText xml:space="preserve"> PAGE  \* MERGEFORMAT </w:instrText>
    </w:r>
    <w:r w:rsidRPr="005B6F7C">
      <w:rPr>
        <w:b/>
        <w:sz w:val="18"/>
        <w:lang w:val="en-US"/>
      </w:rPr>
      <w:fldChar w:fldCharType="separate"/>
    </w:r>
    <w:r w:rsidR="00BA6EE1">
      <w:rPr>
        <w:b/>
        <w:noProof/>
        <w:sz w:val="18"/>
        <w:lang w:val="en-US"/>
      </w:rPr>
      <w:t>5</w:t>
    </w:r>
    <w:r w:rsidRPr="005B6F7C">
      <w:rPr>
        <w:b/>
        <w:sz w:val="18"/>
        <w:lang w:val="en-US"/>
      </w:rPr>
      <w:fldChar w:fldCharType="end"/>
    </w:r>
    <w:r>
      <w:rPr>
        <w:b/>
        <w:sz w:val="18"/>
        <w:lang w:val="en-US"/>
      </w:rPr>
      <w:tab/>
    </w:r>
    <w:r>
      <w:rPr>
        <w:sz w:val="17"/>
        <w:lang w:val="en-US"/>
      </w:rPr>
      <w:t>GE.17-05593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B0F07" w:rsidP="00F6741C">
    <w:pPr>
      <w:pStyle w:val="Footer"/>
      <w:spacing w:before="360"/>
      <w:jc w:val="right"/>
      <w:rPr>
        <w:sz w:val="20"/>
        <w:szCs w:val="20"/>
      </w:rPr>
    </w:pPr>
    <w:r>
      <w:rPr>
        <w:sz w:val="20"/>
        <w:szCs w:val="20"/>
      </w:rPr>
      <w:t>GE.17-05593</w:t>
    </w:r>
    <w:r w:rsidR="00FD4BC9">
      <w:rPr>
        <w:noProof/>
        <w:lang w:val="en-US"/>
      </w:rPr>
      <w:drawing>
        <wp:anchor distT="0" distB="0" distL="114300" distR="114300" simplePos="0" relativeHeight="251659264" behindDoc="1" locked="1" layoutInCell="0" allowOverlap="1" wp14:anchorId="0BBE0AD1" wp14:editId="14B1B06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B0F07" w:rsidRPr="00FB0F07" w:rsidRDefault="00FB0F07" w:rsidP="00FB0F0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7AF" w:rsidRPr="0054762C" w:rsidRDefault="004C17AF" w:rsidP="000E524A">
      <w:pPr>
        <w:pStyle w:val="Footer"/>
        <w:bidi/>
        <w:spacing w:after="80" w:line="200" w:lineRule="exact"/>
        <w:ind w:left="680"/>
      </w:pPr>
      <w:r>
        <w:rPr>
          <w:rtl/>
        </w:rPr>
        <w:t>__________</w:t>
      </w:r>
    </w:p>
  </w:footnote>
  <w:footnote w:type="continuationSeparator" w:id="0">
    <w:p w:rsidR="004C17AF" w:rsidRDefault="004C17AF" w:rsidP="00656392">
      <w:pPr>
        <w:spacing w:line="240" w:lineRule="auto"/>
      </w:pPr>
      <w:r>
        <w:continuationSeparator/>
      </w:r>
    </w:p>
  </w:footnote>
  <w:footnote w:id="1">
    <w:p w:rsidR="005B6F7C" w:rsidRPr="00DC3541" w:rsidRDefault="005B6F7C" w:rsidP="005B6F7C">
      <w:pPr>
        <w:pStyle w:val="FootnoteText1"/>
      </w:pPr>
      <w:r w:rsidRPr="00DC3541">
        <w:rPr>
          <w:rtl/>
        </w:rPr>
        <w:t>(</w:t>
      </w:r>
      <w:r w:rsidRPr="00DC3541">
        <w:rPr>
          <w:rStyle w:val="FootnoteReference"/>
          <w:vertAlign w:val="baseline"/>
        </w:rPr>
        <w:footnoteRef/>
      </w:r>
      <w:r w:rsidRPr="00DC3541">
        <w:rPr>
          <w:sz w:val="26"/>
          <w:rtl/>
        </w:rPr>
        <w:t>)</w:t>
      </w:r>
      <w:r w:rsidRPr="00DC3541">
        <w:rPr>
          <w:sz w:val="26"/>
          <w:rtl/>
        </w:rPr>
        <w:tab/>
      </w:r>
      <w:r w:rsidRPr="00DC3541">
        <w:rPr>
          <w:rFonts w:hint="cs"/>
          <w:rtl/>
        </w:rPr>
        <w:t>انظر قرار الجمعية العامة 69/319.</w:t>
      </w:r>
    </w:p>
  </w:footnote>
  <w:footnote w:id="2">
    <w:p w:rsidR="005B6F7C" w:rsidRPr="00DC3541" w:rsidRDefault="005B6F7C" w:rsidP="005B6F7C">
      <w:pPr>
        <w:pStyle w:val="FootnoteText1"/>
      </w:pPr>
      <w:r w:rsidRPr="00DC3541">
        <w:rPr>
          <w:rtl/>
        </w:rPr>
        <w:t>(</w:t>
      </w:r>
      <w:r w:rsidRPr="00DC3541">
        <w:rPr>
          <w:rStyle w:val="FootnoteReference"/>
          <w:vertAlign w:val="baseline"/>
        </w:rPr>
        <w:footnoteRef/>
      </w:r>
      <w:r w:rsidRPr="00DC3541">
        <w:rPr>
          <w:sz w:val="26"/>
          <w:rtl/>
        </w:rPr>
        <w:t>)</w:t>
      </w:r>
      <w:r w:rsidRPr="00DC3541">
        <w:rPr>
          <w:sz w:val="26"/>
          <w:rtl/>
        </w:rPr>
        <w:tab/>
      </w:r>
      <w:r>
        <w:rPr>
          <w:rFonts w:hint="cs"/>
          <w:rtl/>
        </w:rPr>
        <w:t xml:space="preserve">الوثيقة </w:t>
      </w:r>
      <w:r w:rsidRPr="007E31CB">
        <w:t>A/HRC/33/54</w:t>
      </w:r>
      <w:r w:rsidRPr="00DC3541">
        <w:rPr>
          <w:rFonts w:hint="cs"/>
          <w:rtl/>
        </w:rPr>
        <w:t>.</w:t>
      </w:r>
    </w:p>
  </w:footnote>
  <w:footnote w:id="3">
    <w:p w:rsidR="005B6F7C" w:rsidRPr="00DC3541" w:rsidRDefault="005B6F7C" w:rsidP="005B6F7C">
      <w:pPr>
        <w:pStyle w:val="FootnoteText1"/>
      </w:pPr>
      <w:r w:rsidRPr="00DC3541">
        <w:rPr>
          <w:rtl/>
        </w:rPr>
        <w:t>(</w:t>
      </w:r>
      <w:r w:rsidRPr="00DC3541">
        <w:rPr>
          <w:rStyle w:val="FootnoteReference"/>
          <w:vertAlign w:val="baseline"/>
        </w:rPr>
        <w:footnoteRef/>
      </w:r>
      <w:r w:rsidRPr="00DC3541">
        <w:rPr>
          <w:sz w:val="26"/>
          <w:rtl/>
        </w:rPr>
        <w:t>)</w:t>
      </w:r>
      <w:r w:rsidRPr="00DC3541">
        <w:rPr>
          <w:sz w:val="26"/>
          <w:rtl/>
        </w:rPr>
        <w:tab/>
      </w:r>
      <w:r>
        <w:rPr>
          <w:rFonts w:hint="cs"/>
          <w:sz w:val="26"/>
          <w:rtl/>
        </w:rPr>
        <w:t xml:space="preserve">الوثيقتان </w:t>
      </w:r>
      <w:r>
        <w:t>A/HRC/34/57</w:t>
      </w:r>
      <w:r>
        <w:rPr>
          <w:rFonts w:hint="cs"/>
          <w:rtl/>
        </w:rPr>
        <w:t xml:space="preserve"> و</w:t>
      </w:r>
      <w:r>
        <w:t>Add.1</w:t>
      </w:r>
      <w:r w:rsidRPr="00DC3541">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07" w:rsidRPr="005B6F7C" w:rsidRDefault="005B6F7C" w:rsidP="005B6F7C">
    <w:pPr>
      <w:pStyle w:val="Header"/>
      <w:jc w:val="right"/>
    </w:pPr>
    <w:r w:rsidRPr="005B6F7C">
      <w:t>A/HRC/RES/34/3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07" w:rsidRPr="005B6F7C" w:rsidRDefault="005B6F7C" w:rsidP="005B6F7C">
    <w:pPr>
      <w:pStyle w:val="Header"/>
      <w:jc w:val="left"/>
    </w:pPr>
    <w:r w:rsidRPr="005B6F7C">
      <w:t>A/HRC/RES/34/3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C17A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1B5F"/>
    <w:rsid w:val="00453B63"/>
    <w:rsid w:val="00455780"/>
    <w:rsid w:val="004B0A1C"/>
    <w:rsid w:val="004C17AF"/>
    <w:rsid w:val="004D298E"/>
    <w:rsid w:val="004E32F4"/>
    <w:rsid w:val="00517BC9"/>
    <w:rsid w:val="005212F8"/>
    <w:rsid w:val="00527E4C"/>
    <w:rsid w:val="0054472E"/>
    <w:rsid w:val="0054762C"/>
    <w:rsid w:val="005662A9"/>
    <w:rsid w:val="005817D9"/>
    <w:rsid w:val="005827D4"/>
    <w:rsid w:val="0059622A"/>
    <w:rsid w:val="005B2417"/>
    <w:rsid w:val="005B6F7C"/>
    <w:rsid w:val="005C5878"/>
    <w:rsid w:val="005C7CEA"/>
    <w:rsid w:val="005D3C0B"/>
    <w:rsid w:val="005D5348"/>
    <w:rsid w:val="005E37EB"/>
    <w:rsid w:val="005E5217"/>
    <w:rsid w:val="005F0FA4"/>
    <w:rsid w:val="005F30EE"/>
    <w:rsid w:val="0060473A"/>
    <w:rsid w:val="00606EDF"/>
    <w:rsid w:val="00656392"/>
    <w:rsid w:val="0068781D"/>
    <w:rsid w:val="006959B0"/>
    <w:rsid w:val="006B3E27"/>
    <w:rsid w:val="006B6507"/>
    <w:rsid w:val="006C104C"/>
    <w:rsid w:val="007041EE"/>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B70E9"/>
    <w:rsid w:val="009E5018"/>
    <w:rsid w:val="00A12B37"/>
    <w:rsid w:val="00A50EC0"/>
    <w:rsid w:val="00A74331"/>
    <w:rsid w:val="00AB6758"/>
    <w:rsid w:val="00B13763"/>
    <w:rsid w:val="00B477A4"/>
    <w:rsid w:val="00B54045"/>
    <w:rsid w:val="00BA5E8B"/>
    <w:rsid w:val="00BA6EE1"/>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1325D"/>
    <w:rsid w:val="00E70E04"/>
    <w:rsid w:val="00EC05A7"/>
    <w:rsid w:val="00EC4B6B"/>
    <w:rsid w:val="00ED7442"/>
    <w:rsid w:val="00EE0B18"/>
    <w:rsid w:val="00EF1EE5"/>
    <w:rsid w:val="00F6741C"/>
    <w:rsid w:val="00F763B4"/>
    <w:rsid w:val="00F900C3"/>
    <w:rsid w:val="00FB0F07"/>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D743E-97CC-4273-BA69-DF022C1D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1676</Words>
  <Characters>9557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A/HRC/RES/34/3</vt:lpstr>
    </vt:vector>
  </TitlesOfParts>
  <Company>DCM</Company>
  <LinksUpToDate>false</LinksUpToDate>
  <CharactersWithSpaces>11211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A/HRC/RES/34/3</dc:title>
  <dc:subject>GE.1705593A</dc:subject>
  <dc:creator>MBUH42 AhG</dc:creator>
  <cp:keywords>ODS No.1708588</cp:keywords>
  <dc:description>Original: English _x000d_
Distribution: General_x000d_
Date: 6  April 2017</dc:description>
  <cp:lastModifiedBy>Tpsara</cp:lastModifiedBy>
  <cp:revision>2</cp:revision>
  <cp:lastPrinted>2017-04-20T11:50:00Z</cp:lastPrinted>
  <dcterms:created xsi:type="dcterms:W3CDTF">2017-04-21T16:35:00Z</dcterms:created>
  <dcterms:modified xsi:type="dcterms:W3CDTF">2017-04-21T16:35:00Z</dcterms:modified>
  <cp:category>Final</cp:category>
</cp:coreProperties>
</file>