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s>
      </w:pPr>
      <w:bookmarkStart w:id="1" w:name="_Toc504436017"/>
      <w:r>
        <w:t>Comité para la Eliminación de la Discriminación</w:t>
      </w:r>
      <w:bookmarkStart w:id="2" w:name="_Toc504403286"/>
      <w:bookmarkStart w:id="3" w:name="_Toc504432587"/>
      <w:bookmarkStart w:id="4" w:name="_Toc504436018"/>
      <w:bookmarkEnd w:id="1"/>
      <w:r>
        <w:br/>
        <w:t>contra la Mujer</w:t>
      </w:r>
      <w:bookmarkEnd w:id="2"/>
      <w:bookmarkEnd w:id="3"/>
      <w:bookmarkEnd w:id="4"/>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504403287"/>
      <w:bookmarkStart w:id="6" w:name="_Toc504432588"/>
      <w:bookmarkStart w:id="7" w:name="_Toc504436019"/>
      <w:r>
        <w:tab/>
      </w:r>
      <w:r>
        <w:tab/>
        <w:t>Examen de los informes presentados por los Estados Partes de conformidad con el artículo 18 de la Convención sobre la eliminación de todas las formas de discriminación contra la mujer</w:t>
      </w:r>
      <w:bookmarkEnd w:id="5"/>
      <w:bookmarkEnd w:id="6"/>
      <w:bookmarkEnd w:id="7"/>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504403288"/>
      <w:bookmarkStart w:id="9" w:name="_Toc504432589"/>
      <w:bookmarkStart w:id="10" w:name="_Toc504436020"/>
      <w:r>
        <w:tab/>
      </w:r>
      <w:r>
        <w:tab/>
        <w:t>Informes periódicos cuarto y quinto combinados de los Estados Partes</w:t>
      </w:r>
      <w:bookmarkEnd w:id="8"/>
      <w:bookmarkEnd w:id="9"/>
      <w:bookmarkEnd w:id="10"/>
    </w:p>
    <w:p w:rsidR="00000000" w:rsidRDefault="00000000">
      <w:pPr>
        <w:pStyle w:val="SingleTxt"/>
      </w:pPr>
    </w:p>
    <w:p w:rsidR="00000000" w:rsidRDefault="00000000">
      <w:pPr>
        <w:framePr w:w="9792" w:h="432" w:hSpace="180" w:wrap="around" w:hAnchor="page" w:x="1210" w:yAlign="bottom"/>
        <w:spacing w:line="240" w:lineRule="auto"/>
        <w:rPr>
          <w:sz w:val="10"/>
        </w:rPr>
      </w:pPr>
      <w:bookmarkStart w:id="11" w:name="_Toc504403289"/>
      <w:bookmarkStart w:id="12" w:name="_Toc504432590"/>
      <w:bookmarkStart w:id="13" w:name="_Toc504436021"/>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es traducción de un texto que no ha pasado por los servicios de edición y se publica tal como se ha recibido. El informe inicial presentado por el Gobierno de Hungría se publicó con la signatura CEDAW/C/5/Add.3 y fue examinado por el Comité en su tercer período de sesiones. El segundo informe periódico presentado por el Gobierno de Hungría se publicó con la signatura CEDAW/C/13/Add. y Corr.1 y fue examinado por el Comité en su séptimo período de sesiones El tercer informe periódico presentado por el Gobierno de Hungría se publicó con la signatura CEDAW/C/HUN/3 y Add.1 y fue examinado por el Comité en su 15°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Hungría</w:t>
      </w:r>
      <w:r>
        <w:rPr>
          <w:sz w:val="20"/>
        </w:rPr>
        <w:t>*</w:t>
      </w:r>
      <w:bookmarkEnd w:id="11"/>
      <w:bookmarkEnd w:id="12"/>
      <w:bookmarkEnd w:id="13"/>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br w:type="page"/>
      </w:r>
      <w:r>
        <w:tab/>
      </w:r>
      <w:r>
        <w:tab/>
        <w:t>Informes cuarto y quinto presentados por Hungría al Comité para la Eliminación de la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720"/>
                <w:tab w:val="left" w:pos="1296"/>
                <w:tab w:val="left" w:pos="1728"/>
                <w:tab w:val="left" w:pos="2160"/>
                <w:tab w:val="left" w:pos="2592"/>
                <w:tab w:val="left" w:pos="3024"/>
                <w:tab w:val="left" w:pos="3456"/>
                <w:tab w:val="left" w:pos="3888"/>
                <w:tab w:val="left" w:pos="4320"/>
                <w:tab w:val="right" w:leader="dot" w:pos="9115"/>
              </w:tabs>
              <w:spacing w:after="120"/>
            </w:pPr>
            <w:r>
              <w:tab/>
              <w:t>Primera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 Discriminación</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2. Medidas de política</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ind w:right="508"/>
              <w:rPr>
                <w:spacing w:val="60"/>
                <w:sz w:val="17"/>
              </w:rPr>
            </w:pPr>
            <w:r>
              <w:t>Artículo 3. Garantía de los derechos humanos y las libert</w:t>
            </w:r>
            <w:r>
              <w:t>a</w:t>
            </w:r>
            <w:r>
              <w:t>des fundamentales</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4. Medidas especiales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Artículo 5. Prejuicios y funciones estereotipadas de hombres y mujeres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6. Prostitución</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720"/>
                <w:tab w:val="left" w:pos="1296"/>
                <w:tab w:val="left" w:pos="1728"/>
                <w:tab w:val="left" w:pos="2160"/>
                <w:tab w:val="left" w:pos="2592"/>
                <w:tab w:val="left" w:pos="3024"/>
                <w:tab w:val="left" w:pos="3456"/>
                <w:tab w:val="left" w:pos="3888"/>
                <w:tab w:val="left" w:pos="4320"/>
                <w:tab w:val="right" w:leader="dot" w:pos="9115"/>
              </w:tabs>
              <w:spacing w:after="120"/>
            </w:pPr>
            <w:r>
              <w:tab/>
              <w:t>Segunda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7. Vida pública y política</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8. Representación</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9. Nacionalidad</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720"/>
                <w:tab w:val="left" w:pos="1296"/>
                <w:tab w:val="left" w:pos="1728"/>
                <w:tab w:val="left" w:pos="2160"/>
                <w:tab w:val="left" w:pos="2592"/>
                <w:tab w:val="left" w:pos="3024"/>
                <w:tab w:val="left" w:pos="3456"/>
                <w:tab w:val="left" w:pos="3888"/>
                <w:tab w:val="left" w:pos="4320"/>
                <w:tab w:val="right" w:leader="dot" w:pos="9115"/>
              </w:tabs>
              <w:spacing w:after="120"/>
            </w:pPr>
            <w:r>
              <w:tab/>
              <w:t>Tercera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10. Educación</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11. Empleo</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Artículo 12. Salud</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13. Prestaciones sociales y económicas</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14. La mujer de las zonas rurales</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720"/>
                <w:tab w:val="left" w:pos="1296"/>
                <w:tab w:val="left" w:pos="1728"/>
                <w:tab w:val="left" w:pos="2160"/>
                <w:tab w:val="left" w:pos="2592"/>
                <w:tab w:val="left" w:pos="3024"/>
                <w:tab w:val="left" w:pos="3456"/>
                <w:tab w:val="left" w:pos="3888"/>
                <w:tab w:val="left" w:pos="4320"/>
                <w:tab w:val="right" w:leader="dot" w:pos="9115"/>
              </w:tabs>
              <w:spacing w:after="120"/>
            </w:pPr>
            <w:r>
              <w:tab/>
              <w:t>Cuarta Parte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15. Legislación</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16. Matrimonio y vida de familia</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leader="dot" w:pos="9101"/>
              </w:tabs>
              <w:spacing w:after="120"/>
              <w:rPr>
                <w:spacing w:val="60"/>
                <w:sz w:val="17"/>
              </w:rPr>
            </w:pPr>
            <w:r>
              <w:tab/>
              <w:t>Anexo</w:t>
            </w:r>
            <w:r>
              <w:rPr>
                <w:spacing w:val="60"/>
                <w:sz w:val="17"/>
              </w:rPr>
              <w:tab/>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540"/>
                <w:tab w:val="right" w:pos="1080"/>
                <w:tab w:val="left" w:pos="1296"/>
                <w:tab w:val="right" w:leader="dot" w:pos="9101"/>
              </w:tabs>
              <w:spacing w:after="120"/>
              <w:rPr>
                <w:spacing w:val="60"/>
                <w:sz w:val="17"/>
              </w:rPr>
            </w:pPr>
            <w:r>
              <w:tab/>
            </w:r>
            <w:r>
              <w:tab/>
              <w:t>Lista de autores</w:t>
            </w:r>
            <w:r>
              <w:rPr>
                <w:spacing w:val="60"/>
                <w:sz w:val="17"/>
              </w:rPr>
              <w:tab/>
            </w:r>
          </w:p>
        </w:tc>
        <w:tc>
          <w:tcPr>
            <w:tcW w:w="792" w:type="dxa"/>
            <w:vAlign w:val="bottom"/>
          </w:tcPr>
          <w:p w:rsidR="00000000" w:rsidRDefault="00000000">
            <w:pPr>
              <w:spacing w:after="120"/>
              <w:ind w:right="40"/>
              <w:jc w:val="right"/>
            </w:pPr>
            <w:r>
              <w:t>124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800"/>
          <w:tab w:val="left" w:leader="dot" w:pos="8640"/>
          <w:tab w:val="right" w:pos="9360"/>
        </w:tabs>
        <w:ind w:right="50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Prólogo</w:t>
      </w: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Antecedentes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Hungría se convirtió en parte en la Convención sobre la eliminación de todas las formas de discriminación contra la mujer en 1982. La Convención, con sus 165 Estados partes, es el documento más amplio y completo sobre los derechos de la mujer. Está previsto que los Estados firmantes presenten cada cuatro años al Comité para la Eliminación de la Discriminación contra la Mujer un informe sobre la aplic</w:t>
      </w:r>
      <w:r>
        <w:t>a</w:t>
      </w:r>
      <w:r>
        <w:t>ción nacional de las disposiciones de la Conve</w:t>
      </w:r>
      <w:r>
        <w:t>n</w:t>
      </w:r>
      <w:r>
        <w:t>ción.</w:t>
      </w:r>
    </w:p>
    <w:p w:rsidR="00000000" w:rsidRDefault="00000000">
      <w:pPr>
        <w:pStyle w:val="SingleTxt"/>
      </w:pPr>
      <w:r>
        <w:tab/>
        <w:t>Hasta la fecha Hungría ha presentado tres informes: en 1982, 1986 y 1991.</w:t>
      </w:r>
    </w:p>
    <w:p w:rsidR="00000000" w:rsidRDefault="00000000">
      <w:pPr>
        <w:pStyle w:val="SingleTxt"/>
      </w:pPr>
      <w:r>
        <w:tab/>
        <w:t>Las deliberaciones sobre el tercer informe no tuvieron lugar hasta enero de 1996. En ese momento, el Comité envió una lista de preguntas al Gobierno de Hu</w:t>
      </w:r>
      <w:r>
        <w:t>n</w:t>
      </w:r>
      <w:r>
        <w:t>gría, y posteriormente una adición, y solicitó un supl</w:t>
      </w:r>
      <w:r>
        <w:t>e</w:t>
      </w:r>
      <w:r>
        <w:t>mento.</w:t>
      </w:r>
    </w:p>
    <w:p w:rsidR="00000000" w:rsidRDefault="00000000">
      <w:pPr>
        <w:pStyle w:val="SingleTxt"/>
      </w:pPr>
      <w:r>
        <w:tab/>
        <w:t>El presente informe combinado se basa en el material preparado por los m</w:t>
      </w:r>
      <w:r>
        <w:t>i</w:t>
      </w:r>
      <w:r>
        <w:t>nisterios competentes. El Ministerio de Asuntos Sociales y de la Familia pidió a esos ministerios que preparasen materiales en relación con cada uno de los artículos de la Convención. Además de los informes de los ministerios, la Oficina de Asuntos de la Mujer del Ministerio de Asuntos Sociales y de la Familia contó con 20 opiniones expertas.</w:t>
      </w:r>
    </w:p>
    <w:p w:rsidR="00000000" w:rsidRDefault="00000000">
      <w:pPr>
        <w:pStyle w:val="SingleTxt"/>
      </w:pPr>
      <w:r>
        <w:tab/>
        <w:t>Cuando se finalizó el tercer informe periódico aún no se había establecido el mecanismo nacional responsable de la igualdad de oportunidades. La Oficina de Asuntos de la Mujer, que funciona desde 1998 en el Ministerio de Asuntos Sociales y de la Familia, se ocupó de coordinar la preparación de los informes cuarto y quinto combinados.</w:t>
      </w:r>
    </w:p>
    <w:p w:rsidR="00000000" w:rsidRDefault="00000000">
      <w:pPr>
        <w:pStyle w:val="SingleTxt"/>
        <w:rPr>
          <w:w w:val="101"/>
        </w:rPr>
      </w:pPr>
      <w:r>
        <w:rPr>
          <w:w w:val="101"/>
        </w:rPr>
        <w:tab/>
        <w:t>El informe se remitió, para que formulasen las observaciones oportunas, al Co</w:t>
      </w:r>
      <w:r>
        <w:rPr>
          <w:w w:val="101"/>
        </w:rPr>
        <w:t>n</w:t>
      </w:r>
      <w:r>
        <w:rPr>
          <w:w w:val="101"/>
        </w:rPr>
        <w:t>sejo de Asuntos de la Mujer, establecido en 1999, a la Subcomisión de la Mujer del Comité Parlamentario de Derechos Humanos, Minorías y Religión, establecido en 1998, al Comité de Ocupación y Empleo y a las organizaciones del Foro Civil de la Oficina de Asuntos de la Mujer, así como a otras organizaciones no gubername</w:t>
      </w:r>
      <w:r>
        <w:rPr>
          <w:w w:val="101"/>
        </w:rPr>
        <w:t>n</w:t>
      </w:r>
      <w:r>
        <w:rPr>
          <w:w w:val="101"/>
        </w:rPr>
        <w:t>tales.</w:t>
      </w:r>
    </w:p>
    <w:p w:rsidR="00000000" w:rsidRDefault="00000000">
      <w:pPr>
        <w:pStyle w:val="SingleTxt"/>
      </w:pPr>
      <w:r>
        <w:tab/>
        <w:t>El presente informe se publicará también en forma de libro al que se dará una amplia difusión.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Redacción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celebró una reunión con expertos invitados para presentar la versión en i</w:t>
      </w:r>
      <w:r>
        <w:t>n</w:t>
      </w:r>
      <w:r>
        <w:t>glés del informe de 1991, las respuestas que se habían dado a las preguntas formul</w:t>
      </w:r>
      <w:r>
        <w:t>a</w:t>
      </w:r>
      <w:r>
        <w:t>das por el Comité para la Eliminación de la Discriminación contra la Mujer y las o</w:t>
      </w:r>
      <w:r>
        <w:t>b</w:t>
      </w:r>
      <w:r>
        <w:t>servaciones del Ministerio de Relaciones Exteriores. Se invitó a la mayor variedad posible de expertos para que se familiarizaran con el informe y pudiesen preparar un documento global y exhaustivo sobre la base de la i</w:t>
      </w:r>
      <w:r>
        <w:t>n</w:t>
      </w:r>
      <w:r>
        <w:t>formación disponible.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Estructura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preparación del informe, el comité de redacción estimó procedente fo</w:t>
      </w:r>
      <w:r>
        <w:t>r</w:t>
      </w:r>
      <w:r>
        <w:t>mular dos preguntas en relación con cada uno de los artículos en interés de una m</w:t>
      </w:r>
      <w:r>
        <w:t>e</w:t>
      </w:r>
      <w:r>
        <w:t>jor present</w:t>
      </w:r>
      <w:r>
        <w:t>a</w:t>
      </w:r>
      <w:r>
        <w:t>ción y la lucidez:</w:t>
      </w:r>
    </w:p>
    <w:p w:rsidR="00000000" w:rsidRDefault="00000000">
      <w:pPr>
        <w:pStyle w:val="SingleTxt"/>
        <w:ind w:left="2218" w:hanging="951"/>
      </w:pPr>
      <w:r>
        <w:tab/>
        <w:t>1.</w:t>
      </w:r>
      <w:r>
        <w:tab/>
        <w:t>Antecedentes jurídicos, modificaciones de la legislación y exposición de la situ</w:t>
      </w:r>
      <w:r>
        <w:t>a</w:t>
      </w:r>
      <w:r>
        <w:t>ción actual;</w:t>
      </w:r>
    </w:p>
    <w:p w:rsidR="00000000" w:rsidRDefault="00000000">
      <w:pPr>
        <w:pStyle w:val="SingleTxt"/>
        <w:ind w:left="2218" w:hanging="951"/>
      </w:pPr>
      <w:r>
        <w:tab/>
        <w:t>2.</w:t>
      </w:r>
      <w:r>
        <w:tab/>
        <w:t>Medidas políticas y obstáculos en relación con la puesta en práctica de la legislación y las iniciat</w:t>
      </w:r>
      <w:r>
        <w:t>i</w:t>
      </w:r>
      <w:r>
        <w:t>vas del Gobierno.</w:t>
      </w:r>
    </w:p>
    <w:p w:rsidR="00000000" w:rsidRDefault="00000000">
      <w:pPr>
        <w:pStyle w:val="SingleTxt"/>
      </w:pPr>
      <w:r>
        <w:tab/>
        <w:t>Durante la redacción del informe se utilizó el sexto Informe Regional de Vig</w:t>
      </w:r>
      <w:r>
        <w:t>i</w:t>
      </w:r>
      <w:r>
        <w:t>lancia, titulado “La transición de la mujer”, del Proyecto MONEE (Monitoreo de Europa Oriental), publicado por el UNICEF en 1999. Ese estudio es de la mayor i</w:t>
      </w:r>
      <w:r>
        <w:t>m</w:t>
      </w:r>
      <w:r>
        <w:t>portancia para la opinión pública de Hungría, ya que en él se pasa revista a los acontecimientos acaecidos en nuestra región de los que se ocupa también el presente informe. Así pues, el informe se facilitó a nuestros expertos y se ha iniciado su p</w:t>
      </w:r>
      <w:r>
        <w:t>u</w:t>
      </w:r>
      <w:r>
        <w:t>blicación en húngaro con la ayuda del UNICEF.</w:t>
      </w:r>
    </w:p>
    <w:p w:rsidR="00000000" w:rsidRDefault="00000000">
      <w:pPr>
        <w:pStyle w:val="SingleTxt"/>
      </w:pPr>
      <w:r>
        <w:tab/>
        <w:t>El anexo es una recopilación de normas jurídicas y datos relacionados con los artículos del informe. Buena parte de los datos proceden de la recopilación de datos estadísticos titulada “El cambiante papel de la mujer – Informe sobre la situación del hombre y la mujer, 1999”, publicada por la Oficina de Asuntos de la Mujer y el Centro Inform</w:t>
      </w:r>
      <w:r>
        <w:t>á</w:t>
      </w:r>
      <w:r>
        <w:t>tico de Investigación Social.</w:t>
      </w:r>
    </w:p>
    <w:p w:rsidR="00000000" w:rsidRDefault="00000000">
      <w:pPr>
        <w:pStyle w:val="SingleTxt"/>
      </w:pPr>
      <w:r>
        <w:tab/>
        <w:t>El informe concluye con una lista de ministerios y expertos que participaron en su redacción. Deseo desde aquí expresar mi gratitud a los que aportaron su trabajo para ll</w:t>
      </w:r>
      <w:r>
        <w:t>e</w:t>
      </w:r>
      <w:r>
        <w:t>var a buen término la conclusión del informe.</w:t>
      </w:r>
    </w:p>
    <w:p w:rsidR="00000000" w:rsidRDefault="00000000">
      <w:pPr>
        <w:pStyle w:val="SingleTxt"/>
      </w:pPr>
      <w:r>
        <w:tab/>
        <w:t>Con la preparación del informe aprendimos que su finalización significó no sólo el cumplimiento de un deber internacional, sino también la elaboración de un marco para el estudio de la vida política y la legislación, así como el control de su aplicación, y que contemplando el camino recorrido puede apreciarse mejor el reli</w:t>
      </w:r>
      <w:r>
        <w:t>e</w:t>
      </w:r>
      <w:r>
        <w:t>ve de las tareas que nos aguardan.</w:t>
      </w:r>
    </w:p>
    <w:p w:rsidR="00000000" w:rsidRDefault="00000000">
      <w:pPr>
        <w:pStyle w:val="SingleTxt"/>
        <w:spacing w:after="0" w:line="120" w:lineRule="exact"/>
        <w:rPr>
          <w:sz w:val="10"/>
        </w:rPr>
      </w:pPr>
    </w:p>
    <w:p w:rsidR="00000000" w:rsidRDefault="00000000">
      <w:pPr>
        <w:pStyle w:val="SingleTxt"/>
        <w:jc w:val="right"/>
      </w:pPr>
      <w:r>
        <w:rPr>
          <w:i/>
        </w:rPr>
        <w:t xml:space="preserve">(Firmado) </w:t>
      </w:r>
      <w:r>
        <w:t xml:space="preserve">Peter </w:t>
      </w:r>
      <w:r>
        <w:rPr>
          <w:b/>
        </w:rPr>
        <w:t>Harrach</w:t>
      </w:r>
      <w:r>
        <w:rPr>
          <w:b/>
        </w:rPr>
        <w:br/>
      </w:r>
      <w:r>
        <w:t>Ministro de Asuntos Sociales y de la Familia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Primera Parte</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Artículo 1. Discriminación</w:t>
      </w:r>
    </w:p>
    <w:p w:rsidR="00000000" w:rsidRDefault="00000000">
      <w:pPr>
        <w:spacing w:line="120" w:lineRule="exact"/>
        <w:rPr>
          <w:sz w:val="10"/>
        </w:rPr>
      </w:pPr>
    </w:p>
    <w:p w:rsidR="00000000" w:rsidRDefault="00000000">
      <w:pPr>
        <w:pStyle w:val="SingleTxt"/>
      </w:pPr>
      <w:r>
        <w:tab/>
        <w:t xml:space="preserve">“A los efectos de la presente Convención, la expresión </w:t>
      </w:r>
      <w:r>
        <w:rPr>
          <w:lang w:val="en-US"/>
        </w:rPr>
        <w:t>‘</w:t>
      </w:r>
      <w:r>
        <w:t>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t>a</w:t>
      </w:r>
      <w:r>
        <w:t>mentales en las esferas política, económica, social, cultural y civil o en cualquier otra esfera.”</w:t>
      </w:r>
    </w:p>
    <w:p w:rsidR="00000000" w:rsidRDefault="00000000">
      <w:pPr>
        <w:pStyle w:val="SingleTxt"/>
      </w:pPr>
      <w:r>
        <w:tab/>
        <w:t>En el artículo 70/A de la Constitución de la República de Hungría se prohibe de forma general toda clase de discriminación. “La República de Hungría respetará los derechos humanos y civiles de todos los habitantes del país sin discriminación por motivos de raza, color, sexo, idioma, religión, opinión política o de otro tipo, origen nacional o social, situación financiera, nacimiento o por cualquier otro mot</w:t>
      </w:r>
      <w:r>
        <w:t>i</w:t>
      </w:r>
      <w:r>
        <w:t>vo”. El Tribunal Constitucional interpretó esa sección de la Constitución en varias decisiones: No. 35/1994 (VI.24.) AB, No. 21/1990. (X.4.) AB. La prohibición de la discriminación no significa que se prohiba cualquier distinción si puede conducir a una igualdad social más completa. Si un objetivo social o un derecho constitucional que no sean contrarios a la Constitución sólo pudieran alcanzarse de una forma que pudiera obstaculizar la mencionada igualdad entendida en un sentido estrecho, esa clase de discriminación positiva no podría considerarse inconstitucional. Como l</w:t>
      </w:r>
      <w:r>
        <w:t>í</w:t>
      </w:r>
      <w:r>
        <w:t>mite de la discriminación positiva podría considerarse la prohibición de la discrim</w:t>
      </w:r>
      <w:r>
        <w:t>i</w:t>
      </w:r>
      <w:r>
        <w:t>nación relativa a la igualdad de la dignidad, es decir, la prohibición de la discrim</w:t>
      </w:r>
      <w:r>
        <w:t>i</w:t>
      </w:r>
      <w:r>
        <w:t>nación en un sentido más amplio y en relación con los derechos fundamentales fo</w:t>
      </w:r>
      <w:r>
        <w:t>r</w:t>
      </w:r>
      <w:r>
        <w:t>mulados positivamente en la Constitución. No toda distinción es discriminatoria, tan sólo lo son las que arbitrariamente privan a un grupo determinado de entidades jur</w:t>
      </w:r>
      <w:r>
        <w:t>í</w:t>
      </w:r>
      <w:r>
        <w:t>dicas o de personas particulares de la posibilidad de ejercer determinados derechos sin un motivo racional aceptable desde el punto de vista constitucional, o las que, por los medios citados, los sitúan en situación de desventaja en comparación con otros. En sus decisiones, el Tribunal Constitucional interpretó la noción de discrim</w:t>
      </w:r>
      <w:r>
        <w:t>i</w:t>
      </w:r>
      <w:r>
        <w:t>nación principalmente en el terreno de la redacción de leyes y normas públicas. En su decisión No. 9/1990 (IV/25.) AB, adoptó una interpretación del concepto de “di</w:t>
      </w:r>
      <w:r>
        <w:t>s</w:t>
      </w:r>
      <w:r>
        <w:t>criminación” según la cual “la prohibición de la discriminación entraña el igual tr</w:t>
      </w:r>
      <w:r>
        <w:t>a</w:t>
      </w:r>
      <w:r>
        <w:t>tamiento de las personas ante la ley (igualdad de la dignidad de las personas), es d</w:t>
      </w:r>
      <w:r>
        <w:t>e</w:t>
      </w:r>
      <w:r>
        <w:t>cir, no pueden socavarse los cimientos de la dignidad humana. Los aspectos de los derechos y las prerrogativas han de establecerse con igual respeto y previsión, co</w:t>
      </w:r>
      <w:r>
        <w:t>n</w:t>
      </w:r>
      <w:r>
        <w:t>siderando los aspectos individuales en la misma medida”. La mencionada prohib</w:t>
      </w:r>
      <w:r>
        <w:t>i</w:t>
      </w:r>
      <w:r>
        <w:t>ción de la discriminación se especifica en determinados ámbitos concretos: en el p</w:t>
      </w:r>
      <w:r>
        <w:t>á</w:t>
      </w:r>
      <w:r>
        <w:t xml:space="preserve">rrafo 2 del artículo 70/B en el terreno de los salarios, en el párrafo 1 del artículo 66 en el terreno de la igualdad de derechos de hombres y mujeres. La aplicación de esas disposiciones especiales debe hacerse en consonancia con la disposición general. </w:t>
      </w:r>
      <w:r>
        <w:rPr>
          <w:w w:val="101"/>
        </w:rPr>
        <w:t>El Tribunal Constitucional desarrolló su práctica en el terreno de la prohibición de la discriminación y en el terreno de la discriminación positiva en relación con el artículo 70/A.</w:t>
      </w:r>
    </w:p>
    <w:p w:rsidR="00000000" w:rsidRDefault="00000000">
      <w:pPr>
        <w:pStyle w:val="SingleTxt"/>
      </w:pPr>
      <w:r>
        <w:tab/>
        <w:t>No obstante, la existencia de la discriminación no está sujeta a la condición de que ésta sea deliberada. El que la mujer quede en una situación injusta como cons</w:t>
      </w:r>
      <w:r>
        <w:t>e</w:t>
      </w:r>
      <w:r>
        <w:t>cuencia de una determinada medida es suficiente para que exista discriminación. Es importante subrayar ese aspecto, puesto que en la Convención se prohibe no sólo la discriminación explícita, directa, sino también la denominada discriminación oculta o indirecta. Puede decirse que existe discriminación indirecta si una disposición, medida o práctica aparentemente neutra resulta injusta para una parte desproporci</w:t>
      </w:r>
      <w:r>
        <w:t>o</w:t>
      </w:r>
      <w:r>
        <w:t>nadamente mayor de uno de los sexos. En el cumplimiento de nuestro deber de aproximación de las leyes es previsible que en el futuro próximo se incluya en el Código de Trabajo la prohibición de la discriminación indirecta, lo que fomentaría la eficacia del disfrute en la práctica de la igualdad de trato. Las tareas relacionadas con la próxima modificación del Código de Trabajo, encaminada a la aproximación de las leyes, se abordarán en detalle al hablar del artículo 11 sobre el e</w:t>
      </w:r>
      <w:r>
        <w:t>m</w:t>
      </w:r>
      <w:r>
        <w:t>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Medidas de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 </w:t>
      </w:r>
      <w:r>
        <w:tab/>
        <w:t>Situación actual</w:t>
      </w:r>
    </w:p>
    <w:p w:rsidR="00000000" w:rsidRDefault="00000000">
      <w:pPr>
        <w:pStyle w:val="SingleTxt"/>
        <w:spacing w:after="0" w:line="120" w:lineRule="exact"/>
        <w:rPr>
          <w:sz w:val="10"/>
        </w:rPr>
      </w:pPr>
    </w:p>
    <w:p w:rsidR="00000000" w:rsidRDefault="00000000">
      <w:pPr>
        <w:pStyle w:val="SingleTxt"/>
      </w:pPr>
      <w:r>
        <w:tab/>
        <w:t>En el ordenamiento jurídico de Hungría, la prohibición general de discriminar entre hombres y mujeres figura en el párrafo 1 del artículo 66 de la Constitución:</w:t>
      </w:r>
    </w:p>
    <w:p w:rsidR="00000000" w:rsidRDefault="00000000">
      <w:pPr>
        <w:pStyle w:val="SingleTxt"/>
      </w:pPr>
      <w:r>
        <w:tab/>
        <w:t>“La República de Hungría garantizará la igualdad de hombres y mujeres en el goce de todos los derechos civiles, políticos, económicos, sociales y culturales.”</w:t>
      </w:r>
    </w:p>
    <w:p w:rsidR="00000000" w:rsidRDefault="00000000">
      <w:pPr>
        <w:pStyle w:val="SingleTxt"/>
      </w:pPr>
      <w:r>
        <w:tab/>
        <w:t>Otras disposiciones relacionadas con la mujer se consagran bajo el epígrafe “Derechos y deberes fundament</w:t>
      </w:r>
      <w:r>
        <w:t>a</w:t>
      </w:r>
      <w:r>
        <w:t>les” en el capítulo XII de la Constitución.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70/A</w:t>
      </w:r>
    </w:p>
    <w:p w:rsidR="00000000" w:rsidRDefault="00000000">
      <w:pPr>
        <w:pStyle w:val="SingleTxt"/>
        <w:spacing w:after="0" w:line="120" w:lineRule="exact"/>
        <w:rPr>
          <w:sz w:val="10"/>
        </w:rPr>
      </w:pPr>
    </w:p>
    <w:p w:rsidR="00000000" w:rsidRDefault="00000000">
      <w:pPr>
        <w:pStyle w:val="SingleTxt"/>
      </w:pPr>
      <w:r>
        <w:tab/>
        <w:t>1)</w:t>
      </w:r>
      <w:r>
        <w:tab/>
        <w:t>La República de Hungría respetará los derechos humanos y civiles de t</w:t>
      </w:r>
      <w:r>
        <w:t>o</w:t>
      </w:r>
      <w:r>
        <w:t>dos los habitantes del país sin discriminación por motivos de raza, color, sexo, idi</w:t>
      </w:r>
      <w:r>
        <w:t>o</w:t>
      </w:r>
      <w:r>
        <w:t>ma, religión, opinión política o de otro tipo, origen nacional o social, situación f</w:t>
      </w:r>
      <w:r>
        <w:t>i</w:t>
      </w:r>
      <w:r>
        <w:t>nanciera, nacimiento o por cualquier otro mot</w:t>
      </w:r>
      <w:r>
        <w:t>i</w:t>
      </w:r>
      <w:r>
        <w:t>vo.</w:t>
      </w:r>
    </w:p>
    <w:p w:rsidR="00000000" w:rsidRDefault="00000000">
      <w:pPr>
        <w:pStyle w:val="SingleTxt"/>
      </w:pPr>
      <w:r>
        <w:tab/>
        <w:t>2)</w:t>
      </w:r>
      <w:r>
        <w:tab/>
        <w:t>La ley establecerá el estricto castigo de la discriminación sobre la base de lo di</w:t>
      </w:r>
      <w:r>
        <w:t>s</w:t>
      </w:r>
      <w:r>
        <w:t>puesto en el párrafo 1).</w:t>
      </w:r>
    </w:p>
    <w:p w:rsidR="00000000" w:rsidRDefault="00000000">
      <w:pPr>
        <w:pStyle w:val="SingleTxt"/>
      </w:pPr>
      <w:r>
        <w:tab/>
        <w:t>3)</w:t>
      </w:r>
      <w:r>
        <w:tab/>
        <w:t>La República de Hungría se esforzará por hacer realidad la igualdad de derechos para todos mediante medidas que contribuyan a crear oportunidades justas para todos.</w:t>
      </w:r>
    </w:p>
    <w:p w:rsidR="00000000" w:rsidRDefault="00000000">
      <w:pPr>
        <w:pStyle w:val="SingleTxt"/>
      </w:pPr>
      <w:r>
        <w:tab/>
        <w:t>La Constitución prohibe la discriminación por motivos de sexo de dos man</w:t>
      </w:r>
      <w:r>
        <w:t>e</w:t>
      </w:r>
      <w:r>
        <w:t>ras. Por una parte, en el párrafo 1 del artículo 70/A se prohibe expresamente la di</w:t>
      </w:r>
      <w:r>
        <w:t>s</w:t>
      </w:r>
      <w:r>
        <w:t>criminación y la discriminación entre hombres y mujeres.</w:t>
      </w:r>
    </w:p>
    <w:p w:rsidR="00000000" w:rsidRDefault="00000000">
      <w:pPr>
        <w:pStyle w:val="SingleTxt"/>
      </w:pPr>
      <w:r>
        <w:tab/>
        <w:t>Por otra parte, varias disposiciones del artículo 70, en el que se consagran los derechos y deberes fundamentales que garantizan la igualdad de derechos para t</w:t>
      </w:r>
      <w:r>
        <w:t>o</w:t>
      </w:r>
      <w:r>
        <w:t>dos, hacen referencia a la prohibición de la discriminación. Otro aspecto concreto de esa actitud es el principio de “igual remuneración por el mismo trabajo”, establecido en el párrafo 2 del artículo 70/B.</w:t>
      </w:r>
    </w:p>
    <w:p w:rsidR="00000000" w:rsidRDefault="00000000">
      <w:pPr>
        <w:pStyle w:val="SingleTxt"/>
        <w:rPr>
          <w:b/>
        </w:rPr>
      </w:pPr>
      <w:r>
        <w:rPr>
          <w:b/>
        </w:rPr>
        <w:t xml:space="preserve">Artículo 70/B </w:t>
      </w:r>
    </w:p>
    <w:p w:rsidR="00000000" w:rsidRDefault="00000000">
      <w:pPr>
        <w:pStyle w:val="SingleTxt"/>
      </w:pPr>
      <w:r>
        <w:tab/>
        <w:t>“1)</w:t>
      </w:r>
      <w:r>
        <w:tab/>
        <w:t>En la República de Hungría, todos tienen derecho a trabajar y a elegir l</w:t>
      </w:r>
      <w:r>
        <w:t>i</w:t>
      </w:r>
      <w:r>
        <w:t>br</w:t>
      </w:r>
      <w:r>
        <w:t>e</w:t>
      </w:r>
      <w:r>
        <w:t>mente su trabajo y profesión.</w:t>
      </w:r>
    </w:p>
    <w:p w:rsidR="00000000" w:rsidRDefault="00000000">
      <w:pPr>
        <w:pStyle w:val="SingleTxt"/>
      </w:pPr>
      <w:r>
        <w:tab/>
        <w:t>2)</w:t>
      </w:r>
      <w:r>
        <w:tab/>
        <w:t>Todos tienen derecho a recibir igual remuneración por el mismo trabajo, sin discrim</w:t>
      </w:r>
      <w:r>
        <w:t>i</w:t>
      </w:r>
      <w:r>
        <w:t>nación alguna.</w:t>
      </w:r>
    </w:p>
    <w:p w:rsidR="00000000" w:rsidRDefault="00000000">
      <w:pPr>
        <w:pStyle w:val="SingleTxt"/>
      </w:pPr>
      <w:r>
        <w:tab/>
        <w:t>3)</w:t>
      </w:r>
      <w:r>
        <w:tab/>
        <w:t>Todas las personas que trabajan tienen derecho a recibir unos ingresos que se correspondan con la cantidad y la calidad de su trabajo.</w:t>
      </w:r>
    </w:p>
    <w:p w:rsidR="00000000" w:rsidRDefault="00000000">
      <w:pPr>
        <w:pStyle w:val="SingleTxt"/>
      </w:pPr>
      <w:r>
        <w:tab/>
        <w:t>4)</w:t>
      </w:r>
      <w:r>
        <w:tab/>
        <w:t>Todos tienen derecho a disfrutar de tiempo de descanso, tiempo de ocio y vacaciones periódicas pag</w:t>
      </w:r>
      <w:r>
        <w:t>a</w:t>
      </w:r>
      <w:r>
        <w:t>das.”</w:t>
      </w:r>
    </w:p>
    <w:p w:rsidR="00000000" w:rsidRDefault="00000000">
      <w:pPr>
        <w:pStyle w:val="SingleTxt"/>
      </w:pPr>
      <w:r>
        <w:tab/>
        <w:t>Una cuestión importante es el tipo de protección que la Constitución reserva para los derechos que en ella se consagran. A esa cuestión se refieren dos dispos</w:t>
      </w:r>
      <w:r>
        <w:t>i</w:t>
      </w:r>
      <w:r>
        <w:t>ciones constitucionales. Por una parte, en el artículo 70/K se garantiza el derecho a acudir a los tribunales para formular una demanda que tenga su origen en la viol</w:t>
      </w:r>
      <w:r>
        <w:t>a</w:t>
      </w:r>
      <w:r>
        <w:t>ción de los d</w:t>
      </w:r>
      <w:r>
        <w:t>e</w:t>
      </w:r>
      <w:r>
        <w:t>rechos fundamentales de los ciudadanos.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70/K</w:t>
      </w:r>
    </w:p>
    <w:p w:rsidR="00000000" w:rsidRDefault="00000000">
      <w:pPr>
        <w:pStyle w:val="SingleTxt"/>
        <w:spacing w:after="0" w:line="120" w:lineRule="exact"/>
        <w:rPr>
          <w:sz w:val="10"/>
        </w:rPr>
      </w:pPr>
    </w:p>
    <w:p w:rsidR="00000000" w:rsidRDefault="00000000">
      <w:pPr>
        <w:pStyle w:val="SingleTxt"/>
      </w:pPr>
      <w:r>
        <w:tab/>
        <w:t>“Podrán plantearse ante los tribunales demandas que tengan su origen en la violación de los derechos fundamentales y objeciones a las decisiones adoptadas por las autoridades p</w:t>
      </w:r>
      <w:r>
        <w:t>ú</w:t>
      </w:r>
      <w:r>
        <w:t>blicas en relación con el cumplimiento del deber.”</w:t>
      </w:r>
    </w:p>
    <w:p w:rsidR="00000000" w:rsidRDefault="00000000">
      <w:pPr>
        <w:pStyle w:val="SingleTxt"/>
      </w:pPr>
      <w:r>
        <w:tab/>
        <w:t>Por otra parte, en virtud del párrafo 2 del artículo 70/A, la ley establecerá el estricto castigo de cualquier discriminación. Esa disposición constitucional obliga al legislador a elaborar leyes destinadas a promover, entre otras cosas, la elimin</w:t>
      </w:r>
      <w:r>
        <w:t>a</w:t>
      </w:r>
      <w:r>
        <w:t>ción o disminución de la discriminación contra la mujer mediante un sistema eficaz de sa</w:t>
      </w:r>
      <w:r>
        <w:t>n</w:t>
      </w:r>
      <w:r>
        <w:t>ciones.</w:t>
      </w:r>
    </w:p>
    <w:p w:rsidR="00000000" w:rsidRDefault="00000000">
      <w:pPr>
        <w:pStyle w:val="SingleTxt"/>
      </w:pPr>
      <w:r>
        <w:tab/>
        <w:t>A la vista de las disposiciones constitucionales expuestas, cabe concluir que se ajustan al espíritu y a los requisitos de la Convención sobre la eliminación de todas las formas de discriminación contra la mujer y, por tanto, no es necesario introducir modificaciones importantes en el ámbito constitucional para garantizar la igualdad de oportunidades.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Regulación y práctica del ejercicio individual de los derechos</w:t>
      </w:r>
    </w:p>
    <w:p w:rsidR="00000000" w:rsidRDefault="00000000">
      <w:pPr>
        <w:pStyle w:val="SingleTxt"/>
        <w:spacing w:after="0" w:line="120" w:lineRule="exact"/>
        <w:rPr>
          <w:sz w:val="10"/>
        </w:rPr>
      </w:pPr>
    </w:p>
    <w:p w:rsidR="00000000" w:rsidRDefault="00000000">
      <w:pPr>
        <w:pStyle w:val="SingleTxt"/>
      </w:pPr>
      <w:r>
        <w:tab/>
        <w:t>En el artículo 5 del Código de Trabajo (en lo sucesivo denominado CT) se prescribe la prohibición de la discrim</w:t>
      </w:r>
      <w:r>
        <w:t>i</w:t>
      </w:r>
      <w:r>
        <w:t>nación:</w:t>
      </w:r>
    </w:p>
    <w:p w:rsidR="00000000" w:rsidRDefault="00000000">
      <w:pPr>
        <w:pStyle w:val="SingleTxt"/>
      </w:pPr>
      <w:r>
        <w:tab/>
        <w:t>Párrafo 1) del artículo 5:</w:t>
      </w:r>
    </w:p>
    <w:p w:rsidR="00000000" w:rsidRDefault="00000000">
      <w:pPr>
        <w:pStyle w:val="SingleTxt"/>
      </w:pPr>
      <w:r>
        <w:tab/>
        <w:t>“En lo que se refiere a la relación de trabajo, no se practicará discriminación alguna contra los empleados por motivos de género, edad, raza, origen nacional, r</w:t>
      </w:r>
      <w:r>
        <w:t>e</w:t>
      </w:r>
      <w:r>
        <w:t>ligión, opiniones políticas o pertenencia a organizaciones que representen los inter</w:t>
      </w:r>
      <w:r>
        <w:t>e</w:t>
      </w:r>
      <w:r>
        <w:t>ses de los empleados o por la participación en actividades asociadas con esas org</w:t>
      </w:r>
      <w:r>
        <w:t>a</w:t>
      </w:r>
      <w:r>
        <w:t>nizaciones, así como por cualesquiera otras circunstancias que no guarden relación con el empleo. No se entenderá como discriminación la diferenciación requerida cl</w:t>
      </w:r>
      <w:r>
        <w:t>a</w:t>
      </w:r>
      <w:r>
        <w:t>ra y directamente por el carácter o la naturaleza del trabajo.”</w:t>
      </w:r>
    </w:p>
    <w:p w:rsidR="00000000" w:rsidRDefault="00000000">
      <w:pPr>
        <w:pStyle w:val="SingleTxt"/>
      </w:pPr>
      <w:r>
        <w:tab/>
        <w:t>La Declaración del Consejo No. 97 (MK.97.) del Tribunal Superior se refiere a la cuestión de las “condiciones de igualdad”. Según la Declaración “no se consider</w:t>
      </w:r>
      <w:r>
        <w:t>a</w:t>
      </w:r>
      <w:r>
        <w:t>rá discriminación la distinción derivada inequívocamente del carácter o la naturaleza del trabajo, en especial la distinción relacionada con el empleo basada en condici</w:t>
      </w:r>
      <w:r>
        <w:t>o</w:t>
      </w:r>
      <w:r>
        <w:t>nes esenci</w:t>
      </w:r>
      <w:r>
        <w:t>a</w:t>
      </w:r>
      <w:r>
        <w:t>les y legítimas”.</w:t>
      </w:r>
    </w:p>
    <w:p w:rsidR="00000000" w:rsidRDefault="00000000">
      <w:pPr>
        <w:pStyle w:val="SingleTxt"/>
      </w:pPr>
      <w:r>
        <w:tab/>
        <w:t>En el Código Civil de la República de Hungría se establece que cualquier clase de discriminación de las personas, en particular la distinción por motivos de “gén</w:t>
      </w:r>
      <w:r>
        <w:t>e</w:t>
      </w:r>
      <w:r>
        <w:t>ro, raza, linaje, origen nacional o religión; la violación de la libertad de conciencia; cualquier restricción ilegitima de la libertad personal; los daños infligidos al cuerpo o a la salud; el desprecio o el insulto al honor, la integridad o la dignidad humana” se considerará una violación de los derechos fundamentales (artículo 76). Así pues, la legislación vigente en Hungría garantiza el disfrute de la igualdad entre hombres y mujeres y obliga a los empleadores a tratarlos por igual y lo hace de forma un</w:t>
      </w:r>
      <w:r>
        <w:t>i</w:t>
      </w:r>
      <w:r>
        <w:t>forme, en relación con todos los derechos y deberes derivados del empleo.</w:t>
      </w:r>
    </w:p>
    <w:p w:rsidR="00000000" w:rsidRDefault="00000000">
      <w:pPr>
        <w:pStyle w:val="SingleTxt"/>
      </w:pPr>
      <w:r>
        <w:tab/>
        <w:t>El párrafo 2) del artículo 5 del Código de Trabajo es una disposición de la l</w:t>
      </w:r>
      <w:r>
        <w:t>e</w:t>
      </w:r>
      <w:r>
        <w:t>gislación de Hungría que tiene por objeto garantizar el derecho a la revisión judicial según la cual “en el caso de una disputa relacionada con una violación de la prohib</w:t>
      </w:r>
      <w:r>
        <w:t>i</w:t>
      </w:r>
      <w:r>
        <w:t>ción de la discriminación, al empleador tendrá que probar que sus acciones no viol</w:t>
      </w:r>
      <w:r>
        <w:t>a</w:t>
      </w:r>
      <w:r>
        <w:t>ron lo dispuesto en el párrafo 1)”. Así pues, en virtud de la legislación vigente en Hungría, basta con que un empleado alegue que un acto discrecional del empleador discrimina contra el empleado, y es el empleador el que ha de refutar las alegaciones del empleado en las actuaciones judiciales correspo</w:t>
      </w:r>
      <w:r>
        <w:t>n</w:t>
      </w:r>
      <w:r>
        <w:t>dientes.</w:t>
      </w:r>
    </w:p>
    <w:p w:rsidR="00000000" w:rsidRDefault="00000000">
      <w:pPr>
        <w:pStyle w:val="SingleTxt"/>
      </w:pPr>
      <w:r>
        <w:tab/>
        <w:t>Según el párrafo 1) de la sección 3 de la Ley LXXV de 1996 sobre supervisión del empleo, la supervisión incluye la observación del cumplimiento de la prohib</w:t>
      </w:r>
      <w:r>
        <w:t>i</w:t>
      </w:r>
      <w:r>
        <w:t>ción de la discriminación . La multa que puede imponerse va desde los 50.000 f</w:t>
      </w:r>
      <w:r>
        <w:t>o</w:t>
      </w:r>
      <w:r>
        <w:t>rints a los 3 millones de forints. Tras la modificación de esa Ley en 1999, la superv</w:t>
      </w:r>
      <w:r>
        <w:t>i</w:t>
      </w:r>
      <w:r>
        <w:t>sión del empleo incluye la observación del cumplimiento de la prohibición de la di</w:t>
      </w:r>
      <w:r>
        <w:t>s</w:t>
      </w:r>
      <w:r>
        <w:t>criminación y en esos casos se invierte la carga de la prueba: es el empleador el que debe probar que su actu</w:t>
      </w:r>
      <w:r>
        <w:t>a</w:t>
      </w:r>
      <w:r>
        <w:t>ción no constituye discriminación.</w:t>
      </w:r>
    </w:p>
    <w:p w:rsidR="00000000" w:rsidRDefault="00000000">
      <w:pPr>
        <w:pStyle w:val="SingleTxt"/>
      </w:pPr>
      <w:r>
        <w:tab/>
        <w:t>En 1998 tan sólo se llevaron a los tribunales tres casos basados en la norma de la no discriminación, y dos de ellos estaban relacionados con anuncios de empleo. Desde el punto de vista del efecto ejemplarizador (véase el principio de eficacia) es probable que las juntas de supervisión del empleo impongan en esos casos multas importantes. La mencionada Ley constituye una base para ello, puesto que en el p</w:t>
      </w:r>
      <w:r>
        <w:t>á</w:t>
      </w:r>
      <w:r>
        <w:t>rrafo 4) de su artículo 7 se establece que al determinar la cuantía de la multa se te</w:t>
      </w:r>
      <w:r>
        <w:t>n</w:t>
      </w:r>
      <w:r>
        <w:t>drán en cuenta la gravedad de los perjuicios causados y el número de empleados afectados.</w:t>
      </w:r>
    </w:p>
    <w:p w:rsidR="00000000" w:rsidRDefault="00000000">
      <w:pPr>
        <w:pStyle w:val="SingleTxt"/>
      </w:pPr>
      <w:r>
        <w:tab/>
        <w:t>En el artículo 5 del Código de Trabajo, mencionado más arriba, se prohibe cualquier tipo de discriminación. Ello se examinará en detalle durante la modific</w:t>
      </w:r>
      <w:r>
        <w:t>a</w:t>
      </w:r>
      <w:r>
        <w:t>ción del Código de Trabajo, que ya se está redactando. En cuanto a la reglament</w:t>
      </w:r>
      <w:r>
        <w:t>a</w:t>
      </w:r>
      <w:r>
        <w:t>ción de los aspectos relativos a la mujer, puede decirse en general que en los últimos años tan sólo se aprobaron algunas normas. Entre las disposiciones jurídicas relaci</w:t>
      </w:r>
      <w:r>
        <w:t>o</w:t>
      </w:r>
      <w:r>
        <w:t>nadas directamente con la mujer revisten especial importancia, además de las me</w:t>
      </w:r>
      <w:r>
        <w:t>n</w:t>
      </w:r>
      <w:r>
        <w:t>cionadas, la modificación del Código Penal y la decisión del Tribunal Constitucional s</w:t>
      </w:r>
      <w:r>
        <w:t>o</w:t>
      </w:r>
      <w:r>
        <w:t>bre la Ley de protección de la vida fetal.</w:t>
      </w:r>
    </w:p>
    <w:p w:rsidR="00000000" w:rsidRDefault="00000000">
      <w:pPr>
        <w:pStyle w:val="SingleTxt"/>
        <w:rPr>
          <w:w w:val="102"/>
        </w:rPr>
      </w:pPr>
      <w:r>
        <w:rPr>
          <w:w w:val="102"/>
        </w:rPr>
        <w:tab/>
        <w:t>La Ley LXXIII de 1997 modificó la Ley IV de 1978 sobre el Código Penal de la República de Hungría. Según la redacción que figuraba en el Código Penal vigente hasta 1997, la víctima de una violación sólo podía ser una mujer violada por una pe</w:t>
      </w:r>
      <w:r>
        <w:rPr>
          <w:w w:val="102"/>
        </w:rPr>
        <w:t>r</w:t>
      </w:r>
      <w:r>
        <w:rPr>
          <w:w w:val="102"/>
        </w:rPr>
        <w:t>sona que no fuese su marido. No estaba tipificada como delito la violación de la mujer que vivía en comunidad conyugal con el violador. La existencia conjunta del matrimonio y la convivencia conyugal efectiva excluía la persecución del acto. Sin embargo, el autor podía ser procesado si no existía convivencia conyugal del hombre y la mujer en el momento de la comisión del delito o si sólo estaban unidos por un matrimonio de derecho común y no por un matrimonio jurídico. Desde la entrada en vigor de la modificación del Código Penal el 15 de septiembre de 1997, la ley est</w:t>
      </w:r>
      <w:r>
        <w:rPr>
          <w:w w:val="102"/>
        </w:rPr>
        <w:t>a</w:t>
      </w:r>
      <w:r>
        <w:rPr>
          <w:w w:val="102"/>
        </w:rPr>
        <w:t>blece penas para el delito de violación tanto si el hecho se comete fuera del vínculo del matrimonio o dentro de él. Ese delito puede perseguirse si se hace una petición en ese sentido. Con ello se asegura que las autoridades competentes tan sólo puedan interferir en los asuntos privados del marido y la mujer si uno de ellos lo d</w:t>
      </w:r>
      <w:r>
        <w:rPr>
          <w:w w:val="102"/>
        </w:rPr>
        <w:t>e</w:t>
      </w:r>
      <w:r>
        <w:rPr>
          <w:w w:val="102"/>
        </w:rPr>
        <w:t>sea.</w:t>
      </w:r>
    </w:p>
    <w:p w:rsidR="00000000" w:rsidRDefault="00000000">
      <w:pPr>
        <w:pStyle w:val="SingleTxt"/>
      </w:pPr>
      <w:r>
        <w:tab/>
        <w:t>El otro cambio importante guarda relación con el aborto. Se presentaron ante el Tribunal Constitucional varias mociones en relación con la Ley LXXIX de 1992 de protección de la vida fetal y sus disposiciones, así como con las disposiciones de la orden ejecutiva No. 32/1992. (XII.23.) NM sobre dicha Ley. El Tribunal Constit</w:t>
      </w:r>
      <w:r>
        <w:t>u</w:t>
      </w:r>
      <w:r>
        <w:t>cional emitió su fallo en su decisión No. 48/1998.</w:t>
      </w:r>
    </w:p>
    <w:p w:rsidR="00000000" w:rsidRDefault="00000000">
      <w:pPr>
        <w:pStyle w:val="SingleTxt"/>
      </w:pPr>
      <w:r>
        <w:tab/>
        <w:t>La decisión (XI.23) AB se refiere a las mociones presentadas en contra de la disposición de la Ley mencionada más arriba que permite la interrupción prematura del embarazo en caso de grave peligro para la mujer. Según la decisión del Tribunal Constitucional, no es inconstitucional en sí mismo el que la ley haga posible la int</w:t>
      </w:r>
      <w:r>
        <w:t>e</w:t>
      </w:r>
      <w:r>
        <w:t>rrupción del embarazo en caso de grave peligro para la mujer. Sin embargo, la n</w:t>
      </w:r>
      <w:r>
        <w:t>o</w:t>
      </w:r>
      <w:r>
        <w:t>ción y las circunstancias de lo que constituye grave peligro para la mujer habrán de determinarse exclusivamente por ley. La falta de desarrollo reglamentario no puede sustituirse por la interpretación o por normas jurídicas de rango inferior. Así pues, el Tribunal Constitucional instó al Parlamento a hacer más explícita la Ley de prote</w:t>
      </w:r>
      <w:r>
        <w:t>c</w:t>
      </w:r>
      <w:r>
        <w:t>ción de la vida fetal.</w:t>
      </w:r>
    </w:p>
    <w:p w:rsidR="00000000" w:rsidRDefault="00000000">
      <w:pPr>
        <w:pStyle w:val="SingleTxt"/>
      </w:pPr>
      <w:r>
        <w:tab/>
        <w:t>La mayoría de los cambios que guardan relación directa con la mujer se refi</w:t>
      </w:r>
      <w:r>
        <w:t>e</w:t>
      </w:r>
      <w:r>
        <w:t>ren al sistema de bienestar social. Los cambios introducidos en el sistema de bi</w:t>
      </w:r>
      <w:r>
        <w:t>e</w:t>
      </w:r>
      <w:r>
        <w:t>nestar social reflejan dos conceptos contradictorios. La Ley XLVII de 1995 de est</w:t>
      </w:r>
      <w:r>
        <w:t>a</w:t>
      </w:r>
      <w:r>
        <w:t>bilización económica tenía por objeto restringir las prestaciones sociales universales sobre la base del principio de indigencia. Ello tuvo también efectos negativos en el apoyo a la familia.</w:t>
      </w:r>
    </w:p>
    <w:p w:rsidR="00000000" w:rsidRDefault="00000000">
      <w:pPr>
        <w:pStyle w:val="SingleTxt"/>
      </w:pPr>
      <w:r>
        <w:tab/>
        <w:t>Por el contrario, las modificaciones introducidas tras las elecciones celebradas en 1998 estaban encaminadas sobre todo al desarrollo del sistema de apoyo a la f</w:t>
      </w:r>
      <w:r>
        <w:t>a</w:t>
      </w:r>
      <w:r>
        <w:t>milia y a la prestación de una asistencia más intensa a las familias. El apoyo a la f</w:t>
      </w:r>
      <w:r>
        <w:t>a</w:t>
      </w:r>
      <w:r>
        <w:t>milia puede aplicarse a cualquier de los progenitores a su elección. Esas disposici</w:t>
      </w:r>
      <w:r>
        <w:t>o</w:t>
      </w:r>
      <w:r>
        <w:t>nes guardan una relación indirecta con la cuestión de la discriminación contra la mujer y las disposiciones de la Convención. El objetivo de las prestaciones de apoyo a la familia es fomentar la seguridad social de las familias y reducir la carga fina</w:t>
      </w:r>
      <w:r>
        <w:t>n</w:t>
      </w:r>
      <w:r>
        <w:t>ciera que supone el cuidado de los hijos.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I. </w:t>
      </w:r>
      <w:r>
        <w:tab/>
        <w:t>Medidas de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Estructura institucional</w:t>
      </w:r>
    </w:p>
    <w:p w:rsidR="00000000" w:rsidRDefault="00000000">
      <w:pPr>
        <w:pStyle w:val="SingleTxt"/>
        <w:spacing w:after="0" w:line="120" w:lineRule="exact"/>
        <w:rPr>
          <w:sz w:val="10"/>
        </w:rPr>
      </w:pPr>
    </w:p>
    <w:p w:rsidR="00000000" w:rsidRDefault="00000000">
      <w:pPr>
        <w:pStyle w:val="SingleTxt"/>
      </w:pPr>
      <w:r>
        <w:tab/>
        <w:t>El control externo de la legislación corresponde al Tribunal Constitucional. Entre los casos planteados ante el Tribunal Constitucional en relación con los der</w:t>
      </w:r>
      <w:r>
        <w:t>e</w:t>
      </w:r>
      <w:r>
        <w:t>chos fundamentales, el mayor número corresponde a las decisiones adoptadas sobre mociones relativas a la igualdad de derechos y la prohibición de la discriminación . En comparación, el número de propuestas sobre discriminación entre hombres y mujeres es relativamente bajo. El cometido del Tribunal Constitucional es tan sólo examinar la constitucionalidad de las normas jurídicas. En la esfera concreta de la supervisión de las normas, cualquier parte en un procedimiento judicial puede sol</w:t>
      </w:r>
      <w:r>
        <w:t>i</w:t>
      </w:r>
      <w:r>
        <w:t xml:space="preserve">citar al juez que inicie el examen de la inconstitucionalidad de una norma jurídica que ha de aplicar en el procedimiento. La demanda civil se dirige contra una norma concreta promulgada por la autoridad pública que viola los derechos fundamentales de una persona o una comunidad, con el fin de eliminar el agravio constitucional. </w:t>
      </w:r>
      <w:r>
        <w:tab/>
        <w:t>Sin embargo, sólo puede presentarse una demanda civil si la causa del agravio constitucional fue la aplicación de una norma pública inconstitucional. En su dec</w:t>
      </w:r>
      <w:r>
        <w:t>i</w:t>
      </w:r>
      <w:r>
        <w:t>sión No. 7/1998. (III.18.) AB, el Tribunal Constitucional interpretó el párrafo 3) del artículo 66 en el sentido de que en dicho artículo se autoriza la promulgación de di</w:t>
      </w:r>
      <w:r>
        <w:t>s</w:t>
      </w:r>
      <w:r>
        <w:t>posiciones que contemplen la discriminación positiva dirigida a la protección de la mujer en la reglamentación relativa al trabajo. El Tribunal Constitucional puede ju</w:t>
      </w:r>
      <w:r>
        <w:t>z</w:t>
      </w:r>
      <w:r>
        <w:t>gar casos de discriminación entre hombres y mujeres tanto al amparo del párrafo 1) del artículo 70/A como al amparo del párrafo 1) del artículo 66 de la Constitución. Puesto que en ese último artículo se concreta la disposición general que figura en el primer artículo relativa a la discriminación entre hombres y mujeres, el último no se aplica de forma concreta: los casos se deciden sobre la base de la norma general.</w:t>
      </w:r>
    </w:p>
    <w:p w:rsidR="00000000" w:rsidRDefault="00000000">
      <w:pPr>
        <w:pStyle w:val="SingleTxt"/>
      </w:pPr>
      <w:r>
        <w:tab/>
        <w:t>La modificación de la Constitución en 1989 y la entrada en vigor de la Ley LIX de 1993 establecieron la institución del comisionado parlamentario (ombud</w:t>
      </w:r>
      <w:r>
        <w:t>s</w:t>
      </w:r>
      <w:r>
        <w:t>man), que es un órgano concreto, independiente, de control parlamentario. El o</w:t>
      </w:r>
      <w:r>
        <w:t>m</w:t>
      </w:r>
      <w:r>
        <w:t>budsman parlamentario es responsable de investigar o instar la investigación de c</w:t>
      </w:r>
      <w:r>
        <w:t>a</w:t>
      </w:r>
      <w:r>
        <w:t>sos que lleguen a su atención que supongan la violación de derechos constitucion</w:t>
      </w:r>
      <w:r>
        <w:t>a</w:t>
      </w:r>
      <w:r>
        <w:t>les y proponer medidas generales o concretas para resolverlos. El ombudsman tan sólo controla la actividad de la administración pública, por lo que puede actuar por una denuncia o ex oficio si la acción o la omisión de una autoridad pública viola o pone en peligro directamente los derechos constitucionales. El ombudsman no puede adoptar decisiones en su ámbito de jurisdicción, pero cuenta con una extensa autor</w:t>
      </w:r>
      <w:r>
        <w:t>i</w:t>
      </w:r>
      <w:r>
        <w:t>dad de supervisión y la autoridad pública objeto de investigación está obligada a c</w:t>
      </w:r>
      <w:r>
        <w:t>o</w:t>
      </w:r>
      <w:r>
        <w:t>operar y proporcionar datos. El Comisionado Parlamentario para los Derechos C</w:t>
      </w:r>
      <w:r>
        <w:t>i</w:t>
      </w:r>
      <w:r>
        <w:t>viles y su adjunto general pueden investigar también casos de violación de los der</w:t>
      </w:r>
      <w:r>
        <w:t>e</w:t>
      </w:r>
      <w:r>
        <w:t>chos de la mujer y proponer medidas para su solución.</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spacing w:val="2"/>
        </w:rPr>
        <w:t>Establecimiento del Consejo de Asuntos de la Mujer</w:t>
      </w:r>
    </w:p>
    <w:p w:rsidR="00000000" w:rsidRDefault="00000000">
      <w:pPr>
        <w:pStyle w:val="SingleTxt"/>
        <w:spacing w:after="0" w:line="120" w:lineRule="exact"/>
        <w:rPr>
          <w:sz w:val="10"/>
        </w:rPr>
      </w:pPr>
    </w:p>
    <w:p w:rsidR="00000000" w:rsidRDefault="00000000">
      <w:pPr>
        <w:pStyle w:val="SingleTxt"/>
      </w:pPr>
      <w:r>
        <w:tab/>
        <w:t>En 1995 se estableció, mediante la Resolución del Gobierno No. 2268/1995. (IX.8.), el Mecanismo nacional de Hungría para la garantía de la condición de igua</w:t>
      </w:r>
      <w:r>
        <w:t>l</w:t>
      </w:r>
      <w:r>
        <w:t>dad de la mujer. Esa organización comenzó a funcionar a fines de 1995, después de la Cuarta Conferencia Mundial de las Naciones Unidas sobre la Mujer, celebrada en Beijing. En 1996 el Consejo cambió su nombre por el de Oficina para la Igualdad de Oport</w:t>
      </w:r>
      <w:r>
        <w:t>u</w:t>
      </w:r>
      <w:r>
        <w:t xml:space="preserve">nidades. </w:t>
      </w:r>
    </w:p>
    <w:p w:rsidR="00000000" w:rsidRDefault="00000000">
      <w:pPr>
        <w:pStyle w:val="SingleTxt"/>
        <w:rPr>
          <w:w w:val="102"/>
        </w:rPr>
      </w:pPr>
      <w:r>
        <w:rPr>
          <w:w w:val="102"/>
        </w:rPr>
        <w:tab/>
        <w:t>En Hungría, la Oficina para la Igualdad de Oportunidades era el único organi</w:t>
      </w:r>
      <w:r>
        <w:rPr>
          <w:w w:val="102"/>
        </w:rPr>
        <w:t>s</w:t>
      </w:r>
      <w:r>
        <w:rPr>
          <w:w w:val="102"/>
        </w:rPr>
        <w:t>mo gubernamental encargado de mejorar la condición de la mujer. Su Secretaría no contaba con órganos locales ni regionales. En cumplimiento de lo dispuesto en la Plataforma de Acción de Beijing, el Gobierno estableció un comité interministerial que celebró dos periodos de sesiones. Su tarea era la coordinación de la labor gube</w:t>
      </w:r>
      <w:r>
        <w:rPr>
          <w:w w:val="102"/>
        </w:rPr>
        <w:t>r</w:t>
      </w:r>
      <w:r>
        <w:rPr>
          <w:w w:val="102"/>
        </w:rPr>
        <w:t>namental encaminada a garantizar la igualdad de oportunidades para la mujer. Tras el cambio de gobierno que siguió a las elecciones de 1998, el Ministerio de Asuntos Sociales y de la Familia se convirtió en el sucesor jurídico del Ministerio de Trab</w:t>
      </w:r>
      <w:r>
        <w:rPr>
          <w:w w:val="102"/>
        </w:rPr>
        <w:t>a</w:t>
      </w:r>
      <w:r>
        <w:rPr>
          <w:w w:val="102"/>
        </w:rPr>
        <w:t>jo.</w:t>
      </w:r>
    </w:p>
    <w:p w:rsidR="00000000" w:rsidRDefault="00000000">
      <w:pPr>
        <w:pStyle w:val="SingleTxt"/>
        <w:rPr>
          <w:w w:val="101"/>
        </w:rPr>
      </w:pPr>
      <w:r>
        <w:rPr>
          <w:w w:val="101"/>
        </w:rPr>
        <w:tab/>
        <w:t>La Oficina para la Igualdad de Oportunidades se reorganizó y pasó a formar parte del Departamento de Relaciones Humanas del Ministerio de Asuntos Sociales y de la Familia con el nombre de Oficina de Asuntos de la Mujer. La Oficina de Asu</w:t>
      </w:r>
      <w:r>
        <w:rPr>
          <w:w w:val="101"/>
        </w:rPr>
        <w:t>n</w:t>
      </w:r>
      <w:r>
        <w:rPr>
          <w:w w:val="101"/>
        </w:rPr>
        <w:t>tos de la Mujer continua las actividades de la Oficina para la Igualdad de Oportunid</w:t>
      </w:r>
      <w:r>
        <w:rPr>
          <w:w w:val="101"/>
        </w:rPr>
        <w:t>a</w:t>
      </w:r>
      <w:r>
        <w:rPr>
          <w:w w:val="101"/>
        </w:rPr>
        <w:t>des. El Gobierno decidió establecer el Consejo de Asuntos de la Mujer el 28 de mayo de 1998, por medio de la Resolución del Gobierno No. 1059/1999. (V.28.). El establ</w:t>
      </w:r>
      <w:r>
        <w:rPr>
          <w:w w:val="101"/>
        </w:rPr>
        <w:t>e</w:t>
      </w:r>
      <w:r>
        <w:rPr>
          <w:w w:val="101"/>
        </w:rPr>
        <w:t>cimiento del Consejo se llevó a cabo en el marco de la modernización del sistema de representación de intereses. De conformidad con la Resolución del Gobierno el Co</w:t>
      </w:r>
      <w:r>
        <w:rPr>
          <w:w w:val="101"/>
        </w:rPr>
        <w:t>n</w:t>
      </w:r>
      <w:r>
        <w:rPr>
          <w:w w:val="101"/>
        </w:rPr>
        <w:t>sejo cel</w:t>
      </w:r>
      <w:r>
        <w:rPr>
          <w:w w:val="101"/>
        </w:rPr>
        <w:t>e</w:t>
      </w:r>
      <w:r>
        <w:rPr>
          <w:w w:val="101"/>
        </w:rPr>
        <w:t>bró su primer periodo de sesiones en septiembre de 1999.</w:t>
      </w:r>
    </w:p>
    <w:p w:rsidR="00000000" w:rsidRDefault="00000000">
      <w:pPr>
        <w:pStyle w:val="SingleTxt"/>
      </w:pPr>
      <w:r>
        <w:tab/>
        <w:t>“Con el fin de acelerar la legislación y los programas de acción en pro de la igualdad de oportunidades para la mujer, en interés de la participación de las organ</w:t>
      </w:r>
      <w:r>
        <w:t>i</w:t>
      </w:r>
      <w:r>
        <w:t>zaciones civiles que representan los intereses de la mujer, el Gobierno establece el Consejo de Asuntos de la Mujer. El Consejo constituye una junta consultiva, ases</w:t>
      </w:r>
      <w:r>
        <w:t>o</w:t>
      </w:r>
      <w:r>
        <w:t>ra, informativa y encargada de preparar decisiones para el Gobierno y una junta de coordinación en lo que se refiere a la ejecución y el control de los programas de a</w:t>
      </w:r>
      <w:r>
        <w:t>c</w:t>
      </w:r>
      <w:r>
        <w:t>ción que afecten a la pr</w:t>
      </w:r>
      <w:r>
        <w:t>o</w:t>
      </w:r>
      <w:r>
        <w:t>moción de la igualdad de oportunidades para la mujer.</w:t>
      </w:r>
    </w:p>
    <w:p w:rsidR="00000000" w:rsidRDefault="00000000">
      <w:pPr>
        <w:pStyle w:val="SingleTxt"/>
      </w:pPr>
      <w:r>
        <w:tab/>
        <w:t>Tareas del Consejo de Asuntos de la Mujer:</w:t>
      </w:r>
    </w:p>
    <w:p w:rsidR="00000000" w:rsidRDefault="00000000">
      <w:pPr>
        <w:pStyle w:val="SingleTxt"/>
        <w:ind w:left="2218" w:hanging="951"/>
      </w:pPr>
      <w:r>
        <w:tab/>
        <w:t>1.</w:t>
      </w:r>
      <w:r>
        <w:tab/>
        <w:t>Presentar informes sobre proyectos de reglamentos y programas de a</w:t>
      </w:r>
      <w:r>
        <w:t>c</w:t>
      </w:r>
      <w:r>
        <w:t>ción gubernamentales que afecten a la igualdad de oportunidades de la mujer, iniciar nuevos programas y modificar la normativa jurídica v</w:t>
      </w:r>
      <w:r>
        <w:t>i</w:t>
      </w:r>
      <w:r>
        <w:t>gente.</w:t>
      </w:r>
    </w:p>
    <w:p w:rsidR="00000000" w:rsidRDefault="00000000">
      <w:pPr>
        <w:pStyle w:val="SingleTxt"/>
        <w:ind w:left="2218" w:hanging="951"/>
      </w:pPr>
      <w:r>
        <w:tab/>
        <w:t>2.</w:t>
      </w:r>
      <w:r>
        <w:tab/>
        <w:t>Participar en la elaboración de programas sobre el mejoramiento de la igualdad de oportunidades de la mujer con asistencia nacional e intern</w:t>
      </w:r>
      <w:r>
        <w:t>a</w:t>
      </w:r>
      <w:r>
        <w:t>ci</w:t>
      </w:r>
      <w:r>
        <w:t>o</w:t>
      </w:r>
      <w:r>
        <w:t>nal y normas sobre su aplicación.</w:t>
      </w:r>
    </w:p>
    <w:p w:rsidR="00000000" w:rsidRDefault="00000000">
      <w:pPr>
        <w:pStyle w:val="SingleTxt"/>
        <w:ind w:left="2218" w:hanging="951"/>
      </w:pPr>
      <w:r>
        <w:tab/>
        <w:t>3.</w:t>
      </w:r>
      <w:r>
        <w:tab/>
        <w:t>Opinar sobre informes y material publicitario relacionado con la igualdad de oportunidades de la mujer.</w:t>
      </w:r>
    </w:p>
    <w:p w:rsidR="00000000" w:rsidRDefault="00000000">
      <w:pPr>
        <w:pStyle w:val="SingleTxt"/>
      </w:pPr>
      <w:r>
        <w:tab/>
        <w:t>Constitución del Consejo: de forma simultánea con la supresión del anterior comité interministerial, se estableció un nuevo comité compuesto por representantes de los ministerios reorganizados y de la Oficina del Primer Ministro con nivel m</w:t>
      </w:r>
      <w:r>
        <w:t>í</w:t>
      </w:r>
      <w:r>
        <w:t>nimo de jefes de departamento. Los delegados de las organizaciones sociales de á</w:t>
      </w:r>
      <w:r>
        <w:t>m</w:t>
      </w:r>
      <w:r>
        <w:t>bito nacional que se ocupan de la representación de la mujer proponen seis mie</w:t>
      </w:r>
      <w:r>
        <w:t>m</w:t>
      </w:r>
      <w:r>
        <w:t>bros del Consejo al Ministro de Asuntos Sociales y de la Familia, quien les ofrece el puesto. El Ministro ofrece el puesto a otras cinco personas elegidas entre las que realizan actividades científicas o prácticas sobresalientes en el terreno de la igualdad de oportunidades de la mujer y a otras tres elegidas entre los representantes de las organizaciones civiles que trabajan en pro del adelanto de la igualdad de oportun</w:t>
      </w:r>
      <w:r>
        <w:t>i</w:t>
      </w:r>
      <w:r>
        <w:t>dades de la mujer.</w:t>
      </w:r>
    </w:p>
    <w:p w:rsidR="00000000" w:rsidRDefault="00000000">
      <w:pPr>
        <w:pStyle w:val="SingleTxt"/>
      </w:pPr>
      <w:r>
        <w:tab/>
        <w:t>“El Gobierno insta a los Ministros y a los jefes de las autoridades con comp</w:t>
      </w:r>
      <w:r>
        <w:t>e</w:t>
      </w:r>
      <w:r>
        <w:t>tencia nacional a que velen por el ejercicio del derecho de información del Consejo en la redacción de normas jurídicas y la preparación de medidas encaminadas a l</w:t>
      </w:r>
      <w:r>
        <w:t>o</w:t>
      </w:r>
      <w:r>
        <w:t>grar el adelanto en la igualdad de oportunidades de la mujer o directamente relaci</w:t>
      </w:r>
      <w:r>
        <w:t>o</w:t>
      </w:r>
      <w:r>
        <w:t>nadas con esa cuestión.</w:t>
      </w:r>
    </w:p>
    <w:p w:rsidR="00000000" w:rsidRDefault="00000000">
      <w:pPr>
        <w:pStyle w:val="SingleTxt"/>
      </w:pPr>
      <w:r>
        <w:tab/>
        <w:t>Al preparar las decisiones gubernamentales sobre esta cuestión, es necesario registrar en el texto de la propuesta la opinión y los argumentos del Consejo al re</w:t>
      </w:r>
      <w:r>
        <w:t>s</w:t>
      </w:r>
      <w:r>
        <w:t>pecto. La parte gubernamental del Consejo funciona también como comité interm</w:t>
      </w:r>
      <w:r>
        <w:t>i</w:t>
      </w:r>
      <w:r>
        <w:t>nisterial que inicia el establecimiento de las tareas y los objetivos del Gobierno en la esfera de la política sobre la mujer y coordina su cumplimiento.”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Medidas positivas</w:t>
      </w:r>
    </w:p>
    <w:p w:rsidR="00000000" w:rsidRDefault="00000000">
      <w:pPr>
        <w:pStyle w:val="SingleTxt"/>
        <w:spacing w:after="0" w:line="120" w:lineRule="exact"/>
        <w:rPr>
          <w:sz w:val="10"/>
        </w:rPr>
      </w:pPr>
    </w:p>
    <w:p w:rsidR="00000000" w:rsidRDefault="00000000">
      <w:pPr>
        <w:pStyle w:val="SingleTxt"/>
      </w:pPr>
      <w:r>
        <w:tab/>
        <w:t>Desde 1996 se ha venido facilitando información y capacitación a las organ</w:t>
      </w:r>
      <w:r>
        <w:t>i</w:t>
      </w:r>
      <w:r>
        <w:t>zaciones civiles, preparando campañas de prensa, poniendo en marcha y apoyando casos de prueba y examinando y mejorando la normativa jurídica existente. Se p</w:t>
      </w:r>
      <w:r>
        <w:t>u</w:t>
      </w:r>
      <w:r>
        <w:t>blicó una serie de volúmenes sobre el examen de la condición económica y social de la mujer. El primer volumen se publicó en 1997, y el segundo en 1999, con datos estadísticos y capítulos adicionales. La Oficina de Asuntos de la Mujer comenzó a publicar también los volúmenes en inglés. En 1999, con la ayuda del Programa C</w:t>
      </w:r>
      <w:r>
        <w:t>o</w:t>
      </w:r>
      <w:r>
        <w:t>munitario de la Unión Europea, la Oficina de Asuntos de la Mujer emprendió en el seno del Ministerio las siguientes actividades de capacitación sobre el tema de la igualdad de oportunidades y la consideración de los aspectos familiares en el lugar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right" w:pos="2074"/>
        </w:tabs>
        <w:ind w:left="1742" w:right="1260" w:hanging="475"/>
      </w:pPr>
      <w:r>
        <w:tab/>
        <w:t>–</w:t>
      </w:r>
      <w:r>
        <w:tab/>
        <w:t>Formación de jueces, supervisores laborales y representantes sindicales sobre el tema de la igualdad de oportunidades y el disfrute de los der</w:t>
      </w:r>
      <w:r>
        <w:t>e</w:t>
      </w:r>
      <w:r>
        <w:t>chos;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 w:val="right" w:pos="2074"/>
        </w:tabs>
        <w:ind w:left="1742" w:right="1260" w:hanging="475"/>
      </w:pPr>
      <w:r>
        <w:tab/>
        <w:t>–</w:t>
      </w:r>
      <w:r>
        <w:tab/>
        <w:t>Formación de expertos en gestión de recursos humanos en el sistema de “cap</w:t>
      </w:r>
      <w:r>
        <w:t>a</w:t>
      </w:r>
      <w:r>
        <w:t>cit</w:t>
      </w:r>
      <w:r>
        <w:t>a</w:t>
      </w:r>
      <w:r>
        <w:t>ción de capacitadores”.</w:t>
      </w:r>
    </w:p>
    <w:p w:rsidR="00000000" w:rsidRDefault="00000000">
      <w:pPr>
        <w:pStyle w:val="SingleTxt"/>
      </w:pPr>
      <w:r>
        <w:tab/>
        <w:t>En el marco del programa nacional para la recepción de Community Acquis se ha puesto en marcha un programa de formación de reintegración para las mujeres desempleadas de mediana edad y para las mujeres que vuelven a trabajar después de una licencia para el cuidado de los hijos.</w:t>
      </w:r>
    </w:p>
    <w:p w:rsidR="00000000" w:rsidRDefault="00000000">
      <w:pPr>
        <w:pStyle w:val="SingleTxt"/>
      </w:pPr>
      <w:r>
        <w:tab/>
        <w:t>Se aprobó la Resolución del Gobierno No. 2174/1997 (VI.26.) sobre el pr</w:t>
      </w:r>
      <w:r>
        <w:t>o</w:t>
      </w:r>
      <w:r>
        <w:t>grama de acción para el cumplimiento de las obligaciones contraídas por Hungría en virtud de la Declaración aprobada en la Cuarta Conferencia Mundial sobre la Mujer (Declaración de Beijing). Ese fue el primer objetivo para aplicar el principio de i</w:t>
      </w:r>
      <w:r>
        <w:t>n</w:t>
      </w:r>
      <w:r>
        <w:t>troducir las políticas profesionales (integración) en la práctica. Con ese fin, en la r</w:t>
      </w:r>
      <w:r>
        <w:t>e</w:t>
      </w:r>
      <w:r>
        <w:t>solución “se pide a los ministerios competentes que se ocupen de la ejecución de las tareas establecidas en el programa de acción”. La fecha límite era el 30 de abril de 1998.</w:t>
      </w:r>
    </w:p>
    <w:p w:rsidR="00000000" w:rsidRDefault="00000000">
      <w:pPr>
        <w:pStyle w:val="SingleTxt"/>
      </w:pPr>
      <w:r>
        <w:tab/>
        <w:t>Con el establecimiento del Consejo de Asuntos de la Mujer ha surgido una oportunidad para que las organizaciones sociales que representan los intereses de la mujer cooperen de una forma más organizada y con mayor eficacia con expertos y representantes ministeriales en la formulación de tareas y en la ejecución y control de los progr</w:t>
      </w:r>
      <w:r>
        <w:t>a</w:t>
      </w:r>
      <w:r>
        <w:t>mas.</w:t>
      </w:r>
    </w:p>
    <w:p w:rsidR="00000000" w:rsidRDefault="00000000">
      <w:pPr>
        <w:pStyle w:val="SingleTxt"/>
      </w:pPr>
      <w:r>
        <w:tab/>
        <w:t>En el párrafo 2 de la Resolución del Gobierno No. 1119/1997 (XI.26.) sobre directrices de empleo se establece que la moderación de la desigualdad de oportun</w:t>
      </w:r>
      <w:r>
        <w:t>i</w:t>
      </w:r>
      <w:r>
        <w:t>dades en el mercado de trabajo debe recibir el apoyo de programas dirigidos esp</w:t>
      </w:r>
      <w:r>
        <w:t>e</w:t>
      </w:r>
      <w:r>
        <w:t>ciales. En ese contexto, es necesario establecer la política laboral regional, así como la estructura jurídica, financiera e institucional. La situación de las personas dese</w:t>
      </w:r>
      <w:r>
        <w:t>m</w:t>
      </w:r>
      <w:r>
        <w:t>pleadas con desventajas acumuladas deberá abordarse y resolverse mediante comb</w:t>
      </w:r>
      <w:r>
        <w:t>i</w:t>
      </w:r>
      <w:r>
        <w:t>naciones de programas multisectoriales y mediante la cooperación entre las organ</w:t>
      </w:r>
      <w:r>
        <w:t>i</w:t>
      </w:r>
      <w:r>
        <w:t>zaciones. El desempleo de esas personas guarda una estrecha relación con la pobreza y ambas situaciones pueden remontarse a causas comunes: un bajo nivel educativo, una crisis del mercado de trabajo local y la falta de interés en los resultados en rel</w:t>
      </w:r>
      <w:r>
        <w:t>a</w:t>
      </w:r>
      <w:r>
        <w:t>ción con la edad y el sexo. En el caso de esas personas desempleadas, aunque los mercados de trabajo por sí mismos pueden ayudar a resolver los problemas inm</w:t>
      </w:r>
      <w:r>
        <w:t>e</w:t>
      </w:r>
      <w:r>
        <w:t>diatos de sustento, no son suficientemente eficaces y, sobre todo, no ofrecen sol</w:t>
      </w:r>
      <w:r>
        <w:t>u</w:t>
      </w:r>
      <w:r>
        <w:t>ciones durad</w:t>
      </w:r>
      <w:r>
        <w:t>e</w:t>
      </w:r>
      <w:r>
        <w:t>ras.</w:t>
      </w:r>
    </w:p>
    <w:p w:rsidR="00000000" w:rsidRDefault="00000000">
      <w:pPr>
        <w:pStyle w:val="SingleTxt"/>
      </w:pPr>
      <w:r>
        <w:tab/>
        <w:t>Para poner remedio a las causas económicas, sociales y regionales del dese</w:t>
      </w:r>
      <w:r>
        <w:t>m</w:t>
      </w:r>
      <w:r>
        <w:t>pleo de larga duración:</w:t>
      </w:r>
    </w:p>
    <w:p w:rsidR="00000000" w:rsidRDefault="00000000">
      <w:pPr>
        <w:pStyle w:val="SingleTxt"/>
        <w:ind w:left="2218" w:hanging="951"/>
        <w:rPr>
          <w:w w:val="101"/>
        </w:rPr>
      </w:pPr>
      <w:r>
        <w:tab/>
        <w:t>1.</w:t>
      </w:r>
      <w:r>
        <w:tab/>
      </w:r>
      <w:r>
        <w:rPr>
          <w:w w:val="101"/>
        </w:rPr>
        <w:t>Es necesario ampliar el apoyo a las actividades encaminadas a mejorar el nivel educativo, aunque esas actividades sólo tendrán efecto a largo pl</w:t>
      </w:r>
      <w:r>
        <w:rPr>
          <w:w w:val="101"/>
        </w:rPr>
        <w:t>a</w:t>
      </w:r>
      <w:r>
        <w:rPr>
          <w:w w:val="101"/>
        </w:rPr>
        <w:t>zo;</w:t>
      </w:r>
    </w:p>
    <w:p w:rsidR="00000000" w:rsidRDefault="00000000">
      <w:pPr>
        <w:pStyle w:val="SingleTxt"/>
        <w:ind w:left="2218" w:hanging="951"/>
      </w:pPr>
      <w:r>
        <w:tab/>
        <w:t>2.</w:t>
      </w:r>
      <w:r>
        <w:tab/>
        <w:t>Deben mantenerse los programas educativos relacionados con el mercado de tr</w:t>
      </w:r>
      <w:r>
        <w:t>a</w:t>
      </w:r>
      <w:r>
        <w:t>bajo;</w:t>
      </w:r>
    </w:p>
    <w:p w:rsidR="00000000" w:rsidRDefault="00000000">
      <w:pPr>
        <w:pStyle w:val="SingleTxt"/>
        <w:ind w:left="2218" w:hanging="951"/>
      </w:pPr>
      <w:r>
        <w:tab/>
        <w:t>3.</w:t>
      </w:r>
      <w:r>
        <w:tab/>
        <w:t>Es preciso aprovechar las posibilidades que ofrecen la armonización de las políticas regionales y el desarrollo del país. Es necesario instituir en 1998 una aplicación diferenciada del apoyo al mercado de trabajo en co</w:t>
      </w:r>
      <w:r>
        <w:t>n</w:t>
      </w:r>
      <w:r>
        <w:t>sonancia con las peculiaridades regionales, con lo que se fomentará en general la movilización y la flexibilidad del mercado de trabajo a nivel regional ;</w:t>
      </w:r>
    </w:p>
    <w:p w:rsidR="00000000" w:rsidRDefault="00000000">
      <w:pPr>
        <w:pStyle w:val="SingleTxt"/>
        <w:ind w:left="2218" w:hanging="951"/>
      </w:pPr>
      <w:r>
        <w:tab/>
        <w:t>4.</w:t>
      </w:r>
      <w:r>
        <w:tab/>
        <w:t>Es necesario que las organizaciones no gubernamentales sean más con</w:t>
      </w:r>
      <w:r>
        <w:t>s</w:t>
      </w:r>
      <w:r>
        <w:t>cientes de las tensiones en el empleo de lo que lo han sido hasta ahora. Las clases sociales a las que es difícil acceder por la vía cultural o regi</w:t>
      </w:r>
      <w:r>
        <w:t>o</w:t>
      </w:r>
      <w:r>
        <w:t>nal sólo pueden alcanzarse por los medios mencionados. Así pues, es n</w:t>
      </w:r>
      <w:r>
        <w:t>e</w:t>
      </w:r>
      <w:r>
        <w:t>cesario que el año próximo se construya o mantenga una red mediante la que se extienda la asistencia social y el empleo a aquellos que no pueden conseguir un trabajo de larga duración con los empleadores del sector competitivo;</w:t>
      </w:r>
    </w:p>
    <w:p w:rsidR="00000000" w:rsidRDefault="00000000">
      <w:pPr>
        <w:pStyle w:val="SingleTxt"/>
        <w:ind w:left="2218" w:hanging="951"/>
      </w:pPr>
      <w:r>
        <w:tab/>
        <w:t>5.</w:t>
      </w:r>
      <w:r>
        <w:tab/>
        <w:t>Es necesario elaborar y administrar gradualmente programas laborales para las personas de edad y para la mujer a medida que se deje sentir el efecto del aumento de la edad de jubilación en el mercado de trabajo. Es preciso prestar atención a la reintegración de las mujeres que vuelven al mercado de trabajo después de disfrutar de cualquiera de las prestaciones para el cuidado de los hijos.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En las “directrices sobre el empleo” se aborda la cuestión del apoyo laboral y la igualdad de oportunidades para la mujer por su importancia y en consonancia con el espíritu de la Convención sobre la eliminación de todas las formas de discrimin</w:t>
      </w:r>
      <w:r>
        <w:t>a</w:t>
      </w:r>
      <w:r>
        <w:t>ción co</w:t>
      </w:r>
      <w:r>
        <w:t>n</w:t>
      </w:r>
      <w:r>
        <w:t>tra la mujer.</w:t>
      </w:r>
    </w:p>
    <w:p w:rsidR="00000000" w:rsidRDefault="00000000">
      <w:pPr>
        <w:pStyle w:val="SingleTxt"/>
      </w:pPr>
      <w:r>
        <w:tab/>
        <w:t>Con la ayuda de la OIT como organismo coordinador, el Gobierno de los Pa</w:t>
      </w:r>
      <w:r>
        <w:t>í</w:t>
      </w:r>
      <w:r>
        <w:t>ses Bajos financió un proyecto de año y medio de duración en distintas regiones de Hungría en 1997 y 1998. El proyecto abarcó varios temas, como la mujer y la agr</w:t>
      </w:r>
      <w:r>
        <w:t>i</w:t>
      </w:r>
      <w:r>
        <w:t>cultura o la mujer y la empresa, y se realizaron programas en distintas ciudades de las regiones. En el marco de ese proyecto se consiguió la cooperación tripartita entre los empleados, los empleadores y los departamentos gubernamentales que se ocupan de la mujer. El objetivo último del proyecto era la presentación de los convenios y recomendaciones pertinentes de la OIT a una a</w:t>
      </w:r>
      <w:r>
        <w:t>u</w:t>
      </w:r>
      <w:r>
        <w:t>diencia más amplia.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3. Garantía de los derechos humanos y las libertades fundamentales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b/>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w:t>
      </w:r>
      <w:r>
        <w:tab/>
        <w:t>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Representación de la mujer</w:t>
      </w:r>
    </w:p>
    <w:p w:rsidR="00000000" w:rsidRDefault="00000000">
      <w:pPr>
        <w:pStyle w:val="SingleTxt"/>
        <w:spacing w:after="0" w:line="120" w:lineRule="exact"/>
        <w:rPr>
          <w:sz w:val="10"/>
        </w:rPr>
      </w:pPr>
    </w:p>
    <w:p w:rsidR="00000000" w:rsidRDefault="00000000">
      <w:pPr>
        <w:pStyle w:val="SingleTxt"/>
      </w:pPr>
      <w:r>
        <w:tab/>
        <w:t>Tras el colapso del sistema socialista, varias cuestiones nacionales y económ</w:t>
      </w:r>
      <w:r>
        <w:t>i</w:t>
      </w:r>
      <w:r>
        <w:t>cas fundamentales quedaron sin resolver, incluido el problema de la igualdad entre el hombre y la mujer. Los “logros incumplidos” guardaban una estrecha relación con la ausencia de fuerzas del mercado y la falta de atención a la sociedad civil. Básic</w:t>
      </w:r>
      <w:r>
        <w:t>a</w:t>
      </w:r>
      <w:r>
        <w:t>mente esas son las esferas en las que han comenzado los cambios.</w:t>
      </w:r>
    </w:p>
    <w:p w:rsidR="00000000" w:rsidRDefault="00000000">
      <w:pPr>
        <w:pStyle w:val="SingleTxt"/>
      </w:pPr>
      <w:r>
        <w:tab/>
        <w:t>El cambio en la proporción de mujeres en el Parlamento sirve para ilustrar que durante la era socialista la igualdad era tan sólo una ilusión: un tercio de los escaños del Parlamento estaban ocupados por mujeres, proporción que no se ha alcanzado en ningún país del mundo, salvo en los países nórdicos. Esa importante participación de la mujer en el Parlamento desapareció, sin embargo, con las primeras elecciones democráticas. Ello demuestra que el sistema socialista ha fracasado en el establec</w:t>
      </w:r>
      <w:r>
        <w:t>i</w:t>
      </w:r>
      <w:r>
        <w:t>miento de una igualdad entre el hombre y la mujer legitimada y preservada por los ciudadanos.</w:t>
      </w:r>
    </w:p>
    <w:p w:rsidR="00000000" w:rsidRDefault="00000000">
      <w:pPr>
        <w:pStyle w:val="SingleTxt"/>
      </w:pPr>
      <w:r>
        <w:tab/>
        <w:t>A pesar de que las normas garantizan en apariencia la igualdad entre los ho</w:t>
      </w:r>
      <w:r>
        <w:t>m</w:t>
      </w:r>
      <w:r>
        <w:t>bres y las mujeres en el matrimonio, la distribución de poderes en la familia sigue siendo desequilibrada. El Estado tomó parte en la imposición de una “doble carga” sobre la mujer: tras las largas horas de trabajo remunerado continuaban trabajando en casa. Las cifras muestran que el promedio de la jornada laboral de las mujeres en la Europa central y oriental alcanza las 70 horas semanales, 15 horas más que la de las mujeres de Europa occidental.</w:t>
      </w:r>
    </w:p>
    <w:p w:rsidR="00000000" w:rsidRDefault="00000000">
      <w:pPr>
        <w:pStyle w:val="SingleTxt"/>
      </w:pPr>
      <w:r>
        <w:tab/>
        <w:t>Está comprobado que la violencia contra la mujer está muy difundida. Sin e</w:t>
      </w:r>
      <w:r>
        <w:t>m</w:t>
      </w:r>
      <w:r>
        <w:t>bargo, los especialistas que trabajan en las esferas penal, de los servicios de salud pública, los servicios sociales y la educación muy a menudo no están preparados p</w:t>
      </w:r>
      <w:r>
        <w:t>a</w:t>
      </w:r>
      <w:r>
        <w:t>ra reconocer y enfrentarse a la violencia contra la mujer, especialmente dentro de la fam</w:t>
      </w:r>
      <w:r>
        <w:t>i</w:t>
      </w:r>
      <w:r>
        <w:t>lia.</w:t>
      </w:r>
    </w:p>
    <w:p w:rsidR="00000000" w:rsidRDefault="00000000">
      <w:pPr>
        <w:pStyle w:val="SingleTxt"/>
      </w:pPr>
      <w:r>
        <w:tab/>
        <w:t>El proceso de cambio, al romper el monopolio del Estado en las esferas polít</w:t>
      </w:r>
      <w:r>
        <w:t>i</w:t>
      </w:r>
      <w:r>
        <w:t>ca, económica y social, creó para las mujeres una situación en las que habrán de crearse las condiciones para conseguir la igualdad.</w:t>
      </w:r>
    </w:p>
    <w:p w:rsidR="00000000" w:rsidRDefault="00000000">
      <w:pPr>
        <w:pStyle w:val="SingleTxt"/>
      </w:pPr>
      <w:r>
        <w:tab/>
        <w:t>Tras los cambios de 1989, con el desarrollo repentino de la sociedad civil, se fundaron súbitamente docenas de organizaciones de mujeres. Mientras que el núm</w:t>
      </w:r>
      <w:r>
        <w:t>e</w:t>
      </w:r>
      <w:r>
        <w:t>ro de otras organizaciones civiles aumentó rápidamente entre 1989 y 1992 (se tripl</w:t>
      </w:r>
      <w:r>
        <w:t>i</w:t>
      </w:r>
      <w:r>
        <w:t>có en tres años), el número de grupos de mujeres apenas aumentó. El ritmo de est</w:t>
      </w:r>
      <w:r>
        <w:t>a</w:t>
      </w:r>
      <w:r>
        <w:t>blecimiento de organizaciones de mujeres es por ahora insignificante cuando se compara con el número de otras organizaciones civiles. En 1995 se registraron más de 43.000 organizaciones. En esa cifra se incluyen organizaciones no gubername</w:t>
      </w:r>
      <w:r>
        <w:t>n</w:t>
      </w:r>
      <w:r>
        <w:t>tales, fundaciones y asociaciones. Según datos de 1999, el número de organizaciones civiles ascendió a 57.000, de las que sólo funcionan unas 30.000. En un folleto p</w:t>
      </w:r>
      <w:r>
        <w:t>u</w:t>
      </w:r>
      <w:r>
        <w:t>blicado en 1998 en el que se registraban las organizaciones de mujeres figuraban 38 organizaciones de ese tipo. En 1999 participaron en el foro civil de la Oficina de Asuntos de la Mujer 70 organizaciones, sin embargo la secretaría está en contacto con más de 150 que se dedican exclusiva o parcialmente a la mujer.</w:t>
      </w:r>
    </w:p>
    <w:p w:rsidR="00000000" w:rsidRDefault="00000000">
      <w:pPr>
        <w:pStyle w:val="SingleTxt"/>
      </w:pPr>
      <w:r>
        <w:tab/>
        <w:t>Los avances en la esfera de las organizaciones de la mujer pueden considerarse pequeños en los últimos diez años. Entre las razones del bajo número y la actividad limitada de las organizaciones de mujeres puede citarse, además de los motivos f</w:t>
      </w:r>
      <w:r>
        <w:t>i</w:t>
      </w:r>
      <w:r>
        <w:t>nancieros, la falta de asistencia social. La falta de experiencia hace que la formación de organizaciones sea más difícil. Hasta ahora ha habido tres temas en los que las organizaciones de mujeres han expresado su opinión ante el público y han organiz</w:t>
      </w:r>
      <w:r>
        <w:t>a</w:t>
      </w:r>
      <w:r>
        <w:t>do campañas más importantes (con carteles, folletos, debates y recogida de fi</w:t>
      </w:r>
      <w:r>
        <w:t>r</w:t>
      </w:r>
      <w:r>
        <w:t>mas) de forma conjunta o por separado: en relación con el debate de la Ley de pr</w:t>
      </w:r>
      <w:r>
        <w:t>o</w:t>
      </w:r>
      <w:r>
        <w:t>tección de la vida fetal (1991-1992), el aumento de la edad de jubilación de las m</w:t>
      </w:r>
      <w:r>
        <w:t>u</w:t>
      </w:r>
      <w:r>
        <w:t>jeres y la normativa sobre la prostitución. En esos casos la actividad de las organiz</w:t>
      </w:r>
      <w:r>
        <w:t>a</w:t>
      </w:r>
      <w:r>
        <w:t>ciones de mujeres influyó en el trabajo de los encargados de la adopción de decisi</w:t>
      </w:r>
      <w:r>
        <w:t>o</w:t>
      </w:r>
      <w:r>
        <w:t xml:space="preserve">nes. Por ejemplo, los portavoces de las organizaciones de mujeres participaron como expertos en la preparación de las decisiones. Las medidas de reforma de 1995, como consecuencia de las cuales se redujeron drásticamente las prestaciones públicas para la maternidad y el la atención social para el cuidado de los hijos, estuvieron seguidas de menos debates (el Gobierno que tomó posesión en 1998 volvió a ampliar las prestaciones por maternidad). </w:t>
      </w:r>
    </w:p>
    <w:p w:rsidR="00000000" w:rsidRDefault="00000000">
      <w:pPr>
        <w:pStyle w:val="SingleTxt"/>
      </w:pPr>
      <w:r>
        <w:tab/>
        <w:t>El Consejo de Asuntos de la Mujer participó periódicamente en foros civiles para recoger sus puntos de vista durante la preparación de proyectos de ley. M</w:t>
      </w:r>
      <w:r>
        <w:t>e</w:t>
      </w:r>
      <w:r>
        <w:t>diante elecciones democráticas celebradas en 1999, sobre la base de la propuesta de las organizaciones civiles, pudieron elegirse miembros de 34 organizaciones que ocuparon 6 puestos. Los intereses de las mujeres que trabajan en el sector agrícola y viven en pequeñas aldeas no están representados en las organizaciones sociales. E</w:t>
      </w:r>
      <w:r>
        <w:t>n</w:t>
      </w:r>
      <w:r>
        <w:t>tre los miembros de las organizaciones de mujeres apenas pueden encontrarse muj</w:t>
      </w:r>
      <w:r>
        <w:t>e</w:t>
      </w:r>
      <w:r>
        <w:t>res con hijos pequeños. Las participantes suelen proceder del colectivo de mujeres sin hijos o de mujeres con hijos mayores, tal vez en edad escolar. También es alta la participación en las organizaciones de mujeres de las que están solteras o divorci</w:t>
      </w:r>
      <w:r>
        <w:t>a</w:t>
      </w:r>
      <w:r>
        <w:t xml:space="preserve">das y de las madres que crían a sus hijos solas. En cuanto a la edad de los miembros de las organizaciones de mujeres, la mayoría son de edad mediana o mayores. Las mujeres jóvenes rara vez toman parte en las actividades de las organizaciones de mujeres.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Mujeres en condiciones concretas</w:t>
      </w:r>
    </w:p>
    <w:p w:rsidR="00000000" w:rsidRDefault="00000000">
      <w:pPr>
        <w:pStyle w:val="SingleTxt"/>
        <w:spacing w:after="0" w:line="120" w:lineRule="exact"/>
        <w:rPr>
          <w:sz w:val="10"/>
        </w:rPr>
      </w:pPr>
    </w:p>
    <w:p w:rsidR="00000000" w:rsidRDefault="00000000">
      <w:pPr>
        <w:pStyle w:val="SingleTxt"/>
      </w:pPr>
      <w:r>
        <w:tab/>
      </w:r>
      <w:r>
        <w:rPr>
          <w:i/>
        </w:rPr>
        <w:t>Madres solas</w:t>
      </w:r>
      <w:r>
        <w:t xml:space="preserve"> que viven por debajo del umbral de la pobreza. Es evidente la necesidad de apoyo de las familias con un número de hijos superior al promedio y las jóvenes madres solas.</w:t>
      </w:r>
    </w:p>
    <w:p w:rsidR="00000000" w:rsidRDefault="00000000">
      <w:pPr>
        <w:pStyle w:val="SingleTxt"/>
      </w:pPr>
      <w:r>
        <w:tab/>
      </w:r>
      <w:r>
        <w:rPr>
          <w:i/>
        </w:rPr>
        <w:t>Madres romaníes</w:t>
      </w:r>
      <w:r>
        <w:t>. Como muchos problemas relacionados con los romaníes, r</w:t>
      </w:r>
      <w:r>
        <w:t>e</w:t>
      </w:r>
      <w:r>
        <w:t>quieren programas y planes de acción en muchas esferas de la sociedad húngara a</w:t>
      </w:r>
      <w:r>
        <w:t>c</w:t>
      </w:r>
      <w:r>
        <w:t>tual y se está celebrando un diálogo continuo en relación con los romaníes, tal vez merezca la pena mencionar la situación de las madres de ese colectivo. Ese probl</w:t>
      </w:r>
      <w:r>
        <w:t>e</w:t>
      </w:r>
      <w:r>
        <w:t>ma surgió también en la conferencia de organizaciones civiles celebrada en Tampere en diciembre de 1999, organizada por la Presidencia del Consejo de Europa, en la que se expresaron expectativas con respecto a Hungría (y otros países de Europa central y oriental del antiguo bloque socialista, en particular Eslovaquia). La sol</w:t>
      </w:r>
      <w:r>
        <w:t>u</w:t>
      </w:r>
      <w:r>
        <w:t>ción del denominado “problema romaní” parece ser una de las condiciones para el acceso de Hungría a la Unión Europea.</w:t>
      </w:r>
    </w:p>
    <w:p w:rsidR="00000000" w:rsidRDefault="00000000">
      <w:pPr>
        <w:pStyle w:val="SingleTxt"/>
      </w:pPr>
      <w:r>
        <w:tab/>
        <w:t>Es un hecho bien conocido que entre los romaníes, además del ajuste gradual a los avances sociales, la tasa de nacimientos es todavía mucho más alta que en otros segmentos de la sociedad y las niñas se convierten en madres a una edad mucho más temprana que el promedio. En 1993, el número de nacimientos entre el grupo de edad de entre 15 y 19 años fue de 34 por cada mil mujeres, mientras que en el mi</w:t>
      </w:r>
      <w:r>
        <w:t>s</w:t>
      </w:r>
      <w:r>
        <w:t>mo grupo de edad de los romaníes (consolidado en 1990-1993) el número de nac</w:t>
      </w:r>
      <w:r>
        <w:t>i</w:t>
      </w:r>
      <w:r>
        <w:t>mientos fue de 137 por cada mil mujeres. El motivo no es la promiscuidad sexual, sino el hecho de que en las familias romaníes tradicionales se considera que los j</w:t>
      </w:r>
      <w:r>
        <w:t>ó</w:t>
      </w:r>
      <w:r>
        <w:t>venes alcanzan antes la edad adulta (la tasa de nacimientos en el grupo de edad entre 20 y 24 años era respectivamente de 123,8 y 217 nacimientos por cada mil mujeres, en el grupo de entre 25 y 29 años era de 112,3 y 141,6 respectivamente, en el grupo de entre 31 y 34 años fue de 48,1 y 98,4 respectivamente, en el grupo de entre 35 y 39 fue de 16,1 y 51,9 respectivamente y en el de entre 41 y 49 años fue de 1,9 y 10,4 respectivamente).</w:t>
      </w:r>
    </w:p>
    <w:p w:rsidR="00000000" w:rsidRDefault="00000000">
      <w:pPr>
        <w:pStyle w:val="SingleTxt"/>
      </w:pPr>
      <w:r>
        <w:tab/>
        <w:t>En la escala de valores tradicional de los romaníes la fertilidad ocupa un puesto destacado y es bien conocido que las mujeres romaníes son amantes de los niños y bu</w:t>
      </w:r>
      <w:r>
        <w:t>e</w:t>
      </w:r>
      <w:r>
        <w:t xml:space="preserve">nas madres. (Obviamente hay excepciones.) </w:t>
      </w:r>
    </w:p>
    <w:p w:rsidR="00000000" w:rsidRDefault="00000000">
      <w:pPr>
        <w:pStyle w:val="SingleTxt"/>
      </w:pPr>
      <w:r>
        <w:tab/>
        <w:t>Además de lo que se ha mencionado hay un grave problema por resolver que es consecuencia del bajo nivel educativo entre la población romaní: la tasa de d</w:t>
      </w:r>
      <w:r>
        <w:t>e</w:t>
      </w:r>
      <w:r>
        <w:t>sempleo es mucho más alta que la de la población general. Así pues, las personas romaníes que están criando hijos se encuentran en una situación extraordinariamente mala. Hay aldeas romaníes donde la práctica totalidad de la población está dese</w:t>
      </w:r>
      <w:r>
        <w:t>m</w:t>
      </w:r>
      <w:r>
        <w:t>pleada (en particular en las partes septentrional y nororiental del país) y la gran e</w:t>
      </w:r>
      <w:r>
        <w:t>x</w:t>
      </w:r>
      <w:r>
        <w:t>tensión de la pobreza evidentemente afecta más a los niños. Son muchas las familias romaníes que viven tan sólo de los subsidios. La malnutrición, la vivienda inadecu</w:t>
      </w:r>
      <w:r>
        <w:t>a</w:t>
      </w:r>
      <w:r>
        <w:t>da y las malas condiciones higiénicas han tenido efectos adversos en la salud de las familias. Según los trabajadores de atención sanitaria que visitan con frecuencia a las familias romaníes, las madres jóvenes tienen necesidad de atención psicológica.</w:t>
      </w:r>
    </w:p>
    <w:p w:rsidR="00000000" w:rsidRDefault="00000000">
      <w:pPr>
        <w:pStyle w:val="SingleTxt"/>
      </w:pPr>
      <w:r>
        <w:tab/>
        <w:t>En el caso de los romaníes jóvenes la necesidad de educación es aún mayor, como se ha destacado más arriba, comenzando a una edad temprana, y también es necesario el apoyo (no solamente financiero) a las madres jóvenes. Debido a los valores tradicionales de los romaníes (es necesario destacar el respeto a la matern</w:t>
      </w:r>
      <w:r>
        <w:t>i</w:t>
      </w:r>
      <w:r>
        <w:t>dad y la preservación de los lazos familiares), la educación no debe separarse de la cultura romaní, sino desarrollar un sentido de responsabilidad mutua entre los niños y niñas jóvenes y sus hijos sobre la base de esos elementos positivos, así como el sentido del deber que surge de ellos. Los servicios de apoyo a la familia, atención psicológica, gestión de crisis y mediación, forman parte de la concepción de la pol</w:t>
      </w:r>
      <w:r>
        <w:t>í</w:t>
      </w:r>
      <w:r>
        <w:t>tica nacional de la familia, así como del tratamiento de los problemas de las familias romaníes o las familias que viven con niños discapacitados.</w:t>
      </w:r>
    </w:p>
    <w:p w:rsidR="00000000" w:rsidRDefault="00000000">
      <w:pPr>
        <w:pStyle w:val="SingleTxt"/>
      </w:pPr>
      <w:r>
        <w:tab/>
      </w:r>
      <w:r>
        <w:rPr>
          <w:i/>
        </w:rPr>
        <w:t>Mujeres discapacitadas</w:t>
      </w:r>
      <w:r>
        <w:t>. En la Ley XXVI de 1998 sobre los derechos de las personas discapacitadas y la garantía de la igualdad de oportunidades para esas pe</w:t>
      </w:r>
      <w:r>
        <w:t>r</w:t>
      </w:r>
      <w:r>
        <w:t>sonas se contempla el fomento de su integración en la sociedad sin distinción alguna por motivos de sexo. Con el fin de establecer los cimientos de las medidas encam</w:t>
      </w:r>
      <w:r>
        <w:t>i</w:t>
      </w:r>
      <w:r>
        <w:t>nadas a lograr la igualdad de oportunidades, el Parlamento aprobó la resolución No. 100/1999 (XII.10.) sobre el Programa nacional para las personas discapacitadas y aprobó un proyecto de medidas de mediano plazo.</w:t>
      </w:r>
    </w:p>
    <w:p w:rsidR="00000000" w:rsidRDefault="00000000">
      <w:pPr>
        <w:pStyle w:val="SingleTxt"/>
      </w:pPr>
      <w:r>
        <w:tab/>
      </w:r>
      <w:r>
        <w:rPr>
          <w:i/>
        </w:rPr>
        <w:t>Mujeres de mediana edad o mayores</w:t>
      </w:r>
      <w:r>
        <w:t>. Según el párrafo 2 de la resolución del Gobierno No. 1119/1997 (XI.26.) de 1998 sobre las Directrices de empleo, la redu</w:t>
      </w:r>
      <w:r>
        <w:t>c</w:t>
      </w:r>
      <w:r>
        <w:t>ción de la desigualdad de oportunidades en el mercado de trabajo recibirá el apoyo de programas especiales dirigidos. Es necesario diseñar programas sobre el mercado de trabajo para las personas de edad y las mujeres que deberán ponerse en marcha gradualmente, a medida que se deje sentir el efecto del aumento de la edad de jub</w:t>
      </w:r>
      <w:r>
        <w:t>i</w:t>
      </w:r>
      <w:r>
        <w:t>lación en el mercado de trabajo.</w:t>
      </w:r>
    </w:p>
    <w:p w:rsidR="00000000" w:rsidRDefault="00000000">
      <w:pPr>
        <w:pStyle w:val="SingleTxt"/>
      </w:pPr>
      <w:r>
        <w:tab/>
      </w:r>
      <w:r>
        <w:rPr>
          <w:i/>
        </w:rPr>
        <w:t>Mujeres refugiadas</w:t>
      </w:r>
      <w:r>
        <w:t>. Con la entrad en vigor de la legislación sobre los refugi</w:t>
      </w:r>
      <w:r>
        <w:t>a</w:t>
      </w:r>
      <w:r>
        <w:t>dos el primero de marzo de 1998, el Gobierno de Hungría eliminó las restricciones geográficas que se aplicaban anteriormente en virtud de las cuales sólo se aceptaban refugiados de origen europeo. En consecuencia, Hungría está dispuesta ya a recibir también refugiados de fuera de Europa.</w:t>
      </w:r>
    </w:p>
    <w:p w:rsidR="00000000" w:rsidRDefault="00000000">
      <w:pPr>
        <w:pStyle w:val="SingleTxt"/>
      </w:pPr>
      <w:r>
        <w:tab/>
        <w:t>Entre 1989 y 1998 se tramitaron 13.187 solicitudes de reconocimiento del e</w:t>
      </w:r>
      <w:r>
        <w:t>s</w:t>
      </w:r>
      <w:r>
        <w:t>tatuto de refugiado (de los solicitantes que obtuvieron el estatuto de refugiados de 1998, 1.242 fueron mujeres y 1.414 niños).</w:t>
      </w:r>
    </w:p>
    <w:p w:rsidR="00000000" w:rsidRDefault="00000000">
      <w:pPr>
        <w:pStyle w:val="SingleTxt"/>
      </w:pPr>
      <w:r>
        <w:tab/>
        <w:t>En Hungría, las solicitudes del estatuto de refugiado se tramitan en la Oficina para los refugiados y la inmigración. Los refugiados se albergan en campamentos de refugiados y albergues comunitarios. Una determinada cantidad de recursos del pr</w:t>
      </w:r>
      <w:r>
        <w:t>e</w:t>
      </w:r>
      <w:r>
        <w:t>supuesto del Estado y del presupuesto del Ministerio del Interior se dedica a satisf</w:t>
      </w:r>
      <w:r>
        <w:t>a</w:t>
      </w:r>
      <w:r>
        <w:t>cer las necesidades básicas de los refugiados (alimentación y alojamiento). Esos r</w:t>
      </w:r>
      <w:r>
        <w:t>e</w:t>
      </w:r>
      <w:r>
        <w:t>cursos sirven para sufragar los gastos de la Oficina para los refugiados y la inmigr</w:t>
      </w:r>
      <w:r>
        <w:t>a</w:t>
      </w:r>
      <w:r>
        <w:t>ción y el mantenimiento de los a</w:t>
      </w:r>
      <w:r>
        <w:t>l</w:t>
      </w:r>
      <w:r>
        <w:t>bergues comunitarios.</w:t>
      </w:r>
    </w:p>
    <w:p w:rsidR="00000000" w:rsidRDefault="00000000">
      <w:pPr>
        <w:pStyle w:val="SingleTxt"/>
      </w:pPr>
      <w:r>
        <w:tab/>
        <w:t>La mitad de las personas que solicitan el estatuto de refugiados en Hungría r</w:t>
      </w:r>
      <w:r>
        <w:t>e</w:t>
      </w:r>
      <w:r>
        <w:t>siden en campamentos facilitados por la Oficina para los refugiados y la inmigración y la otra mitad reside en albergues facilitados por el ejército en los puntos de entrada de los inmigrantes. Han de observarse normas estrictas, aunque diferentes, en los campamentos de los refugiados y en los albergues militares y comunitarios.</w:t>
      </w:r>
    </w:p>
    <w:p w:rsidR="00000000" w:rsidRDefault="00000000">
      <w:pPr>
        <w:pStyle w:val="SingleTxt"/>
      </w:pPr>
      <w:r>
        <w:tab/>
        <w:t>Los que residen en campamentos de refugiados reciben atención de forma gratuita. Además, los mayores de 14 años reciben una pequeña cantidad de dinero de bolsillo pasados tres meses de estancia en uno de los campame</w:t>
      </w:r>
      <w:r>
        <w:t>n</w:t>
      </w:r>
      <w:r>
        <w:t>tos.</w:t>
      </w:r>
    </w:p>
    <w:p w:rsidR="00000000" w:rsidRDefault="00000000">
      <w:pPr>
        <w:pStyle w:val="SingleTxt"/>
      </w:pPr>
      <w:r>
        <w:tab/>
        <w:t>En los campamentos de refugiados se reconocen y respetan las tradiciones culturales y religiosas. Se tiene un cuidado especial en mantener unidas a las fam</w:t>
      </w:r>
      <w:r>
        <w:t>i</w:t>
      </w:r>
      <w:r>
        <w:t>lias y en respetar el papel social tradicional de la mujer. Se proporciona toda la asistencia necesaria para que los refugiados de distintas nacionalidades, con disti</w:t>
      </w:r>
      <w:r>
        <w:t>n</w:t>
      </w:r>
      <w:r>
        <w:t>tos antecedentes culturales y religiosos, puedan mantener sus costumbres religiosas.</w:t>
      </w:r>
    </w:p>
    <w:p w:rsidR="00000000" w:rsidRDefault="00000000">
      <w:pPr>
        <w:pStyle w:val="SingleTxt"/>
      </w:pPr>
      <w:r>
        <w:tab/>
        <w:t>En los campamentos se hace todo lo posible para que los trabajadores sociales y los voluntarios ayuden a los profesionales en el cuidado y la educación de los n</w:t>
      </w:r>
      <w:r>
        <w:t>i</w:t>
      </w:r>
      <w:r>
        <w:t>ños con el fin de ofrecer una ayuda especial a las mujeres. Además, se imparte ed</w:t>
      </w:r>
      <w:r>
        <w:t>u</w:t>
      </w:r>
      <w:r>
        <w:t>cación en su propio idioma a los niños en edad de asistir a la escuela primaria. Se facilitan espacios separados para las familias en la medida en que la situación de los refugiados lo hace posible, con especial atención a las necesidades de las madres con hijos pequeños. En los campamentos se ofrece atención sanitaria las 24 horas del día. También se proporciona tratamiento psicológico para las mujeres y los niños traumatiz</w:t>
      </w:r>
      <w:r>
        <w:t>a</w:t>
      </w:r>
      <w:r>
        <w:t>dos.</w:t>
      </w:r>
    </w:p>
    <w:p w:rsidR="00000000" w:rsidRDefault="00000000">
      <w:pPr>
        <w:pStyle w:val="SingleTxt"/>
      </w:pPr>
      <w:r>
        <w:tab/>
        <w:t>Sería deseable llamar la atención de las organizaciones no gubernamentales y de la Oficina para los refugiados y la inmigración y los gobiernos locales hacia la situación de las madres solas con hijos en los campamentos de los refugiados. Es necesario poner en marcha programas sociales para prestar apoyo a las mujeres en sus nu</w:t>
      </w:r>
      <w:r>
        <w:t>e</w:t>
      </w:r>
      <w:r>
        <w:t>vas circunstancias.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Violencia en la familia</w:t>
      </w:r>
    </w:p>
    <w:p w:rsidR="00000000" w:rsidRDefault="00000000">
      <w:pPr>
        <w:pStyle w:val="SingleTxt"/>
        <w:spacing w:after="0" w:line="120" w:lineRule="exact"/>
        <w:rPr>
          <w:sz w:val="10"/>
        </w:rPr>
      </w:pPr>
    </w:p>
    <w:p w:rsidR="00000000" w:rsidRDefault="00000000">
      <w:pPr>
        <w:pStyle w:val="SingleTxt"/>
      </w:pPr>
      <w:r>
        <w:tab/>
        <w:t>El número de delitos violentos cometidos dentro de la familia, a menudo de</w:t>
      </w:r>
      <w:r>
        <w:t>n</w:t>
      </w:r>
      <w:r>
        <w:t>tro del hogar, es extremadamente alto. Desde el punto de vista de convertirse en víctima de un delito, el entorno más peligroso para la mujer es la familia, el lugar más peligroso es el hogar y el atacante más probable es el marido, el compañero, el ex marido o el ex co</w:t>
      </w:r>
      <w:r>
        <w:t>m</w:t>
      </w:r>
      <w:r>
        <w:t>pañero.</w:t>
      </w:r>
    </w:p>
    <w:p w:rsidR="00000000" w:rsidRDefault="00000000">
      <w:pPr>
        <w:pStyle w:val="SingleTxt"/>
      </w:pPr>
      <w:r>
        <w:tab/>
        <w:t>Para medir la incidencia del abuso en la familia se realizó un estudio minuci</w:t>
      </w:r>
      <w:r>
        <w:t>o</w:t>
      </w:r>
      <w:r>
        <w:t>so. Ese estudio mostró que el homicidio y las heridas graves eran a menudo el r</w:t>
      </w:r>
      <w:r>
        <w:t>e</w:t>
      </w:r>
      <w:r>
        <w:t>sultado de esa violencia. (Véanse los cuadros 1.1, 1.2 y 1.3 del anexo sobre el tema de la vi</w:t>
      </w:r>
      <w:r>
        <w:t>o</w:t>
      </w:r>
      <w:r>
        <w:t>lencia en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II.</w:t>
      </w:r>
      <w:r>
        <w:tab/>
        <w:t>a.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continuación se presentan las normas jurídicas más importantes de Hungría en relación con la violencia en la familia (malos tratos a la esposa).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Constitución</w:t>
      </w:r>
    </w:p>
    <w:p w:rsidR="00000000" w:rsidRDefault="00000000">
      <w:pPr>
        <w:pStyle w:val="SingleTxt"/>
        <w:spacing w:after="0" w:line="120" w:lineRule="exact"/>
        <w:rPr>
          <w:sz w:val="10"/>
        </w:rPr>
      </w:pPr>
    </w:p>
    <w:p w:rsidR="00000000" w:rsidRDefault="00000000">
      <w:pPr>
        <w:pStyle w:val="SingleTxt"/>
      </w:pPr>
      <w:r>
        <w:tab/>
        <w:t>En la constitución se reconocen y protegen los derechos humanos y las libert</w:t>
      </w:r>
      <w:r>
        <w:t>a</w:t>
      </w:r>
      <w:r>
        <w:t>des fundamentales, incluidos aquellos cuya violación se considera importante en la recomendación general No. 19 desde el punto de vista de la violencia contra la m</w:t>
      </w:r>
      <w:r>
        <w:t>u</w:t>
      </w:r>
      <w:r>
        <w:t>jer (malos tratos a la esposa).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Código Penal</w:t>
      </w:r>
    </w:p>
    <w:p w:rsidR="00000000" w:rsidRDefault="00000000">
      <w:pPr>
        <w:pStyle w:val="SingleTxt"/>
        <w:spacing w:after="0" w:line="120" w:lineRule="exact"/>
        <w:rPr>
          <w:sz w:val="10"/>
        </w:rPr>
      </w:pPr>
    </w:p>
    <w:p w:rsidR="00000000" w:rsidRDefault="00000000">
      <w:pPr>
        <w:pStyle w:val="SingleTxt"/>
      </w:pPr>
      <w:r>
        <w:tab/>
        <w:t>En el Código Penal vigente no figura ninguna disposición particular, es decir, no se tipifican especialmente los delitos relacionados con las heridas causadas a pe</w:t>
      </w:r>
      <w:r>
        <w:t>r</w:t>
      </w:r>
      <w:r>
        <w:t>sonas próximas dentro de la familia. (Al contrario de lo que sucede en algunos otros países en los que esos actos se consideran delitos diferentes, cualquiera que sea la gravedad de las heridas.) Sin embargo, en el marco de varias disposiciones del C</w:t>
      </w:r>
      <w:r>
        <w:t>ó</w:t>
      </w:r>
      <w:r>
        <w:t>digo Penal es (sería) posible incoar un procedimiento penal e imponer sanciones a los que inflijan cualquier forma de malos tratos a la esposa.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Delitos de carácter sexual</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t>–</w:t>
      </w:r>
      <w:r>
        <w:tab/>
        <w:t>Violación (desde la modificación del Código Penal en 1997, la violación con</w:t>
      </w:r>
      <w:r>
        <w:t>s</w:t>
      </w:r>
      <w:r>
        <w:t>tituye un delito también en el seno del matrimonio)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t>–</w:t>
      </w:r>
      <w:r>
        <w:tab/>
        <w:t>Abusos deshonestos (desde la modificación del Código Penal en 1997, ese acto constituye también delito dentro del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Ley de contravención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Amenazas graves (entre las conductas prohibidas entre la Ley de contravención, ésta ha sido de la mayor importancia práctica en la esfera de la violencia familiar).</w:t>
      </w:r>
    </w:p>
    <w:p w:rsidR="00000000" w:rsidRDefault="00000000">
      <w:pPr>
        <w:pStyle w:val="SingleTxt"/>
        <w:spacing w:after="0" w:line="120" w:lineRule="exact"/>
        <w:rPr>
          <w:sz w:val="10"/>
        </w:rPr>
      </w:pPr>
    </w:p>
    <w:p w:rsidR="00000000" w:rsidRDefault="00000000">
      <w:pPr>
        <w:pStyle w:val="SingleTxt"/>
      </w:pPr>
      <w:r>
        <w:tab/>
        <w:t>La Ley III de 1952 de Procedimiento Civil no contiene disposición alguna en virtud de la cual los casos relacionados con la violencia familiar deban tramitarse con especial rapidez o mediante un procedimiento acelerado. (Tampoco la Ley de Enjuiciamiento Criminal contiene ninguna disposición en ese sentido). Una cons</w:t>
      </w:r>
      <w:r>
        <w:t>e</w:t>
      </w:r>
      <w:r>
        <w:t>cuencia lamentable es la posible dilación de los procedimientos relacionados con la violencia familiar (disolución del matrimonio, procedimientos sobre la custodia de los hijos, medidas de reparto de bienes, usufructo de la vivienda, etc.) durante años, por lo que las mujeres que huyen del abuso tienen que vivir como fugitivas, sin h</w:t>
      </w:r>
      <w:r>
        <w:t>o</w:t>
      </w:r>
      <w:r>
        <w:t>gar. Para que haya medidas eficaces sobre la violencia familiar y posibilidades re</w:t>
      </w:r>
      <w:r>
        <w:t>a</w:t>
      </w:r>
      <w:r>
        <w:t>les de ejercer los derechos, sería esencial acelerar esos procedimientos y hacer que sean más eficaces o, cuando menos, estudiar al menos la posibilidad de hacerlo.</w:t>
      </w:r>
    </w:p>
    <w:p w:rsidR="00000000" w:rsidRDefault="00000000">
      <w:pPr>
        <w:pStyle w:val="SingleTxt"/>
      </w:pPr>
      <w:r>
        <w:tab/>
        <w:t>Sobre la base de la Ley de protección de los niños (Ley XXI de 1997) se des</w:t>
      </w:r>
      <w:r>
        <w:t>a</w:t>
      </w:r>
      <w:r>
        <w:t>rrolló y fortaleció el sistema de servicios de apoyo a la familia (bienestar de los n</w:t>
      </w:r>
      <w:r>
        <w:t>i</w:t>
      </w:r>
      <w:r>
        <w:t>ños). En el marco de esas instituciones surge la posibilidad de actuar para evitar y gestionar la violencia familiar y apoyar a las víctimas. En la ley se establece que si madre e hijos se ven obligados a abandonar el domicilio común, se les proporcion</w:t>
      </w:r>
      <w:r>
        <w:t>a</w:t>
      </w:r>
      <w:r>
        <w:t>rá alojamiento. La madre no tiene que preocuparse de que se le arrebate a su hijo. Hasta que se soluciona su problema se les aloja en los llamados hogares de familia. Con la asistencia continuada de los trabajadores sociales en esos hogares se sensib</w:t>
      </w:r>
      <w:r>
        <w:t>i</w:t>
      </w:r>
      <w:r>
        <w:t>lizan acerca de la violencia familiar, el peligro que supone para las víctimas, la e</w:t>
      </w:r>
      <w:r>
        <w:t>s</w:t>
      </w:r>
      <w:r>
        <w:t>trecha relación entre los malos tratos a la esposa y a los hijos y otros problemas c</w:t>
      </w:r>
      <w:r>
        <w:t>o</w:t>
      </w:r>
      <w:r>
        <w:t>nexos. Con la introducción de modelos coordinados de asistencia los servicios de apoyo a la familia cooperarán continuamente con otros órganos públicos y no g</w:t>
      </w:r>
      <w:r>
        <w:t>u</w:t>
      </w:r>
      <w:r>
        <w:t>bernamentales para aumentar la eficacia de las intervenciones contra la violencia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Ley social</w:t>
      </w:r>
    </w:p>
    <w:p w:rsidR="00000000" w:rsidRDefault="00000000">
      <w:pPr>
        <w:pStyle w:val="SingleTxt"/>
        <w:spacing w:after="0" w:line="120" w:lineRule="exact"/>
        <w:rPr>
          <w:sz w:val="10"/>
        </w:rPr>
      </w:pPr>
    </w:p>
    <w:p w:rsidR="00000000" w:rsidRDefault="00000000">
      <w:pPr>
        <w:pStyle w:val="SingleTxt"/>
      </w:pPr>
      <w:r>
        <w:tab/>
        <w:t>Las formas y el sistema de asistencia institucional (pública) para las personas que pierden su hogar se establece en la Ley social (Ley III de 1993). Es importante desde el punto de vista de la cuestión que se trata en el presente informe el que en la ley no figura el establecimiento y mantenimiento de “hogares de refugio” para las mujeres. De los datos actuales sobre el número de alojamientos se desprende que hay escasez de alojamientos para las mujeres. Para resolver ese problema, el Depa</w:t>
      </w:r>
      <w:r>
        <w:t>r</w:t>
      </w:r>
      <w:r>
        <w:t>tamento de servicios sociales del Ministerio de Asuntos Sociales y de Familia co</w:t>
      </w:r>
      <w:r>
        <w:t>n</w:t>
      </w:r>
      <w:r>
        <w:t>vocó una licitación en el año 2000 para el establecimiento de hogares de refugio que tiene por objeto la creación de lugares donde puedan refugiarse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Resolución del Gobierno sobre la protección de las víctimas No. 1074/1999 (VII.7.)</w:t>
      </w:r>
    </w:p>
    <w:p w:rsidR="00000000" w:rsidRDefault="00000000">
      <w:pPr>
        <w:pStyle w:val="SingleTxt"/>
        <w:spacing w:after="0" w:line="120" w:lineRule="exact"/>
        <w:rPr>
          <w:sz w:val="10"/>
        </w:rPr>
      </w:pPr>
    </w:p>
    <w:p w:rsidR="00000000" w:rsidRDefault="00000000">
      <w:pPr>
        <w:pStyle w:val="SingleTxt"/>
      </w:pPr>
      <w:r>
        <w:tab/>
        <w:t>En el año 1999 el Gobierno de Hungría aprobó una resolución sobre la prote</w:t>
      </w:r>
      <w:r>
        <w:t>c</w:t>
      </w:r>
      <w:r>
        <w:t>ción de las víctimas de los delitos. En esa resolución figuran varias disposiciones que se espera contribuyan a mejorar de forma importante la situación de las víctimas de malos tratos a la esposa y de otras formas de violencia contra la mujer.</w:t>
      </w:r>
    </w:p>
    <w:p w:rsidR="00000000" w:rsidRDefault="00000000">
      <w:pPr>
        <w:pStyle w:val="SingleTxt"/>
      </w:pPr>
      <w:r>
        <w:tab/>
        <w:t>“El Gobierno declara que las autoridades bajo su competencia que se ocupen de las víctimas de los delitos en el marco de los procedimientos administrativos o de otro tipo, en particular los órganos que se ocupan de las investigaciones criminales, la prevención de la delincuencia, la protección del orden público, la administración del control de los extranjeros, la administración de los refugiados, la protección de la familia y de los niños, los servicios sociales y de atención de la salud (en lo suc</w:t>
      </w:r>
      <w:r>
        <w:t>e</w:t>
      </w:r>
      <w:r>
        <w:t>sivo las autoridades y otros organismos gubernamentales que se ocupan de las ví</w:t>
      </w:r>
      <w:r>
        <w:t>c</w:t>
      </w:r>
      <w:r>
        <w:t>timas) prestarán asistencia a las víctimas de los delitos en el curso de su labor (ad</w:t>
      </w:r>
      <w:r>
        <w:t>e</w:t>
      </w:r>
      <w:r>
        <w:t>más de informarles de sus derechos y obligaciones en los procedimientos criminales, en interés de la obtención del conocimiento más exhaustivo posible sobre los serv</w:t>
      </w:r>
      <w:r>
        <w:t>i</w:t>
      </w:r>
      <w:r>
        <w:t>cios sociales, económicos y de salud, sobre otras posibilidades de prestar asistencia y asesoramiento jurídico, los servicios de otras organizaciones sociales de apoyo a las víctimas y de la forma de acceder a ellos. Con ese fin, las autoridades comp</w:t>
      </w:r>
      <w:r>
        <w:t>e</w:t>
      </w:r>
      <w:r>
        <w:t>tentes pondrán en marcha campañas con la participación de los medios informativos; se ocuparán de la preparación de los materiales educativos necesarios para ayudar a las víctimas de la violencia con arreglo a las peculiaridades del delito de que se tr</w:t>
      </w:r>
      <w:r>
        <w:t>a</w:t>
      </w:r>
      <w:r>
        <w:t>te, recogerán información sobre los servicios esenciales y posibles y las medidas n</w:t>
      </w:r>
      <w:r>
        <w:t>e</w:t>
      </w:r>
      <w:r>
        <w:t>cesarias que deban adoptar, de forma simultánea con el acc</w:t>
      </w:r>
      <w:r>
        <w:t>e</w:t>
      </w:r>
      <w:r>
        <w:t>so a los servicios.</w:t>
      </w:r>
    </w:p>
    <w:p w:rsidR="00000000" w:rsidRDefault="00000000">
      <w:pPr>
        <w:pStyle w:val="SingleTxt"/>
      </w:pPr>
      <w:r>
        <w:tab/>
        <w:t>El Gobierno llama la atención sobre los modelos de comportamiento que se pondrán en marcha para evitar convertirse en una víctima, en particular en la esfera de los delitos relacionados con la prostitución y los relacionados con las drogas y las sustancias psicotrópicas, las posibilidades de engaño, los peligros de la explotación sexual y la adición a las drogas y otras posibilidades de facilitar la mejora de la s</w:t>
      </w:r>
      <w:r>
        <w:t>i</w:t>
      </w:r>
      <w:r>
        <w:t>tuación de las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II.</w:t>
      </w:r>
      <w:r>
        <w:tab/>
        <w:t>b. Políticas jurídicas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esfera de la legislación y las políticas jurídicas una tarea urgente es ex</w:t>
      </w:r>
      <w:r>
        <w:t>a</w:t>
      </w:r>
      <w:r>
        <w:t>minar minuciosamente los documentos de las organizaciones internacionales más importantes (Naciones Unidas, Unión Europea, Consejo de Europa) relativas a la violencia familiar y estudiar los modelos que otros países con más experiencia que Hungría hayan ado</w:t>
      </w:r>
      <w:r>
        <w:t>p</w:t>
      </w:r>
      <w:r>
        <w:t>tado para prevenir y gestionar la violencia familiar.</w:t>
      </w:r>
    </w:p>
    <w:p w:rsidR="00000000" w:rsidRDefault="00000000">
      <w:pPr>
        <w:pStyle w:val="SingleTxt"/>
      </w:pPr>
      <w:r>
        <w:tab/>
        <w:t>La Oficina de Asuntos de la Mujer publicó en 1999 dos folletos sobre el tema de la violencia y, simultáneame</w:t>
      </w:r>
      <w:r>
        <w:t>n</w:t>
      </w:r>
      <w:r>
        <w:t>te, organizó dos cursos de formación: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950"/>
      </w:pPr>
      <w:r>
        <w:tab/>
        <w:t>1.</w:t>
      </w:r>
      <w:r>
        <w:tab/>
        <w:t>Prostitución, prostitución forzada, tráfico de personas: manual para la formación en la prevención del delito y la asistencia a las víctimas.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950"/>
      </w:pPr>
      <w:r>
        <w:tab/>
        <w:t>2.</w:t>
      </w:r>
      <w:r>
        <w:tab/>
        <w:t>Violencia familiar (qué puede hacer la policía para combatir la violencia contra las mujeres en el seno de la familia): traducción del material de la conferencia celebrada en 1998 en Baden, conjuntamente con el Minist</w:t>
      </w:r>
      <w:r>
        <w:t>e</w:t>
      </w:r>
      <w:r>
        <w:t>rio Federal del Interior de la República de Austria y la organización M</w:t>
      </w:r>
      <w:r>
        <w:t>u</w:t>
      </w:r>
      <w:r>
        <w:t>jeres Contra la Violencia en Europa (WAVE).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Servicios de apoyo a las víctimas de la violencia familiar (malos tratos a la esposa)</w:t>
      </w:r>
    </w:p>
    <w:p w:rsidR="00000000" w:rsidRDefault="00000000">
      <w:pPr>
        <w:pStyle w:val="SingleTxt"/>
        <w:spacing w:after="0" w:line="120" w:lineRule="exact"/>
        <w:rPr>
          <w:sz w:val="10"/>
        </w:rPr>
      </w:pPr>
    </w:p>
    <w:p w:rsidR="00000000" w:rsidRDefault="00000000">
      <w:pPr>
        <w:pStyle w:val="SingleTxt"/>
      </w:pPr>
      <w:r>
        <w:tab/>
        <w:t>Organizaciones civiles que ofrecen asistencia telefónica y servicios de ases</w:t>
      </w:r>
      <w:r>
        <w:t>o</w:t>
      </w:r>
      <w:r>
        <w:t>ramiento jurídico.</w:t>
      </w:r>
    </w:p>
    <w:p w:rsidR="00000000" w:rsidRDefault="00000000">
      <w:pPr>
        <w:pStyle w:val="SingleTxt"/>
      </w:pPr>
      <w:r>
        <w:tab/>
        <w:t>Puede citarse entre los aciertos el desarrollo de la red nacional de servicios de ayuda a la familia. Nuestra tarea es la formación continua de especialistas que tr</w:t>
      </w:r>
      <w:r>
        <w:t>a</w:t>
      </w:r>
      <w:r>
        <w:t>bajan en la red en relación con el fenómeno de la violencia familiar y el mejor</w:t>
      </w:r>
      <w:r>
        <w:t>a</w:t>
      </w:r>
      <w:r>
        <w:t>miento de la cooperación entre los órganos del Estado y entre esos órganos y los ó</w:t>
      </w:r>
      <w:r>
        <w:t>r</w:t>
      </w:r>
      <w:r>
        <w:t>ganos de apoyo o de carácter no gubernamental mediante la introducción de mod</w:t>
      </w:r>
      <w:r>
        <w:t>e</w:t>
      </w:r>
      <w:r>
        <w:t xml:space="preserve">los coordinados de formación. </w:t>
      </w:r>
    </w:p>
    <w:p w:rsidR="00000000" w:rsidRDefault="00000000">
      <w:pPr>
        <w:pStyle w:val="SingleTxt"/>
      </w:pPr>
      <w:r>
        <w:tab/>
        <w:t>La Oficina de Asuntos de la Mujer, en el marco de su cooperación con la Of</w:t>
      </w:r>
      <w:r>
        <w:t>i</w:t>
      </w:r>
      <w:r>
        <w:t>cina central de estadística, ha establecido un comité director para publicar en el año 2000 datos desglosados por sexo sobre el problema de la violencia y la delincuencia, en consonancia con los datos de la Ofic</w:t>
      </w:r>
      <w:r>
        <w:t>i</w:t>
      </w:r>
      <w:r>
        <w:t>na estadística de Suecia.</w:t>
      </w:r>
    </w:p>
    <w:p w:rsidR="00000000" w:rsidRDefault="00000000">
      <w:pPr>
        <w:pStyle w:val="SingleTxt"/>
      </w:pPr>
      <w:r>
        <w:tab/>
        <w:t>Un grave problema de las víctimas es que son pocos los abogados que conocen la naturaleza de la violencia familiar y de los malos tratos a la esposa y cuentan además con la experiencia necesaria en ese terreno y que quieran hacerse cargo de esos casos con una actitud favorable.</w:t>
      </w:r>
    </w:p>
    <w:p w:rsidR="00000000" w:rsidRDefault="00000000">
      <w:pPr>
        <w:pStyle w:val="SingleTxt"/>
      </w:pPr>
      <w:r>
        <w:tab/>
        <w:t>La Oficina de Asuntos de la Mujer ha puesto en marcha un programa exper</w:t>
      </w:r>
      <w:r>
        <w:t>i</w:t>
      </w:r>
      <w:r>
        <w:t>mental de protección de las víctimas que incluye un programa de formación de ab</w:t>
      </w:r>
      <w:r>
        <w:t>o</w:t>
      </w:r>
      <w:r>
        <w:t>gados, tr</w:t>
      </w:r>
      <w:r>
        <w:t>a</w:t>
      </w:r>
      <w:r>
        <w:t>bajadores sociales, funcionarios de policía y médicos.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Artículo 4. Medidas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1"/>
        </w:rPr>
      </w:pPr>
      <w:r>
        <w:rPr>
          <w:w w:val="101"/>
        </w:rPr>
        <w:tab/>
        <w:t>Es necesario distinguir desde el punto de vista jurídico los programas positivos de la cuestión de la discriminación positiva. En cuanto a la cuestión del adelanto de la mujer puede decirse que, además de la diferenciación en lo que se refiere al empleo, la experiencia y las aptitudes, puede ser razonable dar preferencia a determinados grupos de empleados. El sistema de cuotas podría ser un instrumento en ese contexto del que hay varios ejemplos en la normativa de los países de Europa occide</w:t>
      </w:r>
      <w:r>
        <w:rPr>
          <w:w w:val="101"/>
        </w:rPr>
        <w:t>n</w:t>
      </w:r>
      <w:r>
        <w:rPr>
          <w:w w:val="101"/>
        </w:rPr>
        <w:t xml:space="preserve">tal. </w:t>
      </w:r>
    </w:p>
    <w:p w:rsidR="00000000" w:rsidRDefault="00000000">
      <w:pPr>
        <w:pStyle w:val="SingleTxt"/>
      </w:pPr>
      <w:r>
        <w:tab/>
        <w:t>Según el párrafo 3 del artículo 5 del Código de Trabajo de Hungría, la base de esa preferencia no debe ser de una naturaleza, por ejemplo el sexo del empleado, por cuyo motivo esté prohibida la discriminación. Así pues, en nuestro país la introdu</w:t>
      </w:r>
      <w:r>
        <w:t>c</w:t>
      </w:r>
      <w:r>
        <w:t>ción de un sistema de cuotas se consideraría ilegal. Conociendo la tradición jurídica, cultural y económica de Hungría y las condiciones actuales hay un intenso debate sobre si un instrumento jurídico bien intencionado pero “poco familiar con el sist</w:t>
      </w:r>
      <w:r>
        <w:t>e</w:t>
      </w:r>
      <w:r>
        <w:t>ma” podría tener éxito.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5. Prejuicios y funciones estereotipadas de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w:t>
      </w:r>
      <w:r>
        <w:tab/>
        <w:t>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spacing w:val="2"/>
        </w:rPr>
        <w:t>Convertirse en progenitor</w:t>
      </w:r>
    </w:p>
    <w:p w:rsidR="00000000" w:rsidRDefault="00000000">
      <w:pPr>
        <w:pStyle w:val="SingleTxt"/>
        <w:spacing w:after="0" w:line="120" w:lineRule="exact"/>
        <w:rPr>
          <w:sz w:val="10"/>
        </w:rPr>
      </w:pPr>
    </w:p>
    <w:p w:rsidR="00000000" w:rsidRDefault="00000000">
      <w:pPr>
        <w:pStyle w:val="SingleTxt"/>
      </w:pPr>
      <w:r>
        <w:tab/>
        <w:t>En el período transcurrido desde la presentación del tercer informe, los pr</w:t>
      </w:r>
      <w:r>
        <w:t>o</w:t>
      </w:r>
      <w:r>
        <w:t>blemas demográficos de Hungría se agravaron aun más (una tasa de natalidad en 1998 más baja que nunca, con menos de 100.000 nacimientos y una sociedad que envejece rápidamente), como consecuencia de los cuales adquiere una gran impo</w:t>
      </w:r>
      <w:r>
        <w:t>r</w:t>
      </w:r>
      <w:r>
        <w:t>tancia la reconsideración de la función social de la maternidad y el apoyo al establ</w:t>
      </w:r>
      <w:r>
        <w:t>e</w:t>
      </w:r>
      <w:r>
        <w:t>cimiento y mantenimiento de familias saludables (véase el cuadro 1.4 del anexo).</w:t>
      </w:r>
    </w:p>
    <w:p w:rsidR="00000000" w:rsidRDefault="00000000">
      <w:pPr>
        <w:pStyle w:val="SingleTxt"/>
      </w:pPr>
      <w:r>
        <w:tab/>
        <w:t>Cuando el Comité para la Eliminación de la Discriminación contra la Mujer analice las medidas y los programas de acción puestos en marcha en el último perí</w:t>
      </w:r>
      <w:r>
        <w:t>o</w:t>
      </w:r>
      <w:r>
        <w:t>do sobre la base de los deberes del Estado de Hungría en relación con la Convención y examine los conceptos para el futuro, quisiéramos señalar a su atención los graves problemas demográficos de la sociedad húngara, que requieren la modificación de las prioridades de la Convención, tanto más cuanto que toda Europa ha de enfrenta</w:t>
      </w:r>
      <w:r>
        <w:t>r</w:t>
      </w:r>
      <w:r>
        <w:t>se a esos mismos probl</w:t>
      </w:r>
      <w:r>
        <w:t>e</w:t>
      </w:r>
      <w:r>
        <w:t>mas.</w:t>
      </w:r>
    </w:p>
    <w:p w:rsidR="00000000" w:rsidRDefault="00000000">
      <w:pPr>
        <w:pStyle w:val="SingleTxt"/>
      </w:pPr>
      <w:r>
        <w:tab/>
        <w:t>Para que la juventud alcance una madurez física y psíquica que le permita cumplir con sus funciones paternales y maternales, es necesario comenzar la educ</w:t>
      </w:r>
      <w:r>
        <w:t>a</w:t>
      </w:r>
      <w:r>
        <w:t>ción desde una edad temprana. La familia y los modelos aprendidos de los padres y de las madres deben desempeñar la función más importante. Sin embargo, los últ</w:t>
      </w:r>
      <w:r>
        <w:t>i</w:t>
      </w:r>
      <w:r>
        <w:t>mos decenios han tenido su influencia y el lamentable hecho de que muchos matr</w:t>
      </w:r>
      <w:r>
        <w:t>i</w:t>
      </w:r>
      <w:r>
        <w:t>monios acaben hoy en día en divorcio hace dudar de que padres que a menudo no pueden resolver sus propias vidas puedan orientar adecuadamente a sus hijos (véase el cuadro 1.5 del anexo).</w:t>
      </w:r>
    </w:p>
    <w:p w:rsidR="00000000" w:rsidRDefault="00000000">
      <w:pPr>
        <w:pStyle w:val="SingleTxt"/>
      </w:pPr>
      <w:r>
        <w:rPr>
          <w:w w:val="100"/>
        </w:rPr>
        <w:tab/>
        <w:t>El estudio del Instituto de Ciencias del Comportamiento de la Universidad Semmelweis de Ciencias Médicas ha probado también que la desintegración de una familia hace aumentar de forma importante la posibilidad de que aparezcan desórdenes del comportamiento, desviaciones y enfermedades psiquiátricas de los niños y los adultos. Según un sector de padres, los niños van al jardín de infancia y a la es</w:t>
      </w:r>
      <w:r>
        <w:t>cuela para “educarse” y , por tanto, esos padres traspasan su labor a las instituciones ed</w:t>
      </w:r>
      <w:r>
        <w:t>u</w:t>
      </w:r>
      <w:r>
        <w:t>cativas (véase el cuadro 1.6 del anexo).</w:t>
      </w:r>
    </w:p>
    <w:p w:rsidR="00000000" w:rsidRDefault="00000000">
      <w:pPr>
        <w:pStyle w:val="SingleTxt"/>
      </w:pPr>
      <w:r>
        <w:tab/>
        <w:t>Es cierto que la escuela desempeña una función, por una parte, en la comun</w:t>
      </w:r>
      <w:r>
        <w:t>i</w:t>
      </w:r>
      <w:r>
        <w:t>cación de los conocimientos y, por otra, en la educación física y psicológica, pero esa tarea no puede cumplirse apropiadamente sin la cooperación de la familia. De</w:t>
      </w:r>
      <w:r>
        <w:t>n</w:t>
      </w:r>
      <w:r>
        <w:t>tro de la educación escolar se imparte durante mucho tiempo educación sexual, pero eso no es, evidentemente, suficiente para preparar a la juventud para el matrimonio, educarla para la vida de familia y prepararla para su papel como progenitores. Se han hecho algunos esfuerzos por introducir la asignatura de la educación para la v</w:t>
      </w:r>
      <w:r>
        <w:t>i</w:t>
      </w:r>
      <w:r>
        <w:t>da de familia, se han preparado recursos educativos experimentales que algunas e</w:t>
      </w:r>
      <w:r>
        <w:t>s</w:t>
      </w:r>
      <w:r>
        <w:t>cuelas han aplicado en función de sus recursos financieros de forma experimental. Sin embargo, no se ha encontrado una solución única, sistemática, que pueda ofr</w:t>
      </w:r>
      <w:r>
        <w:t>e</w:t>
      </w:r>
      <w:r>
        <w:t>cerse con los recursos educativos preparados para los distintos grupos de edad.</w:t>
      </w:r>
    </w:p>
    <w:p w:rsidR="00000000" w:rsidRDefault="00000000">
      <w:pPr>
        <w:pStyle w:val="SingleTxt"/>
        <w:rPr>
          <w:w w:val="102"/>
        </w:rPr>
      </w:pPr>
      <w:r>
        <w:rPr>
          <w:w w:val="102"/>
        </w:rPr>
        <w:tab/>
        <w:t>Cuanto más alto es el nivel educativo de una mujer, mayor es su convenc</w:t>
      </w:r>
      <w:r>
        <w:rPr>
          <w:w w:val="102"/>
        </w:rPr>
        <w:t>i</w:t>
      </w:r>
      <w:r>
        <w:rPr>
          <w:w w:val="102"/>
        </w:rPr>
        <w:t>miento de que conviene tener su primer hijo entre los 25 y los 29 años de edad (el 11.8 % de las mujeres que han completado ocho años de escuela primaria como m</w:t>
      </w:r>
      <w:r>
        <w:rPr>
          <w:w w:val="102"/>
        </w:rPr>
        <w:t>u</w:t>
      </w:r>
      <w:r>
        <w:rPr>
          <w:w w:val="102"/>
        </w:rPr>
        <w:t>cho, pero el 50.5% de las mujeres con educación terciaria). La edad promedio de las mujeres que tienen su primer hijo, 24,29 años en 1998, refleja más o menos esa fo</w:t>
      </w:r>
      <w:r>
        <w:rPr>
          <w:w w:val="102"/>
        </w:rPr>
        <w:t>r</w:t>
      </w:r>
      <w:r>
        <w:rPr>
          <w:w w:val="102"/>
        </w:rPr>
        <w:t>ma de pensar. En 1970, la edad promedio de las mujeres que tenían su primer hijo era de 22,56 años, pero ascendió a 22,99 años en 1990 (véase el cuadro 1.7 del an</w:t>
      </w:r>
      <w:r>
        <w:rPr>
          <w:w w:val="102"/>
        </w:rPr>
        <w:t>e</w:t>
      </w:r>
      <w:r>
        <w:rPr>
          <w:w w:val="102"/>
        </w:rPr>
        <w:t>xo).</w:t>
      </w:r>
    </w:p>
    <w:p w:rsidR="00000000" w:rsidRDefault="00000000">
      <w:pPr>
        <w:pStyle w:val="SingleTxt"/>
      </w:pPr>
      <w:r>
        <w:tab/>
        <w:t>Sea cual fuere el tipo de relación, la carga del cuidado de los hijos recae pri</w:t>
      </w:r>
      <w:r>
        <w:t>n</w:t>
      </w:r>
      <w:r>
        <w:t>cipalmente en la madres, aunque en los últimos años, especialmente porque los p</w:t>
      </w:r>
      <w:r>
        <w:t>a</w:t>
      </w:r>
      <w:r>
        <w:t>dres también pueden solicitar la mayor parte de las prestaciones para el cuidado de los hijos, se ha hecho posible que se modifique esa actitud. (véase el cuadro 1.8 del anexo).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maternidad y el trabajo</w:t>
      </w:r>
    </w:p>
    <w:p w:rsidR="00000000" w:rsidRDefault="00000000">
      <w:pPr>
        <w:pStyle w:val="SingleTxt"/>
        <w:spacing w:after="0" w:line="120" w:lineRule="exact"/>
        <w:rPr>
          <w:sz w:val="10"/>
        </w:rPr>
      </w:pPr>
    </w:p>
    <w:p w:rsidR="00000000" w:rsidRDefault="00000000">
      <w:pPr>
        <w:pStyle w:val="SingleTxt"/>
      </w:pPr>
      <w:r>
        <w:tab/>
        <w:t>Tras el período de cuidado de los hijos en el que se recibe apoyo del Estado (especialmente cuando ese período se prolonga a varios años porque se tienen más hijos) es difícil, especialmente en el caso de las mujeres que viven en pequeños pu</w:t>
      </w:r>
      <w:r>
        <w:t>e</w:t>
      </w:r>
      <w:r>
        <w:t>blos, regresar al mercado de trabajo. También surge un problema sobre cómo mant</w:t>
      </w:r>
      <w:r>
        <w:t>e</w:t>
      </w:r>
      <w:r>
        <w:t>ner los conocimientos profesionales adquiridos, al menos en cierta medida, durante el período dedicado al cuidado de los hijos, o cómo obtener conocimientos nuevos, actualizados, que puedan mejorar las posibilidades de incorporarse al mercado de trabajo. Un desarrollo positivo es que las madres jóvenes tienen ya la oportunidad de estudiar en las mismas condiciones que las personas desempleadas, es decir con el apoyo del Estado, aunque sería necesario elaborar métodos de formación que les h</w:t>
      </w:r>
      <w:r>
        <w:t>a</w:t>
      </w:r>
      <w:r>
        <w:t>ga posible obtener los conocimientos necesarios en casa (por ejemplo, mediante la televisión u otro tipo de enseñanza a distancia, o por medio de el desplazamiento de la enseñanza a sus pueblos o a pueblos cercanos (por ejemplo, con la utilización de telehogares, casas en los pueblos o escuelas locales). Un medio de armonizar el cu</w:t>
      </w:r>
      <w:r>
        <w:t>i</w:t>
      </w:r>
      <w:r>
        <w:t>dado de los hijos y el trabajo podrían ser los empleos atípicos. Es muy importante el que se hagan viables los empleos atípicos, y que se hagan también atractivos para los padres.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Educación</w:t>
      </w:r>
    </w:p>
    <w:p w:rsidR="00000000" w:rsidRDefault="00000000">
      <w:pPr>
        <w:pStyle w:val="SingleTxt"/>
        <w:spacing w:after="0" w:line="120" w:lineRule="exact"/>
        <w:rPr>
          <w:sz w:val="10"/>
        </w:rPr>
      </w:pPr>
    </w:p>
    <w:p w:rsidR="00000000" w:rsidRDefault="00000000">
      <w:pPr>
        <w:pStyle w:val="SingleTxt"/>
      </w:pPr>
      <w:r>
        <w:tab/>
        <w:t>En 1993 entraron en vigor la Ley LXXIX de 1993 de educación pública (Kt.), la Ley LXXX de 1993 de educación superior y la Ley LXXVI de 1993 de educación profesional. Los objetivos y disposiciones de los convenios internacionales, inclu</w:t>
      </w:r>
      <w:r>
        <w:t>i</w:t>
      </w:r>
      <w:r>
        <w:t>dos los artículos relacionados con la educación que figuran en la Convención sobre la eliminación de todas las formas de discriminación contra la mujer, y sus metas, se incorporaron de forma continua en esas leyes y en las modificaciones introducidas desde entonces (véase el cuadro 1.9 del anexo).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II.</w:t>
      </w:r>
      <w:r>
        <w:tab/>
        <w:t>Obstáculos, medidas políticas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estableció el objetivo de prestar apoyo a las familias, conseguir la evolución del modelo de familia ampliada, en el que la mujer desempeña, aunque no para toda su vida, la función de madre a tiempo completo y el padre o compañero asume también una responsabilidad en el cuidado de los hijos. Con ello se modifica también la estructura del empleo, puesto que es necesario crear las condiciones para la aplicación amplia del empleo atípico (por ejemplo los empleos a tiempo parcial, el trabajo a domicilio, la participación en empresas familiares, etc.). Evidentemente, ello afecta a la formación de los adultos, por lo que es necesario preparar programas especiales de formación dentro y fuera del sistema e</w:t>
      </w:r>
      <w:r>
        <w:t>s</w:t>
      </w:r>
      <w:r>
        <w:t>colar.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Concepción de la política nacional sobre la familia</w:t>
      </w:r>
    </w:p>
    <w:p w:rsidR="00000000" w:rsidRDefault="00000000">
      <w:pPr>
        <w:pStyle w:val="SingleTxt"/>
        <w:spacing w:after="0" w:line="120" w:lineRule="exact"/>
        <w:rPr>
          <w:sz w:val="10"/>
        </w:rPr>
      </w:pPr>
    </w:p>
    <w:p w:rsidR="00000000" w:rsidRDefault="00000000">
      <w:pPr>
        <w:pStyle w:val="SingleTxt"/>
      </w:pPr>
      <w:r>
        <w:tab/>
        <w:t>La Concepción de la política nacional sobre la familia del Gobierno espera su aprobación, tras la celebración de intensos debates profesionales y sociales. En esa Concepción se determina la intervención contra la violencia familiar como una labor pública. El fortalecimiento de la seguridad en la vida familiar, el mejoramiento de las condiciones para tener hijos y el freno del descenso de la población son aspectos esenciales del programa presentado por el Gobierno. Ese programa satisface la op</w:t>
      </w:r>
      <w:r>
        <w:t>i</w:t>
      </w:r>
      <w:r>
        <w:t>nión de la población de que la familia representa también un valor esencial. En la Concepción se aborda el matrimonio como un valor básico y se pretende fortalecer en primer lugar la construcción de la familia en torno al matrimonio. Con miras a cumplir ese objetivo se establecen los distintos elementos de la política de familia: política social, política de empleo, política de salud, política de educación, política de vivienda, política fiscal, política para la mujer y otros instrumentos. La Conce</w:t>
      </w:r>
      <w:r>
        <w:t>p</w:t>
      </w:r>
      <w:r>
        <w:t>ción tienen por objeto apoyar el cuidado de los hijos con distintas formas de apoyo financiero (un elemento de ese apoyo que se ha vuelto a introducir de una forma d</w:t>
      </w:r>
      <w:r>
        <w:t>e</w:t>
      </w:r>
      <w:r>
        <w:t>sarrollada es la prestación para el cuidado de los hijos que podrá solicitarse a partir de enero de 2000). También hay nuevos programas en la esfera del empleo (por ejemplo, la aplicación de un movimiento de creación de lugares de trabajo f</w:t>
      </w:r>
      <w:r>
        <w:t>a</w:t>
      </w:r>
      <w:r>
        <w:t>vorables a la vida familiar). La Resolución del Gobierno No 1/2000 (I.14.) sobre la modificación de la Resolución del Consejo de Ministros No. 106/1988 (XII.26.) r</w:t>
      </w:r>
      <w:r>
        <w:t>e</w:t>
      </w:r>
      <w:r>
        <w:t>lativa al apoyo a la vivienda entró en vigor en febrero de 2000 e incluye un nuevo sistema, más favorable, de créditos y apoyo a la vivienda. Los servicios de apoyo a la familia, la atención de la salud, la gestión de crisis y la mediación forman parte de la Concepción, como también la gestión de los problemas de las familias de etnia romaní y de las familias que viven con hijos discapacitados. El proyecto de Conce</w:t>
      </w:r>
      <w:r>
        <w:t>p</w:t>
      </w:r>
      <w:r>
        <w:t>ción de la política nacional de familia del Gobierno señala también otra tarea: la i</w:t>
      </w:r>
      <w:r>
        <w:t>n</w:t>
      </w:r>
      <w:r>
        <w:t>troducción de la educación sobre la vida familiar en las escuelas, por lo que también es una condición esencial la formación de instructores para encargarse de esa asi</w:t>
      </w:r>
      <w:r>
        <w:t>g</w:t>
      </w:r>
      <w:r>
        <w:t>natura.</w:t>
      </w:r>
    </w:p>
    <w:p w:rsidR="00000000" w:rsidRDefault="00000000">
      <w:pPr>
        <w:pStyle w:val="SingleTxt"/>
      </w:pPr>
      <w:r>
        <w:tab/>
        <w:t>En los últimos años ha venido ganando terreno en Europa una nueva actitud, que aborda la cuestión de las horas de trabajo en un sentido mucho más amplio (h</w:t>
      </w:r>
      <w:r>
        <w:t>o</w:t>
      </w:r>
      <w:r>
        <w:t>ras de trabajo móviles) y tienen en cuenta también los ciclos de vida de los emple</w:t>
      </w:r>
      <w:r>
        <w:t>a</w:t>
      </w:r>
      <w:r>
        <w:t>dos (biografía del trabajo). La interpretación móvil de las horas de trabajo y la carr</w:t>
      </w:r>
      <w:r>
        <w:t>e</w:t>
      </w:r>
      <w:r>
        <w:t>ra escalonada han aparecido también en la política de empleo de Hungría como un nuevo tipo de enfoque. Por el momento se están estudiando las distintas soluciones (por ejemplo las adoptadas por Alemania o los Países Bajos). Se confía en que esos modelos se difundan gradualmente, adaptados a las circunstancias de Hungría, y que puedan ayudar a las madres y padres a encontrar un equilibrio entre el cuidado de los h</w:t>
      </w:r>
      <w:r>
        <w:t>i</w:t>
      </w:r>
      <w:r>
        <w:t>jos y el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Propagación de conocimientos generales, información sobre el papel social de los sexos y sobre la situación de la mujer</w:t>
      </w:r>
    </w:p>
    <w:p w:rsidR="00000000" w:rsidRDefault="00000000">
      <w:pPr>
        <w:pStyle w:val="SingleTxt"/>
        <w:spacing w:after="0" w:line="120" w:lineRule="exact"/>
        <w:rPr>
          <w:sz w:val="10"/>
        </w:rPr>
      </w:pPr>
    </w:p>
    <w:p w:rsidR="00000000" w:rsidRDefault="00000000">
      <w:pPr>
        <w:pStyle w:val="SingleTxt"/>
      </w:pPr>
      <w:r>
        <w:tab/>
        <w:t>Dentro de la esfera de competencias de la Oficina de Asuntos de la Mujer del Ministerio de Asuntos Sociales y de la Familia, existe una revista sobre conoc</w:t>
      </w:r>
      <w:r>
        <w:t>i</w:t>
      </w:r>
      <w:r>
        <w:t>mientos relativos a la mujer, publicada por primera vez en 1999, que tiene por o</w:t>
      </w:r>
      <w:r>
        <w:t>b</w:t>
      </w:r>
      <w:r>
        <w:t>jeto difundir documentación y servicios de información. La revista actúa como fac</w:t>
      </w:r>
      <w:r>
        <w:t>i</w:t>
      </w:r>
      <w:r>
        <w:t>litador de datos y servicio de información, así como un sistema de autoayuda para las mujeres. El objeto de establecer esa base de datos es recopilar información lo más amplia posible sobre la situación de la mujer en la cultura y la sociedad de hoy, recopilar resultados de estudios estadísticos y trabajos de investigación, recoger i</w:t>
      </w:r>
      <w:r>
        <w:t>n</w:t>
      </w:r>
      <w:r>
        <w:t>formación sobre la actividad de las organizaciones de mujeres y preparar bibliogr</w:t>
      </w:r>
      <w:r>
        <w:t>a</w:t>
      </w:r>
      <w:r>
        <w:t>fías temáticas s</w:t>
      </w:r>
      <w:r>
        <w:t>o</w:t>
      </w:r>
      <w:r>
        <w:t>bre los documentos existentes acerca de cada tema.</w:t>
      </w:r>
    </w:p>
    <w:p w:rsidR="00000000" w:rsidRDefault="00000000">
      <w:pPr>
        <w:pStyle w:val="SingleTxt"/>
      </w:pPr>
      <w:r>
        <w:tab/>
        <w:t>La Oficina de Asuntos de la Mujer, en cooperación con la Asociación de I</w:t>
      </w:r>
      <w:r>
        <w:t>n</w:t>
      </w:r>
      <w:r>
        <w:t>formática Sociológica, comenzó a crear una base de datos sobre la mujer en 1999 con el fin de proporcionar acceso en la Internet a las investigaciones sociológicas empíricas relacionadas con los papeles sexuales y con la desigualdad social entre los hombres y las muj</w:t>
      </w:r>
      <w:r>
        <w:t>e</w:t>
      </w:r>
      <w:r>
        <w:t xml:space="preserve">res. </w:t>
      </w:r>
    </w:p>
    <w:p w:rsidR="00000000" w:rsidRDefault="00000000">
      <w:pPr>
        <w:pStyle w:val="SingleTxt"/>
      </w:pPr>
      <w:r>
        <w:tab/>
        <w:t>La Oficina de Asuntos de la Mujer del Ministerio de Asuntos Sociales y de la Familia ha instituido el premio “dignidad humana-dignidad de la mujer”. Con ese premio se pretende galardonar a las producciones televisivas realizadas en 1999 que muestran situaciones en la vida como posibles papeles de la mujer con un estilo orientado hacia la creación de valores, apartándose conscientemente de la represe</w:t>
      </w:r>
      <w:r>
        <w:t>n</w:t>
      </w:r>
      <w:r>
        <w:t>tación co</w:t>
      </w:r>
      <w:r>
        <w:t>n</w:t>
      </w:r>
      <w:r>
        <w:t>vencional de una única interpretación.</w:t>
      </w:r>
    </w:p>
    <w:p w:rsidR="00000000" w:rsidRDefault="00000000">
      <w:pPr>
        <w:pStyle w:val="SingleTxt"/>
      </w:pPr>
      <w:r>
        <w:tab/>
        <w:t>En un estudio del Instituto de investigación educativa (1998-2001) patrocinado por el OTKA, se examinan los medios mediante los que se representan y transmiten los papeles del hombre y la mujer en los libros escolares y otros materiales docentes. El estudio concluye con un resumen analítico en el que se exponen los tipos de m</w:t>
      </w:r>
      <w:r>
        <w:t>o</w:t>
      </w:r>
      <w:r>
        <w:t>dificaciones sociales que se reflejan en los cambios; en qué medida han cambi</w:t>
      </w:r>
      <w:r>
        <w:t>a</w:t>
      </w:r>
      <w:r>
        <w:t>do las expectativas representadas; qué conclusiones pueden extraerse y qué tipo de pronósticos pueden formularse para el futuro; y qué clase de estrategias prácticas pu</w:t>
      </w:r>
      <w:r>
        <w:t>e</w:t>
      </w:r>
      <w:r>
        <w:t>den recomendarse.</w:t>
      </w:r>
    </w:p>
    <w:p w:rsidR="00000000" w:rsidRDefault="00000000">
      <w:pPr>
        <w:pStyle w:val="SingleTxt"/>
      </w:pPr>
      <w:r>
        <w:tab/>
        <w:t>Desde el primero de septiembre de 2001 será obligatoria la adquisición de c</w:t>
      </w:r>
      <w:r>
        <w:t>o</w:t>
      </w:r>
      <w:r>
        <w:t>nocimientos básicos sobre la vida de familia y el cuidado de la salud en el sistema público de educación. Los programas escolares incluirán más tiempo para que los estudiantes que lo soliciten aborden esas cue</w:t>
      </w:r>
      <w:r>
        <w:t>s</w:t>
      </w:r>
      <w:r>
        <w:t>tiones.</w:t>
      </w:r>
    </w:p>
    <w:p w:rsidR="00000000" w:rsidRDefault="00000000">
      <w:pPr>
        <w:pStyle w:val="SingleTxt"/>
      </w:pPr>
      <w:r>
        <w:tab/>
        <w:t>En el futuro próximo se promulgará una orden del Ministerio de Educación s</w:t>
      </w:r>
      <w:r>
        <w:t>o</w:t>
      </w:r>
      <w:r>
        <w:t>bre programas básicos de los alojamientos de estudiantes de las escuelas primarias y secundarias, en la que recibirá un lugar prominente la educación en la vida de fam</w:t>
      </w:r>
      <w:r>
        <w:t>i</w:t>
      </w:r>
      <w:r>
        <w:t>lia y, en el caso de los alojamientos de estudiantes de las escuelas secundarias, la asistencia para la adquisición de conocimientos y de la capacidad necesaria para come</w:t>
      </w:r>
      <w:r>
        <w:t>n</w:t>
      </w:r>
      <w:r>
        <w:t>zar una vida independiente.</w:t>
      </w:r>
    </w:p>
    <w:p w:rsidR="00000000" w:rsidRDefault="00000000">
      <w:pPr>
        <w:pStyle w:val="SingleTxt"/>
      </w:pPr>
      <w:r>
        <w:tab/>
        <w:t>Esos aspectos aparecen también en la redacción de los libros de texto. Ello queda garantizado por el hecho de que son mujeres las que realizan gran parte de las tareas de edición y revisión de los libros de texto. En los departamentos de pedag</w:t>
      </w:r>
      <w:r>
        <w:t>o</w:t>
      </w:r>
      <w:r>
        <w:t>gía de las universidades se están haciendo importantes investigaciones sobre la p</w:t>
      </w:r>
      <w:r>
        <w:t>u</w:t>
      </w:r>
      <w:r>
        <w:t>blicación de libros de texto relacionados con la educación en la vida de familia y la formación de maestros.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6.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w:t>
      </w:r>
      <w:r>
        <w:tab/>
        <w:t>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spacing w:val="2"/>
        </w:rPr>
        <w:tab/>
        <w:t xml:space="preserve">Normas jurídicas efectivas sobre la prostitución: </w:t>
      </w:r>
      <w:r>
        <w:t>Convenio para la represión de la trata de personas y de la explotación de la prostitución ajena firmado en Nueva York el 21 de marzo de 1951 (en lo sucesivo el Convenio); artículos 175/B, 195/B, 201, 205, 206 y 207 de la Ley IV de 1998 del Código Penal de la República de Hu</w:t>
      </w:r>
      <w:r>
        <w:t>n</w:t>
      </w:r>
      <w:r>
        <w:t>gría (en lo sucesivo la Btk. , en vigor desde el 1° de julio de 1979); capítulo III de la Ley LXXV de 1999 sobre las normas de intervención contra la delincuencia organ</w:t>
      </w:r>
      <w:r>
        <w:t>i</w:t>
      </w:r>
      <w:r>
        <w:t>zada y los fenómenos individuales conexos y sobre las modificaciones relacionadas con ella (en vigor desde el 1 de marzo de 1999); Orden No. 41/1999 (IX.8.) EüM del Ministerio de Salud sobre la provisión de certificados médicos a las prostitutas.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Breve historia de la normativa</w:t>
      </w:r>
    </w:p>
    <w:p w:rsidR="00000000" w:rsidRDefault="00000000">
      <w:pPr>
        <w:pStyle w:val="SingleTxt"/>
        <w:spacing w:after="0" w:line="120" w:lineRule="exact"/>
        <w:rPr>
          <w:sz w:val="10"/>
        </w:rPr>
      </w:pPr>
    </w:p>
    <w:p w:rsidR="00000000" w:rsidRDefault="00000000">
      <w:pPr>
        <w:pStyle w:val="SingleTxt"/>
      </w:pPr>
      <w:r>
        <w:tab/>
        <w:t>En Hungría, la prostitución estuvo tipificada como delito en el Código Penal en vigor hasta 1993, así como las actividades de explotación y obtención de benef</w:t>
      </w:r>
      <w:r>
        <w:t>i</w:t>
      </w:r>
      <w:r>
        <w:t>cios de la prostitución (vivir de los ingresos generados por la prostitución, proxen</w:t>
      </w:r>
      <w:r>
        <w:t>e</w:t>
      </w:r>
      <w:r>
        <w:t>tismo, fomento de la prostitución), incluidas en el Código Penal durante medio s</w:t>
      </w:r>
      <w:r>
        <w:t>i</w:t>
      </w:r>
      <w:r>
        <w:t>glo. Hasta 1993, la prestación de servicios sexuales por las prostitutas era sancion</w:t>
      </w:r>
      <w:r>
        <w:t>a</w:t>
      </w:r>
      <w:r>
        <w:t>ble tanto por la vía penal como por la vía administrativa dependiendo de si la pro</w:t>
      </w:r>
      <w:r>
        <w:t>s</w:t>
      </w:r>
      <w:r>
        <w:t>tituta prestaba sus servicios por dinero como negocio o de manera ocasional. Esas actividades, debido a la redacción desafortunada de la definición de los hechos d</w:t>
      </w:r>
      <w:r>
        <w:t>e</w:t>
      </w:r>
      <w:r>
        <w:t>lictivos, eran difíciles de probar, puesto que, por una parte, el momento de la “tra</w:t>
      </w:r>
      <w:r>
        <w:t>n</w:t>
      </w:r>
      <w:r>
        <w:t>sacción” quedaba fuera del ámbito de la ley y, por otra, los hechos del acto sexual y la compensación económica debían probarse simultáneamente. Antes de 1990 varios casos criminales de ese tipo fueron desestimados por esa causa o se impuso a los acusados una pena por su comportamiento como vagos o maleantes en virtud de su estilo de vida, a la sazón tipificado como delito. En la Ley XVII de 1993 se eliminó la prostitución como delito. Sin embargo, esa solución jurídica fue tan solo un p</w:t>
      </w:r>
      <w:r>
        <w:t>e</w:t>
      </w:r>
      <w:r>
        <w:t>queño paso hacia la legalización, puesto que el legislador mantuvo la posibilidad de imponer sanciones en virtud de la legislación administrativa por la prestación de servicios sexuales a cambio de una compensación económica. Paralelamente se incrementaron las penas para las actividades relacionadas con la prostitución (los hechos delictivos se definieron de la siguiente manera: fomento de la prostitución, artículo 205 del Código Penal, vivir de los ingresos generados por la prostitución artículo 206 del Código Penal y proxenetismo, artículo 207 del Código Penal). El paso decisivo hacia una legalización limitada se dio en 1999 con la entrada en vigor del capítulo sobre la prostitución de la Ley LXXV de 1999 sobre las normas de i</w:t>
      </w:r>
      <w:r>
        <w:t>n</w:t>
      </w:r>
      <w:r>
        <w:t>tervención contra la delincuencia organizada y los fenómenos individuales conexos y sobre las modificaciones posteriores  (1 de septiembre de 1999).</w:t>
      </w:r>
    </w:p>
    <w:p w:rsidR="00000000" w:rsidRDefault="00000000">
      <w:pPr>
        <w:pStyle w:val="SingleTxt"/>
      </w:pPr>
      <w:r>
        <w:tab/>
        <w:t>Entre las actividades de explotación y obtención de beneficios de la prostit</w:t>
      </w:r>
      <w:r>
        <w:t>u</w:t>
      </w:r>
      <w:r>
        <w:t>ción, en el Código Penal se contemplan los delitos de fomento de la prostitución (artículo 205), vivir de los beneficios generados por la prostitución (artículo 206) y proxenetismo (artículo 207). El legislador define el concepto de prostitución entre las disposiciones i</w:t>
      </w:r>
      <w:r>
        <w:t>n</w:t>
      </w:r>
      <w:r>
        <w:t>terpretativas en el artículo 210/A.</w:t>
      </w:r>
    </w:p>
    <w:p w:rsidR="00000000" w:rsidRDefault="00000000">
      <w:pPr>
        <w:pStyle w:val="SingleTxt"/>
      </w:pPr>
      <w:r>
        <w:tab/>
        <w:t>La persona que pone a disposición de otra un edificio u otro local para la pro</w:t>
      </w:r>
      <w:r>
        <w:t>s</w:t>
      </w:r>
      <w:r>
        <w:t>titución es culpable del delito de fomento de la prostitución. (Ese delito se castiga con penas de hasta 3 años de prisión).</w:t>
      </w:r>
    </w:p>
    <w:p w:rsidR="00000000" w:rsidRDefault="00000000">
      <w:pPr>
        <w:pStyle w:val="SingleTxt"/>
      </w:pPr>
      <w:r>
        <w:tab/>
        <w:t>La persona que mantiene o dirige un prostíbulo o aporta recursos financieros para su funcionamiento también comete el delito de fomento de la prostitución. (Esa conducta se castiga con penas de hasta 5 años de prisión). Si una persona que aún no ha cumplido 18 años practica la prostitución en el prostíbulo o la prostitución se f</w:t>
      </w:r>
      <w:r>
        <w:t>o</w:t>
      </w:r>
      <w:r>
        <w:t>menta como parte de una organización delictiva, la actividad constituye un delito mayor y se castiga con penas más graves (de 8 a 10 años de prisión).</w:t>
      </w:r>
    </w:p>
    <w:p w:rsidR="00000000" w:rsidRDefault="00000000">
      <w:pPr>
        <w:pStyle w:val="SingleTxt"/>
      </w:pPr>
      <w:r>
        <w:tab/>
        <w:t>La persona que vive parcial o completamente de los ingresos obtenidos por una persona dedicada a la prostitución puede ser castigada con penas de hasta 3 años de prisión. Puede imponerse también la pena de destierro en el caso del delito de vivir de los ingresos generados por la prostitución (artículo 206).</w:t>
      </w:r>
    </w:p>
    <w:p w:rsidR="00000000" w:rsidRDefault="00000000">
      <w:pPr>
        <w:pStyle w:val="SingleTxt"/>
      </w:pPr>
      <w:r>
        <w:tab/>
        <w:t>En el Código Penal de la República de Hungría se contempla también el delito de proxenetismo entre los delitos contra la moral (artículo 207). “La persona que i</w:t>
      </w:r>
      <w:r>
        <w:t>n</w:t>
      </w:r>
      <w:r>
        <w:t>duce a otra a tener relaciones sexuales con otra para obtener beneficios comete un delito que se castiga con una pena de hasta 3 años de prisión.” Si el proxenetismo se realiza como negocio, la pena de prisión es de 1 a 5 años. La sanción es aún más grave, pena de 2 a 8 años de prisión, si el proxen</w:t>
      </w:r>
      <w:r>
        <w:t>e</w:t>
      </w:r>
      <w:r>
        <w:t>tismo se comete:</w:t>
      </w:r>
    </w:p>
    <w:p w:rsidR="00000000" w:rsidRDefault="00000000">
      <w:pPr>
        <w:pStyle w:val="SingleTxt"/>
      </w:pPr>
      <w:r>
        <w:tab/>
        <w:t>a)</w:t>
      </w:r>
      <w:r>
        <w:tab/>
        <w:t>En perjuicio de un pariente del delincuente o de una persona bajo su t</w:t>
      </w:r>
      <w:r>
        <w:t>u</w:t>
      </w:r>
      <w:r>
        <w:t>tela o cuidado o que aún no haya cumplido 18 años;</w:t>
      </w:r>
    </w:p>
    <w:p w:rsidR="00000000" w:rsidRDefault="00000000">
      <w:pPr>
        <w:pStyle w:val="SingleTxt"/>
      </w:pPr>
      <w:r>
        <w:tab/>
        <w:t>b)</w:t>
      </w:r>
      <w:r>
        <w:tab/>
        <w:t>Con engaño, violencia o amenazas;</w:t>
      </w:r>
    </w:p>
    <w:p w:rsidR="00000000" w:rsidRDefault="00000000">
      <w:pPr>
        <w:pStyle w:val="SingleTxt"/>
      </w:pPr>
      <w:r>
        <w:tab/>
        <w:t>c)</w:t>
      </w:r>
      <w:r>
        <w:tab/>
        <w:t>Como parte de una organización delictiva.</w:t>
      </w:r>
    </w:p>
    <w:p w:rsidR="00000000" w:rsidRDefault="00000000">
      <w:pPr>
        <w:pStyle w:val="SingleTxt"/>
      </w:pPr>
      <w:r>
        <w:tab/>
        <w:t>El legislador declara sancionable la conducta de la persona que consiente el proxenetismo con penas de hasta 3 años.</w:t>
      </w:r>
    </w:p>
    <w:p w:rsidR="00000000" w:rsidRDefault="00000000">
      <w:pPr>
        <w:pStyle w:val="SingleTxt"/>
        <w:rPr>
          <w:w w:val="101"/>
        </w:rPr>
      </w:pPr>
      <w:r>
        <w:rPr>
          <w:w w:val="101"/>
        </w:rPr>
        <w:tab/>
        <w:t>La Ley de Contravención, Ley I de 1998, modificada por la ley LXXV de 1999, sanciona otras actividades relacionadas con la prostitución. Según el artículo 92 la persona que infringe la limitación o prohibición estipulada en la ley o en una orden del gobierno local aprobada en el marco de esa ley, comete una falta. Según la Ley de Contravención, constituye también una falta solicitar u ofrecer servicios s</w:t>
      </w:r>
      <w:r>
        <w:rPr>
          <w:w w:val="101"/>
        </w:rPr>
        <w:t>e</w:t>
      </w:r>
      <w:r>
        <w:rPr>
          <w:w w:val="101"/>
        </w:rPr>
        <w:t>xuales.</w:t>
      </w:r>
    </w:p>
    <w:p w:rsidR="00000000" w:rsidRDefault="00000000">
      <w:pPr>
        <w:pStyle w:val="SingleTxt"/>
        <w:rPr>
          <w:w w:val="102"/>
        </w:rPr>
      </w:pPr>
      <w:r>
        <w:rPr>
          <w:w w:val="102"/>
        </w:rPr>
        <w:br w:type="page"/>
      </w:r>
      <w:r>
        <w:rPr>
          <w:w w:val="102"/>
        </w:rPr>
        <w:tab/>
        <w:t>El 1° de marzo de 2000 entró en vigor la nueva Ley de Contravención que def</w:t>
      </w:r>
      <w:r>
        <w:rPr>
          <w:w w:val="102"/>
        </w:rPr>
        <w:t>i</w:t>
      </w:r>
      <w:r>
        <w:rPr>
          <w:w w:val="102"/>
        </w:rPr>
        <w:t>ne el ofrecimiento de servicios sexuales como la violación de la limitación relaci</w:t>
      </w:r>
      <w:r>
        <w:rPr>
          <w:w w:val="102"/>
        </w:rPr>
        <w:t>o</w:t>
      </w:r>
      <w:r>
        <w:rPr>
          <w:w w:val="102"/>
        </w:rPr>
        <w:t>nada con los servicios sexuales y que se sanciona con pena de prisión o multa de hasta 150.000 forints. La ley contempla penas más graves que las que estaban en v</w:t>
      </w:r>
      <w:r>
        <w:rPr>
          <w:w w:val="102"/>
        </w:rPr>
        <w:t>i</w:t>
      </w:r>
      <w:r>
        <w:rPr>
          <w:w w:val="102"/>
        </w:rPr>
        <w:t>gor anteriormente. Entre las disposiciones interpretativas de la ley se definen las z</w:t>
      </w:r>
      <w:r>
        <w:rPr>
          <w:w w:val="102"/>
        </w:rPr>
        <w:t>o</w:t>
      </w:r>
      <w:r>
        <w:rPr>
          <w:w w:val="102"/>
        </w:rPr>
        <w:t>nas protegidas y los criterios para establecerlas. En interés de la tranquilidad de las zonas protegidas en la ley se establecen nuevos comportamientos que no figuraban hasta ahora en la legislación de Hungría. En la ley se establece la base de la peligr</w:t>
      </w:r>
      <w:r>
        <w:rPr>
          <w:w w:val="102"/>
        </w:rPr>
        <w:t>o</w:t>
      </w:r>
      <w:r>
        <w:rPr>
          <w:w w:val="102"/>
        </w:rPr>
        <w:t>sidad del cliente que está dispuesto a beneficiarse del servicio mediante la ampli</w:t>
      </w:r>
      <w:r>
        <w:rPr>
          <w:w w:val="102"/>
        </w:rPr>
        <w:t>a</w:t>
      </w:r>
      <w:r>
        <w:rPr>
          <w:w w:val="102"/>
        </w:rPr>
        <w:t>ción del círculo de delincuentes en las zonas protegidas y la prohibición del cliente de ofrecer o aceptar una oferta de esa clase. Cabe destacar que en el artículo 145 de la ley se prohibe la publicidad y la difusión de servicios sexuales a otros (en la ley se estipula también la asistencia de carácter técnico). En el futuro, esa ley será la base para imponer multas por alteración del orden público a las personas que ejerzan act</w:t>
      </w:r>
      <w:r>
        <w:rPr>
          <w:w w:val="102"/>
        </w:rPr>
        <w:t>i</w:t>
      </w:r>
      <w:r>
        <w:rPr>
          <w:w w:val="102"/>
        </w:rPr>
        <w:t>vidades de prensa, información o noticias y a personas que anuncien servicios s</w:t>
      </w:r>
      <w:r>
        <w:rPr>
          <w:w w:val="102"/>
        </w:rPr>
        <w:t>e</w:t>
      </w:r>
      <w:r>
        <w:rPr>
          <w:w w:val="102"/>
        </w:rPr>
        <w:t>xuales propios y de otros por escrito o a las personas que participen en esa activ</w:t>
      </w:r>
      <w:r>
        <w:rPr>
          <w:w w:val="102"/>
        </w:rPr>
        <w:t>i</w:t>
      </w:r>
      <w:r>
        <w:rPr>
          <w:w w:val="102"/>
        </w:rPr>
        <w:t xml:space="preserve">dad. </w:t>
      </w:r>
    </w:p>
    <w:p w:rsidR="00000000" w:rsidRDefault="00000000">
      <w:pPr>
        <w:pStyle w:val="SingleTxt"/>
      </w:pPr>
      <w:r>
        <w:tab/>
        <w:t>Por el momento, las disposiciones en materia de orden público relativas a la prostitución se determinan en la Ley LXXV de 1999 sobre las normas de interve</w:t>
      </w:r>
      <w:r>
        <w:t>n</w:t>
      </w:r>
      <w:r>
        <w:t>ción contra la delincuencia organizada y los fenómenos individuales conexos y las modificaciones relativas a esa ley. En esa ley se elimina la prohibición general de la prostitución con independencia del tiempo, el espacio y los medios y se hace pos</w:t>
      </w:r>
      <w:r>
        <w:t>i</w:t>
      </w:r>
      <w:r>
        <w:t>ble, en determinadas circunstancias, el ejercicio de la prostitución. La Ley de Co</w:t>
      </w:r>
      <w:r>
        <w:t>n</w:t>
      </w:r>
      <w:r>
        <w:t>travención se basa en el modelo de sistemas de zonas: como regla general la prost</w:t>
      </w:r>
      <w:r>
        <w:t>i</w:t>
      </w:r>
      <w:r>
        <w:t>tución puede ejercerse en cualquier lugar en que no esté prohibido por una ley o por una ordenanza del gobierno local. En la ley se enumeran los lugares públicos en que está prohibida esa actividad. Al mismo tiempo, si el fenómeno adquiriese una exte</w:t>
      </w:r>
      <w:r>
        <w:t>n</w:t>
      </w:r>
      <w:r>
        <w:t>sión o intensidad intolerables, existe la posibilidad de que los municipios designen las denominadas zonas de tolerancia. En ese momento la lógica se invierte, puesto que en ese caso la actividad sólo podrá ejercerse dentro de las zonas de tolerancia y el resto de los lugares públicos se convierten en zonas prohibidas. Las prostitutas pueden ofrecer sus servicios si cuentan con un certificado médico, prescrito en no</w:t>
      </w:r>
      <w:r>
        <w:t>r</w:t>
      </w:r>
      <w:r>
        <w:t>mas jurídicas especiales. En la Orden No. 41/1999 (IX.8.) EüM del Ministerio de Salud se regulan los certificados médicos que hablan de proporcionarse a las prost</w:t>
      </w:r>
      <w:r>
        <w:t>i</w:t>
      </w:r>
      <w:r>
        <w:t>tutas. Según esa Orden, el certificado médico sólo será válido si va acompañado del documento de identidad y la prueba del resultado negativo de los exámenes de g</w:t>
      </w:r>
      <w:r>
        <w:t>o</w:t>
      </w:r>
      <w:r>
        <w:t>rronea y sífilis y serán válidos durante un mes a partir de la fecha de emisión; los r</w:t>
      </w:r>
      <w:r>
        <w:t>e</w:t>
      </w:r>
      <w:r>
        <w:t>sultados de las pruebas de sífilis, gonorrea, VIH, clamidia y hepatitis B serán vál</w:t>
      </w:r>
      <w:r>
        <w:t>i</w:t>
      </w:r>
      <w:r>
        <w:t>dos durante 3 meses. Los exámenes médicos no son gratuitos; el examen se realiza a iniciativa de la prostituta que tendrá que probar su identidad en el instituto provi</w:t>
      </w:r>
      <w:r>
        <w:t>n</w:t>
      </w:r>
      <w:r>
        <w:t>cial (municipal) encargado de las enfermedades dermatológicas y venéreas del In</w:t>
      </w:r>
      <w:r>
        <w:t>s</w:t>
      </w:r>
      <w:r>
        <w:t>tituto Nacional de Patología Dermatológica y Sexual. Los exámenes tienen por o</w:t>
      </w:r>
      <w:r>
        <w:t>b</w:t>
      </w:r>
      <w:r>
        <w:t>jeto encontrar o descartar la sífilis, gonorrea, VIH y clamidia e impedir su transm</w:t>
      </w:r>
      <w:r>
        <w:t>i</w:t>
      </w:r>
      <w:r>
        <w:t>sión sexual, así como la infección por hepatitis-B. En los tres meses siguientes a la entrada en vigor de la orden (septiembre-diciembre) 12 personas se presentaron para someterse a ese examen.</w:t>
      </w:r>
    </w:p>
    <w:p w:rsidR="00000000" w:rsidRDefault="00000000">
      <w:pPr>
        <w:pStyle w:val="SingleTxt"/>
      </w:pPr>
      <w:r>
        <w:tab/>
        <w:t>En el Código Penal de Hungría se contempla el delito de trata de seres hum</w:t>
      </w:r>
      <w:r>
        <w:t>a</w:t>
      </w:r>
      <w:r>
        <w:t>nos entre los “delitos contra la libertad y dignidad personal” (artículo 175/B), y en su caso básico está redactado de la siguiente forma: “la persona que vende, compra, transporta o acoge a otra persona o la intercambia por otra o la consigue para otra parte con ese fin, comete un delito que podrá castigarse con penas de hasta 3 años de prisión”. En la ley se contempla el castigo con penas de hasta 2 años de prisión para las actividades prepar</w:t>
      </w:r>
      <w:r>
        <w:t>a</w:t>
      </w:r>
      <w:r>
        <w:t>torias, tipificadas como delito menor.</w:t>
      </w:r>
    </w:p>
    <w:p w:rsidR="00000000" w:rsidRDefault="00000000">
      <w:pPr>
        <w:pStyle w:val="SingleTxt"/>
      </w:pPr>
      <w:r>
        <w:tab/>
        <w:t>Las penas que se imponen son de entre 1 y 5 años de prisión si el delito se c</w:t>
      </w:r>
      <w:r>
        <w:t>o</w:t>
      </w:r>
      <w:r>
        <w:t>mete contra una persona privada de libertad, contra una persona menor de 18 años, con fines de trabajo forzoso o de sodomía o relaciones sexuales o para participar en contra de su voluntad en esos actos con otra persona. Aparte de lo anterior, varias formas de ese delito se castigan con penas más graves reguladas por el artículo en cuestión: esas conductas podrán castigarse con penas de 2 a 8 años de prisión, de 5 a 10 años, de 10 a 15 años o de cadena perpetua.</w:t>
      </w:r>
    </w:p>
    <w:p w:rsidR="00000000" w:rsidRDefault="00000000">
      <w:pPr>
        <w:pStyle w:val="SingleTxt"/>
      </w:pPr>
      <w:r>
        <w:tab/>
        <w:t xml:space="preserve">El legislador incluye las actividades de la persona que “mantiene la situación de privación de libertad de la víctima que ha adquirido mediante la trata de seres humanos y la somete a trabajo forzoso” dentro del delito de violación de la libertad personal. El castigo es de penas de 2 a 8 años de prisión (párrafo 2 del artículo 175). </w:t>
      </w:r>
    </w:p>
    <w:p w:rsidR="00000000" w:rsidRDefault="00000000">
      <w:pPr>
        <w:pStyle w:val="SingleTxt"/>
      </w:pPr>
      <w:r>
        <w:tab/>
        <w:t>La normativa criminal relativa a la trata de seres humanos entró en vigor el 1° de marzo de 1999. En los diez meses siguientes se registraron en las estadísticas 2 casos relacionados con ese tipo de delito (artículo 175/B) y violación de la libertad personal relacionada con la trata de seres humanos (artículo 175).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Legislación sobre la prostitución infantil</w:t>
      </w:r>
    </w:p>
    <w:p w:rsidR="00000000" w:rsidRDefault="00000000">
      <w:pPr>
        <w:pStyle w:val="SingleTxt"/>
        <w:spacing w:after="0" w:line="120" w:lineRule="exact"/>
        <w:rPr>
          <w:sz w:val="10"/>
        </w:rPr>
      </w:pPr>
    </w:p>
    <w:p w:rsidR="00000000" w:rsidRDefault="00000000">
      <w:pPr>
        <w:pStyle w:val="SingleTxt"/>
      </w:pPr>
      <w:r>
        <w:tab/>
        <w:t>En el artículo 202 del Código Penal se contemplan los delitos relacionados con la prostitución infantil en el encabezamiento “seducción”. Según ese artículo, la pe</w:t>
      </w:r>
      <w:r>
        <w:t>r</w:t>
      </w:r>
      <w:r>
        <w:t>sona que induce a otra que no haya cumplido aún los 14 años a mantener relaciones sexuales o fornicar con otra persona comete un delito que podrá castigarse con penas de 1 a 5 años de prisión. La persona que haya cumplido 18 años y trate de persuadir a otra que no haya cumplido aún los 14 a mantener relaciones sexuales o fornicar con otra persona comete un delito que podrá castigarse con penas de 1 a 3 años de prisión. Esas conductas se sancionan con penas más graves (2 a 8 años de prisión, ó 1 a 5 años de prisión respectivamente) si la víctima del delito es pariente de quien lo comete o está bajo su tutela, educación, cuidado o trat</w:t>
      </w:r>
      <w:r>
        <w:t>a</w:t>
      </w:r>
      <w:r>
        <w:t>miento médico.</w:t>
      </w:r>
    </w:p>
    <w:p w:rsidR="00000000" w:rsidRDefault="00000000">
      <w:pPr>
        <w:pStyle w:val="SingleTxt"/>
      </w:pPr>
      <w:r>
        <w:tab/>
        <w:t>Desde 1997 está tipificada como delito la obtención de imágenes pornográficas prohibidas. La persona que obtenga imágenes pornográficas de un menor mediante vídeo, fotografía o cualquier otro medio, distribuya esas imágenes o comercie con ellas comete un delito que podrá castigarse con penas de 2 a 8 años de prisión. La persona que obligue a un menor a participar en un espectáculo pornográfico u ofre</w:t>
      </w:r>
      <w:r>
        <w:t>z</w:t>
      </w:r>
      <w:r>
        <w:t>ca una recompensa económica para hacerlo recibirá el mismo castigo.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w:t>
      </w:r>
      <w:r>
        <w:tab/>
        <w:t>Medidas adoptadas entre 1991 y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se estableció la Brigada de protección de la moral sexual en el marco del Departamento de lucha contra la delincuencia organizada del Departamento de Inteligencia Criminal de la Policía de Budapest. La tarea de la Brigada es la invest</w:t>
      </w:r>
      <w:r>
        <w:t>i</w:t>
      </w:r>
      <w:r>
        <w:t>gación de los delitos relacionados con la prostitución y sus autores. La Brigada co</w:t>
      </w:r>
      <w:r>
        <w:t>o</w:t>
      </w:r>
      <w:r>
        <w:t>pera con otras unidades de investigación, con los órganos centrales de la Policía N</w:t>
      </w:r>
      <w:r>
        <w:t>a</w:t>
      </w:r>
      <w:r>
        <w:t>cional y de la Policía de Budapest y con organizaciones económicas y sociales. La tarea de la Brigada está dividida en secciones relacionadas con las diversas man</w:t>
      </w:r>
      <w:r>
        <w:t>i</w:t>
      </w:r>
      <w:r>
        <w:t>festaciones de la prostitución. Esas secciones distintas se ocupan de las prostitutas callejeras, los prostíbulos, los clubes nocturnos y con la prostitución dirigida hacia otros países. En relación con la prostitución callejera, puede observarse una tende</w:t>
      </w:r>
      <w:r>
        <w:t>n</w:t>
      </w:r>
      <w:r>
        <w:t>cia creciente en Budapest desde 1993 hasta el primero de octubre de 1999. La razón reside en una reglamentación insuficiente. La reducción de la prostitución callejera puede relacionarse con la entrada en vigor de la Ley LXXV de 1999. Así pues, por ejemplo, en el distrito VIII de la capital el número de prostitutas se redujo de 700 a unas 100. Simultáneamente se ha podido observar una redistribución de las prost</w:t>
      </w:r>
      <w:r>
        <w:t>i</w:t>
      </w:r>
      <w:r>
        <w:t>tutas y los proxenetas, que puede entrañar la migración hacia otros lugares (ciudades o países) o situación, como el traslado a otras actividades de la delincuencia organ</w:t>
      </w:r>
      <w:r>
        <w:t>i</w:t>
      </w:r>
      <w:r>
        <w:t>zada. Se está debatiendo el establecimiento de zonas de tolerancia, que han dado l</w:t>
      </w:r>
      <w:r>
        <w:t>u</w:t>
      </w:r>
      <w:r>
        <w:t>gar a opiniones divergentes entre las prostitutas y los proxenetas. Una parte de ellos espera la designación de las zonas donde puedan continuar ejerciendo su actividad, en tanto que otra parte piensa que el trabajo en la zona de tolerancia supondrá una merma de los ingresos “en comparación con la situación anterior”.</w:t>
      </w:r>
    </w:p>
    <w:p w:rsidR="00000000" w:rsidRDefault="00000000">
      <w:pPr>
        <w:pStyle w:val="SingleTxt"/>
      </w:pPr>
      <w:r>
        <w:tab/>
        <w:t>La eliminación del proxenetismo, la obtención ilegal de ingresos de la prost</w:t>
      </w:r>
      <w:r>
        <w:t>i</w:t>
      </w:r>
      <w:r>
        <w:t>tución y la trata de  seres humanos es muy difícil, y se ve dificultada además por las amenazas vertidas contra las personas implicadas por parte de los delincuentes. Se vigila especialmente a las prostitutas de la calle y a los grupos de prostitutas, que a menudo se anuncian en la prensa escrita, especializadas en la prestación de servicios sexuales a cambio de una prestación económica. En el futuro será necesario enco</w:t>
      </w:r>
      <w:r>
        <w:t>n</w:t>
      </w:r>
      <w:r>
        <w:t>trar la relación entre la prostitución y las organizaciones delictivas, con especial atención a las zonas de tolerancia que sea necesario asignar.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Fortalecimiento de las relaciones internacionales</w:t>
      </w:r>
    </w:p>
    <w:p w:rsidR="00000000" w:rsidRDefault="00000000">
      <w:pPr>
        <w:pStyle w:val="SingleTxt"/>
        <w:spacing w:after="0" w:line="120" w:lineRule="exact"/>
        <w:rPr>
          <w:sz w:val="10"/>
        </w:rPr>
      </w:pPr>
    </w:p>
    <w:p w:rsidR="00000000" w:rsidRDefault="00000000">
      <w:pPr>
        <w:pStyle w:val="SingleTxt"/>
      </w:pPr>
      <w:r>
        <w:tab/>
        <w:t>El hecho de que la trata de mujeres se haya convertido en una industria inte</w:t>
      </w:r>
      <w:r>
        <w:t>r</w:t>
      </w:r>
      <w:r>
        <w:t>nacional exige la intervención institucional de los órganos estatales de inteligencia e investigación contra ese fenómeno enmarañado y enormemente nocivo. Por lo que se refiere a Hungría, la Oficina Nacional de Hungría de Interpol ha notado también el aumento de esos casos cuando otros países alertaron de la estancia ilegal y la e</w:t>
      </w:r>
      <w:r>
        <w:t>x</w:t>
      </w:r>
      <w:r>
        <w:t>plotación sexual de mujeres y jóvenes húngaras y de las actividades de los que las ac</w:t>
      </w:r>
      <w:r>
        <w:t>o</w:t>
      </w:r>
      <w:r>
        <w:t xml:space="preserve">gían en su país. </w:t>
      </w:r>
    </w:p>
    <w:p w:rsidR="00000000" w:rsidRDefault="00000000">
      <w:pPr>
        <w:pStyle w:val="SingleTxt"/>
      </w:pPr>
      <w:r>
        <w:tab/>
        <w:t>A diferencia de la práctica internacional anterior, la Secretaría de Interpol puso en marcha el “proyecto de vigilancia” que tiene por objeto mejorar el intercambio de datos sobre las víctimas de la trata de mujeres que ayude a establecer la identidad de las personas puestas a la venta, encontrar la ruta de su “envío” y los arreglos est</w:t>
      </w:r>
      <w:r>
        <w:t>a</w:t>
      </w:r>
      <w:r>
        <w:t>blecidos para la explotación y la obtención de beneficios, para ayudar a las autor</w:t>
      </w:r>
      <w:r>
        <w:t>i</w:t>
      </w:r>
      <w:r>
        <w:t>dades investigadoras de los Estados miembros. En Hungría, la eliminación de la trata de mujeres hacia países extranjeros se ve dificultada por la falta de una estr</w:t>
      </w:r>
      <w:r>
        <w:t>e</w:t>
      </w:r>
      <w:r>
        <w:t>cha y total cooperación entre las autoridades encargadas de la seguridad pública, la lentitud de la corriente de información y la pasividad de las personas involucradas. Por el momento, teniendo en cuenta la opinión de Hungría sobre la trata de mujeres, puede concluirse que se siguen con atención los acontecimientos, pero no se aplican medidas de preve</w:t>
      </w:r>
      <w:r>
        <w:t>n</w:t>
      </w:r>
      <w:r>
        <w:t>ción.</w:t>
      </w:r>
    </w:p>
    <w:p w:rsidR="00000000" w:rsidRDefault="00000000">
      <w:pPr>
        <w:pStyle w:val="SingleTxt"/>
      </w:pPr>
      <w:r>
        <w:tab/>
        <w:t>La OIM (Organización Internacional para las Migraciones), con la asistencia de la Unión Europea y en cooperación con órganos del Gobierno de Hungría, pusi</w:t>
      </w:r>
      <w:r>
        <w:t>e</w:t>
      </w:r>
      <w:r>
        <w:t>ron en marcha en el otoño de 1999 una campaña de información para luchar contra la trata de mujeres. La campaña tiene por objetivo informar a las mujeres húngaras y a las autoridades competentes sobre la trata de mujeres y sus consecuencias. Para prepararla, se llevó a cabo una recogida de datos e investigación con la participación de expertos externos sobre la situación de la trata de mujeres en Hungría y, sobre esa base, se decidieron las formas de información que debían emplearse. La duración del proyecto es de nu</w:t>
      </w:r>
      <w:r>
        <w:t>e</w:t>
      </w:r>
      <w:r>
        <w:t>ve meses.</w:t>
      </w:r>
    </w:p>
    <w:p w:rsidR="00000000" w:rsidRDefault="00000000">
      <w:pPr>
        <w:pStyle w:val="SingleTxt"/>
        <w:rPr>
          <w:w w:val="101"/>
        </w:rPr>
      </w:pPr>
      <w:r>
        <w:rPr>
          <w:w w:val="101"/>
        </w:rPr>
        <w:tab/>
        <w:t>La policía del condado de Pest ha establecido lazos de cooperación con distintas organizaciones sociales con el fin de reducir la actividad de la prostitución, ya que las prostitutas son víctimas también y, por tanto, los funcionarios de policía que se oc</w:t>
      </w:r>
      <w:r>
        <w:rPr>
          <w:w w:val="101"/>
        </w:rPr>
        <w:t>u</w:t>
      </w:r>
      <w:r>
        <w:rPr>
          <w:w w:val="101"/>
        </w:rPr>
        <w:t>pan de la prevención del delito, junto con maestros jubilados, interrogan a las prost</w:t>
      </w:r>
      <w:r>
        <w:rPr>
          <w:w w:val="101"/>
        </w:rPr>
        <w:t>i</w:t>
      </w:r>
      <w:r>
        <w:rPr>
          <w:w w:val="101"/>
        </w:rPr>
        <w:t>tutas y les ofrecen asesoramiento jurídico en oficinas de protección de las ví</w:t>
      </w:r>
      <w:r>
        <w:rPr>
          <w:w w:val="101"/>
        </w:rPr>
        <w:t>c</w:t>
      </w:r>
      <w:r>
        <w:rPr>
          <w:w w:val="101"/>
        </w:rPr>
        <w:t xml:space="preserve">timas. </w:t>
      </w:r>
    </w:p>
    <w:p w:rsidR="00000000" w:rsidRDefault="00000000">
      <w:pPr>
        <w:pStyle w:val="SingleTxt"/>
      </w:pPr>
      <w:r>
        <w:tab/>
        <w:t>En la Resolución del Gobierno No. 1074/1999 (VII.7.) sobre las tareas legisl</w:t>
      </w:r>
      <w:r>
        <w:t>a</w:t>
      </w:r>
      <w:r>
        <w:t>tivas y otras medidas necesarias para la protección de las víctimas de delitos y de sus allegados y sobre la compensación e indemnización de los daños se adoptaron decisiones sobre varios problemas, en especial los relativos a la revisión de las no</w:t>
      </w:r>
      <w:r>
        <w:t>r</w:t>
      </w:r>
      <w:r>
        <w:t>mas del derecho penal y de procedimiento criminal con el fin de velar de forma más eficaz por los derechos de las personas afectadas. En ese contexto, en la resolución figuran objetivos relacionados directa e indirectamente con la explotación de la prostitución, la prostitución forzada y las víctimas de la trata de seres humanos, y se designan al mismo tiempo las posibilidades y la fecha límite para llevarlas a la práctica entre 1999 y 2000.</w:t>
      </w:r>
    </w:p>
    <w:p w:rsidR="00000000" w:rsidRDefault="00000000">
      <w:pPr>
        <w:pStyle w:val="SingleTxt"/>
      </w:pPr>
      <w:r>
        <w:tab/>
        <w:t>En el futuro será necesario prestar más atención en la práctica a la preparación general de las personas que se ocupan de tratar con las víctimas y profundizar en los motivos y el mecanismo que entraña convertirse en víctima, de ayudar a las víctimas y otras cuestiones importantes. Al mismo tiempo, es necesario organizar una cap</w:t>
      </w:r>
      <w:r>
        <w:t>a</w:t>
      </w:r>
      <w:r>
        <w:t>citación especial de las personas que se ocupan de determinados grupos de víctimas (niños, mujeres, extranjeros) o de víctimas de determinados delitos (delitos contra la moral sexual). Es necesario mantener una formación y unas prácticas de comunic</w:t>
      </w:r>
      <w:r>
        <w:t>a</w:t>
      </w:r>
      <w:r>
        <w:t>ción comunes para los representantes de las organizaciones de ayuda a las víctimas y los funcionarios policiales, por lo que la Oficina de Asuntos de la Mujer organizará cursos de formación en 2000. En diciembre de 1999, la secretaría, junto con una o</w:t>
      </w:r>
      <w:r>
        <w:t>r</w:t>
      </w:r>
      <w:r>
        <w:t>ganización civil, publicó un manual para los encargados de tratar con personas i</w:t>
      </w:r>
      <w:r>
        <w:t>n</w:t>
      </w:r>
      <w:r>
        <w:t>volucradas en la prostitución forzada y la trata de seres humanos. El Ministerio de Asuntos Sociales y de la Familia apoya también financieramente el trabajo social en la calle, que se dirige, entre otras cosas, a mantener la atención de la salud y la prestación de asistencia para la reintegración.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7. Vida pública y política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Derecho de la mujer al voto</w:t>
      </w:r>
    </w:p>
    <w:p w:rsidR="00000000" w:rsidRDefault="00000000">
      <w:pPr>
        <w:pStyle w:val="SingleTxt"/>
        <w:spacing w:after="0" w:line="120" w:lineRule="exact"/>
        <w:rPr>
          <w:sz w:val="10"/>
        </w:rPr>
      </w:pPr>
    </w:p>
    <w:p w:rsidR="00000000" w:rsidRDefault="00000000">
      <w:pPr>
        <w:pStyle w:val="SingleTxt"/>
      </w:pPr>
      <w:r>
        <w:tab/>
        <w:t>La adquisición del derecho al voto fue una condición fundamental de la part</w:t>
      </w:r>
      <w:r>
        <w:t>i</w:t>
      </w:r>
      <w:r>
        <w:t>cip</w:t>
      </w:r>
      <w:r>
        <w:t>a</w:t>
      </w:r>
      <w:r>
        <w:t xml:space="preserve">ción de la mujer en la política. </w:t>
      </w:r>
    </w:p>
    <w:p w:rsidR="00000000" w:rsidRDefault="00000000">
      <w:pPr>
        <w:pStyle w:val="SingleTxt"/>
      </w:pPr>
      <w:r>
        <w:tab/>
        <w:t>Como resultado de los cambios sociales desencadenados por al Primera Guerra Mundial, en la Ley 1 de 1918 se consagró el derecho de la mujer a votar de forma general, secreta, directa, activa y pasiva, pero se hizo depender de varias condici</w:t>
      </w:r>
      <w:r>
        <w:t>o</w:t>
      </w:r>
      <w:r>
        <w:t>nes. Dejando aparte el período provisional posterior a la Segunda Guerra Mundial (1945-1947) el derecho al voto se violó, no por discriminación entre el hombre y la mujer sino porque el Partido estatal determinaba el círculo de personas elegibles, por lo que no puede hablarse del derecho al voto, sino de la obligación de acudir a las urnas.</w:t>
      </w:r>
    </w:p>
    <w:p w:rsidR="00000000" w:rsidRDefault="00000000">
      <w:pPr>
        <w:pStyle w:val="SingleTxt"/>
      </w:pPr>
      <w:r>
        <w:tab/>
        <w:t>En 1989, a consecuencia de las negociaciones en mesa redonda, se aprobó la nueva Ley de elecciones, que se ajusta perfectamente al sistema constitucional el</w:t>
      </w:r>
      <w:r>
        <w:t>a</w:t>
      </w:r>
      <w:r>
        <w:t>borado mediante un proceso de negociación y que tiene sus raíces en las tradiciones jurídicas de Hungría. Se elaboró un sistema electoral de dos rondas, y las primeras elecciones democráticas libres se celebraron los días 25 de marzo y 8 de abril de 1990. El número de diputados del Parlamento es de 386 y puede obtenerse un escaño por una circunscripción, en una lista regional o en una lista nacional. Se reservan 176 escaños para las circunscripciones, 152 para las listas regionales y 58 para las listas nacionales.</w:t>
      </w:r>
    </w:p>
    <w:p w:rsidR="00000000" w:rsidRDefault="00000000">
      <w:pPr>
        <w:pStyle w:val="SingleTxt"/>
      </w:pPr>
      <w:r>
        <w:tab/>
        <w:t>Las tres elecciones democráticas que se han celebrado hasta la fecha indican que la proporción de mujeres e</w:t>
      </w:r>
      <w:r>
        <w:t>n</w:t>
      </w:r>
      <w:r>
        <w:t>tre los diputados se ha estabilizado en torno al 10%.</w:t>
      </w:r>
    </w:p>
    <w:p w:rsidR="00000000" w:rsidRDefault="00000000">
      <w:pPr>
        <w:pStyle w:val="SingleTxt"/>
      </w:pPr>
      <w:r>
        <w:tab/>
        <w:t>La participación de la mujer en la labor gubernamental es pequeña. En el pr</w:t>
      </w:r>
      <w:r>
        <w:t>i</w:t>
      </w:r>
      <w:r>
        <w:t>mer Gobierno no hubo ministras, en el segundo hubo dos de forma sucesiva, en el Gobierno actual el Ministerio de Justicia está dirigido por la presidenta de uno de los partidos de la coalición. Entre los secretarios de estado la proporción de mujeres es similar. Sin embargo, la participación de la mujer es mayor en la administración, la judicatura, la educación y la atención de la salud. Especialmente en lo que se r</w:t>
      </w:r>
      <w:r>
        <w:t>e</w:t>
      </w:r>
      <w:r>
        <w:t>fiere a la educación , la feminización de la actividad docente genera problemas, pero también se están haciendo mayoritarias en la administración.</w:t>
      </w:r>
    </w:p>
    <w:p w:rsidR="00000000" w:rsidRDefault="00000000">
      <w:pPr>
        <w:pStyle w:val="SingleTxt"/>
      </w:pPr>
      <w:r>
        <w:tab/>
        <w:t>Se espera que los políticos, tanto hombres como mujeres, cuenten con una educación terciaria, pero es muy raro que se elijan mujeres en las circunscripciones, no sólo en las elecciones generales, si no también en las locales.</w:t>
      </w:r>
    </w:p>
    <w:p w:rsidR="00000000" w:rsidRDefault="00000000">
      <w:pPr>
        <w:pStyle w:val="SingleTxt"/>
        <w:spacing w:after="0" w:line="120" w:lineRule="exact"/>
        <w:jc w:val="left"/>
        <w:rPr>
          <w:sz w:val="10"/>
        </w:rPr>
      </w:pPr>
    </w:p>
    <w:p w:rsidR="00000000" w:rsidRDefault="00000000">
      <w:pPr>
        <w:pStyle w:val="SingleTxt"/>
        <w:jc w:val="left"/>
      </w:pPr>
      <w:r>
        <w:br w:type="page"/>
        <w:t>Cuadro 1 a)</w:t>
      </w:r>
      <w:r>
        <w:br/>
      </w:r>
      <w:r>
        <w:rPr>
          <w:b/>
        </w:rPr>
        <w:t>Participación de la mujer en la elecciones generales como candidatas</w:t>
      </w:r>
      <w:r>
        <w:rPr>
          <w:b/>
        </w:rPr>
        <w:br/>
        <w:t>(1990-1998)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620"/>
        <w:gridCol w:w="110"/>
        <w:gridCol w:w="1420"/>
        <w:gridCol w:w="135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de las elecciones</w:t>
            </w:r>
          </w:p>
        </w:tc>
        <w:tc>
          <w:tcPr>
            <w:tcW w:w="594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Elecciones parlamentarias</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306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Candidatos (porcentaje)</w:t>
            </w:r>
          </w:p>
        </w:tc>
        <w:tc>
          <w:tcPr>
            <w:tcW w:w="1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277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Representantes electos (porcentaje)</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44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6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53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35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91,5</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7,0</w:t>
            </w:r>
          </w:p>
        </w:tc>
      </w:tr>
      <w:tr w:rsidR="00000000">
        <w:tblPrEx>
          <w:tblCellMar>
            <w:top w:w="0" w:type="dxa"/>
            <w:left w:w="0" w:type="dxa"/>
            <w:bottom w:w="0" w:type="dxa"/>
            <w:right w:w="0" w:type="dxa"/>
          </w:tblCellMar>
        </w:tblPrEx>
        <w:trPr>
          <w:cantSplit/>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53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11,2</w:t>
            </w:r>
          </w:p>
        </w:tc>
      </w:tr>
      <w:tr w:rsidR="00000000">
        <w:tblPrEx>
          <w:tblCellMar>
            <w:top w:w="0" w:type="dxa"/>
            <w:left w:w="0" w:type="dxa"/>
            <w:bottom w:w="0" w:type="dxa"/>
            <w:right w:w="0" w:type="dxa"/>
          </w:tblCellMar>
        </w:tblPrEx>
        <w:trPr>
          <w:cantSplit/>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85,8</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14,2</w:t>
            </w:r>
          </w:p>
        </w:tc>
        <w:tc>
          <w:tcPr>
            <w:tcW w:w="15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91,7</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 b)</w:t>
      </w:r>
      <w:r>
        <w:rPr>
          <w:b w:val="0"/>
        </w:rPr>
        <w:br/>
      </w:r>
      <w:r>
        <w:t>Participación de la mujer en las elecciones locales como candidatas (1990-1998)</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710"/>
        <w:gridCol w:w="90"/>
        <w:gridCol w:w="1350"/>
        <w:gridCol w:w="135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de las elecciones</w:t>
            </w:r>
          </w:p>
        </w:tc>
        <w:tc>
          <w:tcPr>
            <w:tcW w:w="594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Elecciones de alcaldes y representantes municipales</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315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Alcaldes electos (porcentaje)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270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Representantes municipales electos (porcentaje)</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44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7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144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135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10,8</w:t>
            </w: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15,6</w:t>
            </w:r>
          </w:p>
        </w:tc>
      </w:tr>
      <w:tr w:rsidR="00000000">
        <w:tblPrEx>
          <w:tblCellMar>
            <w:top w:w="0" w:type="dxa"/>
            <w:left w:w="0" w:type="dxa"/>
            <w:bottom w:w="0" w:type="dxa"/>
            <w:right w:w="0" w:type="dxa"/>
          </w:tblCellMar>
        </w:tblPrEx>
        <w:trPr>
          <w:cantSplit/>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10,4</w:t>
            </w: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20,2</w:t>
            </w:r>
          </w:p>
        </w:tc>
      </w:tr>
      <w:tr w:rsidR="00000000">
        <w:tblPrEx>
          <w:tblCellMar>
            <w:top w:w="0" w:type="dxa"/>
            <w:left w:w="0" w:type="dxa"/>
            <w:bottom w:w="0" w:type="dxa"/>
            <w:right w:w="0" w:type="dxa"/>
          </w:tblCellMar>
        </w:tblPrEx>
        <w:trPr>
          <w:cantSplit/>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87,3</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12,7</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76,0</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poder político en cifras</w:t>
      </w:r>
    </w:p>
    <w:p w:rsidR="00000000" w:rsidRDefault="00000000">
      <w:pPr>
        <w:pStyle w:val="SingleTxt"/>
        <w:spacing w:after="0" w:line="120" w:lineRule="exact"/>
        <w:rPr>
          <w:sz w:val="10"/>
        </w:rPr>
      </w:pPr>
    </w:p>
    <w:p w:rsidR="00000000" w:rsidRDefault="00000000">
      <w:pPr>
        <w:pStyle w:val="SingleTxt"/>
      </w:pPr>
      <w:r>
        <w:tab/>
        <w:t>La garantía de la igualdad de oportunidades entre hombres y mujeres y la cre</w:t>
      </w:r>
      <w:r>
        <w:t>a</w:t>
      </w:r>
      <w:r>
        <w:t>ción del necesario sistema institucional son condiciones para que prevalezca la d</w:t>
      </w:r>
      <w:r>
        <w:t>e</w:t>
      </w:r>
      <w:r>
        <w:t>mocracia. El que la mujer se aleje hacia la periferia en los procesos de adopción de decisiones políticas constituye a primera vista un fenómeno paradójico en una s</w:t>
      </w:r>
      <w:r>
        <w:t>o</w:t>
      </w:r>
      <w:r>
        <w:t xml:space="preserve">ciedad como la nuestra que se va haciendo plural y democrática.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Parlamento y en los gobiernos locales</w:t>
      </w:r>
    </w:p>
    <w:p w:rsidR="00000000" w:rsidRDefault="00000000">
      <w:pPr>
        <w:pStyle w:val="SingleTxt"/>
        <w:spacing w:after="0" w:line="120" w:lineRule="exact"/>
        <w:rPr>
          <w:sz w:val="10"/>
        </w:rPr>
      </w:pPr>
    </w:p>
    <w:p w:rsidR="00000000" w:rsidRDefault="00000000">
      <w:pPr>
        <w:pStyle w:val="SingleTxt"/>
      </w:pPr>
      <w:r>
        <w:tab/>
        <w:t>En 1980 casi una tercera parte de los diputados del Parlamento eran mujeres (gráfico 1). Desde que se introdujo el sistema de dos candidatos y prevalece la v</w:t>
      </w:r>
      <w:r>
        <w:t>o</w:t>
      </w:r>
      <w:r>
        <w:t>luntad de los votantes, la proporción de mujeres se redujo, pero todavía se mantiene entre las más altas de todos los países del mundo.</w:t>
      </w:r>
    </w:p>
    <w:p w:rsidR="00000000" w:rsidRDefault="00000000">
      <w:pPr>
        <w:pStyle w:val="SingleTxt"/>
      </w:pPr>
      <w:r>
        <w:tab/>
        <w:t>En las primeras elecciones posteriores al cambio de régimen, la proporción de mujeres en el Parlamento se redujo drásticamente (7,0%). En junio de 1991 la part</w:t>
      </w:r>
      <w:r>
        <w:t>i</w:t>
      </w:r>
      <w:r>
        <w:t>cipación de la mujer en el Parlamento era inferior a la de Hungría en tan sólo seis países de Europa.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br w:type="page"/>
        <w:t>Gráfico 1</w:t>
      </w:r>
      <w:r>
        <w:rPr>
          <w:b/>
        </w:rPr>
        <w:br/>
        <w:t>Porcentaje de mujeres en el Parlamento, 1945-1998</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w w:val="101"/>
        </w:rPr>
      </w:pPr>
      <w:r>
        <w:rPr>
          <w:w w:val="101"/>
        </w:rPr>
        <w:tab/>
        <w:t>Los resultados de las segundas elecciones (11,2%) señalaron el inicio de una tendencia incipiente que no se mantuvo en las elecciones de 1998. La proporción de mujeres volvió a reducirse (8,3%) y en la actualidad, en comparación con los estados miembros de la Unión Europea, es la más baja con excepción de Grecia (6,3%). Pr</w:t>
      </w:r>
      <w:r>
        <w:rPr>
          <w:w w:val="101"/>
        </w:rPr>
        <w:t>o</w:t>
      </w:r>
      <w:r>
        <w:rPr>
          <w:w w:val="101"/>
        </w:rPr>
        <w:t>porciones más reducidas de mujeres parlamentarias se encuentran tan sólo en los ant</w:t>
      </w:r>
      <w:r>
        <w:rPr>
          <w:w w:val="101"/>
        </w:rPr>
        <w:t>i</w:t>
      </w:r>
      <w:r>
        <w:rPr>
          <w:w w:val="101"/>
        </w:rPr>
        <w:t>guos países socialistas situados al este y al sur de Hungría y en la mayoría de los pa</w:t>
      </w:r>
      <w:r>
        <w:rPr>
          <w:w w:val="101"/>
        </w:rPr>
        <w:t>í</w:t>
      </w:r>
      <w:r>
        <w:rPr>
          <w:w w:val="101"/>
        </w:rPr>
        <w:t>ses del mundo en desarrollo. La imagen del país es también desfavorable en el co</w:t>
      </w:r>
      <w:r>
        <w:rPr>
          <w:w w:val="101"/>
        </w:rPr>
        <w:t>n</w:t>
      </w:r>
      <w:r>
        <w:rPr>
          <w:w w:val="101"/>
        </w:rPr>
        <w:t>texto de la región de Europa central en el grupo de los demás países en trans</w:t>
      </w:r>
      <w:r>
        <w:rPr>
          <w:w w:val="101"/>
        </w:rPr>
        <w:t>i</w:t>
      </w:r>
      <w:r>
        <w:rPr>
          <w:w w:val="101"/>
        </w:rPr>
        <w:t>ción.</w:t>
      </w:r>
    </w:p>
    <w:p w:rsidR="00000000" w:rsidRDefault="00000000">
      <w:pPr>
        <w:pStyle w:val="SingleTxt"/>
      </w:pPr>
      <w:r>
        <w:tab/>
        <w:t>Durante las elecciones, las mujeres estuvieron en desventaja desde el principio, eran una pequeña proporción de los candidatos, aunque el aumento continuo de esa proporción es una tendencia notable y favorable (cuadro 2). En las elecciones su desventaja crecía, sus posibilidades de ser elegidas eran menores que las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Número y proporción de candidatos en las elecciones parlamentarias desglosados por sexo, 1990-1998</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530"/>
        <w:gridCol w:w="1710"/>
        <w:gridCol w:w="171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49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Candidatos</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5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7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7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3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1990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Número </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rPr>
          <w:cantSplit/>
        </w:trPr>
        <w:tc>
          <w:tcPr>
            <w:tcW w:w="23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1994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2 489</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rPr>
          <w:cantSplit/>
        </w:trPr>
        <w:tc>
          <w:tcPr>
            <w:tcW w:w="23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1998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Número </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3 657</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4 262</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probabilidades de los hombres de ser elegidos eran mejores en cualquier grupo de edad, salvo en el grupo de entre 61 y 70 años. Las mayores probabilidades de ser elegidos correspondían a los candidatos masculinos entre 31 y 40 años y a los candidatos femeninos entre 41 y 50. El desarrollo de una tendencia favorable viene indicado por el hecho de que en 1998 la proporción de mujeres entre los candidatos iba en aumento en los grupos de edad más j</w:t>
      </w:r>
      <w:r>
        <w:t>ó</w:t>
      </w:r>
      <w:r>
        <w:t>venes.</w:t>
      </w:r>
    </w:p>
    <w:p w:rsidR="00000000" w:rsidRDefault="00000000">
      <w:pPr>
        <w:pStyle w:val="SingleTxt"/>
      </w:pPr>
      <w:r>
        <w:tab/>
        <w:t>La baja proporción de mujeres en el Parlamento fue decidida por los votantes. En 1990 la proporción de mujeres elegidas directamente en las circunscripciones no alcanzó ni siquiera el 3% (2,8 %, gráfico 2) . La tendencia sustancialmente creciente de 1994 (8,7%) fue seguida de nuevo por un descenso en 1998 (6,8%). La propo</w:t>
      </w:r>
      <w:r>
        <w:t>r</w:t>
      </w:r>
      <w:r>
        <w:t>ción de mujeres incluidas en las listas de los partidos, especialmente en las listas n</w:t>
      </w:r>
      <w:r>
        <w:t>a</w:t>
      </w:r>
      <w:r>
        <w:t>cionales, es considerablemente mayor que la de los diputados elegidos directamente por los votantes. Al principio más de cuatro quintas partes, y posteriormente dos te</w:t>
      </w:r>
      <w:r>
        <w:t>r</w:t>
      </w:r>
      <w:r>
        <w:t>ceras partes de las mujeres diputadas, fueron situadas en el Parlamento por los part</w:t>
      </w:r>
      <w:r>
        <w:t>i</w:t>
      </w:r>
      <w:r>
        <w:t>dos que apoyaban sus listas. El aumento de la confianza de los votantes en las muj</w:t>
      </w:r>
      <w:r>
        <w:t>e</w:t>
      </w:r>
      <w:r>
        <w:t>res parlamentarias quedó demostrado por el hecho de que mientras que en las prim</w:t>
      </w:r>
      <w:r>
        <w:t>e</w:t>
      </w:r>
      <w:r>
        <w:t>ras elecciones apenas una quinta parte (18,5%), y en 1994 una tercera parte (34,9%) de los diputados elegidos por circunscripciones eran mujeres, en 1998 eran ya más de una tercera parte (37,5%).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2</w:t>
      </w:r>
      <w:r>
        <w:br/>
        <w:t>Diputadas del Parlamento desglosadas por la forma en que obtuvieron el escaño, 1990-1998</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Hombres y mujeres = 100%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1"/>
        </w:rPr>
      </w:pPr>
      <w:r>
        <w:rPr>
          <w:w w:val="101"/>
        </w:rPr>
        <w:br w:type="page"/>
      </w:r>
      <w:r>
        <w:rPr>
          <w:w w:val="101"/>
        </w:rPr>
        <w:tab/>
        <w:t>En la mayoría de los casos está bien fundada la hipótesis de los votantes de que un puesto representativo que exige grandes cantidades de tiempo y energía pueden d</w:t>
      </w:r>
      <w:r>
        <w:rPr>
          <w:w w:val="101"/>
        </w:rPr>
        <w:t>e</w:t>
      </w:r>
      <w:r>
        <w:rPr>
          <w:w w:val="101"/>
        </w:rPr>
        <w:t>sempeñarlo mejor los hombres, que tienen menos cargas hogareñas y familiares. Esa base adquiere solidez cuando se trata de mujeres con hijos, especialmente con hijos pequeños. Sin embargo, los votantes generalizan y la imagen de la mujer que se crea queda fijada en la mente común como un prejuicio que afecta también a las mujeres que no se ven dificultadas para un trabajo eficaz por obligaciones fam</w:t>
      </w:r>
      <w:r>
        <w:rPr>
          <w:w w:val="101"/>
        </w:rPr>
        <w:t>i</w:t>
      </w:r>
      <w:r>
        <w:rPr>
          <w:w w:val="101"/>
        </w:rPr>
        <w:t>liares.</w:t>
      </w:r>
    </w:p>
    <w:p w:rsidR="00000000" w:rsidRDefault="00000000">
      <w:pPr>
        <w:pStyle w:val="SingleTxt"/>
      </w:pPr>
      <w:r>
        <w:tab/>
        <w:t>En Hungría hay pocas mujeres entre los funcionarios del Parlamento. En lo que se refiere a las Vicepresidencias la situación es favorable. Siempre ha habido una o dos mujeres presentes. Entre los Presidentes de comités parlamentarios, han sido pocas las mujeres en cada una de las legislaturas. La participación de la mujer en los comités sigue siendo inferior a su proporción en el Parlamento (7,3%), au</w:t>
      </w:r>
      <w:r>
        <w:t>n</w:t>
      </w:r>
      <w:r>
        <w:t>que hay muchos hombres que participan en más de un comité. Hay comités en que no existe ninguna mujer (comité sobre presupuesto y finanzas, defensa, juventud y deportes, educación y ciencia, desarrollo urbano, comité sobre auditorías, comité sobre inmunidad, incompatibilidades y mandato). La proporción de mujeres más alta corresponde al comité de asuntos sociales y de salud, pero sobrepasa también el promedio de su presencia en el Parlamento en los comités de cultura y medios de comunicación, asuntos de integración europea, en el comité constitucional y judicial y en el comité sobre gobierno local y seguridad interna (cuadro 3). De los 63 su</w:t>
      </w:r>
      <w:r>
        <w:t>b</w:t>
      </w:r>
      <w:r>
        <w:t>comités 6 están presididos por mujeres, lo que supera ligeramente el promedio (9,5%).</w:t>
      </w:r>
    </w:p>
    <w:p w:rsidR="00000000" w:rsidRDefault="00000000">
      <w:pPr>
        <w:pStyle w:val="SingleTxt"/>
      </w:pPr>
      <w:r>
        <w:tab/>
        <w:t>Las probabilidades de una mujer de llegar al Parlamento vienen determinadas sustancialmente por el sistema electoral. Una parte considerable de los países apl</w:t>
      </w:r>
      <w:r>
        <w:t>i</w:t>
      </w:r>
      <w:r>
        <w:t>can la “discriminación positiva” (cuotas, reservas de puestos, designaciones) con el fin de garantizar o aumentar la proporción de mujeres que se considera suficiente. Hungría no aplica la “discriminación positiva” en favor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gobierno local</w:t>
      </w:r>
    </w:p>
    <w:p w:rsidR="00000000" w:rsidRDefault="00000000">
      <w:pPr>
        <w:pStyle w:val="SingleTxt"/>
        <w:spacing w:after="0" w:line="120" w:lineRule="exact"/>
        <w:rPr>
          <w:sz w:val="10"/>
        </w:rPr>
      </w:pPr>
    </w:p>
    <w:p w:rsidR="00000000" w:rsidRDefault="00000000">
      <w:pPr>
        <w:pStyle w:val="SingleTxt"/>
      </w:pPr>
      <w:r>
        <w:tab/>
        <w:t>En consonancia con la experiencia internacional, las elecciones locales dieron a las mujeres un mayor margen de maniobra. Entre 1990 y 1998 aumentó la partic</w:t>
      </w:r>
      <w:r>
        <w:t>i</w:t>
      </w:r>
      <w:r>
        <w:t>pación de la mujer entre los candidatos y los miembros electos de los consejos de los representantes. En las comunidades más pequeñas las mujeres accedieron al g</w:t>
      </w:r>
      <w:r>
        <w:t>o</w:t>
      </w:r>
      <w:r>
        <w:t>bierno local en una proporción más alta que en las grandes ciudades. En 1990 el 10% de los alcaldes de las comunidades más pequeñas eran mujeres, en tanto que sólo alcanzaban el 3% en las ciudades. De nuevo se aplica aquí, al igual que en los demás lugares, el “principio de la pirámide”: en los lugares más altos, los puestos con mejor reputación, las mujeres tienen menos probabilidades que los hombres. Sin embargo, los resultados indican también que las mujeres tienen ventajas en las ele</w:t>
      </w:r>
      <w:r>
        <w:t>c</w:t>
      </w:r>
      <w:r>
        <w:t>ciones en lo que se refiere al contacto personal, por lo que el persistente perjuicio contra ellas sólo podrá superarse mediante el contacto personal.</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w:t>
      </w:r>
      <w:r>
        <w:br/>
        <w:t>Número y proporción de mujeres que participan en los comités parlamentarios pe</w:t>
      </w:r>
      <w:r>
        <w:t>r</w:t>
      </w:r>
      <w:r>
        <w:t>manentes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810"/>
        <w:gridCol w:w="1080"/>
        <w:gridCol w:w="810"/>
        <w:gridCol w:w="900"/>
        <w:gridCol w:w="90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Comité</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Presidencia</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Vicepresidencia</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Miembros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total de miembros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86"/>
              <w:jc w:val="right"/>
              <w:rPr>
                <w:i/>
                <w:sz w:val="14"/>
              </w:rPr>
            </w:pPr>
            <w:r>
              <w:rPr>
                <w:i/>
                <w:sz w:val="14"/>
              </w:rPr>
              <w:t>Mujeres miembros (porcentaje)</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center"/>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w:t>
            </w:r>
            <w:r>
              <w:rPr>
                <w:sz w:val="17"/>
              </w:rPr>
              <w:tab/>
              <w:t>Comité Constitucional y Judicial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13,3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2.</w:t>
            </w:r>
            <w:r>
              <w:rPr>
                <w:sz w:val="17"/>
              </w:rPr>
              <w:tab/>
              <w:t xml:space="preserve">Comité de Asuntos Económicos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3.</w:t>
            </w:r>
            <w:r>
              <w:rPr>
                <w:sz w:val="17"/>
              </w:rPr>
              <w:tab/>
              <w:t>Comité de Presupuesto y Finanzas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4.</w:t>
            </w:r>
            <w:r>
              <w:rPr>
                <w:sz w:val="17"/>
              </w:rPr>
              <w:tab/>
              <w:t>Comité de Gobierno Local y  Seguridad Interna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10,0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Comité de Agricultura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6.</w:t>
            </w:r>
            <w:r>
              <w:rPr>
                <w:sz w:val="17"/>
              </w:rPr>
              <w:tab/>
              <w:t>Comité de Asuntos de la Integración Europea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15,4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7.</w:t>
            </w:r>
            <w:r>
              <w:rPr>
                <w:sz w:val="17"/>
              </w:rPr>
              <w:tab/>
              <w:t>Comité de Asuntos Exteriores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8.</w:t>
            </w:r>
            <w:r>
              <w:rPr>
                <w:sz w:val="17"/>
              </w:rPr>
              <w:tab/>
              <w:t>Comité de Asuntos Sociales y de Salud</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28,6</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9.</w:t>
            </w:r>
            <w:r>
              <w:rPr>
                <w:sz w:val="17"/>
              </w:rPr>
              <w:tab/>
              <w:t>Comité de Derechos Humanos, Minorías y Religiones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9,5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10.</w:t>
            </w:r>
            <w:r>
              <w:rPr>
                <w:sz w:val="17"/>
              </w:rPr>
              <w:tab/>
              <w:t>Comité de Asuntos de Trabajo y Empleo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9,5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11.</w:t>
            </w:r>
            <w:r>
              <w:rPr>
                <w:sz w:val="17"/>
              </w:rPr>
              <w:tab/>
              <w:t>Comité de Defensa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12.</w:t>
            </w:r>
            <w:r>
              <w:rPr>
                <w:sz w:val="17"/>
              </w:rPr>
              <w:tab/>
              <w:t>Comité de Turismo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4,8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r>
              <w:rPr>
                <w:sz w:val="17"/>
              </w:rPr>
              <w:tab/>
              <w:t>Comité de Juventud y Deportes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w:t>
            </w:r>
            <w:r>
              <w:rPr>
                <w:sz w:val="17"/>
              </w:rPr>
              <w:tab/>
              <w:t>Comité de Asuntos Ambientales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4,8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15.</w:t>
            </w:r>
            <w:r>
              <w:rPr>
                <w:sz w:val="17"/>
              </w:rPr>
              <w:tab/>
              <w:t>Comité de Cultura y de Medios de Comunicación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19,0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w:t>
            </w:r>
            <w:r>
              <w:rPr>
                <w:sz w:val="17"/>
              </w:rPr>
              <w:tab/>
              <w:t>Comité de Educación y Ciencia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Comité de Desarrollo Urbano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w:t>
            </w:r>
            <w:r>
              <w:rPr>
                <w:sz w:val="17"/>
              </w:rPr>
              <w:tab/>
              <w:t>Comité de Seguridad Interna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w:t>
            </w:r>
            <w:r>
              <w:rPr>
                <w:sz w:val="17"/>
              </w:rPr>
              <w:tab/>
              <w:t>Comité de la Oficina de Auditoría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20.</w:t>
            </w:r>
            <w:r>
              <w:rPr>
                <w:sz w:val="17"/>
              </w:rPr>
              <w:tab/>
              <w:t>Comité de Organizaciones no Gubernamentales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21.</w:t>
            </w:r>
            <w:r>
              <w:rPr>
                <w:sz w:val="17"/>
              </w:rPr>
              <w:tab/>
              <w:t>Comité de Cuestiones de Procedimiento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14,3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81" w:line="210" w:lineRule="exact"/>
              <w:ind w:left="288" w:right="40" w:hanging="288"/>
              <w:rPr>
                <w:sz w:val="17"/>
              </w:rPr>
            </w:pPr>
            <w:r>
              <w:rPr>
                <w:sz w:val="17"/>
              </w:rPr>
              <w:t>22.</w:t>
            </w:r>
            <w:r>
              <w:rPr>
                <w:sz w:val="17"/>
              </w:rPr>
              <w:tab/>
              <w:t>Comité de Inmunidad, Incompatibilidades y Mandato</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0</w:t>
            </w:r>
          </w:p>
        </w:tc>
      </w:tr>
      <w:tr w:rsidR="00000000">
        <w:tblPrEx>
          <w:tblCellMar>
            <w:top w:w="0" w:type="dxa"/>
            <w:left w:w="0" w:type="dxa"/>
            <w:bottom w:w="0" w:type="dxa"/>
            <w:right w:w="0" w:type="dxa"/>
          </w:tblCellMar>
        </w:tblPrEx>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7,3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elecciones locales de 1998, la situación de las mujeres mejoró en cierta medida, pero incluso entonces no se produjo un cambio significativo. De los 23 di</w:t>
      </w:r>
      <w:r>
        <w:t>s</w:t>
      </w:r>
      <w:r>
        <w:t>tritos de la capital tan sólo en tres hay una mujer al frente (en los distritos 11, 14 y 17). Las mujeres son alcaldesas del 5,1% de las ciudades con una población sup</w:t>
      </w:r>
      <w:r>
        <w:t>e</w:t>
      </w:r>
      <w:r>
        <w:t>rior a los 10.000 habitantes. Detrás de las cifras promedio se oculta una dispe</w:t>
      </w:r>
      <w:r>
        <w:t>r</w:t>
      </w:r>
      <w:r>
        <w:t>sión territorial considerable. En las grandes ciudades de 15 condados no hay ninguna alcaldesa. En tres condados hay una alcaldesa y en un condado hay dos alcaldesas. En las comunidades con una población inferior a los 10.000 habitantes la proporción de mujeres es mayor que en las grandes ciudades: un promedio del 12,8% . aunque la dispersión es considerable (7,6% en el condado de Pest y el 19,4% en el condado de Jasz-Nagykun-Szolnok), entre los dos extremos se encuentran cifras de entre el 11% y el 13 % de mujeres alcaldesas en la mayoría de los condados. La particip</w:t>
      </w:r>
      <w:r>
        <w:t>a</w:t>
      </w:r>
      <w:r>
        <w:t>ción de la mujer entre los miembros de las asambleas de las capitales y los condados es menor (9,1%) y la dispersión es considerable: entre el 2,5% y el 17,5%.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gobierno</w:t>
      </w:r>
    </w:p>
    <w:p w:rsidR="00000000" w:rsidRDefault="00000000">
      <w:pPr>
        <w:pStyle w:val="SingleTxt"/>
        <w:spacing w:after="0" w:line="120" w:lineRule="exact"/>
        <w:rPr>
          <w:sz w:val="10"/>
        </w:rPr>
      </w:pPr>
    </w:p>
    <w:p w:rsidR="00000000" w:rsidRDefault="00000000">
      <w:pPr>
        <w:pStyle w:val="SingleTxt"/>
      </w:pPr>
      <w:r>
        <w:tab/>
        <w:t>La baja representación de la mujer en el Gobierno de Hungría es evidente. Una Ministra, entre dos y cuatro Secretarias de Estado y tres o cuatro Vicesecretarias de Est</w:t>
      </w:r>
      <w:r>
        <w:t>a</w:t>
      </w:r>
      <w:r>
        <w:t>do constituyen la representación del sexo femenino en el Gobierno.</w:t>
      </w:r>
    </w:p>
    <w:p w:rsidR="00000000" w:rsidRDefault="00000000">
      <w:pPr>
        <w:pStyle w:val="SingleTxt"/>
      </w:pPr>
      <w:r>
        <w:tab/>
        <w:t>Tras el cambio de régimen ha habido una Ministra en el Gobierno (dos mini</w:t>
      </w:r>
      <w:r>
        <w:t>s</w:t>
      </w:r>
      <w:r>
        <w:t>terios sin cartera, el Ministerio de Trabajo y el Ministerio de Justicia, que está dir</w:t>
      </w:r>
      <w:r>
        <w:t>i</w:t>
      </w:r>
      <w:r>
        <w:t>gido en la actualidad por una mujer).</w:t>
      </w:r>
    </w:p>
    <w:p w:rsidR="00000000" w:rsidRDefault="00000000">
      <w:pPr>
        <w:pStyle w:val="SingleTxt"/>
      </w:pPr>
      <w:r>
        <w:tab/>
        <w:t>En los últimos decenios la red gubernamental de protección de los intereses de la mujer se ha venido estableciendo en las economías de mercado desarrolladas. En esos países, y en numerosos países en desarrollo, se ocupa de los asuntos de la mujer un ministerio establecido exclusivamente con ese fin, una sección del ministerio, otra institución estatal o una institución independiente mantenida por el Estado. De los 96 países dispuestos a realizar la encuesta de la Unión Interparlamentaria, 81 (el 84,4%) contaban ya con órganos gubernamentales para la protección de los intereses de la mujer en los años 80. Al principio del decenio de 1990 en 24 países se ocupaba de los intereses de la mujer un ministerio y en otros 57 países un órgano gubern</w:t>
      </w:r>
      <w:r>
        <w:t>a</w:t>
      </w:r>
      <w:r>
        <w:t>mental establecido con ese fin. El establecimiento del sistema de protección de los intereses de la mujer se ha acelerado después de la Cuarta Conferencia Mundial s</w:t>
      </w:r>
      <w:r>
        <w:t>o</w:t>
      </w:r>
      <w:r>
        <w:t>bre la Mujer (1995) y también la Unión Europea ha dado prioridad al logro de la igualdad de oportunidades para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Mecanismo nacional de la mujer</w:t>
      </w:r>
    </w:p>
    <w:p w:rsidR="00000000" w:rsidRDefault="00000000">
      <w:pPr>
        <w:pStyle w:val="SingleTxt"/>
        <w:spacing w:after="0" w:line="120" w:lineRule="exact"/>
        <w:rPr>
          <w:sz w:val="10"/>
        </w:rPr>
      </w:pPr>
    </w:p>
    <w:p w:rsidR="00000000" w:rsidRDefault="00000000">
      <w:pPr>
        <w:pStyle w:val="SingleTxt"/>
      </w:pPr>
      <w:r>
        <w:tab/>
        <w:t>Tras el cambio de régimen en Hungría pasó a ocuparse de los asuntos de la mujer el Gabinete de políticas humanas, encuadrado en el Ministerio de Bienestar Social. En su Comisión de expertos, se dio libertad a los investigadores responsables de los asuntos de la mujer para que elaborasen un programa para el estudio de la condición de la mujer. Como gesto en respuesta a las propuestas del Programa de Acción de Beijing , el Gobierno estableció la Secretaría de Políticas de la Mujer, d</w:t>
      </w:r>
      <w:r>
        <w:t>e</w:t>
      </w:r>
      <w:r>
        <w:t>nominada posteriormente Oficina para la igualdad de oportunidades, dentro del M</w:t>
      </w:r>
      <w:r>
        <w:t>i</w:t>
      </w:r>
      <w:r>
        <w:t>nisterio de Trabajo. El establecimiento de un órgano intergubernamental que se oc</w:t>
      </w:r>
      <w:r>
        <w:t>u</w:t>
      </w:r>
      <w:r>
        <w:t>para de la igualdad de oportunidades significó en sí mismo un gran paso adelante en comparación con el aparente desinterés anterior. Dentro de sus estrechas compete</w:t>
      </w:r>
      <w:r>
        <w:t>n</w:t>
      </w:r>
      <w:r>
        <w:t>cias, la Secretaría trató de popularizar la cuestión de la igualdad de oportunidades y ponerla en práctica. Con el despertar de la reacción y los contactos de la prensa, la opinión pública comenzó a interesarse en la cuestión de la igualdad de oportunid</w:t>
      </w:r>
      <w:r>
        <w:t>a</w:t>
      </w:r>
      <w:r>
        <w:t>des. En conexión con las actividades de la Secretaría se organizó un caso de prueba, por primera vez en el país, con el que se pretendía observar la discriminación en la contratación de empleados. Los esfuerzos por recabar la participación del ámbito c</w:t>
      </w:r>
      <w:r>
        <w:t>i</w:t>
      </w:r>
      <w:r>
        <w:t>vil y los resultados conseguidos al respecto pueden considerarse eficaces.</w:t>
      </w:r>
    </w:p>
    <w:p w:rsidR="00000000" w:rsidRDefault="00000000">
      <w:pPr>
        <w:pStyle w:val="SingleTxt"/>
      </w:pPr>
      <w:r>
        <w:tab/>
        <w:t>Actualmente, el mecanismo gubernamental funciona con el nombre de Oficina de Asuntos de la Mujer en el marco del Ministerio de Asuntos Sociales y de la F</w:t>
      </w:r>
      <w:r>
        <w:t>a</w:t>
      </w:r>
      <w:r>
        <w:t>milia. En su corta existencia ha hecho esfuerzos considerables y avanza activamente. Está ampliando sus relaciones con la sociedad civil y los investigadores. Hace hi</w:t>
      </w:r>
      <w:r>
        <w:t>n</w:t>
      </w:r>
      <w:r>
        <w:t>capié en la eficacia de la difusión de información y pone gran cantidad de material informativo a disposición de los interesados. En octubre de 1999 se estableció el Consejo de Asuntos de la Mujer. En el marco del programa COMET, y conjunt</w:t>
      </w:r>
      <w:r>
        <w:t>a</w:t>
      </w:r>
      <w:r>
        <w:t>mente con organizaciones no gubernamentales y sindicatos, prepara una red nacional de expertos para introducir, difundir y adaptar a la situación nacional la política de igualdad de oportunidades de la Unión Europea. Trabaja en las formas y métodos de funcionamiento del mecanismo gubernamental. Apoya también la organización de la capacitación de expertos dedicados a la igualdad de oportunidades.</w:t>
      </w:r>
    </w:p>
    <w:p w:rsidR="00000000" w:rsidRDefault="00000000">
      <w:pPr>
        <w:pStyle w:val="SingleTxt"/>
      </w:pPr>
      <w:r>
        <w:tab/>
        <w:t>En octubre de 1999 se formó el Consejo de Asuntos de la Mujer que se confía será un organismo útil para la protección de los intereses de la mujer. El Parlamento reaccionó razonablemente a las cambiantes circunstancias; en el marco del comité de derechos humanos, minorías y religión, en 1998 se estableció el subcomité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mujer en los partidos políticos y en sus órganos de dirección</w:t>
      </w:r>
    </w:p>
    <w:p w:rsidR="00000000" w:rsidRDefault="00000000">
      <w:pPr>
        <w:pStyle w:val="SingleTxt"/>
        <w:spacing w:after="0" w:line="120" w:lineRule="exact"/>
        <w:rPr>
          <w:sz w:val="10"/>
        </w:rPr>
      </w:pPr>
    </w:p>
    <w:p w:rsidR="00000000" w:rsidRDefault="00000000">
      <w:pPr>
        <w:pStyle w:val="SingleTxt"/>
        <w:rPr>
          <w:w w:val="101"/>
        </w:rPr>
      </w:pPr>
      <w:r>
        <w:rPr>
          <w:w w:val="101"/>
        </w:rPr>
        <w:tab/>
        <w:t>En las economías de mercado desarrolladas las organizaciones no gubername</w:t>
      </w:r>
      <w:r>
        <w:rPr>
          <w:w w:val="101"/>
        </w:rPr>
        <w:t>n</w:t>
      </w:r>
      <w:r>
        <w:rPr>
          <w:w w:val="101"/>
        </w:rPr>
        <w:t>tales, partidos políticos y organizaciones de mujeres son los más activos en la lucha por los derechos de la mujer y su disfrute. La proporción de mujeres entre los mie</w:t>
      </w:r>
      <w:r>
        <w:rPr>
          <w:w w:val="101"/>
        </w:rPr>
        <w:t>m</w:t>
      </w:r>
      <w:r>
        <w:rPr>
          <w:w w:val="101"/>
        </w:rPr>
        <w:t>bros de los partidos es inferior a su proporción en la población en todo el mu</w:t>
      </w:r>
      <w:r>
        <w:rPr>
          <w:w w:val="101"/>
        </w:rPr>
        <w:t>n</w:t>
      </w:r>
      <w:r>
        <w:rPr>
          <w:w w:val="101"/>
        </w:rPr>
        <w:t xml:space="preserve">do. </w:t>
      </w:r>
    </w:p>
    <w:p w:rsidR="00000000" w:rsidRDefault="00000000">
      <w:pPr>
        <w:pStyle w:val="SingleTxt"/>
      </w:pPr>
      <w:r>
        <w:tab/>
        <w:t>No se dispone de datos sobre los miembros y las estructuras de los partidos n</w:t>
      </w:r>
      <w:r>
        <w:t>a</w:t>
      </w:r>
      <w:r>
        <w:t>cionales. Según la encuesta de la Unión Interparlamentaria, la proporción de mujeres en los partidos está en consonancia con la situación internacional. En octubre de 1991 la proporción de mujeres más alta era la del Partido Popular Cristiano Dem</w:t>
      </w:r>
      <w:r>
        <w:t>ó</w:t>
      </w:r>
      <w:r>
        <w:t>crata (37,0%), seguido por el Partido Socialista de Hungría (34,0%) y el Partido I</w:t>
      </w:r>
      <w:r>
        <w:t>n</w:t>
      </w:r>
      <w:r>
        <w:t>dependiente de pequeños propietarios (19,0%). Esa fuente no publica datos sobre el Foro Democrático de Hungría.</w:t>
      </w:r>
    </w:p>
    <w:p w:rsidR="00000000" w:rsidRDefault="00000000">
      <w:pPr>
        <w:pStyle w:val="SingleTxt"/>
      </w:pPr>
      <w:r>
        <w:tab/>
        <w:t>Desde la perspectiva del uso del poder, la proporción de mujeres en los part</w:t>
      </w:r>
      <w:r>
        <w:t>i</w:t>
      </w:r>
      <w:r>
        <w:t>dos es menos importante que su participación en los órganos de dirección de los partidos, s</w:t>
      </w:r>
      <w:r>
        <w:t>o</w:t>
      </w:r>
      <w:r>
        <w:t>bre la que también se dispone de poca información.</w:t>
      </w:r>
    </w:p>
    <w:p w:rsidR="00000000" w:rsidRDefault="00000000">
      <w:pPr>
        <w:pStyle w:val="SingleTxt"/>
      </w:pPr>
      <w:r>
        <w:tab/>
        <w:t>Hasta ahora ha habido dos mujeres en la dirección de partidos tradicionales o partidos con representación parlamentaria. Por falta de datos nacionales, nos ap</w:t>
      </w:r>
      <w:r>
        <w:t>o</w:t>
      </w:r>
      <w:r>
        <w:t>yamos en la encuesta de la Unión Interparlamentaria que menciona como una quinta parte la proporción de mujeres en los órganos directores de los partidos políticos en Hu</w:t>
      </w:r>
      <w:r>
        <w:t>n</w:t>
      </w:r>
      <w:r>
        <w:t>gría.</w:t>
      </w:r>
    </w:p>
    <w:p w:rsidR="00000000" w:rsidRDefault="00000000">
      <w:pPr>
        <w:pStyle w:val="SingleTxt"/>
      </w:pPr>
      <w:r>
        <w:tab/>
        <w:t>Dentro de los partidos políticos, las secciones de mujeres desempeñan una fu</w:t>
      </w:r>
      <w:r>
        <w:t>n</w:t>
      </w:r>
      <w:r>
        <w:t>ción importante en la protección de los intereses de la mujer. El Foro Democrático de Hungría, el Partido Socialista de Hungría, el Partido Popular Cristiano Demócrata y el Partido Independiente de pequeños propietarios cuentan con secciones de muj</w:t>
      </w:r>
      <w:r>
        <w:t>e</w:t>
      </w:r>
      <w:r>
        <w:t>res, y la Asociación de jóvenes demócratas tiene un seminario estratégico. Una c</w:t>
      </w:r>
      <w:r>
        <w:t>a</w:t>
      </w:r>
      <w:r>
        <w:t>racterística de los países con regímenes en evolución es que la proliferación de m</w:t>
      </w:r>
      <w:r>
        <w:t>o</w:t>
      </w:r>
      <w:r>
        <w:t>vimientos de mujeres y la creación de secciones de mujeres en los partidos políticos avanzan de forma paralela.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mujer en la dirección de los sindicatos</w:t>
      </w:r>
    </w:p>
    <w:p w:rsidR="00000000" w:rsidRDefault="00000000">
      <w:pPr>
        <w:pStyle w:val="SingleTxt"/>
        <w:spacing w:after="0" w:line="120" w:lineRule="exact"/>
        <w:rPr>
          <w:sz w:val="10"/>
        </w:rPr>
      </w:pPr>
    </w:p>
    <w:p w:rsidR="00000000" w:rsidRDefault="00000000">
      <w:pPr>
        <w:pStyle w:val="SingleTxt"/>
      </w:pPr>
      <w:r>
        <w:tab/>
        <w:t>Se da a la participación política de la mujer un papel decisivo y un espacio fundamental en varios órganos interesados en su protección: en primer lugar los si</w:t>
      </w:r>
      <w:r>
        <w:t>n</w:t>
      </w:r>
      <w:r>
        <w:t>dicatos y organizaciones de mujeres. En la mayoría de los países del mundo la pr</w:t>
      </w:r>
      <w:r>
        <w:t>o</w:t>
      </w:r>
      <w:r>
        <w:t>porción de mujeres entre los miembros de los sindicatos es más alta que en los pa</w:t>
      </w:r>
      <w:r>
        <w:t>r</w:t>
      </w:r>
      <w:r>
        <w:t>tidos políticos, pero las mujeres están menos organizadas que los hombres. Las se</w:t>
      </w:r>
      <w:r>
        <w:t>c</w:t>
      </w:r>
      <w:r>
        <w:t>ciones de mujeres de los sindicatos desempeñan un importante papel en las econ</w:t>
      </w:r>
      <w:r>
        <w:t>o</w:t>
      </w:r>
      <w:r>
        <w:t>mías de mercado desarrolladas; sus delegadas representan los intereses de la mujer en los deb</w:t>
      </w:r>
      <w:r>
        <w:t>a</w:t>
      </w:r>
      <w:r>
        <w:t>tes tripartitos.</w:t>
      </w:r>
    </w:p>
    <w:p w:rsidR="00000000" w:rsidRDefault="00000000">
      <w:pPr>
        <w:pStyle w:val="SingleTxt"/>
      </w:pPr>
      <w:r>
        <w:tab/>
        <w:t>La transformación económica y social de Hungría trajo consigo cambios i</w:t>
      </w:r>
      <w:r>
        <w:t>m</w:t>
      </w:r>
      <w:r>
        <w:t>portantes también en el movimiento sindical. El gran número de lugares de trabajo que han cerrado o se han modificado ha tenido una influencia nociva en la organiz</w:t>
      </w:r>
      <w:r>
        <w:t>a</w:t>
      </w:r>
      <w:r>
        <w:t>ción sindical. La proporción anterior de trabajadores organizados, del 70% al 75%, descendió; hoy día tan sólo del 38% al 40% de las personas que trabajan en el sector privado pertenecen a un sindicato. El 50% de los miembros de los sindicatos son mujeres. Sin ninguna campaña de reclutamiento en los últimos decenios, desde el de 1960, las mujeres se han organizado más que los hombres. La representación de la mujer entre los sindicatos de funcionarios refleja su proporción hasta el nivel medio, pero no en los superiores. La presencia de mujeres entre los altos funcionarios de los sindicatos a distintos niveles es de un tercio. Desde 1996, la Asociación Internaci</w:t>
      </w:r>
      <w:r>
        <w:t>o</w:t>
      </w:r>
      <w:r>
        <w:t>nal de Sindicatos Libres ha propugnado la eliminación del problema de la igualdad de oportunidades en los sindicatos y, desde 1998, ha venido alentando y fomentando de varias formas el des</w:t>
      </w:r>
      <w:r>
        <w:t>a</w:t>
      </w:r>
      <w:r>
        <w:t>rrollo de una red de mujeres.</w:t>
      </w:r>
    </w:p>
    <w:p w:rsidR="00000000" w:rsidRDefault="00000000">
      <w:pPr>
        <w:pStyle w:val="SingleTxt"/>
      </w:pPr>
      <w:r>
        <w:tab/>
        <w:t>Cabe destacar el hecho fundamental de que no basta asignar mujeres a puestos más altos, sino que es imprescindible crear las condiciones necesarias para que tr</w:t>
      </w:r>
      <w:r>
        <w:t>a</w:t>
      </w:r>
      <w:r>
        <w:t>bajen de forma eficiente.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Función e importancia del movimiento de la mujer</w:t>
      </w:r>
    </w:p>
    <w:p w:rsidR="00000000" w:rsidRDefault="00000000">
      <w:pPr>
        <w:pStyle w:val="SingleTxt"/>
        <w:spacing w:after="0" w:line="120" w:lineRule="exact"/>
        <w:rPr>
          <w:sz w:val="10"/>
        </w:rPr>
      </w:pPr>
    </w:p>
    <w:p w:rsidR="00000000" w:rsidRDefault="00000000">
      <w:pPr>
        <w:pStyle w:val="SingleTxt"/>
      </w:pPr>
      <w:r>
        <w:tab/>
        <w:t>Las organizaciones de mujeres desempeñan una función decisiva en el recon</w:t>
      </w:r>
      <w:r>
        <w:t>o</w:t>
      </w:r>
      <w:r>
        <w:t>cimiento, el ejercicio y la salvaguardia de los intereses de la mujer. El debilit</w:t>
      </w:r>
      <w:r>
        <w:t>a</w:t>
      </w:r>
      <w:r>
        <w:t>miento de los movimientos nacionales de mujeres después de 1945 tiene una inc</w:t>
      </w:r>
      <w:r>
        <w:t>i</w:t>
      </w:r>
      <w:r>
        <w:t>dencia decisiva en la tibieza actual de la demanda de la mujer y su interés limitado en partic</w:t>
      </w:r>
      <w:r>
        <w:t>i</w:t>
      </w:r>
      <w:r>
        <w:t>par en la política.</w:t>
      </w:r>
    </w:p>
    <w:p w:rsidR="00000000" w:rsidRDefault="00000000">
      <w:pPr>
        <w:pStyle w:val="SingleTxt"/>
      </w:pPr>
      <w:r>
        <w:tab/>
        <w:t>La participación en distintos partidos, grupos de intereses, movimientos de mujeres y, especialmente, en sus órganos directores es fundamental en lo que se r</w:t>
      </w:r>
      <w:r>
        <w:t>e</w:t>
      </w:r>
      <w:r>
        <w:t>fiere al activismo de las mujeres porque es como una escuela para los participantes en la que pueden aprenderse los métodos de llegar al poder y la forma de utilizarlo. Por otra parte es importante porque el camino hacia las esferas principales de la adopción de decisiones, el Parlamento y el Gobierno, pasa por esos canales. A ese respecto, las distintas organizaciones profesionales y movimientos que tratan de conseguir objetivos importantes desempeñan también una función importante. La sociedad de mujeres, fuertemente atomizada, ha de pasar por esa red oficial y ofici</w:t>
      </w:r>
      <w:r>
        <w:t>o</w:t>
      </w:r>
      <w:r>
        <w:t>sa que conduce al poder, lo que hace aún más difícil llegar hasta él y ejercerlo de forma eficaz.</w:t>
      </w:r>
    </w:p>
    <w:p w:rsidR="00000000" w:rsidRDefault="00000000">
      <w:pPr>
        <w:pStyle w:val="SingleTxt"/>
      </w:pPr>
      <w:r>
        <w:tab/>
        <w:t>Del apoyo financiero distribuido por el comité parlamentario de organizaci</w:t>
      </w:r>
      <w:r>
        <w:t>o</w:t>
      </w:r>
      <w:r>
        <w:t>nes sociales, que ascendió a 3.494.204 forints entre 1991 y 1999, algo más del 1% se dest</w:t>
      </w:r>
      <w:r>
        <w:t>i</w:t>
      </w:r>
      <w:r>
        <w:t>nó a las organizaciones de mujeres (véase el anexo).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Condiciones sociales necesarias para la participación política</w:t>
      </w:r>
    </w:p>
    <w:p w:rsidR="00000000" w:rsidRDefault="00000000">
      <w:pPr>
        <w:pStyle w:val="SingleTxt"/>
        <w:spacing w:after="0" w:line="120" w:lineRule="exact"/>
        <w:rPr>
          <w:sz w:val="10"/>
        </w:rPr>
      </w:pPr>
    </w:p>
    <w:p w:rsidR="00000000" w:rsidRDefault="00000000">
      <w:pPr>
        <w:pStyle w:val="SingleTxt"/>
      </w:pPr>
      <w:r>
        <w:tab/>
        <w:t>El marco social más importante para la participación política de la mujer es su nivel de educación, el nivel y la estructura de su empleo y las condiciones de i</w:t>
      </w:r>
      <w:r>
        <w:t>n</w:t>
      </w:r>
      <w:r>
        <w:t>fraestructura necesarias para armonizar la doble tarea (el empleo remunerado y los deberes del hogar) que tienen que realizar. El alto nivel de educación ofrece cond</w:t>
      </w:r>
      <w:r>
        <w:t>i</w:t>
      </w:r>
      <w:r>
        <w:t>ciones favorables, en tanto que el drástico descenso del empleo y la falta de cond</w:t>
      </w:r>
      <w:r>
        <w:t>i</w:t>
      </w:r>
      <w:r>
        <w:t>ciones de infraestructura obstaculiza la demanda de la participación política y la igualdad de oportunidades en esa participación.</w:t>
      </w:r>
    </w:p>
    <w:p w:rsidR="00000000" w:rsidRDefault="00000000">
      <w:pPr>
        <w:pStyle w:val="SingleTxt"/>
      </w:pPr>
      <w:r>
        <w:tab/>
        <w:t>El nivel de empleo tiene una influencia sustancial en la actividad política de la población y las posibilidades de realizar actividades, puesto que los que desean i</w:t>
      </w:r>
      <w:r>
        <w:t>n</w:t>
      </w:r>
      <w:r>
        <w:t>tervenir en la política adquieren las normas y formas de comportamiento indispe</w:t>
      </w:r>
      <w:r>
        <w:t>n</w:t>
      </w:r>
      <w:r>
        <w:t>sables en la esfera política mediante el trabajo en el sector competitivo. Sin emba</w:t>
      </w:r>
      <w:r>
        <w:t>r</w:t>
      </w:r>
      <w:r>
        <w:t>go, para las personas es más importante el trabajo remunerado para mantener el n</w:t>
      </w:r>
      <w:r>
        <w:t>i</w:t>
      </w:r>
      <w:r>
        <w:t>vel de vida de la familia, puesto que sólo hay dos trabajadores para atender las nec</w:t>
      </w:r>
      <w:r>
        <w:t>e</w:t>
      </w:r>
      <w:r>
        <w:t>sidades esenciales de la vida cotidiana.</w:t>
      </w:r>
    </w:p>
    <w:p w:rsidR="00000000" w:rsidRDefault="00000000">
      <w:pPr>
        <w:pStyle w:val="SingleTxt"/>
      </w:pPr>
      <w:r>
        <w:tab/>
        <w:t>Tras el cambio de régimen, el empleo, incluido el nivel de empleo de las muj</w:t>
      </w:r>
      <w:r>
        <w:t>e</w:t>
      </w:r>
      <w:r>
        <w:t>res, se redujo de forma importante y aumentó el número de desempleados. Otras formas de retirada del mercado de trabajo, como la jubilación, el apoyo a las muj</w:t>
      </w:r>
      <w:r>
        <w:t>e</w:t>
      </w:r>
      <w:r>
        <w:t>res que están criando a más de tres hijos, el recurso a las prestaciones para la ate</w:t>
      </w:r>
      <w:r>
        <w:t>n</w:t>
      </w:r>
      <w:r>
        <w:t>ción de los hijos y una estancia más larga de los jóvenes en el sistema educativo d</w:t>
      </w:r>
      <w:r>
        <w:t>e</w:t>
      </w:r>
      <w:r>
        <w:t>sempeñan un p</w:t>
      </w:r>
      <w:r>
        <w:t>a</w:t>
      </w:r>
      <w:r>
        <w:t>pel en el descenso del empleo de la mujer.</w:t>
      </w:r>
    </w:p>
    <w:p w:rsidR="00000000" w:rsidRDefault="00000000">
      <w:pPr>
        <w:pStyle w:val="SingleTxt"/>
      </w:pPr>
      <w:r>
        <w:tab/>
        <w:t>Además del bajo nivel de empleo, la estructura del empleo de la mujer es de</w:t>
      </w:r>
      <w:r>
        <w:t>s</w:t>
      </w:r>
      <w:r>
        <w:t>favorable: la mayoría de las mujeres están en los escalones inferiores de la jerarquía del empleo. La proporción de mujeres es baja entre los dirigentes, especialmente en los niveles más altos. Es necesario prestar atención a ese aspecto, puesto que la nu</w:t>
      </w:r>
      <w:r>
        <w:t>e</w:t>
      </w:r>
      <w:r>
        <w:t>va generación de dirigentes políticos provendrá de los puestos de dirección o alta cualificación de la esfera económica y cultural. Las posibilidades de la mujer de i</w:t>
      </w:r>
      <w:r>
        <w:t>n</w:t>
      </w:r>
      <w:r>
        <w:t>corporarse al proceso de adopción de decisiones políticas están restringidas por su baja representación en la gestión económica. Eso se refleja en un estudio comparat</w:t>
      </w:r>
      <w:r>
        <w:t>i</w:t>
      </w:r>
      <w:r>
        <w:t>vo internacional realizado en 1994 sobre treinta líderes políticos de alto nivel. Más de las tres cuartas partes de los hombres y algo más de la mitad de las mujeres e</w:t>
      </w:r>
      <w:r>
        <w:t>n</w:t>
      </w:r>
      <w:r>
        <w:t>trevistadas habían desempeñado puestos directivos en sus trabajos anteriores. Mie</w:t>
      </w:r>
      <w:r>
        <w:t>n</w:t>
      </w:r>
      <w:r>
        <w:t>tras que la mitad de los hombres eran dirigentes de alto nivel, tan sólo lo era el 2% de las mujeres. Las carreras sustancialmente más rápidas de los hombres quedan r</w:t>
      </w:r>
      <w:r>
        <w:t>e</w:t>
      </w:r>
      <w:r>
        <w:t>flejadas en el hecho de que tres cuartas partes de ellos no habían estado en un puesto de dirección dos empleos atrás, en tanto que ese era el caso únicamente para la te</w:t>
      </w:r>
      <w:r>
        <w:t>r</w:t>
      </w:r>
      <w:r>
        <w:t>cera parte de las mujeres.</w:t>
      </w:r>
    </w:p>
    <w:p w:rsidR="00000000" w:rsidRDefault="00000000">
      <w:pPr>
        <w:pStyle w:val="SingleTxt"/>
      </w:pPr>
      <w:r>
        <w:tab/>
        <w:t>Para resumir, puede decirse que el bajo nivel y la estructura desfavorable del empleo de la mujer, su desventaja en el mercado de trabajo, las muchas horas de tr</w:t>
      </w:r>
      <w:r>
        <w:t>a</w:t>
      </w:r>
      <w:r>
        <w:t>bajo en su empleo y en el hogar contribuyen a la pasividad de la mujer en la política.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Condiciones sociales necesarias para armonizar la doble tarea de la mujer</w:t>
      </w:r>
    </w:p>
    <w:p w:rsidR="00000000" w:rsidRDefault="00000000">
      <w:pPr>
        <w:pStyle w:val="SingleTxt"/>
        <w:spacing w:after="0" w:line="120" w:lineRule="exact"/>
        <w:rPr>
          <w:sz w:val="10"/>
        </w:rPr>
      </w:pPr>
    </w:p>
    <w:p w:rsidR="00000000" w:rsidRDefault="00000000">
      <w:pPr>
        <w:pStyle w:val="SingleTxt"/>
        <w:rPr>
          <w:w w:val="101"/>
        </w:rPr>
      </w:pPr>
      <w:r>
        <w:rPr>
          <w:w w:val="101"/>
        </w:rPr>
        <w:tab/>
        <w:t>Debido a su función especial en la división social del trabajo, las mujeres trab</w:t>
      </w:r>
      <w:r>
        <w:rPr>
          <w:w w:val="101"/>
        </w:rPr>
        <w:t>a</w:t>
      </w:r>
      <w:r>
        <w:rPr>
          <w:w w:val="101"/>
        </w:rPr>
        <w:t>jadoras llevan la carga de realizar una doble tarea. Además de realizar un empleo r</w:t>
      </w:r>
      <w:r>
        <w:rPr>
          <w:w w:val="101"/>
        </w:rPr>
        <w:t>e</w:t>
      </w:r>
      <w:r>
        <w:rPr>
          <w:w w:val="101"/>
        </w:rPr>
        <w:t>munerado tienen que hacer frente a las tareas del hogar y el cuidado de los hijos. Ello entraña una excesiva carga de trabajo, la mayoría de ellas trabajan de 14 a 15 horas diarias si se incluye el tiempo de viaje. Las dos diferentes tareas pueden hacerse de una forma relativamente eficaz sólo si se cuenta con la asistencia social. Si se carece de ella las mujeres tienen dificultades para realizar las tareas que se les han confiado y sólo pueden realizarlas en detrimento de su tiempo libre y su función política.</w:t>
      </w:r>
    </w:p>
    <w:p w:rsidR="00000000" w:rsidRDefault="00000000">
      <w:pPr>
        <w:pStyle w:val="SingleTxt"/>
      </w:pPr>
      <w:r>
        <w:tab/>
        <w:t>El sistema de condiciones sociales para hacer frente a la doble tarea es inco</w:t>
      </w:r>
      <w:r>
        <w:t>m</w:t>
      </w:r>
      <w:r>
        <w:t>pleto. El empleo en jornada completa conlleva un promedio de ocho horas y media de trabajo al día. A pesar de las ventajas del sistema de apoyo para el cuidado de los hijos, si sólo lo solicitan las mujeres puede dificultar su avance profesional, mant</w:t>
      </w:r>
      <w:r>
        <w:t>e</w:t>
      </w:r>
      <w:r>
        <w:t>ner su desventaja en el mercado de trabajo y, por tanto, en la actividad política y la dema</w:t>
      </w:r>
      <w:r>
        <w:t>n</w:t>
      </w:r>
      <w:r>
        <w:t>da de puestos.</w:t>
      </w:r>
    </w:p>
    <w:p w:rsidR="00000000" w:rsidRDefault="00000000">
      <w:pPr>
        <w:pStyle w:val="SingleTxt"/>
      </w:pPr>
      <w:r>
        <w:tab/>
        <w:t>La reducción de instituciones infantiles pone a la mujer con un empleo rem</w:t>
      </w:r>
      <w:r>
        <w:t>u</w:t>
      </w:r>
      <w:r>
        <w:t>nerado en una situación difícil, aunque en 1997, el 96,1% de los niños en esa edad asistían al jardín de infancia. Las comunidades más pequeñas han tenido que cerrar instituciones infantiles debido al descenso del número de niños.</w:t>
      </w:r>
    </w:p>
    <w:p w:rsidR="00000000" w:rsidRDefault="00000000">
      <w:pPr>
        <w:pStyle w:val="SingleTxt"/>
      </w:pPr>
      <w:r>
        <w:tab/>
        <w:t>No obstante, entre la política de servicios para la familia figuran las instituci</w:t>
      </w:r>
      <w:r>
        <w:t>o</w:t>
      </w:r>
      <w:r>
        <w:t>nes infantiles (jardines de infancia y guarderías) y el acceso a esas instituciones en Hungría supera los niveles de países más adelantados. Los centros de asistencia f</w:t>
      </w:r>
      <w:r>
        <w:t>a</w:t>
      </w:r>
      <w:r>
        <w:t>miliar y las instituciones infantiles proporcionan unos servicios básicos para el cu</w:t>
      </w:r>
      <w:r>
        <w:t>i</w:t>
      </w:r>
      <w:r>
        <w:t>dado de los niños, además, el desarrollo de guarderías familiares y de la red de s</w:t>
      </w:r>
      <w:r>
        <w:t>e</w:t>
      </w:r>
      <w:r>
        <w:t>gundos padres ha comenzado a impartir formación y prestar servicios.</w:t>
      </w:r>
    </w:p>
    <w:p w:rsidR="00000000" w:rsidRDefault="00000000">
      <w:pPr>
        <w:pStyle w:val="SingleTxt"/>
      </w:pPr>
      <w:r>
        <w:tab/>
        <w:t>En los últimos decenios una asimetría especial ha guiado el concepto de incluir a la mujer en la división social del trabajo en Hungría y en todo el mundo. Aunque la mayoría de las mujeres han acudido al mundo del empleo remunerado, sus tareas hogareñas no han descendido de manera proporcional. También es cierto que la m</w:t>
      </w:r>
      <w:r>
        <w:t>u</w:t>
      </w:r>
      <w:r>
        <w:t>jer de hoy emplea como promedio tres veces más tiempo en las tareas del hogar, el cuidado de los hijos y de la casa que los ho</w:t>
      </w:r>
      <w:r>
        <w:t>m</w:t>
      </w:r>
      <w:r>
        <w:t>bres.</w:t>
      </w:r>
    </w:p>
    <w:p w:rsidR="00000000" w:rsidRDefault="00000000">
      <w:pPr>
        <w:pStyle w:val="SingleTxt"/>
      </w:pPr>
      <w:r>
        <w:tab/>
        <w:t>En Hungría, las condiciones sociales necesarias para la participación política de la mujer existen en parte y están ausentes en parte. El alto nivel de educación ofrece condiciones favorables. Debido al descenso del nivel de empleo, el empe</w:t>
      </w:r>
      <w:r>
        <w:t>o</w:t>
      </w:r>
      <w:r>
        <w:t>ramiento de la situación económica de las familias y la excesiva carga de trabajo s</w:t>
      </w:r>
      <w:r>
        <w:t>o</w:t>
      </w:r>
      <w:r>
        <w:t>bre los hombres la recuperación de la división tradicional del trabajo vuelve a vi</w:t>
      </w:r>
      <w:r>
        <w:t>n</w:t>
      </w:r>
      <w:r>
        <w:t>cular a la mujer con las tareas tradicionales del hogar ,con lo que resulta más difícil que se organicen y les deja menos energía para el cuidado de la familia, el descanso, el ocio y las aficiones. Si no se tiene la asistencia social necesaria para reducir la doble tarea, no puede esperarse una mejora rápida en la actividad política de las mujeres con familia e hijos ni en su participación en los procesos de adopción de decisiones. La opinión pública opta por la función tradicional de los sexos; según un estudio, tan sólo un tercio de la población apoyaría una mayor participación de la mujer en la p</w:t>
      </w:r>
      <w:r>
        <w:t>o</w:t>
      </w:r>
      <w:r>
        <w:t>lítica.</w:t>
      </w:r>
    </w:p>
    <w:p w:rsidR="00000000" w:rsidRDefault="00000000">
      <w:pPr>
        <w:pStyle w:val="SingleTxt"/>
      </w:pPr>
      <w:r>
        <w:tab/>
        <w:t>Para encontrar oportunidades de cambio, es necesario buscar las alternativas en los factores decisivos del activismo político de la mujer. El ejemplo de las econ</w:t>
      </w:r>
      <w:r>
        <w:t>o</w:t>
      </w:r>
      <w:r>
        <w:t>mías de mercado desarrolladas demuestra que la aceleración de la iniciación de la mujer proviene del reconocimiento de unos intereses idénticos. En el transcurso de los preparativos para las elecciones, los órganos de dirección de los partidos pos</w:t>
      </w:r>
      <w:r>
        <w:t>i</w:t>
      </w:r>
      <w:r>
        <w:t>blemente perciban que el partido que tiene más probabilidades de ganar las elecci</w:t>
      </w:r>
      <w:r>
        <w:t>o</w:t>
      </w:r>
      <w:r>
        <w:t>nes es el que pueda persuadir a la mayoría de más de la mitad de los votantes (las mujeres). Los dirigentes de los sindicatos percibirán probablemente que sus inter</w:t>
      </w:r>
      <w:r>
        <w:t>e</w:t>
      </w:r>
      <w:r>
        <w:t>ses se moverán hacia la salvaguardia de los intereses de la mujer y en sus políticas seguirán los cambios por los que pasaron sus asociados de la Europa más desarroll</w:t>
      </w:r>
      <w:r>
        <w:t>a</w:t>
      </w:r>
      <w:r>
        <w:t>da en el decenio de 1980. Se confía en que los movimientos de mujeres se fortalec</w:t>
      </w:r>
      <w:r>
        <w:t>e</w:t>
      </w:r>
      <w:r>
        <w:t>rán, las mujeres reconocerán que están expuestas a riesgos y, por tanto, las mujeres y los activistas que luchan por el reconocimiento, el disfrute y la exigencia de sus i</w:t>
      </w:r>
      <w:r>
        <w:t>n</w:t>
      </w:r>
      <w:r>
        <w:t>tereses se encontrarán.</w:t>
      </w:r>
    </w:p>
    <w:p w:rsidR="00000000" w:rsidRDefault="00000000">
      <w:pPr>
        <w:pStyle w:val="SingleTxt"/>
      </w:pPr>
      <w:r>
        <w:tab/>
        <w:t>En vista de todo ello, es de suponer que un entorno social más “favorable a la mujer” que el actual alentará a mujeres con talento y aptitudes a, en su propio int</w:t>
      </w:r>
      <w:r>
        <w:t>e</w:t>
      </w:r>
      <w:r>
        <w:t>rés, el de otras mujeres y el de la sociedad, asumir la función política, que se e</w:t>
      </w:r>
      <w:r>
        <w:t>n</w:t>
      </w:r>
      <w:r>
        <w:t>cuentra todavía en conflicto con su papel tradicional y que aparece, en muchos a</w:t>
      </w:r>
      <w:r>
        <w:t>s</w:t>
      </w:r>
      <w:r>
        <w:t>pectos, como desagrad</w:t>
      </w:r>
      <w:r>
        <w:t>e</w:t>
      </w:r>
      <w:r>
        <w:t>cida.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8. Representación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Cuando aparecen en el plano internacional, los miembros de las delegaciones gubernamentales húngaras se designan en base a sus conocimientos y, casi sin e</w:t>
      </w:r>
      <w:r>
        <w:t>x</w:t>
      </w:r>
      <w:r>
        <w:t>cepción, las mujeres participan también en su trabajo. La composición de las del</w:t>
      </w:r>
      <w:r>
        <w:t>e</w:t>
      </w:r>
      <w:r>
        <w:t>gaciones en cuanto a hombres y mujeres refleja las tasas de participación en la esf</w:t>
      </w:r>
      <w:r>
        <w:t>e</w:t>
      </w:r>
      <w:r>
        <w:t>ra pública, así como su presencia en la vida pública.</w:t>
      </w:r>
    </w:p>
    <w:p w:rsidR="00000000" w:rsidRDefault="00000000">
      <w:pPr>
        <w:pStyle w:val="SingleTxt"/>
      </w:pPr>
      <w:r>
        <w:tab/>
        <w:t>El desglose por sexos del personal del Ministerio de Relaciones Exteriores r</w:t>
      </w:r>
      <w:r>
        <w:t>e</w:t>
      </w:r>
      <w:r>
        <w:t>fleja la situación de los funcionarios en Hungría (cabe destacar que el público perc</w:t>
      </w:r>
      <w:r>
        <w:t>i</w:t>
      </w:r>
      <w:r>
        <w:t>be todavía la carrera diplomática como una profesión de hombres). Las oposiciones abiertas para el servicio exterior, así como el sistema de calificación y ascenso pr</w:t>
      </w:r>
      <w:r>
        <w:t>o</w:t>
      </w:r>
      <w:r>
        <w:t>gresivos, sirve como garantía de que nadie pueda ocupar puestos injustamente por motivos de sexo.</w:t>
      </w:r>
    </w:p>
    <w:p w:rsidR="00000000" w:rsidRDefault="00000000">
      <w:pPr>
        <w:pStyle w:val="SingleTxt"/>
        <w:rPr>
          <w:w w:val="101"/>
        </w:rPr>
      </w:pPr>
      <w:r>
        <w:rPr>
          <w:w w:val="101"/>
        </w:rPr>
        <w:tab/>
        <w:t>En el período anterior al decenio de 1990 los que tenían mejores probabilidades de acceder al Ministerio de Relaciones Exteriores eran los graduados del depart</w:t>
      </w:r>
      <w:r>
        <w:rPr>
          <w:w w:val="101"/>
        </w:rPr>
        <w:t>a</w:t>
      </w:r>
      <w:r>
        <w:rPr>
          <w:w w:val="101"/>
        </w:rPr>
        <w:t>mento de relaciones internacionales de la Universidad de Economía y del IMO de Moscú, pero desde 1991 el número de personas con un título universitario de otras instituciones educativas ha sido mucho más alto. El repentino aumento del personal que se produjo desde 1995 puede explicarse también por las exigencias de personal de la adhesión a la OTAN y a la Unión Europea. Al mismo tiempo, esos hechos provoc</w:t>
      </w:r>
      <w:r>
        <w:rPr>
          <w:w w:val="101"/>
        </w:rPr>
        <w:t>a</w:t>
      </w:r>
      <w:r>
        <w:rPr>
          <w:w w:val="101"/>
        </w:rPr>
        <w:t>ron un aumento proporcional, aunque no drástico, del número de mujeres e</w:t>
      </w:r>
      <w:r>
        <w:rPr>
          <w:w w:val="101"/>
        </w:rPr>
        <w:t>m</w:t>
      </w:r>
      <w:r>
        <w:rPr>
          <w:w w:val="101"/>
        </w:rPr>
        <w:t>pleadas.</w:t>
      </w:r>
    </w:p>
    <w:p w:rsidR="00000000" w:rsidRDefault="00000000">
      <w:pPr>
        <w:pStyle w:val="SingleTxt"/>
      </w:pPr>
      <w:r>
        <w:tab/>
        <w:t>El 12,9% del personal diplomático son mujeres; esa proporción es similar en el personal destinado en el país y fuera de él. Por la naturaleza concreta del servicio diplomático, las mujeres, especialmente las jóvenes al principio de su carrera, pie</w:t>
      </w:r>
      <w:r>
        <w:t>n</w:t>
      </w:r>
      <w:r>
        <w:t>san que merece la pena si pueden:</w:t>
      </w:r>
    </w:p>
    <w:p w:rsidR="00000000" w:rsidRDefault="00000000">
      <w:pPr>
        <w:pStyle w:val="SingleTxt"/>
        <w:tabs>
          <w:tab w:val="right" w:pos="1685"/>
        </w:tabs>
        <w:ind w:left="1742" w:hanging="475"/>
      </w:pPr>
      <w:r>
        <w:tab/>
        <w:t>–</w:t>
      </w:r>
      <w:r>
        <w:tab/>
        <w:t>Obtener puestos a largo plazo como solteras;</w:t>
      </w:r>
    </w:p>
    <w:p w:rsidR="00000000" w:rsidRDefault="00000000">
      <w:pPr>
        <w:pStyle w:val="SingleTxt"/>
        <w:tabs>
          <w:tab w:val="right" w:pos="1685"/>
        </w:tabs>
        <w:ind w:left="1742" w:hanging="475"/>
      </w:pPr>
      <w:r>
        <w:tab/>
        <w:t>–</w:t>
      </w:r>
      <w:r>
        <w:tab/>
        <w:t>Tener la posibilidad de fundar una familia y tener hijos en una etapa más tardía que otras mujeres en su grupo de edad;</w:t>
      </w:r>
    </w:p>
    <w:p w:rsidR="00000000" w:rsidRDefault="00000000">
      <w:pPr>
        <w:pStyle w:val="SingleTxt"/>
        <w:tabs>
          <w:tab w:val="right" w:pos="1685"/>
        </w:tabs>
        <w:ind w:left="1742" w:hanging="475"/>
      </w:pPr>
      <w:r>
        <w:tab/>
        <w:t>–</w:t>
      </w:r>
      <w:r>
        <w:tab/>
        <w:t>Conseguir la suspensión temporal de su propia carrera, en el caso de parejas de diplomáticos con puestos a largo plazo;</w:t>
      </w:r>
    </w:p>
    <w:p w:rsidR="00000000" w:rsidRDefault="00000000">
      <w:pPr>
        <w:pStyle w:val="SingleTxt"/>
        <w:tabs>
          <w:tab w:val="right" w:pos="1685"/>
        </w:tabs>
        <w:ind w:left="1742" w:hanging="475"/>
      </w:pPr>
      <w:r>
        <w:tab/>
        <w:t>–</w:t>
      </w:r>
      <w:r>
        <w:tab/>
        <w:t>Conseguir, en el caso de puestos a largo plazo, la suspensión temporal del e</w:t>
      </w:r>
      <w:r>
        <w:t>m</w:t>
      </w:r>
      <w:r>
        <w:t>pleo del cónyuge con otra profesión.</w:t>
      </w:r>
    </w:p>
    <w:p w:rsidR="00000000" w:rsidRDefault="00000000">
      <w:pPr>
        <w:pStyle w:val="SingleTxt"/>
      </w:pPr>
      <w:r>
        <w:tab/>
        <w:t>Hay, por supuesto, soluciones alternativas (por ejemplo, el empleo del cónyuge en la representación extranjera), pero su introducción sistemática se encuentra tod</w:t>
      </w:r>
      <w:r>
        <w:t>a</w:t>
      </w:r>
      <w:r>
        <w:t>vía en una etapa inicial.</w:t>
      </w:r>
    </w:p>
    <w:p w:rsidR="00000000" w:rsidRDefault="00000000">
      <w:pPr>
        <w:pStyle w:val="SingleTxt"/>
      </w:pPr>
      <w:r>
        <w:tab/>
        <w:t>El desglose por sexos de las personas que ocupan puestos directivos en el M</w:t>
      </w:r>
      <w:r>
        <w:t>i</w:t>
      </w:r>
      <w:r>
        <w:t>nisterio de Relaciones Exteriores refleja la imagen del promedio nacional en la a</w:t>
      </w:r>
      <w:r>
        <w:t>d</w:t>
      </w:r>
      <w:r>
        <w:t>ministración central.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9.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LV de 1993 sobre la nacionalidad húngara (en lo sucesivo la Ley) co</w:t>
      </w:r>
      <w:r>
        <w:t>n</w:t>
      </w:r>
      <w:r>
        <w:t>tiene disposiciones relativas a la nacionalidad. En la Ley se establece como princ</w:t>
      </w:r>
      <w:r>
        <w:t>i</w:t>
      </w:r>
      <w:r>
        <w:t>pio básico que “no habrá discriminación entre los ciudadanos por la forma en que se haya obtenido o adquirido la nacional</w:t>
      </w:r>
      <w:r>
        <w:t>i</w:t>
      </w:r>
      <w:r>
        <w:t>dad”.</w:t>
      </w:r>
    </w:p>
    <w:p w:rsidR="00000000" w:rsidRDefault="00000000">
      <w:pPr>
        <w:pStyle w:val="SingleTxt"/>
      </w:pPr>
      <w:r>
        <w:tab/>
        <w:t>En la Ley se determinan exactamente los casos de obtención, adquisición y pérdida de la nacionalidad húngara. La normativa es uniforme; no se hacen difere</w:t>
      </w:r>
      <w:r>
        <w:t>n</w:t>
      </w:r>
      <w:r>
        <w:t>cias entre hombres y mujeres. Los hombres y las mujeres tienen los mismos der</w:t>
      </w:r>
      <w:r>
        <w:t>e</w:t>
      </w:r>
      <w:r>
        <w:t>chos para adquirir la nacionalidad húngara o para perderla. En la Ley se establece como norma principal que “los hijos de un ciudadano húngaro serán ciudadanos húngaros por derecho de nacimiento”, además “la nacionalidad húngara de los hijos de un padre que no sea húngaro se obtendrá con efecto retroactivo a la fecha de n</w:t>
      </w:r>
      <w:r>
        <w:t>a</w:t>
      </w:r>
      <w:r>
        <w:t>cimiento si el otro progenitor es ciudadano húngaro, sobre la base del reconoc</w:t>
      </w:r>
      <w:r>
        <w:t>i</w:t>
      </w:r>
      <w:r>
        <w:t>miento de la paternidad o maternidad, el matrimonio posterior o el establecimiento por un tribunal de la paternidad o la maternidad”. En consecuencia, si el padre o la madre es ciudadano húngaro, el hijo puede adquirir la nacionalidad húngara por d</w:t>
      </w:r>
      <w:r>
        <w:t>e</w:t>
      </w:r>
      <w:r>
        <w:t>recho de nacimiento. En la ley no se hacen distinciones entre los padres, cualquiera de sus nacionalidades puede aplicarse para decidir la nacionalidad de los hijos.</w:t>
      </w:r>
    </w:p>
    <w:p w:rsidR="00000000" w:rsidRDefault="00000000">
      <w:pPr>
        <w:pStyle w:val="SingleTxt"/>
        <w:spacing w:line="230" w:lineRule="exact"/>
      </w:pPr>
      <w:r>
        <w:tab/>
        <w:t>El matrimonio puede tener importancia para la adquisición de la nacionalidad por naturalización, pero no para su pérdida. A ese respecto, en la Ley se establece que una persona que no sea ciudadano húngaro puede naturalizarse de modo pref</w:t>
      </w:r>
      <w:r>
        <w:t>e</w:t>
      </w:r>
      <w:r>
        <w:t>rente si ha residido en Hungría continuamente durante un período de tres años ant</w:t>
      </w:r>
      <w:r>
        <w:t>e</w:t>
      </w:r>
      <w:r>
        <w:t>rior a la presentación de la solicitud y “ha mantenido un matrimonio válido con un ciudadano húngaro durante al menos tres años o si el matrimonio se extinguió por la muerte del cónyuge” sie</w:t>
      </w:r>
      <w:r>
        <w:t>m</w:t>
      </w:r>
      <w:r>
        <w:t>pre que se satisfagan los demás requisitos legales.</w:t>
      </w:r>
    </w:p>
    <w:p w:rsidR="00000000" w:rsidRDefault="00000000">
      <w:pPr>
        <w:pStyle w:val="SingleTxt"/>
        <w:spacing w:line="230" w:lineRule="exact"/>
      </w:pPr>
      <w:r>
        <w:tab/>
        <w:t>La Ley XII de 1998 sobre los viajes al extranjero (en lo sucesivo la Ley), así como la Orden del Gobierno No. 101/1998. (V.22.) sobre su aplicación contienen disposiciones sobre la emisión de pasaportes. Las leyes determinan el procedimiento para la adquisición de un pasaporte y las normas reglamentarias del caso. Se dete</w:t>
      </w:r>
      <w:r>
        <w:t>r</w:t>
      </w:r>
      <w:r>
        <w:t>mina también la forma en que los menores pueden tener pasaportes. Así pues, en la actualidad los menores pueden obtener su propio pasaporte en Hungría, pero según la ley, en el caso de los menores y personas bajo tutela deben adjuntarse a la solic</w:t>
      </w:r>
      <w:r>
        <w:t>i</w:t>
      </w:r>
      <w:r>
        <w:t>tud de los documentos de viaje una declaración del padre o la madre (representante legal) formulada ante un notario público, la autoridad pública de tutela o las autor</w:t>
      </w:r>
      <w:r>
        <w:t>i</w:t>
      </w:r>
      <w:r>
        <w:t>dades encargadas de la expedición de pasaportes en la que se muestre de acuerdo con la emisión de un pasaporte, o la copia de una sentencia judicial firme en la que se verifique la extinción o suspensión de los derechos de custodia. En consecuencia, es necesario el consentimiento del padre o la madre para que los hijos puedan viajar al extranjero. Sin embargo, los cónyuges en posesión de un pasaporte válido pueden viajar al extranjero sin el permiso oficial del otro y no necesitan tampoco el conse</w:t>
      </w:r>
      <w:r>
        <w:t>n</w:t>
      </w:r>
      <w:r>
        <w:t>timiento del cónyuge para la adquisición de un pasaporte.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Tercera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marco jurídico y constitucional vigente; 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Igualdad de oportunidades en la educación</w:t>
      </w:r>
    </w:p>
    <w:p w:rsidR="00000000" w:rsidRDefault="00000000">
      <w:pPr>
        <w:pStyle w:val="SingleTxt"/>
        <w:spacing w:after="0" w:line="120" w:lineRule="exact"/>
        <w:rPr>
          <w:sz w:val="10"/>
        </w:rPr>
      </w:pPr>
    </w:p>
    <w:p w:rsidR="00000000" w:rsidRDefault="00000000">
      <w:pPr>
        <w:pStyle w:val="SingleTxt"/>
      </w:pPr>
      <w:r>
        <w:tab/>
        <w:t>En el decenio de 1990 el sistema educativo experimentó un cambio sustancial en Hungría. El nivel de cualif</w:t>
      </w:r>
      <w:r>
        <w:t>i</w:t>
      </w:r>
      <w:r>
        <w:t>caciones y aptitudes de la población ha aumentado.</w:t>
      </w:r>
    </w:p>
    <w:p w:rsidR="00000000" w:rsidRDefault="00000000">
      <w:pPr>
        <w:pStyle w:val="SingleTxt"/>
      </w:pPr>
      <w:r>
        <w:tab/>
        <w:t>No puede hablarse de discriminación entre hombres y mujeres en ninguno de los niveles del sistema educativo de Hungría. Sobre la base de los derechos civiles y las disp</w:t>
      </w:r>
      <w:r>
        <w:t>o</w:t>
      </w:r>
      <w:r>
        <w:t>siciones legales, todos pueden participar en la educación.</w:t>
      </w:r>
    </w:p>
    <w:p w:rsidR="00000000" w:rsidRDefault="00000000">
      <w:pPr>
        <w:pStyle w:val="SingleTxt"/>
      </w:pPr>
      <w:r>
        <w:tab/>
        <w:t>Las condiciones son iguales en lo que se refiere a la elección de carrera y a la obtención de un título y en todo tipo de instituciones hombres y mujeres tienen los mismos derechos. Los datos sobre el empleo y la progresión de la educación mue</w:t>
      </w:r>
      <w:r>
        <w:t>s</w:t>
      </w:r>
      <w:r>
        <w:t>tran la dirección del goce de una total igualdad de oportunidades para las mujeres en todas las esferas de la educación, la formación profesional, la educación de adultos y la educación progresiva.</w:t>
      </w:r>
    </w:p>
    <w:p w:rsidR="00000000" w:rsidRDefault="00000000">
      <w:pPr>
        <w:pStyle w:val="SingleTxt"/>
      </w:pPr>
      <w:r>
        <w:tab/>
        <w:t>En 1993 se promulgó la Ley LXXIX de educación pública (LEP). En el párrafo 7 del artículo 4 de la LEP se establece la prohibición de la discriminación negativa en la educación pública por cualquier motivo, especialmente por el color, sexo, rel</w:t>
      </w:r>
      <w:r>
        <w:t>i</w:t>
      </w:r>
      <w:r>
        <w:t>gión, condición u origen nacional, social o étnico, etc. de los niños o de sus padres.</w:t>
      </w:r>
    </w:p>
    <w:p w:rsidR="00000000" w:rsidRDefault="00000000">
      <w:pPr>
        <w:pStyle w:val="SingleTxt"/>
      </w:pPr>
      <w:r>
        <w:tab/>
        <w:t>En las disposiciones de la Ley LXXX de 1993 de educación terciaria (LET) se establece y garantiza la igualdad de oportunidades para hombres y mujeres en el s</w:t>
      </w:r>
      <w:r>
        <w:t>e</w:t>
      </w:r>
      <w:r>
        <w:t>guimiento de estudios terciarios (la Ley de educación terciaria se modificó en 1996, 1997, 1998 y 1999). Pueden solicitarse becas y otras subvenciones, se garantiza la igualdad de condiciones en la elección de carrera, en los estudios y en la obtención de títulos cualquiera que sea el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Exención de las tasas académicas</w:t>
      </w:r>
    </w:p>
    <w:p w:rsidR="00000000" w:rsidRDefault="00000000">
      <w:pPr>
        <w:pStyle w:val="SingleTxt"/>
        <w:spacing w:after="0" w:line="120" w:lineRule="exact"/>
        <w:rPr>
          <w:sz w:val="10"/>
        </w:rPr>
      </w:pPr>
    </w:p>
    <w:p w:rsidR="00000000" w:rsidRDefault="00000000">
      <w:pPr>
        <w:pStyle w:val="SingleTxt"/>
      </w:pPr>
      <w:r>
        <w:tab/>
        <w:t>La ampliación de la exención de las tasas académicas fue la primera medida adoptada por el nuevo Parlamento en 1998 y se encuentra en el párrafo 5 del artículo 31 de la LET.</w:t>
      </w:r>
    </w:p>
    <w:p w:rsidR="00000000" w:rsidRDefault="00000000">
      <w:pPr>
        <w:pStyle w:val="SingleTxt"/>
      </w:pPr>
      <w:r>
        <w:tab/>
        <w:t>En virtud del apartado 3 del artículo 12 los estudiantes que reciben subvenci</w:t>
      </w:r>
      <w:r>
        <w:t>o</w:t>
      </w:r>
      <w:r>
        <w:t>nes para el cuidado de los hijos o apoyo para la educación de los hijos y se encue</w:t>
      </w:r>
      <w:r>
        <w:t>n</w:t>
      </w:r>
      <w:r>
        <w:t>tran en la educación básica de segundo ciclo o superior tienen derecho a la exención de las tasas académicas. Con la incorporación de esa disposición, que tuvo lugar en el verano de 1998, el Gobierno deseaba mejorar la posición de la mujer facilitándole ventajas (académicas) adicionales para compensarles el tener que criar a sus hijos. De esas disposiciones se desprende claramente que la ley no permite ningún tipo de discriminación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Nivel de cualificación</w:t>
      </w:r>
    </w:p>
    <w:p w:rsidR="00000000" w:rsidRDefault="00000000">
      <w:pPr>
        <w:pStyle w:val="SingleTxt"/>
        <w:spacing w:after="0" w:line="120" w:lineRule="exact"/>
        <w:rPr>
          <w:sz w:val="10"/>
        </w:rPr>
      </w:pPr>
    </w:p>
    <w:p w:rsidR="00000000" w:rsidRDefault="00000000">
      <w:pPr>
        <w:pStyle w:val="SingleTxt"/>
      </w:pPr>
      <w:r>
        <w:tab/>
        <w:t>Aunque en los grupos de edad más jóvenes el nivel de cualificaciones de la mujer ha sobrepasado ya el de los hombres, su naturaleza y dirección profesional d</w:t>
      </w:r>
      <w:r>
        <w:t>i</w:t>
      </w:r>
      <w:r>
        <w:t>fieren en gran medida del de éstos y ésa es la principal razón de su posición menos favorable en el mercado de trabajo. Las mujeres representaban menos de una tercera parte de los graduados de las escuelas técnicas y de aprendices, pero eran ya may</w:t>
      </w:r>
      <w:r>
        <w:t>o</w:t>
      </w:r>
      <w:r>
        <w:t>ría entre los graduados de las escuelas secundarias, aunque estaban representadas en exceso especialmente en las escuelas de humanidades en las que se imparten est</w:t>
      </w:r>
      <w:r>
        <w:t>u</w:t>
      </w:r>
      <w:r>
        <w:t>dios generales. Las mujeres se dirigieron principalmente a las facultades, por lo que en 1990 constituían el 53,7% de las personas con títulos de facultades (estudios te</w:t>
      </w:r>
      <w:r>
        <w:t>r</w:t>
      </w:r>
      <w:r>
        <w:t>ciarios, pero no universitarios) y el 35% de las personas con títulos universitarios.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entre los estudiantes de nivel secundario y terciario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Escuelas de aprendizaje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Escuelas secundarias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Universidad, facultades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53,8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1991 y 1998 la tasa de mujeres aumentó continuamente en las escuelas de aprendices y en las universidades y facultades, pero se redujo en las escuelas s</w:t>
      </w:r>
      <w:r>
        <w:t>e</w:t>
      </w:r>
      <w:r>
        <w:t>cundarias. Ello indica que la diferenciación social entre las mujeres se ha fortalecido y han ocupado más espacio en las escuelas de aprendices, por una parte, y en la ed</w:t>
      </w:r>
      <w:r>
        <w:t>u</w:t>
      </w:r>
      <w:r>
        <w:t>cación te</w:t>
      </w:r>
      <w:r>
        <w:t>r</w:t>
      </w:r>
      <w:r>
        <w:t>ciaria, por otra.</w:t>
      </w:r>
    </w:p>
    <w:p w:rsidR="00000000" w:rsidRDefault="00000000">
      <w:pPr>
        <w:pStyle w:val="SingleTxt"/>
      </w:pPr>
      <w:r>
        <w:tab/>
        <w:t>En el decenio de 1990 se mantenía la segregación básica de las profesiones en razón del sexo. En las profesiones de los sectores de la industria ligera, el comercio y los servicios las mujeres están representadas en exceso, están prácticamente a</w:t>
      </w:r>
      <w:r>
        <w:t>u</w:t>
      </w:r>
      <w:r>
        <w:t>sentes de la industria pesada y su posición puede considerarse media en las prof</w:t>
      </w:r>
      <w:r>
        <w:t>e</w:t>
      </w:r>
      <w:r>
        <w:t>siones agrícolas y de hostelería.</w:t>
      </w:r>
    </w:p>
    <w:p w:rsidR="00000000" w:rsidRDefault="00000000">
      <w:pPr>
        <w:pStyle w:val="SingleTxt"/>
      </w:pPr>
      <w:r>
        <w:tab/>
        <w:t>En la educación terciaria, el aumento de la proporción de la mujer puede co</w:t>
      </w:r>
      <w:r>
        <w:t>m</w:t>
      </w:r>
      <w:r>
        <w:t>probarse en los departamentos tecnológico, agrícola y veterinario. La equiparación de las instituciones educativas terciarias con las de la Unión Europea ha dado c</w:t>
      </w:r>
      <w:r>
        <w:t>o</w:t>
      </w:r>
      <w:r>
        <w:t>mienzo y podría culminar para la fecha de la a</w:t>
      </w:r>
      <w:r>
        <w:t>d</w:t>
      </w:r>
      <w:r>
        <w:t>hesión.</w:t>
      </w:r>
    </w:p>
    <w:p w:rsidR="00000000" w:rsidRDefault="00000000">
      <w:pPr>
        <w:pStyle w:val="SingleTxt"/>
      </w:pPr>
      <w:r>
        <w:tab/>
        <w:t>En la educación doctoral, las mujeres ocupaban una posición favorable, pero su proporción entre los estudiantes matriculados en programas de doctorado es baja en comparación con su participación en la educación universitaria (49,9% - 40,4%), pero a pesar de todo es singularmente alta.</w:t>
      </w:r>
    </w:p>
    <w:p w:rsidR="00000000" w:rsidRDefault="00000000">
      <w:pPr>
        <w:pStyle w:val="SingleTxt"/>
      </w:pPr>
      <w:r>
        <w:tab/>
        <w:t>Es un fenómeno bien conocido que en algunas etapas del sistema escolar la proporción de mujeres es muy diferente y sigue el “principio de la pirámide”. Au</w:t>
      </w:r>
      <w:r>
        <w:t>n</w:t>
      </w:r>
      <w:r>
        <w:t>que las mujeres se ocupan principalmente de la educación en las escuelas, su pr</w:t>
      </w:r>
      <w:r>
        <w:t>o</w:t>
      </w:r>
      <w:r>
        <w:t>porción es mucho menor en la dirección. En el caso de la docencia en las instituci</w:t>
      </w:r>
      <w:r>
        <w:t>o</w:t>
      </w:r>
      <w:r>
        <w:t>nes de educación terciaria existe otra “pirámide” interna. La proporción de mujeres es cada vez menor según se asciende en el nivel jerárquico.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Proporción de mujeres entre los pedagogos desglosada por nivel educativo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rHeight w:hRule="exact" w:val="115"/>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elemental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aprendices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64,6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facultad</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34,6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36,7</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Formación fuera del sistema escolar</w:t>
      </w:r>
    </w:p>
    <w:p w:rsidR="00000000" w:rsidRDefault="00000000">
      <w:pPr>
        <w:pStyle w:val="SingleTxt"/>
        <w:spacing w:after="0" w:line="120" w:lineRule="exact"/>
        <w:rPr>
          <w:sz w:val="10"/>
        </w:rPr>
      </w:pPr>
    </w:p>
    <w:p w:rsidR="00000000" w:rsidRDefault="00000000">
      <w:pPr>
        <w:pStyle w:val="SingleTxt"/>
      </w:pPr>
      <w:r>
        <w:tab/>
        <w:t>En el sistema estadístico OSAP de formación profesional fuera del sistema e</w:t>
      </w:r>
      <w:r>
        <w:t>s</w:t>
      </w:r>
      <w:r>
        <w:t>colar se dispone de datos sobre la composición de los participantes en los cursos desde 1995. Según los datos procesados en 1996, de los 44.000 participantes en casi 1.800 cursos de formación profesional, el 56% eran hombres y el 44% mujeres. Esa proporción cambia ligeramente si se examinan los cursos apartando los de carácter reconocido por el Estado (68%), los que no están reconocidos (20%) y otros cursos (12%). En los cursos que ofrecen cualificaciones reconocidas por el Estado la pr</w:t>
      </w:r>
      <w:r>
        <w:t>o</w:t>
      </w:r>
      <w:r>
        <w:t>porción de mujeres era del 52%, en tanto que en los cursos de otro tipo la mayoría, el 81% del total, fueron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Nivel de educación de la mujer</w:t>
      </w:r>
    </w:p>
    <w:p w:rsidR="00000000" w:rsidRDefault="00000000">
      <w:pPr>
        <w:pStyle w:val="SingleTxt"/>
        <w:spacing w:after="0" w:line="120" w:lineRule="exact"/>
        <w:rPr>
          <w:sz w:val="10"/>
        </w:rPr>
      </w:pPr>
    </w:p>
    <w:p w:rsidR="00000000" w:rsidRDefault="00000000">
      <w:pPr>
        <w:pStyle w:val="SingleTxt"/>
      </w:pPr>
      <w:r>
        <w:tab/>
        <w:t>En los últimos decenios, el nivel de educación de la mujer aumentó susta</w:t>
      </w:r>
      <w:r>
        <w:t>n</w:t>
      </w:r>
      <w:r>
        <w:t>cialmente y se acercó al de los hombres, y en los grupos de edad más jóvenes incl</w:t>
      </w:r>
      <w:r>
        <w:t>u</w:t>
      </w:r>
      <w:r>
        <w:t>so lo s</w:t>
      </w:r>
      <w:r>
        <w:t>o</w:t>
      </w:r>
      <w:r>
        <w:t>brepasó (cuadro 4).</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rPr>
          <w:b w:val="0"/>
        </w:rPr>
        <w:br/>
      </w:r>
      <w:r>
        <w:t>Clasificación de hombres y mujeres por nivel de educación al 1° de enero de 1996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800"/>
        <w:gridCol w:w="1741"/>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Grupos de población</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7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de edad superior a diez años con menos de ocho cursos de escuela elemental</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0,5</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0,7</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mayor de 15 años con ocho cursos de escuela elemental o más</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67,7</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64,9</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de edad superior a los 18 años con educación secundaria o superior</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23,6</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27,4</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Población de edad superior a los 25 años con un título de educación terciaria</w:t>
            </w:r>
          </w:p>
        </w:tc>
        <w:tc>
          <w:tcPr>
            <w:tcW w:w="180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8,2</w:t>
            </w:r>
          </w:p>
        </w:tc>
        <w:tc>
          <w:tcPr>
            <w:tcW w:w="1741"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7,0</w:t>
            </w:r>
          </w:p>
        </w:tc>
      </w:tr>
      <w:tr w:rsidR="00000000">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c>
          <w:tcPr>
            <w:tcW w:w="17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1"/>
        </w:rPr>
      </w:pPr>
      <w:r>
        <w:rPr>
          <w:w w:val="101"/>
        </w:rPr>
        <w:tab/>
        <w:t>La educación de la población empleada es más favorable que la del conjunto de la población. En 1997, el 27,3% de los hombres empleados habían terminado la e</w:t>
      </w:r>
      <w:r>
        <w:rPr>
          <w:w w:val="101"/>
        </w:rPr>
        <w:t>s</w:t>
      </w:r>
      <w:r>
        <w:rPr>
          <w:w w:val="101"/>
        </w:rPr>
        <w:t>cuela secundaria y el 14,1% tenían títulos de educación terciaria. Según esos dos índ</w:t>
      </w:r>
      <w:r>
        <w:rPr>
          <w:w w:val="101"/>
        </w:rPr>
        <w:t>i</w:t>
      </w:r>
      <w:r>
        <w:rPr>
          <w:w w:val="101"/>
        </w:rPr>
        <w:t>ces, la situación de las mujeres empleadas es más favorable, el 40,3% han terminado la escuela secundaria y el 16,4% tienen títulos de educación terciaria. Con ocasión del censo nacional de 1990 por primera vez la proporción de mujeres empleadas con t</w:t>
      </w:r>
      <w:r>
        <w:rPr>
          <w:w w:val="101"/>
        </w:rPr>
        <w:t>í</w:t>
      </w:r>
      <w:r>
        <w:rPr>
          <w:w w:val="101"/>
        </w:rPr>
        <w:t>tulos de educación terciaria (12,7%) fue más alta que la de los hombres (11,9%). El nivel de educación relativamente bueno ofrece condiciones favorables para el des</w:t>
      </w:r>
      <w:r>
        <w:rPr>
          <w:w w:val="101"/>
        </w:rPr>
        <w:t>a</w:t>
      </w:r>
      <w:r>
        <w:rPr>
          <w:w w:val="101"/>
        </w:rPr>
        <w:t>rrollo de la actividad política de las mujeres.</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rPr>
          <w:b w:val="0"/>
        </w:rPr>
        <w:br/>
      </w:r>
      <w:r>
        <w:t>Clasificación de los trabajadores activos por nivel de educación y sexo, 1997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1890"/>
        <w:gridCol w:w="174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 de educación</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7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ocho cursos de escuela elemental</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0,9</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elemental</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24,2</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aprendices</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18,2</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40,3</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Educación terciaria</w:t>
            </w:r>
          </w:p>
        </w:tc>
        <w:tc>
          <w:tcPr>
            <w:tcW w:w="189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16,4</w:t>
            </w:r>
          </w:p>
        </w:tc>
        <w:tc>
          <w:tcPr>
            <w:tcW w:w="17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14,1</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c>
          <w:tcPr>
            <w:tcW w:w="1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Medidas necesarias, dificultades, iniciativas puestas en marcha</w:t>
      </w:r>
    </w:p>
    <w:p w:rsidR="00000000" w:rsidRDefault="00000000">
      <w:pPr>
        <w:pStyle w:val="SingleTxt"/>
        <w:spacing w:after="0" w:line="120" w:lineRule="exact"/>
        <w:rPr>
          <w:sz w:val="10"/>
        </w:rPr>
      </w:pPr>
    </w:p>
    <w:p w:rsidR="00000000" w:rsidRDefault="00000000">
      <w:pPr>
        <w:pStyle w:val="SingleTxt"/>
      </w:pPr>
      <w:r>
        <w:tab/>
        <w:t>Consideramos que es importante organizar programas experimentales dirigidos especialmente hacia la mujer en los estratos más desfavorecidos (con un bajo nivel de educación, las que luchan con problemas personales y de adaptación, con dif</w:t>
      </w:r>
      <w:r>
        <w:t>i</w:t>
      </w:r>
      <w:r>
        <w:t>cultades de aprendizaje, problemas médicos, discapacitados, etc.). Entre ellos podría haber programas sobre elección, orientación y corrección de las carreras, sobre i</w:t>
      </w:r>
      <w:r>
        <w:t>n</w:t>
      </w:r>
      <w:r>
        <w:t>formación pública y programas profesionales de recuperación como elementos i</w:t>
      </w:r>
      <w:r>
        <w:t>m</w:t>
      </w:r>
      <w:r>
        <w:t>portantes de una formación profesional adecuada.</w:t>
      </w:r>
    </w:p>
    <w:p w:rsidR="00000000" w:rsidRDefault="00000000">
      <w:pPr>
        <w:pStyle w:val="SingleTxt"/>
      </w:pPr>
      <w:r>
        <w:tab/>
        <w:t>Proponemos ampliar la actividad en lo que se refiere a la elección y corrección de la carrera con asesoramiento para las niñas y mujeres jóvenes en el marco de la formación de los educadores, aprovechando las posibilidades que ofrecen los pr</w:t>
      </w:r>
      <w:r>
        <w:t>o</w:t>
      </w:r>
      <w:r>
        <w:t>yectos del Banco Mundial y la educ</w:t>
      </w:r>
      <w:r>
        <w:t>a</w:t>
      </w:r>
      <w:r>
        <w:t>ción continua de los profesores.</w:t>
      </w:r>
    </w:p>
    <w:p w:rsidR="00000000" w:rsidRDefault="00000000">
      <w:pPr>
        <w:pStyle w:val="SingleTxt"/>
      </w:pPr>
      <w:r>
        <w:tab/>
        <w:t>Estimamos necesario elaborar y poner en práctica, en cooperación con los m</w:t>
      </w:r>
      <w:r>
        <w:t>i</w:t>
      </w:r>
      <w:r>
        <w:t>nisterios competentes, programas experimentales de formación que potencien las posibilidades de las mujeres de mediana edad y mayores para encontrar y mantener un empleo. En 1999 la Oficina de Asuntos de la Mujer del Ministerio de Asuntos Sociales y de la F</w:t>
      </w:r>
      <w:r>
        <w:t>a</w:t>
      </w:r>
      <w:r>
        <w:t>milia organizó cursos de formación con ese fin.</w:t>
      </w:r>
    </w:p>
    <w:p w:rsidR="00000000" w:rsidRDefault="00000000">
      <w:pPr>
        <w:pStyle w:val="SingleTxt"/>
      </w:pPr>
      <w:r>
        <w:tab/>
        <w:t>Las posibilidades para las niñas en el terreno de la educación física y el d</w:t>
      </w:r>
      <w:r>
        <w:t>e</w:t>
      </w:r>
      <w:r>
        <w:t>porte (clases obligatorias de educación física, grupos deportivos escolares, etc.) en el sistema educativo están garantizadas del mismo modo que para los niños. Las n</w:t>
      </w:r>
      <w:r>
        <w:t>i</w:t>
      </w:r>
      <w:r>
        <w:t>ñas tienen las mismas oportunidades que los niños de participar en actividades d</w:t>
      </w:r>
      <w:r>
        <w:t>e</w:t>
      </w:r>
      <w:r>
        <w:t>portivas y recibir educ</w:t>
      </w:r>
      <w:r>
        <w:t>a</w:t>
      </w:r>
      <w:r>
        <w:t>ción física.</w:t>
      </w:r>
    </w:p>
    <w:p w:rsidR="00000000" w:rsidRDefault="00000000">
      <w:pPr>
        <w:pStyle w:val="SingleTxt"/>
      </w:pPr>
      <w:r>
        <w:tab/>
        <w:t>Hombres y mujeres pueden participar por igual en la educación relativa a la vida familiar y la planificación de la familia, pero en la práctica son las mujeres las que más las aprovechan. Mediante las clases de preparación para el parto, cada vez son más los padres que se preparan para la vida familiar. En un número cada vez mayor de hospitales de Hungría las mujeres pueden elegir alojarse después del parto en una sala con sus hijos recién nacidos.</w:t>
      </w:r>
    </w:p>
    <w:p w:rsidR="00000000" w:rsidRDefault="00000000">
      <w:pPr>
        <w:pStyle w:val="SingleTxt"/>
      </w:pPr>
      <w:r>
        <w:tab/>
        <w:t>La preparación de hombres y mujeres para la vida familiar muestra aún alg</w:t>
      </w:r>
      <w:r>
        <w:t>u</w:t>
      </w:r>
      <w:r>
        <w:t>nas deficiencias en la práctica. No obstante, el marco jurídico e institucional es apropiado.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w:t>
      </w:r>
      <w:r>
        <w:tab/>
        <w:t>El marco jurídico y constitucional vigente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Prohibición de la discriminación contra la mujer en la esfera del empleo</w:t>
      </w:r>
    </w:p>
    <w:p w:rsidR="00000000" w:rsidRDefault="00000000">
      <w:pPr>
        <w:pStyle w:val="SingleTxt"/>
        <w:spacing w:after="0" w:line="120" w:lineRule="exact"/>
        <w:rPr>
          <w:sz w:val="10"/>
        </w:rPr>
      </w:pPr>
    </w:p>
    <w:p w:rsidR="00000000" w:rsidRDefault="00000000">
      <w:pPr>
        <w:pStyle w:val="SingleTxt"/>
      </w:pPr>
      <w:r>
        <w:tab/>
        <w:t>En el párrafo 1 del artículo 66 de la Constitución de Hungría se establece la prohibición de discriminar contra hombres y mujeres al declararse que la República de Hungría garantiza la igualdad del hombre y la mujer en el goce de todos los der</w:t>
      </w:r>
      <w:r>
        <w:t>e</w:t>
      </w:r>
      <w:r>
        <w:t>chos civiles, políticos, económicos, sociales y culturales. Están prohibidas todas las formas de discriminación, incluida la discriminación entre hombres y m</w:t>
      </w:r>
      <w:r>
        <w:t>u</w:t>
      </w:r>
      <w:r>
        <w:t>jeres.</w:t>
      </w:r>
    </w:p>
    <w:p w:rsidR="00000000" w:rsidRDefault="00000000">
      <w:pPr>
        <w:pStyle w:val="SingleTxt"/>
      </w:pPr>
      <w:r>
        <w:tab/>
        <w:t>En el artículo 5 del Código de Trabajo se establece también la prohibición de la discriminación, no sólo por motivos de sexo, sino también por cualquier otro m</w:t>
      </w:r>
      <w:r>
        <w:t>o</w:t>
      </w:r>
      <w:r>
        <w:t>tivo. En cuanto a la única medida posible del trato igualitario, se califica de ilícita la discriminación y se prohibe ésta “por cualquier circunstancia que no esté relacion</w:t>
      </w:r>
      <w:r>
        <w:t>a</w:t>
      </w:r>
      <w:r>
        <w:t>da con el empleo”. La prohibición se aplicará en el momento de establecer la rel</w:t>
      </w:r>
      <w:r>
        <w:t>a</w:t>
      </w:r>
      <w:r>
        <w:t>ción de trabajo, durante el empleo en cuanto se refiere a la determinación de der</w:t>
      </w:r>
      <w:r>
        <w:t>e</w:t>
      </w:r>
      <w:r>
        <w:t>chos y obligaciones y el cumplimiento de las responsabilidades, y también a la co</w:t>
      </w:r>
      <w:r>
        <w:t>n</w:t>
      </w:r>
      <w:r>
        <w:t>clusión del empleo.</w:t>
      </w:r>
    </w:p>
    <w:p w:rsidR="00000000" w:rsidRDefault="00000000">
      <w:pPr>
        <w:pStyle w:val="SingleTxt"/>
      </w:pPr>
      <w:r>
        <w:tab/>
        <w:t>Los empleadores darán a los empleados la oportunidad de ascender a puestos más altos sin discriminación, tan sólo sobre la base de la antigüedad en el empleo, la aptitud profesional, la experiencia y el rendimiento. Con respecto a un grupo espec</w:t>
      </w:r>
      <w:r>
        <w:t>í</w:t>
      </w:r>
      <w:r>
        <w:t>fico de empleados en las mismas condiciones, la prioridad debe prescribirse en el reglamento que r</w:t>
      </w:r>
      <w:r>
        <w:t>e</w:t>
      </w:r>
      <w:r>
        <w:t>gule la relación laboral.</w:t>
      </w:r>
    </w:p>
    <w:p w:rsidR="00000000" w:rsidRDefault="00000000">
      <w:pPr>
        <w:pStyle w:val="SingleTxt"/>
      </w:pPr>
      <w:r>
        <w:tab/>
        <w:t>La ley permite la limitación en función de la naturaleza del trabajo en el m</w:t>
      </w:r>
      <w:r>
        <w:t>o</w:t>
      </w:r>
      <w:r>
        <w:t>mento del establecimiento de la relación laboral y de la determinación de las tareas. Así, por ejemplo, algunas actividades pueden reservarse únicamente para los adultos o los hombres por disposiciones relativas a la seguridad, la regulación del empleo puede incluir requisitos de aptitud, etc. Esas limitaciones únicamente pueden estar relacionadas con la naturaleza del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Procedimiento y compensación en caso de discriminación</w:t>
      </w:r>
    </w:p>
    <w:p w:rsidR="00000000" w:rsidRDefault="00000000">
      <w:pPr>
        <w:pStyle w:val="SingleTxt"/>
        <w:spacing w:after="0" w:line="120" w:lineRule="exact"/>
        <w:rPr>
          <w:sz w:val="10"/>
        </w:rPr>
      </w:pPr>
    </w:p>
    <w:p w:rsidR="00000000" w:rsidRDefault="00000000">
      <w:pPr>
        <w:pStyle w:val="SingleTxt"/>
      </w:pPr>
      <w:r>
        <w:tab/>
        <w:t>En los casos de discriminación, la ley de Hungría pone la carga de la prueba sobre el empleador. Es él el que tiene que demostrar que no se cometió discrimin</w:t>
      </w:r>
      <w:r>
        <w:t>a</w:t>
      </w:r>
      <w:r>
        <w:t>ción contra el empleado. Así pues, es suficiente que el empleado alegue que el e</w:t>
      </w:r>
      <w:r>
        <w:t>m</w:t>
      </w:r>
      <w:r>
        <w:t>pleador discriminó en su contra para que el empleador tenga que demostrar que no hubo discriminación o probar que la diferenciación que se aplicó estuvo basada en motivos fundados y no discriminatorios.</w:t>
      </w:r>
    </w:p>
    <w:p w:rsidR="00000000" w:rsidRDefault="00000000">
      <w:pPr>
        <w:pStyle w:val="SingleTxt"/>
      </w:pPr>
      <w:r>
        <w:tab/>
        <w:t>También se encuentra lo contrario en lo que se refiere a la carga de la prueba en la modificación de 1999 de la Ley LXXV de 1996 sobre la supervisión del e</w:t>
      </w:r>
      <w:r>
        <w:t>m</w:t>
      </w:r>
      <w:r>
        <w:t>pleo, en v</w:t>
      </w:r>
      <w:r>
        <w:t>i</w:t>
      </w:r>
      <w:r>
        <w:t>gor desde el 1° de enero de 2000.</w:t>
      </w:r>
    </w:p>
    <w:p w:rsidR="00000000" w:rsidRDefault="00000000">
      <w:pPr>
        <w:pStyle w:val="SingleTxt"/>
      </w:pPr>
      <w:r>
        <w:tab/>
        <w:t>Según esa ley, el inspector realiza una encuesta sobre la prohibición de la di</w:t>
      </w:r>
      <w:r>
        <w:t>s</w:t>
      </w:r>
      <w:r>
        <w:t>criminación cuando se notifica. Durante la investigación, el empleador tiene que probar que no actuó en contravención de las disposiciones sobre la prohibición de la discriminación.</w:t>
      </w:r>
    </w:p>
    <w:p w:rsidR="00000000" w:rsidRDefault="00000000">
      <w:pPr>
        <w:pStyle w:val="SingleTxt"/>
      </w:pPr>
      <w:r>
        <w:tab/>
        <w:t>En el párrafo 76 del Código Civil se califica como violación de los derechos fundamentales cualquier clase de “discriminación negativa de las personas, esp</w:t>
      </w:r>
      <w:r>
        <w:t>e</w:t>
      </w:r>
      <w:r>
        <w:t>cialmente por motivos de sexo, raza, origen nacional o religión; cualquier violación de la libertad de conciencia; cualquier restricción ilícita de la libertad personal”.</w:t>
      </w:r>
    </w:p>
    <w:p w:rsidR="00000000" w:rsidRDefault="00000000">
      <w:pPr>
        <w:pStyle w:val="SingleTxt"/>
      </w:pPr>
      <w:r>
        <w:tab/>
        <w:t>En la ley de Hungría se contemplan numerosas sanciones para los casos en que un empleador contravenga la prohibición de la discriminación negativa.</w:t>
      </w:r>
    </w:p>
    <w:p w:rsidR="00000000" w:rsidRDefault="00000000">
      <w:pPr>
        <w:pStyle w:val="SingleTxt"/>
      </w:pPr>
      <w:r>
        <w:tab/>
        <w:t>En el caso de discriminación que viole lo establecido en el artículo 5 del Cód</w:t>
      </w:r>
      <w:r>
        <w:t>i</w:t>
      </w:r>
      <w:r>
        <w:t>go de Trabajo, una de las opciones jurídicas para el empleado discriminado es sol</w:t>
      </w:r>
      <w:r>
        <w:t>i</w:t>
      </w:r>
      <w:r>
        <w:t>citar una i</w:t>
      </w:r>
      <w:r>
        <w:t>n</w:t>
      </w:r>
      <w:r>
        <w:t>demnización por un perjuicio no pecuniaria.</w:t>
      </w:r>
    </w:p>
    <w:p w:rsidR="00000000" w:rsidRDefault="00000000">
      <w:pPr>
        <w:pStyle w:val="SingleTxt"/>
      </w:pPr>
      <w:r>
        <w:tab/>
        <w:t>Según el párrafo 1 del artículo 3 de la Ley LXXV de 1996 sobre la supervisión del empleo, el control del empleo incluye la observación de la prohibición de la di</w:t>
      </w:r>
      <w:r>
        <w:t>s</w:t>
      </w:r>
      <w:r>
        <w:t>criminación. La multa que puede imponerse va de los 50.000 forints a los 3 millones de forints.</w:t>
      </w:r>
    </w:p>
    <w:p w:rsidR="00000000" w:rsidRDefault="00000000">
      <w:pPr>
        <w:pStyle w:val="SingleTxt"/>
      </w:pPr>
      <w:r>
        <w:tab/>
        <w:t>En la Orden del Gobierno 17/1968 (IV.14.) sobre algunas contravenciones f</w:t>
      </w:r>
      <w:r>
        <w:t>i</w:t>
      </w:r>
      <w:r>
        <w:t>guran, bajo el encabezamiento de contravenciones laborales, casos de discrimin</w:t>
      </w:r>
      <w:r>
        <w:t>a</w:t>
      </w:r>
      <w:r>
        <w:t>ción contra la mujer en el trabajo.</w:t>
      </w:r>
    </w:p>
    <w:p w:rsidR="00000000" w:rsidRDefault="00000000">
      <w:pPr>
        <w:pStyle w:val="SingleTxt"/>
      </w:pPr>
      <w:r>
        <w:tab/>
        <w:t>En virtud del artículo 75 del decreto, el empleador que rechace ilícitamente el empleo o aplique cualquier otra discriminación por motivos de sexo, edad, nacion</w:t>
      </w:r>
      <w:r>
        <w:t>a</w:t>
      </w:r>
      <w:r>
        <w:t>lidad, raza, origen, religión, creencias políticas, afiliación a organizaciones que r</w:t>
      </w:r>
      <w:r>
        <w:t>e</w:t>
      </w:r>
      <w:r>
        <w:t>presenten los intereses de los trabajadores o actividad relacionada con esas organ</w:t>
      </w:r>
      <w:r>
        <w:t>i</w:t>
      </w:r>
      <w:r>
        <w:t>zaciones, o cualesquiera otras circunstancias que no estén relacionadas con la rel</w:t>
      </w:r>
      <w:r>
        <w:t>a</w:t>
      </w:r>
      <w:r>
        <w:t>ción laboral comete discriminación negativa contra el empleado y será sancionado con una multa no superior a 50.000 forints.</w:t>
      </w:r>
    </w:p>
    <w:p w:rsidR="00000000" w:rsidRDefault="00000000">
      <w:pPr>
        <w:pStyle w:val="SingleTxt"/>
      </w:pPr>
      <w:r>
        <w:tab/>
        <w:t>En el virtud del artículo 76 del decreto se puede imponer una multa de hasta 50.000 forints al empleador que contravenga las disposiciones sobre el establec</w:t>
      </w:r>
      <w:r>
        <w:t>i</w:t>
      </w:r>
      <w:r>
        <w:t>miento y la rescisión de la relación laboral, así como sobre el salario. Se incluye la normativa sobre el empleo de las mujeres, los menores y los que tienen una capac</w:t>
      </w:r>
      <w:r>
        <w:t>i</w:t>
      </w:r>
      <w:r>
        <w:t>dad distinta para el tr</w:t>
      </w:r>
      <w:r>
        <w:t>a</w:t>
      </w:r>
      <w:r>
        <w:t>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derecho al trabajo y al mismo salario</w:t>
      </w:r>
    </w:p>
    <w:p w:rsidR="00000000" w:rsidRDefault="00000000">
      <w:pPr>
        <w:pStyle w:val="SingleTxt"/>
        <w:spacing w:after="0" w:line="120" w:lineRule="exact"/>
        <w:rPr>
          <w:sz w:val="10"/>
        </w:rPr>
      </w:pPr>
    </w:p>
    <w:p w:rsidR="00000000" w:rsidRDefault="00000000">
      <w:pPr>
        <w:pStyle w:val="SingleTxt"/>
      </w:pPr>
      <w:r>
        <w:tab/>
        <w:t>En virtud de lo dispuesto en la Constitución de la República de Hungría, todos tienen derecho al trabajo y a el</w:t>
      </w:r>
      <w:r>
        <w:t>e</w:t>
      </w:r>
      <w:r>
        <w:t>gir libremente su empleo y profesión.</w:t>
      </w:r>
    </w:p>
    <w:p w:rsidR="00000000" w:rsidRDefault="00000000">
      <w:pPr>
        <w:pStyle w:val="SingleTxt"/>
      </w:pPr>
      <w:r>
        <w:tab/>
        <w:t>En el párrafo 2 del artículo 70/B de la Constitución se contempla por separado el principio del mismo salario por el mismo trabajo cuando se dice que “todos sin discrimin</w:t>
      </w:r>
      <w:r>
        <w:t>a</w:t>
      </w:r>
      <w:r>
        <w:t>ción tienen derecho al mismo salario por el mismo trabajo”.</w:t>
      </w:r>
    </w:p>
    <w:p w:rsidR="00000000" w:rsidRDefault="00000000">
      <w:pPr>
        <w:pStyle w:val="SingleTxt"/>
      </w:pPr>
      <w:r>
        <w:tab/>
        <w:t>El Tribunal Constitucional de Hungría se ocupado, en varias ocasiones, del d</w:t>
      </w:r>
      <w:r>
        <w:t>e</w:t>
      </w:r>
      <w:r>
        <w:t>recho al trabajo, así como del derecho a elegir libremente el empleo. Así, en la dec</w:t>
      </w:r>
      <w:r>
        <w:t>i</w:t>
      </w:r>
      <w:r>
        <w:t>sión No. 1178/B/1991 interpretó la libertad del empleo en relación con la cuestión del traslado del empleado a otro lugar de trabajo. En su decisión No. 1166/B/1991, el Tribunal Constitucional analizó las posibilidades de limitación de la libertad para contratar de los miembros de las fuerzas armadas. En varias ocasiones, el Tribunal Constitucional se ocupó de cuestiones de la constitucionalidad de los subsidios de desempleo. Así pues, la decisión No. 551/B/1990 del Tribunal Constitucional co</w:t>
      </w:r>
      <w:r>
        <w:t>n</w:t>
      </w:r>
      <w:r>
        <w:t>templa relaciones entre esas disposiciones y la igualdad ante la ley.</w:t>
      </w:r>
    </w:p>
    <w:p w:rsidR="00000000" w:rsidRDefault="00000000">
      <w:pPr>
        <w:pStyle w:val="SingleTxt"/>
      </w:pPr>
      <w:r>
        <w:tab/>
        <w:t>El derecho al trabajo está relacionado con el derecho de huelga, que se garant</w:t>
      </w:r>
      <w:r>
        <w:t>i</w:t>
      </w:r>
      <w:r>
        <w:t>za en el párrafo 2 del artículo 70/C de la Constitución, sobre cuya base se promulgó la Ley VII de 1999 sobre la huelga.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Derecho a la protección de la salud, a un entorno de trabajo seguro y a la protección especial de la mujer</w:t>
      </w:r>
    </w:p>
    <w:p w:rsidR="00000000" w:rsidRDefault="00000000">
      <w:pPr>
        <w:pStyle w:val="SingleTxt"/>
        <w:spacing w:after="0" w:line="120" w:lineRule="exact"/>
        <w:rPr>
          <w:sz w:val="10"/>
        </w:rPr>
      </w:pPr>
    </w:p>
    <w:p w:rsidR="00000000" w:rsidRDefault="00000000">
      <w:pPr>
        <w:pStyle w:val="SingleTxt"/>
      </w:pPr>
      <w:r>
        <w:tab/>
        <w:t>En virtud del párrafo 3 del artículo 66 de la Constitución, mediante normas e</w:t>
      </w:r>
      <w:r>
        <w:t>s</w:t>
      </w:r>
      <w:r>
        <w:t>peciales se garantiza también la protección de las mujeres y los jóvenes en la real</w:t>
      </w:r>
      <w:r>
        <w:t>i</w:t>
      </w:r>
      <w:r>
        <w:t>zación de su trabajo.</w:t>
      </w:r>
    </w:p>
    <w:p w:rsidR="00000000" w:rsidRDefault="00000000">
      <w:pPr>
        <w:pStyle w:val="SingleTxt"/>
      </w:pPr>
      <w:r>
        <w:tab/>
        <w:t>La protección de las mujeres embarazadas se garantiza en las disposiciones del Código de Trabajo, así como en la orden No. 33/1998 (VI.24.) NM del Ministerio de Bienestar relativa a los exámenes e informes médicos sobre la capacidad personal y profesional para trabajar.</w:t>
      </w:r>
    </w:p>
    <w:p w:rsidR="00000000" w:rsidRDefault="00000000">
      <w:pPr>
        <w:pStyle w:val="SingleTxt"/>
      </w:pPr>
      <w:r>
        <w:tab/>
        <w:t>En el párrafo 1 del artículo 75 del Código de Trabajo se establece, como norma general, que “las mujeres y los menores no realizarán trabajos que puedan tener efectos nocivos para su condición física o su desarrollo”.</w:t>
      </w:r>
    </w:p>
    <w:p w:rsidR="00000000" w:rsidRDefault="00000000">
      <w:pPr>
        <w:pStyle w:val="SingleTxt"/>
      </w:pPr>
      <w:r>
        <w:tab/>
        <w:t>Sobre la base de lo dispuesto en el Código de Trabajo, las mujeres embaraz</w:t>
      </w:r>
      <w:r>
        <w:t>a</w:t>
      </w:r>
      <w:r>
        <w:t>das cuentan con otras formas de protección:</w:t>
      </w:r>
    </w:p>
    <w:p w:rsidR="00000000" w:rsidRDefault="00000000">
      <w:pPr>
        <w:pStyle w:val="SingleTxt"/>
        <w:tabs>
          <w:tab w:val="right" w:pos="1685"/>
        </w:tabs>
        <w:ind w:left="1742" w:hanging="475"/>
      </w:pPr>
      <w:r>
        <w:tab/>
        <w:t>–</w:t>
      </w:r>
      <w:r>
        <w:tab/>
        <w:t>No se podrá asignar al turno de trabajo nocturno a la mujer desde el momento del embarazo hasta que su hijo alcance la edad de un año (artículo 121);</w:t>
      </w:r>
    </w:p>
    <w:p w:rsidR="00000000" w:rsidRDefault="00000000">
      <w:pPr>
        <w:pStyle w:val="SingleTxt"/>
        <w:tabs>
          <w:tab w:val="right" w:pos="1685"/>
        </w:tabs>
        <w:ind w:left="1742" w:hanging="475"/>
      </w:pPr>
      <w:r>
        <w:tab/>
        <w:t>–</w:t>
      </w:r>
      <w:r>
        <w:tab/>
        <w:t>No se podrán asignar horas extraordinarias a la mujer desde el momento del embarazo hasta que su hijo alcance la edad de un año (párrafo 2 del artículo 128);</w:t>
      </w:r>
    </w:p>
    <w:p w:rsidR="00000000" w:rsidRDefault="00000000">
      <w:pPr>
        <w:pStyle w:val="SingleTxt"/>
        <w:tabs>
          <w:tab w:val="right" w:pos="1685"/>
        </w:tabs>
        <w:ind w:left="1742" w:hanging="475"/>
      </w:pPr>
      <w:r>
        <w:tab/>
        <w:t>–</w:t>
      </w:r>
      <w:r>
        <w:tab/>
        <w:t>Durante el período del embarazo o el parto, la mujer tendrá derecho a una l</w:t>
      </w:r>
      <w:r>
        <w:t>i</w:t>
      </w:r>
      <w:r>
        <w:t>cencia de maternidad de 24 semanas que comenzará, de ser posible, cuatro s</w:t>
      </w:r>
      <w:r>
        <w:t>e</w:t>
      </w:r>
      <w:r>
        <w:t>m</w:t>
      </w:r>
      <w:r>
        <w:t>a</w:t>
      </w:r>
      <w:r>
        <w:t>nas antes de la fecha prevista del parto (artículo 138);</w:t>
      </w:r>
    </w:p>
    <w:p w:rsidR="00000000" w:rsidRDefault="00000000">
      <w:pPr>
        <w:pStyle w:val="SingleTxt"/>
        <w:tabs>
          <w:tab w:val="right" w:pos="1685"/>
        </w:tabs>
        <w:ind w:left="1742" w:hanging="475"/>
      </w:pPr>
      <w:r>
        <w:tab/>
        <w:t>–</w:t>
      </w:r>
      <w:r>
        <w:tab/>
        <w:t>Durante los primeros seis meses de amamantamiento, la mujer tendrá derecho a una hora libre dos veces al día, y a una hora al día a partir de entonces hasta el final del noveno mes (en el caso de nacimientos múltiples, el tiempo libre para el amamantamiento guardará relación con el número de hijos) (párrafo 5 del artículo 138).</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1"/>
        </w:rPr>
      </w:pPr>
      <w:r>
        <w:tab/>
      </w:r>
      <w:r>
        <w:rPr>
          <w:w w:val="101"/>
        </w:rPr>
        <w:t>Ventajas que la legislación laboral ofrece a los trabajadores con hijos pequ</w:t>
      </w:r>
      <w:r>
        <w:rPr>
          <w:w w:val="101"/>
        </w:rPr>
        <w:t>e</w:t>
      </w:r>
      <w:r>
        <w:rPr>
          <w:w w:val="101"/>
        </w:rPr>
        <w:t>ños:</w:t>
      </w:r>
    </w:p>
    <w:p w:rsidR="00000000" w:rsidRDefault="00000000">
      <w:pPr>
        <w:pStyle w:val="SingleTxt"/>
        <w:tabs>
          <w:tab w:val="right" w:pos="1685"/>
        </w:tabs>
        <w:ind w:left="1742" w:hanging="475"/>
      </w:pPr>
      <w:r>
        <w:tab/>
        <w:t>–</w:t>
      </w:r>
      <w:r>
        <w:tab/>
        <w:t>El trabajador tiene derecho a licencia sin sueldo para cuidar de su hijo hasta que éste alcance los tres años de edad, en caso de enfermedad de un hijo hasta los diez años de edad y desde el final de la subvención para el cuidado de los hijos hasta que el hijo alcance la edad de 12 años con el fin de atender al hijo en casa d</w:t>
      </w:r>
      <w:r>
        <w:t>u</w:t>
      </w:r>
      <w:r>
        <w:t>rante la enfermedad;</w:t>
      </w:r>
    </w:p>
    <w:p w:rsidR="00000000" w:rsidRDefault="00000000">
      <w:pPr>
        <w:pStyle w:val="SingleTxt"/>
        <w:tabs>
          <w:tab w:val="right" w:pos="1685"/>
        </w:tabs>
        <w:ind w:left="1742" w:hanging="475"/>
      </w:pPr>
      <w:r>
        <w:tab/>
        <w:t>–</w:t>
      </w:r>
      <w:r>
        <w:tab/>
        <w:t>Por decisión del empleado o del progenitor único éste tendrá derecho a vac</w:t>
      </w:r>
      <w:r>
        <w:t>a</w:t>
      </w:r>
      <w:r>
        <w:t>ciones anuales extraordinarias por los hijos menores de 16 años de edad.</w:t>
      </w:r>
    </w:p>
    <w:p w:rsidR="00000000" w:rsidRDefault="00000000">
      <w:pPr>
        <w:pStyle w:val="SingleTxt"/>
      </w:pPr>
      <w:r>
        <w:tab/>
        <w:t>Esas ventajas podrán solicitarlas tanto el padre como la madre, a su elección.</w:t>
      </w:r>
    </w:p>
    <w:p w:rsidR="00000000" w:rsidRDefault="00000000">
      <w:pPr>
        <w:pStyle w:val="SingleTxt"/>
      </w:pPr>
      <w:r>
        <w:tab/>
        <w:t>En la orden No. 33/1998 (VI.24.) NM del Ministerio de Bienestar relativa a los exámenes e informes médicos sobre la capacidad personal y profesional para trab</w:t>
      </w:r>
      <w:r>
        <w:t>a</w:t>
      </w:r>
      <w:r>
        <w:t>jar figuran normas que se ajustan a la Directiva del Consejo 92/85/EEC, de 19 de octubre de 1992, sobre la introducción de medidas para fomentar la mejora de la s</w:t>
      </w:r>
      <w:r>
        <w:t>e</w:t>
      </w:r>
      <w:r>
        <w:t>guridad e higiene en el trabajo de las mujeres trabajadoras embarazadas y de las mujeres trabajadoras que hayan tenido un hijo recientemente o estén amamantando.</w:t>
      </w:r>
    </w:p>
    <w:p w:rsidR="00000000" w:rsidRDefault="00000000">
      <w:pPr>
        <w:pStyle w:val="SingleTxt"/>
      </w:pPr>
      <w:r>
        <w:tab/>
        <w:t>Según esa orden ministerial, en el momento del examen y el informe de la c</w:t>
      </w:r>
      <w:r>
        <w:t>a</w:t>
      </w:r>
      <w:r>
        <w:t>pacidad para trabajar se tendrá en cuenta si la mujer (especialmente las que estén en edad de concebir, las mujeres embarazadas, en particular en las primeras etapas del embarazo, las mujeres que hayan dado a luz recientemente y las mujeres que estén amamantando) no puede, o sólo puede bajo ciertas condiciones, trabajar en un e</w:t>
      </w:r>
      <w:r>
        <w:t>n</w:t>
      </w:r>
      <w:r>
        <w:t>torno que presente riesgos para la salud o suponga una sobrecarga peligrosa, con arreglo a la lista que figura en el decreto.</w:t>
      </w:r>
    </w:p>
    <w:p w:rsidR="00000000" w:rsidRDefault="00000000">
      <w:pPr>
        <w:pStyle w:val="SingleTxt"/>
      </w:pPr>
      <w:r>
        <w:tab/>
        <w:t>El empleador está obligado a realizar una estimación del riesgo y a determinar las medidas mediante las que se puede garantizar la salud y la seguridad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Subsidios de desempleo (Ley IV de 1991 sobre asistencia en el empleo y subsidios de desempleo)</w:t>
      </w:r>
    </w:p>
    <w:p w:rsidR="00000000" w:rsidRDefault="00000000">
      <w:pPr>
        <w:pStyle w:val="SingleTxt"/>
        <w:spacing w:after="0" w:line="120" w:lineRule="exact"/>
        <w:rPr>
          <w:sz w:val="10"/>
        </w:rPr>
      </w:pPr>
    </w:p>
    <w:p w:rsidR="00000000" w:rsidRDefault="00000000">
      <w:pPr>
        <w:pStyle w:val="SingleTxt"/>
      </w:pPr>
      <w:r>
        <w:tab/>
        <w:t>En esta ley se establece como principio básico el siguiente: “Por lo que re</w:t>
      </w:r>
      <w:r>
        <w:t>s</w:t>
      </w:r>
      <w:r>
        <w:t>pecta a la asistencia en el empleo y al subsidio de desempleo, los empleados y d</w:t>
      </w:r>
      <w:r>
        <w:t>e</w:t>
      </w:r>
      <w:r>
        <w:t>sempleados no serán objeto de discriminación negativa por motivos de sexo, raza, origen, religión, opiniones políticas o afiliación con una organización para la defe</w:t>
      </w:r>
      <w:r>
        <w:t>n</w:t>
      </w:r>
      <w:r>
        <w:t>sa de los intereses de los trabajadores. La presente disposición no prejuzga el der</w:t>
      </w:r>
      <w:r>
        <w:t>e</w:t>
      </w:r>
      <w:r>
        <w:t>cho a otras prerrogativas de las personas desfavorecidas en el mercado laboral”.</w:t>
      </w:r>
    </w:p>
    <w:p w:rsidR="00000000" w:rsidRDefault="00000000">
      <w:pPr>
        <w:pStyle w:val="SingleTxt"/>
      </w:pPr>
      <w:r>
        <w:tab/>
        <w:t>Entre los subsidios de desempleo, en la ley se regula la prestación por dese</w:t>
      </w:r>
      <w:r>
        <w:t>m</w:t>
      </w:r>
      <w:r>
        <w:t>pleo para las personas elegibles que en los cuatro años anteriores a la situación de desempleo hubieran mantenido una relación laboral durante al menos 360 días, no tuvieran derecho a pensión y no recibieran subsidio de enfermedad, y cooperasen con el centro de empleo. La cuantía de la prestación está relacionada con el salario anterior. Su cuantía mínima es del 90% de la pensión mínima, y su límite máximo es el doble de esa cantidad. La duración del pago era de un máximo de 360 días hasta la última modificación de la ley. Los que agoten la prestación pueden recuperarla de nuevo si están empleados durante 180 días. Tras el agotamiento del pago de la pre</w:t>
      </w:r>
      <w:r>
        <w:t>s</w:t>
      </w:r>
      <w:r>
        <w:t>tación puede solicitarse la subvención de sustitución de ingresos para los dese</w:t>
      </w:r>
      <w:r>
        <w:t>m</w:t>
      </w:r>
      <w:r>
        <w:t>pleados al gobierno local durante un máximo de 24 meses. Los fondos para esa prestación provienen de las contribuciones de los empleados y empleadores al Fo</w:t>
      </w:r>
      <w:r>
        <w:t>n</w:t>
      </w:r>
      <w:r>
        <w:t>do del Mercado de Trabajo, un fondo estatal independiente. El 1° de febrero de 2000 entrará en vigor la modificación de las disposiciones de la prestación por desempleo según la cual se ha reducido el período de recepción de la prestación, así como el período mínimo para recibirla, de 360 a 200 días. La duración máxima de la prest</w:t>
      </w:r>
      <w:r>
        <w:t>a</w:t>
      </w:r>
      <w:r>
        <w:t>ción es de 270 días.</w:t>
      </w:r>
    </w:p>
    <w:p w:rsidR="00000000" w:rsidRDefault="00000000">
      <w:pPr>
        <w:pStyle w:val="SingleTxt"/>
      </w:pPr>
      <w:r>
        <w:tab/>
        <w:t>En 1993, se estableció en la Ley social la subvención de sustitución de ingr</w:t>
      </w:r>
      <w:r>
        <w:t>e</w:t>
      </w:r>
      <w:r>
        <w:t>sos para los desempleados, que había existido anteriormente, como un nuevo tipo de prestación monetaria. Los desempleados tienen derecho a esa subvención únic</w:t>
      </w:r>
      <w:r>
        <w:t>a</w:t>
      </w:r>
      <w:r>
        <w:t>mente cuando se agota la prestación por desempleo. En 1995, la Ley de estabiliz</w:t>
      </w:r>
      <w:r>
        <w:t>a</w:t>
      </w:r>
      <w:r>
        <w:t>ción económica (el “paquete Bokros”) limitó la duración de la subvención, que ant</w:t>
      </w:r>
      <w:r>
        <w:t>e</w:t>
      </w:r>
      <w:r>
        <w:t>riormente era ilimitada, a 24 meses. La Ley CXXII de 1999 sobre la modificación de algunas normas laborales y sociales por motivos de la política de empleo puso fin a la subvención en sustitución de ingresos para los desempleados. En el caso de los desempleados que hayan agotado la prestación por desempleo y precisen apoyo s</w:t>
      </w:r>
      <w:r>
        <w:t>o</w:t>
      </w:r>
      <w:r>
        <w:t>cial, los gobiernos locales ofrecen posibilidades de empleo, y los que acepten esa posibilidad pueden recibir una prestación social periódica. Otra condición es que los ingresos mensuales de los desempleados o los ingresos mensuales de una persona de su familia no sobrepasen el 80% de la pensión de jubilación mínima. La cuantía mensual de la prestación social periódica es del 70% de la cuantía de la pensión de jubilación mínima.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situación del empleo</w:t>
      </w:r>
    </w:p>
    <w:p w:rsidR="00000000" w:rsidRDefault="00000000">
      <w:pPr>
        <w:pStyle w:val="SingleTxt"/>
        <w:spacing w:after="0" w:line="120" w:lineRule="exact"/>
        <w:rPr>
          <w:sz w:val="10"/>
        </w:rPr>
      </w:pPr>
    </w:p>
    <w:p w:rsidR="00000000" w:rsidRDefault="00000000">
      <w:pPr>
        <w:pStyle w:val="SingleTxt"/>
      </w:pPr>
      <w:r>
        <w:tab/>
        <w:t>En los últimos decenios se ha desarrollado en Hungría una actividad económ</w:t>
      </w:r>
      <w:r>
        <w:t>i</w:t>
      </w:r>
      <w:r>
        <w:t>ca muy intensa por parte de las mujeres. En aquel momento ello significaba que la mayoría de las mujeres trabajaba. El nivel de empleo era cualificado con la expr</w:t>
      </w:r>
      <w:r>
        <w:t>e</w:t>
      </w:r>
      <w:r>
        <w:t>sión habitual de que alcanzaba no sólo el máximo social, si no también el máximo demográfico. Esta situación se vio interrumpida por los dramáticos acontecimientos acaecidos en el mercado de trabajo en el decenio de 1990, cuyas características pri</w:t>
      </w:r>
      <w:r>
        <w:t>n</w:t>
      </w:r>
      <w:r>
        <w:t>cipales fueron las siguientes:</w:t>
      </w:r>
    </w:p>
    <w:p w:rsidR="00000000" w:rsidRDefault="00000000">
      <w:pPr>
        <w:pStyle w:val="SingleTxt"/>
        <w:tabs>
          <w:tab w:val="right" w:pos="1685"/>
        </w:tabs>
        <w:ind w:left="1742" w:hanging="475"/>
      </w:pPr>
      <w:r>
        <w:tab/>
        <w:t>–</w:t>
      </w:r>
      <w:r>
        <w:tab/>
        <w:t>El drástico descenso del número de personas emple</w:t>
      </w:r>
      <w:r>
        <w:t>a</w:t>
      </w:r>
      <w:r>
        <w:t xml:space="preserve">das </w:t>
      </w:r>
    </w:p>
    <w:p w:rsidR="00000000" w:rsidRDefault="00000000">
      <w:pPr>
        <w:pStyle w:val="SingleTxt"/>
        <w:tabs>
          <w:tab w:val="right" w:pos="1685"/>
        </w:tabs>
        <w:ind w:left="1742" w:hanging="475"/>
      </w:pPr>
      <w:r>
        <w:tab/>
        <w:t>–</w:t>
      </w:r>
      <w:r>
        <w:tab/>
        <w:t>El repentino aumento de un desempleo que se hacía cada vez más perm</w:t>
      </w:r>
      <w:r>
        <w:t>a</w:t>
      </w:r>
      <w:r>
        <w:t>nente</w:t>
      </w:r>
    </w:p>
    <w:p w:rsidR="00000000" w:rsidRDefault="00000000">
      <w:pPr>
        <w:pStyle w:val="SingleTxt"/>
        <w:tabs>
          <w:tab w:val="right" w:pos="1685"/>
        </w:tabs>
        <w:ind w:left="1742" w:hanging="475"/>
      </w:pPr>
      <w:r>
        <w:tab/>
        <w:t>–</w:t>
      </w:r>
      <w:r>
        <w:tab/>
        <w:t>El abandono masivo del mercado de trabajo.</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actividad económica y en el empleo de la mujer,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90"/>
        <w:gridCol w:w="990"/>
        <w:gridCol w:w="990"/>
        <w:gridCol w:w="930"/>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Grupos de población (Miles de personas)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1990</w:t>
            </w:r>
            <w:r>
              <w:rPr>
                <w:i/>
                <w:sz w:val="14"/>
              </w:rPr>
              <w:br/>
              <w:t>(1° de enero)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r>
              <w:rPr>
                <w:i/>
                <w:sz w:val="14"/>
              </w:rPr>
              <w:br/>
              <w:t>(1° de enero)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r>
              <w:rPr>
                <w:i/>
                <w:sz w:val="14"/>
              </w:rPr>
              <w:br/>
              <w:t>(1° de enero)</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r>
              <w:rPr>
                <w:i/>
                <w:sz w:val="14"/>
              </w:rPr>
              <w:br/>
              <w:t>(1° de enero)</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 w:val="right" w:pos="1685"/>
              </w:tabs>
              <w:spacing w:before="40" w:after="40" w:line="210" w:lineRule="exact"/>
              <w:ind w:right="40"/>
              <w:rPr>
                <w:sz w:val="17"/>
              </w:rPr>
            </w:pPr>
            <w:r>
              <w:rPr>
                <w:sz w:val="17"/>
              </w:rPr>
              <w:t>1.</w:t>
            </w:r>
            <w:r>
              <w:rPr>
                <w:sz w:val="17"/>
              </w:rPr>
              <w:tab/>
              <w:t>Población femenina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5 389,9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5 354,0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5 328,4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5 274,2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 w:val="right" w:pos="1685"/>
              </w:tabs>
              <w:spacing w:before="40" w:after="40" w:line="210" w:lineRule="exact"/>
              <w:ind w:right="40"/>
              <w:rPr>
                <w:sz w:val="17"/>
              </w:rPr>
            </w:pPr>
            <w:r>
              <w:rPr>
                <w:sz w:val="17"/>
              </w:rPr>
              <w:t>2.</w:t>
            </w:r>
            <w:r>
              <w:rPr>
                <w:sz w:val="17"/>
              </w:rPr>
              <w:tab/>
              <w:t>Población en edad de trabajar*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2 849,6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2 916,1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2 957,1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 w:val="right" w:pos="1685"/>
              </w:tabs>
              <w:spacing w:before="40" w:after="40" w:line="210" w:lineRule="exact"/>
              <w:ind w:left="288" w:right="40" w:hanging="288"/>
              <w:rPr>
                <w:sz w:val="17"/>
              </w:rPr>
            </w:pPr>
            <w:r>
              <w:rPr>
                <w:sz w:val="17"/>
              </w:rPr>
              <w:t>3.</w:t>
            </w:r>
            <w:r>
              <w:rPr>
                <w:sz w:val="17"/>
              </w:rPr>
              <w:tab/>
              <w:t>Población con edad superior a la de trabajar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1 507,9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1 515,3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1 456,9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 w:val="right" w:pos="1685"/>
              </w:tabs>
              <w:spacing w:before="40" w:after="40" w:line="210" w:lineRule="exact"/>
              <w:ind w:left="288" w:right="40" w:hanging="288"/>
              <w:rPr>
                <w:sz w:val="17"/>
              </w:rPr>
            </w:pPr>
            <w:r>
              <w:rPr>
                <w:sz w:val="17"/>
              </w:rPr>
              <w:t>4.</w:t>
            </w:r>
            <w:r>
              <w:rPr>
                <w:sz w:val="17"/>
              </w:rPr>
              <w:tab/>
              <w:t>Población femenina económicamente activa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2 348,9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1 871,9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1 871,8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315"/>
                <w:tab w:val="left" w:pos="965"/>
                <w:tab w:val="left" w:pos="1440"/>
                <w:tab w:val="right" w:pos="1685"/>
              </w:tabs>
              <w:spacing w:before="40" w:after="40" w:line="210" w:lineRule="exact"/>
              <w:ind w:left="315" w:hanging="315"/>
              <w:rPr>
                <w:sz w:val="17"/>
              </w:rPr>
            </w:pPr>
            <w:r>
              <w:rPr>
                <w:sz w:val="17"/>
              </w:rPr>
              <w:t>5.</w:t>
            </w:r>
            <w:r>
              <w:rPr>
                <w:sz w:val="17"/>
              </w:rPr>
              <w:tab/>
              <w:t>Tasa de actividad de la población femenina en edad de trabajar (porcentaje)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 w:val="right" w:pos="1685"/>
              </w:tabs>
              <w:spacing w:before="40" w:after="40" w:line="210" w:lineRule="exact"/>
              <w:ind w:right="40"/>
              <w:rPr>
                <w:sz w:val="17"/>
              </w:rPr>
            </w:pPr>
            <w:r>
              <w:rPr>
                <w:sz w:val="17"/>
              </w:rPr>
              <w:t>6.</w:t>
            </w:r>
            <w:r>
              <w:rPr>
                <w:sz w:val="17"/>
              </w:rPr>
              <w:tab/>
              <w:t>Tasa de desempleo (porcentaje)</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La edad de jubilación pasó de los 54 a los 55 años a partir del 1° de enero de 1997 y a los 56 años a partir del 1° de enero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mucho tiempo el público había venido prestando atención tan sólo al hecho de que el especial y largo período histórico de pleno empleo había ido segu</w:t>
      </w:r>
      <w:r>
        <w:t>i</w:t>
      </w:r>
      <w:r>
        <w:t>do repentinamente por un desempleo masivo y permanente, aunque ese no es más que un factor, y paradójicamente ni siquiera el más importante, del deterioro de la situación del mercado de trabajo. Más graves son las consecuencias del hecho de que dos terceras partes de los desempleados a causa del cierre de los centros de tr</w:t>
      </w:r>
      <w:r>
        <w:t>a</w:t>
      </w:r>
      <w:r>
        <w:t>bajo abandonaran su actividad y, más tarde, el número de desempleados comenzó a decrecer no porque encontraran empleo, si no porque un número similar de personas abandonó definitivamente el mercado de trabajo. Por ese motivo, entre las mujeres en edad laboral casi se ha duplicado la proporción de las que viven de las prestaci</w:t>
      </w:r>
      <w:r>
        <w:t>o</w:t>
      </w:r>
      <w:r>
        <w:t>nes de la asistencia social o de los ingresos de otras personas (esa proporción pasó del 27,2% al 44% entre 1990 y 1999). Al mismo tiempo, el empleo de ese grupo de edad ha descendido del 72,8% al 55%-56% en apenas diez años. La proporción de empleados en el total de la población femenina se ha reducido aún más, del 43,4% al 31%-32%, puesto que más de cuatro quintas partes de las mujeres por encima de la edad de jubilación, pero que aún trabajaban, fueron obligadas a abandonar el merc</w:t>
      </w:r>
      <w:r>
        <w:t>a</w:t>
      </w:r>
      <w:r>
        <w:t>do de trabajo. A principios de 1999, tan sólo el 2,8% de las mujeres con una edad superior a la de jubilación realizaban un trabajo remunerado.</w:t>
      </w:r>
    </w:p>
    <w:p w:rsidR="00000000" w:rsidRDefault="00000000">
      <w:pPr>
        <w:pStyle w:val="SingleTxt"/>
      </w:pPr>
      <w:r>
        <w:tab/>
        <w:t>Así pues, en Hungría se puede hablar de un gran desempleo femenino sol</w:t>
      </w:r>
      <w:r>
        <w:t>a</w:t>
      </w:r>
      <w:r>
        <w:t>mente en pasado. En 1998, la proporción de mujeres empleadas entre 15 y 64 años era inferior a las cifras de todas las regiones económicamente desarrolladas. Las d</w:t>
      </w:r>
      <w:r>
        <w:t>i</w:t>
      </w:r>
      <w:r>
        <w:t>ferencias en el nivel de empleo se agudizan especialmente en los dos límites de la edad laboral: el empleo de las mujeres menores de 25 años y de las mayores de 59 es sustancialmente menor en Hungría que en las sociedades industriales desarrolladas. El descenso del empleo de la mujer no debería ser un problema en sí mismo, puesto que en cierta medida se esperaba un descenso de la actividad entre las mujeres. Cabe añadir que incluso aunque el empleo de las mujeres húngaras fuera del hogar se r</w:t>
      </w:r>
      <w:r>
        <w:t>e</w:t>
      </w:r>
      <w:r>
        <w:t>dujo por debajo del promedio de las economías de mercado desarrolladas, el nivel de empleo es aún mayor que en esos países si se consideran las horas de trabajo, puesto que una proporción considerable de mujeres cuenta con un empleo a tiempo parcial.</w:t>
      </w:r>
    </w:p>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Empleo y desempleo en Hungría y en las regiones más desarrolladas del mu</w:t>
      </w:r>
      <w:r>
        <w:t>n</w:t>
      </w:r>
      <w:r>
        <w:t>do</w:t>
      </w:r>
    </w:p>
    <w:p w:rsidR="00000000" w:rsidRDefault="00000000">
      <w:pPr>
        <w:pStyle w:val="SingleTxt"/>
        <w:spacing w:after="0" w:line="120" w:lineRule="exact"/>
        <w:rPr>
          <w:sz w:val="10"/>
        </w:rPr>
      </w:pPr>
    </w:p>
    <w:tbl>
      <w:tblPr>
        <w:tblW w:w="0" w:type="auto"/>
        <w:tblInd w:w="68" w:type="dxa"/>
        <w:tblLayout w:type="fixed"/>
        <w:tblCellMar>
          <w:left w:w="0" w:type="dxa"/>
          <w:right w:w="0" w:type="dxa"/>
        </w:tblCellMar>
        <w:tblLook w:val="0000" w:firstRow="0" w:lastRow="0" w:firstColumn="0" w:lastColumn="0" w:noHBand="0" w:noVBand="0"/>
      </w:tblPr>
      <w:tblGrid>
        <w:gridCol w:w="3150"/>
        <w:gridCol w:w="720"/>
        <w:gridCol w:w="810"/>
        <w:gridCol w:w="810"/>
        <w:gridCol w:w="90"/>
        <w:gridCol w:w="720"/>
        <w:gridCol w:w="720"/>
        <w:gridCol w:w="630"/>
        <w:gridCol w:w="90"/>
        <w:gridCol w:w="720"/>
        <w:gridCol w:w="720"/>
        <w:gridCol w:w="630"/>
        <w:gridCol w:w="90"/>
        <w:gridCol w:w="630"/>
        <w:gridCol w:w="720"/>
        <w:gridCol w:w="810"/>
      </w:tblGrid>
      <w:tr w:rsidR="00000000">
        <w:tblPrEx>
          <w:tblCellMar>
            <w:top w:w="0" w:type="dxa"/>
            <w:left w:w="0" w:type="dxa"/>
            <w:bottom w:w="0" w:type="dxa"/>
            <w:right w:w="0" w:type="dxa"/>
          </w:tblCellMar>
        </w:tblPrEx>
        <w:trPr>
          <w:cantSplit/>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3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Hungría*,1998</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0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Estados de la UE, 1998</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0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EE.UU., 1998</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1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Japón, 1998</w:t>
            </w:r>
          </w:p>
        </w:tc>
      </w:tr>
      <w:tr w:rsidR="00000000">
        <w:tblPrEx>
          <w:tblCellMar>
            <w:top w:w="0" w:type="dxa"/>
            <w:left w:w="0" w:type="dxa"/>
            <w:bottom w:w="0" w:type="dxa"/>
            <w:right w:w="0" w:type="dxa"/>
          </w:tblCellMar>
        </w:tblPrEx>
        <w:trPr>
          <w:tblHeader/>
        </w:trPr>
        <w:tc>
          <w:tcPr>
            <w:tcW w:w="315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Indicadores (porcentaje)</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81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6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81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6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c>
          <w:tcPr>
            <w:tcW w:w="72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 los empleados entre la población de entre 15 y 64 años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 sin trabajo durante más de un año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rPr>
                <w:sz w:val="17"/>
              </w:rPr>
            </w:pPr>
            <w:r>
              <w:rPr>
                <w:sz w:val="17"/>
              </w:rPr>
              <w:t>Proporción de empleados a tiempo parcial (menos de 30 horas a la semana)</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1,9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5,0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3,4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5,9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31,8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17,4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8,2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19,1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13,4</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12,9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39,0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jc w:val="right"/>
              <w:rPr>
                <w:sz w:val="17"/>
              </w:rPr>
            </w:pPr>
            <w:r>
              <w:rPr>
                <w:sz w:val="17"/>
              </w:rPr>
              <w:t>23,6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Los datos correspondientes a Hungría no incluyen los trabajadores con licencia por maternidad, pero sí a los que realizan el servicio militar ordinario.</w:t>
      </w: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SingleTxt"/>
      </w:pPr>
      <w:r>
        <w:tab/>
        <w:t>El que el nivel de desempleo en Hungría sea menor que el del promedio de la Unión Europea es un fenómeno favorable. Las mujeres están infrarepresentadas e</w:t>
      </w:r>
      <w:r>
        <w:t>n</w:t>
      </w:r>
      <w:r>
        <w:t>tre los desempleados: entre 1992 y 1997 la proporción estaba en torno al 41%-42 %, en noviembre de 1998 era del 44 %. En realidad, el desempleo femenino es mayor de lo que muestran las estadísticas, puesto que algunas mujeres no se inscriben en las oficinas. Para las mujeres que pierden su empleo o para las muchachas que están finalizando su educación y no tienen posibilidades de empleo, el trabajo en el hogar puede ser una alternativa. El aprovechar el sistema del cuidado de los niños significa una protección para las mujeres con hijos pequeños. El efecto de las diferencias en los sueldos y salarios se expresa más directamente en las diferencias en la recepción de los subsidios de desempleo, en noviembre de 1998 las mujeres recibían el 96,5%, las mujeres permanentemente desempleadas (más de 180 días) recibían el 95,7% del promedio de las prestaciones que r</w:t>
      </w:r>
      <w:r>
        <w:t>e</w:t>
      </w:r>
      <w:r>
        <w:t>cibían los hombres.</w:t>
      </w:r>
    </w:p>
    <w:p w:rsidR="00000000" w:rsidRDefault="00000000">
      <w:pPr>
        <w:pStyle w:val="SingleTxt"/>
      </w:pPr>
      <w:r>
        <w:tab/>
        <w:t>El descenso del empleo femenino ha ido acompañado de un importante cambio de valores. De los resultados del estudio de 1986 realizado por la Oficina central de estadística, podría haberse extraído la conclusión de que el 81% de las mujeres d</w:t>
      </w:r>
      <w:r>
        <w:t>e</w:t>
      </w:r>
      <w:r>
        <w:t>sempleadas opinaban que la mujer debía realizar un trabajo remunerado. El 78% de ellas, sin embargo, consideraban ideal el que la mujer desempeñase empleos a tie</w:t>
      </w:r>
      <w:r>
        <w:t>m</w:t>
      </w:r>
      <w:r>
        <w:t>po parcial, y el 10% que sería mejor que pudieran realizar su trabajo en casa. Una repetición de ese estudio en 1995 mostró un importante descenso de la aceptación del empleo de la mujer. En ese momento, tan sólo dos terceras partes de las mujeres entrevistadas en los hogares elegidos para el estudio apoyaban la idea de que las mujeres debían realizar trabajos remunerados. A penas el 20% de ellas estaba a f</w:t>
      </w:r>
      <w:r>
        <w:t>a</w:t>
      </w:r>
      <w:r>
        <w:t>vor de que realizaran trabajos de jornada completa, el 60% pensaba que lo más d</w:t>
      </w:r>
      <w:r>
        <w:t>e</w:t>
      </w:r>
      <w:r>
        <w:t>seable para las mujeres eran los trabajos a tiempo parcial y el 20% restante opinaban que debían realizar su trabajo en casa.</w:t>
      </w:r>
    </w:p>
    <w:p w:rsidR="00000000" w:rsidRDefault="00000000">
      <w:pPr>
        <w:pStyle w:val="SingleTxt"/>
      </w:pPr>
      <w:r>
        <w:tab/>
        <w:t>La reducción del empleo también tenía consecuencias positivas:</w:t>
      </w:r>
    </w:p>
    <w:p w:rsidR="00000000" w:rsidRDefault="00000000">
      <w:pPr>
        <w:pStyle w:val="SingleTxt"/>
        <w:tabs>
          <w:tab w:val="right" w:pos="1685"/>
        </w:tabs>
        <w:ind w:left="1742" w:hanging="475"/>
      </w:pPr>
      <w:r>
        <w:tab/>
        <w:t>–</w:t>
      </w:r>
      <w:r>
        <w:tab/>
        <w:t>Puesto que la reducción del empleo afectaba principalmente a las personas con un bajo nivel educativo (con ocho cursos de escuela elemental, o incluso sin ninguno), el número de mujeres graduadas, de trabajadoras cualificadas y de las que han pasado por una escuela técnica ha aumentado. Gracias a ello ha mejorado la composición de las mujeres empleadas en función de sus cualif</w:t>
      </w:r>
      <w:r>
        <w:t>i</w:t>
      </w:r>
      <w:r>
        <w:t>caci</w:t>
      </w:r>
      <w:r>
        <w:t>o</w:t>
      </w:r>
      <w:r>
        <w:t>nes escolares.</w:t>
      </w:r>
    </w:p>
    <w:p w:rsidR="00000000" w:rsidRDefault="00000000">
      <w:pPr>
        <w:pStyle w:val="SingleTxt"/>
        <w:tabs>
          <w:tab w:val="right" w:pos="1685"/>
        </w:tabs>
        <w:ind w:left="1742" w:hanging="475"/>
      </w:pPr>
      <w:r>
        <w:tab/>
        <w:t>–</w:t>
      </w:r>
      <w:r>
        <w:tab/>
        <w:t>Entre 1992 y 1999, se invirtió la proporción de trabajadoras físicas e intele</w:t>
      </w:r>
      <w:r>
        <w:t>c</w:t>
      </w:r>
      <w:r>
        <w:t>tuales en el conjunto de las mujeres empleadas (de un 53% : 47% a un 46,7%: 52,9%).</w:t>
      </w:r>
    </w:p>
    <w:p w:rsidR="00000000" w:rsidRDefault="00000000">
      <w:pPr>
        <w:pStyle w:val="SingleTxt"/>
        <w:tabs>
          <w:tab w:val="right" w:pos="1685"/>
        </w:tabs>
        <w:ind w:left="1742" w:hanging="475"/>
        <w:rPr>
          <w:w w:val="101"/>
        </w:rPr>
      </w:pPr>
      <w:r>
        <w:tab/>
        <w:t>–</w:t>
      </w:r>
      <w:r>
        <w:rPr>
          <w:w w:val="101"/>
        </w:rPr>
        <w:tab/>
        <w:t>Como resultado del cierre masivo de centros de trabajo en el decenio de 1990, la estructura sectorial del empleo, incluidas las mujeres empleadas, se ha actual</w:t>
      </w:r>
      <w:r>
        <w:rPr>
          <w:w w:val="101"/>
        </w:rPr>
        <w:t>i</w:t>
      </w:r>
      <w:r>
        <w:rPr>
          <w:w w:val="101"/>
        </w:rPr>
        <w:t>zado y es ahora más parecida a la de las economías de mercado desarr</w:t>
      </w:r>
      <w:r>
        <w:rPr>
          <w:w w:val="101"/>
        </w:rPr>
        <w:t>o</w:t>
      </w:r>
      <w:r>
        <w:rPr>
          <w:w w:val="101"/>
        </w:rPr>
        <w:t>lladas.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Número y proporción de mujeres empleadas en los tres sectores principales*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990"/>
        <w:gridCol w:w="1080"/>
        <w:gridCol w:w="90"/>
        <w:gridCol w:w="900"/>
        <w:gridCol w:w="990"/>
        <w:gridCol w:w="90"/>
        <w:gridCol w:w="990"/>
        <w:gridCol w:w="99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cantSplit/>
          <w:tblHeader/>
        </w:trPr>
        <w:tc>
          <w:tcPr>
            <w:tcW w:w="117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Sector</w:t>
            </w:r>
          </w:p>
        </w:tc>
        <w:tc>
          <w:tcPr>
            <w:tcW w:w="207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Promedio anual (miles)</w:t>
            </w:r>
          </w:p>
        </w:tc>
        <w:tc>
          <w:tcPr>
            <w:tcW w:w="1980" w:type="dxa"/>
            <w:gridSpan w:val="3"/>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Porcentaje</w:t>
            </w:r>
          </w:p>
        </w:tc>
        <w:tc>
          <w:tcPr>
            <w:tcW w:w="2070" w:type="dxa"/>
            <w:gridSpan w:val="3"/>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 (porcentaje)</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427,0</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Servicios</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1 187,1</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1 215,5</w:t>
            </w:r>
          </w:p>
        </w:tc>
        <w:tc>
          <w:tcPr>
            <w:tcW w:w="99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63,7</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71,1</w:t>
            </w:r>
          </w:p>
        </w:tc>
        <w:tc>
          <w:tcPr>
            <w:tcW w:w="10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54,1</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1 864,5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1 708,4</w:t>
            </w:r>
          </w:p>
        </w:tc>
        <w:tc>
          <w:tcPr>
            <w:tcW w:w="9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No se incluyen las que gozan de licencia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Hungría las mujeres también están situación de desventaja en el mercado de trabajo. Debido al cuidado de sus hijos, la mayoría interrumpen el desempeño de un empleo remunerado, a veces en varias ocasiones, lo que afecta negativamente a su carrera. Su progresión es más limitada que la de los hombres, por lo que en Hungría también existe el “techo de cristal”. La proporción de mujeres en los niveles más altos de la jerarquía del empleo es insignificante. El mercado de trabajo prefiere cualificaciones, y a ese respecto la situación de las mujeres es peor que la de los hombres. La clasificación de profesiones tampoco favorece a la mujer; la valoración del mercado de trabajo da preferencia a las peculiaridades de los trabajadores ma</w:t>
      </w:r>
      <w:r>
        <w:t>s</w:t>
      </w:r>
      <w:r>
        <w:t>culinos. La segregación del mercado de trabajo arruina el prestigio de las profesi</w:t>
      </w:r>
      <w:r>
        <w:t>o</w:t>
      </w:r>
      <w:r>
        <w:t>nes femeninas y, como resultado, las perjudica en los procesos de selección. Las mujeres son más débiles que los hombres cuando se trata de exigir y proteger sus inter</w:t>
      </w:r>
      <w:r>
        <w:t>e</w:t>
      </w:r>
      <w:r>
        <w:t>ses, lo que se manifiesta en unas diferencias salariales en su contra.</w:t>
      </w:r>
    </w:p>
    <w:p w:rsidR="00000000" w:rsidRDefault="00000000">
      <w:pPr>
        <w:pStyle w:val="SingleTxt"/>
        <w:rPr>
          <w:w w:val="101"/>
        </w:rPr>
      </w:pPr>
      <w:r>
        <w:rPr>
          <w:w w:val="101"/>
        </w:rPr>
        <w:tab/>
        <w:t>El análisis de los salarios realizado por el Ministerio de Trabajo en mayo de 1997 tenía por objeto encontrar las diferencias de salarios que se reciben en los mi</w:t>
      </w:r>
      <w:r>
        <w:rPr>
          <w:w w:val="101"/>
        </w:rPr>
        <w:t>s</w:t>
      </w:r>
      <w:r>
        <w:rPr>
          <w:w w:val="101"/>
        </w:rPr>
        <w:t>mos trabajos (o trabajos similares). En el informe se establece que las diferencias en los salarios que pueden obtenerse en empleos considerados similares son menores que los que percibe la opinión pública: en 1997, la diferencia en contra de los salarios de las mujeres en el sector competitivo era del 12,7%, en el sector público era del 8,5 %. La razón de la diferencia entre los dos sectores es que el sistema de progresión de los salarios, que está fijado de una forma justa en el sector público, deja poco campo para la discriminación entre los sexos en comparación con la libre negociación de los sal</w:t>
      </w:r>
      <w:r>
        <w:rPr>
          <w:w w:val="101"/>
        </w:rPr>
        <w:t>a</w:t>
      </w:r>
      <w:r>
        <w:rPr>
          <w:w w:val="101"/>
        </w:rPr>
        <w:t>rios en el mercado abierto. La diferencia de los salarios en esas esferas viene determ</w:t>
      </w:r>
      <w:r>
        <w:rPr>
          <w:w w:val="101"/>
        </w:rPr>
        <w:t>i</w:t>
      </w:r>
      <w:r>
        <w:rPr>
          <w:w w:val="101"/>
        </w:rPr>
        <w:t>nada por las diferencias en las posibilidades de alcanzar pue</w:t>
      </w:r>
      <w:r>
        <w:rPr>
          <w:w w:val="101"/>
        </w:rPr>
        <w:t>s</w:t>
      </w:r>
      <w:r>
        <w:rPr>
          <w:w w:val="101"/>
        </w:rPr>
        <w:t>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Salarios de hombres y mujeres en ocupaciones similares*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2430"/>
        <w:gridCol w:w="2880"/>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Tasa salarial de comparación**</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Sector</w:t>
            </w:r>
          </w:p>
        </w:tc>
        <w:tc>
          <w:tcPr>
            <w:tcW w:w="243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28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competitivo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104,9</w:t>
            </w:r>
          </w:p>
        </w:tc>
        <w:tc>
          <w:tcPr>
            <w:tcW w:w="28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92,9</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público</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72,0</w:t>
            </w:r>
          </w:p>
        </w:tc>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basados en el salario bruto en un empleo de jornada completa hasta mayo de 1997.</w:t>
      </w:r>
    </w:p>
    <w:p w:rsidR="00000000" w:rsidRDefault="00000000">
      <w:pPr>
        <w:pStyle w:val="FootnoteText"/>
        <w:tabs>
          <w:tab w:val="clear" w:pos="418"/>
          <w:tab w:val="right" w:pos="1476"/>
          <w:tab w:val="left" w:pos="1548"/>
          <w:tab w:val="right" w:pos="1836"/>
          <w:tab w:val="left" w:pos="1908"/>
        </w:tabs>
        <w:ind w:left="1548" w:right="1267" w:hanging="288"/>
      </w:pPr>
      <w:r>
        <w:t>**</w:t>
      </w:r>
      <w:r>
        <w:tab/>
      </w:r>
      <w:r>
        <w:tab/>
        <w:t>En comparación con el salario promedio de total del sector empresarial (100%).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II.</w:t>
      </w:r>
      <w:r>
        <w:tab/>
        <w:t>Objetivos del Gobierno y estrategia para hacer frente a las dificultades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En relación con nuestra adhesión a la Unión Europea, la modificación el Cód</w:t>
      </w:r>
      <w:r>
        <w:t>i</w:t>
      </w:r>
      <w:r>
        <w:t>go de Trabajo, en el marco de nuestras obligaciones relativas a la aproximación de la legislación, tiene como fecha límite el 1° de junio de 2000. En el curso de la ado</w:t>
      </w:r>
      <w:r>
        <w:t>p</w:t>
      </w:r>
      <w:r>
        <w:t>ción de las directivas comunitarias relativas a la igualdad de oportunidades, el Cód</w:t>
      </w:r>
      <w:r>
        <w:t>i</w:t>
      </w:r>
      <w:r>
        <w:t>go de Trabajo determinará la discriminación indirecta, el sistema de criterios sobre el trabajo de igual valor y la definición de salario. Lamentablemente, puede enco</w:t>
      </w:r>
      <w:r>
        <w:t>n</w:t>
      </w:r>
      <w:r>
        <w:t>trarse discriminación en cierta medida en el empleo de determinados grupos de m</w:t>
      </w:r>
      <w:r>
        <w:t>u</w:t>
      </w:r>
      <w:r>
        <w:t>jeres (mujeres en edad de tener hijos, madres con hijos pequeños, mujeres mayores). Aunque tanto el Código de Trabajo como la Ley sobre la supervisión del empleo p</w:t>
      </w:r>
      <w:r>
        <w:t>o</w:t>
      </w:r>
      <w:r>
        <w:t>nen la carga de la prueba en el empleador en el caso de violación de la prohibición de discriminar, es necesario también definir la prohibición de la discriminación ind</w:t>
      </w:r>
      <w:r>
        <w:t>i</w:t>
      </w:r>
      <w:r>
        <w:t>recta. Dado el exceso de oferta de trabajadores, la indefensión de los empleados cr</w:t>
      </w:r>
      <w:r>
        <w:t>e</w:t>
      </w:r>
      <w:r>
        <w:t>ce, por lo que las mujeres no se atreven a recurrir a los medios judiciales, ni siquiera los actualmente vigentes, por miedo a perder su trabajo.</w:t>
      </w:r>
    </w:p>
    <w:p w:rsidR="00000000" w:rsidRDefault="00000000">
      <w:pPr>
        <w:pStyle w:val="SingleTxt"/>
      </w:pPr>
      <w:r>
        <w:tab/>
        <w:t>Hungría, en el programa nacional de asistencia para la igualdad, invierte una considerable suma en la mejora de las instituciones laborales, que incluye por una parte la garantía del disfrute de los derechos (mecanismo de control, mecanismo administrativo, procedimientos de apelación), y por otra parte la preparación prof</w:t>
      </w:r>
      <w:r>
        <w:t>e</w:t>
      </w:r>
      <w:r>
        <w:t>sional de tribunales y órganos de supervisión del empleo. El centro de la supervisión del empleo, la Junta Nacional de Supervisión del Empleo y de la Seguridad en el Empleo se preparará de manera que en el futuro pueda hacer un seguimiento de la observación de la legislación sobre la igualdad de oportunidades en la práctica y no se limite a tramitar las quejas que se presenten. Para alcanzar la igualdad de oport</w:t>
      </w:r>
      <w:r>
        <w:t>u</w:t>
      </w:r>
      <w:r>
        <w:t>nidades en la práctica es necesario, además de adoptar la legislación comunitaria pertinente, modificar también los enfoques y los valores sociales. Es necesario ta</w:t>
      </w:r>
      <w:r>
        <w:t>m</w:t>
      </w:r>
      <w:r>
        <w:t>bién formar a los expertos (abogados, jueces) para ocuparse de cuestiones relativas a la igualdad de oportunidades. Esos programas se pusieron en marcha en 1999.</w:t>
      </w:r>
    </w:p>
    <w:p w:rsidR="00000000" w:rsidRDefault="00000000">
      <w:pPr>
        <w:pStyle w:val="SingleTxt"/>
      </w:pPr>
      <w:r>
        <w:tab/>
        <w:t>En comparación con los países de Europa occidental, las formas flexibles de empleo aún no se han generalizado en Hungría. Esas formas de empleo podrían ev</w:t>
      </w:r>
      <w:r>
        <w:t>i</w:t>
      </w:r>
      <w:r>
        <w:t>tar que los progenitores que se dedican a cuidar de sus hijos se aparten del mercado de trabajo durante un largo período y que quizás se vean obligados a renunciar a su carr</w:t>
      </w:r>
      <w:r>
        <w:t>e</w:t>
      </w:r>
      <w:r>
        <w:t xml:space="preserve">ra. </w:t>
      </w:r>
    </w:p>
    <w:p w:rsidR="00000000" w:rsidRDefault="00000000">
      <w:pPr>
        <w:pStyle w:val="SingleTxt"/>
      </w:pPr>
      <w:r>
        <w:tab/>
        <w:t>El Ministerio de Asuntos Sociales y de la Familia instituyó el Premio para los centros de trabajo favorables a la familia por el que compiten empresas grandes, p</w:t>
      </w:r>
      <w:r>
        <w:t>e</w:t>
      </w:r>
      <w:r>
        <w:t>queñas y medianas y que quiere servir para apoyar los esfuerzos y la adopción de medidas hacia el empleo favorable a las familias. Esos esfuerzos pueden ser, por ejemplo, el que el empleador mantenga o apoye instituciones que se ocupen del cu</w:t>
      </w:r>
      <w:r>
        <w:t>i</w:t>
      </w:r>
      <w:r>
        <w:t>dado de los hijos de los empleados, el que ofrezca jornadas partidas, flexibles o e</w:t>
      </w:r>
      <w:r>
        <w:t>m</w:t>
      </w:r>
      <w:r>
        <w:t>pleos a tiempo parcial, o que ofrezca cursos de formación que ayuden a volver al trabajo a las mujeres que se han dedicado al cuidado de sus hijos.</w:t>
      </w:r>
    </w:p>
    <w:p w:rsidR="00000000" w:rsidRDefault="00000000">
      <w:pPr>
        <w:pStyle w:val="SingleTxt"/>
      </w:pPr>
      <w:r>
        <w:tab/>
        <w:t>El caso de discriminación contra la mujer al solicitar empleo que se resolvió con éxito en 1998 con el apoyo de la Oficina para la igualdad de oportunidades, s</w:t>
      </w:r>
      <w:r>
        <w:t>u</w:t>
      </w:r>
      <w:r>
        <w:t>giere el camino del futuro. Sin embargo, la discriminación de la mujer en la práctica se aplica habitualmente entre los solicitantes de puestos vacantes.</w:t>
      </w:r>
    </w:p>
    <w:p w:rsidR="00000000" w:rsidRDefault="00000000">
      <w:pPr>
        <w:pStyle w:val="SingleTxt"/>
      </w:pPr>
      <w:r>
        <w:tab/>
        <w:t>En las directivas comunitarias se hace hincapié en la necesidad de proporci</w:t>
      </w:r>
      <w:r>
        <w:t>o</w:t>
      </w:r>
      <w:r>
        <w:t>nar a empleados y empleadores información suficiente sobre los requisitos que co</w:t>
      </w:r>
      <w:r>
        <w:t>n</w:t>
      </w:r>
      <w:r>
        <w:t>ducen a la igualdad de trato. Con ese fin, el Gobierno desempeña una función activa en lo que se refiere a la obligación de informar. La Oficina de Asuntos de la Mujer instituyó un servicio telefónico gratuito de asistencia jurídica al que se puede llamar de las 10.00 horas a las 20.00 horas para evitar y resolver la discriminación en el trabajo. En el servicio se reciben entre 10 y 20 llamadas al día. La Oficina de Asuntos de la Mujer publicó con ese fin un folleto informativo en 1999: “medidas contra las actuaciones perjudiciales del empleador”.</w:t>
      </w:r>
    </w:p>
    <w:p w:rsidR="00000000" w:rsidRDefault="00000000">
      <w:pPr>
        <w:pStyle w:val="SingleTxt"/>
      </w:pPr>
      <w:r>
        <w:tab/>
        <w:t>Parte del disfrute de la igualdad de oportunidades en el empleo está en el des</w:t>
      </w:r>
      <w:r>
        <w:t>a</w:t>
      </w:r>
      <w:r>
        <w:t>rrollo de un sistema eficaz de reintegración al mercado de trabajo, en primer lugar mediante la capacitación y la actualización, de los empleados que se hayan apartado de su trabajo por períodos más o menos largos.</w:t>
      </w:r>
    </w:p>
    <w:p w:rsidR="00000000" w:rsidRDefault="00000000">
      <w:pPr>
        <w:pStyle w:val="SingleTxt"/>
      </w:pPr>
      <w:r>
        <w:tab/>
        <w:t>La aplicación generalizada de formas flexibles de empleo y el trabajo en casa es inevitable, tanto para los hombres como para las mujeres, para hacer posible la armonización del empleo remunerado y las obligaciones familiares. En 1999 la Of</w:t>
      </w:r>
      <w:r>
        <w:t>i</w:t>
      </w:r>
      <w:r>
        <w:t>cina de Asuntos de la Mujer organizó dos cursos prácticos de debate con la partic</w:t>
      </w:r>
      <w:r>
        <w:t>i</w:t>
      </w:r>
      <w:r>
        <w:t>pación de otros ministerios y asociados sociales para difundir las experiencias de la Unión Europea. El Ministerio de Trabajo y Asuntos Sociales de los Países Bajos, en cooperación con el Ministerio de Asuntos Sociales y de la Familia de Hungría, p</w:t>
      </w:r>
      <w:r>
        <w:t>u</w:t>
      </w:r>
      <w:r>
        <w:t>sieron en marcha un proyecto común en diciembre de 1999 para difundir la idea del empleo a tiempo parcial en Hungría. Se están examinando los aspectos jurídicos, impositivos y de seguridad social y la función de los órganos competentes en la e</w:t>
      </w:r>
      <w:r>
        <w:t>s</w:t>
      </w:r>
      <w:r>
        <w:t>fera del trabajo. Entre las organizaciones colaboradoras figuran la Dirección de E</w:t>
      </w:r>
      <w:r>
        <w:t>m</w:t>
      </w:r>
      <w:r>
        <w:t>pleo, el Mini</w:t>
      </w:r>
      <w:r>
        <w:t>s</w:t>
      </w:r>
      <w:r>
        <w:t>terio de Finanzas y el Ministerio de Economía.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Derechos del niño</w:t>
      </w:r>
    </w:p>
    <w:p w:rsidR="00000000" w:rsidRDefault="00000000">
      <w:pPr>
        <w:pStyle w:val="SingleTxt"/>
        <w:spacing w:after="0" w:line="120" w:lineRule="exact"/>
        <w:rPr>
          <w:sz w:val="10"/>
        </w:rPr>
      </w:pPr>
    </w:p>
    <w:p w:rsidR="00000000" w:rsidRDefault="00000000">
      <w:pPr>
        <w:pStyle w:val="SingleTxt"/>
      </w:pPr>
      <w:r>
        <w:tab/>
        <w:t>Cabe mencionar la Ley LXIV de 1991 por la que se promulgaba la Convención sobre los derechos del niño, concluida en Nueva York el 20 de noviembre de 1989. En el artículo 24 de la Convención se especifica la  siguiente obligación de los Est</w:t>
      </w:r>
      <w:r>
        <w:t>a</w:t>
      </w:r>
      <w:r>
        <w:t xml:space="preserve">dos partes: </w:t>
      </w:r>
    </w:p>
    <w:p w:rsidR="00000000" w:rsidRDefault="00000000">
      <w:pPr>
        <w:pStyle w:val="SingleTxt"/>
      </w:pPr>
      <w:r>
        <w:tab/>
        <w:t>Los Estados partes aseguraran la plena aplicación de este derecho y, en part</w:t>
      </w:r>
      <w:r>
        <w:t>i</w:t>
      </w:r>
      <w:r>
        <w:t>cular, adoptarán las medidas apr</w:t>
      </w:r>
      <w:r>
        <w:t>o</w:t>
      </w:r>
      <w:r>
        <w:t xml:space="preserve">piadas para : </w:t>
      </w:r>
    </w:p>
    <w:p w:rsidR="00000000" w:rsidRDefault="00000000">
      <w:pPr>
        <w:pStyle w:val="SingleTxt"/>
        <w:ind w:left="2218" w:hanging="951"/>
      </w:pPr>
      <w:r>
        <w:tab/>
        <w:t>“e)</w:t>
      </w:r>
      <w:r>
        <w:tab/>
        <w:t>Asegurar que todos los sectores de la sociedad, y en particular los padres y los niños, conozcan los principios básicos de la salud y la nutrición de los niños, las ventajas de la lactancia materna, la higiene y el sane</w:t>
      </w:r>
      <w:r>
        <w:t>a</w:t>
      </w:r>
      <w:r>
        <w:t>miento ambiental y las medidas de prevención de accidentes …;</w:t>
      </w:r>
    </w:p>
    <w:p w:rsidR="00000000" w:rsidRDefault="00000000">
      <w:pPr>
        <w:pStyle w:val="SingleTxt"/>
        <w:ind w:left="2218" w:hanging="951"/>
      </w:pPr>
      <w:r>
        <w:tab/>
        <w:t>f)</w:t>
      </w:r>
      <w:r>
        <w:tab/>
        <w:t>Desarrollar la atención sanitaria preventiva, la orientación a los padres y la educación y serv</w:t>
      </w:r>
      <w:r>
        <w:t>i</w:t>
      </w:r>
      <w:r>
        <w:t>cios en materia de planificación de la familia.”</w:t>
      </w:r>
    </w:p>
    <w:p w:rsidR="00000000" w:rsidRDefault="00000000">
      <w:pPr>
        <w:pStyle w:val="SingleTxt"/>
      </w:pPr>
      <w:r>
        <w:tab/>
        <w:t>Por lo tanto, la preparación para la lactancia materna se menciona varias veces en esas leyes. Además, la red de visitadores de salud y de organizaciones no gube</w:t>
      </w:r>
      <w:r>
        <w:t>r</w:t>
      </w:r>
      <w:r>
        <w:t>namentales ayudan con campañas para difundir la lactancia materna. En los últ</w:t>
      </w:r>
      <w:r>
        <w:t>i</w:t>
      </w:r>
      <w:r>
        <w:t>mos años, el número de mujeres que amamantan a sus hijos ha aumentado de forma i</w:t>
      </w:r>
      <w:r>
        <w:t>m</w:t>
      </w:r>
      <w:r>
        <w:t xml:space="preserve">portante. </w:t>
      </w:r>
    </w:p>
    <w:p w:rsidR="00000000" w:rsidRDefault="00000000">
      <w:pPr>
        <w:pStyle w:val="SingleTxt"/>
      </w:pPr>
      <w:r>
        <w:tab/>
        <w:t>En la República de Hungría no hay obstáculos jurídicos ni culturales para que la mujer participe en la atención de la salud, incluida la planificación de la familia. No es necesaria la autorización del marido (ni en virtud de la ley ni en la práctica) para que una mujer participe en el cuidado de la salud.</w:t>
      </w:r>
    </w:p>
    <w:p w:rsidR="00000000" w:rsidRDefault="00000000">
      <w:pPr>
        <w:pStyle w:val="SingleTxt"/>
      </w:pPr>
      <w:r>
        <w:tab/>
        <w:t>Cabe destacar en esa esfera los servicios de los visitadores de salud, una inst</w:t>
      </w:r>
      <w:r>
        <w:t>i</w:t>
      </w:r>
      <w:r>
        <w:t>tución peculiar de Hungría. El cuidado de los visitadores de salud consiste en la v</w:t>
      </w:r>
      <w:r>
        <w:t>a</w:t>
      </w:r>
      <w:r>
        <w:t>riedad de métodos que ayudan a desarrollar y mejorar la capacidad y disposición de individuos, familias y comunidades para preservar y restaurar la salud y evitar la e</w:t>
      </w:r>
      <w:r>
        <w:t>n</w:t>
      </w:r>
      <w:r>
        <w:t>fermedad, especialmente en lo que se refiere a la familia, las mujeres, las madres, los n</w:t>
      </w:r>
      <w:r>
        <w:t>i</w:t>
      </w:r>
      <w:r>
        <w:t>ños pequeños y la protección de los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Anticonceptivos y aborto</w:t>
      </w:r>
    </w:p>
    <w:p w:rsidR="00000000" w:rsidRDefault="00000000">
      <w:pPr>
        <w:pStyle w:val="SingleTxt"/>
        <w:spacing w:after="0" w:line="120" w:lineRule="exact"/>
        <w:rPr>
          <w:sz w:val="10"/>
        </w:rPr>
      </w:pPr>
    </w:p>
    <w:p w:rsidR="00000000" w:rsidRDefault="00000000">
      <w:pPr>
        <w:pStyle w:val="SingleTxt"/>
      </w:pPr>
      <w:r>
        <w:tab/>
        <w:t>Aunque las medidas de política familiar del decenio de 1980, y especialmente la Ley de protección de la vida fetal de 1992, mejoraron la situación, el número de abortos es todavía demasiado alto, especialmente cuando se compara con los nac</w:t>
      </w:r>
      <w:r>
        <w:t>i</w:t>
      </w:r>
      <w:r>
        <w:t>mientos de hijos vivos.</w:t>
      </w:r>
    </w:p>
    <w:p w:rsidR="00000000" w:rsidRDefault="00000000">
      <w:pPr>
        <w:pStyle w:val="SingleTxt"/>
      </w:pPr>
      <w:r>
        <w:tab/>
        <w:t>La interpretación moderna del estilo de vida incluye la planificación de la f</w:t>
      </w:r>
      <w:r>
        <w:t>a</w:t>
      </w:r>
      <w:r>
        <w:t>milia, los anticonceptivos y el control de la natalidad. En la primera mitad del dec</w:t>
      </w:r>
      <w:r>
        <w:t>e</w:t>
      </w:r>
      <w:r>
        <w:t>nio de 1990 casi tres cuartas partes de las mujeres de edades comprendidas entre los 19 y los 41 años casadas o viviendo en parejas de hecho utilizaron los anticoncept</w:t>
      </w:r>
      <w:r>
        <w:t>i</w:t>
      </w:r>
      <w:r>
        <w:t>vos. En 1998, se provocaron 27 abortos por cada mil mujeres de edades comprend</w:t>
      </w:r>
      <w:r>
        <w:t>i</w:t>
      </w:r>
      <w:r>
        <w:t>das entre los 15 y 49 años, con una tasa de 71 a 100 nacidos vivos. El 37,7% de las mujeres de edades comprendidas entre los 19 y los 41 años utilizó anticonceptivos orales, el 17 % dispositivos intrauterinos, el 8% condones, el 6% el coitus interru</w:t>
      </w:r>
      <w:r>
        <w:t>p</w:t>
      </w:r>
      <w:r>
        <w:t>tus, el 3 % la abstinencia periódica, el 0,6 % el método del calendario y el 2 % otros métodos.</w:t>
      </w:r>
    </w:p>
    <w:p w:rsidR="00000000" w:rsidRDefault="00000000">
      <w:pPr>
        <w:pStyle w:val="SingleTxt"/>
      </w:pPr>
      <w:r>
        <w:tab/>
        <w:t>Las normas más importantes sobre el aborto figuran en el la Ley LXXIX de 1992 de protección de la vida fetal y en la orden No. 32/1992 (XII. 23.) NM del M</w:t>
      </w:r>
      <w:r>
        <w:t>i</w:t>
      </w:r>
      <w:r>
        <w:t>nisterio de Bienestar sobre su aplicación.</w:t>
      </w:r>
    </w:p>
    <w:p w:rsidR="00000000" w:rsidRDefault="00000000">
      <w:pPr>
        <w:pStyle w:val="SingleTxt"/>
      </w:pPr>
      <w:r>
        <w:tab/>
        <w:t>Párrafo 5. El embarazo podrá interrumpirse únicamente en caso de peligro en las condiciones establecidas en la presente ley .</w:t>
      </w:r>
    </w:p>
    <w:p w:rsidR="00000000" w:rsidRDefault="00000000">
      <w:pPr>
        <w:pStyle w:val="SingleTxt"/>
      </w:pPr>
      <w:r>
        <w:tab/>
        <w:t>Párrafo 6 del artículo 1. Podrá interrumpirse el embarazo antes de la duodéc</w:t>
      </w:r>
      <w:r>
        <w:t>i</w:t>
      </w:r>
      <w:r>
        <w:t>ma semana siempre que :</w:t>
      </w:r>
    </w:p>
    <w:p w:rsidR="00000000" w:rsidRDefault="00000000">
      <w:pPr>
        <w:pStyle w:val="SingleTxt"/>
        <w:ind w:left="2218" w:hanging="951"/>
      </w:pPr>
      <w:r>
        <w:tab/>
        <w:t>a)</w:t>
      </w:r>
      <w:r>
        <w:tab/>
        <w:t>Esté justificado por un motivo que ponga en grave peligro la salud de la mujer embarazada;</w:t>
      </w:r>
    </w:p>
    <w:p w:rsidR="00000000" w:rsidRDefault="00000000">
      <w:pPr>
        <w:pStyle w:val="SingleTxt"/>
        <w:ind w:left="2218" w:hanging="951"/>
      </w:pPr>
      <w:r>
        <w:tab/>
        <w:t>b)</w:t>
      </w:r>
      <w:r>
        <w:tab/>
        <w:t>Haya una probabilidad médica de que el feto sufra una deficiencia grave u otra lesión;</w:t>
      </w:r>
    </w:p>
    <w:p w:rsidR="00000000" w:rsidRDefault="00000000">
      <w:pPr>
        <w:pStyle w:val="SingleTxt"/>
        <w:ind w:left="2218" w:hanging="951"/>
      </w:pPr>
      <w:r>
        <w:tab/>
        <w:t>c)</w:t>
      </w:r>
      <w:r>
        <w:tab/>
        <w:t>El embarazo sea consecuencia de un delito; o</w:t>
      </w:r>
    </w:p>
    <w:p w:rsidR="00000000" w:rsidRDefault="00000000">
      <w:pPr>
        <w:pStyle w:val="SingleTxt"/>
        <w:ind w:left="2218" w:hanging="951"/>
      </w:pPr>
      <w:r>
        <w:tab/>
        <w:t>d)</w:t>
      </w:r>
      <w:r>
        <w:tab/>
        <w:t>La mujer embarazada se encuentre en una crisis grave.</w:t>
      </w:r>
    </w:p>
    <w:p w:rsidR="00000000" w:rsidRDefault="00000000">
      <w:pPr>
        <w:pStyle w:val="SingleTxt"/>
      </w:pPr>
      <w:r>
        <w:tab/>
        <w:t>El Fondo del Seguro de Salud sufraga el coste del aborto siempre que se real</w:t>
      </w:r>
      <w:r>
        <w:t>i</w:t>
      </w:r>
      <w:r>
        <w:t>ce por motivos médicos relacionados con la madre embarazada asegurada o el feto (párrafo 1 del artículo 16 de la Ley LXXIX de 1992). En otros casos, sin embargo, será necesario pagar una tasa. La orden No. 32/1992 (XII.23.)NM del Ministerio de Bienestar sobre la aplicación de la Ley LXXIX de 1992 de protección de la vida f</w:t>
      </w:r>
      <w:r>
        <w:t>e</w:t>
      </w:r>
      <w:r>
        <w:t>tal hace posible, no obstante, que las m</w:t>
      </w:r>
      <w:r>
        <w:t>u</w:t>
      </w:r>
      <w:r>
        <w:t>jeres pobres paguen una tasa reducida.</w:t>
      </w:r>
    </w:p>
    <w:p w:rsidR="00000000" w:rsidRDefault="00000000">
      <w:pPr>
        <w:pStyle w:val="SingleTxt"/>
      </w:pPr>
      <w:r>
        <w:tab/>
        <w:t>Los subsidios del seguro de salud tienen por objeto mejorar la situación de la mujer embarazada. Alientan a las mujeres a tener hijos y seguir adelante con el feto conceb</w:t>
      </w:r>
      <w:r>
        <w:t>i</w:t>
      </w:r>
      <w:r>
        <w:t xml:space="preserve">do. </w:t>
      </w:r>
    </w:p>
    <w:p w:rsidR="00000000" w:rsidRDefault="00000000">
      <w:pPr>
        <w:pStyle w:val="SingleTxt"/>
      </w:pPr>
      <w:r>
        <w:tab/>
        <w:t>Se espera una renovación de los debates puesto que el Tribunal Constitucional, en una decisión fechada el 23 de noviembre de 1998, anuló con efectos a partir del 30 de junio de 2000 el párrafo que contiene la noción de “crisis grave” en la Ley de protección de la vida fetal. En virtud de esa Ley actualmente en vigor el aborto tiene diferentes motivos según lo avanzado del embarazo. Así pues, hasta la duodécima semana una “crisis grave” de la mujer embarazada es base legal suficiente para el aborto. Según la decisión del Tribunal Constitucional, que aún reconoce tan sólo una entidad jurídica limitada al feto, teniendo en cuenta el derecho de la mujer a la aut</w:t>
      </w:r>
      <w:r>
        <w:t>o</w:t>
      </w:r>
      <w:r>
        <w:t>determinación, a la vida y a la salud, una crisis grave constituye un motivo constit</w:t>
      </w:r>
      <w:r>
        <w:t>u</w:t>
      </w:r>
      <w:r>
        <w:t>cionalmente aceptable. Sin embargo, su definición y las condiciones de aplicación sólo podrán regularse en una ley y , en el curso de su regulación, se tendrá en cuenta también la obligación del Estado de proteger la nueva vida, puesto que el derecho a la vida se aplica también al feto.</w:t>
      </w:r>
    </w:p>
    <w:p w:rsidR="00000000" w:rsidRDefault="00000000">
      <w:pPr>
        <w:pStyle w:val="SingleTxt"/>
      </w:pPr>
      <w:r>
        <w:tab/>
        <w:t>De la práctica jurídica de los distintos países no se desprende una conexión d</w:t>
      </w:r>
      <w:r>
        <w:t>i</w:t>
      </w:r>
      <w:r>
        <w:t>recta de causalidad entre la permisividad o rigidez de la normativa sobre el aborto y la frecuencia de los abortos. Las diferencias entre Europa occidental y oriental en cuanto a la aplicación del aborto provocado pueden atribuirse a las diferencias en el pasado histórico y cultural y el desarrollo de las dos regiones. En la mayoría de los antiguos países socialistas se puso en marcha desde el decenio de 1960 un sistema muy liberal que, sin embargo, no iba acompañado de una educación médica o sexual ni de la oferta o el acceso a los anticonceptivos modernos. En consecuencia, en caso de embarazo no deseado las mujeres recurrían cada vez con más frecuencia al aborto provocado, con lo que se convirtió en un medio generalizado y aceptado de control de la natalidad.</w:t>
      </w:r>
    </w:p>
    <w:p w:rsidR="00000000" w:rsidRDefault="00000000">
      <w:pPr>
        <w:pStyle w:val="SingleTxt"/>
      </w:pPr>
      <w:r>
        <w:tab/>
        <w:t>Deberes ineludibles:</w:t>
      </w:r>
    </w:p>
    <w:p w:rsidR="00000000" w:rsidRDefault="00000000">
      <w:pPr>
        <w:pStyle w:val="SingleTxt"/>
        <w:tabs>
          <w:tab w:val="right" w:pos="1685"/>
        </w:tabs>
        <w:ind w:left="1742" w:hanging="475"/>
      </w:pPr>
      <w:r>
        <w:tab/>
        <w:t>–</w:t>
      </w:r>
      <w:r>
        <w:tab/>
        <w:t>Difundir la importancia del desarrollo de una actitud y un comportamiento por los que se reconozca y e</w:t>
      </w:r>
      <w:r>
        <w:t>n</w:t>
      </w:r>
      <w:r>
        <w:t>tienda el valor de la vida y su respeto;</w:t>
      </w:r>
    </w:p>
    <w:p w:rsidR="00000000" w:rsidRDefault="00000000">
      <w:pPr>
        <w:pStyle w:val="SingleTxt"/>
        <w:tabs>
          <w:tab w:val="right" w:pos="1685"/>
        </w:tabs>
        <w:ind w:left="1742" w:hanging="475"/>
      </w:pPr>
      <w:r>
        <w:tab/>
        <w:t>–</w:t>
      </w:r>
      <w:r>
        <w:tab/>
        <w:t>Promover la planificación de la familia, es decir la planificación libre y re</w:t>
      </w:r>
      <w:r>
        <w:t>s</w:t>
      </w:r>
      <w:r>
        <w:t>ponsable de los hijos en el momento deseado y en un número que permita g</w:t>
      </w:r>
      <w:r>
        <w:t>a</w:t>
      </w:r>
      <w:r>
        <w:t>rantizar su salud óptima;</w:t>
      </w:r>
    </w:p>
    <w:p w:rsidR="00000000" w:rsidRDefault="00000000">
      <w:pPr>
        <w:pStyle w:val="SingleTxt"/>
        <w:tabs>
          <w:tab w:val="right" w:pos="1685"/>
        </w:tabs>
        <w:ind w:left="1742" w:hanging="475"/>
      </w:pPr>
      <w:r>
        <w:tab/>
        <w:t>–</w:t>
      </w:r>
      <w:r>
        <w:tab/>
        <w:t>Difundir la denominada planificación negativa de la familia, es decir encontrar y aplicar métodos eficaces e individualizados de contracepción en el período de a</w:t>
      </w:r>
      <w:r>
        <w:t>c</w:t>
      </w:r>
      <w:r>
        <w:t>tividad sexual;</w:t>
      </w:r>
    </w:p>
    <w:p w:rsidR="00000000" w:rsidRDefault="00000000">
      <w:pPr>
        <w:pStyle w:val="SingleTxt"/>
        <w:tabs>
          <w:tab w:val="right" w:pos="1685"/>
        </w:tabs>
        <w:ind w:left="1742" w:hanging="475"/>
      </w:pPr>
      <w:r>
        <w:tab/>
        <w:t>–</w:t>
      </w:r>
      <w:r>
        <w:tab/>
        <w:t>Difundir la importancia de la educación médica, con especial atención a las nuevas generaciones;</w:t>
      </w:r>
    </w:p>
    <w:p w:rsidR="00000000" w:rsidRDefault="00000000">
      <w:pPr>
        <w:pStyle w:val="SingleTxt"/>
        <w:tabs>
          <w:tab w:val="right" w:pos="1685"/>
        </w:tabs>
        <w:ind w:left="1742" w:hanging="475"/>
      </w:pPr>
      <w:r>
        <w:tab/>
        <w:t>–</w:t>
      </w:r>
      <w:r>
        <w:tab/>
        <w:t>Fomentar la cultura de los anticonceptivos y la garantía del acceso a esos ant</w:t>
      </w:r>
      <w:r>
        <w:t>i</w:t>
      </w:r>
      <w:r>
        <w:t>conceptivos y la difusión de sus técnicas;</w:t>
      </w:r>
    </w:p>
    <w:p w:rsidR="00000000" w:rsidRDefault="00000000">
      <w:pPr>
        <w:pStyle w:val="SingleTxt"/>
        <w:tabs>
          <w:tab w:val="right" w:pos="1685"/>
        </w:tabs>
        <w:ind w:left="1742" w:hanging="475"/>
      </w:pPr>
      <w:r>
        <w:tab/>
        <w:t>–</w:t>
      </w:r>
      <w:r>
        <w:tab/>
        <w:t>Poner fin a la indefensión de la mujer;</w:t>
      </w:r>
    </w:p>
    <w:p w:rsidR="00000000" w:rsidRDefault="00000000">
      <w:pPr>
        <w:pStyle w:val="SingleTxt"/>
        <w:tabs>
          <w:tab w:val="right" w:pos="1685"/>
        </w:tabs>
        <w:ind w:left="1742" w:hanging="475"/>
      </w:pPr>
      <w:r>
        <w:tab/>
        <w:t>–</w:t>
      </w:r>
      <w:r>
        <w:tab/>
        <w:t>Procurar que los hombres participen en los problemas de los anticonceptivos, del aborto, el embarazo y la planificación de la familia.</w:t>
      </w:r>
    </w:p>
    <w:p w:rsidR="00000000" w:rsidRDefault="00000000">
      <w:pPr>
        <w:pStyle w:val="SingleTxt"/>
        <w:keepNext/>
        <w:keepLines/>
      </w:pPr>
      <w:r>
        <w:tab/>
        <w:t>Afortunadamente, en los últimos años el número y la tasa de abortos provoc</w:t>
      </w:r>
      <w:r>
        <w:t>a</w:t>
      </w:r>
      <w:r>
        <w:t>dos ha descendido en Hungría, aunque los 27 abortos por mil mujeres en edad de concebir son aún una cifra alta en comparación con Europa occidental. Otra tende</w:t>
      </w:r>
      <w:r>
        <w:t>n</w:t>
      </w:r>
      <w:r>
        <w:t>cia desfavorable es la frecuencia de abortos entre las mujeres jóvenes sin hijos, ya que el aborto por operación entraña más riesgos en el caso de mujeres jóvenes y la interrupción del primer embarazo aumenta los riesgos (nacimiento prematuro, infe</w:t>
      </w:r>
      <w:r>
        <w:t>r</w:t>
      </w:r>
      <w:r>
        <w:t>tilidad secundaria) para t</w:t>
      </w:r>
      <w:r>
        <w:t>e</w:t>
      </w:r>
      <w:r>
        <w:t>ner hijos más tarde.</w:t>
      </w:r>
    </w:p>
    <w:p w:rsidR="00000000" w:rsidRDefault="00000000">
      <w:pPr>
        <w:pStyle w:val="SingleTxt"/>
      </w:pPr>
      <w:r>
        <w:tab/>
        <w:t>Los riesgos y las consecuencias del aborto no se conocen suficientemente y en la mayoría de los casos las mujeres sufren por ello. Es necesario dar a conocer mejor los métodos anticonceptivos modernos, especialmente entre las muchachas adole</w:t>
      </w:r>
      <w:r>
        <w:t>s</w:t>
      </w:r>
      <w:r>
        <w:t>centes, que se encuentran bastante solas en ese aspecto. Una proporción consider</w:t>
      </w:r>
      <w:r>
        <w:t>a</w:t>
      </w:r>
      <w:r>
        <w:t>ble de mujeres opina que los hombres se inhiben de los inconvenientes del proced</w:t>
      </w:r>
      <w:r>
        <w:t>i</w:t>
      </w:r>
      <w:r>
        <w:t>miento del aborto y que la carga recae sobre las mujeres.</w:t>
      </w:r>
    </w:p>
    <w:p w:rsidR="00000000" w:rsidRDefault="00000000">
      <w:pPr>
        <w:pStyle w:val="SingleTxt"/>
      </w:pPr>
      <w:r>
        <w:tab/>
        <w:t>Resulta extremadamente interesante que hoy día, cuando el requisito de info</w:t>
      </w:r>
      <w:r>
        <w:t>r</w:t>
      </w:r>
      <w:r>
        <w:t>mar a los pacientes (como uno de los derechos más importantes de los pacientes) se subraya en los foros más dispares, los que están a favor del “aborto” sin restricci</w:t>
      </w:r>
      <w:r>
        <w:t>o</w:t>
      </w:r>
      <w:r>
        <w:t>nes pretenden discriminar a la mujer en ese contexto al ocultar información sobre los peligros del aborto.</w:t>
      </w:r>
    </w:p>
    <w:p w:rsidR="00000000" w:rsidRDefault="00000000">
      <w:pPr>
        <w:pStyle w:val="SingleTxt"/>
      </w:pPr>
      <w:r>
        <w:tab/>
        <w:t>Según algunas opiniones, sin embargo, para avanzar es necesario también r</w:t>
      </w:r>
      <w:r>
        <w:t>e</w:t>
      </w:r>
      <w:r>
        <w:t>solver los problemas que presentan los anticonceptivos para los que viven en una situación socialmente desfavorecida. La educación en sí misma no es suficiente, es necesario reducir el precio de los anticonce</w:t>
      </w:r>
      <w:r>
        <w:t>p</w:t>
      </w:r>
      <w:r>
        <w:t>tivos o subvencionarlos.</w:t>
      </w:r>
    </w:p>
    <w:p w:rsidR="00000000" w:rsidRDefault="00000000">
      <w:pPr>
        <w:pStyle w:val="SingleTxt"/>
      </w:pPr>
      <w:r>
        <w:tab/>
        <w:t>Aunque no se hace dentro del plan de estudios, en las escuelas se imparte ed</w:t>
      </w:r>
      <w:r>
        <w:t>u</w:t>
      </w:r>
      <w:r>
        <w:t>cación sexual. Según los planes del Gobierno, la educación relativa a unas relaci</w:t>
      </w:r>
      <w:r>
        <w:t>o</w:t>
      </w:r>
      <w:r>
        <w:t>nes humanas saludables y a la vida sexual, incluido el control de natalidad, se intr</w:t>
      </w:r>
      <w:r>
        <w:t>o</w:t>
      </w:r>
      <w:r>
        <w:t>ducirán en los planes de estudios en el contexto de la educación sanitaria.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Atención de la salud, exámenes preventivos</w:t>
      </w:r>
    </w:p>
    <w:p w:rsidR="00000000" w:rsidRDefault="00000000">
      <w:pPr>
        <w:pStyle w:val="SingleTxt"/>
        <w:spacing w:after="0" w:line="120" w:lineRule="exact"/>
        <w:rPr>
          <w:sz w:val="10"/>
        </w:rPr>
      </w:pPr>
    </w:p>
    <w:p w:rsidR="00000000" w:rsidRDefault="00000000">
      <w:pPr>
        <w:pStyle w:val="SingleTxt"/>
      </w:pPr>
      <w:r>
        <w:tab/>
        <w:t>Los cuidados especiales de la salud de las mujeres, es decir, la atención gin</w:t>
      </w:r>
      <w:r>
        <w:t>e</w:t>
      </w:r>
      <w:r>
        <w:t>cológica en régimen hospitalario u ambulatorio, la atención obstétrica, la atención a las mujeres embarazadas, así como los servicios de los visitadores de salud, están f</w:t>
      </w:r>
      <w:r>
        <w:t>i</w:t>
      </w:r>
      <w:r>
        <w:t>nanciados por la Junta Nacional del Seguro de Salud. Aunque no existe un pres</w:t>
      </w:r>
      <w:r>
        <w:t>u</w:t>
      </w:r>
      <w:r>
        <w:t>puesto separado para el asesoramiento en materia de protección de la familia y la mujer, de hecho es gratuito en la práctica.</w:t>
      </w:r>
    </w:p>
    <w:p w:rsidR="00000000" w:rsidRDefault="00000000">
      <w:pPr>
        <w:pStyle w:val="SingleTxt"/>
      </w:pPr>
      <w:r>
        <w:tab/>
        <w:t>En nuestro sistema de atención de la salud se tienen también en cuenta las n</w:t>
      </w:r>
      <w:r>
        <w:t>e</w:t>
      </w:r>
      <w:r>
        <w:t>cesidades especiales de la mujer. La red de protección de los niños y de la familia está destinada a ello. Se han creado departamentos para el tratamiento ambulatorio de las adolescentes y departamentos para el tratamiento ambulatorio de las mujeres en la men</w:t>
      </w:r>
      <w:r>
        <w:t>o</w:t>
      </w:r>
      <w:r>
        <w:t>pausia.</w:t>
      </w:r>
    </w:p>
    <w:p w:rsidR="00000000" w:rsidRDefault="00000000">
      <w:pPr>
        <w:pStyle w:val="SingleTxt"/>
      </w:pPr>
      <w:r>
        <w:tab/>
        <w:t>Cada vez se centra más la atención en la detección precoz, la prevención y la cura de la osteoporosis. De la detección del cáncer se ocupan los ginecólogos.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Tabaquismo</w:t>
      </w:r>
    </w:p>
    <w:p w:rsidR="00000000" w:rsidRDefault="00000000">
      <w:pPr>
        <w:pStyle w:val="SingleTxt"/>
        <w:spacing w:after="0" w:line="120" w:lineRule="exact"/>
        <w:rPr>
          <w:sz w:val="10"/>
        </w:rPr>
      </w:pPr>
    </w:p>
    <w:p w:rsidR="00000000" w:rsidRDefault="00000000">
      <w:pPr>
        <w:pStyle w:val="SingleTxt"/>
      </w:pPr>
      <w:r>
        <w:tab/>
        <w:t>El tabaquismo es probablemente el factor de riesgo más importante en la mo</w:t>
      </w:r>
      <w:r>
        <w:t>r</w:t>
      </w:r>
      <w:r>
        <w:t>talidad. Provoca cáncer de pulmón y desempeña un papel importante en el desarrollo de las enfermedades coronarias y la bronquitis crónica. En Hungría, en la primera mitad del decenio de 1990, casi el 17% de la mortalidad total guardaba relación con el tabaquismo; la proporción era del 25% para los hombres y el 9% para las mujeres. Hace diez años, el 22% de las mujeres fumaba, el aumento de la tasa de mujeres que fuman, que es una tendencia general en Europa, ha sido del 5% desde mediados del decenio de 1980; en el mismo período ha descendido la proporción de hombres que fuman. La frecuencia del consumo de tabaco aumenta principalmente entre las muj</w:t>
      </w:r>
      <w:r>
        <w:t>e</w:t>
      </w:r>
      <w:r>
        <w:t>res jóvenes.</w:t>
      </w:r>
    </w:p>
    <w:p w:rsidR="00000000" w:rsidRDefault="00000000">
      <w:pPr>
        <w:pStyle w:val="SingleTxt"/>
      </w:pPr>
      <w:r>
        <w:tab/>
        <w:t>Por lo que se refiere al VIH/SIDA, Hungría se encuentra aún entre los países menos afectados. El 80% de los pacientes pertenecen a la comunidad de homos</w:t>
      </w:r>
      <w:r>
        <w:t>e</w:t>
      </w:r>
      <w:r>
        <w:t>xuales y bisexuales. Aun no se han registrado casos de transmisión de la infección por vía intravenosa. La tasa de infección e</w:t>
      </w:r>
      <w:r>
        <w:t>n</w:t>
      </w:r>
      <w:r>
        <w:t>tre las mujeres es baja, en torno al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personas que padecen el SIDA desglosado por sexo y año de regi</w:t>
      </w:r>
      <w:r>
        <w:t>s</w:t>
      </w:r>
      <w:r>
        <w:t>tro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21</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303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31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334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registradas con VIH desglosadas por sexo y año de verificación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440"/>
        <w:gridCol w:w="1260"/>
        <w:gridCol w:w="1440"/>
        <w:gridCol w:w="1200"/>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Desconocido</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|998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1999 (tercer trimestre)</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29</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9</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0</w:t>
            </w:r>
          </w:p>
        </w:tc>
        <w:tc>
          <w:tcPr>
            <w:tcW w:w="120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38</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610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87</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113</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810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Hungría la detección, el tratamiento y el control del VIH son gratuitos; el estudio necesario para los pacientes hospitalizados se realiza de forma similar a la detección mejorada del carcinoma cervical HPV. Como norma general la detección es anónima y no conlleva compensación. En la orden No. 5/1988 (V.31.) SzeM del Ministerio Social y de Salud se enumeran los casos y los colectivos en los que es obligatoria la realización de análisis para la detección del SIDA.</w:t>
      </w:r>
    </w:p>
    <w:p w:rsidR="00000000" w:rsidRDefault="00000000">
      <w:pPr>
        <w:pStyle w:val="SingleTxt"/>
        <w:rPr>
          <w:w w:val="101"/>
        </w:rPr>
      </w:pPr>
      <w:r>
        <w:rPr>
          <w:w w:val="101"/>
        </w:rPr>
        <w:tab/>
        <w:t>Se ofrece una consulta especial en los casos de embarazo y en los de prevención del embarazo mediante medicamentos. Para las embarazadas, los análisis son libres y voluntarios. No hay análisis obligatorios; la baja tasa de infección no lo ju</w:t>
      </w:r>
      <w:r>
        <w:rPr>
          <w:w w:val="101"/>
        </w:rPr>
        <w:t>s</w:t>
      </w:r>
      <w:r>
        <w:rPr>
          <w:w w:val="101"/>
        </w:rPr>
        <w:t>tifica.</w:t>
      </w:r>
    </w:p>
    <w:p w:rsidR="00000000" w:rsidRDefault="00000000">
      <w:pPr>
        <w:pStyle w:val="SingleTxt"/>
      </w:pPr>
      <w:r>
        <w:tab/>
        <w:t>Los niños recién nacidos de madres con VIH positivo están sujetas a exámenes de detección (orden No. 18/1998 (VI.3.) NM del Ministerio de Bienestar sobre la prevención de enfermedades infecciosas y epidemias).</w:t>
      </w:r>
    </w:p>
    <w:p w:rsidR="00000000" w:rsidRDefault="00000000">
      <w:pPr>
        <w:pStyle w:val="SingleTxt"/>
      </w:pPr>
      <w:r>
        <w:tab/>
        <w:t>En el anexo 1 de esa orden se dice lo siguiente sobre la descripción del SIDA: “los hijos recién nacidos de madres con VIH positivo pueden estar infectados con una probabilidad del 15% al 30% por medio del calostro, con ocasión del parto o por la lactancia, pero el riesgo se reduce sustancialmente mediante el tratamiento de la mujer embarazada infectada y de sus hijos recién nacidos con fárm</w:t>
      </w:r>
      <w:r>
        <w:t>a</w:t>
      </w:r>
      <w:r>
        <w:t>cos antivirales”.</w:t>
      </w:r>
    </w:p>
    <w:p w:rsidR="00000000" w:rsidRDefault="00000000">
      <w:pPr>
        <w:pStyle w:val="SingleTxt"/>
      </w:pPr>
      <w:r>
        <w:tab/>
        <w:t>La Comisión Nacional sobre el SIDA existe desde 1994 y su cometido es la coordinación de la política nacional sobre el SIDA y la participación en el establ</w:t>
      </w:r>
      <w:r>
        <w:t>e</w:t>
      </w:r>
      <w:r>
        <w:t>cimiento de la estrategia y las prioridades del Gobierno para impedir la difusión del SIDA. Además, la Comisión patrocina y organiza programas y proyectos profesi</w:t>
      </w:r>
      <w:r>
        <w:t>o</w:t>
      </w:r>
      <w:r>
        <w:t>nales. En su labor no sólo intervienen órganos gubernamentales, si no también org</w:t>
      </w:r>
      <w:r>
        <w:t>a</w:t>
      </w:r>
      <w:r>
        <w:t>nizaciones no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13. Prestaciones sociales y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Antecedentes jurídicos y constitucionales, iniciativas gubernamentales en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normas jurídicas en las que se establece la igualdad del hombre y la mujer en la vida social son las siguie</w:t>
      </w:r>
      <w:r>
        <w:t>n</w:t>
      </w:r>
      <w:r>
        <w:t>tes:</w:t>
      </w:r>
    </w:p>
    <w:p w:rsidR="00000000" w:rsidRDefault="00000000">
      <w:pPr>
        <w:pStyle w:val="SingleTxt"/>
      </w:pPr>
      <w:r>
        <w:tab/>
        <w:t xml:space="preserve">La Constitución. </w:t>
      </w:r>
    </w:p>
    <w:p w:rsidR="00000000" w:rsidRDefault="00000000">
      <w:pPr>
        <w:pStyle w:val="SingleTxt"/>
        <w:tabs>
          <w:tab w:val="right" w:pos="1685"/>
        </w:tabs>
        <w:ind w:left="1742" w:hanging="475"/>
      </w:pPr>
      <w:r>
        <w:tab/>
        <w:t>–</w:t>
      </w:r>
      <w:r>
        <w:tab/>
        <w:t>Párrafo 1 del artículo 66 sobre la igualdad en lo que se refiere a los derechos civiles y políticos y a los d</w:t>
      </w:r>
      <w:r>
        <w:t>e</w:t>
      </w:r>
      <w:r>
        <w:t>rechos económicos, sociales y culturales.</w:t>
      </w:r>
    </w:p>
    <w:p w:rsidR="00000000" w:rsidRDefault="00000000">
      <w:pPr>
        <w:pStyle w:val="SingleTxt"/>
        <w:tabs>
          <w:tab w:val="right" w:pos="1685"/>
        </w:tabs>
        <w:ind w:left="1742" w:hanging="475"/>
      </w:pPr>
      <w:r>
        <w:tab/>
        <w:t>–</w:t>
      </w:r>
      <w:r>
        <w:tab/>
        <w:t>Párrafos 1 y 2 del artículo 70/E sobre el derecho de los ciudadanos a la segur</w:t>
      </w:r>
      <w:r>
        <w:t>i</w:t>
      </w:r>
      <w:r>
        <w:t>dad social y, entre otras cosas, a disponer de medios de vida cuando se e</w:t>
      </w:r>
      <w:r>
        <w:t>n</w:t>
      </w:r>
      <w:r>
        <w:t>cuentran en condiciones de ancianidad, enfermedad, discapacidad, viudedad u orfandad, y sobre la obligación del Estado de garantizar esos derechos m</w:t>
      </w:r>
      <w:r>
        <w:t>e</w:t>
      </w:r>
      <w:r>
        <w:t>diante el seguro social y el funcionamiento de las instituciones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Prestaciones de apoyo a las familias (Ley LXXXIV de 1998 de apoyo a la familia)</w:t>
      </w:r>
    </w:p>
    <w:p w:rsidR="00000000" w:rsidRDefault="00000000">
      <w:pPr>
        <w:pStyle w:val="SingleTxt"/>
        <w:spacing w:after="0" w:line="120" w:lineRule="exact"/>
        <w:rPr>
          <w:sz w:val="10"/>
        </w:rPr>
      </w:pPr>
    </w:p>
    <w:p w:rsidR="00000000" w:rsidRDefault="00000000">
      <w:pPr>
        <w:pStyle w:val="SingleTxt"/>
      </w:pPr>
      <w:r>
        <w:tab/>
        <w:t>Las formas de las prestaciones para el apoyo a las familias se regulan en nue</w:t>
      </w:r>
      <w:r>
        <w:t>s</w:t>
      </w:r>
      <w:r>
        <w:t>tro nuevo estatuto, en la Ley LXXXIV de 1998, que entró en vigor el 1 de enero de 1999. En la Ley se establece el sistema de ayuda económica en relación con el cu</w:t>
      </w:r>
      <w:r>
        <w:t>i</w:t>
      </w:r>
      <w:r>
        <w:t>dado de los hijos sobre la base de nuevos principios básicos. Los objetivos de las prestaciones de apoyo a las familias son el logro de la seguridad social de la familia y la reducción de la carga que significa el cuidado de los hijos. Las prestaciones ti</w:t>
      </w:r>
      <w:r>
        <w:t>e</w:t>
      </w:r>
      <w:r>
        <w:t>nen por objeto el ofrecer igualdad de oportunidades para las familias con hijos, r</w:t>
      </w:r>
      <w:r>
        <w:t>e</w:t>
      </w:r>
      <w:r>
        <w:t>conociendo la carga extraordinaria que supone su cuidado y mejorando las condici</w:t>
      </w:r>
      <w:r>
        <w:t>o</w:t>
      </w:r>
      <w:r>
        <w:t>nes de los que tienen hijos. Esas prestaciones se ofrecen en condiciones de igualdad a las familias que cuidan de sus hijos en su hogar, cualquiera que sean sus ingresos y su situación económica.</w:t>
      </w:r>
    </w:p>
    <w:p w:rsidR="00000000" w:rsidRDefault="00000000">
      <w:pPr>
        <w:pStyle w:val="SingleTxt"/>
      </w:pPr>
      <w:r>
        <w:tab/>
        <w:t>Prestaciones para el cuidado de los hijos y la ayuda económica para su ate</w:t>
      </w:r>
      <w:r>
        <w:t>n</w:t>
      </w:r>
      <w:r>
        <w:t>ción que pueden concederse a las familias con hijos:</w:t>
      </w:r>
    </w:p>
    <w:p w:rsidR="00000000" w:rsidRDefault="00000000">
      <w:pPr>
        <w:pStyle w:val="SingleTxt"/>
        <w:tabs>
          <w:tab w:val="right" w:pos="1685"/>
        </w:tabs>
        <w:ind w:left="1742" w:hanging="475"/>
      </w:pPr>
      <w:r>
        <w:tab/>
        <w:t>–</w:t>
      </w:r>
      <w:r>
        <w:tab/>
        <w:t>Prestaciones para el cuidado de los hijos (prestación familiar, ayuda económica para la escolarización);</w:t>
      </w:r>
    </w:p>
    <w:p w:rsidR="00000000" w:rsidRDefault="00000000">
      <w:pPr>
        <w:pStyle w:val="SingleTxt"/>
        <w:tabs>
          <w:tab w:val="right" w:pos="1685"/>
        </w:tabs>
        <w:ind w:left="1742" w:hanging="475"/>
      </w:pPr>
      <w:r>
        <w:tab/>
        <w:t>–</w:t>
      </w:r>
      <w:r>
        <w:tab/>
        <w:t>La prestación de apoyo para la educación de los hijos y su cuantía son distintas según el tipo de familia, el número de hijos y su condición en lo que se refiere a la salud;</w:t>
      </w:r>
    </w:p>
    <w:p w:rsidR="00000000" w:rsidRDefault="00000000">
      <w:pPr>
        <w:pStyle w:val="SingleTxt"/>
        <w:tabs>
          <w:tab w:val="right" w:pos="1685"/>
        </w:tabs>
        <w:ind w:left="1742" w:hanging="475"/>
      </w:pPr>
      <w:r>
        <w:tab/>
        <w:t>–</w:t>
      </w:r>
      <w:r>
        <w:tab/>
        <w:t>Las formas de ayuda económica para el cuidado de los hijos (asignación para el cuidado de los hijos, ayuda económica para el cuidado de los hijos) ofrecen unos ingresos y también tiempo de servicio durante el período de atención para los padres que estén cuidando de sus hijos. La cuantía de esas prestaciones es igual a la pe</w:t>
      </w:r>
      <w:r>
        <w:t>n</w:t>
      </w:r>
      <w:r>
        <w:t>sión de jubilación mínima;</w:t>
      </w:r>
    </w:p>
    <w:p w:rsidR="00000000" w:rsidRDefault="00000000">
      <w:pPr>
        <w:pStyle w:val="SingleTxt"/>
        <w:tabs>
          <w:tab w:val="right" w:pos="1685"/>
        </w:tabs>
        <w:ind w:left="1742" w:hanging="475"/>
      </w:pPr>
      <w:r>
        <w:tab/>
        <w:t>–</w:t>
      </w:r>
      <w:r>
        <w:tab/>
        <w:t>La subvención por maternidad es una forma no periódica de apoyo que supone una ayuda económica para sufragar los gastos relacionados con el nac</w:t>
      </w:r>
      <w:r>
        <w:t>i</w:t>
      </w:r>
      <w:r>
        <w:t>miento.</w:t>
      </w:r>
    </w:p>
    <w:p w:rsidR="00000000" w:rsidRDefault="00000000">
      <w:pPr>
        <w:pStyle w:val="SingleTxt"/>
      </w:pPr>
      <w:r>
        <w:tab/>
        <w:t>Las prestaciones para el cuidado de los hijos constituyen un derecho cívico, independiente de los ingresos de la familia. La prestación familiar se sustituye por la ayuda económica para la escolarización en igualdad de condiciones cuando el niño alcanza la edad escolar. Con la Ley se trata de compensar, mediante un aumento de la prestación, la situación desfavorable de las familias con varios hijos, de los padres que cuidan de hijos discapacitados o enfermos crónicos y de los padres que cuidan por sí mismos de sus hijos. El Parlamento decide cada año, al aprobar el presupue</w:t>
      </w:r>
      <w:r>
        <w:t>s</w:t>
      </w:r>
      <w:r>
        <w:t>to, el aumento de la cuantía de las prestaciones para el cuidado de los hijos. Sólo se puede dar por cada hijo un tipo de prestación para el cuidado de los hijos y sólo a una de las personas que tienen derecho a él, pero puede solicitar la prestación cua</w:t>
      </w:r>
      <w:r>
        <w:t>l</w:t>
      </w:r>
      <w:r>
        <w:t>quiera de los progenitores. La prestación familiar se introdujo en la Ley XXV de 1990 como derecho cívico de las familias con hijos de edad inferior a los 16 ó los 20 años y que estudien en una escuela primaria o secundaria, así como con hijos disc</w:t>
      </w:r>
      <w:r>
        <w:t>a</w:t>
      </w:r>
      <w:r>
        <w:t>pacitados. El sistema cambió el 1° de mayo de 1996, y la prestación se convirtió en una subvención para los que la necesitan. Para tener derecho a esa prestación, es necesario que los ingresos mensuales de la familia en el año anterior al año en que se solicita la revisión no sobrepasen un determinado límite. La prestación estaba únicamente a disposición de las familias con tres o más hijos cualquiera que fuesen sus ingresos. La entrada en vigor el 1° de enero de 1999 de nuestra Ley de apoyo a la familia, que contempla de nuevo la prestación como un derecho cívico, fue un gran paso adelante.</w:t>
      </w:r>
    </w:p>
    <w:p w:rsidR="00000000" w:rsidRDefault="00000000">
      <w:pPr>
        <w:pStyle w:val="SingleTxt"/>
      </w:pPr>
      <w:r>
        <w:tab/>
        <w:t>Las personas con derecho a las prestación familiar pueden clasificarse en tres gr</w:t>
      </w:r>
      <w:r>
        <w:t>u</w:t>
      </w:r>
      <w:r>
        <w:t xml:space="preserve">pos: </w:t>
      </w:r>
    </w:p>
    <w:p w:rsidR="00000000" w:rsidRDefault="00000000">
      <w:pPr>
        <w:pStyle w:val="SingleTxt"/>
        <w:tabs>
          <w:tab w:val="right" w:pos="1685"/>
        </w:tabs>
        <w:ind w:left="1742" w:hanging="475"/>
      </w:pPr>
      <w:r>
        <w:tab/>
        <w:t>–</w:t>
      </w:r>
      <w:r>
        <w:tab/>
        <w:t>Padres biológicos, padres adoptivos, cónyuge que vive con alguno de los p</w:t>
      </w:r>
      <w:r>
        <w:t>a</w:t>
      </w:r>
      <w:r>
        <w:t>dres (en lo sucesivo se les denomina también padres), padres de acogida, p</w:t>
      </w:r>
      <w:r>
        <w:t>a</w:t>
      </w:r>
      <w:r>
        <w:t>dres de acogida profesionales y tutores del niño (de la persona) del que cuidan en su propia casa, del niño de edad inferior a la escolar y enfermo crónico o del niño (o pe</w:t>
      </w:r>
      <w:r>
        <w:t>r</w:t>
      </w:r>
      <w:r>
        <w:t>sona) gravemente discapacitado;</w:t>
      </w:r>
    </w:p>
    <w:p w:rsidR="00000000" w:rsidRDefault="00000000">
      <w:pPr>
        <w:pStyle w:val="SingleTxt"/>
        <w:tabs>
          <w:tab w:val="right" w:pos="1685"/>
        </w:tabs>
        <w:ind w:left="1742" w:hanging="475"/>
      </w:pPr>
      <w:r>
        <w:tab/>
        <w:t>–</w:t>
      </w:r>
      <w:r>
        <w:tab/>
        <w:t>Tutor a quien se ha concedido el derecho de gestionar los bienes y albacea que administra los bienes del niño (o persona) atendido en un hospicio o reform</w:t>
      </w:r>
      <w:r>
        <w:t>a</w:t>
      </w:r>
      <w:r>
        <w:t>torio o del niño (o persona) a quien se cuida en el marco de la atención infantil en una pr</w:t>
      </w:r>
      <w:r>
        <w:t>i</w:t>
      </w:r>
      <w:r>
        <w:t>sión;</w:t>
      </w:r>
    </w:p>
    <w:p w:rsidR="00000000" w:rsidRDefault="00000000">
      <w:pPr>
        <w:pStyle w:val="SingleTxt"/>
        <w:tabs>
          <w:tab w:val="right" w:pos="1685"/>
        </w:tabs>
        <w:ind w:left="1742" w:hanging="475"/>
      </w:pPr>
      <w:r>
        <w:tab/>
        <w:t>–</w:t>
      </w:r>
      <w:r>
        <w:tab/>
        <w:t>El director de una institución social cuando el niño (o persona) está alojado en esa institución.</w:t>
      </w:r>
    </w:p>
    <w:p w:rsidR="00000000" w:rsidRDefault="00000000">
      <w:pPr>
        <w:pStyle w:val="SingleTxt"/>
      </w:pPr>
      <w:r>
        <w:tab/>
        <w:t>La prestación familiar puede obtenerse por un niño (o persona) de edad inf</w:t>
      </w:r>
      <w:r>
        <w:t>e</w:t>
      </w:r>
      <w:r>
        <w:t>rior a la edad escolar o enfermo crónico o gravemente discapacitado y , cualquiera que sea la edad, por el niño (o persona) atendido en un orfanato o reformatorio o, en el marco del cuidado infantil, en una pr</w:t>
      </w:r>
      <w:r>
        <w:t>i</w:t>
      </w:r>
      <w:r>
        <w:t>sión.</w:t>
      </w:r>
    </w:p>
    <w:p w:rsidR="00000000" w:rsidRDefault="00000000">
      <w:pPr>
        <w:pStyle w:val="SingleTxt"/>
      </w:pPr>
      <w:r>
        <w:tab/>
        <w:t>Se considera enfermo crónico o gravemente discap</w:t>
      </w:r>
      <w:r>
        <w:t>a</w:t>
      </w:r>
      <w:r>
        <w:t>citado:</w:t>
      </w:r>
    </w:p>
    <w:p w:rsidR="00000000" w:rsidRDefault="00000000">
      <w:pPr>
        <w:pStyle w:val="SingleTxt"/>
        <w:tabs>
          <w:tab w:val="right" w:pos="1685"/>
        </w:tabs>
        <w:ind w:left="1742" w:hanging="475"/>
      </w:pPr>
      <w:r>
        <w:tab/>
        <w:t>–</w:t>
      </w:r>
      <w:r>
        <w:tab/>
        <w:t>Al niño de menos de 18 años de edad que necesita cuidado o atención con</w:t>
      </w:r>
      <w:r>
        <w:t>s</w:t>
      </w:r>
      <w:r>
        <w:t>tante o en un alto grado como consecuencia de su enfermedad o discapacidad d</w:t>
      </w:r>
      <w:r>
        <w:t>e</w:t>
      </w:r>
      <w:r>
        <w:t>terminada en un auto jurídico especial (orden No. 17/1990 (V.8.) SZFM);</w:t>
      </w:r>
    </w:p>
    <w:p w:rsidR="00000000" w:rsidRDefault="00000000">
      <w:pPr>
        <w:pStyle w:val="SingleTxt"/>
        <w:tabs>
          <w:tab w:val="right" w:pos="1685"/>
        </w:tabs>
        <w:ind w:left="1742" w:hanging="475"/>
      </w:pPr>
      <w:r>
        <w:tab/>
        <w:t>–</w:t>
      </w:r>
      <w:r>
        <w:tab/>
        <w:t>A la persona mayor de 18 años que haya perdido al menos el 67% de su cap</w:t>
      </w:r>
      <w:r>
        <w:t>a</w:t>
      </w:r>
      <w:r>
        <w:t>cidad de trabajar antes de su decimoctavo cumpleaños en el caso de que esa situación haya durado un año o esté previsto que se prolongue cuando menos por otro año.</w:t>
      </w:r>
    </w:p>
    <w:p w:rsidR="00000000" w:rsidRDefault="00000000">
      <w:pPr>
        <w:pStyle w:val="SingleTxt"/>
      </w:pPr>
      <w:r>
        <w:tab/>
        <w:t>El derecho a recibir la prestación familiar concluye el 1° de octubre del año en que el niño alcanza la edad escolar, momento en que puede percibirse la ayuda ec</w:t>
      </w:r>
      <w:r>
        <w:t>o</w:t>
      </w:r>
      <w:r>
        <w:t>nómica para la escolarización, salvo en los casos en que el niño (o persona) sea e</w:t>
      </w:r>
      <w:r>
        <w:t>n</w:t>
      </w:r>
      <w:r>
        <w:t>fermo crónico o discapacitado, esté atendido en el marco de la asistencia infantil y reciba una prest</w:t>
      </w:r>
      <w:r>
        <w:t>a</w:t>
      </w:r>
      <w:r>
        <w:t>ción institucional.</w:t>
      </w:r>
    </w:p>
    <w:p w:rsidR="00000000" w:rsidRDefault="00000000">
      <w:pPr>
        <w:pStyle w:val="SingleTxt"/>
      </w:pPr>
      <w:r>
        <w:tab/>
        <w:t>Puede obtenerse una ayuda económica para la escol</w:t>
      </w:r>
      <w:r>
        <w:t>a</w:t>
      </w:r>
      <w:r>
        <w:t>rización:</w:t>
      </w:r>
    </w:p>
    <w:p w:rsidR="00000000" w:rsidRDefault="00000000">
      <w:pPr>
        <w:pStyle w:val="SingleTxt"/>
        <w:tabs>
          <w:tab w:val="right" w:pos="1685"/>
        </w:tabs>
        <w:ind w:left="1742" w:hanging="475"/>
      </w:pPr>
      <w:r>
        <w:tab/>
        <w:t>–</w:t>
      </w:r>
      <w:r>
        <w:tab/>
        <w:t>Para un niño en edad escolar o que sea mayor de la edad escolar pero esté m</w:t>
      </w:r>
      <w:r>
        <w:t>a</w:t>
      </w:r>
      <w:r>
        <w:t>triculado en una institución docente pública (en la escuela primaria o secund</w:t>
      </w:r>
      <w:r>
        <w:t>a</w:t>
      </w:r>
      <w:r>
        <w:t>ria) y sea menor de 20 años;</w:t>
      </w:r>
    </w:p>
    <w:p w:rsidR="00000000" w:rsidRDefault="00000000">
      <w:pPr>
        <w:pStyle w:val="SingleTxt"/>
        <w:tabs>
          <w:tab w:val="right" w:pos="1685"/>
        </w:tabs>
        <w:ind w:left="1742" w:hanging="475"/>
      </w:pPr>
      <w:r>
        <w:tab/>
        <w:t>–</w:t>
      </w:r>
      <w:r>
        <w:tab/>
        <w:t>Para un niño de edad escolar declarada por el director (de los 6 a los 16 años).</w:t>
      </w:r>
    </w:p>
    <w:p w:rsidR="00000000" w:rsidRDefault="00000000">
      <w:pPr>
        <w:pStyle w:val="SingleTxt"/>
      </w:pPr>
      <w:r>
        <w:tab/>
        <w:t>Un niño puede percibir ayuda financiera para la escolarización por derecho propio:</w:t>
      </w:r>
    </w:p>
    <w:p w:rsidR="00000000" w:rsidRDefault="00000000">
      <w:pPr>
        <w:pStyle w:val="SingleTxt"/>
        <w:tabs>
          <w:tab w:val="right" w:pos="1685"/>
        </w:tabs>
        <w:ind w:left="1742" w:hanging="475"/>
      </w:pPr>
      <w:r>
        <w:tab/>
        <w:t>–</w:t>
      </w:r>
      <w:r>
        <w:tab/>
        <w:t>Si es mayor de edad;</w:t>
      </w:r>
    </w:p>
    <w:p w:rsidR="00000000" w:rsidRDefault="00000000">
      <w:pPr>
        <w:pStyle w:val="SingleTxt"/>
        <w:tabs>
          <w:tab w:val="right" w:pos="1685"/>
        </w:tabs>
        <w:ind w:left="1742" w:hanging="475"/>
      </w:pPr>
      <w:r>
        <w:tab/>
        <w:t>–</w:t>
      </w:r>
      <w:r>
        <w:tab/>
        <w:t>Si sus dos progenitores han muerto;</w:t>
      </w:r>
    </w:p>
    <w:p w:rsidR="00000000" w:rsidRDefault="00000000">
      <w:pPr>
        <w:pStyle w:val="SingleTxt"/>
        <w:tabs>
          <w:tab w:val="right" w:pos="1685"/>
        </w:tabs>
        <w:ind w:left="1742" w:hanging="475"/>
      </w:pPr>
      <w:r>
        <w:tab/>
        <w:t>–</w:t>
      </w:r>
      <w:r>
        <w:tab/>
        <w:t>Si su padre o madre soltero o divorciado o que vive separado del progenitor que vive con él en el hogar común ha muerto;</w:t>
      </w:r>
    </w:p>
    <w:p w:rsidR="00000000" w:rsidRDefault="00000000">
      <w:pPr>
        <w:pStyle w:val="SingleTxt"/>
        <w:tabs>
          <w:tab w:val="right" w:pos="1685"/>
        </w:tabs>
        <w:ind w:left="1742" w:hanging="475"/>
      </w:pPr>
      <w:r>
        <w:tab/>
        <w:t>–</w:t>
      </w:r>
      <w:r>
        <w:tab/>
        <w:t>Si no está matriculado de forma temporal o permanente en una institución d</w:t>
      </w:r>
      <w:r>
        <w:t>o</w:t>
      </w:r>
      <w:r>
        <w:t>cente pública, pero es menor de 20 años.</w:t>
      </w:r>
    </w:p>
    <w:p w:rsidR="00000000" w:rsidRDefault="00000000">
      <w:pPr>
        <w:pStyle w:val="SingleTxt"/>
      </w:pPr>
      <w:r>
        <w:tab/>
        <w:t>Las formas de ayuda económica para el cuidado de los hijos (asignación para el cuidado de los hijos, subvención para el cuidado de los hijos) pueden solicitarla cualquiera de los progenitores, su cuantía no depende del número de hijos y es igual a la pensión mínima de jubilación. El período durante el que se recibe la prestación se considera tiempo de servicio, por lo que una determinada cifra se retiene para el fondo superanual.</w:t>
      </w:r>
    </w:p>
    <w:p w:rsidR="00000000" w:rsidRDefault="00000000">
      <w:pPr>
        <w:pStyle w:val="SingleTxt"/>
      </w:pPr>
      <w:r>
        <w:tab/>
        <w:t>Hasta el 15 de abril de 1996 la asignación para el cuidado de los hijos se ponía a disposición tanto del padre como de la madre que cuidaban de sus hijos por sí mismos, en relación con el tiempo de seguro, de conformidad con la orden No. 10/1982 (IV.16.) MT del Consejo de Ministros. Desde el momento en que el hijo cumplía su primer año, incluso el padre que viviese en un hogar común con el hijo podía solicitar la asignación en lugar de la madre, si ambos tenían derecho a ella. La Ley de estabilidad económica hizo que sólo pudieran obtener la asignación, junto con la prestación familiar y la ayuda económica para el cuidado de los hijos, los que tuviesen necesidad de ella, cualquiera que fuese el tiempo de seguro. Fue la Ley LXXXXIV de 1998 la que hizo que el subsidio fuese independiente de los ingresos. Con la modificación se consigue un trato absolutamente equitativo, puesto que las asignaciones podían obtenerlas en las mismas condiciones tanto el padre como la madre.</w:t>
      </w:r>
    </w:p>
    <w:p w:rsidR="00000000" w:rsidRDefault="00000000">
      <w:pPr>
        <w:pStyle w:val="SingleTxt"/>
      </w:pPr>
      <w:r>
        <w:tab/>
        <w:t>La asignación para el cuidado de los hijos se percibe hasta que el hijo cumple los tres años, o en el caso de que el hijo tenga una discapacidad grave o una enfe</w:t>
      </w:r>
      <w:r>
        <w:t>r</w:t>
      </w:r>
      <w:r>
        <w:t>medad crónica, hasta que cumpla los diez años. El Ministerio de Asuntos Sociales y de la Familia puede transferir la asignación a familiares directos que cuiden del niño si los padres no pueden atenderlo durante un período superior a tres meses, o si no puede garantizarse el mantenimiento de la familia porque un progenitor único no realice ninguna actividad remunerada. El Ministerio puede ampliar la percepción de la asignación hasta que el niño cumpla ocho años si , debido a su enfermedad, no se le puede atender en una institución de atención diaria o hasta que el niño cumpla 14 años si es enfermo crónico o gravemente discapacitado. (Los padres pueden recl</w:t>
      </w:r>
      <w:r>
        <w:t>a</w:t>
      </w:r>
      <w:r>
        <w:t>mar el subsidio para su atención cuando el niño enfermo crónico o gravemente di</w:t>
      </w:r>
      <w:r>
        <w:t>s</w:t>
      </w:r>
      <w:r>
        <w:t>capacitado cumple 14 años, siempre que el niño no esté internado en una institución docente, sanitaria o social, salvo en el caso de la formación pedagógica por un p</w:t>
      </w:r>
      <w:r>
        <w:t>e</w:t>
      </w:r>
      <w:r>
        <w:t>ríodo de cuatro horas al día). Cuando el niño cumple 18 meses, el padre o la madre pueden desempeñar un empleo remunerado durante un período que no exceda de cuatro diarias. La limitación de tiempo no se aplica si el trabajo se realiza en casa.</w:t>
      </w:r>
    </w:p>
    <w:p w:rsidR="00000000" w:rsidRDefault="00000000">
      <w:pPr>
        <w:pStyle w:val="SingleTxt"/>
      </w:pPr>
      <w:r>
        <w:tab/>
        <w:t>La ayuda económica para la atención de los hijos está a disposición de los p</w:t>
      </w:r>
      <w:r>
        <w:t>a</w:t>
      </w:r>
      <w:r>
        <w:t>dres que tengan tres o más hijos menores en su hogar, y se percibe desde que el h</w:t>
      </w:r>
      <w:r>
        <w:t>i</w:t>
      </w:r>
      <w:r>
        <w:t>jo más pequeño cumple los tres años hasta que cumple ocho. La prestación puede percibirse cualquiera que sean los ingresos y no hay necesidad de un determinado tiempo de seguro. El período durante el que se percibe esa prestación se considera tiempo de servicio. Ese apoyo se introdujo en virtud de la Ley III de 1993 y podía percibirse después de un determinado tiempo de seguro hasta 1996. La Ley XXII de 1996 hizo que sólo pudieran percibirla los que tuvieran necesidad de ella, de co</w:t>
      </w:r>
      <w:r>
        <w:t>n</w:t>
      </w:r>
      <w:r>
        <w:t>formidad con la Ley de estabilidad económica. En 1998 esa prestación se transfirió de la Ley social al sistema de apoyo a las familias. Anteriormente, la madre o la m</w:t>
      </w:r>
      <w:r>
        <w:t>a</w:t>
      </w:r>
      <w:r>
        <w:t>dre de acogida podía solicitarla, como podían hacerlo el padre y el padre de acogida en los casos establecidos en una normativa jurídica especial. Según la normativa en vigor en este momento, corresponde a los padres decidir quién de los dos ha de sol</w:t>
      </w:r>
      <w:r>
        <w:t>i</w:t>
      </w:r>
      <w:r>
        <w:t>citar la prestación.</w:t>
      </w:r>
    </w:p>
    <w:p w:rsidR="00000000" w:rsidRDefault="00000000">
      <w:pPr>
        <w:pStyle w:val="SingleTxt"/>
      </w:pPr>
      <w:r>
        <w:tab/>
        <w:t>El subsidio de maternidad se ofrece, después del parto, a la mujer que asistió a las sesiones de atención prenatal al menos cuatro veces o, en caso de nacimiento prematuro, al menos una vez. La madre tiene derecho al subsidio de maternidad i</w:t>
      </w:r>
      <w:r>
        <w:t>n</w:t>
      </w:r>
      <w:r>
        <w:t>cluso si su hijo nace muerto. Si la mujer muere antes de recibir el subsidio, éste se paga al padre o a la persona que se haga cargo del hijo. La cuantía del subsidio por hijo es del 150% de la pensión mínima de jubilación. El subsidio no periódico de maternidad se introdujo en 1995, ya que antes de esa fecha y desde el 1° de enero de 1993 se pagaba una prestación por embarazo desde el cuarto mes del embarazo hasta el último día del mes anterior al que comenzaba el derecho a recibir la subvención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Prestación de atención de la salud (Ley LXXXIII de 1997 sobre la prestación obligatoria de atención de la salud)</w:t>
      </w:r>
    </w:p>
    <w:p w:rsidR="00000000" w:rsidRDefault="00000000">
      <w:pPr>
        <w:pStyle w:val="SingleTxt"/>
        <w:spacing w:after="0" w:line="120" w:lineRule="exact"/>
        <w:rPr>
          <w:sz w:val="10"/>
        </w:rPr>
      </w:pPr>
    </w:p>
    <w:p w:rsidR="00000000" w:rsidRDefault="00000000">
      <w:pPr>
        <w:pStyle w:val="SingleTxt"/>
      </w:pPr>
      <w:r>
        <w:tab/>
        <w:t>La prestación por maternidad y confinamiento está basada en el tiempo de s</w:t>
      </w:r>
      <w:r>
        <w:t>e</w:t>
      </w:r>
      <w:r>
        <w:t>guro y se ofrece a la mujer que haya estado asegurada durante un mínimo de 180 d</w:t>
      </w:r>
      <w:r>
        <w:t>í</w:t>
      </w:r>
      <w:r>
        <w:t>as en los dos años anteriores al parto y siempre que éste se produzca mientras esté asegurada. La mujer recibe la prestación durante un período igual al de la licencia por maternidad, es decir 168 días, y su cuantía es del 70% del promedio del salario di</w:t>
      </w:r>
      <w:r>
        <w:t>a</w:t>
      </w:r>
      <w:r>
        <w:t xml:space="preserve">rio. </w:t>
      </w:r>
    </w:p>
    <w:p w:rsidR="00000000" w:rsidRDefault="00000000">
      <w:pPr>
        <w:pStyle w:val="SingleTxt"/>
      </w:pPr>
      <w:r>
        <w:tab/>
        <w:t>Con la Ley XCVII de 1999 se ha vuelto a introducir la subvención para el cu</w:t>
      </w:r>
      <w:r>
        <w:t>i</w:t>
      </w:r>
      <w:r>
        <w:t>dado de los hijos, que quedó abolida en 1995. Se ofrece, a la conclusión de la pre</w:t>
      </w:r>
      <w:r>
        <w:t>s</w:t>
      </w:r>
      <w:r>
        <w:t>tación por maternidad y confinamiento, hasta que el hijo cumple 2 años, al padre que tiene derecho a ella en función de que pague su propia contribución, no cuente con otra clase de ingresos y no trabaje. Su cuantía es el 70% del promedio del sal</w:t>
      </w:r>
      <w:r>
        <w:t>a</w:t>
      </w:r>
      <w:r>
        <w:t>rio diario, pero sin superar al doblez del salario mínimo. No ha lugar a la prestación si el hijo asiste a un jardín de infancia o una guardería infantil.</w:t>
      </w:r>
    </w:p>
    <w:p w:rsidR="00000000" w:rsidRDefault="00000000">
      <w:pPr>
        <w:pStyle w:val="SingleTxt"/>
      </w:pPr>
      <w:r>
        <w:tab/>
        <w:t>La madre (o el padre) tiene derecho a recibir una prestación por enfermedad para la atención de su hijo:</w:t>
      </w:r>
    </w:p>
    <w:p w:rsidR="00000000" w:rsidRDefault="00000000">
      <w:pPr>
        <w:pStyle w:val="SingleTxt"/>
        <w:tabs>
          <w:tab w:val="right" w:pos="1685"/>
        </w:tabs>
        <w:ind w:left="1742" w:hanging="475"/>
      </w:pPr>
      <w:r>
        <w:tab/>
        <w:t>–</w:t>
      </w:r>
      <w:r>
        <w:tab/>
        <w:t>Hasta que cumpla su primer año si atiende a un hijo menor de esa edad;</w:t>
      </w:r>
    </w:p>
    <w:p w:rsidR="00000000" w:rsidRDefault="00000000">
      <w:pPr>
        <w:pStyle w:val="SingleTxt"/>
        <w:tabs>
          <w:tab w:val="right" w:pos="1685"/>
        </w:tabs>
        <w:ind w:left="1742" w:hanging="475"/>
      </w:pPr>
      <w:r>
        <w:tab/>
        <w:t>–</w:t>
      </w:r>
      <w:r>
        <w:tab/>
        <w:t>En el caso de un hijo de entre uno y tres años, durante 84 días al año;</w:t>
      </w:r>
    </w:p>
    <w:p w:rsidR="00000000" w:rsidRDefault="00000000">
      <w:pPr>
        <w:pStyle w:val="SingleTxt"/>
        <w:tabs>
          <w:tab w:val="right" w:pos="1685"/>
        </w:tabs>
        <w:ind w:left="1742" w:hanging="475"/>
      </w:pPr>
      <w:r>
        <w:tab/>
        <w:t>–</w:t>
      </w:r>
      <w:r>
        <w:tab/>
        <w:t>En el caso de un hijo de edad comprendida entre tres y seis años, durante 42 días al año (84 días en el caso de un progenitor único);</w:t>
      </w:r>
    </w:p>
    <w:p w:rsidR="00000000" w:rsidRDefault="00000000">
      <w:pPr>
        <w:pStyle w:val="SingleTxt"/>
        <w:tabs>
          <w:tab w:val="right" w:pos="1685"/>
        </w:tabs>
        <w:ind w:left="1742" w:hanging="475"/>
      </w:pPr>
      <w:r>
        <w:tab/>
        <w:t>–</w:t>
      </w:r>
      <w:r>
        <w:tab/>
        <w:t>En el caso de un hijo de edad comprendida entre seis y doce años, durante 14 días al año (28 días en el c</w:t>
      </w:r>
      <w:r>
        <w:t>a</w:t>
      </w:r>
      <w:r>
        <w:t>so de un progenitor único).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Prestaciones del seguro de pensiones (Ley LXXXI de 1997 sobre las pensiones en el marco de la seguridad social y Ley LXXXII de 1997 sobre los fondos de pensiones privados)</w:t>
      </w:r>
    </w:p>
    <w:p w:rsidR="00000000" w:rsidRDefault="00000000">
      <w:pPr>
        <w:pStyle w:val="SingleTxt"/>
        <w:spacing w:after="0" w:line="120" w:lineRule="exact"/>
        <w:rPr>
          <w:sz w:val="10"/>
        </w:rPr>
      </w:pPr>
    </w:p>
    <w:p w:rsidR="00000000" w:rsidRDefault="00000000">
      <w:pPr>
        <w:pStyle w:val="SingleTxt"/>
      </w:pPr>
      <w:r>
        <w:tab/>
        <w:t>Durante la reforma de las pensiones acometida en 1998 se introdujo un nuevo sistema de pensiones para los que comienzan su carrera o eligen el nuevo sistema, que está basado en el ahorro personal, cubierto por un capital y en el que hay que aportar una cuarta parte de la contribución superanual. Las tres cuartas partes de la contribución superanual aún tienen que aportarse a la pensión en el marco de la s</w:t>
      </w:r>
      <w:r>
        <w:t>e</w:t>
      </w:r>
      <w:r>
        <w:t>guridad social, por lo que se dispone de las tres cuartas partes de la pensión de la s</w:t>
      </w:r>
      <w:r>
        <w:t>e</w:t>
      </w:r>
      <w:r>
        <w:t>guridad social. En el sistema de pensiones de la seguridad social pueden obtenerse pensiones por jubilación, discapacidad y para los parientes, mientras que en el si</w:t>
      </w:r>
      <w:r>
        <w:t>s</w:t>
      </w:r>
      <w:r>
        <w:t>tema privado de pensiones pueden elegirse diferentes anualidades en el caso de la jubilación y en el período de ahorro la cifra aportada a la cuenta personal puede transmitirse por h</w:t>
      </w:r>
      <w:r>
        <w:t>e</w:t>
      </w:r>
      <w:r>
        <w:t xml:space="preserve">rencia. </w:t>
      </w:r>
    </w:p>
    <w:p w:rsidR="00000000" w:rsidRDefault="00000000">
      <w:pPr>
        <w:pStyle w:val="SingleTxt"/>
      </w:pPr>
      <w:r>
        <w:tab/>
        <w:t>Principales cambios que afectan a la mujer:</w:t>
      </w:r>
    </w:p>
    <w:p w:rsidR="00000000" w:rsidRDefault="00000000">
      <w:pPr>
        <w:pStyle w:val="SingleTxt"/>
        <w:tabs>
          <w:tab w:val="right" w:pos="1685"/>
        </w:tabs>
        <w:ind w:left="1742" w:hanging="475"/>
      </w:pPr>
      <w:r>
        <w:tab/>
        <w:t>–</w:t>
      </w:r>
      <w:r>
        <w:tab/>
        <w:t>Durante la reforma de las pensiones, los legisladores prestaron atención a la necesidad de mitigar las desventajas derivadas de la situación de la mujer en el seguro de pensiones. El peso de los años en que no se han aportado contrib</w:t>
      </w:r>
      <w:r>
        <w:t>u</w:t>
      </w:r>
      <w:r>
        <w:t>ciones se ha reducido, pero las mujeres contribuyen por las prestaciones por cuidado de los hijos, por lo que esos períodos se consideran como períodos de servicio. Las contribuciones personales se deducen de las prestaciones y las contribuciones del empleador corren a cargo de los que pagan las prestaciones (gobierno local, presupuesto). En el sistema de pensiones del seguro social esas prestaciones no reducen el fondo de pensiones, pero en el sistema privado de pensiones la posición de desventaja de las madres con hijos se va a dejar sentir por la r</w:t>
      </w:r>
      <w:r>
        <w:t>e</w:t>
      </w:r>
      <w:r>
        <w:t>ducción de los depósitos.</w:t>
      </w:r>
    </w:p>
    <w:p w:rsidR="00000000" w:rsidRDefault="00000000">
      <w:pPr>
        <w:pStyle w:val="SingleTxt"/>
        <w:tabs>
          <w:tab w:val="right" w:pos="1685"/>
        </w:tabs>
        <w:ind w:left="1742" w:hanging="475"/>
      </w:pPr>
      <w:r>
        <w:tab/>
        <w:t>–</w:t>
      </w:r>
      <w:r>
        <w:tab/>
        <w:t>Se ha introducido en el sistema de pensiones del seguro social que los viudos o viudas puedan recibir una prestación de viudedad incluso conjuntamente con su propia pensión, pero su cuantía se reduce al 20%, en lugar de la del 50% que corresponde a los viudos o viudas que no disfrutan de pensión de jubil</w:t>
      </w:r>
      <w:r>
        <w:t>a</w:t>
      </w:r>
      <w:r>
        <w:t>ción . La cuantía de la prestación de orfandad ha subido del 25% al 30%. A</w:t>
      </w:r>
      <w:r>
        <w:t>m</w:t>
      </w:r>
      <w:r>
        <w:t>bas medidas afectan principalmente a madres e hijos y ha tenido como result</w:t>
      </w:r>
      <w:r>
        <w:t>a</w:t>
      </w:r>
      <w:r>
        <w:t>do la mejora de su situ</w:t>
      </w:r>
      <w:r>
        <w:t>a</w:t>
      </w:r>
      <w:r>
        <w:t>ción.</w:t>
      </w:r>
    </w:p>
    <w:p w:rsidR="00000000" w:rsidRDefault="00000000">
      <w:pPr>
        <w:pStyle w:val="SingleTxt"/>
        <w:tabs>
          <w:tab w:val="right" w:pos="1685"/>
        </w:tabs>
        <w:ind w:left="1742" w:hanging="475"/>
      </w:pPr>
      <w:r>
        <w:tab/>
        <w:t>–</w:t>
      </w:r>
      <w:r>
        <w:tab/>
        <w:t xml:space="preserve">La discriminación positiva en favor de la mujer va a desaparecer gradualmente en lo que se refiere a la edad de jubilación, y para 2009 el límite de edad será de 62 años para todos los trabajadores. </w:t>
      </w:r>
    </w:p>
    <w:p w:rsidR="00000000" w:rsidRDefault="00000000">
      <w:pPr>
        <w:pStyle w:val="SingleTxt"/>
        <w:tabs>
          <w:tab w:val="right" w:pos="1685"/>
        </w:tabs>
        <w:ind w:left="1742" w:hanging="475"/>
        <w:rPr>
          <w:w w:val="101"/>
        </w:rPr>
      </w:pPr>
      <w:r>
        <w:rPr>
          <w:w w:val="101"/>
        </w:rPr>
        <w:tab/>
        <w:t>–</w:t>
      </w:r>
      <w:r>
        <w:rPr>
          <w:w w:val="101"/>
        </w:rPr>
        <w:tab/>
        <w:t>También va a desaparecer la discriminación positiva según la cual las mujeres podían acogerse a la jubilación anticipada en determinadas esferas de activ</w:t>
      </w:r>
      <w:r>
        <w:rPr>
          <w:w w:val="101"/>
        </w:rPr>
        <w:t>i</w:t>
      </w:r>
      <w:r>
        <w:rPr>
          <w:w w:val="101"/>
        </w:rPr>
        <w:t>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Atención diaria de los hijos (Ley XXXI de 1997 de protección de los niños y administración de la tutela)</w:t>
      </w:r>
    </w:p>
    <w:p w:rsidR="00000000" w:rsidRDefault="00000000">
      <w:pPr>
        <w:pStyle w:val="SingleTxt"/>
        <w:spacing w:after="0" w:line="120" w:lineRule="exact"/>
        <w:rPr>
          <w:sz w:val="10"/>
        </w:rPr>
      </w:pPr>
    </w:p>
    <w:p w:rsidR="00000000" w:rsidRDefault="00000000">
      <w:pPr>
        <w:pStyle w:val="SingleTxt"/>
      </w:pPr>
      <w:r>
        <w:tab/>
        <w:t>Entre las prestaciones destinadas al cuidado de los hijos hay prestaciones para la atención diaria (guardería infantil, jardines de infancia, hogares de día para las familias, cuidados de los hijos en casas), cuya organización corresponde al Estado y a los gobiernos locales. En esa prestación se contempla la atención, el cuidado, la educación y la alimentación de los niños cuyos padres no pueden atenderlos durante el día por motivos de trabajo, enfermedad o cualquier otra razón.</w:t>
      </w:r>
    </w:p>
    <w:p w:rsidR="00000000" w:rsidRDefault="00000000">
      <w:pPr>
        <w:pStyle w:val="SingleTxt"/>
      </w:pPr>
      <w:r>
        <w:tab/>
        <w:t>En la ley se establece una prestación económica administrada por los gobie</w:t>
      </w:r>
      <w:r>
        <w:t>r</w:t>
      </w:r>
      <w:r>
        <w:t>nos locales que pueden solicitar los padres que cuidan de sus hijos y otros represe</w:t>
      </w:r>
      <w:r>
        <w:t>n</w:t>
      </w:r>
      <w:r>
        <w:t>tantes leg</w:t>
      </w:r>
      <w:r>
        <w:t>a</w:t>
      </w:r>
      <w:r>
        <w:t>les que la precisen. Esas prestaciones son las siguientes:</w:t>
      </w:r>
    </w:p>
    <w:p w:rsidR="00000000" w:rsidRDefault="00000000">
      <w:pPr>
        <w:pStyle w:val="SingleTxt"/>
        <w:tabs>
          <w:tab w:val="right" w:pos="1685"/>
        </w:tabs>
        <w:ind w:left="1742" w:hanging="475"/>
      </w:pPr>
      <w:r>
        <w:tab/>
        <w:t>–</w:t>
      </w:r>
      <w:r>
        <w:tab/>
        <w:t>Apoyo permanente para el bienestar de los hijos;</w:t>
      </w:r>
    </w:p>
    <w:p w:rsidR="00000000" w:rsidRDefault="00000000">
      <w:pPr>
        <w:pStyle w:val="SingleTxt"/>
        <w:tabs>
          <w:tab w:val="right" w:pos="1685"/>
        </w:tabs>
        <w:ind w:left="1742" w:hanging="475"/>
      </w:pPr>
      <w:r>
        <w:tab/>
        <w:t>–</w:t>
      </w:r>
      <w:r>
        <w:tab/>
        <w:t>Apoyo extraordinario para el bienestar de los hijos;</w:t>
      </w:r>
    </w:p>
    <w:p w:rsidR="00000000" w:rsidRDefault="00000000">
      <w:pPr>
        <w:pStyle w:val="SingleTxt"/>
        <w:tabs>
          <w:tab w:val="right" w:pos="1685"/>
        </w:tabs>
        <w:ind w:left="1742" w:hanging="475"/>
      </w:pPr>
      <w:r>
        <w:tab/>
        <w:t>–</w:t>
      </w:r>
      <w:r>
        <w:tab/>
        <w:t>Adelanto para la manutención.</w:t>
      </w:r>
    </w:p>
    <w:p w:rsidR="00000000" w:rsidRDefault="00000000">
      <w:pPr>
        <w:pStyle w:val="SingleTxt"/>
      </w:pPr>
      <w:r>
        <w:tab/>
        <w:t>En lo que se refiere a esas prestaciones no importa que el solicitante sea ho</w:t>
      </w:r>
      <w:r>
        <w:t>m</w:t>
      </w:r>
      <w:r>
        <w:t>bre o mujer, y en la Ley se establece la prohibición de discriminar como principio fundamental en lo que se refiere a los derechos en ella consagr</w:t>
      </w:r>
      <w:r>
        <w:t>a</w:t>
      </w:r>
      <w:r>
        <w:t>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Prestaciones sociales (Ley III de 1993 de administración social y prestaciones sociales)</w:t>
      </w:r>
    </w:p>
    <w:p w:rsidR="00000000" w:rsidRDefault="00000000">
      <w:pPr>
        <w:pStyle w:val="SingleTxt"/>
        <w:spacing w:after="0" w:line="120" w:lineRule="exact"/>
        <w:rPr>
          <w:sz w:val="10"/>
        </w:rPr>
      </w:pPr>
    </w:p>
    <w:p w:rsidR="00000000" w:rsidRDefault="00000000">
      <w:pPr>
        <w:pStyle w:val="SingleTxt"/>
      </w:pPr>
      <w:r>
        <w:tab/>
        <w:t>Era necesario establecer un sistema global, transparente y moderno de adm</w:t>
      </w:r>
      <w:r>
        <w:t>i</w:t>
      </w:r>
      <w:r>
        <w:t>nistración y prestaciones sociales consecuente con nuestras obligaciones internaci</w:t>
      </w:r>
      <w:r>
        <w:t>o</w:t>
      </w:r>
      <w:r>
        <w:t>nales y constitucionales, la transición a la economía de mercado, los cambios soci</w:t>
      </w:r>
      <w:r>
        <w:t>a</w:t>
      </w:r>
      <w:r>
        <w:t>les y las nuevas demandas de la sociedad. Ese sistema contiene principalmente prestaciones para los que tienen necesidad de ellas.</w:t>
      </w:r>
    </w:p>
    <w:p w:rsidR="00000000" w:rsidRDefault="00000000">
      <w:pPr>
        <w:pStyle w:val="SingleTxt"/>
      </w:pPr>
      <w:r>
        <w:t>I.</w:t>
      </w:r>
      <w:r>
        <w:tab/>
        <w:t>Prestaciones económicas para los que las necesitan debido a su posición social:</w:t>
      </w:r>
    </w:p>
    <w:p w:rsidR="00000000" w:rsidRDefault="00000000">
      <w:pPr>
        <w:pStyle w:val="SingleTxt"/>
        <w:tabs>
          <w:tab w:val="right" w:pos="1685"/>
        </w:tabs>
        <w:ind w:left="1742" w:hanging="475"/>
      </w:pPr>
      <w:r>
        <w:tab/>
        <w:t>–</w:t>
      </w:r>
      <w:r>
        <w:tab/>
        <w:t>Subsidio para personas de edad;</w:t>
      </w:r>
    </w:p>
    <w:p w:rsidR="00000000" w:rsidRDefault="00000000">
      <w:pPr>
        <w:pStyle w:val="SingleTxt"/>
        <w:tabs>
          <w:tab w:val="right" w:pos="1685"/>
        </w:tabs>
        <w:ind w:left="1742" w:hanging="475"/>
      </w:pPr>
      <w:r>
        <w:tab/>
        <w:t>–</w:t>
      </w:r>
      <w:r>
        <w:tab/>
        <w:t>Subsidio social permanente;</w:t>
      </w:r>
    </w:p>
    <w:p w:rsidR="00000000" w:rsidRDefault="00000000">
      <w:pPr>
        <w:pStyle w:val="SingleTxt"/>
        <w:tabs>
          <w:tab w:val="right" w:pos="1685"/>
        </w:tabs>
        <w:ind w:left="1742" w:hanging="475"/>
      </w:pPr>
      <w:r>
        <w:tab/>
        <w:t>–</w:t>
      </w:r>
      <w:r>
        <w:tab/>
        <w:t>Apoyo para vivienda;</w:t>
      </w:r>
    </w:p>
    <w:p w:rsidR="00000000" w:rsidRDefault="00000000">
      <w:pPr>
        <w:pStyle w:val="SingleTxt"/>
        <w:tabs>
          <w:tab w:val="right" w:pos="1685"/>
        </w:tabs>
        <w:ind w:left="1742" w:hanging="475"/>
      </w:pPr>
      <w:r>
        <w:tab/>
        <w:t>–</w:t>
      </w:r>
      <w:r>
        <w:tab/>
        <w:t>Subsidio para la atención de los hijos;</w:t>
      </w:r>
    </w:p>
    <w:p w:rsidR="00000000" w:rsidRDefault="00000000">
      <w:pPr>
        <w:pStyle w:val="SingleTxt"/>
        <w:tabs>
          <w:tab w:val="right" w:pos="1685"/>
        </w:tabs>
        <w:ind w:left="1742" w:hanging="475"/>
      </w:pPr>
      <w:r>
        <w:tab/>
        <w:t>–</w:t>
      </w:r>
      <w:r>
        <w:tab/>
        <w:t>Subsidio temporal;</w:t>
      </w:r>
    </w:p>
    <w:p w:rsidR="00000000" w:rsidRDefault="00000000">
      <w:pPr>
        <w:pStyle w:val="SingleTxt"/>
        <w:tabs>
          <w:tab w:val="right" w:pos="1685"/>
        </w:tabs>
        <w:ind w:left="1742" w:hanging="475"/>
      </w:pPr>
      <w:r>
        <w:tab/>
        <w:t>–</w:t>
      </w:r>
      <w:r>
        <w:tab/>
        <w:t>Subsidio para funeral.</w:t>
      </w:r>
    </w:p>
    <w:p w:rsidR="00000000" w:rsidRDefault="00000000">
      <w:pPr>
        <w:pStyle w:val="SingleTxt"/>
      </w:pPr>
      <w:r>
        <w:t>Prestaciones sociales proporcionadas en especie:</w:t>
      </w:r>
    </w:p>
    <w:p w:rsidR="00000000" w:rsidRDefault="00000000">
      <w:pPr>
        <w:pStyle w:val="SingleTxt"/>
        <w:tabs>
          <w:tab w:val="right" w:pos="1685"/>
        </w:tabs>
        <w:ind w:left="1742" w:hanging="475"/>
      </w:pPr>
      <w:r>
        <w:tab/>
        <w:t>–</w:t>
      </w:r>
      <w:r>
        <w:tab/>
        <w:t>Funeral por parte del Estado;</w:t>
      </w:r>
    </w:p>
    <w:p w:rsidR="00000000" w:rsidRDefault="00000000">
      <w:pPr>
        <w:pStyle w:val="SingleTxt"/>
        <w:tabs>
          <w:tab w:val="right" w:pos="1685"/>
        </w:tabs>
        <w:ind w:left="1742" w:hanging="475"/>
      </w:pPr>
      <w:r>
        <w:tab/>
        <w:t>–</w:t>
      </w:r>
      <w:r>
        <w:tab/>
        <w:t>Prestaciones médicas a cargo del Estado;</w:t>
      </w:r>
    </w:p>
    <w:p w:rsidR="00000000" w:rsidRDefault="00000000">
      <w:pPr>
        <w:pStyle w:val="SingleTxt"/>
        <w:tabs>
          <w:tab w:val="right" w:pos="1685"/>
        </w:tabs>
        <w:ind w:left="1742" w:hanging="475"/>
      </w:pPr>
      <w:r>
        <w:tab/>
        <w:t>–</w:t>
      </w:r>
      <w:r>
        <w:tab/>
        <w:t>Derecho a atención de la salud.</w:t>
      </w:r>
    </w:p>
    <w:p w:rsidR="00000000" w:rsidRDefault="00000000">
      <w:pPr>
        <w:pStyle w:val="SingleTxt"/>
      </w:pPr>
      <w:r>
        <w:t>II.</w:t>
      </w:r>
      <w:r>
        <w:tab/>
        <w:t>Prestaciones para la atención personal (prestaciones básicas y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14. 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Situación actual</w:t>
      </w:r>
    </w:p>
    <w:p w:rsidR="00000000" w:rsidRDefault="00000000">
      <w:pPr>
        <w:pStyle w:val="SingleTxt"/>
        <w:spacing w:after="0" w:line="120" w:lineRule="exact"/>
        <w:rPr>
          <w:sz w:val="10"/>
        </w:rPr>
      </w:pPr>
    </w:p>
    <w:p w:rsidR="00000000" w:rsidRDefault="00000000">
      <w:pPr>
        <w:pStyle w:val="SingleTxt"/>
      </w:pPr>
      <w:r>
        <w:tab/>
        <w:t>Las mujeres de las zonas rurales pueden participar en el seguro sobre la misma base que las mujeres de las zonas urbanas. Pueden acceder a las mismas prestaci</w:t>
      </w:r>
      <w:r>
        <w:t>o</w:t>
      </w:r>
      <w:r>
        <w:t>nes y part</w:t>
      </w:r>
      <w:r>
        <w:t>i</w:t>
      </w:r>
      <w:r>
        <w:t>cipan también en los programas de la seguridad social.</w:t>
      </w:r>
    </w:p>
    <w:p w:rsidR="00000000" w:rsidRDefault="00000000">
      <w:pPr>
        <w:pStyle w:val="SingleTxt"/>
        <w:rPr>
          <w:w w:val="100"/>
        </w:rPr>
      </w:pPr>
      <w:r>
        <w:tab/>
      </w:r>
      <w:r>
        <w:rPr>
          <w:w w:val="100"/>
        </w:rPr>
        <w:t>Las diferencias económicas y sociales y las diferencias en el empleo proceden en primer lugar de la esfera de actividad de la localidad y de la jerarquía administrativa, así como de sus tareas en esa esfera. Se encuentran en una situación especialmente desfavorecida las regiones con pueblos pequeños, de menos de 500 habitantes y sus asentamientos, además de los asentamientos considerados como subdesarrollados de</w:t>
      </w:r>
      <w:r>
        <w:rPr>
          <w:w w:val="100"/>
        </w:rPr>
        <w:t>s</w:t>
      </w:r>
      <w:r>
        <w:rPr>
          <w:w w:val="100"/>
        </w:rPr>
        <w:t>de el punto de vista socioeconómico, de reestructuración económica, de desarrollo agrario y rural y del mercado de trabajo, por lo que pueden acceder en mejores cond</w:t>
      </w:r>
      <w:r>
        <w:rPr>
          <w:w w:val="100"/>
        </w:rPr>
        <w:t>i</w:t>
      </w:r>
      <w:r>
        <w:rPr>
          <w:w w:val="100"/>
        </w:rPr>
        <w:t>ciones a las subvenciones. Actualmente, un tercio de los habitantes de las zonas rur</w:t>
      </w:r>
      <w:r>
        <w:rPr>
          <w:w w:val="100"/>
        </w:rPr>
        <w:t>a</w:t>
      </w:r>
      <w:r>
        <w:rPr>
          <w:w w:val="100"/>
        </w:rPr>
        <w:t>les, establecidos en unos 3.200 asentamientos, viven en zonas que disponen de poca infraestructura técnica y humana o en zonas económicamente menos d</w:t>
      </w:r>
      <w:r>
        <w:rPr>
          <w:w w:val="100"/>
        </w:rPr>
        <w:t>e</w:t>
      </w:r>
      <w:r>
        <w:rPr>
          <w:w w:val="100"/>
        </w:rPr>
        <w:t>sarrolladas.</w:t>
      </w:r>
    </w:p>
    <w:p w:rsidR="00000000" w:rsidRDefault="00000000">
      <w:pPr>
        <w:pStyle w:val="SingleTxt"/>
      </w:pPr>
      <w:r>
        <w:rPr>
          <w:w w:val="100"/>
        </w:rPr>
        <w:tab/>
      </w:r>
      <w:r>
        <w:t>La calidad de vida de las mujeres se ve afectada principalmente por la ubic</w:t>
      </w:r>
      <w:r>
        <w:t>a</w:t>
      </w:r>
      <w:r>
        <w:t>ción geográfica y el nivel de abastecimiento de sus asentamientos, su distancia a los centros más desarrollados, etc. En primer lugar, las mujeres que viven en pequeños asentamientos (de menos de mil habitantes) y en pueblos muy pequeños se enfrentan a peores probabilidades para la integración social, para obtener un empleo y para encontrar instituciones docentes, sociales y de salud para ellas y sus hijos. El objet</w:t>
      </w:r>
      <w:r>
        <w:t>i</w:t>
      </w:r>
      <w:r>
        <w:t>vo de la política de desarrollo de las zonas rurales es principalmente fomentar un desarrollo regional bien equilibrado. Su base jurídica quedó establecida en la Ley. XXI de 1996 de planificación y desarrollo de las zonas rurales y en la Concepción nacional del desarrollo de las zonas rurales elaborada en el marco de esa ley y apr</w:t>
      </w:r>
      <w:r>
        <w:t>o</w:t>
      </w:r>
      <w:r>
        <w:t>bada por la orden No. 356/1998 (III.20.) del Parlamento. Se han establecido y están funcionando las instituciones para el desarrollo de las zonas rurales, y las juntas para el desarrollo rural en los condados.</w:t>
      </w:r>
    </w:p>
    <w:p w:rsidR="00000000" w:rsidRDefault="00000000">
      <w:pPr>
        <w:pStyle w:val="SingleTxt"/>
      </w:pPr>
      <w:r>
        <w:tab/>
        <w:t>La situación económica de los pequeños asentamientos se ve afectada desfav</w:t>
      </w:r>
      <w:r>
        <w:t>o</w:t>
      </w:r>
      <w:r>
        <w:t>rablemente por la estructura deformada de los grupos de edad. La alta proporción de mujeres está muy extendida, las viviendas son antiguas y la población más joven emigra a las ciudades o a asentamientos más desarrollados en busca de mejores co</w:t>
      </w:r>
      <w:r>
        <w:t>n</w:t>
      </w:r>
      <w:r>
        <w:t>diciones de vida. En los pequeños asentamientos las oportunidades para obtener y completar los ingresos y la disponibilidad de los artículos necesarios para la vida cotidiana están más limitados que en las ciudades. El Gobierno trata de mitigar las diferencias regionales gradualmente mediante el desarrollo global y la renovación de la infraestructura (red de carreteras, construcción de viviendas, establecimiento de instituciones docentes, sanitarias y sociales) y con la ayuda de programas regionales de ayuda.</w:t>
      </w:r>
    </w:p>
    <w:p w:rsidR="00000000" w:rsidRDefault="00000000">
      <w:pPr>
        <w:pStyle w:val="SingleTxt"/>
      </w:pPr>
      <w:r>
        <w:tab/>
        <w:t>En Hungría, las mujeres pueden disponer de sus propiedades agrícolas sin re</w:t>
      </w:r>
      <w:r>
        <w:t>s</w:t>
      </w:r>
      <w:r>
        <w:t>tricciones, no hay discriminación en lo que se refiere a la propiedad de la tierra. La ley LV de 1994 sobre las tierras agrícolas incluye, entre otras cosas, la reglament</w:t>
      </w:r>
      <w:r>
        <w:t>a</w:t>
      </w:r>
      <w:r>
        <w:t>ción de temas como la adquisición de tierras y en esa ley no se hizo diferenciación alguna entre las personas sobre la base del sexo en el período 1991-1999, y tampoco se va ha hacer esa distinción en el futuro.</w:t>
      </w:r>
    </w:p>
    <w:p w:rsidR="00000000" w:rsidRDefault="00000000">
      <w:pPr>
        <w:pStyle w:val="SingleTxt"/>
      </w:pPr>
      <w:r>
        <w:tab/>
        <w:t>Hombres y mujeres pueden acceder a los créditos y préstamos agrícolas y a las instalaciones de comercialización en virtud del mismo reglamento. Las ordenanzas sobre agricultura, en relación con la producción agrícola y las subvenciones a la agricultura, tampoco contienen distinci</w:t>
      </w:r>
      <w:r>
        <w:t>o</w:t>
      </w:r>
      <w:r>
        <w:t>nes entre hombres y mujeres.</w:t>
      </w:r>
    </w:p>
    <w:p w:rsidR="00000000" w:rsidRDefault="00000000">
      <w:pPr>
        <w:pStyle w:val="SingleTxt"/>
      </w:pPr>
      <w:r>
        <w:tab/>
        <w:t>En los asentamientos pequeños no hay escuelas secundarias, los gobiernos l</w:t>
      </w:r>
      <w:r>
        <w:t>o</w:t>
      </w:r>
      <w:r>
        <w:t>cales mantienen escuelas secundarias en los asentamientos con un mayor número de habitantes y en las ciudades. Los niños que viven en pueblos (pequeños asent</w:t>
      </w:r>
      <w:r>
        <w:t>a</w:t>
      </w:r>
      <w:r>
        <w:t>mientos) tienen que desplazarse cada día o solicitar su alojamiento en internados, lo que supone una carga para los niños y para sus familias.</w:t>
      </w:r>
    </w:p>
    <w:p w:rsidR="00000000" w:rsidRDefault="00000000">
      <w:pPr>
        <w:pStyle w:val="SingleTxt"/>
      </w:pPr>
      <w:r>
        <w:tab/>
        <w:t>Desde la formación de las granjas familiares, es habitual que las mujeres real</w:t>
      </w:r>
      <w:r>
        <w:t>i</w:t>
      </w:r>
      <w:r>
        <w:t>cen una parte importante de las tareas financieras, administrativas y contables en relación con el funcionamiento de la granja, además de sus tareas en el hogar.</w:t>
      </w:r>
    </w:p>
    <w:p w:rsidR="00000000" w:rsidRDefault="00000000">
      <w:pPr>
        <w:pStyle w:val="SingleTxt"/>
      </w:pPr>
      <w:r>
        <w:tab/>
        <w:t>El atraso en los ingresos de las mujeres que viven en pequeños asentamientos ha vuelto a aumentar después de haber mejorado en 1996. La tendencia es similar en el caso de las mujeres que viven en las ciudades, pero el cambio para peor es menor en ese caso.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los salarios de hombres y mujeres por tipo de asentamiento,</w:t>
      </w:r>
      <w:r>
        <w:br/>
        <w:t>1992-1998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260"/>
        <w:gridCol w:w="1440"/>
        <w:gridCol w:w="1350"/>
        <w:gridCol w:w="1380"/>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1992</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Aldea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78,3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82,1</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76,7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Pueblo</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81,4</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Capital de Condado</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70,3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92,2</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72,3</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Budapest</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77,4</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74,5</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1998 la mayoría de las personas con bajos ingresos vivían en pueblos y se encontraban en el nivel más bajo de la jerarquía ocupacional.</w:t>
      </w:r>
    </w:p>
    <w:p w:rsidR="00000000" w:rsidRDefault="00000000">
      <w:pPr>
        <w:pStyle w:val="SingleTxt"/>
      </w:pPr>
      <w:r>
        <w:tab/>
        <w:t>Los efectos negativos de la emigración de la fuerza laboral afectaron en primer lugar a los pueblos, donde también se agotaron en gran cantidad las posibilidades de trabajo para las mujeres. Entre 1989 y 1997 el número de mujeres empleadas en la agricultura descendió en más de un 70%, una proporción muy superior a la de otros sect</w:t>
      </w:r>
      <w:r>
        <w:t>o</w:t>
      </w:r>
      <w:r>
        <w:t>res.</w:t>
      </w:r>
    </w:p>
    <w:p w:rsidR="00000000" w:rsidRDefault="00000000">
      <w:pPr>
        <w:pStyle w:val="SingleTxt"/>
      </w:pPr>
      <w:r>
        <w:tab/>
        <w:t>Los mercados rurales son, sin excepción, propiedad de los gobiernos locales, pero su funcionamiento corresponde a personas o empresas. En general, no están siempre abiertos, sino uno o varios días de la semana determinados. El alquiler de los puestos es muy razonable. Dos terceras partes de los productores en pequeña e</w:t>
      </w:r>
      <w:r>
        <w:t>s</w:t>
      </w:r>
      <w:r>
        <w:t>cala que venden en el mercado son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Cuarta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15.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La República de Hungría vela en la mayor medida posible por la igualdad de derechos de hombres y mujeres establecida en la legislación. Sus antecedentes jur</w:t>
      </w:r>
      <w:r>
        <w:t>í</w:t>
      </w:r>
      <w:r>
        <w:t>dicos fig</w:t>
      </w:r>
      <w:r>
        <w:t>u</w:t>
      </w:r>
      <w:r>
        <w:t>ran en la Constitución de la República de Hungría y en el Código Civil.</w:t>
      </w:r>
    </w:p>
    <w:p w:rsidR="00000000" w:rsidRDefault="00000000">
      <w:pPr>
        <w:pStyle w:val="SingleTxt"/>
      </w:pPr>
      <w:r>
        <w:t>2.</w:t>
      </w:r>
      <w:r>
        <w:tab/>
        <w:t>En el artículo 66 de la Constitución mencionado anteriormente se establece, en general, la igualdad de derechos de hombres y mujeres en lo que se refiere a todos los derechos civiles, políticos, económicos, sociales y culturales. Quizá la norma más importante de la Constitución en lo que se refiere a las relaciones jurídicas de la legislación civil es la siguiente: “En la República de Hungría todos tienen capacidad jurídica”. Esto se repite en el artículo 8 del Código Civil, en el que se establece la sustancia del contenido de ese derecho. Tener capacidad jurídica significa que el sujeto jurídico puede tener derechos y obligaciones. La capacidad jurídica es unive</w:t>
      </w:r>
      <w:r>
        <w:t>r</w:t>
      </w:r>
      <w:r>
        <w:t>sal, igual y absoluta. Es universal porque todos tienen esa capacidad jurídica, igual, porque es imposible que algunas personas tengan un grado distinto de capacidad j</w:t>
      </w:r>
      <w:r>
        <w:t>u</w:t>
      </w:r>
      <w:r>
        <w:t>rídica. En el párrafo 2 del mencionado artículo, de conformidad con los convenios internacionales y la Constitución, se establece la prohibición de la discriminación al decir que la capacidad jurídica es igual cualquiera que sea la edad, sexo, raza, n</w:t>
      </w:r>
      <w:r>
        <w:t>a</w:t>
      </w:r>
      <w:r>
        <w:t>cionalidad o denominación de la persona. El legislador hace hincapié en los factores importantes al especificar la edad, el sexo, la raza y la pertenencia a determinada nacionalidad o denominación, que podrían ser motivo de discriminación y, en co</w:t>
      </w:r>
      <w:r>
        <w:t>n</w:t>
      </w:r>
      <w:r>
        <w:t>secuencia, de la restricción de la capacidad jurídica (la igualdad de la capacidad j</w:t>
      </w:r>
      <w:r>
        <w:t>u</w:t>
      </w:r>
      <w:r>
        <w:t>rídica debe ser efectiva también en otros contextos no especificados además de los casos que se han mencionado. En consecuencia, la ley prohibe hacer distinciones entre hombres y mujeres, el objeto de la relación jurídica de la legislación civil pu</w:t>
      </w:r>
      <w:r>
        <w:t>e</w:t>
      </w:r>
      <w:r>
        <w:t>de ser un hombre o una mujer. Anteriormente eso no sucedía en todos los casos. Por ejemplo, hasta 1996 los sujetos de un matrimonio de derecho común sólo podían ser un hombre y una mujer. Según la decisión del Tribunal Constitucional “la cohabit</w:t>
      </w:r>
      <w:r>
        <w:t>a</w:t>
      </w:r>
      <w:r>
        <w:t>ción permanente de dos personas puede dar efecto a esos valores, con lo que se p</w:t>
      </w:r>
      <w:r>
        <w:t>o</w:t>
      </w:r>
      <w:r>
        <w:t>dría solicitar el reconocimiento cualquiera que sea el sexo sobre la base de la cons</w:t>
      </w:r>
      <w:r>
        <w:t>i</w:t>
      </w:r>
      <w:r>
        <w:t>deración igualitaria de la dignidad humana de las personas afectadas”. Tras la dec</w:t>
      </w:r>
      <w:r>
        <w:t>i</w:t>
      </w:r>
      <w:r>
        <w:t>sión del Tribunal Constitucional, se modificó el Código Civil por la Ley XLII de 1996 y, como consecuencia de esa modificación, la pareja de sexos diferentes no es ya una condición para el matrimonio de derecho c</w:t>
      </w:r>
      <w:r>
        <w:t>o</w:t>
      </w:r>
      <w:r>
        <w:t>mún).</w:t>
      </w:r>
    </w:p>
    <w:p w:rsidR="00000000" w:rsidRDefault="00000000">
      <w:pPr>
        <w:pStyle w:val="SingleTxt"/>
      </w:pPr>
      <w:r>
        <w:t>3.</w:t>
      </w:r>
      <w:r>
        <w:tab/>
        <w:t>La capacidad de la mujer de disponer en completa conformidad con la del hombre está regulada en el Código Civil. En el Código Civil se establece que todos tienen capacidad de disponer siempre que esa capacidad no haya sido restringida o excluida por la ley. La persona que tenga capacidad de disponer puede concluir contratos o formular declaraciones jurídicas en su propio nombre. Ese derecho está protegido por la legislación civil de una forma tan vehemente que según esa norm</w:t>
      </w:r>
      <w:r>
        <w:t>a</w:t>
      </w:r>
      <w:r>
        <w:t>tiva será nulo cualquier contrato o declaración unilateral que restrinja la capacidad de disponer de alguien.</w:t>
      </w:r>
    </w:p>
    <w:p w:rsidR="00000000" w:rsidRDefault="00000000">
      <w:pPr>
        <w:pStyle w:val="SingleTxt"/>
      </w:pPr>
      <w:r>
        <w:t>4.</w:t>
      </w:r>
      <w:r>
        <w:tab/>
        <w:t>En el artículo 58 de la Constitución se garantiza el derecho de la mujer a la l</w:t>
      </w:r>
      <w:r>
        <w:t>i</w:t>
      </w:r>
      <w:r>
        <w:t>bertad de movimiento y la libre elección de domicilio al establecer que “cualquier persona que resida en el territorio de la República de Hungría legalmente, con e</w:t>
      </w:r>
      <w:r>
        <w:t>x</w:t>
      </w:r>
      <w:r>
        <w:t>cepción de los casos contemplados en la ley, tienen derecho de libre movimiento y de libre elección de domicilio, incluido el derecho a abandonar su domicilio o 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16. Matrimonio y vida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La familia; conclusión del matr</w:t>
      </w:r>
      <w:r>
        <w:t>i</w:t>
      </w:r>
      <w:r>
        <w:t>monio</w:t>
      </w:r>
    </w:p>
    <w:p w:rsidR="00000000" w:rsidRDefault="00000000">
      <w:pPr>
        <w:pStyle w:val="SingleTxt"/>
        <w:spacing w:after="0" w:line="120" w:lineRule="exact"/>
        <w:rPr>
          <w:sz w:val="10"/>
        </w:rPr>
      </w:pPr>
    </w:p>
    <w:p w:rsidR="00000000" w:rsidRDefault="00000000">
      <w:pPr>
        <w:pStyle w:val="SingleTxt"/>
      </w:pPr>
      <w:r>
        <w:tab/>
        <w:t>Las relaciones de familia están reguladas en primer lugar en la Constitución de la República de Hungría, en el Código Civil y, principalmente, en la ley IV de 1952 de m</w:t>
      </w:r>
      <w:r>
        <w:t>a</w:t>
      </w:r>
      <w:r>
        <w:t>trimonio, familia y tutela (en lo sucesivo la Csjt).</w:t>
      </w:r>
    </w:p>
    <w:p w:rsidR="00000000" w:rsidRDefault="00000000">
      <w:pPr>
        <w:pStyle w:val="SingleTxt"/>
      </w:pPr>
      <w:r>
        <w:tab/>
        <w:t>La Csjt fue modificada varias veces durante el mencionado período, pero esas modificaciones no revisten interés en lo que se refiere a la discriminación contra la mujer, puesto que la Csjt tampoco contenía anteriormente normas discriminadoras.</w:t>
      </w:r>
    </w:p>
    <w:p w:rsidR="00000000" w:rsidRDefault="00000000">
      <w:pPr>
        <w:pStyle w:val="SingleTxt"/>
      </w:pPr>
      <w:r>
        <w:tab/>
        <w:t>Según la Declaración Universal de Derechos Humanos, el Pacto Internacional de Derechos Civiles y Políticos y la Convención sobre la protección de los derechos humanos y los derechos civiles básicos, firmada el 4 de noviembre de 1950 en R</w:t>
      </w:r>
      <w:r>
        <w:t>o</w:t>
      </w:r>
      <w:r>
        <w:t>ma, la familia es la unidad natural y básica de la sociedad y goza del derecho a la protección de la sociedad. En esos convenios se establece que la libertad para co</w:t>
      </w:r>
      <w:r>
        <w:t>n</w:t>
      </w:r>
      <w:r>
        <w:t>traer matrimonio es un derecho humano fundamental. Los hombres y las mujeres mayores de edad tienen derecho a contraer matrimonio y fundar una familia por su libre decisión en el marco de las normas nacionales sobre el ejercicio de sus der</w:t>
      </w:r>
      <w:r>
        <w:t>e</w:t>
      </w:r>
      <w:r>
        <w:t>chos. También en la ley de Hungría la institución del matrimonio es la vida en c</w:t>
      </w:r>
      <w:r>
        <w:t>o</w:t>
      </w:r>
      <w:r>
        <w:t>mún de un hombre y una mujer por su libre decisión, de conformidad con los conv</w:t>
      </w:r>
      <w:r>
        <w:t>e</w:t>
      </w:r>
      <w:r>
        <w:t>nios internacionales. Los objetivos de la vida matrimonial son habitualmente el n</w:t>
      </w:r>
      <w:r>
        <w:t>a</w:t>
      </w:r>
      <w:r>
        <w:t>cimiento de los hijos y su educación en la familia; además ofrecer apoyo y cuidado mutuos para los cónyuges. Las instituciones del matrimonio y la familia también g</w:t>
      </w:r>
      <w:r>
        <w:t>o</w:t>
      </w:r>
      <w:r>
        <w:t xml:space="preserve">zan de una protección especial en la Constitución (artículo 15). </w:t>
      </w:r>
    </w:p>
    <w:p w:rsidR="00000000" w:rsidRDefault="00000000">
      <w:pPr>
        <w:pStyle w:val="SingleTxt"/>
      </w:pPr>
      <w:r>
        <w:tab/>
        <w:t>La promesa de matrimonio no se contempla en la normativa jurídica de Hu</w:t>
      </w:r>
      <w:r>
        <w:t>n</w:t>
      </w:r>
      <w:r>
        <w:t>gría, por lo que sólo tiene importancia en la ley no escrita, con un significado esp</w:t>
      </w:r>
      <w:r>
        <w:t>e</w:t>
      </w:r>
      <w:r>
        <w:t>cial en cada región. La ausencia de una normativa jurídica no entraña la ausencia de consecuencias jurídicas de la promesa de matrimonio. Por ejemplo, el novio o novia se consideran parientes cercanos en el artículo 685b del Código Civil, lo puede tener también otras consecuencias.</w:t>
      </w:r>
    </w:p>
    <w:p w:rsidR="00000000" w:rsidRDefault="00000000">
      <w:pPr>
        <w:pStyle w:val="SingleTxt"/>
      </w:pPr>
      <w:r>
        <w:tab/>
        <w:t>En la Csjt se contempla la mayoría de edad como la edad legal para contraer matrimonio. La persona que cumple 18 años alcanza la mayoría de edad y la capac</w:t>
      </w:r>
      <w:r>
        <w:t>i</w:t>
      </w:r>
      <w:r>
        <w:t>dad de disponer. Las personas menores de esa edad se consideran menores y, en fu</w:t>
      </w:r>
      <w:r>
        <w:t>n</w:t>
      </w:r>
      <w:r>
        <w:t>ción de su edad, carecen por completo de capacidad de disponer o tienen limitada esa capacidad. Los menores mayores de 14 años tienen capacidad parcial de disp</w:t>
      </w:r>
      <w:r>
        <w:t>o</w:t>
      </w:r>
      <w:r>
        <w:t>ner siempre que no estén privados de ella. Esto último ha de establecerse en un auto judicial. Así pues, sólo los hombres y mujeres mayores de edad pueden contraer matrimonio. Las personas que por su edad, entre los 14 y los 18 años, tengan limit</w:t>
      </w:r>
      <w:r>
        <w:t>a</w:t>
      </w:r>
      <w:r>
        <w:t xml:space="preserve">da su capacidad de disponer sólo pueden contraer matrimonio si son mayores de 16 años y únicamente con el permiso de la autoridad pública de tutela. Así pues, los menores de 16 años no pueden contraer matrimonio ni siquiera con el permiso de la autoridad pública de tutela. </w:t>
      </w:r>
    </w:p>
    <w:p w:rsidR="00000000" w:rsidRDefault="00000000">
      <w:pPr>
        <w:pStyle w:val="SingleTxt"/>
      </w:pPr>
      <w:r>
        <w:tab/>
        <w:t>En virtud de la Csjt la bigamia es imposible sobre la base del principio de la monogamia, que es dominante en el conjunto de nuestro sistema jurídico. Así pues, el matrimonio no es válido si uno de los contrayentes está unido a otro matrimonio en vigor reconocido jurídicamente (artículo 7 de la Csjt).</w:t>
      </w:r>
    </w:p>
    <w:p w:rsidR="00000000" w:rsidRDefault="00000000">
      <w:pPr>
        <w:pStyle w:val="SingleTxt"/>
        <w:rPr>
          <w:w w:val="101"/>
        </w:rPr>
      </w:pPr>
      <w:r>
        <w:rPr>
          <w:w w:val="101"/>
        </w:rPr>
        <w:tab/>
        <w:t>Los esposos tienen los mismos derechos y responsabilidades durante el matr</w:t>
      </w:r>
      <w:r>
        <w:rPr>
          <w:w w:val="101"/>
        </w:rPr>
        <w:t>i</w:t>
      </w:r>
      <w:r>
        <w:rPr>
          <w:w w:val="101"/>
        </w:rPr>
        <w:t>monio y en el momento de su disolución en todos los respectos de conformidad con nuestros compromisos internacionales y con el párrafo 1 del artículo 66 de la Const</w:t>
      </w:r>
      <w:r>
        <w:rPr>
          <w:w w:val="101"/>
        </w:rPr>
        <w:t>i</w:t>
      </w:r>
      <w:r>
        <w:rPr>
          <w:w w:val="101"/>
        </w:rPr>
        <w:t>tución. El principio de la igualdad de derechos y la relación coordinada de los esposos figura en la ley que regula los derechos y responsabilidades de los esposos (artículo 23 de la Csjt). En esa norma se hace hincapié en la necesidad de adoptar conjunt</w:t>
      </w:r>
      <w:r>
        <w:rPr>
          <w:w w:val="101"/>
        </w:rPr>
        <w:t>a</w:t>
      </w:r>
      <w:r>
        <w:rPr>
          <w:w w:val="101"/>
        </w:rPr>
        <w:t>mente las decisiones en la esfera de la vida matrimonial y en la autonomía de los e</w:t>
      </w:r>
      <w:r>
        <w:rPr>
          <w:w w:val="101"/>
        </w:rPr>
        <w:t>s</w:t>
      </w:r>
      <w:r>
        <w:rPr>
          <w:w w:val="101"/>
        </w:rPr>
        <w:t>posos en sus propios asuntos con la restricción de que, al adoptar decisiones al re</w:t>
      </w:r>
      <w:r>
        <w:rPr>
          <w:w w:val="101"/>
        </w:rPr>
        <w:t>s</w:t>
      </w:r>
      <w:r>
        <w:rPr>
          <w:w w:val="101"/>
        </w:rPr>
        <w:t>pecto, deben tener en cuenta los intereses de la familia y no sus propios intereses. No obstante, en nuestra legislación no se regulan los matrimonios de derecho común en tanto detalle como el matrimonio. Únicamente en el artículo 578a del Código Civil se establecen las relaciones económicas de las partes en un matrimonio de derecho c</w:t>
      </w:r>
      <w:r>
        <w:rPr>
          <w:w w:val="101"/>
        </w:rPr>
        <w:t>o</w:t>
      </w:r>
      <w:r>
        <w:rPr>
          <w:w w:val="101"/>
        </w:rPr>
        <w:t>mún y en el artículo 685/A se da una definición de ese tipo de matrim</w:t>
      </w:r>
      <w:r>
        <w:rPr>
          <w:w w:val="101"/>
        </w:rPr>
        <w:t>o</w:t>
      </w:r>
      <w:r>
        <w:rPr>
          <w:w w:val="101"/>
        </w:rPr>
        <w:t>nio.</w:t>
      </w:r>
    </w:p>
    <w:p w:rsidR="00000000" w:rsidRDefault="00000000">
      <w:pPr>
        <w:pStyle w:val="SingleTxt"/>
      </w:pPr>
      <w:r>
        <w:tab/>
        <w:t>Como la Constitución y la Csjt están basadas estrictamente en la igualdad de hombres y mujeres, ambos progenitores tienen los mismos derechos a tomar dec</w:t>
      </w:r>
      <w:r>
        <w:t>i</w:t>
      </w:r>
      <w:r>
        <w:t>siones relativas a sus hijos, incluso si no viven juntos. Tienen también los mismos derechos en cuanto a la tutela, la potestad y la adopción .</w:t>
      </w:r>
    </w:p>
    <w:p w:rsidR="00000000" w:rsidRDefault="00000000">
      <w:pPr>
        <w:pStyle w:val="SingleTxt"/>
      </w:pPr>
      <w:r>
        <w:tab/>
        <w:t>La modificación del Código Penal por la ley LXXIII de 1997 fue especia</w:t>
      </w:r>
      <w:r>
        <w:t>l</w:t>
      </w:r>
      <w:r>
        <w:t>mente significativa en lo que se refiere a la igualdad de derechos del hombre y la mujer y a la prevención de actos violentos contra las mujeres dentro de la vida m</w:t>
      </w:r>
      <w:r>
        <w:t>a</w:t>
      </w:r>
      <w:r>
        <w:t>trimonial. En el período anterior a esa modificación tan sólo la mujer podía ser s</w:t>
      </w:r>
      <w:r>
        <w:t>u</w:t>
      </w:r>
      <w:r>
        <w:t>jeto pasivo de la violación, en tanto que sólo el hombre podía ser sujeto activo. Ese delito podía cometerse sólo fuera del matrimonio. En la nueva normativa tanto el hombre como la mujer pueden ser sujeto activo y pasivo del delito, que puede c</w:t>
      </w:r>
      <w:r>
        <w:t>o</w:t>
      </w:r>
      <w:r>
        <w:t>meterse también entre cónyuges en un matrimonio. Sin embargo, en ese último caso ha de examinarse cuidadosamente, prestando atención a la especial relación entre el autor y la parte perjudicada, si se cumplieron las condiciones establecidas para ese delito.</w:t>
      </w:r>
    </w:p>
    <w:p w:rsidR="00000000" w:rsidRDefault="00000000">
      <w:pPr>
        <w:pStyle w:val="SingleTxt"/>
      </w:pPr>
      <w:r>
        <w:tab/>
        <w:t>El matrimonio se extingue si uno de los esposos muere o si un tribunal lo d</w:t>
      </w:r>
      <w:r>
        <w:t>i</w:t>
      </w:r>
      <w:r>
        <w:t>suelve. El tribunal puede disolver el matrimonio a solicitud de cualquiera de los cónyuges si la vida matrimonial se arruina de forma completa e irremediable. D</w:t>
      </w:r>
      <w:r>
        <w:t>u</w:t>
      </w:r>
      <w:r>
        <w:t>rante el procedimiento de disolución es necesario establecer la custodia de los hijos, el pago de la manutención de los hijos, los contactos entre padres e hijos, el pago de pensiones compensatorias, el uso de la vivienda común y la distribución de los bi</w:t>
      </w:r>
      <w:r>
        <w:t>e</w:t>
      </w:r>
      <w:r>
        <w:t>nes comunes de los cónyuges. Con posterioridad a la disolución del matrimonio, los padres han de decidir en primer lugar sobre la custodia de los hijos. Si no hay acue</w:t>
      </w:r>
      <w:r>
        <w:t>r</w:t>
      </w:r>
      <w:r>
        <w:t>do, el tribunal decide en favor del progenitor que pueda proporcionar un desarrollo físico, intelectual y moral más favorable para el hijo. Ese progenitor puede ser el padre o la m</w:t>
      </w:r>
      <w:r>
        <w:t>a</w:t>
      </w:r>
      <w:r>
        <w:t>dre.</w:t>
      </w:r>
    </w:p>
    <w:p w:rsidR="00000000" w:rsidRDefault="00000000">
      <w:pPr>
        <w:pStyle w:val="SingleTxt"/>
      </w:pPr>
      <w:r>
        <w:tab/>
        <w:t>El matrimonio y su disolución quedan registrados en el registro de matrim</w:t>
      </w:r>
      <w:r>
        <w:t>o</w:t>
      </w:r>
      <w:r>
        <w:t>nios. El registrador anota el acto del matrimonio en el registro si el matrimonio es válido. Sin embargo, los tribunales tienen competencia para disolver el matrimonio. Si la sentencia relativa a la resolución del matrimonio es firme, el tribunal envía una notificación del divorcio al registrador competente según el lugar de celebración del matrimonio, quien lo anotará en el registro de m</w:t>
      </w:r>
      <w:r>
        <w:t>a</w:t>
      </w:r>
      <w:r>
        <w:t>trimonios.</w:t>
      </w:r>
    </w:p>
    <w:p w:rsidR="00000000" w:rsidRDefault="00000000">
      <w:pPr>
        <w:pStyle w:val="SingleTxt"/>
      </w:pPr>
      <w:r>
        <w:tab/>
        <w:t>Los padres están obligados a compartir con sus hijos menores los medios de que dispone el hogar común. El progenitor que cuida de los hijos aporta cuidados en especie, mientras que el que vive por separado aporta su apoyo económicamente. Si no hay acuerdo entre los padres, el tribunal decide sobre la manutención de los h</w:t>
      </w:r>
      <w:r>
        <w:t>i</w:t>
      </w:r>
      <w:r>
        <w:t>jos. En caso de impago de la manutención de los hijos, ésta puede exigirse en el marco de la ejecución judicial y si la parte obligada incumple su obligación de fo</w:t>
      </w:r>
      <w:r>
        <w:t>r</w:t>
      </w:r>
      <w:r>
        <w:t>ma deliberada, puede ser motivo de responsabilidad penal por el delito de impago de la manutención de los hijos según el artículo 196 del Código Penal.</w:t>
      </w:r>
    </w:p>
    <w:p w:rsidR="00000000" w:rsidRDefault="00000000">
      <w:pPr>
        <w:pStyle w:val="SingleTxt"/>
      </w:pPr>
      <w:r>
        <w:tab/>
        <w:t>La Csjt protege la institución del matrimonio en su espíritu y en sus dispos</w:t>
      </w:r>
      <w:r>
        <w:t>i</w:t>
      </w:r>
      <w:r>
        <w:t>ciones jurídicas. Esa protección aparece en la norma según la cual la responsabilidad mutua de los cónyuges no concluye por completo con la disolución del matrimonio, sino que se extiende en cierta medida incluso después de la disolución. Así pues, en nuestra legislación se regula la responsabilidad de los padres divorciados de atender a las necesidades vitales de su ex cónyuge. En caso de disolución del matrimonio, el cónyuge puede reclamar el pago de una pensión compensatoria a su ex cónyuge si la necesita, excepto en el caso en que su actitud durante el matrimonio desaconseje la concesión de esa pensión compensatoria. Esa obligación puede recaer sobre cua</w:t>
      </w:r>
      <w:r>
        <w:t>l</w:t>
      </w:r>
      <w:r>
        <w:t>quiera de los cónyuges, independientemente que sea el marido o la mujer.</w:t>
      </w:r>
    </w:p>
    <w:p w:rsidR="00000000" w:rsidRDefault="00000000">
      <w:pPr>
        <w:pStyle w:val="SingleTxt"/>
      </w:pPr>
      <w:r>
        <w:tab/>
        <w:t>Todas las propiedades que los esposos obtuvieron conjuntamente o por separ</w:t>
      </w:r>
      <w:r>
        <w:t>a</w:t>
      </w:r>
      <w:r>
        <w:t>do durante su vida matrimonial constituyen sus bienes comunes durante el matrim</w:t>
      </w:r>
      <w:r>
        <w:t>o</w:t>
      </w:r>
      <w:r>
        <w:t>nio , salvo las propiedades que pertenecen de forma privativa a uno de los cónyuges. Según la Csjt, los bienes privativos de los esposos son las propiedades que un có</w:t>
      </w:r>
      <w:r>
        <w:t>n</w:t>
      </w:r>
      <w:r>
        <w:t>yuge poseía antes del matrimonio, que haya obtenido por derecho de sucesión o que se le diesen como regalo durante la vida matrimonial, las propiedades que en la m</w:t>
      </w:r>
      <w:r>
        <w:t>e</w:t>
      </w:r>
      <w:r>
        <w:t>dida y la cantidad habitual sirven para fines personales y las que el cónyuge haya obtenido a cambio del valor de otros bienes privativos. Los cónyuges, antes de la contraer matrimonio, pueden concluir un contrato relativo a sus propiedades durante el período de vida matrimonial. Durante su vida matrimonial, ambos esposos tienen derecho, según el principio de igualdad, a utilizar y manejar los objetos que perten</w:t>
      </w:r>
      <w:r>
        <w:t>e</w:t>
      </w:r>
      <w:r>
        <w:t>cen a los bienes comunes. El costo del mantenimiento de esos objetos debe sufraga</w:t>
      </w:r>
      <w:r>
        <w:t>r</w:t>
      </w:r>
      <w:r>
        <w:t>se en primer lugar con los bienes comunes. Esos objetos sólo podrán venderse con el consentimiento de ambos cónyuges, pero durante la posesión de bienes comunes la transacción de cualquiera de los esposos ha de considerarse como realizada con el consentimiento del otro, salvo en el caso en que la tercera persona supiera que el otro cónyuge no consentía en la transacción. A la conclusión de la vida matrimonial se dividen los bienes comunes. Ambos esposos pueden reclamar la distribución de los bienes comunes incluso si el matrimonio no ha terminado. Las partes pueden acordar la separación de los bienes comunes o un tribunal puede decidir al respecto. En el marco del procedimiento jurídico, los cónyuges pueden reclamar el reembolso de los gastos de la inversión de los bienes comunes en bienes privativos o viceversa. El reembolso de los bienes privativos utilizados o gastados durante la vida matrim</w:t>
      </w:r>
      <w:r>
        <w:t>o</w:t>
      </w:r>
      <w:r>
        <w:t>nial de los esposos sólo puede realizarse en casos muy justificados. Dentro de ese marco, no es posible reembolsar el trabajo de la mujer en el hogar o su trabajo agr</w:t>
      </w:r>
      <w:r>
        <w:t>í</w:t>
      </w:r>
      <w:r>
        <w:t>cola no remunerado s</w:t>
      </w:r>
      <w:r>
        <w:t>o</w:t>
      </w:r>
      <w:r>
        <w:t>bre la base del aumento del valor de los bienes comunes.</w:t>
      </w:r>
    </w:p>
    <w:p w:rsidR="00000000" w:rsidRDefault="00000000">
      <w:pPr>
        <w:pStyle w:val="SingleTxt"/>
      </w:pPr>
      <w:r>
        <w:tab/>
        <w:t>Si el matrimonio se extingue como consecuencia de la muerte de uno de los cónyuges y éste muere sin testar, la distribución de sus bienes, tanto en caso de la muerte de la esposa como del esposo, se rige por las normas de la sucesión sin te</w:t>
      </w:r>
      <w:r>
        <w:t>s</w:t>
      </w:r>
      <w:r>
        <w:t>tamento. Así pues, si la persona fallecida tiene hijos, heredarán en partes iguales sin ninguna discriminación por el hecho de que sean hombres o mujeres. En ese caso, el viudo o viuda tiene derecho al usufructo. Si la persona fallecida no tiene desce</w:t>
      </w:r>
      <w:r>
        <w:t>n</w:t>
      </w:r>
      <w:r>
        <w:t>dientes, todos los bienes del cónyuge fallecido, muebles e inmuebles, son heredados por el supe</w:t>
      </w:r>
      <w:r>
        <w:t>r</w:t>
      </w:r>
      <w:r>
        <w:t>viviente.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Los hijos y el control de la natalidad</w:t>
      </w:r>
    </w:p>
    <w:p w:rsidR="00000000" w:rsidRDefault="00000000">
      <w:pPr>
        <w:pStyle w:val="SingleTxt"/>
        <w:spacing w:after="0" w:line="120" w:lineRule="exact"/>
        <w:rPr>
          <w:sz w:val="10"/>
        </w:rPr>
      </w:pPr>
    </w:p>
    <w:p w:rsidR="00000000" w:rsidRDefault="00000000">
      <w:pPr>
        <w:pStyle w:val="SingleTxt"/>
      </w:pPr>
      <w:r>
        <w:tab/>
        <w:t>En Hungría las mujeres tienen derecho a decidir libre y responsablemente el número y el espaciamiento de sus hijos. Las mujeres tienen acceso a información y servicios relacionados con la planificación de la familia sin necesidad de contar con el perm</w:t>
      </w:r>
      <w:r>
        <w:t>i</w:t>
      </w:r>
      <w:r>
        <w:t>so de nadie.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w:t>
      </w:r>
      <w:r>
        <w:tab/>
        <w:t>La situación en relación con el aborto en Hungría</w:t>
      </w:r>
    </w:p>
    <w:p w:rsidR="00000000" w:rsidRDefault="00000000">
      <w:pPr>
        <w:pStyle w:val="SingleTxt"/>
        <w:spacing w:after="0" w:line="120" w:lineRule="exact"/>
        <w:rPr>
          <w:sz w:val="10"/>
        </w:rPr>
      </w:pPr>
    </w:p>
    <w:p w:rsidR="00000000" w:rsidRDefault="00000000">
      <w:pPr>
        <w:pStyle w:val="SingleTxt"/>
      </w:pPr>
      <w:r>
        <w:tab/>
        <w:t>El número de abortos fue extraordinariamente alto hasta el decenio de 1970. Ello puede explicarse, entre otras cosas, por el hecho de que en Hungría el aborto era legal y posible antes que los anticonceptivos modernos. El valor de la vida y la importancia de evitar el embarazo no deseado no se destacaron los suficiente, ni en la educación sobre la salud en las escuelas ni en los medios de comunicación, d</w:t>
      </w:r>
      <w:r>
        <w:t>u</w:t>
      </w:r>
      <w:r>
        <w:t>rante decenios. Las medidas de política familiar adoptadas en el decenio de 1980, y especialmente la Ley de protección de la vida fetal de 1992, mejoraron esa situ</w:t>
      </w:r>
      <w:r>
        <w:t>a</w:t>
      </w:r>
      <w:r>
        <w:t>ción, pero el número de abortos, en especial en comparación con el número de n</w:t>
      </w:r>
      <w:r>
        <w:t>a</w:t>
      </w:r>
      <w:r>
        <w:t>cimientos, sigue siendo demasiado alto.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Abortos desglosados por edad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810"/>
        <w:gridCol w:w="720"/>
        <w:gridCol w:w="810"/>
        <w:gridCol w:w="810"/>
        <w:gridCol w:w="810"/>
        <w:gridCol w:w="810"/>
        <w:gridCol w:w="720"/>
        <w:gridCol w:w="540"/>
        <w:gridCol w:w="810"/>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lang w:val="en-US"/>
              </w:rPr>
              <w:t>&lt;</w:t>
            </w:r>
            <w:r>
              <w:rPr>
                <w:i/>
                <w:sz w:val="14"/>
              </w:rPr>
              <w:t>14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15-19</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20-24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25-29</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30-34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35-39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lang w:val="en-US"/>
              </w:rPr>
              <w:t>&gt;</w:t>
            </w:r>
            <w:r>
              <w:rPr>
                <w:i/>
                <w:sz w:val="14"/>
              </w:rPr>
              <w:t>40</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Desco-nocido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5 405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27 121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35 905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30 381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19 237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5 293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123 383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8 275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35 937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46 154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39 134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25 137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7 428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162 160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18 116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47 431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51 990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39 690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25 789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9 103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192 283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8 056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14 846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19 607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17 114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13 458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7 675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80 882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11 629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17 245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16 367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18 714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17 586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8 471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90 394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13 059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16 650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14 003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12 927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12 934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5 382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72 258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13 174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17 134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14 652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12 356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11 604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5 291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74 491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12 759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18 362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15 981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12 607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11 137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5 491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76 957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11 405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18 800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16 692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12 951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10 623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5 554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76 600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10 571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19 090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16 524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12 641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9 983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5 280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74 564</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9 362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17 969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15 484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12 275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8 747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4 747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68 971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b)</w:t>
      </w:r>
      <w:r>
        <w:tab/>
        <w:t>El número de abortos</w:t>
      </w:r>
    </w:p>
    <w:p w:rsidR="00000000" w:rsidRDefault="00000000">
      <w:pPr>
        <w:pStyle w:val="SingleTxt"/>
        <w:tabs>
          <w:tab w:val="right" w:pos="1022"/>
        </w:tabs>
        <w:spacing w:after="0" w:line="120" w:lineRule="exact"/>
        <w:ind w:right="1260"/>
        <w:rPr>
          <w:b/>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aborto según los grupos de edad de las mujeres</w:t>
      </w:r>
    </w:p>
    <w:p w:rsidR="00000000" w:rsidRDefault="00000000">
      <w:pPr>
        <w:pStyle w:val="SingleTxt"/>
        <w:spacing w:after="0" w:line="120" w:lineRule="exact"/>
        <w:rPr>
          <w:sz w:val="10"/>
        </w:rPr>
      </w:pPr>
    </w:p>
    <w:p w:rsidR="00000000" w:rsidRDefault="00000000">
      <w:pPr>
        <w:pStyle w:val="SingleTxt"/>
      </w:pPr>
      <w:r>
        <w:tab/>
        <w:t>De los datos disponibles se desprende que las altas cifras del decenio de 1950 han mejorado en cierta medida, pero no tanto como se esperaba.</w:t>
      </w:r>
    </w:p>
    <w:p w:rsidR="00000000" w:rsidRDefault="00000000">
      <w:pPr>
        <w:pStyle w:val="SingleTxt"/>
      </w:pPr>
      <w:r>
        <w:tab/>
        <w:t>Las opiniones sobre el aborto distan mucho de ser homogéneas en la sociedad y siempre ha habido debates entre los que se oponen al aborto y los que defienden el derecho de la mujer a la libre determinación. La ausencia de un consenso social puede verse en algunas decisiones del Tribunal Constitucional sobre la materia : ó</w:t>
      </w:r>
      <w:r>
        <w:t>r</w:t>
      </w:r>
      <w:r>
        <w:t>denes No. 64/1991 (XII.17.) AB y No. 48 /1998 (XI.28.) AB.</w:t>
      </w:r>
    </w:p>
    <w:p w:rsidR="00000000" w:rsidRDefault="00000000">
      <w:pPr>
        <w:pStyle w:val="SingleTxt"/>
      </w:pPr>
      <w:r>
        <w:tab/>
        <w:t>Las principales normas sobre el aborto figuran en la ley LXXIX de 1992 de protección de la vida fetal y en la orden No. 32/1992 (XII.23.)NM del Ministerio del Biene</w:t>
      </w:r>
      <w:r>
        <w:t>s</w:t>
      </w:r>
      <w:r>
        <w:t>tar sobre la aplicación de la ley:</w:t>
      </w:r>
    </w:p>
    <w:p w:rsidR="00000000" w:rsidRDefault="00000000">
      <w:pPr>
        <w:pStyle w:val="SingleTxt"/>
      </w:pPr>
      <w:r>
        <w:tab/>
        <w:t>Artículo 5. El embarazo sólo podrá interrumpirse en caso de riesgo en las co</w:t>
      </w:r>
      <w:r>
        <w:t>n</w:t>
      </w:r>
      <w:r>
        <w:t>diciones establecidas en la prese</w:t>
      </w:r>
      <w:r>
        <w:t>n</w:t>
      </w:r>
      <w:r>
        <w:t>te ley.</w:t>
      </w:r>
    </w:p>
    <w:p w:rsidR="00000000" w:rsidRDefault="00000000">
      <w:pPr>
        <w:pStyle w:val="SingleTxt"/>
      </w:pPr>
      <w:r>
        <w:tab/>
        <w:t>Párrafo 1 del artículo 6. El embarazo podrá interrumpirse antes de la duodéc</w:t>
      </w:r>
      <w:r>
        <w:t>i</w:t>
      </w:r>
      <w:r>
        <w:t>ma semana si:</w:t>
      </w:r>
    </w:p>
    <w:p w:rsidR="00000000" w:rsidRDefault="00000000">
      <w:pPr>
        <w:pStyle w:val="SingleTxt"/>
      </w:pPr>
      <w:r>
        <w:tab/>
        <w:t>a)</w:t>
      </w:r>
      <w:r>
        <w:tab/>
        <w:t>Está justificado por un motivo que ponga en grave riesgo la salud de la mujer embarazada;</w:t>
      </w:r>
    </w:p>
    <w:p w:rsidR="00000000" w:rsidRDefault="00000000">
      <w:pPr>
        <w:pStyle w:val="SingleTxt"/>
      </w:pPr>
      <w:r>
        <w:tab/>
        <w:t>b)</w:t>
      </w:r>
      <w:r>
        <w:tab/>
        <w:t>Hay un probabilidad médica de que el feto sufra una deficiencia u otra l</w:t>
      </w:r>
      <w:r>
        <w:t>e</w:t>
      </w:r>
      <w:r>
        <w:t>sión grave;</w:t>
      </w:r>
    </w:p>
    <w:p w:rsidR="00000000" w:rsidRDefault="00000000">
      <w:pPr>
        <w:pStyle w:val="SingleTxt"/>
      </w:pPr>
      <w:r>
        <w:tab/>
        <w:t>c)</w:t>
      </w:r>
      <w:r>
        <w:tab/>
        <w:t>El embarazo es consecuencia de un delito;</w:t>
      </w:r>
    </w:p>
    <w:p w:rsidR="00000000" w:rsidRDefault="00000000">
      <w:pPr>
        <w:pStyle w:val="SingleTxt"/>
      </w:pPr>
      <w:r>
        <w:tab/>
        <w:t>e)</w:t>
      </w:r>
      <w:r>
        <w:tab/>
        <w:t>La mujer embarazada se encuentra en una grave crisis.</w:t>
      </w:r>
    </w:p>
    <w:p w:rsidR="00000000" w:rsidRDefault="00000000">
      <w:pPr>
        <w:pStyle w:val="SingleTxt"/>
      </w:pPr>
      <w:r>
        <w:tab/>
        <w:t>Párrafo 2. El embarazo podrá interrumpirse antes de la decimoctava semana en las condiciones establecidas en el párrafo 1 del artículo 6 si la mujer embaraz</w:t>
      </w:r>
      <w:r>
        <w:t>a</w:t>
      </w:r>
      <w:r>
        <w:t>da:</w:t>
      </w:r>
    </w:p>
    <w:p w:rsidR="00000000" w:rsidRDefault="00000000">
      <w:pPr>
        <w:pStyle w:val="SingleTxt"/>
      </w:pPr>
      <w:r>
        <w:tab/>
        <w:t>a)</w:t>
      </w:r>
      <w:r>
        <w:tab/>
        <w:t>Tiene limitada su capacidad de disponer o carece por completo de esa c</w:t>
      </w:r>
      <w:r>
        <w:t>a</w:t>
      </w:r>
      <w:r>
        <w:t>pac</w:t>
      </w:r>
      <w:r>
        <w:t>i</w:t>
      </w:r>
      <w:r>
        <w:t>dad;</w:t>
      </w:r>
    </w:p>
    <w:p w:rsidR="00000000" w:rsidRDefault="00000000">
      <w:pPr>
        <w:pStyle w:val="SingleTxt"/>
      </w:pPr>
      <w:r>
        <w:tab/>
        <w:t>b)</w:t>
      </w:r>
      <w:r>
        <w:tab/>
        <w:t>No se apercibe de su embarazo antes por causas médicas fuera de su control o por un error médico o si el embarazo superó el período mencionado en el párrafo 1 del artículo 6 por un error del establecimiento o la autoridad sanit</w:t>
      </w:r>
      <w:r>
        <w:t>a</w:t>
      </w:r>
      <w:r>
        <w:t>ria.</w:t>
      </w:r>
    </w:p>
    <w:p w:rsidR="00000000" w:rsidRDefault="00000000">
      <w:pPr>
        <w:pStyle w:val="SingleTxt"/>
      </w:pPr>
      <w:r>
        <w:tab/>
        <w:t>Párrafo 3. El embarazo podrá interrumpirse antes de la vigésima semana, o en caso de retraso del procedimiento diagnóstico antes de la vigesimocuarta semana, si la probabilidad de que el feto sufra una deficiencia genética o teratológica alcanza el 50%.</w:t>
      </w:r>
    </w:p>
    <w:p w:rsidR="00000000" w:rsidRDefault="00000000">
      <w:pPr>
        <w:pStyle w:val="SingleTxt"/>
      </w:pPr>
      <w:r>
        <w:tab/>
        <w:t>Párrafo 4. El embarazo podrá interrumpirse cualquiera que sea su progresión:</w:t>
      </w:r>
    </w:p>
    <w:p w:rsidR="00000000" w:rsidRDefault="00000000">
      <w:pPr>
        <w:pStyle w:val="SingleTxt"/>
      </w:pPr>
      <w:r>
        <w:tab/>
        <w:t>a)</w:t>
      </w:r>
      <w:r>
        <w:tab/>
        <w:t xml:space="preserve">Por una razón que ponga en peligro la vida de la mujer embarazada o; </w:t>
      </w:r>
    </w:p>
    <w:p w:rsidR="00000000" w:rsidRDefault="00000000">
      <w:pPr>
        <w:pStyle w:val="SingleTxt"/>
      </w:pPr>
      <w:r>
        <w:tab/>
        <w:t>b)</w:t>
      </w:r>
      <w:r>
        <w:tab/>
        <w:t>Si el feto sufre de una deformidad que haría su estado incompatible con la v</w:t>
      </w:r>
      <w:r>
        <w:t>i</w:t>
      </w:r>
      <w:r>
        <w:t>da después del parto.</w:t>
      </w:r>
    </w:p>
    <w:p w:rsidR="00000000" w:rsidRDefault="00000000">
      <w:pPr>
        <w:pStyle w:val="SingleTxt"/>
      </w:pPr>
      <w:r>
        <w:tab/>
        <w:t>Párrafo 1 del artículo 7. La interrupción del embarazo podrá realizarse sobre la base de la solicitud escrita de la mujer embarazada si el aborto no está justificado por mot</w:t>
      </w:r>
      <w:r>
        <w:t>i</w:t>
      </w:r>
      <w:r>
        <w:t>vos médicos.</w:t>
      </w:r>
    </w:p>
    <w:p w:rsidR="00000000" w:rsidRDefault="00000000">
      <w:pPr>
        <w:pStyle w:val="SingleTxt"/>
      </w:pPr>
      <w:r>
        <w:tab/>
        <w:t>Párrafo 2. Además de las personas mencionadas en el párrafo 1 del articulo 3, los extranjeros residentes también podrán solicitar la interrupción del e</w:t>
      </w:r>
      <w:r>
        <w:t>m</w:t>
      </w:r>
      <w:r>
        <w:t>barazo.</w:t>
      </w:r>
    </w:p>
    <w:p w:rsidR="00000000" w:rsidRDefault="00000000">
      <w:pPr>
        <w:pStyle w:val="SingleTxt"/>
      </w:pPr>
      <w:r>
        <w:tab/>
        <w:t>Párrafo 1 del artículo 8. La mujer embarazada habrá de presentar su solicitud de interrupción del embarazo personalmente al personal del Servicio de Protección de la Familia (en lo sucesivo denominado el personal) y habrá de presentar el cert</w:t>
      </w:r>
      <w:r>
        <w:t>i</w:t>
      </w:r>
      <w:r>
        <w:t>ficado del tocólogo que certificó el emb</w:t>
      </w:r>
      <w:r>
        <w:t>a</w:t>
      </w:r>
      <w:r>
        <w:t>razo.</w:t>
      </w:r>
    </w:p>
    <w:p w:rsidR="00000000" w:rsidRDefault="00000000">
      <w:pPr>
        <w:pStyle w:val="SingleTxt"/>
      </w:pPr>
      <w:r>
        <w:tab/>
        <w:t>Párrafo 2. Para que tenga validez la declaración de la mujer embarazada que tenga limitada su capacidad de disponer será necesario presentar la declaración de su representante legal sobre el reconocimiento de la solicitud de interrupción del embar</w:t>
      </w:r>
      <w:r>
        <w:t>a</w:t>
      </w:r>
      <w:r>
        <w:t>zo.</w:t>
      </w:r>
    </w:p>
    <w:p w:rsidR="00000000" w:rsidRDefault="00000000">
      <w:pPr>
        <w:pStyle w:val="SingleTxt"/>
      </w:pPr>
      <w:r>
        <w:tab/>
        <w:t>Párrafo 3. Si la mujer carece por completo de capacidad de disponer, su sol</w:t>
      </w:r>
      <w:r>
        <w:t>i</w:t>
      </w:r>
      <w:r>
        <w:t>citud habrá de ser presentada en su nombre por su representante legal.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w:t>
      </w:r>
      <w:r>
        <w:tab/>
        <w:t>Normativa sobre el pago de los honorarios por el aborto</w:t>
      </w:r>
    </w:p>
    <w:p w:rsidR="00000000" w:rsidRDefault="00000000">
      <w:pPr>
        <w:pStyle w:val="SingleTxt"/>
        <w:spacing w:after="0" w:line="120" w:lineRule="exact"/>
        <w:rPr>
          <w:sz w:val="10"/>
        </w:rPr>
      </w:pPr>
    </w:p>
    <w:p w:rsidR="00000000" w:rsidRDefault="00000000">
      <w:pPr>
        <w:pStyle w:val="SingleTxt"/>
      </w:pPr>
      <w:r>
        <w:tab/>
        <w:t>El coste de la interrupción del embarazo será sufragado por el Fondo del Seg</w:t>
      </w:r>
      <w:r>
        <w:t>u</w:t>
      </w:r>
      <w:r>
        <w:t>ro de Salud si estuviera justificado por motivos médicos relacionados con la mujer embarazada o con el feto (párrafo 1 del artículo 16 de la Ley LXXIX de 1992). En los demás casos habrán de pagarse unos h</w:t>
      </w:r>
      <w:r>
        <w:t>o</w:t>
      </w:r>
      <w:r>
        <w:t>norarios fijos.</w:t>
      </w:r>
    </w:p>
    <w:p w:rsidR="00000000" w:rsidRDefault="00000000">
      <w:pPr>
        <w:pStyle w:val="SingleTxt"/>
      </w:pPr>
      <w:r>
        <w:tab/>
        <w:t>No obstante, la Orden No. 32/1992 (XII. 23.)NM del Ministerio de Bienestar sobre la aplicación de la Ley LXXIX de 1992 de protección de la vida fetal hace p</w:t>
      </w:r>
      <w:r>
        <w:t>o</w:t>
      </w:r>
      <w:r>
        <w:t>sible que las mujeres pobres puedan pagar unos honorarios r</w:t>
      </w:r>
      <w:r>
        <w:t>e</w:t>
      </w:r>
      <w:r>
        <w:t>ducidos.</w:t>
      </w:r>
    </w:p>
    <w:p w:rsidR="00000000" w:rsidRDefault="00000000">
      <w:pPr>
        <w:pStyle w:val="SingleTxt"/>
      </w:pPr>
      <w:r>
        <w:tab/>
        <w:t>Artículo 11. Los honorarios por la interrupción del embarazo serán de 10.000 f</w:t>
      </w:r>
      <w:r>
        <w:t>o</w:t>
      </w:r>
      <w:r>
        <w:t>rints.</w:t>
      </w:r>
    </w:p>
    <w:p w:rsidR="00000000" w:rsidRDefault="00000000">
      <w:pPr>
        <w:pStyle w:val="SingleTxt"/>
      </w:pPr>
      <w:r>
        <w:tab/>
        <w:t>Párrafo 2 del artículo 12. Los honorarios satisfechos en virtud del párrafo 1 se consignarán en la cuenta del Fo</w:t>
      </w:r>
      <w:r>
        <w:t>n</w:t>
      </w:r>
      <w:r>
        <w:t xml:space="preserve">do del Seguro de Salud. </w:t>
      </w:r>
    </w:p>
    <w:p w:rsidR="00000000" w:rsidRDefault="00000000">
      <w:pPr>
        <w:pStyle w:val="SingleTxt"/>
      </w:pPr>
      <w:r>
        <w:tab/>
        <w:t>Párrafo 1 del artículo 13. Se satisfará el 40% de los honorarios por la interru</w:t>
      </w:r>
      <w:r>
        <w:t>p</w:t>
      </w:r>
      <w:r>
        <w:t>ción del embarazo si el ingreso per capita de las personas que viven con la solic</w:t>
      </w:r>
      <w:r>
        <w:t>i</w:t>
      </w:r>
      <w:r>
        <w:t>tante de forma permanente (en lo sucesivo denominados la familia) no alcanza el 150% del salario mínimo.</w:t>
      </w:r>
    </w:p>
    <w:p w:rsidR="00000000" w:rsidRDefault="00000000">
      <w:pPr>
        <w:pStyle w:val="SingleTxt"/>
      </w:pPr>
      <w:r>
        <w:tab/>
        <w:t>Párrafo 2. Se satisfará el 15% de los honorarios por la interrupción del emb</w:t>
      </w:r>
      <w:r>
        <w:t>a</w:t>
      </w:r>
      <w:r>
        <w:t>razo si el ingreso per capita de la familia de la solicitante no alcanza el 50% del s</w:t>
      </w:r>
      <w:r>
        <w:t>a</w:t>
      </w:r>
      <w:r>
        <w:t>lario m</w:t>
      </w:r>
      <w:r>
        <w:t>í</w:t>
      </w:r>
      <w:r>
        <w:t>nimo.</w:t>
      </w:r>
    </w:p>
    <w:p w:rsidR="00000000" w:rsidRDefault="00000000">
      <w:pPr>
        <w:pStyle w:val="SingleTxt"/>
      </w:pPr>
      <w:r>
        <w:tab/>
        <w:t>Párrafo 3. Las menores que vivan en un hogar de beneficencia para niños y j</w:t>
      </w:r>
      <w:r>
        <w:t>ó</w:t>
      </w:r>
      <w:r>
        <w:t>venes o en una institución social de beneficencia o que estén acogidas en una inst</w:t>
      </w:r>
      <w:r>
        <w:t>i</w:t>
      </w:r>
      <w:r>
        <w:t>tución o estén al cuidado del Estado, así como las mujeres que reciban una prest</w:t>
      </w:r>
      <w:r>
        <w:t>a</w:t>
      </w:r>
      <w:r>
        <w:t>ción social periódica, no habrán de satisfacer honorario alguno.</w:t>
      </w:r>
    </w:p>
    <w:p w:rsidR="00000000" w:rsidRDefault="00000000">
      <w:pPr>
        <w:pStyle w:val="SingleTxt"/>
      </w:pPr>
      <w:r>
        <w:tab/>
        <w:t>Cabe destacar, sin embargo, que en la actualidad se está revisando la ley. S</w:t>
      </w:r>
      <w:r>
        <w:t>e</w:t>
      </w:r>
      <w:r>
        <w:t>gún la decisión No. 48/1998 (XI. 23.) del Tribunal Constitucional es necesario hacer más estricta la reglamentación sobre la interrupción del embarazo en relación con la emergencia social, por lo que se prevé introducir pequeñas modificaciones de la ley en el año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w:t>
      </w:r>
      <w:r>
        <w:tab/>
        <w:t>Medidas para la prevención y la reducción de los abortos</w:t>
      </w:r>
    </w:p>
    <w:p w:rsidR="00000000" w:rsidRDefault="00000000">
      <w:pPr>
        <w:pStyle w:val="SingleTxt"/>
        <w:spacing w:after="0" w:line="120" w:lineRule="exact"/>
        <w:rPr>
          <w:sz w:val="10"/>
        </w:rPr>
      </w:pPr>
    </w:p>
    <w:p w:rsidR="00000000" w:rsidRDefault="00000000">
      <w:pPr>
        <w:pStyle w:val="SingleTxt"/>
      </w:pPr>
      <w:r>
        <w:tab/>
        <w:t>Las disposiciones económicas del seguro de salud tienen por objeto el mej</w:t>
      </w:r>
      <w:r>
        <w:t>o</w:t>
      </w:r>
      <w:r>
        <w:t>ramiento de la situación de mujer embarazada y su objetivo es inducir a las mujeres a tener hijos y mantener sus fetos. Existen las siguientes disposici</w:t>
      </w:r>
      <w:r>
        <w:t>o</w:t>
      </w:r>
      <w:r>
        <w:t>nes económicas:</w:t>
      </w:r>
    </w:p>
    <w:p w:rsidR="00000000" w:rsidRDefault="00000000">
      <w:pPr>
        <w:pStyle w:val="SingleTxt"/>
        <w:ind w:left="2218" w:hanging="951"/>
      </w:pPr>
      <w:r>
        <w:tab/>
        <w:t>1.</w:t>
      </w:r>
      <w:r>
        <w:tab/>
        <w:t>Subsidio de maternidad y confinamiento, que la mujer recibe por un p</w:t>
      </w:r>
      <w:r>
        <w:t>e</w:t>
      </w:r>
      <w:r>
        <w:t>ríodo igual a la licencia por maternidad y se cifra en el 70% del promedio del ingreso di</w:t>
      </w:r>
      <w:r>
        <w:t>a</w:t>
      </w:r>
      <w:r>
        <w:t>rio.</w:t>
      </w:r>
    </w:p>
    <w:p w:rsidR="00000000" w:rsidRDefault="00000000">
      <w:pPr>
        <w:pStyle w:val="SingleTxt"/>
        <w:ind w:left="2218" w:hanging="951"/>
      </w:pPr>
      <w:r>
        <w:tab/>
        <w:t>2.</w:t>
      </w:r>
      <w:r>
        <w:tab/>
        <w:t>Subsidio de enfermedad, que la mujer percibe durante el período en que no puede trabajar. La mujer que no pueda trabajar a causa de su embarazo o el parto y no tenga derecho al subsidio de maternidad y confinamiento se considera también como incapaz de trabajar (artículos 40 a 43 de la Ley LXXXIII de 1997).</w:t>
      </w:r>
    </w:p>
    <w:p w:rsidR="00000000" w:rsidRDefault="00000000">
      <w:pPr>
        <w:pStyle w:val="SingleTxt"/>
      </w:pPr>
      <w:r>
        <w:tab/>
        <w:t>Para avanzar en este aspecto es también necesario resolver los problemas rel</w:t>
      </w:r>
      <w:r>
        <w:t>a</w:t>
      </w:r>
      <w:r>
        <w:t>cionados con los anticonceptivos que tienen las mujeres que viven en circunstancias sociales desfavorecidas. Es necesario educar a los jóvenes acerca del valor de la v</w:t>
      </w:r>
      <w:r>
        <w:t>i</w:t>
      </w:r>
      <w:r>
        <w:t>da y la responsabilidad y debería reducirse o subvencionarse el precio de los ant</w:t>
      </w:r>
      <w:r>
        <w:t>i</w:t>
      </w:r>
      <w:r>
        <w:t xml:space="preserve">conceptivos. En las escuelas se ofrece información sobre la vida sexual, pero no es parte del programa de estudios. Según los planes del Gobierno, la educación sobre unas relaciones humanas saludables, la vida sexual y la planificación de la familia serán parte del plan de estudios fundamental en el marco de la educación sobre la salud. </w:t>
      </w:r>
    </w:p>
    <w:p w:rsidR="00000000" w:rsidRDefault="00000000">
      <w:pPr>
        <w:pStyle w:val="SingleTxt"/>
      </w:pPr>
      <w:r>
        <w:tab/>
        <w:t>En el marco de la educación de las escuelas, es necesario destacar el cambio de la opinión nociva, muy difundida, de que el aborto es un método de planificación de la familia. En Hungría la liberalización del aborto tuvo lugar antes de la difusión de los modernos métodos anticonceptivos y del trabajo de información sobre la salud. La información sobre los métodos anticonceptivos apropiados, incluidos sus riesgos y sus efectos secundarios perjudiciales, es importante para todos los grupos de edad, pero especialmente para los jóvenes. Tanto la información como la instrucción y la educación son necesarias para elegir el método anticonceptivo que mejor se adapte a la pareja.</w:t>
      </w:r>
    </w:p>
    <w:p w:rsidR="00000000" w:rsidRDefault="00000000">
      <w:pPr>
        <w:pStyle w:val="SingleTxt"/>
      </w:pPr>
      <w:r>
        <w:tab/>
        <w:t>La liberalización del aborto empeora la posición desfavorecida de las mujeres puesto que tienen que enfrentarse solas a las consecuencias del embarazo por falta de info</w:t>
      </w:r>
      <w:r>
        <w:t>r</w:t>
      </w:r>
      <w:r>
        <w:t>mación.</w:t>
      </w:r>
    </w:p>
    <w:p w:rsidR="00000000" w:rsidRDefault="00000000">
      <w:pPr>
        <w:pStyle w:val="SingleTxt"/>
      </w:pPr>
      <w:r>
        <w:tab/>
        <w:t xml:space="preserve">La obligación de proporcionar información tanto a los hombres como a las mujeres es incompleta. Es también muy necesaria la información sobre el síndrome posterior al aborto. </w:t>
      </w:r>
    </w:p>
    <w:p w:rsidR="00000000" w:rsidRDefault="00000000">
      <w:pPr>
        <w:pStyle w:val="SingleTxt"/>
      </w:pPr>
      <w:r>
        <w:tab/>
        <w:t>La normativa legal sobre la labor pública en relación con la información sobre la vida sexual, además de lo cit</w:t>
      </w:r>
      <w:r>
        <w:t>a</w:t>
      </w:r>
      <w:r>
        <w:t>do anteriormente, es la siguiente:</w:t>
      </w:r>
    </w:p>
    <w:p w:rsidR="00000000" w:rsidRDefault="00000000">
      <w:pPr>
        <w:pStyle w:val="SingleTxt"/>
      </w:pPr>
      <w:r>
        <w:tab/>
        <w:t>Ley LXXIX de 1992 de protección de la vida fetal:</w:t>
      </w:r>
    </w:p>
    <w:p w:rsidR="00000000" w:rsidRDefault="00000000">
      <w:pPr>
        <w:pStyle w:val="SingleTxt"/>
      </w:pPr>
      <w:r>
        <w:tab/>
        <w:t>Párrafo 2 del artículo 2. El Servicio de Protección de la Familia que funciona en el marco de la institución local (institución de distrito en Budapest) del Servicio Público nacional de salud y de funcionarios de salud organiza la difusión de info</w:t>
      </w:r>
      <w:r>
        <w:t>r</w:t>
      </w:r>
      <w:r>
        <w:t>mación relacionada con la planificación de la familia en las instituciones educativas.</w:t>
      </w:r>
    </w:p>
    <w:p w:rsidR="00000000" w:rsidRDefault="00000000">
      <w:pPr>
        <w:pStyle w:val="SingleTxt"/>
      </w:pPr>
      <w:r>
        <w:tab/>
        <w:t>Párrafo 3. El Estado promueve la protección de la vida fetal, la difusión de p</w:t>
      </w:r>
      <w:r>
        <w:t>u</w:t>
      </w:r>
      <w:r>
        <w:t>blicaciones sobre los métodos anticonceptivos y su presentación en los medios de comunic</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Situación de la mujer trabajadora que permanece en el hogar con el hijo recién nac</w:t>
      </w:r>
      <w:r>
        <w:t>i</w:t>
      </w:r>
      <w:r>
        <w:t>do</w:t>
      </w:r>
    </w:p>
    <w:p w:rsidR="00000000" w:rsidRDefault="00000000">
      <w:pPr>
        <w:pStyle w:val="SingleTxt"/>
        <w:spacing w:after="0" w:line="120" w:lineRule="exact"/>
        <w:rPr>
          <w:sz w:val="10"/>
        </w:rPr>
      </w:pPr>
    </w:p>
    <w:p w:rsidR="00000000" w:rsidRDefault="00000000">
      <w:pPr>
        <w:pStyle w:val="SingleTxt"/>
        <w:rPr>
          <w:w w:val="101"/>
        </w:rPr>
      </w:pPr>
      <w:r>
        <w:rPr>
          <w:w w:val="101"/>
        </w:rPr>
        <w:tab/>
        <w:t>Las mujeres húngaras tomaron en el decenio de 1950 la decisión de incorporarse al mercado de trabajo, de modo que el mayor número de mujeres trabajadoras estaba, después de la Unión Soviética, en Hungría. El sistema húngaro de asignaciones y su</w:t>
      </w:r>
      <w:r>
        <w:rPr>
          <w:w w:val="101"/>
        </w:rPr>
        <w:t>b</w:t>
      </w:r>
      <w:r>
        <w:rPr>
          <w:w w:val="101"/>
        </w:rPr>
        <w:t>venciones para el cuidado de los hijos, el sistema de la atención de los hijos, que a</w:t>
      </w:r>
      <w:r>
        <w:rPr>
          <w:w w:val="101"/>
        </w:rPr>
        <w:t>l</w:t>
      </w:r>
      <w:r>
        <w:rPr>
          <w:w w:val="101"/>
        </w:rPr>
        <w:t>gunas personas criticaban como un “exceso prematuro del Estado del bienestar”, fue un intento singular y ejemplar del que podemos sentirnos orgullosos. Fue una medida especialmente importante del actual Gobierno el hacer que las asignaciones para el cuidado de los hijos y las prestaciones f</w:t>
      </w:r>
      <w:r>
        <w:rPr>
          <w:w w:val="101"/>
        </w:rPr>
        <w:t>a</w:t>
      </w:r>
      <w:r>
        <w:rPr>
          <w:w w:val="101"/>
        </w:rPr>
        <w:t>miliares se considerasen un derecho cívico.</w:t>
      </w:r>
    </w:p>
    <w:p w:rsidR="00000000" w:rsidRDefault="00000000">
      <w:pPr>
        <w:pStyle w:val="SingleTxt"/>
      </w:pPr>
      <w:r>
        <w:tab/>
        <w:t>Tener un hijo es un reto especial para la mujer. Es necesario establecer las condiciones de la doble función que tienen que desempeñar de forma que las muj</w:t>
      </w:r>
      <w:r>
        <w:t>e</w:t>
      </w:r>
      <w:r>
        <w:t>res puedan ser madres, pero al mismo tiempo puedan utilizar sus excelentes capac</w:t>
      </w:r>
      <w:r>
        <w:t>i</w:t>
      </w:r>
      <w:r>
        <w:t>dades en la sociedad (por ejemplo, son menos sensibles, también por sus aspectos biológicos propios, a la jerarquía, por lo que pueden desempeñar un papel impo</w:t>
      </w:r>
      <w:r>
        <w:t>r</w:t>
      </w:r>
      <w:r>
        <w:t>tante en la formación de la sociedad democrática).</w:t>
      </w:r>
    </w:p>
    <w:p w:rsidR="00000000" w:rsidRDefault="00000000">
      <w:pPr>
        <w:pStyle w:val="SingleTxt"/>
      </w:pPr>
      <w:r>
        <w:tab/>
        <w:t>El sistema de bienestar de los hijos y de protección de los niños ofrece ayuda a las madres con hijos que se enfre</w:t>
      </w:r>
      <w:r>
        <w:t>n</w:t>
      </w:r>
      <w:r>
        <w:t>tan a una crisis:</w:t>
      </w:r>
    </w:p>
    <w:p w:rsidR="00000000" w:rsidRDefault="00000000">
      <w:pPr>
        <w:pStyle w:val="SingleTxt"/>
        <w:tabs>
          <w:tab w:val="right" w:pos="1685"/>
        </w:tabs>
        <w:ind w:left="1742" w:hanging="475"/>
      </w:pPr>
      <w:r>
        <w:tab/>
        <w:t>–</w:t>
      </w:r>
      <w:r>
        <w:tab/>
        <w:t>El servicio de apoyo a la familia y de bienestar de los hijos proporciona info</w:t>
      </w:r>
      <w:r>
        <w:t>r</w:t>
      </w:r>
      <w:r>
        <w:t>mación y asesoramiento y ofrece asistencia en la gestión de los asuntos ofici</w:t>
      </w:r>
      <w:r>
        <w:t>a</w:t>
      </w:r>
      <w:r>
        <w:t>les y la atención familiar. Según la ley de protección de los niños, una tarea e</w:t>
      </w:r>
      <w:r>
        <w:t>s</w:t>
      </w:r>
      <w:r>
        <w:t>pecialmente indicada para el servicio de bienestar de los hijos es proporcionar asistencia, ayuda y asesoramiento a las mujeres embarazadas que enfrentan a una crisis s</w:t>
      </w:r>
      <w:r>
        <w:t>o</w:t>
      </w:r>
      <w:r>
        <w:t>cial.</w:t>
      </w:r>
    </w:p>
    <w:p w:rsidR="00000000" w:rsidRDefault="00000000">
      <w:pPr>
        <w:pStyle w:val="SingleTxt"/>
        <w:tabs>
          <w:tab w:val="right" w:pos="1685"/>
        </w:tabs>
        <w:ind w:left="1742" w:hanging="475"/>
      </w:pPr>
      <w:r>
        <w:tab/>
        <w:t>–</w:t>
      </w:r>
      <w:r>
        <w:tab/>
        <w:t>Disposiciones económicas: apoyo permanente o extraordinario para el biene</w:t>
      </w:r>
      <w:r>
        <w:t>s</w:t>
      </w:r>
      <w:r>
        <w:t>tar de los hijos y adelantos sobre su manutención.</w:t>
      </w:r>
    </w:p>
    <w:p w:rsidR="00000000" w:rsidRDefault="00000000">
      <w:pPr>
        <w:pStyle w:val="SingleTxt"/>
        <w:tabs>
          <w:tab w:val="right" w:pos="1685"/>
        </w:tabs>
        <w:ind w:left="1742" w:hanging="475"/>
      </w:pPr>
      <w:r>
        <w:tab/>
        <w:t>–</w:t>
      </w:r>
      <w:r>
        <w:tab/>
        <w:t>Albergues de familias durante un período transitorio (hay 55 albergues en Hungría) que ofrecen alojamie</w:t>
      </w:r>
      <w:r>
        <w:t>n</w:t>
      </w:r>
      <w:r>
        <w:t>to y manutención a las madres y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Adopción</w:t>
      </w:r>
    </w:p>
    <w:p w:rsidR="00000000" w:rsidRDefault="00000000">
      <w:pPr>
        <w:pStyle w:val="SingleTxt"/>
        <w:spacing w:after="0" w:line="120" w:lineRule="exact"/>
        <w:rPr>
          <w:sz w:val="10"/>
        </w:rPr>
      </w:pPr>
    </w:p>
    <w:p w:rsidR="00000000" w:rsidRDefault="00000000">
      <w:pPr>
        <w:pStyle w:val="SingleTxt"/>
      </w:pPr>
      <w:r>
        <w:tab/>
        <w:t>Según la normativa, corresponde al servicio local de bienestar de los hijos pr</w:t>
      </w:r>
      <w:r>
        <w:t>e</w:t>
      </w:r>
      <w:r>
        <w:t>parar la adopción y elegir los padres adoptivos más convenientes para los niños que puedan adoptarse y estén incluidos en el correspondiente registro.</w:t>
      </w:r>
    </w:p>
    <w:p w:rsidR="00000000" w:rsidRDefault="00000000">
      <w:pPr>
        <w:pStyle w:val="SingleTxt"/>
      </w:pPr>
      <w:r>
        <w:tab/>
        <w:t>Se considera discriminación el obligar a la mujer a ofrecer su hijo en adopción o a solicitar una prestación institucional como consecuencia de su inmadurez, su s</w:t>
      </w:r>
      <w:r>
        <w:t>i</w:t>
      </w:r>
      <w:r>
        <w:t>tuación financiera o motivos familiares. Hoy día miles de mujeres sufren porque no pueden criar a sus hijos por sí mismas. A ese respecto, pueden diferenciarse varias categorías de mujeres. El número de mujeres sin hogar o que viven en circunstancias profundamente inadecuadas y no pueden obtener un albergue para madres, puesto que hay un número limitado de ellos, o que no pueden obtener alojamiento crece continuamente. Hay mucho por hacer aún en relación con el alojamiento de las m</w:t>
      </w:r>
      <w:r>
        <w:t>a</w:t>
      </w:r>
      <w:r>
        <w:t>dres en residencias, pero, según los datos oficiales, en 1998 había 98 plazas en las res</w:t>
      </w:r>
      <w:r>
        <w:t>i</w:t>
      </w:r>
      <w:r>
        <w:t>dencias y fueron 166 las madres que solicitaron una plaza.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Estado civil</w:t>
      </w:r>
    </w:p>
    <w:p w:rsidR="00000000" w:rsidRDefault="00000000">
      <w:pPr>
        <w:pStyle w:val="SingleTxt"/>
        <w:spacing w:after="0" w:line="120" w:lineRule="exact"/>
        <w:rPr>
          <w:sz w:val="10"/>
        </w:rPr>
      </w:pPr>
    </w:p>
    <w:p w:rsidR="00000000" w:rsidRDefault="00000000">
      <w:pPr>
        <w:pStyle w:val="SingleTxt"/>
      </w:pPr>
      <w:r>
        <w:tab/>
        <w:t>Población de Hungría desglosada por estado civil en 1949-1999 (al 1° de enero de cada año, expresada en porcentaje).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Porcentaje de hombres mayores de 15 años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86"/>
              <w:jc w:val="right"/>
              <w:rPr>
                <w:i/>
                <w:sz w:val="14"/>
              </w:rPr>
            </w:pPr>
            <w:r>
              <w:rPr>
                <w:i/>
                <w:sz w:val="14"/>
              </w:rPr>
              <w:t>Solteros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86"/>
              <w:jc w:val="right"/>
              <w:rPr>
                <w:i/>
                <w:sz w:val="14"/>
              </w:rPr>
            </w:pPr>
            <w:r>
              <w:rPr>
                <w:i/>
                <w:sz w:val="14"/>
              </w:rPr>
              <w:t>Casados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86"/>
              <w:jc w:val="right"/>
              <w:rPr>
                <w:i/>
                <w:sz w:val="14"/>
              </w:rPr>
            </w:pPr>
            <w:r>
              <w:rPr>
                <w:i/>
                <w:sz w:val="14"/>
              </w:rPr>
              <w:t>Viudos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86"/>
              <w:jc w:val="right"/>
              <w:rPr>
                <w:i/>
                <w:sz w:val="14"/>
              </w:rPr>
            </w:pPr>
            <w:r>
              <w:rPr>
                <w:i/>
                <w:sz w:val="14"/>
              </w:rPr>
              <w:t>Divorciados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7,6</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31,5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56,7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mayores de 15 años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101"/>
              <w:jc w:val="right"/>
              <w:rPr>
                <w:i/>
                <w:sz w:val="14"/>
              </w:rPr>
            </w:pPr>
            <w:r>
              <w:rPr>
                <w:i/>
                <w:sz w:val="14"/>
              </w:rPr>
              <w:t>Solteras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101"/>
              <w:jc w:val="right"/>
              <w:rPr>
                <w:i/>
                <w:sz w:val="14"/>
              </w:rPr>
            </w:pPr>
            <w:r>
              <w:rPr>
                <w:i/>
                <w:sz w:val="14"/>
              </w:rPr>
              <w:t>Casadas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101"/>
              <w:jc w:val="right"/>
              <w:rPr>
                <w:i/>
                <w:sz w:val="14"/>
              </w:rPr>
            </w:pPr>
            <w:r>
              <w:rPr>
                <w:i/>
                <w:sz w:val="14"/>
              </w:rPr>
              <w:t>Viudas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101"/>
              <w:jc w:val="right"/>
              <w:rPr>
                <w:i/>
                <w:sz w:val="14"/>
              </w:rPr>
            </w:pPr>
            <w:r>
              <w:rPr>
                <w:i/>
                <w:sz w:val="14"/>
              </w:rPr>
              <w:t>Divorciadas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22,7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64,3</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20,3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9,5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20,7</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51,3</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9,8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21,2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50,5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18,2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10,1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datos del cuadro muestran el cambio de la importancia de los diferentes estados civiles en los últimos 50 años. Entre la población mayor de 15 años, la pr</w:t>
      </w:r>
      <w:r>
        <w:t>o</w:t>
      </w:r>
      <w:r>
        <w:t>porción de hombres y mujeres solteros era relativamente alta en 1949 (30,6% para los hombres y 22,7% para las mujeres), esas cifras se redujeron gradualmente hasta mediados del decenio de 1980 cuando comenzaron a aumentar de nuevo. Actua</w:t>
      </w:r>
      <w:r>
        <w:t>l</w:t>
      </w:r>
      <w:r>
        <w:t>mente, la proporción de hombres solteros es mayor que en 1949 (31,5%), mientras que la proporción de mujeres solteras se acerca a la cifra de 1949 (21,2%). La pr</w:t>
      </w:r>
      <w:r>
        <w:t>o</w:t>
      </w:r>
      <w:r>
        <w:t>porción de viudos se mantuvo entre el 3,2 y 3.9% . La proporción de viudas alcanzó una cifra extremadamente alta (16,6%) como consecuencia de la guerra y comenzó a aumentar a partir del decenio de 1979 simultáneamente con el deterioro de la tasa de mortalidad de los hombres. Así pues, a partir de mediados del decenio de 1980 aproximadamente una de cada seis mujeres mayores de 15 años es viuda. La propo</w:t>
      </w:r>
      <w:r>
        <w:t>r</w:t>
      </w:r>
      <w:r>
        <w:t xml:space="preserve">ción de personas divorciadas presenta un aumento espectacular durante el período que se examina. Mientras que en 1949 estaban divorciados menos del 1% de los hombres y algo más del 1% de las mujeres, esas proporciones alcanzaron el 7,9% de los hombres y el 10,1% de las mujeres para fines del decenio de 1990. El aumento de la proporción de viudos, viudas y personas divorciadas guarda relación con el descenso del número de segundos matrimonios. </w:t>
      </w:r>
    </w:p>
    <w:p w:rsidR="00000000" w:rsidRDefault="00000000">
      <w:pPr>
        <w:pStyle w:val="SingleTxt"/>
        <w:rPr>
          <w:w w:val="102"/>
        </w:rPr>
      </w:pPr>
      <w:r>
        <w:tab/>
        <w:t xml:space="preserve">Los datos de fines del decenio de 1990 sobre el crecimiento de la proporción de hombres y mujeres solteros y divorciados muestra que la actitud de la población con respecto al matrimonio se ha modificado. La proporción de hombres y mujeres </w:t>
      </w:r>
      <w:r>
        <w:rPr>
          <w:w w:val="102"/>
        </w:rPr>
        <w:t>casados era destacadamente alta en el período de veinte años comprendida entre 1960 y 1980. La proporción del 70% de los hombres y el 64% de las mujeres muestra que en esos decenios el matrimonio era el estado civil que la opinión pública recon</w:t>
      </w:r>
      <w:r>
        <w:rPr>
          <w:w w:val="102"/>
        </w:rPr>
        <w:t>o</w:t>
      </w:r>
      <w:r>
        <w:rPr>
          <w:w w:val="102"/>
        </w:rPr>
        <w:t>cía como normal para los adultos jóvenes, o que distintas fuerzas y ventajas econ</w:t>
      </w:r>
      <w:r>
        <w:rPr>
          <w:w w:val="102"/>
        </w:rPr>
        <w:t>ó</w:t>
      </w:r>
      <w:r>
        <w:rPr>
          <w:w w:val="102"/>
        </w:rPr>
        <w:t>micas les orientaban en la dirección del matrimonio. Sin embargo, puede verse que en el decenio de 1990 el matrimonio ha ido gradualmente perdiendo popular</w:t>
      </w:r>
      <w:r>
        <w:rPr>
          <w:w w:val="102"/>
        </w:rPr>
        <w:t>i</w:t>
      </w:r>
      <w:r>
        <w:rPr>
          <w:w w:val="102"/>
        </w:rPr>
        <w:t>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hecho del matrimonio</w:t>
      </w:r>
    </w:p>
    <w:p w:rsidR="00000000" w:rsidRDefault="00000000">
      <w:pPr>
        <w:pStyle w:val="SingleTxt"/>
        <w:spacing w:after="0" w:line="120" w:lineRule="exact"/>
        <w:rPr>
          <w:sz w:val="10"/>
        </w:rPr>
      </w:pPr>
    </w:p>
    <w:p w:rsidR="00000000" w:rsidRDefault="00000000">
      <w:pPr>
        <w:pStyle w:val="SingleTxt"/>
      </w:pPr>
      <w:r>
        <w:tab/>
        <w:t>Comenzamos la presentación del cambio de las costumbres matrimoniales y de los motivos que explican ese cambio con el análisis del siguiente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índices de matrimonio en 1948-1998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440"/>
        <w:gridCol w:w="1440"/>
        <w:gridCol w:w="1620"/>
        <w:gridCol w:w="1575"/>
      </w:tblGrid>
      <w:tr w:rsidR="00000000">
        <w:tblPrEx>
          <w:tblCellMar>
            <w:top w:w="0" w:type="dxa"/>
            <w:left w:w="0" w:type="dxa"/>
            <w:bottom w:w="0" w:type="dxa"/>
            <w:right w:w="0" w:type="dxa"/>
          </w:tblCellMar>
        </w:tblPrEx>
        <w:trPr>
          <w:cantSplit/>
          <w:tblHeader/>
        </w:trPr>
        <w:tc>
          <w:tcPr>
            <w:tcW w:w="12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Años</w:t>
            </w:r>
          </w:p>
        </w:tc>
        <w:tc>
          <w:tcPr>
            <w:tcW w:w="607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 Número de matrimonios</w:t>
            </w:r>
          </w:p>
        </w:tc>
      </w:tr>
      <w:tr w:rsidR="00000000">
        <w:tblPrEx>
          <w:tblCellMar>
            <w:top w:w="0" w:type="dxa"/>
            <w:left w:w="0" w:type="dxa"/>
            <w:bottom w:w="0" w:type="dxa"/>
            <w:right w:w="0" w:type="dxa"/>
          </w:tblCellMar>
        </w:tblPrEx>
        <w:trPr>
          <w:cantSplit/>
          <w:tblHeader/>
        </w:trPr>
        <w:tc>
          <w:tcPr>
            <w:tcW w:w="126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44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Total</w:t>
            </w:r>
          </w:p>
        </w:tc>
        <w:tc>
          <w:tcPr>
            <w:tcW w:w="144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Por cada 1.000 habitantes</w:t>
            </w:r>
          </w:p>
        </w:tc>
        <w:tc>
          <w:tcPr>
            <w:tcW w:w="162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Por cada 1.000 hombres de más de 15 años</w:t>
            </w:r>
          </w:p>
        </w:tc>
        <w:tc>
          <w:tcPr>
            <w:tcW w:w="1575"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Por cada 1.000 mujeres de más de 15 años</w:t>
            </w:r>
          </w:p>
        </w:tc>
      </w:tr>
      <w:tr w:rsidR="00000000">
        <w:tblPrEx>
          <w:tblCellMar>
            <w:top w:w="0" w:type="dxa"/>
            <w:left w:w="0" w:type="dxa"/>
            <w:bottom w:w="0" w:type="dxa"/>
            <w:right w:w="0" w:type="dxa"/>
          </w:tblCellMar>
        </w:tblPrEx>
        <w:trPr>
          <w:cantSplit/>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1948-1949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102 765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w:t>
            </w:r>
          </w:p>
        </w:tc>
        <w:tc>
          <w:tcPr>
            <w:tcW w:w="15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r>
      <w:tr w:rsidR="00000000">
        <w:tblPrEx>
          <w:tblCellMar>
            <w:top w:w="0" w:type="dxa"/>
            <w:left w:w="0" w:type="dxa"/>
            <w:bottom w:w="0" w:type="dxa"/>
            <w:right w:w="0" w:type="dxa"/>
          </w:tblCellMar>
        </w:tblPrEx>
        <w:trPr>
          <w:cantSpli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1970-1979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97 097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15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r>
      <w:tr w:rsidR="00000000">
        <w:tblPrEx>
          <w:tblCellMar>
            <w:top w:w="0" w:type="dxa"/>
            <w:left w:w="0" w:type="dxa"/>
            <w:bottom w:w="0" w:type="dxa"/>
            <w:right w:w="0" w:type="dxa"/>
          </w:tblCellMar>
        </w:tblPrEx>
        <w:trPr>
          <w:cantSpli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66 405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15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r>
      <w:tr w:rsidR="00000000">
        <w:tblPrEx>
          <w:tblCellMar>
            <w:top w:w="0" w:type="dxa"/>
            <w:left w:w="0" w:type="dxa"/>
            <w:bottom w:w="0" w:type="dxa"/>
            <w:right w:w="0" w:type="dxa"/>
          </w:tblCellMar>
        </w:tblPrEx>
        <w:trPr>
          <w:cantSpli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48 930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15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left w:w="0" w:type="dxa"/>
            <w:bottom w:w="0" w:type="dxa"/>
            <w:right w:w="0" w:type="dxa"/>
          </w:tblCellMar>
        </w:tblPrEx>
        <w:trPr>
          <w:cantSplit/>
        </w:trPr>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46 905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15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rPr>
          <w:cantSplit/>
        </w:trPr>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45 500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Hoy día, el número de matrimonios se ha reducido a 45.500, lo que supone una reducción de más del 50% en comparación con los más de 100.000 matrimonios anuales como promedio en 1948/1949. Ese descenso comenzó en el decenio de 1980, en comparación con el número relativamente alto de matrimonios en el dec</w:t>
      </w:r>
      <w:r>
        <w:t>e</w:t>
      </w:r>
      <w:r>
        <w:t>nio de 1970, pero el descenso espectacular corresponde a los últimos años. Por ejemplo, en 1998 se contrajeron 11.500 matrimonio menos que en 1992. El descenso puede comprobarse no sólo a partir de las cifras absolutas de matrimonios, ya que mientras que en 1948-1949 se contrajeron 11,2 matrimonios por cada 1000 habita</w:t>
      </w:r>
      <w:r>
        <w:t>n</w:t>
      </w:r>
      <w:r>
        <w:t>tes, esa proporción fue de sólo 4,5 en 1998. En 1998 se contrajeron 27 matrimonios por cada 1000 hombres no casados mayores de 15 años (en comparación con los 80 en el decenio de 1979) y se contrajeron 20,9 matrimonios por cada 1000 mujeres no casadas mayores de 15 años (en comparación con los 61,4 matrimonios en el dec</w:t>
      </w:r>
      <w:r>
        <w:t>e</w:t>
      </w:r>
      <w:r>
        <w:t>nio de 1970).</w:t>
      </w:r>
    </w:p>
    <w:p w:rsidR="00000000" w:rsidRDefault="00000000">
      <w:pPr>
        <w:pStyle w:val="SingleTxt"/>
      </w:pPr>
      <w:r>
        <w:tab/>
        <w:t>Esa tendencia del matrimonio y su baja proporción a mediados del decenio de 1990 puede explicarse por la conjugación de los efectos de varios factores. En pr</w:t>
      </w:r>
      <w:r>
        <w:t>i</w:t>
      </w:r>
      <w:r>
        <w:t>mer lugar, cabe destacar el momento en el que se contrae matrimonio. En el decenio de 1970 entre el 14% y el 15% de las mujeres estaban casadas antes de cumplir los 18 años, el 40% antes de los 20 años y el 80% antes de los 25 años. La edad con la que se contrae el primer matrimonio comenzó a aumentar gradualmente desde el d</w:t>
      </w:r>
      <w:r>
        <w:t>e</w:t>
      </w:r>
      <w:r>
        <w:t>cenio de 1980, con lo que hoy tan sólo entre el 4% y el 5% de las mujeres están c</w:t>
      </w:r>
      <w:r>
        <w:t>a</w:t>
      </w:r>
      <w:r>
        <w:t>sadas antes de los 18 años y tan sólo entre el 18% y el 20% lo están antes de los 20 años.</w:t>
      </w:r>
    </w:p>
    <w:p w:rsidR="00000000" w:rsidRDefault="00000000">
      <w:pPr>
        <w:pStyle w:val="SingleTxt"/>
      </w:pPr>
      <w:r>
        <w:tab/>
        <w:t>El retraso de la edad de contraer matrimonio y la pérdida de popularidad de la institución matrimonial guarda relación con el aumento del nivel de educación de las mujeres, y especialmente con su afluencia masiva a las escuelas que ofrecen formación intermedia y superior. La posición de las mujeres jóvenes no se adapta a la posición tradicional de la mujer casada durante los años en que se está educando, por lo que la mayoría de ellas contrae matrimonio únicamente tras obtener su nivel de educación más alto. La opinión pública percibe también como normal el que a</w:t>
      </w:r>
      <w:r>
        <w:t>l</w:t>
      </w:r>
      <w:r>
        <w:t>guien contraiga matrimonio sólo después de abandonar la escuela. Por otra parte, la educación mejora las posibilidades de la mujer en el mercado de trabajo, amplía sus posibilidades de elección e incluso hace posible que no tengan que aceptar la forma tr</w:t>
      </w:r>
      <w:r>
        <w:t>a</w:t>
      </w:r>
      <w:r>
        <w:t>dicional de matrimonio.</w:t>
      </w:r>
    </w:p>
    <w:p w:rsidR="00000000" w:rsidRDefault="00000000">
      <w:pPr>
        <w:pStyle w:val="SingleTxt"/>
        <w:rPr>
          <w:w w:val="101"/>
        </w:rPr>
      </w:pPr>
      <w:r>
        <w:tab/>
      </w:r>
      <w:r>
        <w:rPr>
          <w:w w:val="101"/>
        </w:rPr>
        <w:t>Otra razón para la tendencia a la baja del matrimonio en el decenio de 1990 es el cambio de postura ante un nuevo matrimonio. El número de hombres y mujeres que volvieron a casarse en 1980 fue de 23.506, en 1990 fue de 18.478 y en 1999 de 13.000. Mientras que en el decenio de 1950 contrajeron matrimonio 270 de cada 1000 hombres divorciados, esa proporción se redujo a sólo 35 a mediados del decenio de 1990. En el decenio de 1950 contrajeron matrimonio 115 mujeres por cada 1000 d</w:t>
      </w:r>
      <w:r>
        <w:rPr>
          <w:w w:val="101"/>
        </w:rPr>
        <w:t>i</w:t>
      </w:r>
      <w:r>
        <w:rPr>
          <w:w w:val="101"/>
        </w:rPr>
        <w:t>vorciadas, proporción que ha descendido a 23. Ello significa que las posibilidades de los hombres y mujeres divorciados de volver a casarse se han acercado de forma i</w:t>
      </w:r>
      <w:r>
        <w:rPr>
          <w:w w:val="101"/>
        </w:rPr>
        <w:t>m</w:t>
      </w:r>
      <w:r>
        <w:rPr>
          <w:w w:val="101"/>
        </w:rPr>
        <w:t>portante. Mientras que hasta el decenio de 1960 la probabilidad de los hombres divo</w:t>
      </w:r>
      <w:r>
        <w:rPr>
          <w:w w:val="101"/>
        </w:rPr>
        <w:t>r</w:t>
      </w:r>
      <w:r>
        <w:rPr>
          <w:w w:val="101"/>
        </w:rPr>
        <w:t>ciados de volver a casarse era doble que la de las mujeres, para mediados del decenio de 1990 las posibilidades de hombres y mujeres se habían igualado. Los datos indican que los hombres y mujeres divorciados muestran menos inclinación a volver a casarse en comparación con su disposición hace algunos dec</w:t>
      </w:r>
      <w:r>
        <w:rPr>
          <w:w w:val="101"/>
        </w:rPr>
        <w:t>e</w:t>
      </w:r>
      <w:r>
        <w:rPr>
          <w:w w:val="101"/>
        </w:rPr>
        <w:t>nios.</w:t>
      </w:r>
    </w:p>
    <w:p w:rsidR="00000000" w:rsidRDefault="00000000">
      <w:pPr>
        <w:pStyle w:val="SingleTxt"/>
      </w:pPr>
      <w:r>
        <w:tab/>
        <w:t>La pérdida de popularidad del matrimonio como relación preferible de las pe</w:t>
      </w:r>
      <w:r>
        <w:t>r</w:t>
      </w:r>
      <w:r>
        <w:t>sonas que deciden compartir su vida puede relacionarse también, por supuesto, con factores económicos. Debido a la falta de datos empíricos, tan sólo cabe suponer que hay algunos hombres y mujeres entre los que se han beneficiado del cambio de r</w:t>
      </w:r>
      <w:r>
        <w:t>é</w:t>
      </w:r>
      <w:r>
        <w:t>gimen que pueden “permitirse” permanecer solteros o vivir con alguien sin casarse. Pueden mantener una vivienda y un nivel de vida considerado normal, por lo que no precisan la seguridad económica que puede ofrecer el matrimonio. El aumento del nivel de educación de la mujer desempeña también un papel importante a medida que cada vez son más las que se acercan a ese nivel de la sociedad. Ese nivel es sin duda “producto” del último decenio y se parece mucho a los estratos medios de los países occidentales en el disfrute de un buen nivel de vida y la elección de un estado civil similar.</w:t>
      </w:r>
    </w:p>
    <w:p w:rsidR="00000000" w:rsidRDefault="00000000">
      <w:pPr>
        <w:pStyle w:val="SingleTxt"/>
      </w:pPr>
      <w:r>
        <w:tab/>
        <w:t>Otra razón económica para retrasar el matrimonio o no contraerlo en absoluto tiene su origen en otra parte de la sociedad, los estratos que se empobrecen. El d</w:t>
      </w:r>
      <w:r>
        <w:t>e</w:t>
      </w:r>
      <w:r>
        <w:t>sempleo afecta a las personas que comienzan su carrera en una proporción mayor que el promedio, por lo que en el caso de esos jóvenes sin ingresos propios la fund</w:t>
      </w:r>
      <w:r>
        <w:t>a</w:t>
      </w:r>
      <w:r>
        <w:t>ción de una fam</w:t>
      </w:r>
      <w:r>
        <w:t>i</w:t>
      </w:r>
      <w:r>
        <w:t>lia se pospone a un incierto futuro.</w:t>
      </w:r>
    </w:p>
    <w:p w:rsidR="00000000" w:rsidRDefault="00000000">
      <w:pPr>
        <w:pStyle w:val="SingleTxt"/>
      </w:pPr>
      <w:r>
        <w:tab/>
        <w:t>Esos hechos demuestran que el matrimonio como forma preferida de relación entre compañeros ha perdido su importancia exclusiva para los jóvenes. Comienzan a tener importancia y a destacarse los inconvenientes del matrimonio. Los inconv</w:t>
      </w:r>
      <w:r>
        <w:t>e</w:t>
      </w:r>
      <w:r>
        <w:t>nientes del compromiso matrimonial superan sus ventajas para la generación joven, que aún no ha vivido el matrimonio y para los divorciados. Las señales de esa act</w:t>
      </w:r>
      <w:r>
        <w:t>i</w:t>
      </w:r>
      <w:r>
        <w:t>tud aparecen en los resultados de una investigación empírica según la cual la op</w:t>
      </w:r>
      <w:r>
        <w:t>i</w:t>
      </w:r>
      <w:r>
        <w:t>nión de la población más joven, más educada y urbana es más escéptica y crítica con el matrimonio en comparación con la actitud promedio y con la que prevalecía en el decenio de 1980.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Cohabitación sin matrimonio</w:t>
      </w:r>
    </w:p>
    <w:p w:rsidR="00000000" w:rsidRDefault="00000000">
      <w:pPr>
        <w:pStyle w:val="SingleTxt"/>
        <w:spacing w:after="0" w:line="120" w:lineRule="exact"/>
        <w:rPr>
          <w:sz w:val="10"/>
        </w:rPr>
      </w:pPr>
    </w:p>
    <w:p w:rsidR="00000000" w:rsidRDefault="00000000">
      <w:pPr>
        <w:pStyle w:val="SingleTxt"/>
      </w:pPr>
      <w:r>
        <w:tab/>
        <w:t>El descenso de la popularidad del matrimonio guarda relación también con el hecho de que los prejuicios y la aceptación de los matrimonios de derecho común han cambiado mucho en la sociedad. El número y la proporción de matrimonios de derecho común son todavía bajos dentro de la categoría de relaciones permanentes en Hungría, en comparación con los países nórdicos, pero esa tendencia fue esp</w:t>
      </w:r>
      <w:r>
        <w:t>e</w:t>
      </w:r>
      <w:r>
        <w:t>cialmente intensa en los últimos decenios. Por una parte, esa forma de relación est</w:t>
      </w:r>
      <w:r>
        <w:t>u</w:t>
      </w:r>
      <w:r>
        <w:t>vo vinculada durante mucho tiempo con los estratos más bajos de la sociedad y , por otra, era aceptada por la opinión pública en el caso de determinados grupos sociales (viudos, viudas y divorciados). El crecimiento del número de matrimonios de der</w:t>
      </w:r>
      <w:r>
        <w:t>e</w:t>
      </w:r>
      <w:r>
        <w:t>cho común se redujo por causa de factores económicos (en primer lugar las posibil</w:t>
      </w:r>
      <w:r>
        <w:t>i</w:t>
      </w:r>
      <w:r>
        <w:t>dades de conseguir una vivienda), factores jurídicos y, por último, aunque no con menos importancia, por los juicios de valor de la sociedad, que respetaba los matr</w:t>
      </w:r>
      <w:r>
        <w:t>i</w:t>
      </w:r>
      <w:r>
        <w:t>monios y no consideraba el matrimonio de derecho común como una solución apr</w:t>
      </w:r>
      <w:r>
        <w:t>o</w:t>
      </w:r>
      <w:r>
        <w:t>piada. El paso del tiempo desde el cambio de régimen ha reducido el efecto de esos factores, con lo que el matrimonio de derecho común se ha convertido en una rel</w:t>
      </w:r>
      <w:r>
        <w:t>a</w:t>
      </w:r>
      <w:r>
        <w:t>ción de compañeros gradualmente aceptada también en el caso de personas jóvenes que aún no se han casado. Según los datos del Mikrocenzus, el número de personas que viven en el seno de un matrimonio de derecho común ha aumentado de 125.000 (en 1990) a 180.000 (en 1996) lo que supone que el 7% de las familias vive en p</w:t>
      </w:r>
      <w:r>
        <w:t>a</w:t>
      </w:r>
      <w:r>
        <w:t>rejas de hecho. La tasa de personas que cohabitan sin matrimonio es extremad</w:t>
      </w:r>
      <w:r>
        <w:t>a</w:t>
      </w:r>
      <w:r>
        <w:t>mente alta en los grupos de edad más jóvenes. En 1994 una de cada tres mujeres de edad comprendida entre los 15 y los 19 años que vivía con un compañero lo hacía en un matrimonio de derecho común (esa proporción era del 3% en el mismo grupo de edad en 1980). El 15% de las mujeres de edades comprendidas entre los 20 y los 24 años que convivían con un compañero lo hacían en un matrimonio de derecho c</w:t>
      </w:r>
      <w:r>
        <w:t>o</w:t>
      </w:r>
      <w:r>
        <w:t>mún a mediados del decenio de 1990.</w:t>
      </w:r>
    </w:p>
    <w:p w:rsidR="00000000" w:rsidRDefault="00000000">
      <w:pPr>
        <w:pStyle w:val="SingleTxt"/>
      </w:pPr>
      <w:r>
        <w:tab/>
        <w:t>Los hombres y mujeres que no viven en matrimonio jurídico o en matrimonio de derecho común y los que tienen como estado civil la soltería constituyen un gr</w:t>
      </w:r>
      <w:r>
        <w:t>u</w:t>
      </w:r>
      <w:r>
        <w:t>po bastante variado. Esa situación puede abarcar distintas situaciones sociales según se deba al enviudamiento, el divorcio o el retraso del matrimonio. La viudedad difi</w:t>
      </w:r>
      <w:r>
        <w:t>e</w:t>
      </w:r>
      <w:r>
        <w:t>re básicamente de los otros dos estados civiles mencionados, puesto que no es el r</w:t>
      </w:r>
      <w:r>
        <w:t>e</w:t>
      </w:r>
      <w:r>
        <w:t>sultado de una elección voluntaria. Al primero de enero de 1999 el 18,2% de las mujeres mayores de 15 años eran viudas y el 3,9% de los hombres mayores de 15 años eran viudos. Como la tasa de mortalidad de los hombres es mayor que la de las mujeres, ese estado civil es principalmente típico de las mujeres. Además, la tasa de mortalidad de los hombres empeora continuamente, con lo que la viudedad entre las mujeres ha aumentado desde el decenio de 1960. En la actualidad 26,5 de cada 1000 mujeres mayores de 15 años enviudan, mientras que esa proporción era de 12 por cada 1000 mujeres en el decenio de 1960. En el caso de las mujeres, la viudez está a menudo acompañada de la pobreza. Las mujeres que enviudan a avanzada edad ti</w:t>
      </w:r>
      <w:r>
        <w:t>e</w:t>
      </w:r>
      <w:r>
        <w:t>nen grandes posibilidades de pasar a los estratos más pobres e incluso a figurar entre las personas permanentemente pobres dentro de esa categoría.</w:t>
      </w:r>
    </w:p>
    <w:p w:rsidR="00000000" w:rsidRDefault="00000000">
      <w:pPr>
        <w:pStyle w:val="SingleTxt"/>
      </w:pPr>
      <w:r>
        <w:rPr>
          <w:w w:val="101"/>
        </w:rPr>
        <w:tab/>
        <w:t>Una alternativa real al matrimonio es la adopción deliberada de la soltería como estado civil. Como ya se ha mencionado en relación con el momento de contraer m</w:t>
      </w:r>
      <w:r>
        <w:rPr>
          <w:w w:val="101"/>
        </w:rPr>
        <w:t>a</w:t>
      </w:r>
      <w:r>
        <w:rPr>
          <w:w w:val="101"/>
        </w:rPr>
        <w:t>trimonio, un determinado grupo de adultos jóvenes retrasa el matrimonio. La mayoría de ellos viven con sus padres, en primer lugar por motivos financieros, y se consid</w:t>
      </w:r>
      <w:r>
        <w:rPr>
          <w:w w:val="101"/>
        </w:rPr>
        <w:t>e</w:t>
      </w:r>
      <w:r>
        <w:rPr>
          <w:w w:val="101"/>
        </w:rPr>
        <w:t>ran como “niños” en las estadísticas. Una pequeña parte de ellos mantienen una v</w:t>
      </w:r>
      <w:r>
        <w:rPr>
          <w:w w:val="101"/>
        </w:rPr>
        <w:t>i</w:t>
      </w:r>
      <w:r>
        <w:rPr>
          <w:w w:val="101"/>
        </w:rPr>
        <w:t xml:space="preserve">vienda por sí mismos, como expertos bien educados y bien pagados o empresarios en el nuevo régimen. Una parte de las personas que pertenecen a esa categoría viven con alguien sin contraer matrimonio, pero hay otros que no mantiene ninguna relación permanente de cohabitación. El número de estos últimos es tan pequeño en </w:t>
      </w:r>
      <w:r>
        <w:t>nuestra sociedad que apenas figuran en una enumeración macroestadística. Sin embargo, su efecto social puede ser grande por el modelo que muestran, ya que los medios de comunicación presentan el estilo de vida de esos jóvenes expertos, que “no encue</w:t>
      </w:r>
      <w:r>
        <w:t>n</w:t>
      </w:r>
      <w:r>
        <w:t>tran tiempo” para casarse o para tener un compañero en una proporción mucho m</w:t>
      </w:r>
      <w:r>
        <w:t>a</w:t>
      </w:r>
      <w:r>
        <w:t>yor que su número real. En la investigación de familias realizada en 1994 hubo v</w:t>
      </w:r>
      <w:r>
        <w:t>a</w:t>
      </w:r>
      <w:r>
        <w:t>rias indicaciones de que las mujeres jóvenes, con un alto nivel de educación y urb</w:t>
      </w:r>
      <w:r>
        <w:t>a</w:t>
      </w:r>
      <w:r>
        <w:t>nas tenían una opinión más escéptica acerca de la institución del matrimonio que el promedio, e incluso que los hombres del mismo estado civil. Todo ello indica que para una parte de las mujeres jóvenes el ser soltera es consecuencia de una elección y no de una necesidad. La creciente proporción de mujeres solteras en el grupo de edad de las jóvenes hace probable que la fertilidad vaya a reducirse aún más, ya que las mujeres que no establecen una relación permanente con un compañero o que la posponen van a tener menos hijos que las mujeres que se casan jóvenes. Además, la fertilidad de las mujeres que viven en matrimonios de derecho común es inferior a la de las mujeres casadas.</w:t>
      </w:r>
    </w:p>
    <w:p w:rsidR="00000000" w:rsidRDefault="00000000">
      <w:pPr>
        <w:pStyle w:val="SingleTxt"/>
      </w:pPr>
      <w:r>
        <w:tab/>
        <w:t>El aumento del número de nacimientos fuera del matrimonio guarda relación con los cambios de la forma de las familias y de los modelos de cohabitación. Mientras que en el decenio de 1980 eran menos del 10% los niños que nacían fuera del matrimonio, ese número había ascendido al 13% en 1990 y al 26,4% en 1998. Es frecuente, especialmente en el caso de las mujeres que tienen hijos antes de los 20 años, que su primer hijo nazca fuera del matrimonio. sin embargo, cabe destacar al mismo tiempo que los hijos nacidos fuera del matrimonio no nacen sin un padre, s</w:t>
      </w:r>
      <w:r>
        <w:t>i</w:t>
      </w:r>
      <w:r>
        <w:t>no en el seno de un matrimonio de derecho común. Un número importante de pers</w:t>
      </w:r>
      <w:r>
        <w:t>o</w:t>
      </w:r>
      <w:r>
        <w:t>nas que viven en un matrimonio de derecho común se casan después del nacimiento de su primer hijo.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Divorcio</w:t>
      </w:r>
    </w:p>
    <w:p w:rsidR="00000000" w:rsidRDefault="00000000">
      <w:pPr>
        <w:pStyle w:val="SingleTxt"/>
        <w:spacing w:after="0" w:line="120" w:lineRule="exact"/>
        <w:rPr>
          <w:sz w:val="10"/>
        </w:rPr>
      </w:pPr>
    </w:p>
    <w:p w:rsidR="00000000" w:rsidRDefault="00000000">
      <w:pPr>
        <w:pStyle w:val="SingleTxt"/>
      </w:pPr>
      <w:r>
        <w:tab/>
        <w:t>El divorcio y el correspondiente estado civil son una forma importante de f</w:t>
      </w:r>
      <w:r>
        <w:t>a</w:t>
      </w:r>
      <w:r>
        <w:t>milia y de modelo de cohabitación en la sociedad húngara de hoy.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índices de divorcio 1949-1998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500"/>
        <w:gridCol w:w="1830"/>
        <w:gridCol w:w="1831"/>
      </w:tblGrid>
      <w:tr w:rsidR="00000000">
        <w:tblPrEx>
          <w:tblCellMar>
            <w:top w:w="0" w:type="dxa"/>
            <w:left w:w="0" w:type="dxa"/>
            <w:bottom w:w="0" w:type="dxa"/>
            <w:right w:w="0" w:type="dxa"/>
          </w:tblCellMar>
        </w:tblPrEx>
        <w:trPr>
          <w:cantSplit/>
          <w:tblHeader/>
        </w:trPr>
        <w:tc>
          <w:tcPr>
            <w:tcW w:w="21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Años</w:t>
            </w:r>
          </w:p>
        </w:tc>
        <w:tc>
          <w:tcPr>
            <w:tcW w:w="15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366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divorcios</w:t>
            </w:r>
          </w:p>
        </w:tc>
      </w:tr>
      <w:tr w:rsidR="00000000">
        <w:tblPrEx>
          <w:tblCellMar>
            <w:top w:w="0" w:type="dxa"/>
            <w:left w:w="0" w:type="dxa"/>
            <w:bottom w:w="0" w:type="dxa"/>
            <w:right w:w="0" w:type="dxa"/>
          </w:tblCellMar>
        </w:tblPrEx>
        <w:trPr>
          <w:cantSplit/>
          <w:tblHeader/>
        </w:trPr>
        <w:tc>
          <w:tcPr>
            <w:tcW w:w="216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5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8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 cada 1.000 matrimonios existentes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 cada 1.000 matrimonios celebrados</w:t>
            </w:r>
          </w:p>
        </w:tc>
      </w:tr>
      <w:tr w:rsidR="00000000">
        <w:tblPrEx>
          <w:tblCellMar>
            <w:top w:w="0" w:type="dxa"/>
            <w:left w:w="0" w:type="dxa"/>
            <w:bottom w:w="0" w:type="dxa"/>
            <w:right w:w="0" w:type="dxa"/>
          </w:tblCellMar>
        </w:tblPrEx>
        <w:trPr>
          <w:cantSplit/>
          <w:trHeight w:hRule="exact" w:val="115"/>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br w:type="page"/>
            </w:r>
          </w:p>
        </w:tc>
        <w:tc>
          <w:tcPr>
            <w:tcW w:w="1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1949</w:t>
            </w:r>
          </w:p>
        </w:tc>
        <w:tc>
          <w:tcPr>
            <w:tcW w:w="15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12 556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5,8</w:t>
            </w:r>
          </w:p>
        </w:tc>
        <w:tc>
          <w:tcPr>
            <w:tcW w:w="1831"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116,5</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1970-1979</w:t>
            </w:r>
          </w:p>
        </w:tc>
        <w:tc>
          <w:tcPr>
            <w:tcW w:w="15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25 671</w:t>
            </w:r>
          </w:p>
        </w:tc>
        <w:tc>
          <w:tcPr>
            <w:tcW w:w="183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8,3</w:t>
            </w:r>
          </w:p>
        </w:tc>
        <w:tc>
          <w:tcPr>
            <w:tcW w:w="1831"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265,3</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1980-1989</w:t>
            </w:r>
          </w:p>
        </w:tc>
        <w:tc>
          <w:tcPr>
            <w:tcW w:w="15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27 940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10,3</w:t>
            </w:r>
          </w:p>
        </w:tc>
        <w:tc>
          <w:tcPr>
            <w:tcW w:w="1831"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384,4</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5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24 888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9,9</w:t>
            </w:r>
          </w:p>
        </w:tc>
        <w:tc>
          <w:tcPr>
            <w:tcW w:w="1831"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374,8</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5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22 590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9,7</w:t>
            </w:r>
          </w:p>
        </w:tc>
        <w:tc>
          <w:tcPr>
            <w:tcW w:w="1831"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461,7</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50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24 992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10,9</w:t>
            </w:r>
          </w:p>
        </w:tc>
        <w:tc>
          <w:tcPr>
            <w:tcW w:w="1831"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532,8</w:t>
            </w:r>
          </w:p>
        </w:tc>
      </w:tr>
      <w:tr w:rsidR="00000000">
        <w:tblPrEx>
          <w:tblCellMar>
            <w:top w:w="0" w:type="dxa"/>
            <w:left w:w="0" w:type="dxa"/>
            <w:bottom w:w="0" w:type="dxa"/>
            <w:right w:w="0" w:type="dxa"/>
          </w:tblCellMar>
        </w:tblPrEx>
        <w:trPr>
          <w:cantSplit/>
        </w:trPr>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25 500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11,3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560,4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divorcios aumentó rápidamente en Hungría a raíz de la Segunda Guerra Mundial. En 1999 ya eran más de 12.000 las parejas divorciadas, número que se duplicó para el decenio de 1970. Como podría haberse observado al analizar el número de matrimonios, fueron muchísimos los matrimonios contraídos a princ</w:t>
      </w:r>
      <w:r>
        <w:t>i</w:t>
      </w:r>
      <w:r>
        <w:t>pios de ese decenio y lo fueron también los divorcios en ese decenio y en los s</w:t>
      </w:r>
      <w:r>
        <w:t>i</w:t>
      </w:r>
      <w:r>
        <w:t>guientes en relación, principalmente, con los matrimonios que se habían celebrado entre personas jóvenes. Así pues, en el decenio de 1970 y en el de 1980 apareció una dualidad en cuanto a la opinión sobre las formas de familia, ya que por una parte la sociedad, la opinión pública y la familia esperaban que los jóvenes se casaran, pero por otra parte aceptaban que un importante número de matrimonios se disolvieran.</w:t>
      </w:r>
    </w:p>
    <w:p w:rsidR="00000000" w:rsidRDefault="00000000">
      <w:pPr>
        <w:pStyle w:val="SingleTxt"/>
      </w:pPr>
      <w:r>
        <w:tab/>
        <w:t>En el decenio de 1990 el número de divorcios estaba en torno a 24.000 al año, sin tener en cuenta el descenso correspondiente a 1992/1993, ascendió luego y a</w:t>
      </w:r>
      <w:r>
        <w:t>l</w:t>
      </w:r>
      <w:r>
        <w:t>canzó los 25.500 a fines del decenio. A medida que descendía el número de matr</w:t>
      </w:r>
      <w:r>
        <w:t>i</w:t>
      </w:r>
      <w:r>
        <w:t>monios en ese período, aumentó gradualmente la proporción de divorcios hasta a</w:t>
      </w:r>
      <w:r>
        <w:t>l</w:t>
      </w:r>
      <w:r>
        <w:t>canzar los 560 por cada mil matrimonios en 1998. Entre el 17% y el 18% de los m</w:t>
      </w:r>
      <w:r>
        <w:t>a</w:t>
      </w:r>
      <w:r>
        <w:t>trimonios se rompen en un plazo de 10 años, lo que se refleja en que tanto entre los hombres como entre las mujeres el divorcio afecta principalmente al grupo de ed</w:t>
      </w:r>
      <w:r>
        <w:t>a</w:t>
      </w:r>
      <w:r>
        <w:t>des comprendidas entre los 20 y los 29 años. Sin embargo, se está haciendo también más frecuente el divorcio de parejas mayores de 30 años y de las que han estado c</w:t>
      </w:r>
      <w:r>
        <w:t>a</w:t>
      </w:r>
      <w:r>
        <w:t>sadas largo tiempo. En las tres cuartas partes de los matrimonios que acaban en d</w:t>
      </w:r>
      <w:r>
        <w:t>i</w:t>
      </w:r>
      <w:r>
        <w:t>vorcio también hay hijos, de manera que el hecho de tener hijos en común no impide a las personas d</w:t>
      </w:r>
      <w:r>
        <w:t>i</w:t>
      </w:r>
      <w:r>
        <w:t>solver su matrimonio.</w:t>
      </w:r>
    </w:p>
    <w:p w:rsidR="00000000" w:rsidRDefault="00000000">
      <w:pPr>
        <w:pStyle w:val="SingleTxt"/>
      </w:pPr>
      <w:r>
        <w:tab/>
        <w:t>El creciente número de divorcios y su persistente alto nivel guarda relación con los cambios económicos, sociales y jurídicos que han ocurrido en los últimos decenios. El hecho de que las mujeres hayan accedido al empleo en gran número, la movilidad social y geográfica, la secularización y la modificación de la base jurídica del divorcio han contribuido a ese resultado. Cabe mencionar también el creciente nivel de educación de la mujer por cuanto afecta a su situación económica, sus pos</w:t>
      </w:r>
      <w:r>
        <w:t>i</w:t>
      </w:r>
      <w:r>
        <w:t>bilidades en el mercado de trabajo y su actitud ante el matrimonio tradicional. Ad</w:t>
      </w:r>
      <w:r>
        <w:t>e</w:t>
      </w:r>
      <w:r>
        <w:t>más, parece que determinados cambios acaecidos a consecuencia del cambio de r</w:t>
      </w:r>
      <w:r>
        <w:t>é</w:t>
      </w:r>
      <w:r>
        <w:t>gimen (desempleo masivo, incertidumbre social, dificultades para vivir, por un lado, y la posibilidad de convertirse en empresario y hacerse rico, por otro) también han debilitado la estabilidad de algunos matrimonios.</w:t>
      </w:r>
    </w:p>
    <w:p w:rsidR="00000000" w:rsidRDefault="00000000">
      <w:pPr>
        <w:pStyle w:val="SingleTxt"/>
      </w:pPr>
      <w:r>
        <w:tab/>
        <w:t>La permanencia del número de divorcios en un nivel permanentemente alto se ve fortalecida, además de por motivos sociales y económicos, por el hecho de que ha cambiado la relación de la sociedad con el divorcio. En los últimos decenios, el d</w:t>
      </w:r>
      <w:r>
        <w:t>i</w:t>
      </w:r>
      <w:r>
        <w:t>vorcio se ha convertido no sólo en un fenómeno aceptado, sino, al mismo tiempo, en la estrategia mejor conocida y preferida para resolver los conflictos en el matrim</w:t>
      </w:r>
      <w:r>
        <w:t>o</w:t>
      </w:r>
      <w:r>
        <w:t>nio, como se refleja en los datos de la mencionada investigación del ISSP. Cabe destacar que la aceptación del divorcio como estrategia de solución de conflictos es habitual principalmente entre las personas mayores y las de mediana edad. Durante la investigación, cuanto mayor era la persona encuestada, más se mostraba de acue</w:t>
      </w:r>
      <w:r>
        <w:t>r</w:t>
      </w:r>
      <w:r>
        <w:t>do con la frase de que “habitualmente el divorcio es la mejor solución si una pareja no puede resolver los problemas en su matr</w:t>
      </w:r>
      <w:r>
        <w:t>i</w:t>
      </w:r>
      <w:r>
        <w:t>monio”.</w:t>
      </w:r>
    </w:p>
    <w:p w:rsidR="00000000" w:rsidRDefault="00000000">
      <w:pPr>
        <w:pStyle w:val="SingleTxt"/>
      </w:pPr>
      <w:r>
        <w:tab/>
        <w:t>En el caso de tres cuartas partes de los matrimonios que acaban en divo</w:t>
      </w:r>
      <w:r>
        <w:t>r</w:t>
      </w:r>
      <w:r>
        <w:t>cio, también hay hijos en la familia. Las opiniones y actitudes están en consonancia con el comportamiento real; a saber, las personas no ponen objeciones a la disol</w:t>
      </w:r>
      <w:r>
        <w:t>u</w:t>
      </w:r>
      <w:r>
        <w:t>ción de su matrimonio incluso si afecta a los hijos. La pregunta al respecto “¿Deben los padres seguir viviendo en familia con sus hijos, incluso si no se llevan bien?” expresaba una actitud en favor del matrimonio y en contra del divorcio: eran más bien las personas poco instruidas las que se mostraban de acuerdo con esa frase. En general los hombres tenían la misma opinión en cada uno de los grupos desglosados por n</w:t>
      </w:r>
      <w:r>
        <w:t>i</w:t>
      </w:r>
      <w:r>
        <w:t>vel de educación.</w:t>
      </w:r>
    </w:p>
    <w:p w:rsidR="00000000" w:rsidRDefault="00000000">
      <w:pPr>
        <w:pStyle w:val="SingleTxt"/>
      </w:pPr>
      <w:r>
        <w:tab/>
        <w:t>Cabe destacar al mismo tiempo, como consecuencia importante del divorcio, el aumento de la probabilidad de que los hijos de parejas divorciadas o que se vean afectadas por el divorcio pasen a los estratos pobres de la sociedad de forma temp</w:t>
      </w:r>
      <w:r>
        <w:t>o</w:t>
      </w:r>
      <w:r>
        <w:t>ral o permanente. Para la mayor parte de la sociedad todavía (al menos) la garantía que suponen dos salarios sugiere que debería evitarse la pobreza. Las personas ta</w:t>
      </w:r>
      <w:r>
        <w:t>m</w:t>
      </w:r>
      <w:r>
        <w:t>bién lo entienden muy bien, puesto que la investigación del ISSP realizada en 1994 mostró que el número de personas que opinaba que el principal valor del matrimonio es la seguridad económica ha crecido significativamente desde 1988. El hecho de que, a pesar de esa opinión dominante, el número de personas que no elige ese est</w:t>
      </w:r>
      <w:r>
        <w:t>a</w:t>
      </w:r>
      <w:r>
        <w:t>do civil siga creciendo indica que en el momento actual el matrimonio como instit</w:t>
      </w:r>
      <w:r>
        <w:t>u</w:t>
      </w:r>
      <w:r>
        <w:t>ción está en crisis en Hungría.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Resumen</w:t>
      </w:r>
    </w:p>
    <w:p w:rsidR="00000000" w:rsidRDefault="00000000">
      <w:pPr>
        <w:pStyle w:val="SingleTxt"/>
        <w:spacing w:after="0" w:line="120" w:lineRule="exact"/>
        <w:rPr>
          <w:sz w:val="10"/>
        </w:rPr>
      </w:pPr>
    </w:p>
    <w:p w:rsidR="00000000" w:rsidRDefault="00000000">
      <w:pPr>
        <w:pStyle w:val="SingleTxt"/>
      </w:pPr>
      <w:r>
        <w:tab/>
        <w:t>Este análisis se centra en los cambios producidos en los últimos decenios en relación con las formas de familia y los modelos de cohabitación. Tanto los procesos demográficos como las investigaciones de las actitudes indican que el juicio sobre esas formas y modelos y su aceptación han cambiado gradualmente en Hungría. El matrimonio, que era tradicionalmente una forma aceptada y respetada de cohabit</w:t>
      </w:r>
      <w:r>
        <w:t>a</w:t>
      </w:r>
      <w:r>
        <w:t>ción, ha perdido en buena medida su popularidad. Se está experimentando un retraso en la edad de contraer matrimonio, con lo que una proporción considerable de jóv</w:t>
      </w:r>
      <w:r>
        <w:t>e</w:t>
      </w:r>
      <w:r>
        <w:t>nes retrasa el matrimonio en comparación con lo que sucedía en los últimos dec</w:t>
      </w:r>
      <w:r>
        <w:t>e</w:t>
      </w:r>
      <w:r>
        <w:t>nios. Algunos jóvenes permanecen en el hogar de sus padres como hijos, mientras que otros prefieren el matrimonio de derecho común en lugar del matrimonio. La cohabitación sin matrimonio se está convirtiendo en una forma muy difundida en que los jóvenes viven juntos. También ha descendido el número de nuevos matrim</w:t>
      </w:r>
      <w:r>
        <w:t>o</w:t>
      </w:r>
      <w:r>
        <w:t>nios entre las mujeres y los hombres divorciados. Una parte importante de las muj</w:t>
      </w:r>
      <w:r>
        <w:t>e</w:t>
      </w:r>
      <w:r>
        <w:t>res enviudan en los últimos años de su vida a causa de la muerte prematura y la tasa de mortalidad más alta de los hombres. La viudez y sus consecuencias financieras, mentales y sociales entrañan problemas principalmente para las mujeres. El número de divorcios aumentó de nuevo a fines del decenio de 1990 y, como resultado de ese hecho y del descenso del número de matrimonios, el número de divorcios por mil matrimonios crece continuamente. Se ponen en tela de juicio determinados valores del matrimonio y su importancia, en tanto que el matrimonio de derecho común y el divorcio se aceptan en el plano de las opiniones y las actitudes. Esos avances no han comenzado recientemente, sino principalmente en el decenio de 1980. Así pues, el cambio de régimen no es el motivo de esos cambios, más bien ha contribuido a r</w:t>
      </w:r>
      <w:r>
        <w:t>e</w:t>
      </w:r>
      <w:r>
        <w:t>forzarlos.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Educación y programas para la protección de la salud al servicio de la mejora de las relaciones sociales</w:t>
      </w:r>
    </w:p>
    <w:p w:rsidR="00000000" w:rsidRDefault="00000000">
      <w:pPr>
        <w:pStyle w:val="SingleTxt"/>
        <w:spacing w:after="0" w:line="120" w:lineRule="exact"/>
        <w:rPr>
          <w:sz w:val="10"/>
        </w:rPr>
      </w:pPr>
    </w:p>
    <w:p w:rsidR="00000000" w:rsidRDefault="00000000">
      <w:pPr>
        <w:pStyle w:val="SingleTxt"/>
        <w:rPr>
          <w:w w:val="102"/>
        </w:rPr>
      </w:pPr>
      <w:r>
        <w:rPr>
          <w:w w:val="102"/>
        </w:rPr>
        <w:tab/>
        <w:t>En todo el mundo se están haciendo esfuerzos para introducir la “educación p</w:t>
      </w:r>
      <w:r>
        <w:rPr>
          <w:w w:val="102"/>
        </w:rPr>
        <w:t>a</w:t>
      </w:r>
      <w:r>
        <w:rPr>
          <w:w w:val="102"/>
        </w:rPr>
        <w:t>ra la vida familiar” en las escuelas. Las concepciones erróneas del verdadero papel de la familia han dado como resultado que lo que se presentan en relación con se t</w:t>
      </w:r>
      <w:r>
        <w:rPr>
          <w:w w:val="102"/>
        </w:rPr>
        <w:t>e</w:t>
      </w:r>
      <w:r>
        <w:rPr>
          <w:w w:val="102"/>
        </w:rPr>
        <w:t>ma son técnicas e información sexual, también en Europa occidental. Habitualmente, la importancia de la fidelidad conyugal ha pasado a ser parte de los programas ed</w:t>
      </w:r>
      <w:r>
        <w:rPr>
          <w:w w:val="102"/>
        </w:rPr>
        <w:t>u</w:t>
      </w:r>
      <w:r>
        <w:rPr>
          <w:w w:val="102"/>
        </w:rPr>
        <w:t>cativos con el único fin de reducir la difusión del SIDA. La decisión voluntaria sobre la vida es más importante hoy día de lo que lo fue cuando era la sociedad la que fo</w:t>
      </w:r>
      <w:r>
        <w:rPr>
          <w:w w:val="102"/>
        </w:rPr>
        <w:t>r</w:t>
      </w:r>
      <w:r>
        <w:rPr>
          <w:w w:val="102"/>
        </w:rPr>
        <w:t>zaba las decisiones. Cuando la sociedad prohibe el divorcio, el matrimonio disfruta de estabilidad social, pero eso conlleva también la aceptación de hogares desorden</w:t>
      </w:r>
      <w:r>
        <w:rPr>
          <w:w w:val="102"/>
        </w:rPr>
        <w:t>a</w:t>
      </w:r>
      <w:r>
        <w:rPr>
          <w:w w:val="102"/>
        </w:rPr>
        <w:t>dos e infidelidad. Hoy día, la confianza mutua alcanza el valor psicológico más alto, puesto que es voluntaria y las expectativas de la sociedad y las fuerzas externas a</w:t>
      </w:r>
      <w:r>
        <w:rPr>
          <w:w w:val="102"/>
        </w:rPr>
        <w:t>c</w:t>
      </w:r>
      <w:r>
        <w:rPr>
          <w:w w:val="102"/>
        </w:rPr>
        <w:t>túan en su contra.</w:t>
      </w:r>
    </w:p>
    <w:p w:rsidR="00000000" w:rsidRDefault="00000000">
      <w:pPr>
        <w:pStyle w:val="SingleTxt"/>
      </w:pPr>
      <w:r>
        <w:tab/>
        <w:t>Mientras los estudiantes tienen que aprender una enorme cantidad de conoc</w:t>
      </w:r>
      <w:r>
        <w:t>i</w:t>
      </w:r>
      <w:r>
        <w:t>mientos en comparación, por ejemplo, con el sistema de educación anglosajón, los investigadores docentes experimentan un importante retraso en dos esferas del pr</w:t>
      </w:r>
      <w:r>
        <w:t>e</w:t>
      </w:r>
      <w:r>
        <w:t>sente sistema de educación en Hungría:</w:t>
      </w:r>
    </w:p>
    <w:p w:rsidR="00000000" w:rsidRDefault="00000000">
      <w:pPr>
        <w:pStyle w:val="SingleTxt"/>
        <w:tabs>
          <w:tab w:val="right" w:pos="1685"/>
        </w:tabs>
        <w:ind w:left="1742" w:hanging="475"/>
      </w:pPr>
      <w:r>
        <w:tab/>
        <w:t>–</w:t>
      </w:r>
      <w:r>
        <w:tab/>
        <w:t>El desarrollo de la capacidad para concentrarse en los problemas y reso</w:t>
      </w:r>
      <w:r>
        <w:t>l</w:t>
      </w:r>
      <w:r>
        <w:t>verlos;</w:t>
      </w:r>
    </w:p>
    <w:p w:rsidR="00000000" w:rsidRDefault="00000000">
      <w:pPr>
        <w:pStyle w:val="SingleTxt"/>
        <w:tabs>
          <w:tab w:val="right" w:pos="1685"/>
        </w:tabs>
        <w:ind w:left="1742" w:hanging="475"/>
      </w:pPr>
      <w:r>
        <w:tab/>
        <w:t>–</w:t>
      </w:r>
      <w:r>
        <w:tab/>
        <w:t>El desarrollo de capacidades prácticas, principalmente las capacidades de c</w:t>
      </w:r>
      <w:r>
        <w:t>o</w:t>
      </w:r>
      <w:r>
        <w:t>municación y cooperación.</w:t>
      </w:r>
    </w:p>
    <w:p w:rsidR="00000000" w:rsidRDefault="00000000">
      <w:pPr>
        <w:pStyle w:val="SingleTxt"/>
      </w:pPr>
      <w:r>
        <w:tab/>
        <w:t>Esas dos esferas guardan una estrecha relación y el éxito de la educación para la vida familiar depende de esos dos principios fundamentales. No son necesarias las teorías abstractas, sino esas capacidades fundamentales de comunicación y solución de problemas que son básicas no sólo en la vida de una familia, sino de cualquier comunidad. Es triste contemplar cómo la relaciones se arruinan en las trampas de los “juegos” de los interesados con el mejor de los motivos.</w:t>
      </w:r>
    </w:p>
    <w:p w:rsidR="00000000" w:rsidRDefault="00000000">
      <w:pPr>
        <w:pStyle w:val="SingleTxt"/>
      </w:pPr>
      <w:r>
        <w:tab/>
        <w:t>Debe enseñarse desde el jardín de infancia que la cooperación es más eficaz que la derrota de la otra parte, ambas partes pueden ganar más al hacerlo. Esas apt</w:t>
      </w:r>
      <w:r>
        <w:t>i</w:t>
      </w:r>
      <w:r>
        <w:t>tudes pueden mejorarse al principio de la forma más eficaz mediante deportes y ju</w:t>
      </w:r>
      <w:r>
        <w:t>e</w:t>
      </w:r>
      <w:r>
        <w:t>gos colectivos y métodos pedagógicos de dramatización. No es casualidad que las columnas que sostienen el sistema escolar de Inglaterra sean los equipos y los gr</w:t>
      </w:r>
      <w:r>
        <w:t>u</w:t>
      </w:r>
      <w:r>
        <w:t>pos dramáticos de las escuelas.</w:t>
      </w:r>
    </w:p>
    <w:p w:rsidR="00000000" w:rsidRDefault="00000000">
      <w:pPr>
        <w:pStyle w:val="SingleTxt"/>
      </w:pPr>
      <w:r>
        <w:tab/>
        <w:t>Es necesario elaborar un programa práctico para todo el tiempo que se perm</w:t>
      </w:r>
      <w:r>
        <w:t>a</w:t>
      </w:r>
      <w:r>
        <w:t>nece en el sistema escolar, por supuesto haciendo uso de la creatividad de los mae</w:t>
      </w:r>
      <w:r>
        <w:t>s</w:t>
      </w:r>
      <w:r>
        <w:t>tros de los jardines de infancia y de los profesores, sobre cómo mejorar esas aptit</w:t>
      </w:r>
      <w:r>
        <w:t>u</w:t>
      </w:r>
      <w:r>
        <w:t>des de la forma más eficiente. En ese programa, las escuelas de capacitación de maestros desempeñan un papel fundamental, por lo que, como primera medida, es necesario poner esos programas en funcionamiento en esas escuelas y valdría la p</w:t>
      </w:r>
      <w:r>
        <w:t>e</w:t>
      </w:r>
      <w:r>
        <w:t>na convocar concu</w:t>
      </w:r>
      <w:r>
        <w:t>r</w:t>
      </w:r>
      <w:r>
        <w:t>sos para maestros de jardines de infancia y profesores.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Programa</w:t>
      </w:r>
    </w:p>
    <w:p w:rsidR="00000000" w:rsidRDefault="00000000">
      <w:pPr>
        <w:pStyle w:val="SingleTxt"/>
        <w:spacing w:after="0" w:line="120" w:lineRule="exact"/>
        <w:rPr>
          <w:sz w:val="10"/>
        </w:rPr>
      </w:pPr>
    </w:p>
    <w:p w:rsidR="00000000" w:rsidRDefault="00000000">
      <w:pPr>
        <w:pStyle w:val="SingleTxt"/>
      </w:pPr>
      <w:r>
        <w:t>1.</w:t>
      </w:r>
      <w:r>
        <w:tab/>
        <w:t>El desarrollo de las capacidades de comunicación, cooperación y solución de conflictos deben ser parte del programa del conjunto del sistema escolar. Desde ese punto de vista, las escuelas de capacitación de maestros pueden desempeñar un p</w:t>
      </w:r>
      <w:r>
        <w:t>a</w:t>
      </w:r>
      <w:r>
        <w:t>pel fundamental.</w:t>
      </w:r>
    </w:p>
    <w:p w:rsidR="00000000" w:rsidRDefault="00000000">
      <w:pPr>
        <w:pStyle w:val="SingleTxt"/>
      </w:pPr>
      <w:r>
        <w:t>2.</w:t>
      </w:r>
      <w:r>
        <w:tab/>
        <w:t>En el seno de unas circunstancias cambiantes, los valores del matrimonio y la familia deben transmitirse a la sociedad sin prejuicios. Los jóvenes desean ser fel</w:t>
      </w:r>
      <w:r>
        <w:t>i</w:t>
      </w:r>
      <w:r>
        <w:t>ces, pero los medios de comunicación y la opinión pública transmiten falsos mod</w:t>
      </w:r>
      <w:r>
        <w:t>e</w:t>
      </w:r>
      <w:r>
        <w:t>los de felicidad, que habitualmente llevan a la i</w:t>
      </w:r>
      <w:r>
        <w:t>n</w:t>
      </w:r>
      <w:r>
        <w:t>felicidad y al divorcio.</w:t>
      </w:r>
    </w:p>
    <w:p w:rsidR="00000000" w:rsidRDefault="00000000">
      <w:pPr>
        <w:pStyle w:val="SingleTxt"/>
      </w:pPr>
      <w:r>
        <w:t>3.</w:t>
      </w:r>
      <w:r>
        <w:tab/>
        <w:t>Debe reconocerse que el hecho de ser mujer conlleva un reto especial y no d</w:t>
      </w:r>
      <w:r>
        <w:t>e</w:t>
      </w:r>
      <w:r>
        <w:t>be negarse que las mujeres desempeñan una tarea especial de extraordinario valor: la de dar a luz a los hijos. También en relación con el futuro de la sociedad y con la salud física y mental de la mujer es de vital importancia despertar la conciencia de los hechos físicos y psicológicos, es decir, que la salud física y mental de las próx</w:t>
      </w:r>
      <w:r>
        <w:t>i</w:t>
      </w:r>
      <w:r>
        <w:t>mas generaciones se basa en la experiencia de la infancia y los modelos transmitidos por la madre y la totalidad de la familia. Dar a luz un hijo y criarlo es la experiencia más importante para el desarrollo de la personalidad de una madre.</w:t>
      </w:r>
    </w:p>
    <w:p w:rsidR="00000000" w:rsidRDefault="00000000">
      <w:pPr>
        <w:pStyle w:val="SingleTxt"/>
      </w:pPr>
      <w:r>
        <w:tab/>
        <w:t>Las familias, como centros de creación de una personalidad madura, deben contemplarse como la inversión más importante.</w:t>
      </w:r>
    </w:p>
    <w:p w:rsidR="00000000" w:rsidRDefault="00000000">
      <w:pPr>
        <w:pStyle w:val="SingleTxt"/>
      </w:pPr>
      <w:r>
        <w:tab/>
        <w:t>El sistema húngaro de asignaciones y subsidios para el cuidado de los hijos es un intento de armonizar la maternidad de la mujer con su trabajo en la sociedad y puede servir también como modelo para otros países, ya que ese problema no puede afrontarse adecuadamente en cualquier lugar de forma independiente. Deben vigila</w:t>
      </w:r>
      <w:r>
        <w:t>r</w:t>
      </w:r>
      <w:r>
        <w:t>se continuamente las consecuencias de la recuperación de esas oportunidades y los cambios necesarios en las actitudes.</w:t>
      </w:r>
    </w:p>
    <w:p w:rsidR="00000000" w:rsidRDefault="00000000">
      <w:pPr>
        <w:pStyle w:val="SingleTxt"/>
      </w:pPr>
      <w:r>
        <w:tab/>
        <w:t>Tener hijos es la solución más eficaz, y al mismo tiempo la más barata, de la crisis de la seguridad social. La causa principal de esa crisis es de carácter demogr</w:t>
      </w:r>
      <w:r>
        <w:t>á</w:t>
      </w:r>
      <w:r>
        <w:t>fico y proviene del hecho de que la sociedad está envejeciendo. Es necesario prestar a los jóvenes todo tipo de apoyo, mediante normas jurídicas y de apoyo para ay</w:t>
      </w:r>
      <w:r>
        <w:t>u</w:t>
      </w:r>
      <w:r>
        <w:t>darles a fundar f</w:t>
      </w:r>
      <w:r>
        <w:t>a</w:t>
      </w:r>
      <w:r>
        <w:t>milias y tener hijos.</w:t>
      </w:r>
    </w:p>
    <w:p w:rsidR="00000000" w:rsidRDefault="00000000">
      <w:pPr>
        <w:pStyle w:val="SingleTxt"/>
      </w:pPr>
      <w:r>
        <w:t>4.</w:t>
      </w:r>
      <w:r>
        <w:tab/>
        <w:t>Los jóvenes están motivados en parte por el deseo de fundar una familia y t</w:t>
      </w:r>
      <w:r>
        <w:t>e</w:t>
      </w:r>
      <w:r>
        <w:t>ner hijos y en parte por el deseo de ser independientes, y si tienen que enfrentarse a grandes dificultades ése último aspecto puede fácilmente adquirir una mayor i</w:t>
      </w:r>
      <w:r>
        <w:t>m</w:t>
      </w:r>
      <w:r>
        <w:t>portancia. Hoy día, puede decirse que en Hungría eso ya ha sucedido, puesto que el cambio más importante en los últimos cuatro años es el descenso de la inclinación al matrimonio y es muy difícil invertir esa tendencia negativa. Debe hacerse todo lo posible para que los jóvenes no tengan que enfrentarse a dificultades intolerables p</w:t>
      </w:r>
      <w:r>
        <w:t>a</w:t>
      </w:r>
      <w:r>
        <w:t>ra vivir si desean casarse y tener hijos. La causa de muchos divorcios es un estilo de vida de mucha tensión, que agota el matrimonio. Los jóvenes deben recibir apoyo para superar esas dificultades puesto que de otra manera fracasarán o ni siquiera lo intentarán.</w:t>
      </w:r>
    </w:p>
    <w:p w:rsidR="00000000" w:rsidRDefault="00000000">
      <w:pPr>
        <w:pStyle w:val="SingleTxt"/>
      </w:pPr>
      <w:r>
        <w:t>5.</w:t>
      </w:r>
      <w:r>
        <w:tab/>
        <w:t>Un objetivo fundamental es ofrecer posibilidades para concentrar las fuerzas de distintas generaciones. Los mayores están dispuestos a ayudar y están muy fue</w:t>
      </w:r>
      <w:r>
        <w:t>r</w:t>
      </w:r>
      <w:r>
        <w:t>temente motivados, por lo que la sociedad debería utilizar esa posibilidad. Una de las fuerzas principales de la sociedad americana es el trabajo de los voluntarios. El desarrollo de la personalidad a una edad madura entraña que la generación mayor siente la responsabilidad y las personas de edad pueden alcanzar la cima del des</w:t>
      </w:r>
      <w:r>
        <w:t>a</w:t>
      </w:r>
      <w:r>
        <w:t>rrollo de su personalidad, cuya falta les hace sentir aislados e infelices y puede de</w:t>
      </w:r>
      <w:r>
        <w:t>s</w:t>
      </w:r>
      <w:r>
        <w:t>trozarlos física y mentalmente. Hay que apoyar todas las iniciativas locales que den a los mayores la oportunidad de seguir desarrollándose, estudiando y ayudando en su entorno. Es necesario ayudar a las familias a mantener un contacto más estrecho, ya que un abuelo o una abuela pueden corregir de forma excelente los desórdenes de personalidad que surgen de los problemas familiares.</w:t>
      </w:r>
    </w:p>
    <w:p w:rsidR="00000000" w:rsidRDefault="00000000">
      <w:pPr>
        <w:pStyle w:val="SingleTxt"/>
      </w:pPr>
      <w:r>
        <w:t>6.</w:t>
      </w:r>
      <w:r>
        <w:tab/>
      </w:r>
      <w:r>
        <w:rPr>
          <w:w w:val="101"/>
        </w:rPr>
        <w:t>La familia sólo puede desarrollar la personalidad de los niños que crecen si mantiene una conexión con la escuela, por lo que es necesario subrayar lo importante que es una estrecha relación entre los padres y las escuelas, la libre elección de la e</w:t>
      </w:r>
      <w:r>
        <w:rPr>
          <w:w w:val="101"/>
        </w:rPr>
        <w:t>s</w:t>
      </w:r>
      <w:r>
        <w:rPr>
          <w:w w:val="101"/>
        </w:rPr>
        <w:t>cuela y la función de las escuelas establecidas sobre la base de las iniciativas de los padres. En el último decenio hay muchos ejemplos de los esfuerzos que los padres pueden hacer para la educación de sus hijos y es necesario apoyar esas iniciativas. Las escuelas de formación de maestros pueden desempeñar un papel especialmente i</w:t>
      </w:r>
      <w:r>
        <w:rPr>
          <w:w w:val="101"/>
        </w:rPr>
        <w:t>m</w:t>
      </w:r>
      <w:r>
        <w:rPr>
          <w:w w:val="101"/>
        </w:rPr>
        <w:t>portante en el fortalecimiento de la relación entre los padres y las escuelas y en la i</w:t>
      </w:r>
      <w:r>
        <w:rPr>
          <w:w w:val="101"/>
        </w:rPr>
        <w:t>n</w:t>
      </w:r>
      <w:r>
        <w:rPr>
          <w:w w:val="101"/>
        </w:rPr>
        <w:t>troducción de la educación para la vida familiar ya desde el jardín de i</w:t>
      </w:r>
      <w:r>
        <w:rPr>
          <w:w w:val="101"/>
        </w:rPr>
        <w:t>n</w:t>
      </w:r>
      <w:r>
        <w:rPr>
          <w:w w:val="101"/>
        </w:rPr>
        <w:t>fancia.</w:t>
      </w:r>
    </w:p>
    <w:p w:rsidR="00000000" w:rsidRDefault="00000000">
      <w:pPr>
        <w:pStyle w:val="SingleTxt"/>
      </w:pPr>
      <w:r>
        <w:t>7.</w:t>
      </w:r>
      <w:r>
        <w:tab/>
        <w:t>El funcionamiento de la democracia se basa en la comunidad y la apertura, e</w:t>
      </w:r>
      <w:r>
        <w:t>n</w:t>
      </w:r>
      <w:r>
        <w:t>traña la cooperación de personalidades maduras. La comunidad democrática real está basada en la confianza; está abierta al mundo exterior, mientras que, al mismo tiempo, cuenta con una gran fuerza interior. Las “comunidades” de personalidades infantiles se basan en la hostilidad.</w:t>
      </w:r>
    </w:p>
    <w:p w:rsidR="00000000" w:rsidRDefault="00000000">
      <w:pPr>
        <w:pStyle w:val="SingleTxt"/>
      </w:pPr>
      <w:r>
        <w:t>8.</w:t>
      </w:r>
      <w:r>
        <w:tab/>
        <w:t>Los auténticos valores humanos pueden protegerse contra los intereses del consumo únicamente mediante el establecimiento de organizaciones civiles. Esas organizaciones civiles pueden ser los denominados fondos de salud, que son el m</w:t>
      </w:r>
      <w:r>
        <w:t>e</w:t>
      </w:r>
      <w:r>
        <w:t>dio más eficaz de prevención en varios países de Europa occidental, como Bélgica y Francia: la prevención del descenso de la capacidad para trabajar, el desarrollo de la capacidad para superar las dificultades y la participación en programas de deportes y programas de prevención de la salud están promovidas por el Estado mediante de</w:t>
      </w:r>
      <w:r>
        <w:t>s</w:t>
      </w:r>
      <w:r>
        <w:t>gravaciones de impuestos y por los empleados a través de sus contribuciones. La Asociación húngara de familias con muchos hijos ha dado un ejemplo singular de que las familias que reconocen su responsabilidad social pueden funcionar más ef</w:t>
      </w:r>
      <w:r>
        <w:t>i</w:t>
      </w:r>
      <w:r>
        <w:t>cazmente para alcanzar los valores de la democracia y la comunidad.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3. Violencia en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1.1</w:t>
      </w:r>
      <w:r>
        <w:tab/>
        <w:t>Número de autores investigados, víctimas y autores sentenciados y enviados a prisión desglosado por sexo,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810"/>
        <w:gridCol w:w="90"/>
        <w:gridCol w:w="720"/>
        <w:gridCol w:w="900"/>
        <w:gridCol w:w="90"/>
        <w:gridCol w:w="720"/>
        <w:gridCol w:w="810"/>
        <w:gridCol w:w="90"/>
        <w:gridCol w:w="720"/>
        <w:gridCol w:w="900"/>
      </w:tblGrid>
      <w:tr w:rsidR="00000000">
        <w:tblPrEx>
          <w:tblCellMar>
            <w:top w:w="0" w:type="dxa"/>
            <w:left w:w="0" w:type="dxa"/>
            <w:bottom w:w="0" w:type="dxa"/>
            <w:right w:w="0" w:type="dxa"/>
          </w:tblCellMar>
        </w:tblPrEx>
        <w:trPr>
          <w:cantSplit/>
          <w:trHeight w:val="291"/>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81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81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Autores investigados</w:t>
            </w:r>
          </w:p>
        </w:tc>
        <w:tc>
          <w:tcPr>
            <w:tcW w:w="81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112 254</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121 118</w:t>
            </w:r>
          </w:p>
        </w:tc>
        <w:tc>
          <w:tcPr>
            <w:tcW w:w="810" w:type="dxa"/>
            <w:vAlign w:val="bottom"/>
          </w:tcPr>
          <w:p w:rsidR="00000000" w:rsidRDefault="00000000">
            <w:pPr>
              <w:tabs>
                <w:tab w:val="right" w:pos="720"/>
              </w:tabs>
              <w:spacing w:before="81" w:after="81" w:line="210" w:lineRule="exact"/>
              <w:ind w:right="115"/>
              <w:jc w:val="right"/>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140 064</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Mujeres</w:t>
            </w:r>
          </w:p>
        </w:tc>
        <w:tc>
          <w:tcPr>
            <w:tcW w:w="810" w:type="dxa"/>
            <w:gridSpan w:val="2"/>
            <w:vAlign w:val="bottom"/>
          </w:tcPr>
          <w:p w:rsidR="00000000" w:rsidRDefault="00000000">
            <w:pPr>
              <w:tabs>
                <w:tab w:val="decimal" w:pos="740"/>
              </w:tabs>
              <w:spacing w:before="81" w:after="40" w:line="210" w:lineRule="exact"/>
              <w:ind w:right="115"/>
              <w:rPr>
                <w:sz w:val="17"/>
              </w:rPr>
            </w:pPr>
            <w:r>
              <w:rPr>
                <w:sz w:val="17"/>
              </w:rPr>
              <w:t>13 822</w:t>
            </w:r>
          </w:p>
        </w:tc>
        <w:tc>
          <w:tcPr>
            <w:tcW w:w="900" w:type="dxa"/>
            <w:vAlign w:val="bottom"/>
          </w:tcPr>
          <w:p w:rsidR="00000000" w:rsidRDefault="00000000">
            <w:pPr>
              <w:tabs>
                <w:tab w:val="decimal" w:pos="740"/>
              </w:tabs>
              <w:spacing w:before="81" w:after="40" w:line="210" w:lineRule="exact"/>
              <w:ind w:right="115"/>
              <w:rPr>
                <w:sz w:val="17"/>
              </w:rPr>
            </w:pPr>
            <w:r>
              <w:rPr>
                <w:sz w:val="17"/>
              </w:rPr>
              <w:t>12,3</w:t>
            </w:r>
          </w:p>
        </w:tc>
        <w:tc>
          <w:tcPr>
            <w:tcW w:w="810" w:type="dxa"/>
            <w:gridSpan w:val="2"/>
            <w:vAlign w:val="bottom"/>
          </w:tcPr>
          <w:p w:rsidR="00000000" w:rsidRDefault="00000000">
            <w:pPr>
              <w:tabs>
                <w:tab w:val="decimal" w:pos="740"/>
              </w:tabs>
              <w:spacing w:before="81" w:after="40" w:line="210" w:lineRule="exact"/>
              <w:ind w:right="115"/>
              <w:rPr>
                <w:sz w:val="17"/>
              </w:rPr>
            </w:pPr>
            <w:r>
              <w:rPr>
                <w:sz w:val="17"/>
              </w:rPr>
              <w:t>12 762</w:t>
            </w:r>
          </w:p>
        </w:tc>
        <w:tc>
          <w:tcPr>
            <w:tcW w:w="810" w:type="dxa"/>
            <w:vAlign w:val="bottom"/>
          </w:tcPr>
          <w:p w:rsidR="00000000" w:rsidRDefault="00000000">
            <w:pPr>
              <w:tabs>
                <w:tab w:val="right" w:pos="720"/>
              </w:tabs>
              <w:spacing w:before="81" w:after="40" w:line="210" w:lineRule="exact"/>
              <w:ind w:right="115"/>
              <w:jc w:val="right"/>
              <w:rPr>
                <w:sz w:val="17"/>
              </w:rPr>
            </w:pPr>
            <w:r>
              <w:rPr>
                <w:sz w:val="17"/>
              </w:rPr>
              <w:t>10,5</w:t>
            </w:r>
          </w:p>
        </w:tc>
        <w:tc>
          <w:tcPr>
            <w:tcW w:w="810" w:type="dxa"/>
            <w:gridSpan w:val="2"/>
            <w:vAlign w:val="bottom"/>
          </w:tcPr>
          <w:p w:rsidR="00000000" w:rsidRDefault="00000000">
            <w:pPr>
              <w:tabs>
                <w:tab w:val="decimal" w:pos="740"/>
              </w:tabs>
              <w:spacing w:before="81" w:after="40" w:line="210" w:lineRule="exact"/>
              <w:ind w:right="115"/>
              <w:rPr>
                <w:sz w:val="17"/>
              </w:rPr>
            </w:pPr>
            <w:r>
              <w:rPr>
                <w:sz w:val="17"/>
              </w:rPr>
              <w:t>17 842</w:t>
            </w:r>
          </w:p>
        </w:tc>
        <w:tc>
          <w:tcPr>
            <w:tcW w:w="900" w:type="dxa"/>
            <w:vAlign w:val="bottom"/>
          </w:tcPr>
          <w:p w:rsidR="00000000" w:rsidRDefault="00000000">
            <w:pPr>
              <w:tabs>
                <w:tab w:val="decimal" w:pos="740"/>
              </w:tabs>
              <w:spacing w:before="81" w:after="40" w:line="210" w:lineRule="exact"/>
              <w:ind w:right="115"/>
              <w:rPr>
                <w:sz w:val="17"/>
              </w:rPr>
            </w:pPr>
            <w:r>
              <w:rPr>
                <w:sz w:val="17"/>
              </w:rPr>
              <w:t>12,7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98 432</w:t>
            </w:r>
          </w:p>
        </w:tc>
        <w:tc>
          <w:tcPr>
            <w:tcW w:w="900" w:type="dxa"/>
            <w:vAlign w:val="bottom"/>
          </w:tcPr>
          <w:p w:rsidR="00000000" w:rsidRDefault="00000000">
            <w:pPr>
              <w:tabs>
                <w:tab w:val="decimal" w:pos="740"/>
              </w:tabs>
              <w:spacing w:before="40" w:after="40" w:line="210" w:lineRule="exact"/>
              <w:ind w:right="115"/>
              <w:rPr>
                <w:sz w:val="17"/>
              </w:rPr>
            </w:pPr>
            <w:r>
              <w:rPr>
                <w:sz w:val="17"/>
              </w:rPr>
              <w:t>87,7</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108 356</w:t>
            </w:r>
          </w:p>
        </w:tc>
        <w:tc>
          <w:tcPr>
            <w:tcW w:w="810" w:type="dxa"/>
            <w:vAlign w:val="bottom"/>
          </w:tcPr>
          <w:p w:rsidR="00000000" w:rsidRDefault="00000000">
            <w:pPr>
              <w:tabs>
                <w:tab w:val="right" w:pos="720"/>
              </w:tabs>
              <w:spacing w:before="40" w:after="40" w:line="210" w:lineRule="exact"/>
              <w:ind w:right="115"/>
              <w:jc w:val="right"/>
              <w:rPr>
                <w:sz w:val="17"/>
              </w:rPr>
            </w:pPr>
            <w:r>
              <w:rPr>
                <w:sz w:val="17"/>
              </w:rPr>
              <w:t>89,5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122 222</w:t>
            </w:r>
          </w:p>
        </w:tc>
        <w:tc>
          <w:tcPr>
            <w:tcW w:w="900" w:type="dxa"/>
            <w:vAlign w:val="bottom"/>
          </w:tcPr>
          <w:p w:rsidR="00000000" w:rsidRDefault="00000000">
            <w:pPr>
              <w:tabs>
                <w:tab w:val="decimal" w:pos="740"/>
              </w:tabs>
              <w:spacing w:before="40" w:after="40" w:line="210" w:lineRule="exact"/>
              <w:ind w:right="115"/>
              <w:rPr>
                <w:sz w:val="17"/>
              </w:rPr>
            </w:pPr>
            <w:r>
              <w:rPr>
                <w:sz w:val="17"/>
              </w:rPr>
              <w:t>87,3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Víctimas de delitos</w:t>
            </w:r>
          </w:p>
        </w:tc>
        <w:tc>
          <w:tcPr>
            <w:tcW w:w="810" w:type="dxa"/>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Total</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204 821</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330 476</w:t>
            </w:r>
          </w:p>
        </w:tc>
        <w:tc>
          <w:tcPr>
            <w:tcW w:w="810" w:type="dxa"/>
            <w:vAlign w:val="bottom"/>
          </w:tcPr>
          <w:p w:rsidR="00000000" w:rsidRDefault="00000000">
            <w:pPr>
              <w:tabs>
                <w:tab w:val="right" w:pos="720"/>
              </w:tabs>
              <w:spacing w:before="81" w:after="81" w:line="210" w:lineRule="exact"/>
              <w:ind w:right="115"/>
              <w:jc w:val="right"/>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317 129</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64 562</w:t>
            </w:r>
          </w:p>
        </w:tc>
        <w:tc>
          <w:tcPr>
            <w:tcW w:w="900" w:type="dxa"/>
            <w:vAlign w:val="bottom"/>
          </w:tcPr>
          <w:p w:rsidR="00000000" w:rsidRDefault="00000000">
            <w:pPr>
              <w:tabs>
                <w:tab w:val="decimal" w:pos="740"/>
              </w:tabs>
              <w:spacing w:before="40" w:after="40" w:line="210" w:lineRule="exact"/>
              <w:ind w:right="115"/>
              <w:rPr>
                <w:sz w:val="17"/>
              </w:rPr>
            </w:pPr>
            <w:r>
              <w:rPr>
                <w:sz w:val="17"/>
              </w:rPr>
              <w:t>31,5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103 419</w:t>
            </w:r>
          </w:p>
        </w:tc>
        <w:tc>
          <w:tcPr>
            <w:tcW w:w="810" w:type="dxa"/>
            <w:vAlign w:val="bottom"/>
          </w:tcPr>
          <w:p w:rsidR="00000000" w:rsidRDefault="00000000">
            <w:pPr>
              <w:tabs>
                <w:tab w:val="right" w:pos="720"/>
              </w:tabs>
              <w:spacing w:before="40" w:after="40" w:line="210" w:lineRule="exact"/>
              <w:ind w:right="115"/>
              <w:jc w:val="right"/>
              <w:rPr>
                <w:sz w:val="17"/>
              </w:rPr>
            </w:pPr>
            <w:r>
              <w:rPr>
                <w:sz w:val="17"/>
              </w:rPr>
              <w:t>31,3</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106 211</w:t>
            </w:r>
          </w:p>
        </w:tc>
        <w:tc>
          <w:tcPr>
            <w:tcW w:w="900" w:type="dxa"/>
            <w:vAlign w:val="bottom"/>
          </w:tcPr>
          <w:p w:rsidR="00000000" w:rsidRDefault="00000000">
            <w:pPr>
              <w:tabs>
                <w:tab w:val="decimal" w:pos="740"/>
              </w:tabs>
              <w:spacing w:before="40" w:after="40" w:line="210" w:lineRule="exact"/>
              <w:ind w:right="115"/>
              <w:rPr>
                <w:sz w:val="17"/>
              </w:rPr>
            </w:pPr>
            <w:r>
              <w:rPr>
                <w:sz w:val="17"/>
              </w:rPr>
              <w:t>33,5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140 259</w:t>
            </w:r>
          </w:p>
        </w:tc>
        <w:tc>
          <w:tcPr>
            <w:tcW w:w="900" w:type="dxa"/>
            <w:vAlign w:val="bottom"/>
          </w:tcPr>
          <w:p w:rsidR="00000000" w:rsidRDefault="00000000">
            <w:pPr>
              <w:tabs>
                <w:tab w:val="decimal" w:pos="740"/>
              </w:tabs>
              <w:spacing w:before="40" w:after="40" w:line="210" w:lineRule="exact"/>
              <w:ind w:right="115"/>
              <w:rPr>
                <w:sz w:val="17"/>
              </w:rPr>
            </w:pPr>
            <w:r>
              <w:rPr>
                <w:sz w:val="17"/>
              </w:rPr>
              <w:t>68,5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227 057</w:t>
            </w:r>
          </w:p>
        </w:tc>
        <w:tc>
          <w:tcPr>
            <w:tcW w:w="810" w:type="dxa"/>
            <w:vAlign w:val="bottom"/>
          </w:tcPr>
          <w:p w:rsidR="00000000" w:rsidRDefault="00000000">
            <w:pPr>
              <w:tabs>
                <w:tab w:val="right" w:pos="720"/>
              </w:tabs>
              <w:spacing w:before="40" w:after="40" w:line="210" w:lineRule="exact"/>
              <w:ind w:right="115"/>
              <w:jc w:val="right"/>
              <w:rPr>
                <w:sz w:val="17"/>
              </w:rPr>
            </w:pPr>
            <w:r>
              <w:rPr>
                <w:sz w:val="17"/>
              </w:rPr>
              <w:t>68,7</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210 918</w:t>
            </w:r>
          </w:p>
        </w:tc>
        <w:tc>
          <w:tcPr>
            <w:tcW w:w="900" w:type="dxa"/>
            <w:vAlign w:val="bottom"/>
          </w:tcPr>
          <w:p w:rsidR="00000000" w:rsidRDefault="00000000">
            <w:pPr>
              <w:tabs>
                <w:tab w:val="decimal" w:pos="740"/>
              </w:tabs>
              <w:spacing w:before="40" w:after="40" w:line="210" w:lineRule="exact"/>
              <w:ind w:right="115"/>
              <w:rPr>
                <w:sz w:val="17"/>
              </w:rPr>
            </w:pPr>
            <w:r>
              <w:rPr>
                <w:sz w:val="17"/>
              </w:rPr>
              <w:t>66,5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Autores sentenciados</w:t>
            </w:r>
          </w:p>
        </w:tc>
        <w:tc>
          <w:tcPr>
            <w:tcW w:w="810" w:type="dxa"/>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Total</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47 694</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85 746</w:t>
            </w:r>
          </w:p>
        </w:tc>
        <w:tc>
          <w:tcPr>
            <w:tcW w:w="810" w:type="dxa"/>
            <w:vAlign w:val="bottom"/>
          </w:tcPr>
          <w:p w:rsidR="00000000" w:rsidRDefault="00000000">
            <w:pPr>
              <w:tabs>
                <w:tab w:val="right" w:pos="720"/>
              </w:tabs>
              <w:spacing w:before="81" w:after="81" w:line="210" w:lineRule="exact"/>
              <w:ind w:right="115"/>
              <w:jc w:val="right"/>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97 285</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4 033</w:t>
            </w:r>
          </w:p>
        </w:tc>
        <w:tc>
          <w:tcPr>
            <w:tcW w:w="900" w:type="dxa"/>
            <w:vAlign w:val="bottom"/>
          </w:tcPr>
          <w:p w:rsidR="00000000" w:rsidRDefault="00000000">
            <w:pPr>
              <w:tabs>
                <w:tab w:val="decimal" w:pos="740"/>
              </w:tabs>
              <w:spacing w:before="40" w:after="40" w:line="210" w:lineRule="exact"/>
              <w:ind w:right="115"/>
              <w:rPr>
                <w:sz w:val="17"/>
              </w:rPr>
            </w:pPr>
            <w:r>
              <w:rPr>
                <w:sz w:val="17"/>
              </w:rPr>
              <w:t>8,5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8 133</w:t>
            </w:r>
          </w:p>
        </w:tc>
        <w:tc>
          <w:tcPr>
            <w:tcW w:w="810" w:type="dxa"/>
            <w:vAlign w:val="bottom"/>
          </w:tcPr>
          <w:p w:rsidR="00000000" w:rsidRDefault="00000000">
            <w:pPr>
              <w:tabs>
                <w:tab w:val="right" w:pos="720"/>
              </w:tabs>
              <w:spacing w:before="40" w:after="40" w:line="210" w:lineRule="exact"/>
              <w:ind w:right="115"/>
              <w:jc w:val="right"/>
              <w:rPr>
                <w:sz w:val="17"/>
              </w:rPr>
            </w:pPr>
            <w:r>
              <w:rPr>
                <w:sz w:val="17"/>
              </w:rPr>
              <w:t>9,5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10 670</w:t>
            </w:r>
          </w:p>
        </w:tc>
        <w:tc>
          <w:tcPr>
            <w:tcW w:w="900" w:type="dxa"/>
            <w:vAlign w:val="bottom"/>
          </w:tcPr>
          <w:p w:rsidR="00000000" w:rsidRDefault="00000000">
            <w:pPr>
              <w:tabs>
                <w:tab w:val="decimal" w:pos="740"/>
              </w:tabs>
              <w:spacing w:before="40" w:after="40" w:line="210" w:lineRule="exact"/>
              <w:ind w:right="115"/>
              <w:rPr>
                <w:sz w:val="17"/>
              </w:rPr>
            </w:pPr>
            <w:r>
              <w:rPr>
                <w:sz w:val="17"/>
              </w:rPr>
              <w:t>11,0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43 661</w:t>
            </w:r>
          </w:p>
        </w:tc>
        <w:tc>
          <w:tcPr>
            <w:tcW w:w="900" w:type="dxa"/>
            <w:vAlign w:val="bottom"/>
          </w:tcPr>
          <w:p w:rsidR="00000000" w:rsidRDefault="00000000">
            <w:pPr>
              <w:tabs>
                <w:tab w:val="decimal" w:pos="740"/>
              </w:tabs>
              <w:spacing w:before="40" w:after="40" w:line="210" w:lineRule="exact"/>
              <w:ind w:right="115"/>
              <w:rPr>
                <w:sz w:val="17"/>
              </w:rPr>
            </w:pPr>
            <w:r>
              <w:rPr>
                <w:sz w:val="17"/>
              </w:rPr>
              <w:t>91,5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77 613</w:t>
            </w:r>
          </w:p>
        </w:tc>
        <w:tc>
          <w:tcPr>
            <w:tcW w:w="810" w:type="dxa"/>
            <w:vAlign w:val="bottom"/>
          </w:tcPr>
          <w:p w:rsidR="00000000" w:rsidRDefault="00000000">
            <w:pPr>
              <w:tabs>
                <w:tab w:val="right" w:pos="720"/>
              </w:tabs>
              <w:spacing w:before="40" w:after="40" w:line="210" w:lineRule="exact"/>
              <w:ind w:right="115"/>
              <w:jc w:val="right"/>
              <w:rPr>
                <w:sz w:val="17"/>
              </w:rPr>
            </w:pPr>
            <w:r>
              <w:rPr>
                <w:sz w:val="17"/>
              </w:rPr>
              <w:t>90,5</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86 615</w:t>
            </w:r>
          </w:p>
        </w:tc>
        <w:tc>
          <w:tcPr>
            <w:tcW w:w="900" w:type="dxa"/>
            <w:vAlign w:val="bottom"/>
          </w:tcPr>
          <w:p w:rsidR="00000000" w:rsidRDefault="00000000">
            <w:pPr>
              <w:tabs>
                <w:tab w:val="decimal" w:pos="740"/>
              </w:tabs>
              <w:spacing w:before="40" w:after="40" w:line="210" w:lineRule="exact"/>
              <w:ind w:right="115"/>
              <w:rPr>
                <w:sz w:val="17"/>
              </w:rPr>
            </w:pPr>
            <w:r>
              <w:rPr>
                <w:sz w:val="17"/>
              </w:rPr>
              <w:t>89,0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Autores en prisión</w:t>
            </w:r>
          </w:p>
        </w:tc>
        <w:tc>
          <w:tcPr>
            <w:tcW w:w="810" w:type="dxa"/>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Total</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12 319</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12 455</w:t>
            </w:r>
          </w:p>
        </w:tc>
        <w:tc>
          <w:tcPr>
            <w:tcW w:w="810" w:type="dxa"/>
            <w:vAlign w:val="bottom"/>
          </w:tcPr>
          <w:p w:rsidR="00000000" w:rsidRDefault="00000000">
            <w:pPr>
              <w:tabs>
                <w:tab w:val="right" w:pos="720"/>
              </w:tabs>
              <w:spacing w:before="81" w:after="81" w:line="210" w:lineRule="exact"/>
              <w:ind w:right="115"/>
              <w:jc w:val="right"/>
              <w:rPr>
                <w:b/>
                <w:sz w:val="17"/>
              </w:rPr>
            </w:pPr>
            <w:r>
              <w:rPr>
                <w:b/>
                <w:sz w:val="17"/>
              </w:rPr>
              <w:t>100,0</w:t>
            </w:r>
          </w:p>
        </w:tc>
        <w:tc>
          <w:tcPr>
            <w:tcW w:w="810" w:type="dxa"/>
            <w:gridSpan w:val="2"/>
            <w:vAlign w:val="bottom"/>
          </w:tcPr>
          <w:p w:rsidR="00000000" w:rsidRDefault="00000000">
            <w:pPr>
              <w:tabs>
                <w:tab w:val="decimal" w:pos="740"/>
              </w:tabs>
              <w:spacing w:before="81" w:after="81" w:line="210" w:lineRule="exact"/>
              <w:ind w:right="115"/>
              <w:rPr>
                <w:b/>
                <w:sz w:val="17"/>
              </w:rPr>
            </w:pPr>
            <w:r>
              <w:rPr>
                <w:b/>
                <w:sz w:val="17"/>
              </w:rPr>
              <w:t>14 366</w:t>
            </w:r>
          </w:p>
        </w:tc>
        <w:tc>
          <w:tcPr>
            <w:tcW w:w="900" w:type="dxa"/>
            <w:vAlign w:val="bottom"/>
          </w:tcPr>
          <w:p w:rsidR="00000000" w:rsidRDefault="00000000">
            <w:pPr>
              <w:tabs>
                <w:tab w:val="decimal" w:pos="740"/>
              </w:tabs>
              <w:spacing w:before="81" w:after="81" w:line="210" w:lineRule="exact"/>
              <w:ind w:right="115"/>
              <w:rPr>
                <w:b/>
                <w:sz w:val="17"/>
              </w:rPr>
            </w:pPr>
            <w:r>
              <w:rPr>
                <w:b/>
                <w:sz w:val="17"/>
              </w:rPr>
              <w:t>100,0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591</w:t>
            </w:r>
          </w:p>
        </w:tc>
        <w:tc>
          <w:tcPr>
            <w:tcW w:w="900" w:type="dxa"/>
            <w:vAlign w:val="bottom"/>
          </w:tcPr>
          <w:p w:rsidR="00000000" w:rsidRDefault="00000000">
            <w:pPr>
              <w:tabs>
                <w:tab w:val="decimal" w:pos="740"/>
              </w:tabs>
              <w:spacing w:before="40" w:after="40" w:line="210" w:lineRule="exact"/>
              <w:ind w:right="115"/>
              <w:rPr>
                <w:sz w:val="17"/>
              </w:rPr>
            </w:pPr>
            <w:r>
              <w:rPr>
                <w:sz w:val="17"/>
              </w:rPr>
              <w:t>4,8</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641</w:t>
            </w:r>
          </w:p>
        </w:tc>
        <w:tc>
          <w:tcPr>
            <w:tcW w:w="810" w:type="dxa"/>
            <w:vAlign w:val="bottom"/>
          </w:tcPr>
          <w:p w:rsidR="00000000" w:rsidRDefault="00000000">
            <w:pPr>
              <w:tabs>
                <w:tab w:val="right" w:pos="720"/>
              </w:tabs>
              <w:spacing w:before="40" w:after="40" w:line="210" w:lineRule="exact"/>
              <w:ind w:right="115"/>
              <w:jc w:val="right"/>
              <w:rPr>
                <w:sz w:val="17"/>
              </w:rPr>
            </w:pPr>
            <w:r>
              <w:rPr>
                <w:sz w:val="17"/>
              </w:rPr>
              <w:t>5,1</w:t>
            </w:r>
          </w:p>
        </w:tc>
        <w:tc>
          <w:tcPr>
            <w:tcW w:w="810" w:type="dxa"/>
            <w:gridSpan w:val="2"/>
            <w:vAlign w:val="bottom"/>
          </w:tcPr>
          <w:p w:rsidR="00000000" w:rsidRDefault="00000000">
            <w:pPr>
              <w:tabs>
                <w:tab w:val="decimal" w:pos="740"/>
              </w:tabs>
              <w:spacing w:before="40" w:after="40" w:line="210" w:lineRule="exact"/>
              <w:ind w:right="115"/>
              <w:rPr>
                <w:sz w:val="17"/>
              </w:rPr>
            </w:pPr>
            <w:r>
              <w:rPr>
                <w:sz w:val="17"/>
              </w:rPr>
              <w:t>823</w:t>
            </w:r>
          </w:p>
        </w:tc>
        <w:tc>
          <w:tcPr>
            <w:tcW w:w="900" w:type="dxa"/>
            <w:vAlign w:val="bottom"/>
          </w:tcPr>
          <w:p w:rsidR="00000000" w:rsidRDefault="00000000">
            <w:pPr>
              <w:tabs>
                <w:tab w:val="decimal" w:pos="740"/>
              </w:tabs>
              <w:spacing w:before="40" w:after="40" w:line="210" w:lineRule="exact"/>
              <w:ind w:right="115"/>
              <w:rPr>
                <w:sz w:val="17"/>
              </w:rPr>
            </w:pPr>
            <w:r>
              <w:rPr>
                <w:sz w:val="17"/>
              </w:rPr>
              <w:t>5,7</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10" w:type="dxa"/>
            <w:gridSpan w:val="2"/>
            <w:tcBorders>
              <w:bottom w:val="single" w:sz="12" w:space="0" w:color="auto"/>
            </w:tcBorders>
            <w:vAlign w:val="bottom"/>
          </w:tcPr>
          <w:p w:rsidR="00000000" w:rsidRDefault="00000000">
            <w:pPr>
              <w:tabs>
                <w:tab w:val="decimal" w:pos="740"/>
              </w:tabs>
              <w:spacing w:before="40" w:after="40" w:line="210" w:lineRule="exact"/>
              <w:ind w:right="115"/>
              <w:rPr>
                <w:sz w:val="17"/>
              </w:rPr>
            </w:pPr>
            <w:r>
              <w:rPr>
                <w:sz w:val="17"/>
              </w:rPr>
              <w:t>11 728</w:t>
            </w:r>
          </w:p>
        </w:tc>
        <w:tc>
          <w:tcPr>
            <w:tcW w:w="900" w:type="dxa"/>
            <w:tcBorders>
              <w:bottom w:val="single" w:sz="12" w:space="0" w:color="auto"/>
            </w:tcBorders>
            <w:vAlign w:val="bottom"/>
          </w:tcPr>
          <w:p w:rsidR="00000000" w:rsidRDefault="00000000">
            <w:pPr>
              <w:tabs>
                <w:tab w:val="decimal" w:pos="740"/>
              </w:tabs>
              <w:spacing w:before="40" w:after="40" w:line="210" w:lineRule="exact"/>
              <w:ind w:right="115"/>
              <w:rPr>
                <w:sz w:val="17"/>
              </w:rPr>
            </w:pPr>
            <w:r>
              <w:rPr>
                <w:sz w:val="17"/>
              </w:rPr>
              <w:t>92,5</w:t>
            </w:r>
          </w:p>
        </w:tc>
        <w:tc>
          <w:tcPr>
            <w:tcW w:w="810" w:type="dxa"/>
            <w:gridSpan w:val="2"/>
            <w:tcBorders>
              <w:bottom w:val="single" w:sz="12" w:space="0" w:color="auto"/>
            </w:tcBorders>
            <w:vAlign w:val="bottom"/>
          </w:tcPr>
          <w:p w:rsidR="00000000" w:rsidRDefault="00000000">
            <w:pPr>
              <w:tabs>
                <w:tab w:val="decimal" w:pos="740"/>
              </w:tabs>
              <w:spacing w:before="40" w:after="40" w:line="210" w:lineRule="exact"/>
              <w:ind w:right="115"/>
              <w:rPr>
                <w:sz w:val="17"/>
              </w:rPr>
            </w:pPr>
            <w:r>
              <w:rPr>
                <w:sz w:val="17"/>
              </w:rPr>
              <w:t>11 814</w:t>
            </w:r>
          </w:p>
        </w:tc>
        <w:tc>
          <w:tcPr>
            <w:tcW w:w="810" w:type="dxa"/>
            <w:tcBorders>
              <w:bottom w:val="single" w:sz="12" w:space="0" w:color="auto"/>
            </w:tcBorders>
            <w:vAlign w:val="bottom"/>
          </w:tcPr>
          <w:p w:rsidR="00000000" w:rsidRDefault="00000000">
            <w:pPr>
              <w:tabs>
                <w:tab w:val="right" w:pos="720"/>
              </w:tabs>
              <w:spacing w:before="40" w:after="40" w:line="210" w:lineRule="exact"/>
              <w:ind w:right="115"/>
              <w:jc w:val="right"/>
              <w:rPr>
                <w:sz w:val="17"/>
              </w:rPr>
            </w:pPr>
            <w:r>
              <w:rPr>
                <w:sz w:val="17"/>
              </w:rPr>
              <w:t>94,9</w:t>
            </w:r>
          </w:p>
        </w:tc>
        <w:tc>
          <w:tcPr>
            <w:tcW w:w="810" w:type="dxa"/>
            <w:gridSpan w:val="2"/>
            <w:tcBorders>
              <w:bottom w:val="single" w:sz="12" w:space="0" w:color="auto"/>
            </w:tcBorders>
            <w:vAlign w:val="bottom"/>
          </w:tcPr>
          <w:p w:rsidR="00000000" w:rsidRDefault="00000000">
            <w:pPr>
              <w:tabs>
                <w:tab w:val="decimal" w:pos="740"/>
              </w:tabs>
              <w:spacing w:before="40" w:after="40" w:line="210" w:lineRule="exact"/>
              <w:ind w:right="115"/>
              <w:rPr>
                <w:sz w:val="17"/>
              </w:rPr>
            </w:pPr>
            <w:r>
              <w:rPr>
                <w:sz w:val="17"/>
              </w:rPr>
              <w:t>13 543</w:t>
            </w:r>
          </w:p>
        </w:tc>
        <w:tc>
          <w:tcPr>
            <w:tcW w:w="900" w:type="dxa"/>
            <w:tcBorders>
              <w:bottom w:val="single" w:sz="12" w:space="0" w:color="auto"/>
            </w:tcBorders>
            <w:vAlign w:val="bottom"/>
          </w:tcPr>
          <w:p w:rsidR="00000000" w:rsidRDefault="00000000">
            <w:pPr>
              <w:tabs>
                <w:tab w:val="decimal" w:pos="740"/>
              </w:tabs>
              <w:spacing w:before="40" w:after="40" w:line="210" w:lineRule="exact"/>
              <w:ind w:right="115"/>
              <w:rPr>
                <w:sz w:val="17"/>
              </w:rPr>
            </w:pPr>
            <w:r>
              <w:rPr>
                <w:sz w:val="17"/>
              </w:rPr>
              <w:t>94,3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1.2</w:t>
      </w:r>
      <w:r>
        <w:tab/>
        <w:t>Víctimas de delitos desglosadas por tipo de delito y sexo, 1998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2250"/>
        <w:gridCol w:w="1980"/>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Delito</w:t>
            </w: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115"/>
              <w:jc w:val="right"/>
              <w:rPr>
                <w:i/>
                <w:sz w:val="14"/>
              </w:rPr>
            </w:pPr>
            <w:r>
              <w:rPr>
                <w:i/>
                <w:sz w:val="14"/>
              </w:rPr>
              <w:t>Mujeres</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115"/>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contra las personas</w:t>
            </w:r>
          </w:p>
        </w:tc>
        <w:tc>
          <w:tcPr>
            <w:tcW w:w="225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3,8</w:t>
            </w:r>
          </w:p>
        </w:tc>
        <w:tc>
          <w:tcPr>
            <w:tcW w:w="198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4,3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de trata</w:t>
            </w:r>
          </w:p>
        </w:tc>
        <w:tc>
          <w:tcPr>
            <w:tcW w:w="225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2,1</w:t>
            </w:r>
          </w:p>
        </w:tc>
        <w:tc>
          <w:tcPr>
            <w:tcW w:w="198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contra la moral sexual</w:t>
            </w:r>
          </w:p>
        </w:tc>
        <w:tc>
          <w:tcPr>
            <w:tcW w:w="225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0,3</w:t>
            </w:r>
          </w:p>
        </w:tc>
        <w:tc>
          <w:tcPr>
            <w:tcW w:w="198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contra el orden público</w:t>
            </w:r>
          </w:p>
        </w:tc>
        <w:tc>
          <w:tcPr>
            <w:tcW w:w="225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2,2</w:t>
            </w:r>
          </w:p>
        </w:tc>
        <w:tc>
          <w:tcPr>
            <w:tcW w:w="1980" w:type="dxa"/>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2,5</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Delitos contra la propiedad</w:t>
            </w:r>
          </w:p>
        </w:tc>
        <w:tc>
          <w:tcPr>
            <w:tcW w:w="2250" w:type="dxa"/>
            <w:vAlign w:val="bottom"/>
          </w:tcPr>
          <w:p w:rsidR="00000000" w:rsidRDefault="00000000">
            <w:pPr>
              <w:tabs>
                <w:tab w:val="left" w:pos="288"/>
                <w:tab w:val="left" w:pos="576"/>
                <w:tab w:val="left" w:pos="864"/>
                <w:tab w:val="left" w:pos="1152"/>
              </w:tabs>
              <w:spacing w:before="40" w:after="81" w:line="210" w:lineRule="exact"/>
              <w:ind w:right="115"/>
              <w:jc w:val="right"/>
              <w:rPr>
                <w:sz w:val="17"/>
              </w:rPr>
            </w:pPr>
            <w:r>
              <w:rPr>
                <w:sz w:val="17"/>
              </w:rPr>
              <w:t>91,2</w:t>
            </w:r>
          </w:p>
        </w:tc>
        <w:tc>
          <w:tcPr>
            <w:tcW w:w="1980" w:type="dxa"/>
            <w:vAlign w:val="bottom"/>
          </w:tcPr>
          <w:p w:rsidR="00000000" w:rsidRDefault="00000000">
            <w:pPr>
              <w:tabs>
                <w:tab w:val="left" w:pos="288"/>
                <w:tab w:val="left" w:pos="576"/>
                <w:tab w:val="left" w:pos="864"/>
                <w:tab w:val="left" w:pos="1152"/>
              </w:tabs>
              <w:spacing w:before="40" w:after="81" w:line="210" w:lineRule="exact"/>
              <w:ind w:right="115"/>
              <w:jc w:val="right"/>
              <w:rPr>
                <w:sz w:val="17"/>
              </w:rPr>
            </w:pPr>
            <w:r>
              <w:rPr>
                <w:sz w:val="17"/>
              </w:rPr>
              <w:t>90,7</w:t>
            </w:r>
          </w:p>
        </w:tc>
      </w:tr>
      <w:tr w:rsidR="00000000">
        <w:tblPrEx>
          <w:tblCellMar>
            <w:top w:w="0" w:type="dxa"/>
            <w:left w:w="0" w:type="dxa"/>
            <w:bottom w:w="0" w:type="dxa"/>
            <w:right w:w="0" w:type="dxa"/>
          </w:tblCellMar>
        </w:tblPrEx>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115"/>
              <w:jc w:val="right"/>
              <w:rPr>
                <w:b/>
                <w:sz w:val="17"/>
              </w:rPr>
            </w:pPr>
            <w:r>
              <w:rPr>
                <w:b/>
                <w:sz w:val="17"/>
              </w:rPr>
              <w:t>100,0</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115"/>
              <w:jc w:val="right"/>
              <w:rPr>
                <w:b/>
                <w:sz w:val="17"/>
              </w:rPr>
            </w:pPr>
            <w:r>
              <w:rPr>
                <w:b/>
                <w:sz w:val="17"/>
              </w:rPr>
              <w:t>100,0</w:t>
            </w:r>
          </w:p>
        </w:tc>
      </w:tr>
      <w:tr w:rsidR="00000000">
        <w:tblPrEx>
          <w:tblCellMar>
            <w:top w:w="0" w:type="dxa"/>
            <w:left w:w="0" w:type="dxa"/>
            <w:bottom w:w="0" w:type="dxa"/>
            <w:right w:w="0" w:type="dxa"/>
          </w:tblCellMar>
        </w:tblPrEx>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Número total de víctimas</w:t>
            </w:r>
          </w:p>
        </w:tc>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115"/>
              <w:jc w:val="right"/>
              <w:rPr>
                <w:b/>
                <w:sz w:val="17"/>
              </w:rPr>
            </w:pPr>
            <w:r>
              <w:rPr>
                <w:b/>
                <w:sz w:val="17"/>
              </w:rPr>
              <w:t>107,398</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115"/>
              <w:jc w:val="right"/>
              <w:rPr>
                <w:b/>
                <w:sz w:val="17"/>
              </w:rPr>
            </w:pPr>
            <w:r>
              <w:rPr>
                <w:b/>
                <w:sz w:val="17"/>
              </w:rPr>
              <w:t>213,473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br w:type="page"/>
      </w:r>
      <w:r>
        <w:tab/>
      </w:r>
      <w:r>
        <w:tab/>
        <w:t>1.3</w:t>
      </w:r>
      <w:r>
        <w:tab/>
        <w:t>Respuestas de las mujeres mayores de 18 años a las preguntas enumeradas a continuación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4230"/>
        <w:gridCol w:w="630"/>
        <w:gridCol w:w="720"/>
        <w:gridCol w:w="720"/>
        <w:gridCol w:w="900"/>
      </w:tblGrid>
      <w:tr w:rsidR="00000000">
        <w:tblPrEx>
          <w:tblCellMar>
            <w:top w:w="0" w:type="dxa"/>
            <w:left w:w="0" w:type="dxa"/>
            <w:bottom w:w="0" w:type="dxa"/>
            <w:right w:w="0" w:type="dxa"/>
          </w:tblCellMar>
        </w:tblPrEx>
        <w:trPr>
          <w:tblHeader/>
        </w:trPr>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Sí</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sabe</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Sin respuesta</w:t>
            </w: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 mujer violada tiene la culpa de la violación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Estuvo a punto de ser violada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 violada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 violada por su marido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 agredida sexualmente de niña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 padre maltrataba a la madre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Los padres se amenazaban mutuamente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Tenía miedo de las peleas de sus padres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 golpeada por sus padres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 golpeada por sus padres habitualmente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 abofeteado a sus hijos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 abofeteado a sus hijos y lo lamenta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Los padres tienen derecho a abofetear a sus hijos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 tenido miedo de ser golpeada por su marido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Sintió miedo de su marido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 golpeada por su marido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w:t>
            </w:r>
          </w:p>
        </w:tc>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Los problemas familiares deben mantenerse en secreto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w:t>
            </w:r>
          </w:p>
        </w:tc>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 policía no hace nada contra la violencia</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5. Lucha contra los estereotipos y los prejuicios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1.4</w:t>
      </w:r>
      <w:r>
        <w:tab/>
        <w:t xml:space="preserve">Edad media de las mujeres que dan a luz un hijo por número de orden de </w:t>
      </w:r>
      <w:r>
        <w:tab/>
        <w:t>los hijos nacidos vivos, 1970-1998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680"/>
        <w:gridCol w:w="610"/>
        <w:gridCol w:w="610"/>
        <w:gridCol w:w="610"/>
        <w:gridCol w:w="610"/>
        <w:gridCol w:w="610"/>
        <w:gridCol w:w="610"/>
        <w:gridCol w:w="610"/>
        <w:gridCol w:w="630"/>
        <w:gridCol w:w="810"/>
        <w:gridCol w:w="720"/>
      </w:tblGrid>
      <w:tr w:rsidR="00000000">
        <w:tblPrEx>
          <w:tblCellMar>
            <w:top w:w="0" w:type="dxa"/>
            <w:left w:w="0" w:type="dxa"/>
            <w:bottom w:w="0" w:type="dxa"/>
            <w:right w:w="0" w:type="dxa"/>
          </w:tblCellMar>
        </w:tblPrEx>
        <w:trPr>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6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Primer 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Segundo 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Tercer 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Cuarto 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Quinto 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Sexto</w:t>
            </w:r>
            <w:r>
              <w:rPr>
                <w:i/>
                <w:sz w:val="14"/>
              </w:rPr>
              <w:br/>
              <w:t>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Séptimo hijo</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Octavo hijo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Noveno hijo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Décimo hijo y siguientes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Promedio</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22,56</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26,24</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28,66</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30,18</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31,34</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32,40</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33,91</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25,11</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22,86</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25,75</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28,07</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29,34</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30,63</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32,13</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33,17</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24,95</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22,99</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26,45</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29,41</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31,00</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31,94</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32,79</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33,51</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25,67</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6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23,43</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26,48</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29,18</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30,75</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31,72</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32,72</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33,34</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25,97</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24,29</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26,98</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29,03</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30,50</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31,36</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32,48</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33,68</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26,44</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1.5</w:t>
      </w:r>
      <w:r>
        <w:tab/>
        <w:t>Número de divorcios y tasa de divorcio, 1960-1998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170"/>
        <w:gridCol w:w="1170"/>
        <w:gridCol w:w="900"/>
        <w:gridCol w:w="990"/>
        <w:gridCol w:w="90"/>
        <w:gridCol w:w="1080"/>
        <w:gridCol w:w="1080"/>
      </w:tblGrid>
      <w:tr w:rsidR="00000000">
        <w:tblPrEx>
          <w:tblCellMar>
            <w:top w:w="0" w:type="dxa"/>
            <w:left w:w="0" w:type="dxa"/>
            <w:bottom w:w="0" w:type="dxa"/>
            <w:right w:w="0" w:type="dxa"/>
          </w:tblCellMar>
        </w:tblPrEx>
        <w:trPr>
          <w:cantSplit/>
          <w:trHeight w:val="319"/>
          <w:tblHeader/>
        </w:trPr>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17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divorcios</w:t>
            </w:r>
          </w:p>
        </w:tc>
        <w:tc>
          <w:tcPr>
            <w:tcW w:w="30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Divorcios por 1.000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Promedio de edad de</w:t>
            </w:r>
          </w:p>
        </w:tc>
      </w:tr>
      <w:tr w:rsidR="00000000">
        <w:tblPrEx>
          <w:tblCellMar>
            <w:top w:w="0" w:type="dxa"/>
            <w:left w:w="0" w:type="dxa"/>
            <w:bottom w:w="0" w:type="dxa"/>
            <w:right w:w="0" w:type="dxa"/>
          </w:tblCellMar>
        </w:tblPrEx>
        <w:trPr>
          <w:cantSplit/>
          <w:tblHeader/>
        </w:trPr>
        <w:tc>
          <w:tcPr>
            <w:tcW w:w="810"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170"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Matrimonios existentes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Habitantes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Matrimonios</w:t>
            </w:r>
          </w:p>
        </w:tc>
        <w:tc>
          <w:tcPr>
            <w:tcW w:w="117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cantSplit/>
          <w:trHeight w:hRule="exact" w:val="115"/>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br w:type="page"/>
            </w: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187,3</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rPr>
          <w:cantSplit/>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346,0</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rPr>
          <w:cantSplit/>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24 888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r>
      <w:tr w:rsidR="00000000">
        <w:tblPrEx>
          <w:tblCellMar>
            <w:top w:w="0" w:type="dxa"/>
            <w:left w:w="0" w:type="dxa"/>
            <w:bottom w:w="0" w:type="dxa"/>
            <w:right w:w="0" w:type="dxa"/>
          </w:tblCellMar>
        </w:tblPrEx>
        <w:trPr>
          <w:cantSplit/>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24 857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464,9</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r>
      <w:tr w:rsidR="00000000">
        <w:tblPrEx>
          <w:tblCellMar>
            <w:top w:w="0" w:type="dxa"/>
            <w:left w:w="0" w:type="dxa"/>
            <w:bottom w:w="0" w:type="dxa"/>
            <w:right w:w="0" w:type="dxa"/>
          </w:tblCellMar>
        </w:tblPrEx>
        <w:trPr>
          <w:cantSplit/>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25 763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573,6</w:t>
            </w:r>
          </w:p>
        </w:tc>
        <w:tc>
          <w:tcPr>
            <w:tcW w:w="11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1.6.</w:t>
      </w:r>
      <w:r>
        <w:tab/>
        <w:t>Centros de atención de día, comedor, residencia de estudiantes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1080"/>
        <w:gridCol w:w="810"/>
        <w:gridCol w:w="720"/>
        <w:gridCol w:w="810"/>
        <w:gridCol w:w="900"/>
        <w:gridCol w:w="90"/>
        <w:gridCol w:w="810"/>
        <w:gridCol w:w="990"/>
      </w:tblGrid>
      <w:tr w:rsidR="00000000">
        <w:tblPrEx>
          <w:tblCellMar>
            <w:top w:w="0" w:type="dxa"/>
            <w:left w:w="0" w:type="dxa"/>
            <w:bottom w:w="0" w:type="dxa"/>
            <w:right w:w="0" w:type="dxa"/>
          </w:tblCellMar>
        </w:tblPrEx>
        <w:trPr>
          <w:cantSplit/>
          <w:tblHeader/>
        </w:trPr>
        <w:tc>
          <w:tcPr>
            <w:tcW w:w="21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24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Comedor</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Alumnos en residencias de estudiantes</w:t>
            </w:r>
          </w:p>
        </w:tc>
      </w:tr>
      <w:tr w:rsidR="00000000">
        <w:tblPrEx>
          <w:tblCellMar>
            <w:top w:w="0" w:type="dxa"/>
            <w:left w:w="0" w:type="dxa"/>
            <w:bottom w:w="0" w:type="dxa"/>
            <w:right w:w="0" w:type="dxa"/>
          </w:tblCellMar>
        </w:tblPrEx>
        <w:trPr>
          <w:tblHeader/>
        </w:trPr>
        <w:tc>
          <w:tcPr>
            <w:tcW w:w="10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Estudiantes en centros de atención de día</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Jardín de infancia</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Escuela elemental</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Escuela secundaria</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Escuelas de aprendices</w:t>
            </w:r>
          </w:p>
        </w:tc>
        <w:tc>
          <w:tcPr>
            <w:tcW w:w="90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Escuelas secundarias</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Universidades, facultades</w:t>
            </w:r>
          </w:p>
        </w:tc>
      </w:tr>
      <w:tr w:rsidR="00000000">
        <w:tblPrEx>
          <w:tblCellMar>
            <w:top w:w="0" w:type="dxa"/>
            <w:left w:w="0" w:type="dxa"/>
            <w:bottom w:w="0" w:type="dxa"/>
            <w:right w:w="0" w:type="dxa"/>
          </w:tblCellMar>
        </w:tblPrEx>
        <w:trPr>
          <w:cantSplit/>
          <w:tblHeader/>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6210" w:type="dxa"/>
            <w:gridSpan w:val="8"/>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Porcentaje del número total de estudiantes</w:t>
            </w:r>
          </w:p>
        </w:tc>
      </w:tr>
      <w:tr w:rsidR="00000000">
        <w:tblPrEx>
          <w:tblCellMar>
            <w:top w:w="0" w:type="dxa"/>
            <w:left w:w="0" w:type="dxa"/>
            <w:bottom w:w="0" w:type="dxa"/>
            <w:right w:w="0" w:type="dxa"/>
          </w:tblCellMar>
        </w:tblPrEx>
        <w:trPr>
          <w:trHeight w:hRule="exact" w:val="115"/>
        </w:trPr>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r>
      <w:tr w:rsidR="00000000">
        <w:tblPrEx>
          <w:tblCellMar>
            <w:top w:w="0" w:type="dxa"/>
            <w:left w:w="0" w:type="dxa"/>
            <w:bottom w:w="0" w:type="dxa"/>
            <w:right w:w="0" w:type="dxa"/>
          </w:tblCellMar>
        </w:tblPrEx>
        <w:trPr>
          <w:trHeight w:val="301"/>
        </w:trPr>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1.7</w:t>
      </w:r>
      <w:r>
        <w:tab/>
        <w:t>Edad a la que las mujeres deberían tener su primer hijo. Respuestas válidas desglosadas por nivel de educación y sexo, 1997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810"/>
        <w:gridCol w:w="810"/>
        <w:gridCol w:w="90"/>
        <w:gridCol w:w="810"/>
        <w:gridCol w:w="810"/>
        <w:gridCol w:w="90"/>
        <w:gridCol w:w="810"/>
        <w:gridCol w:w="720"/>
        <w:gridCol w:w="90"/>
        <w:gridCol w:w="720"/>
        <w:gridCol w:w="810"/>
      </w:tblGrid>
      <w:tr w:rsidR="00000000">
        <w:tblPrEx>
          <w:tblCellMar>
            <w:top w:w="0" w:type="dxa"/>
            <w:left w:w="0" w:type="dxa"/>
            <w:bottom w:w="0" w:type="dxa"/>
            <w:right w:w="0" w:type="dxa"/>
          </w:tblCellMar>
        </w:tblPrEx>
        <w:trPr>
          <w:cantSplit/>
          <w:tblHeader/>
        </w:trPr>
        <w:tc>
          <w:tcPr>
            <w:tcW w:w="17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 qué edad debe una mujer tener su primer hijo?</w:t>
            </w:r>
          </w:p>
        </w:tc>
        <w:tc>
          <w:tcPr>
            <w:tcW w:w="6570"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Nivel de educación</w:t>
            </w:r>
          </w:p>
        </w:tc>
      </w:tr>
      <w:tr w:rsidR="00000000">
        <w:tblPrEx>
          <w:tblCellMar>
            <w:top w:w="0" w:type="dxa"/>
            <w:left w:w="0" w:type="dxa"/>
            <w:bottom w:w="0" w:type="dxa"/>
            <w:right w:w="0" w:type="dxa"/>
          </w:tblCellMar>
        </w:tblPrEx>
        <w:trPr>
          <w:cantSplit/>
          <w:tblHeader/>
        </w:trPr>
        <w:tc>
          <w:tcPr>
            <w:tcW w:w="171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Ocho cursos de escuela elemental o menos</w:t>
            </w:r>
          </w:p>
        </w:tc>
        <w:tc>
          <w:tcPr>
            <w:tcW w:w="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Escuela de aprendices</w:t>
            </w:r>
          </w:p>
        </w:tc>
        <w:tc>
          <w:tcPr>
            <w:tcW w:w="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53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Escuela secundaria</w:t>
            </w:r>
          </w:p>
        </w:tc>
        <w:tc>
          <w:tcPr>
            <w:tcW w:w="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53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Título educativo terciario</w:t>
            </w:r>
          </w:p>
        </w:tc>
      </w:tr>
      <w:tr w:rsidR="00000000">
        <w:tblPrEx>
          <w:tblCellMar>
            <w:top w:w="0" w:type="dxa"/>
            <w:left w:w="0" w:type="dxa"/>
            <w:bottom w:w="0" w:type="dxa"/>
            <w:right w:w="0" w:type="dxa"/>
          </w:tblCellMar>
        </w:tblPrEx>
        <w:trPr>
          <w:cantSplit/>
          <w:tblHeader/>
        </w:trPr>
        <w:tc>
          <w:tcPr>
            <w:tcW w:w="171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00" w:type="dxa"/>
            <w:gridSpan w:val="2"/>
            <w:vAlign w:val="bottom"/>
          </w:tcPr>
          <w:p w:rsidR="00000000" w:rsidRDefault="00000000">
            <w:pPr>
              <w:tabs>
                <w:tab w:val="left" w:pos="288"/>
                <w:tab w:val="left" w:pos="576"/>
                <w:tab w:val="left" w:pos="864"/>
                <w:tab w:val="left" w:pos="1152"/>
              </w:tabs>
              <w:spacing w:after="81" w:line="160" w:lineRule="exact"/>
              <w:ind w:left="288"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0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81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Antes de los 20 años</w:t>
            </w:r>
          </w:p>
        </w:tc>
        <w:tc>
          <w:tcPr>
            <w:tcW w:w="810" w:type="dxa"/>
            <w:vAlign w:val="bottom"/>
          </w:tcPr>
          <w:p w:rsidR="00000000" w:rsidRDefault="00000000">
            <w:pPr>
              <w:tabs>
                <w:tab w:val="left" w:pos="560"/>
              </w:tabs>
              <w:spacing w:before="40" w:after="40" w:line="210" w:lineRule="exact"/>
              <w:ind w:right="40"/>
              <w:jc w:val="right"/>
              <w:rPr>
                <w:sz w:val="17"/>
              </w:rPr>
            </w:pPr>
            <w:r>
              <w:rPr>
                <w:sz w:val="17"/>
              </w:rPr>
              <w:t>10,7</w:t>
            </w:r>
          </w:p>
        </w:tc>
        <w:tc>
          <w:tcPr>
            <w:tcW w:w="810" w:type="dxa"/>
            <w:vAlign w:val="bottom"/>
          </w:tcPr>
          <w:p w:rsidR="00000000" w:rsidRDefault="00000000">
            <w:pPr>
              <w:tabs>
                <w:tab w:val="left" w:pos="560"/>
              </w:tabs>
              <w:spacing w:before="40" w:after="40" w:line="210" w:lineRule="exact"/>
              <w:ind w:right="40"/>
              <w:jc w:val="right"/>
              <w:rPr>
                <w:sz w:val="17"/>
              </w:rPr>
            </w:pPr>
            <w:r>
              <w:rPr>
                <w:sz w:val="17"/>
              </w:rPr>
              <w:t>15,8</w:t>
            </w:r>
          </w:p>
        </w:tc>
        <w:tc>
          <w:tcPr>
            <w:tcW w:w="900" w:type="dxa"/>
            <w:gridSpan w:val="2"/>
            <w:vAlign w:val="bottom"/>
          </w:tcPr>
          <w:p w:rsidR="00000000" w:rsidRDefault="00000000">
            <w:pPr>
              <w:tabs>
                <w:tab w:val="left" w:pos="560"/>
              </w:tabs>
              <w:spacing w:before="40" w:after="40" w:line="210" w:lineRule="exact"/>
              <w:ind w:right="40"/>
              <w:jc w:val="right"/>
              <w:rPr>
                <w:sz w:val="17"/>
              </w:rPr>
            </w:pPr>
            <w:r>
              <w:rPr>
                <w:sz w:val="17"/>
              </w:rPr>
              <w:t>2,8</w:t>
            </w:r>
          </w:p>
        </w:tc>
        <w:tc>
          <w:tcPr>
            <w:tcW w:w="810" w:type="dxa"/>
            <w:vAlign w:val="bottom"/>
          </w:tcPr>
          <w:p w:rsidR="00000000" w:rsidRDefault="00000000">
            <w:pPr>
              <w:tabs>
                <w:tab w:val="left" w:pos="560"/>
              </w:tabs>
              <w:spacing w:before="40" w:after="40" w:line="210" w:lineRule="exact"/>
              <w:ind w:right="40"/>
              <w:jc w:val="right"/>
              <w:rPr>
                <w:sz w:val="17"/>
              </w:rPr>
            </w:pPr>
            <w:r>
              <w:rPr>
                <w:sz w:val="17"/>
              </w:rPr>
              <w:t>6,9</w:t>
            </w:r>
          </w:p>
        </w:tc>
        <w:tc>
          <w:tcPr>
            <w:tcW w:w="900" w:type="dxa"/>
            <w:gridSpan w:val="2"/>
            <w:vAlign w:val="bottom"/>
          </w:tcPr>
          <w:p w:rsidR="00000000" w:rsidRDefault="00000000">
            <w:pPr>
              <w:tabs>
                <w:tab w:val="left" w:pos="560"/>
              </w:tabs>
              <w:spacing w:before="40" w:after="40" w:line="210" w:lineRule="exact"/>
              <w:ind w:right="40"/>
              <w:jc w:val="right"/>
              <w:rPr>
                <w:sz w:val="17"/>
              </w:rPr>
            </w:pPr>
            <w:r>
              <w:rPr>
                <w:sz w:val="17"/>
              </w:rPr>
              <w:t>–</w:t>
            </w:r>
          </w:p>
        </w:tc>
        <w:tc>
          <w:tcPr>
            <w:tcW w:w="720" w:type="dxa"/>
            <w:vAlign w:val="bottom"/>
          </w:tcPr>
          <w:p w:rsidR="00000000" w:rsidRDefault="00000000">
            <w:pPr>
              <w:tabs>
                <w:tab w:val="left" w:pos="560"/>
              </w:tabs>
              <w:spacing w:before="40" w:after="40" w:line="210" w:lineRule="exact"/>
              <w:ind w:right="40"/>
              <w:jc w:val="right"/>
              <w:rPr>
                <w:sz w:val="17"/>
              </w:rPr>
            </w:pPr>
            <w:r>
              <w:rPr>
                <w:sz w:val="17"/>
              </w:rPr>
              <w:t>3,1</w:t>
            </w:r>
          </w:p>
        </w:tc>
        <w:tc>
          <w:tcPr>
            <w:tcW w:w="810" w:type="dxa"/>
            <w:gridSpan w:val="2"/>
            <w:vAlign w:val="bottom"/>
          </w:tcPr>
          <w:p w:rsidR="00000000" w:rsidRDefault="00000000">
            <w:pPr>
              <w:tabs>
                <w:tab w:val="left" w:pos="560"/>
              </w:tabs>
              <w:spacing w:before="40" w:after="40" w:line="210" w:lineRule="exact"/>
              <w:ind w:right="40"/>
              <w:jc w:val="right"/>
              <w:rPr>
                <w:sz w:val="17"/>
              </w:rPr>
            </w:pPr>
            <w:r>
              <w:rPr>
                <w:sz w:val="17"/>
              </w:rPr>
              <w:t>1,9</w:t>
            </w:r>
          </w:p>
        </w:tc>
        <w:tc>
          <w:tcPr>
            <w:tcW w:w="810" w:type="dxa"/>
            <w:vAlign w:val="bottom"/>
          </w:tcPr>
          <w:p w:rsidR="00000000" w:rsidRDefault="00000000">
            <w:pPr>
              <w:tabs>
                <w:tab w:val="left" w:pos="560"/>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Entre los 20 y los 24 años</w:t>
            </w:r>
          </w:p>
        </w:tc>
        <w:tc>
          <w:tcPr>
            <w:tcW w:w="810" w:type="dxa"/>
            <w:vAlign w:val="bottom"/>
          </w:tcPr>
          <w:p w:rsidR="00000000" w:rsidRDefault="00000000">
            <w:pPr>
              <w:tabs>
                <w:tab w:val="left" w:pos="560"/>
              </w:tabs>
              <w:spacing w:before="40" w:after="40" w:line="210" w:lineRule="exact"/>
              <w:ind w:right="40"/>
              <w:jc w:val="right"/>
              <w:rPr>
                <w:sz w:val="17"/>
              </w:rPr>
            </w:pPr>
            <w:r>
              <w:rPr>
                <w:sz w:val="17"/>
              </w:rPr>
              <w:t>76,1</w:t>
            </w:r>
          </w:p>
        </w:tc>
        <w:tc>
          <w:tcPr>
            <w:tcW w:w="810" w:type="dxa"/>
            <w:vAlign w:val="bottom"/>
          </w:tcPr>
          <w:p w:rsidR="00000000" w:rsidRDefault="00000000">
            <w:pPr>
              <w:tabs>
                <w:tab w:val="left" w:pos="560"/>
              </w:tabs>
              <w:spacing w:before="40" w:after="40" w:line="210" w:lineRule="exact"/>
              <w:ind w:right="40"/>
              <w:jc w:val="right"/>
              <w:rPr>
                <w:sz w:val="17"/>
              </w:rPr>
            </w:pPr>
            <w:r>
              <w:rPr>
                <w:sz w:val="17"/>
              </w:rPr>
              <w:t>70,5</w:t>
            </w:r>
          </w:p>
        </w:tc>
        <w:tc>
          <w:tcPr>
            <w:tcW w:w="900" w:type="dxa"/>
            <w:gridSpan w:val="2"/>
            <w:vAlign w:val="bottom"/>
          </w:tcPr>
          <w:p w:rsidR="00000000" w:rsidRDefault="00000000">
            <w:pPr>
              <w:tabs>
                <w:tab w:val="left" w:pos="560"/>
              </w:tabs>
              <w:spacing w:before="40" w:after="40" w:line="210" w:lineRule="exact"/>
              <w:ind w:right="40"/>
              <w:jc w:val="right"/>
              <w:rPr>
                <w:sz w:val="17"/>
              </w:rPr>
            </w:pPr>
            <w:r>
              <w:rPr>
                <w:sz w:val="17"/>
              </w:rPr>
              <w:t>71,1</w:t>
            </w:r>
          </w:p>
        </w:tc>
        <w:tc>
          <w:tcPr>
            <w:tcW w:w="810" w:type="dxa"/>
            <w:vAlign w:val="bottom"/>
          </w:tcPr>
          <w:p w:rsidR="00000000" w:rsidRDefault="00000000">
            <w:pPr>
              <w:tabs>
                <w:tab w:val="left" w:pos="560"/>
              </w:tabs>
              <w:spacing w:before="40" w:after="40" w:line="210" w:lineRule="exact"/>
              <w:ind w:right="40"/>
              <w:jc w:val="right"/>
              <w:rPr>
                <w:sz w:val="17"/>
              </w:rPr>
            </w:pPr>
            <w:r>
              <w:rPr>
                <w:sz w:val="17"/>
              </w:rPr>
              <w:t>72,0</w:t>
            </w:r>
          </w:p>
        </w:tc>
        <w:tc>
          <w:tcPr>
            <w:tcW w:w="900" w:type="dxa"/>
            <w:gridSpan w:val="2"/>
            <w:vAlign w:val="bottom"/>
          </w:tcPr>
          <w:p w:rsidR="00000000" w:rsidRDefault="00000000">
            <w:pPr>
              <w:tabs>
                <w:tab w:val="left" w:pos="560"/>
              </w:tabs>
              <w:spacing w:before="40" w:after="40" w:line="210" w:lineRule="exact"/>
              <w:ind w:right="40"/>
              <w:jc w:val="right"/>
              <w:rPr>
                <w:sz w:val="17"/>
              </w:rPr>
            </w:pPr>
            <w:r>
              <w:rPr>
                <w:sz w:val="17"/>
              </w:rPr>
              <w:t>63,4</w:t>
            </w:r>
          </w:p>
        </w:tc>
        <w:tc>
          <w:tcPr>
            <w:tcW w:w="720" w:type="dxa"/>
            <w:vAlign w:val="bottom"/>
          </w:tcPr>
          <w:p w:rsidR="00000000" w:rsidRDefault="00000000">
            <w:pPr>
              <w:tabs>
                <w:tab w:val="left" w:pos="560"/>
              </w:tabs>
              <w:spacing w:before="40" w:after="40" w:line="210" w:lineRule="exact"/>
              <w:ind w:right="40"/>
              <w:jc w:val="right"/>
              <w:rPr>
                <w:sz w:val="17"/>
              </w:rPr>
            </w:pPr>
            <w:r>
              <w:rPr>
                <w:sz w:val="17"/>
              </w:rPr>
              <w:t>64,4</w:t>
            </w:r>
          </w:p>
        </w:tc>
        <w:tc>
          <w:tcPr>
            <w:tcW w:w="810" w:type="dxa"/>
            <w:gridSpan w:val="2"/>
            <w:vAlign w:val="bottom"/>
          </w:tcPr>
          <w:p w:rsidR="00000000" w:rsidRDefault="00000000">
            <w:pPr>
              <w:tabs>
                <w:tab w:val="left" w:pos="560"/>
              </w:tabs>
              <w:spacing w:before="40" w:after="40" w:line="210" w:lineRule="exact"/>
              <w:ind w:right="40"/>
              <w:jc w:val="right"/>
              <w:rPr>
                <w:sz w:val="17"/>
              </w:rPr>
            </w:pPr>
            <w:r>
              <w:rPr>
                <w:sz w:val="17"/>
              </w:rPr>
              <w:t>40,0</w:t>
            </w:r>
          </w:p>
        </w:tc>
        <w:tc>
          <w:tcPr>
            <w:tcW w:w="810" w:type="dxa"/>
            <w:vAlign w:val="bottom"/>
          </w:tcPr>
          <w:p w:rsidR="00000000" w:rsidRDefault="00000000">
            <w:pPr>
              <w:tabs>
                <w:tab w:val="left" w:pos="560"/>
              </w:tabs>
              <w:spacing w:before="40" w:after="40" w:line="210" w:lineRule="exact"/>
              <w:ind w:right="40"/>
              <w:jc w:val="right"/>
              <w:rPr>
                <w:sz w:val="17"/>
              </w:rPr>
            </w:pPr>
            <w:r>
              <w:rPr>
                <w:sz w:val="17"/>
              </w:rPr>
              <w:t>54,1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Entre los 25 y los 29 años</w:t>
            </w:r>
          </w:p>
        </w:tc>
        <w:tc>
          <w:tcPr>
            <w:tcW w:w="810" w:type="dxa"/>
            <w:vAlign w:val="bottom"/>
          </w:tcPr>
          <w:p w:rsidR="00000000" w:rsidRDefault="00000000">
            <w:pPr>
              <w:tabs>
                <w:tab w:val="left" w:pos="560"/>
              </w:tabs>
              <w:spacing w:before="40" w:after="40" w:line="210" w:lineRule="exact"/>
              <w:ind w:right="40"/>
              <w:jc w:val="right"/>
              <w:rPr>
                <w:sz w:val="17"/>
              </w:rPr>
            </w:pPr>
            <w:r>
              <w:rPr>
                <w:sz w:val="17"/>
              </w:rPr>
              <w:t>11,8</w:t>
            </w:r>
          </w:p>
        </w:tc>
        <w:tc>
          <w:tcPr>
            <w:tcW w:w="810" w:type="dxa"/>
            <w:vAlign w:val="bottom"/>
          </w:tcPr>
          <w:p w:rsidR="00000000" w:rsidRDefault="00000000">
            <w:pPr>
              <w:tabs>
                <w:tab w:val="left" w:pos="560"/>
              </w:tabs>
              <w:spacing w:before="40" w:after="40" w:line="210" w:lineRule="exact"/>
              <w:ind w:right="40"/>
              <w:jc w:val="right"/>
              <w:rPr>
                <w:sz w:val="17"/>
              </w:rPr>
            </w:pPr>
            <w:r>
              <w:rPr>
                <w:sz w:val="17"/>
              </w:rPr>
              <w:t>13,0</w:t>
            </w:r>
          </w:p>
        </w:tc>
        <w:tc>
          <w:tcPr>
            <w:tcW w:w="900" w:type="dxa"/>
            <w:gridSpan w:val="2"/>
            <w:vAlign w:val="bottom"/>
          </w:tcPr>
          <w:p w:rsidR="00000000" w:rsidRDefault="00000000">
            <w:pPr>
              <w:tabs>
                <w:tab w:val="left" w:pos="560"/>
              </w:tabs>
              <w:spacing w:before="40" w:after="40" w:line="210" w:lineRule="exact"/>
              <w:ind w:right="40"/>
              <w:jc w:val="right"/>
              <w:rPr>
                <w:sz w:val="17"/>
              </w:rPr>
            </w:pPr>
            <w:r>
              <w:rPr>
                <w:sz w:val="17"/>
              </w:rPr>
              <w:t>23,2</w:t>
            </w:r>
          </w:p>
        </w:tc>
        <w:tc>
          <w:tcPr>
            <w:tcW w:w="810" w:type="dxa"/>
            <w:vAlign w:val="bottom"/>
          </w:tcPr>
          <w:p w:rsidR="00000000" w:rsidRDefault="00000000">
            <w:pPr>
              <w:tabs>
                <w:tab w:val="left" w:pos="560"/>
              </w:tabs>
              <w:spacing w:before="40" w:after="40" w:line="210" w:lineRule="exact"/>
              <w:ind w:right="40"/>
              <w:jc w:val="right"/>
              <w:rPr>
                <w:sz w:val="17"/>
              </w:rPr>
            </w:pPr>
            <w:r>
              <w:rPr>
                <w:sz w:val="17"/>
              </w:rPr>
              <w:t>19,0</w:t>
            </w:r>
          </w:p>
        </w:tc>
        <w:tc>
          <w:tcPr>
            <w:tcW w:w="900" w:type="dxa"/>
            <w:gridSpan w:val="2"/>
            <w:vAlign w:val="bottom"/>
          </w:tcPr>
          <w:p w:rsidR="00000000" w:rsidRDefault="00000000">
            <w:pPr>
              <w:tabs>
                <w:tab w:val="left" w:pos="560"/>
              </w:tabs>
              <w:spacing w:before="40" w:after="40" w:line="210" w:lineRule="exact"/>
              <w:ind w:right="40"/>
              <w:jc w:val="right"/>
              <w:rPr>
                <w:sz w:val="17"/>
              </w:rPr>
            </w:pPr>
            <w:r>
              <w:rPr>
                <w:sz w:val="17"/>
              </w:rPr>
              <w:t>31,7</w:t>
            </w:r>
          </w:p>
        </w:tc>
        <w:tc>
          <w:tcPr>
            <w:tcW w:w="720" w:type="dxa"/>
            <w:vAlign w:val="bottom"/>
          </w:tcPr>
          <w:p w:rsidR="00000000" w:rsidRDefault="00000000">
            <w:pPr>
              <w:tabs>
                <w:tab w:val="left" w:pos="560"/>
              </w:tabs>
              <w:spacing w:before="40" w:after="40" w:line="210" w:lineRule="exact"/>
              <w:ind w:right="40"/>
              <w:jc w:val="right"/>
              <w:rPr>
                <w:sz w:val="17"/>
              </w:rPr>
            </w:pPr>
            <w:r>
              <w:rPr>
                <w:sz w:val="17"/>
              </w:rPr>
              <w:t>30,6</w:t>
            </w:r>
          </w:p>
        </w:tc>
        <w:tc>
          <w:tcPr>
            <w:tcW w:w="810" w:type="dxa"/>
            <w:gridSpan w:val="2"/>
            <w:vAlign w:val="bottom"/>
          </w:tcPr>
          <w:p w:rsidR="00000000" w:rsidRDefault="00000000">
            <w:pPr>
              <w:tabs>
                <w:tab w:val="left" w:pos="560"/>
              </w:tabs>
              <w:spacing w:before="40" w:after="40" w:line="210" w:lineRule="exact"/>
              <w:ind w:right="40"/>
              <w:jc w:val="right"/>
              <w:rPr>
                <w:sz w:val="17"/>
              </w:rPr>
            </w:pPr>
            <w:r>
              <w:rPr>
                <w:sz w:val="17"/>
              </w:rPr>
              <w:t>50,5</w:t>
            </w:r>
          </w:p>
        </w:tc>
        <w:tc>
          <w:tcPr>
            <w:tcW w:w="810" w:type="dxa"/>
            <w:vAlign w:val="bottom"/>
          </w:tcPr>
          <w:p w:rsidR="00000000" w:rsidRDefault="00000000">
            <w:pPr>
              <w:tabs>
                <w:tab w:val="left" w:pos="560"/>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171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A los 30 años o más</w:t>
            </w:r>
          </w:p>
        </w:tc>
        <w:tc>
          <w:tcPr>
            <w:tcW w:w="810" w:type="dxa"/>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1,4</w:t>
            </w:r>
          </w:p>
        </w:tc>
        <w:tc>
          <w:tcPr>
            <w:tcW w:w="810" w:type="dxa"/>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0,7</w:t>
            </w:r>
          </w:p>
        </w:tc>
        <w:tc>
          <w:tcPr>
            <w:tcW w:w="900" w:type="dxa"/>
            <w:gridSpan w:val="2"/>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2,8</w:t>
            </w:r>
          </w:p>
        </w:tc>
        <w:tc>
          <w:tcPr>
            <w:tcW w:w="810" w:type="dxa"/>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2,2</w:t>
            </w:r>
          </w:p>
        </w:tc>
        <w:tc>
          <w:tcPr>
            <w:tcW w:w="900" w:type="dxa"/>
            <w:gridSpan w:val="2"/>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4,9</w:t>
            </w:r>
          </w:p>
        </w:tc>
        <w:tc>
          <w:tcPr>
            <w:tcW w:w="720" w:type="dxa"/>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1,9</w:t>
            </w:r>
          </w:p>
        </w:tc>
        <w:tc>
          <w:tcPr>
            <w:tcW w:w="810" w:type="dxa"/>
            <w:gridSpan w:val="2"/>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7,6</w:t>
            </w:r>
          </w:p>
        </w:tc>
        <w:tc>
          <w:tcPr>
            <w:tcW w:w="810" w:type="dxa"/>
            <w:tcBorders>
              <w:bottom w:val="single" w:sz="4" w:space="0" w:color="auto"/>
            </w:tcBorders>
            <w:vAlign w:val="bottom"/>
          </w:tcPr>
          <w:p w:rsidR="00000000" w:rsidRDefault="00000000">
            <w:pPr>
              <w:tabs>
                <w:tab w:val="left" w:pos="560"/>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pStyle w:val="Heading2"/>
              <w:spacing w:before="81" w:after="81"/>
              <w:ind w:right="43"/>
            </w:pPr>
            <w:r>
              <w:tab/>
              <w:t>Número total</w:t>
            </w:r>
          </w:p>
        </w:tc>
        <w:tc>
          <w:tcPr>
            <w:tcW w:w="810" w:type="dxa"/>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347</w:t>
            </w:r>
          </w:p>
        </w:tc>
        <w:tc>
          <w:tcPr>
            <w:tcW w:w="810" w:type="dxa"/>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146</w:t>
            </w:r>
          </w:p>
        </w:tc>
        <w:tc>
          <w:tcPr>
            <w:tcW w:w="900" w:type="dxa"/>
            <w:gridSpan w:val="2"/>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142</w:t>
            </w:r>
          </w:p>
        </w:tc>
        <w:tc>
          <w:tcPr>
            <w:tcW w:w="810" w:type="dxa"/>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232</w:t>
            </w:r>
          </w:p>
        </w:tc>
        <w:tc>
          <w:tcPr>
            <w:tcW w:w="900" w:type="dxa"/>
            <w:gridSpan w:val="2"/>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205</w:t>
            </w:r>
          </w:p>
        </w:tc>
        <w:tc>
          <w:tcPr>
            <w:tcW w:w="720" w:type="dxa"/>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160</w:t>
            </w:r>
          </w:p>
        </w:tc>
        <w:tc>
          <w:tcPr>
            <w:tcW w:w="810" w:type="dxa"/>
            <w:gridSpan w:val="2"/>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105</w:t>
            </w:r>
          </w:p>
        </w:tc>
        <w:tc>
          <w:tcPr>
            <w:tcW w:w="810" w:type="dxa"/>
            <w:tcBorders>
              <w:bottom w:val="single" w:sz="12" w:space="0" w:color="auto"/>
            </w:tcBorders>
            <w:vAlign w:val="bottom"/>
          </w:tcPr>
          <w:p w:rsidR="00000000" w:rsidRDefault="00000000">
            <w:pPr>
              <w:tabs>
                <w:tab w:val="left" w:pos="560"/>
              </w:tabs>
              <w:spacing w:before="40" w:after="40" w:line="210" w:lineRule="exact"/>
              <w:ind w:right="40"/>
              <w:jc w:val="right"/>
              <w:rPr>
                <w:sz w:val="17"/>
              </w:rPr>
            </w:pPr>
            <w:r>
              <w:rPr>
                <w:sz w:val="17"/>
              </w:rPr>
              <w:t>85</w:t>
            </w:r>
          </w:p>
        </w:tc>
      </w:tr>
    </w:tbl>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Índices de fertilidad, 1960-1998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810"/>
        <w:gridCol w:w="810"/>
        <w:gridCol w:w="810"/>
        <w:gridCol w:w="900"/>
        <w:gridCol w:w="900"/>
        <w:gridCol w:w="720"/>
        <w:gridCol w:w="720"/>
        <w:gridCol w:w="720"/>
        <w:gridCol w:w="720"/>
        <w:gridCol w:w="900"/>
      </w:tblGrid>
      <w:tr w:rsidR="00000000">
        <w:tblPrEx>
          <w:tblCellMar>
            <w:top w:w="0" w:type="dxa"/>
            <w:left w:w="0" w:type="dxa"/>
            <w:bottom w:w="0" w:type="dxa"/>
            <w:right w:w="0" w:type="dxa"/>
          </w:tblCellMar>
        </w:tblPrEx>
        <w:trPr>
          <w:cantSplit/>
          <w:tblHeader/>
        </w:trPr>
        <w:tc>
          <w:tcPr>
            <w:tcW w:w="5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Tasa de natalidad bruta (nacidos vivos por cada 1.000 habitantes)</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Nacidos vivos por cada 1.000 mujeres de entre 15 y 49 años</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Nacidos vivos por cada 1.000 mujeres casadas de entre 15 y 49 años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7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 nacidos vivos por cada 100 niñas</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7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Tasa de fertilidad total</w:t>
            </w:r>
          </w:p>
        </w:tc>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Promedio del número de orden de los nacidos vivos</w:t>
            </w:r>
          </w:p>
        </w:tc>
      </w:tr>
      <w:tr w:rsidR="00000000">
        <w:tblPrEx>
          <w:tblCellMar>
            <w:top w:w="0" w:type="dxa"/>
            <w:left w:w="0" w:type="dxa"/>
            <w:bottom w:w="0" w:type="dxa"/>
            <w:right w:w="0" w:type="dxa"/>
          </w:tblCellMar>
        </w:tblPrEx>
        <w:trPr>
          <w:cantSplit/>
          <w:trHeight w:val="313"/>
          <w:tblHeader/>
        </w:trPr>
        <w:tc>
          <w:tcPr>
            <w:tcW w:w="5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Nacimientos dentro del matrimonio</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Nacimientos fuera del matrimonio</w:t>
            </w:r>
          </w:p>
        </w:tc>
        <w:tc>
          <w:tcPr>
            <w:tcW w:w="72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44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Coeficiente de reproducción</w:t>
            </w:r>
          </w:p>
        </w:tc>
        <w:tc>
          <w:tcPr>
            <w:tcW w:w="72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90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r>
      <w:tr w:rsidR="00000000">
        <w:tblPrEx>
          <w:tblCellMar>
            <w:top w:w="0" w:type="dxa"/>
            <w:left w:w="0" w:type="dxa"/>
            <w:bottom w:w="0" w:type="dxa"/>
            <w:right w:w="0" w:type="dxa"/>
          </w:tblCellMar>
        </w:tblPrEx>
        <w:trPr>
          <w:cantSplit/>
          <w:trHeight w:val="312"/>
          <w:tblHeader/>
        </w:trPr>
        <w:tc>
          <w:tcPr>
            <w:tcW w:w="54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80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Por cada 1.000 nacidos vivos</w:t>
            </w:r>
          </w:p>
        </w:tc>
        <w:tc>
          <w:tcPr>
            <w:tcW w:w="72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Bruto</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Neto</w:t>
            </w:r>
          </w:p>
        </w:tc>
        <w:tc>
          <w:tcPr>
            <w:tcW w:w="72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900" w:type="dxa"/>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r w:rsidR="00000000">
        <w:tblPrEx>
          <w:tblCellMar>
            <w:top w:w="0" w:type="dxa"/>
            <w:left w:w="0" w:type="dxa"/>
            <w:bottom w:w="0" w:type="dxa"/>
            <w:right w:w="0" w:type="dxa"/>
          </w:tblCellMar>
        </w:tblPrEx>
        <w:trPr>
          <w:cantSplit/>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rPr>
          <w:cantSplit/>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0,906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rPr>
          <w:cantSplit/>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r>
      <w:tr w:rsidR="00000000">
        <w:tblPrEx>
          <w:tblCellMar>
            <w:top w:w="0" w:type="dxa"/>
            <w:left w:w="0" w:type="dxa"/>
            <w:bottom w:w="0" w:type="dxa"/>
            <w:right w:w="0" w:type="dxa"/>
          </w:tblCellMar>
        </w:tblPrEx>
        <w:trPr>
          <w:cantSplit/>
        </w:trPr>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0,649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0,638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sin hijos por grupo de edad, 1970-1998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56"/>
        <w:gridCol w:w="957"/>
        <w:gridCol w:w="957"/>
        <w:gridCol w:w="957"/>
        <w:gridCol w:w="956"/>
        <w:gridCol w:w="957"/>
        <w:gridCol w:w="957"/>
        <w:gridCol w:w="957"/>
        <w:gridCol w:w="896"/>
      </w:tblGrid>
      <w:tr w:rsidR="00000000">
        <w:tblPrEx>
          <w:tblCellMar>
            <w:top w:w="0" w:type="dxa"/>
            <w:left w:w="0" w:type="dxa"/>
            <w:bottom w:w="0" w:type="dxa"/>
            <w:right w:w="0" w:type="dxa"/>
          </w:tblCellMar>
        </w:tblPrEx>
        <w:trPr>
          <w:cantSplit/>
          <w:tblHeader/>
        </w:trPr>
        <w:tc>
          <w:tcPr>
            <w:tcW w:w="95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r>
              <w:rPr>
                <w:i/>
                <w:sz w:val="14"/>
              </w:rPr>
              <w:br/>
              <w:t>(Enero)</w:t>
            </w:r>
          </w:p>
        </w:tc>
        <w:tc>
          <w:tcPr>
            <w:tcW w:w="7594"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Edad</w:t>
            </w:r>
          </w:p>
        </w:tc>
      </w:tr>
      <w:tr w:rsidR="00000000">
        <w:tblPrEx>
          <w:tblCellMar>
            <w:top w:w="0" w:type="dxa"/>
            <w:left w:w="0" w:type="dxa"/>
            <w:bottom w:w="0" w:type="dxa"/>
            <w:right w:w="0" w:type="dxa"/>
          </w:tblCellMar>
        </w:tblPrEx>
        <w:trPr>
          <w:cantSplit/>
          <w:tblHeader/>
        </w:trPr>
        <w:tc>
          <w:tcPr>
            <w:tcW w:w="956"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15-19</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20-24</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25-29</w:t>
            </w:r>
          </w:p>
        </w:tc>
        <w:tc>
          <w:tcPr>
            <w:tcW w:w="956"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30-34</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35-39</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40-44</w:t>
            </w:r>
          </w:p>
        </w:tc>
        <w:tc>
          <w:tcPr>
            <w:tcW w:w="957"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45-49</w:t>
            </w:r>
          </w:p>
        </w:tc>
        <w:tc>
          <w:tcPr>
            <w:tcW w:w="896"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rHeight w:hRule="exact" w:val="115"/>
          <w:tblHeader/>
        </w:trPr>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97,6</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62,1</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13,7</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10,8</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12,3</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14,4</w:t>
            </w:r>
          </w:p>
        </w:tc>
        <w:tc>
          <w:tcPr>
            <w:tcW w:w="89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36,2</w:t>
            </w:r>
          </w:p>
        </w:tc>
      </w:tr>
      <w:tr w:rsidR="00000000">
        <w:tblPrEx>
          <w:tblCellMar>
            <w:top w:w="0" w:type="dxa"/>
            <w:left w:w="0" w:type="dxa"/>
            <w:bottom w:w="0" w:type="dxa"/>
            <w:right w:w="0" w:type="dxa"/>
          </w:tblCellMar>
        </w:tblPrEx>
        <w:trPr>
          <w:cantSplit/>
        </w:trPr>
        <w:tc>
          <w:tcPr>
            <w:tcW w:w="9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92,9</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50,1</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12,6</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10,3</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9,9</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89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27,9</w:t>
            </w:r>
          </w:p>
        </w:tc>
      </w:tr>
      <w:tr w:rsidR="00000000">
        <w:tblPrEx>
          <w:tblCellMar>
            <w:top w:w="0" w:type="dxa"/>
            <w:left w:w="0" w:type="dxa"/>
            <w:bottom w:w="0" w:type="dxa"/>
            <w:right w:w="0" w:type="dxa"/>
          </w:tblCellMar>
        </w:tblPrEx>
        <w:trPr>
          <w:cantSplit/>
        </w:trPr>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96,0</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72,8</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33,7</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14,5</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9,3</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1.8</w:t>
      </w:r>
      <w:r>
        <w:tab/>
        <w:t xml:space="preserve">Forma promedio de utilizar el tiempo de la población de entre 18 y 60 </w:t>
      </w:r>
      <w:r>
        <w:tab/>
        <w:t>años, 1963-1993 (minutos)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720"/>
        <w:gridCol w:w="630"/>
        <w:gridCol w:w="630"/>
        <w:gridCol w:w="630"/>
        <w:gridCol w:w="270"/>
        <w:gridCol w:w="360"/>
        <w:gridCol w:w="630"/>
        <w:gridCol w:w="630"/>
        <w:gridCol w:w="630"/>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spacing w:before="81" w:after="81" w:line="160" w:lineRule="exact"/>
              <w:ind w:left="346" w:right="40" w:hanging="346"/>
              <w:rPr>
                <w:i/>
                <w:sz w:val="14"/>
              </w:rPr>
            </w:pPr>
          </w:p>
        </w:tc>
        <w:tc>
          <w:tcPr>
            <w:tcW w:w="2610" w:type="dxa"/>
            <w:gridSpan w:val="4"/>
            <w:tcBorders>
              <w:top w:val="single" w:sz="4" w:space="0" w:color="auto"/>
              <w:bottom w:val="single" w:sz="4" w:space="0" w:color="auto"/>
            </w:tcBorders>
            <w:vAlign w:val="bottom"/>
          </w:tcPr>
          <w:p w:rsidR="00000000" w:rsidRDefault="00000000">
            <w:pPr>
              <w:spacing w:before="81" w:after="81" w:line="160" w:lineRule="exact"/>
              <w:ind w:left="346" w:right="40" w:hanging="346"/>
              <w:jc w:val="center"/>
              <w:rPr>
                <w:i/>
                <w:sz w:val="14"/>
              </w:rPr>
            </w:pPr>
            <w:r>
              <w:rPr>
                <w:i/>
                <w:sz w:val="14"/>
              </w:rPr>
              <w:t>Mujeres</w:t>
            </w:r>
          </w:p>
        </w:tc>
        <w:tc>
          <w:tcPr>
            <w:tcW w:w="270" w:type="dxa"/>
            <w:tcBorders>
              <w:top w:val="single" w:sz="4" w:space="0" w:color="auto"/>
            </w:tcBorders>
            <w:vAlign w:val="bottom"/>
          </w:tcPr>
          <w:p w:rsidR="00000000" w:rsidRDefault="00000000">
            <w:pPr>
              <w:spacing w:before="81" w:after="81" w:line="160" w:lineRule="exact"/>
              <w:ind w:left="346" w:right="40" w:hanging="346"/>
              <w:jc w:val="right"/>
              <w:rPr>
                <w:i/>
                <w:sz w:val="14"/>
              </w:rPr>
            </w:pPr>
          </w:p>
        </w:tc>
        <w:tc>
          <w:tcPr>
            <w:tcW w:w="2250" w:type="dxa"/>
            <w:gridSpan w:val="4"/>
            <w:tcBorders>
              <w:top w:val="single" w:sz="4" w:space="0" w:color="auto"/>
              <w:bottom w:val="single" w:sz="4" w:space="0" w:color="auto"/>
            </w:tcBorders>
            <w:vAlign w:val="bottom"/>
          </w:tcPr>
          <w:p w:rsidR="00000000" w:rsidRDefault="00000000">
            <w:pPr>
              <w:spacing w:before="81" w:after="81" w:line="160" w:lineRule="exact"/>
              <w:ind w:left="346" w:right="40" w:hanging="346"/>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3420" w:type="dxa"/>
            <w:vAlign w:val="bottom"/>
          </w:tcPr>
          <w:p w:rsidR="00000000" w:rsidRDefault="00000000">
            <w:pPr>
              <w:spacing w:after="81" w:line="160" w:lineRule="exact"/>
              <w:ind w:left="346" w:right="40" w:hanging="346"/>
              <w:rPr>
                <w:i/>
                <w:sz w:val="14"/>
              </w:rPr>
            </w:pPr>
            <w:r>
              <w:rPr>
                <w:i/>
                <w:sz w:val="14"/>
              </w:rPr>
              <w:t>Actividades</w:t>
            </w:r>
          </w:p>
        </w:tc>
        <w:tc>
          <w:tcPr>
            <w:tcW w:w="720" w:type="dxa"/>
            <w:vAlign w:val="bottom"/>
          </w:tcPr>
          <w:p w:rsidR="00000000" w:rsidRDefault="00000000">
            <w:pPr>
              <w:spacing w:after="81" w:line="160" w:lineRule="exact"/>
              <w:ind w:left="346" w:right="40" w:hanging="346"/>
              <w:jc w:val="right"/>
              <w:rPr>
                <w:i/>
                <w:sz w:val="14"/>
              </w:rPr>
            </w:pPr>
            <w:r>
              <w:rPr>
                <w:i/>
                <w:sz w:val="14"/>
              </w:rPr>
              <w:t>1963</w:t>
            </w:r>
          </w:p>
        </w:tc>
        <w:tc>
          <w:tcPr>
            <w:tcW w:w="630" w:type="dxa"/>
            <w:vAlign w:val="bottom"/>
          </w:tcPr>
          <w:p w:rsidR="00000000" w:rsidRDefault="00000000">
            <w:pPr>
              <w:spacing w:after="81" w:line="160" w:lineRule="exact"/>
              <w:ind w:left="346" w:right="40" w:hanging="346"/>
              <w:jc w:val="right"/>
              <w:rPr>
                <w:i/>
                <w:sz w:val="14"/>
              </w:rPr>
            </w:pPr>
            <w:r>
              <w:rPr>
                <w:i/>
                <w:sz w:val="14"/>
              </w:rPr>
              <w:t>1977</w:t>
            </w:r>
          </w:p>
        </w:tc>
        <w:tc>
          <w:tcPr>
            <w:tcW w:w="630" w:type="dxa"/>
            <w:vAlign w:val="bottom"/>
          </w:tcPr>
          <w:p w:rsidR="00000000" w:rsidRDefault="00000000">
            <w:pPr>
              <w:spacing w:after="81" w:line="160" w:lineRule="exact"/>
              <w:ind w:left="346" w:right="40" w:hanging="346"/>
              <w:jc w:val="right"/>
              <w:rPr>
                <w:i/>
                <w:sz w:val="14"/>
              </w:rPr>
            </w:pPr>
            <w:r>
              <w:rPr>
                <w:i/>
                <w:sz w:val="14"/>
              </w:rPr>
              <w:t>1986</w:t>
            </w:r>
          </w:p>
        </w:tc>
        <w:tc>
          <w:tcPr>
            <w:tcW w:w="630" w:type="dxa"/>
            <w:vAlign w:val="bottom"/>
          </w:tcPr>
          <w:p w:rsidR="00000000" w:rsidRDefault="00000000">
            <w:pPr>
              <w:spacing w:after="81" w:line="160" w:lineRule="exact"/>
              <w:ind w:left="346" w:right="40" w:hanging="346"/>
              <w:jc w:val="right"/>
              <w:rPr>
                <w:i/>
                <w:sz w:val="14"/>
              </w:rPr>
            </w:pPr>
            <w:r>
              <w:rPr>
                <w:i/>
                <w:sz w:val="14"/>
              </w:rPr>
              <w:t>1993</w:t>
            </w:r>
          </w:p>
        </w:tc>
        <w:tc>
          <w:tcPr>
            <w:tcW w:w="630" w:type="dxa"/>
            <w:gridSpan w:val="2"/>
            <w:vAlign w:val="bottom"/>
          </w:tcPr>
          <w:p w:rsidR="00000000" w:rsidRDefault="00000000">
            <w:pPr>
              <w:spacing w:after="81" w:line="160" w:lineRule="exact"/>
              <w:ind w:left="346" w:right="40" w:hanging="346"/>
              <w:jc w:val="right"/>
              <w:rPr>
                <w:i/>
                <w:sz w:val="14"/>
              </w:rPr>
            </w:pPr>
            <w:r>
              <w:rPr>
                <w:i/>
                <w:sz w:val="14"/>
              </w:rPr>
              <w:t>1963</w:t>
            </w:r>
          </w:p>
        </w:tc>
        <w:tc>
          <w:tcPr>
            <w:tcW w:w="630" w:type="dxa"/>
            <w:vAlign w:val="bottom"/>
          </w:tcPr>
          <w:p w:rsidR="00000000" w:rsidRDefault="00000000">
            <w:pPr>
              <w:spacing w:after="81" w:line="160" w:lineRule="exact"/>
              <w:ind w:left="346" w:right="40" w:hanging="346"/>
              <w:jc w:val="right"/>
              <w:rPr>
                <w:i/>
                <w:sz w:val="14"/>
              </w:rPr>
            </w:pPr>
            <w:r>
              <w:rPr>
                <w:i/>
                <w:sz w:val="14"/>
              </w:rPr>
              <w:t>1977</w:t>
            </w:r>
          </w:p>
        </w:tc>
        <w:tc>
          <w:tcPr>
            <w:tcW w:w="630" w:type="dxa"/>
            <w:vAlign w:val="bottom"/>
          </w:tcPr>
          <w:p w:rsidR="00000000" w:rsidRDefault="00000000">
            <w:pPr>
              <w:spacing w:after="81" w:line="160" w:lineRule="exact"/>
              <w:ind w:left="346" w:right="40" w:hanging="346"/>
              <w:jc w:val="right"/>
              <w:rPr>
                <w:i/>
                <w:sz w:val="14"/>
              </w:rPr>
            </w:pPr>
            <w:r>
              <w:rPr>
                <w:i/>
                <w:sz w:val="14"/>
              </w:rPr>
              <w:t>1986</w:t>
            </w:r>
          </w:p>
        </w:tc>
        <w:tc>
          <w:tcPr>
            <w:tcW w:w="630" w:type="dxa"/>
            <w:vAlign w:val="bottom"/>
          </w:tcPr>
          <w:p w:rsidR="00000000" w:rsidRDefault="00000000">
            <w:pPr>
              <w:spacing w:after="81" w:line="160" w:lineRule="exact"/>
              <w:ind w:left="346" w:right="40" w:hanging="346"/>
              <w:jc w:val="right"/>
              <w:rPr>
                <w:i/>
                <w:sz w:val="14"/>
              </w:rPr>
            </w:pPr>
            <w:r>
              <w:rPr>
                <w:i/>
                <w:sz w:val="14"/>
              </w:rPr>
              <w:t>1993</w:t>
            </w:r>
          </w:p>
        </w:tc>
      </w:tr>
      <w:tr w:rsidR="00000000">
        <w:tblPrEx>
          <w:tblCellMar>
            <w:top w:w="0" w:type="dxa"/>
            <w:left w:w="0" w:type="dxa"/>
            <w:bottom w:w="0" w:type="dxa"/>
            <w:right w:w="0" w:type="dxa"/>
          </w:tblCellMar>
        </w:tblPrEx>
        <w:trPr>
          <w:cantSplit/>
          <w:trHeight w:hRule="exact" w:val="115"/>
          <w:tblHeader/>
        </w:trPr>
        <w:tc>
          <w:tcPr>
            <w:tcW w:w="3420" w:type="dxa"/>
            <w:tcBorders>
              <w:top w:val="single" w:sz="12" w:space="0" w:color="auto"/>
            </w:tcBorders>
            <w:vAlign w:val="bottom"/>
          </w:tcPr>
          <w:p w:rsidR="00000000" w:rsidRDefault="00000000">
            <w:pPr>
              <w:spacing w:before="40" w:after="40" w:line="210" w:lineRule="exact"/>
              <w:ind w:left="346" w:right="40" w:hanging="346"/>
              <w:rPr>
                <w:b/>
                <w:sz w:val="17"/>
              </w:rPr>
            </w:pPr>
          </w:p>
        </w:tc>
        <w:tc>
          <w:tcPr>
            <w:tcW w:w="72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gridSpan w:val="2"/>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c>
          <w:tcPr>
            <w:tcW w:w="630" w:type="dxa"/>
            <w:tcBorders>
              <w:top w:val="single" w:sz="12" w:space="0" w:color="auto"/>
            </w:tcBorders>
            <w:vAlign w:val="bottom"/>
          </w:tcPr>
          <w:p w:rsidR="00000000" w:rsidRDefault="00000000">
            <w:pPr>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b/>
                <w:sz w:val="17"/>
              </w:rPr>
            </w:pPr>
            <w:r>
              <w:rPr>
                <w:b/>
                <w:sz w:val="17"/>
              </w:rPr>
              <w:t>Tiempo determinado por la sociedad</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612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590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573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511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556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546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477</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w:t>
            </w:r>
            <w:r>
              <w:rPr>
                <w:sz w:val="17"/>
              </w:rPr>
              <w:tab/>
              <w:t>Empleo remunerado, actividad productiva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230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163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450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378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367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296</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2.</w:t>
            </w:r>
            <w:r>
              <w:rPr>
                <w:sz w:val="17"/>
              </w:rPr>
              <w:tab/>
              <w:t>Educación, autoeducación</w:t>
            </w:r>
            <w:r>
              <w:rPr>
                <w:i/>
                <w:sz w:val="17"/>
                <w:vertAlign w:val="superscript"/>
              </w:rPr>
              <w:t>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w:t>
            </w:r>
            <w:r>
              <w:rPr>
                <w:sz w:val="17"/>
              </w:rPr>
              <w:tab/>
              <w:t>Cuidado de la familia y del hogar</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384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291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288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119</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3.1</w:t>
            </w:r>
            <w:r>
              <w:rPr>
                <w:sz w:val="17"/>
              </w:rPr>
              <w:tab/>
              <w:t>Trabajo en casa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236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90</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3.1.1</w:t>
            </w:r>
            <w:r>
              <w:rPr>
                <w:sz w:val="17"/>
              </w:rPr>
              <w:tab/>
              <w:t>Cocina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3.1.2</w:t>
            </w:r>
            <w:r>
              <w:rPr>
                <w:sz w:val="17"/>
              </w:rPr>
              <w:tab/>
              <w:t>Limpieza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3.1.3</w:t>
            </w:r>
            <w:r>
              <w:rPr>
                <w:sz w:val="17"/>
              </w:rPr>
              <w:tab/>
              <w:t>Lavar la ropa, planchar, coser</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576" w:right="40" w:hanging="576"/>
              <w:rPr>
                <w:sz w:val="17"/>
              </w:rPr>
            </w:pPr>
            <w:r>
              <w:rPr>
                <w:sz w:val="17"/>
              </w:rPr>
              <w:t>3.1.5</w:t>
            </w:r>
            <w:r>
              <w:rPr>
                <w:sz w:val="17"/>
              </w:rPr>
              <w:tab/>
              <w:t>Transporte y calentamiento de agua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576" w:right="40" w:hanging="576"/>
              <w:rPr>
                <w:sz w:val="17"/>
              </w:rPr>
            </w:pPr>
            <w:r>
              <w:rPr>
                <w:sz w:val="17"/>
              </w:rPr>
              <w:t>3.1.6</w:t>
            </w:r>
            <w:r>
              <w:rPr>
                <w:sz w:val="17"/>
              </w:rPr>
              <w:tab/>
              <w:t>Mantenimiento de la casa y del jardín, reparaciones, construcción</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3.1.7</w:t>
            </w:r>
            <w:r>
              <w:rPr>
                <w:sz w:val="17"/>
              </w:rPr>
              <w:tab/>
              <w:t>Otros</w:t>
            </w:r>
            <w:r>
              <w:rPr>
                <w:i/>
                <w:sz w:val="17"/>
                <w:vertAlign w:val="superscript"/>
              </w:rPr>
              <w:t>b</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23</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3.2</w:t>
            </w:r>
            <w:r>
              <w:rPr>
                <w:sz w:val="17"/>
              </w:rPr>
              <w:tab/>
              <w:t>Compra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3.3</w:t>
            </w:r>
            <w:r>
              <w:rPr>
                <w:sz w:val="17"/>
              </w:rPr>
              <w:tab/>
              <w:t>Cuidado y atención de los hijos</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17</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4.</w:t>
            </w:r>
            <w:r>
              <w:rPr>
                <w:sz w:val="17"/>
              </w:rPr>
              <w:tab/>
              <w:t>Tráfico</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62</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pStyle w:val="Heading1"/>
              <w:tabs>
                <w:tab w:val="left" w:pos="288"/>
                <w:tab w:val="left" w:pos="576"/>
                <w:tab w:val="left" w:pos="864"/>
                <w:tab w:val="left" w:pos="1152"/>
              </w:tabs>
              <w:spacing w:before="40" w:after="40" w:line="210" w:lineRule="exact"/>
              <w:ind w:right="40"/>
            </w:pPr>
            <w:r>
              <w:t>Necesidades fisiológicas</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672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660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652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689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660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654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650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679</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pStyle w:val="Heading1"/>
              <w:tabs>
                <w:tab w:val="left" w:pos="288"/>
                <w:tab w:val="left" w:pos="576"/>
                <w:tab w:val="left" w:pos="864"/>
                <w:tab w:val="left" w:pos="1152"/>
              </w:tabs>
              <w:spacing w:before="40" w:after="40" w:line="210" w:lineRule="exact"/>
              <w:ind w:right="40"/>
            </w:pPr>
            <w:r>
              <w:t>Tiempo libre</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156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212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174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228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281</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6.1</w:t>
            </w:r>
            <w:r>
              <w:rPr>
                <w:sz w:val="17"/>
              </w:rPr>
              <w:tab/>
              <w:t>Tiempo libre social</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59</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6.2</w:t>
            </w:r>
            <w:r>
              <w:rPr>
                <w:sz w:val="17"/>
              </w:rPr>
              <w:tab/>
              <w:t>Actividades culturales y deportivas</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6.3</w:t>
            </w:r>
            <w:r>
              <w:rPr>
                <w:sz w:val="17"/>
              </w:rPr>
              <w:tab/>
              <w:t>Lectura y estudio</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34</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6.4</w:t>
            </w:r>
            <w:r>
              <w:rPr>
                <w:sz w:val="17"/>
              </w:rPr>
              <w:tab/>
              <w:t>Escuchar la radio y la música</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6.5</w:t>
            </w:r>
            <w:r>
              <w:rPr>
                <w:sz w:val="17"/>
              </w:rPr>
              <w:tab/>
              <w:t>Ver la televisión</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139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111</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159</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6.6</w:t>
            </w:r>
            <w:r>
              <w:rPr>
                <w:sz w:val="17"/>
              </w:rPr>
              <w:tab/>
              <w:t>Entrenamiento físico</w:t>
            </w:r>
          </w:p>
        </w:tc>
        <w:tc>
          <w:tcPr>
            <w:tcW w:w="72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15</w:t>
            </w:r>
          </w:p>
        </w:tc>
      </w:tr>
      <w:tr w:rsidR="00000000">
        <w:tblPrEx>
          <w:tblCellMar>
            <w:top w:w="0" w:type="dxa"/>
            <w:left w:w="0" w:type="dxa"/>
            <w:bottom w:w="0" w:type="dxa"/>
            <w:right w:w="0" w:type="dxa"/>
          </w:tblCellMar>
        </w:tblPrEx>
        <w:trPr>
          <w:cantSplit/>
        </w:trPr>
        <w:tc>
          <w:tcPr>
            <w:tcW w:w="34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6.7</w:t>
            </w:r>
            <w:r>
              <w:rPr>
                <w:sz w:val="17"/>
              </w:rPr>
              <w:tab/>
              <w:t>Otros</w:t>
            </w:r>
          </w:p>
        </w:tc>
        <w:tc>
          <w:tcPr>
            <w:tcW w:w="72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13</w:t>
            </w:r>
          </w:p>
        </w:tc>
        <w:tc>
          <w:tcPr>
            <w:tcW w:w="630" w:type="dxa"/>
            <w:gridSpan w:val="2"/>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5</w:t>
            </w:r>
          </w:p>
        </w:tc>
      </w:tr>
      <w:tr w:rsidR="00000000">
        <w:tblPrEx>
          <w:tblCellMar>
            <w:top w:w="0" w:type="dxa"/>
            <w:left w:w="0" w:type="dxa"/>
            <w:bottom w:w="0" w:type="dxa"/>
            <w:right w:w="0" w:type="dxa"/>
          </w:tblCellMar>
        </w:tblPrEx>
        <w:trPr>
          <w:cantSplit/>
          <w:trHeight w:val="328"/>
        </w:trPr>
        <w:tc>
          <w:tcPr>
            <w:tcW w:w="3420" w:type="dxa"/>
            <w:tcBorders>
              <w:top w:val="single" w:sz="4" w:space="0" w:color="auto"/>
              <w:bottom w:val="single" w:sz="12"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1 440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a</w:t>
      </w:r>
      <w:r>
        <w:tab/>
      </w:r>
      <w:r>
        <w:tab/>
        <w:t>Educación, autoeducación, pertenece a la categoría de actividades determinadas socialmente, pero en el estudio de 1963 aparece incluida entre las actividades de tiempo libre, en el capítulo de “lectura”. Para facilitar la comparabilidad de los datos de futuros estudios se procesó en consecuencia.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vertAlign w:val="superscript"/>
        </w:rPr>
        <w:t>b</w:t>
      </w:r>
      <w:r>
        <w:tab/>
      </w:r>
      <w:r>
        <w:tab/>
        <w:t>Esa categoría incluye los trabajos de ayuda y voluntariado, las gestiones, la utilización de servicios y la asistencia al cementerio y a la iglesia.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 promedio de utilizar el tiempo de la población de entre 18 y 69 años desglosado por situación económica y sexo, 1993 (minutos)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810"/>
        <w:gridCol w:w="900"/>
        <w:gridCol w:w="810"/>
        <w:gridCol w:w="900"/>
        <w:gridCol w:w="810"/>
        <w:gridCol w:w="540"/>
        <w:gridCol w:w="630"/>
        <w:gridCol w:w="900"/>
      </w:tblGrid>
      <w:tr w:rsidR="00000000">
        <w:tblPrEx>
          <w:tblCellMar>
            <w:top w:w="0" w:type="dxa"/>
            <w:left w:w="0" w:type="dxa"/>
            <w:bottom w:w="0" w:type="dxa"/>
            <w:right w:w="0" w:type="dxa"/>
          </w:tblCellMar>
        </w:tblPrEx>
        <w:trPr>
          <w:cantSplit/>
          <w:tblHeader/>
        </w:trPr>
        <w:tc>
          <w:tcPr>
            <w:tcW w:w="21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Trabajador activo</w:t>
            </w:r>
          </w:p>
        </w:tc>
        <w:tc>
          <w:tcPr>
            <w:tcW w:w="396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Población no activa pero en edad de trabajar</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216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Licencia por maternidad</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Se ocupa del hogar</w:t>
            </w: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Desempleado</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Pensionista discapa-citado</w:t>
            </w:r>
          </w:p>
        </w:tc>
        <w:tc>
          <w:tcPr>
            <w:tcW w:w="54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Pensio-nista</w:t>
            </w: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Población entre 18 y 69 años</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346"/>
        </w:trPr>
        <w:tc>
          <w:tcPr>
            <w:tcW w:w="2160" w:type="dxa"/>
            <w:vAlign w:val="bottom"/>
          </w:tcPr>
          <w:p w:rsidR="00000000" w:rsidRDefault="00000000">
            <w:pPr>
              <w:tabs>
                <w:tab w:val="left" w:pos="288"/>
                <w:tab w:val="left" w:pos="576"/>
                <w:tab w:val="left" w:pos="864"/>
                <w:tab w:val="left" w:pos="1152"/>
              </w:tabs>
              <w:spacing w:before="40" w:after="40" w:line="210" w:lineRule="exact"/>
              <w:ind w:right="40"/>
            </w:pPr>
          </w:p>
        </w:tc>
        <w:tc>
          <w:tcPr>
            <w:tcW w:w="6300" w:type="dxa"/>
            <w:gridSpan w:val="8"/>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Mujeres</w:t>
            </w:r>
          </w:p>
        </w:tc>
      </w:tr>
      <w:tr w:rsidR="00000000">
        <w:tblPrEx>
          <w:tblCellMar>
            <w:top w:w="0" w:type="dxa"/>
            <w:left w:w="0" w:type="dxa"/>
            <w:bottom w:w="0" w:type="dxa"/>
            <w:right w:w="0" w:type="dxa"/>
          </w:tblCellMar>
        </w:tblPrEx>
        <w:trPr>
          <w:trHeight w:val="346"/>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Tiempo determinado socialmente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w:t>
            </w:r>
            <w:r>
              <w:rPr>
                <w:sz w:val="17"/>
              </w:rPr>
              <w:tab/>
              <w:t>Empleo remunerado, actividad productiva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2.</w:t>
            </w:r>
            <w:r>
              <w:rPr>
                <w:sz w:val="17"/>
              </w:rPr>
              <w:tab/>
              <w:t>Educación, autoeducación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3.</w:t>
            </w:r>
            <w:r>
              <w:rPr>
                <w:sz w:val="17"/>
              </w:rPr>
              <w:tab/>
              <w:t>Cuidado de la familia y del hogar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Tráfico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Necesidades fisiológicas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Tiempo libre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21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1 440</w:t>
            </w:r>
          </w:p>
        </w:tc>
      </w:tr>
      <w:tr w:rsidR="00000000">
        <w:tblPrEx>
          <w:tblCellMar>
            <w:top w:w="0" w:type="dxa"/>
            <w:left w:w="0" w:type="dxa"/>
            <w:bottom w:w="0" w:type="dxa"/>
            <w:right w:w="0" w:type="dxa"/>
          </w:tblCellMar>
        </w:tblPrEx>
        <w:trPr>
          <w:cantSplit/>
        </w:trPr>
        <w:tc>
          <w:tcPr>
            <w:tcW w:w="216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6300" w:type="dxa"/>
            <w:gridSpan w:val="8"/>
            <w:vAlign w:val="bottom"/>
          </w:tcPr>
          <w:p w:rsidR="00000000" w:rsidRDefault="00000000">
            <w:pPr>
              <w:keepNext/>
              <w:keepLines/>
              <w:tabs>
                <w:tab w:val="left" w:pos="288"/>
                <w:tab w:val="left" w:pos="576"/>
                <w:tab w:val="left" w:pos="864"/>
                <w:tab w:val="left" w:pos="1152"/>
              </w:tabs>
              <w:spacing w:before="40" w:after="40" w:line="210" w:lineRule="exact"/>
              <w:ind w:right="43"/>
              <w:jc w:val="center"/>
              <w:rPr>
                <w:b/>
                <w:sz w:val="17"/>
              </w:rPr>
            </w:pPr>
            <w:r>
              <w:rPr>
                <w:b/>
                <w:sz w:val="17"/>
              </w:rPr>
              <w:t>Hombres</w:t>
            </w:r>
          </w:p>
        </w:tc>
      </w:tr>
      <w:tr w:rsidR="00000000">
        <w:tblPrEx>
          <w:tblCellMar>
            <w:top w:w="0" w:type="dxa"/>
            <w:left w:w="0" w:type="dxa"/>
            <w:bottom w:w="0" w:type="dxa"/>
            <w:right w:w="0" w:type="dxa"/>
          </w:tblCellMar>
        </w:tblPrEx>
        <w:tc>
          <w:tcPr>
            <w:tcW w:w="2160" w:type="dxa"/>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Tiempo determinado socialmente</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551</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2160" w:type="dxa"/>
            <w:vAlign w:val="bottom"/>
          </w:tcPr>
          <w:p w:rsidR="00000000" w:rsidRDefault="00000000">
            <w:pPr>
              <w:keepNext/>
              <w:keepLines/>
              <w:tabs>
                <w:tab w:val="left" w:pos="288"/>
                <w:tab w:val="left" w:pos="576"/>
                <w:tab w:val="left" w:pos="864"/>
                <w:tab w:val="left" w:pos="1152"/>
              </w:tabs>
              <w:spacing w:before="40" w:after="40" w:line="210" w:lineRule="exact"/>
              <w:ind w:left="288" w:right="43" w:hanging="288"/>
              <w:rPr>
                <w:sz w:val="17"/>
              </w:rPr>
            </w:pPr>
            <w:r>
              <w:rPr>
                <w:sz w:val="17"/>
              </w:rPr>
              <w:t>1.</w:t>
            </w:r>
            <w:r>
              <w:rPr>
                <w:sz w:val="17"/>
              </w:rPr>
              <w:tab/>
              <w:t>Empleo remunerado, actividad productiva</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375</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r w:rsidR="00000000">
        <w:tblPrEx>
          <w:tblCellMar>
            <w:top w:w="0" w:type="dxa"/>
            <w:left w:w="0" w:type="dxa"/>
            <w:bottom w:w="0" w:type="dxa"/>
            <w:right w:w="0" w:type="dxa"/>
          </w:tblCellMar>
        </w:tblPrEx>
        <w:tc>
          <w:tcPr>
            <w:tcW w:w="2160" w:type="dxa"/>
            <w:vAlign w:val="bottom"/>
          </w:tcPr>
          <w:p w:rsidR="00000000" w:rsidRDefault="00000000">
            <w:pPr>
              <w:keepNext/>
              <w:keepLines/>
              <w:tabs>
                <w:tab w:val="left" w:pos="288"/>
                <w:tab w:val="left" w:pos="576"/>
                <w:tab w:val="left" w:pos="864"/>
                <w:tab w:val="left" w:pos="1152"/>
              </w:tabs>
              <w:spacing w:before="40" w:after="40" w:line="210" w:lineRule="exact"/>
              <w:ind w:left="288" w:right="43" w:hanging="288"/>
              <w:rPr>
                <w:sz w:val="17"/>
              </w:rPr>
            </w:pPr>
            <w:r>
              <w:rPr>
                <w:sz w:val="17"/>
              </w:rPr>
              <w:t>2.</w:t>
            </w:r>
            <w:r>
              <w:rPr>
                <w:sz w:val="17"/>
              </w:rPr>
              <w:tab/>
              <w:t>Educación, autoeducación</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6</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3.</w:t>
            </w:r>
            <w:r>
              <w:rPr>
                <w:sz w:val="17"/>
              </w:rPr>
              <w:tab/>
              <w:t>Cuidado de la familia y del hogar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Tráfico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b/>
                <w:sz w:val="16"/>
              </w:rPr>
            </w:pPr>
            <w:r>
              <w:rPr>
                <w:b/>
                <w:sz w:val="16"/>
              </w:rPr>
              <w:t>Necesidades fisiológicas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Tiempo libre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r>
      <w:tr w:rsidR="00000000">
        <w:tblPrEx>
          <w:tblCellMar>
            <w:top w:w="0" w:type="dxa"/>
            <w:left w:w="0" w:type="dxa"/>
            <w:bottom w:w="0" w:type="dxa"/>
            <w:right w:w="0" w:type="dxa"/>
          </w:tblCellMar>
        </w:tblPrEx>
        <w:trPr>
          <w:trHeight w:val="364"/>
        </w:trPr>
        <w:tc>
          <w:tcPr>
            <w:tcW w:w="216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81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1 440</w:t>
            </w:r>
          </w:p>
        </w:tc>
        <w:tc>
          <w:tcPr>
            <w:tcW w:w="90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w:t>
            </w:r>
          </w:p>
        </w:tc>
        <w:tc>
          <w:tcPr>
            <w:tcW w:w="81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w:t>
            </w:r>
          </w:p>
        </w:tc>
        <w:tc>
          <w:tcPr>
            <w:tcW w:w="90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1 440</w:t>
            </w:r>
          </w:p>
        </w:tc>
        <w:tc>
          <w:tcPr>
            <w:tcW w:w="81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1 440</w:t>
            </w:r>
          </w:p>
        </w:tc>
        <w:tc>
          <w:tcPr>
            <w:tcW w:w="54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1 440</w:t>
            </w:r>
          </w:p>
        </w:tc>
        <w:tc>
          <w:tcPr>
            <w:tcW w:w="63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1 440</w:t>
            </w:r>
          </w:p>
        </w:tc>
        <w:tc>
          <w:tcPr>
            <w:tcW w:w="900"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1 440</w:t>
            </w:r>
          </w:p>
        </w:tc>
      </w:tr>
    </w:tbl>
    <w:p w:rsidR="00000000" w:rsidRDefault="00000000">
      <w:pPr>
        <w:pStyle w:val="SingleTxt"/>
        <w:spacing w:after="0" w:line="120" w:lineRule="exact"/>
        <w:rPr>
          <w:sz w:val="10"/>
        </w:rPr>
      </w:pPr>
    </w:p>
    <w:p w:rsidR="00000000" w:rsidRDefault="00000000">
      <w:pPr>
        <w:pStyle w:val="SingleTxt"/>
        <w:rPr>
          <w:b/>
        </w:rPr>
      </w:pPr>
      <w:r>
        <w:rPr>
          <w:b/>
        </w:rPr>
        <w:t>Promedio de la utilización diaria del tiempo por los empleados activos de entre 18 y 69 años desglosado por sexo, estado civil y número de hijos, 1993 (min</w:t>
      </w:r>
      <w:r>
        <w:rPr>
          <w:b/>
        </w:rPr>
        <w:t>u</w:t>
      </w:r>
      <w:r>
        <w:rPr>
          <w:b/>
        </w:rPr>
        <w:t>tos)</w:t>
      </w:r>
    </w:p>
    <w:tbl>
      <w:tblPr>
        <w:tblW w:w="0" w:type="auto"/>
        <w:tblInd w:w="1262" w:type="dxa"/>
        <w:tblLayout w:type="fixed"/>
        <w:tblCellMar>
          <w:left w:w="0" w:type="dxa"/>
          <w:right w:w="0" w:type="dxa"/>
        </w:tblCellMar>
        <w:tblLook w:val="0000" w:firstRow="0" w:lastRow="0" w:firstColumn="0" w:lastColumn="0" w:noHBand="0" w:noVBand="0"/>
      </w:tblPr>
      <w:tblGrid>
        <w:gridCol w:w="3600"/>
        <w:gridCol w:w="990"/>
        <w:gridCol w:w="1260"/>
        <w:gridCol w:w="1170"/>
        <w:gridCol w:w="1080"/>
      </w:tblGrid>
      <w:tr w:rsidR="00000000">
        <w:tblPrEx>
          <w:tblCellMar>
            <w:top w:w="0" w:type="dxa"/>
            <w:left w:w="0" w:type="dxa"/>
            <w:bottom w:w="0" w:type="dxa"/>
            <w:right w:w="0" w:type="dxa"/>
          </w:tblCellMar>
        </w:tblPrEx>
        <w:trPr>
          <w:cantSplit/>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5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Estado civil y número de hijos</w:t>
            </w:r>
          </w:p>
        </w:tc>
      </w:tr>
      <w:tr w:rsidR="00000000">
        <w:tblPrEx>
          <w:tblCellMar>
            <w:top w:w="0" w:type="dxa"/>
            <w:left w:w="0" w:type="dxa"/>
            <w:bottom w:w="0" w:type="dxa"/>
            <w:right w:w="0" w:type="dxa"/>
          </w:tblCellMar>
        </w:tblPrEx>
        <w:trPr>
          <w:cantSplit/>
          <w:tblHeader/>
        </w:trPr>
        <w:tc>
          <w:tcPr>
            <w:tcW w:w="360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3510" w:type="dxa"/>
            <w:gridSpan w:val="3"/>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Casados</w:t>
            </w:r>
          </w:p>
        </w:tc>
      </w:tr>
      <w:tr w:rsidR="00000000">
        <w:tblPrEx>
          <w:tblCellMar>
            <w:top w:w="0" w:type="dxa"/>
            <w:left w:w="0" w:type="dxa"/>
            <w:bottom w:w="0" w:type="dxa"/>
            <w:right w:w="0" w:type="dxa"/>
          </w:tblCellMar>
        </w:tblPrEx>
        <w:trPr>
          <w:cantSplit/>
          <w:tblHeader/>
        </w:trPr>
        <w:tc>
          <w:tcPr>
            <w:tcW w:w="36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Actividad</w:t>
            </w:r>
          </w:p>
        </w:tc>
        <w:tc>
          <w:tcPr>
            <w:tcW w:w="99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Solteros</w:t>
            </w:r>
          </w:p>
        </w:tc>
        <w:tc>
          <w:tcPr>
            <w:tcW w:w="126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Sin hijos</w:t>
            </w:r>
          </w:p>
        </w:tc>
        <w:tc>
          <w:tcPr>
            <w:tcW w:w="117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Con un hijo</w:t>
            </w:r>
          </w:p>
        </w:tc>
        <w:tc>
          <w:tcPr>
            <w:tcW w:w="1080" w:type="dxa"/>
            <w:vAlign w:val="bottom"/>
          </w:tcPr>
          <w:p w:rsidR="00000000" w:rsidRDefault="00000000">
            <w:pPr>
              <w:tabs>
                <w:tab w:val="left" w:pos="288"/>
                <w:tab w:val="left" w:pos="576"/>
                <w:tab w:val="left" w:pos="864"/>
                <w:tab w:val="left" w:pos="1152"/>
              </w:tabs>
              <w:spacing w:after="81" w:line="160" w:lineRule="exact"/>
              <w:ind w:right="86"/>
              <w:jc w:val="right"/>
              <w:rPr>
                <w:i/>
                <w:sz w:val="14"/>
              </w:rPr>
            </w:pPr>
            <w:r>
              <w:rPr>
                <w:i/>
                <w:sz w:val="14"/>
              </w:rPr>
              <w:t>Con dos o más hijos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p>
        </w:tc>
      </w:tr>
      <w:tr w:rsidR="00000000">
        <w:tblPrEx>
          <w:tblCellMar>
            <w:top w:w="0" w:type="dxa"/>
            <w:left w:w="0" w:type="dxa"/>
            <w:bottom w:w="0" w:type="dxa"/>
            <w:right w:w="0" w:type="dxa"/>
          </w:tblCellMar>
        </w:tblPrEx>
        <w:trPr>
          <w:cantSplit/>
        </w:trPr>
        <w:tc>
          <w:tcPr>
            <w:tcW w:w="3600" w:type="dxa"/>
            <w:vAlign w:val="bottom"/>
          </w:tcPr>
          <w:p w:rsidR="00000000" w:rsidRDefault="00000000">
            <w:pPr>
              <w:pStyle w:val="Heading3"/>
            </w:pPr>
          </w:p>
        </w:tc>
        <w:tc>
          <w:tcPr>
            <w:tcW w:w="4500" w:type="dxa"/>
            <w:gridSpan w:val="4"/>
            <w:vAlign w:val="bottom"/>
          </w:tcPr>
          <w:p w:rsidR="00000000" w:rsidRDefault="00000000">
            <w:pPr>
              <w:pStyle w:val="Heading3"/>
              <w:ind w:right="86"/>
            </w:pPr>
            <w:r>
              <w:t>Mujeres</w:t>
            </w:r>
          </w:p>
        </w:tc>
      </w:tr>
      <w:tr w:rsidR="00000000">
        <w:tblPrEx>
          <w:tblCellMar>
            <w:top w:w="0" w:type="dxa"/>
            <w:left w:w="0" w:type="dxa"/>
            <w:bottom w:w="0" w:type="dxa"/>
            <w:right w:w="0" w:type="dxa"/>
          </w:tblCellMar>
        </w:tblPrEx>
        <w:tc>
          <w:tcPr>
            <w:tcW w:w="3600" w:type="dxa"/>
            <w:vAlign w:val="bottom"/>
          </w:tcPr>
          <w:p w:rsidR="00000000" w:rsidRDefault="00000000">
            <w:pPr>
              <w:pStyle w:val="Heading2"/>
            </w:pPr>
            <w:r>
              <w:t>Tiempo determinado socialmente</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570</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614</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655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w:t>
            </w:r>
            <w:r>
              <w:rPr>
                <w:sz w:val="17"/>
              </w:rPr>
              <w:tab/>
              <w:t>Empleo remunerado, actividad productiva</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338</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268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Educación, autoeducación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19</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Cuidado de la familia y del hogar</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141</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237</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264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324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Tráfico</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72</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59</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54</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58</w:t>
            </w:r>
          </w:p>
        </w:tc>
      </w:tr>
      <w:tr w:rsidR="00000000">
        <w:tblPrEx>
          <w:tblCellMar>
            <w:top w:w="0" w:type="dxa"/>
            <w:left w:w="0" w:type="dxa"/>
            <w:bottom w:w="0" w:type="dxa"/>
            <w:right w:w="0" w:type="dxa"/>
          </w:tblCellMar>
        </w:tblPrEx>
        <w:tc>
          <w:tcPr>
            <w:tcW w:w="3600" w:type="dxa"/>
            <w:vAlign w:val="bottom"/>
          </w:tcPr>
          <w:p w:rsidR="00000000" w:rsidRDefault="00000000">
            <w:pPr>
              <w:pStyle w:val="Heading2"/>
            </w:pPr>
            <w:r>
              <w:t>Necesidades fisiológicas</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646</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635</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620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Tiempo libre</w:t>
            </w:r>
          </w:p>
        </w:tc>
        <w:tc>
          <w:tcPr>
            <w:tcW w:w="99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224</w:t>
            </w:r>
          </w:p>
        </w:tc>
        <w:tc>
          <w:tcPr>
            <w:tcW w:w="126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191</w:t>
            </w:r>
          </w:p>
        </w:tc>
        <w:tc>
          <w:tcPr>
            <w:tcW w:w="117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171</w:t>
            </w:r>
          </w:p>
        </w:tc>
        <w:tc>
          <w:tcPr>
            <w:tcW w:w="108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165</w:t>
            </w:r>
          </w:p>
        </w:tc>
      </w:tr>
      <w:tr w:rsidR="00000000">
        <w:tblPrEx>
          <w:tblCellMar>
            <w:top w:w="0" w:type="dxa"/>
            <w:left w:w="0" w:type="dxa"/>
            <w:bottom w:w="0" w:type="dxa"/>
            <w:right w:w="0" w:type="dxa"/>
          </w:tblCellMar>
        </w:tblPrEx>
        <w:tc>
          <w:tcPr>
            <w:tcW w:w="3600" w:type="dxa"/>
            <w:tcBorders>
              <w:top w:val="single" w:sz="4" w:space="0" w:color="auto"/>
              <w:bottom w:val="single" w:sz="4" w:space="0" w:color="auto"/>
            </w:tcBorders>
            <w:vAlign w:val="bottom"/>
          </w:tcPr>
          <w:p w:rsidR="00000000" w:rsidRDefault="00000000">
            <w:pPr>
              <w:pStyle w:val="Heading2"/>
              <w:spacing w:before="81" w:after="81"/>
            </w:pPr>
            <w:r>
              <w:tab/>
              <w:t>Total</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r>
      <w:tr w:rsidR="00000000">
        <w:tblPrEx>
          <w:tblCellMar>
            <w:top w:w="0" w:type="dxa"/>
            <w:left w:w="0" w:type="dxa"/>
            <w:bottom w:w="0" w:type="dxa"/>
            <w:right w:w="0" w:type="dxa"/>
          </w:tblCellMar>
        </w:tblPrEx>
        <w:trPr>
          <w:cantSplit/>
        </w:trPr>
        <w:tc>
          <w:tcPr>
            <w:tcW w:w="3600" w:type="dxa"/>
            <w:vAlign w:val="bottom"/>
          </w:tcPr>
          <w:p w:rsidR="00000000" w:rsidRDefault="00000000">
            <w:pPr>
              <w:pStyle w:val="Heading3"/>
              <w:spacing w:before="81"/>
            </w:pPr>
          </w:p>
        </w:tc>
        <w:tc>
          <w:tcPr>
            <w:tcW w:w="4500" w:type="dxa"/>
            <w:gridSpan w:val="4"/>
            <w:vAlign w:val="bottom"/>
          </w:tcPr>
          <w:p w:rsidR="00000000" w:rsidRDefault="00000000">
            <w:pPr>
              <w:pStyle w:val="Heading3"/>
              <w:spacing w:before="81"/>
            </w:pPr>
            <w:r>
              <w:t>Hombres</w:t>
            </w:r>
          </w:p>
        </w:tc>
      </w:tr>
      <w:tr w:rsidR="00000000">
        <w:tblPrEx>
          <w:tblCellMar>
            <w:top w:w="0" w:type="dxa"/>
            <w:left w:w="0" w:type="dxa"/>
            <w:bottom w:w="0" w:type="dxa"/>
            <w:right w:w="0" w:type="dxa"/>
          </w:tblCellMar>
        </w:tblPrEx>
        <w:tc>
          <w:tcPr>
            <w:tcW w:w="3600" w:type="dxa"/>
            <w:vAlign w:val="bottom"/>
          </w:tcPr>
          <w:p w:rsidR="00000000" w:rsidRDefault="00000000">
            <w:pPr>
              <w:pStyle w:val="Heading2"/>
            </w:pPr>
            <w:r>
              <w:t>Tiempo determinado socialmente</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507</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551</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589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w:t>
            </w:r>
            <w:r>
              <w:rPr>
                <w:sz w:val="17"/>
              </w:rPr>
              <w:tab/>
              <w:t>Empleo remunerado, actividad productiva</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331</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404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370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Educación, autoeducación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7</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Cuidado de la familia y del hogar</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84</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102</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150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Tráfico</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69</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65</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Necesidades fisiológicas</w:t>
            </w:r>
          </w:p>
        </w:tc>
        <w:tc>
          <w:tcPr>
            <w:tcW w:w="99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645</w:t>
            </w:r>
          </w:p>
        </w:tc>
        <w:tc>
          <w:tcPr>
            <w:tcW w:w="126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646</w:t>
            </w:r>
          </w:p>
        </w:tc>
        <w:tc>
          <w:tcPr>
            <w:tcW w:w="117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635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Tiempo libre</w:t>
            </w:r>
          </w:p>
        </w:tc>
        <w:tc>
          <w:tcPr>
            <w:tcW w:w="99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287</w:t>
            </w:r>
          </w:p>
        </w:tc>
        <w:tc>
          <w:tcPr>
            <w:tcW w:w="126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243</w:t>
            </w:r>
          </w:p>
        </w:tc>
        <w:tc>
          <w:tcPr>
            <w:tcW w:w="117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242</w:t>
            </w:r>
          </w:p>
        </w:tc>
        <w:tc>
          <w:tcPr>
            <w:tcW w:w="1080" w:type="dxa"/>
            <w:vAlign w:val="bottom"/>
          </w:tcPr>
          <w:p w:rsidR="00000000" w:rsidRDefault="00000000">
            <w:pPr>
              <w:tabs>
                <w:tab w:val="left" w:pos="288"/>
                <w:tab w:val="left" w:pos="576"/>
                <w:tab w:val="left" w:pos="864"/>
                <w:tab w:val="left" w:pos="1152"/>
              </w:tabs>
              <w:spacing w:before="40" w:after="81" w:line="210" w:lineRule="exact"/>
              <w:ind w:right="86"/>
              <w:jc w:val="right"/>
              <w:rPr>
                <w:sz w:val="17"/>
              </w:rPr>
            </w:pPr>
            <w:r>
              <w:rPr>
                <w:sz w:val="17"/>
              </w:rPr>
              <w:t>216</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pStyle w:val="Heading2"/>
              <w:spacing w:before="81" w:after="81"/>
            </w:pPr>
            <w: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86"/>
              <w:jc w:val="right"/>
              <w:rPr>
                <w:b/>
                <w:sz w:val="17"/>
              </w:rPr>
            </w:pPr>
            <w:r>
              <w:rPr>
                <w:b/>
                <w:sz w:val="17"/>
              </w:rPr>
              <w:t>1 440</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sz w:val="10"/>
        </w:rPr>
        <w:br w:type="page"/>
      </w:r>
      <w:r>
        <w:rPr>
          <w:sz w:val="10"/>
        </w:rPr>
        <w:tab/>
      </w:r>
      <w:r>
        <w:t>Proporción de individuos que realizan determinadas actividades en un día normal y cantidad de tiempo invertido desglosados por sexo y estado civil,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92" w:type="dxa"/>
        <w:tblLayout w:type="fixed"/>
        <w:tblCellMar>
          <w:left w:w="0" w:type="dxa"/>
          <w:right w:w="0" w:type="dxa"/>
        </w:tblCellMar>
        <w:tblLook w:val="0000" w:firstRow="0" w:lastRow="0" w:firstColumn="0" w:lastColumn="0" w:noHBand="0" w:noVBand="0"/>
      </w:tblPr>
      <w:tblGrid>
        <w:gridCol w:w="1800"/>
        <w:gridCol w:w="720"/>
        <w:gridCol w:w="810"/>
        <w:gridCol w:w="468"/>
        <w:gridCol w:w="342"/>
        <w:gridCol w:w="432"/>
        <w:gridCol w:w="288"/>
        <w:gridCol w:w="486"/>
        <w:gridCol w:w="20"/>
        <w:gridCol w:w="394"/>
        <w:gridCol w:w="90"/>
        <w:gridCol w:w="720"/>
        <w:gridCol w:w="324"/>
        <w:gridCol w:w="576"/>
        <w:gridCol w:w="198"/>
        <w:gridCol w:w="612"/>
        <w:gridCol w:w="162"/>
        <w:gridCol w:w="378"/>
        <w:gridCol w:w="396"/>
        <w:gridCol w:w="414"/>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Empleo en jornada completa</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Ingresos suplemen-tarios procedentes de la actividad agrícola</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Educación, autoedu-cación</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Trabajo en el hogar</w:t>
            </w:r>
          </w:p>
        </w:tc>
        <w:tc>
          <w:tcPr>
            <w:tcW w:w="9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Cuidado y atención de los hijos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Empleo en jornada completa</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Ingresos suplemen-tarios procedentes de la actividad agrícola</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Educación, autoedu-cación</w:t>
            </w:r>
          </w:p>
        </w:tc>
        <w:tc>
          <w:tcPr>
            <w:tcW w:w="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Trabajo en el hogar</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Cuidado y atención de los hijos</w:t>
            </w:r>
          </w:p>
        </w:tc>
      </w:tr>
      <w:tr w:rsidR="00000000">
        <w:tblPrEx>
          <w:tblCellMar>
            <w:top w:w="0" w:type="dxa"/>
            <w:left w:w="0" w:type="dxa"/>
            <w:bottom w:w="0" w:type="dxa"/>
            <w:right w:w="0" w:type="dxa"/>
          </w:tblCellMar>
        </w:tblPrEx>
        <w:trPr>
          <w:cantSplit/>
          <w:tblHeader/>
        </w:trPr>
        <w:tc>
          <w:tcPr>
            <w:tcW w:w="18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Categoría social</w:t>
            </w:r>
          </w:p>
        </w:tc>
        <w:tc>
          <w:tcPr>
            <w:tcW w:w="3960" w:type="dxa"/>
            <w:gridSpan w:val="9"/>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Personas (porcentaje)</w:t>
            </w:r>
          </w:p>
        </w:tc>
        <w:tc>
          <w:tcPr>
            <w:tcW w:w="3870" w:type="dxa"/>
            <w:gridSpan w:val="10"/>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Tiempo (minutos)</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8" w:type="dxa"/>
            <w:gridSpan w:val="4"/>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630" w:type="dxa"/>
            <w:gridSpan w:val="20"/>
            <w:vAlign w:val="bottom"/>
          </w:tcPr>
          <w:p w:rsidR="00000000" w:rsidRDefault="00000000">
            <w:pPr>
              <w:pStyle w:val="Heading3"/>
            </w:pPr>
            <w:r>
              <w:t>Mujeres</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Estado civil y número de hijos*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Solteros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Casados sin hijos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Casados con un hijo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Casados con dos o más hijos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58,7</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14,4</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98,4</w:t>
            </w:r>
          </w:p>
        </w:tc>
        <w:tc>
          <w:tcPr>
            <w:tcW w:w="900" w:type="dxa"/>
            <w:gridSpan w:val="3"/>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81,6</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432</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91</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122</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218</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18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64,6</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16,9</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95,8</w:t>
            </w:r>
          </w:p>
        </w:tc>
        <w:tc>
          <w:tcPr>
            <w:tcW w:w="9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31,1</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451</w:t>
            </w:r>
          </w:p>
        </w:tc>
        <w:tc>
          <w:tcPr>
            <w:tcW w:w="9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113</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231</w:t>
            </w:r>
          </w:p>
        </w:tc>
        <w:tc>
          <w:tcPr>
            <w:tcW w:w="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188</w:t>
            </w: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w:t>
            </w:r>
          </w:p>
        </w:tc>
      </w:tr>
      <w:tr w:rsidR="00000000">
        <w:tblPrEx>
          <w:tblCellMar>
            <w:top w:w="0" w:type="dxa"/>
            <w:left w:w="0" w:type="dxa"/>
            <w:bottom w:w="0" w:type="dxa"/>
            <w:right w:w="0" w:type="dxa"/>
          </w:tblCellMar>
        </w:tblPrEx>
        <w:trPr>
          <w:cantSplit/>
        </w:trPr>
        <w:tc>
          <w:tcPr>
            <w:tcW w:w="9630" w:type="dxa"/>
            <w:gridSpan w:val="20"/>
            <w:vAlign w:val="bottom"/>
          </w:tcPr>
          <w:p w:rsidR="00000000" w:rsidRDefault="00000000">
            <w:pPr>
              <w:pStyle w:val="Heading3"/>
              <w:spacing w:before="81"/>
            </w:pPr>
            <w:r>
              <w:t>Hombres</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Estado civil y número de hijos*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Solteros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Casados sin hijos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Casados con un hijo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 xml:space="preserve">Casados con dos o más hijos </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30,6</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60,8</w:t>
            </w:r>
          </w:p>
        </w:tc>
        <w:tc>
          <w:tcPr>
            <w:tcW w:w="900" w:type="dxa"/>
            <w:gridSpan w:val="3"/>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55,2</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502</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176</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149</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111</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27,2</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58,8</w:t>
            </w:r>
          </w:p>
        </w:tc>
        <w:tc>
          <w:tcPr>
            <w:tcW w:w="90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23,3</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498</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184</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170</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Personas mayores de 15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¿En qué utilizaría más tiempo si pudiera?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Respuestas válidas desglosadas por sexo y estado civil como proporción de los grupos de población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92" w:type="dxa"/>
        <w:tblLayout w:type="fixed"/>
        <w:tblCellMar>
          <w:left w:w="0" w:type="dxa"/>
          <w:right w:w="0" w:type="dxa"/>
        </w:tblCellMar>
        <w:tblLook w:val="0000" w:firstRow="0" w:lastRow="0" w:firstColumn="0" w:lastColumn="0" w:noHBand="0" w:noVBand="0"/>
      </w:tblPr>
      <w:tblGrid>
        <w:gridCol w:w="2430"/>
        <w:gridCol w:w="990"/>
        <w:gridCol w:w="900"/>
        <w:gridCol w:w="90"/>
        <w:gridCol w:w="900"/>
        <w:gridCol w:w="720"/>
        <w:gridCol w:w="90"/>
        <w:gridCol w:w="990"/>
        <w:gridCol w:w="810"/>
        <w:gridCol w:w="90"/>
        <w:gridCol w:w="900"/>
        <w:gridCol w:w="720"/>
      </w:tblGrid>
      <w:tr w:rsidR="00000000">
        <w:tblPrEx>
          <w:tblCellMar>
            <w:top w:w="0" w:type="dxa"/>
            <w:left w:w="0" w:type="dxa"/>
            <w:bottom w:w="0" w:type="dxa"/>
            <w:right w:w="0" w:type="dxa"/>
          </w:tblCellMar>
        </w:tblPrEx>
        <w:trPr>
          <w:cantSplit/>
          <w:tblHeader/>
        </w:trPr>
        <w:tc>
          <w:tcPr>
            <w:tcW w:w="9630" w:type="dxa"/>
            <w:gridSpan w:val="1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Estado civil</w:t>
            </w:r>
          </w:p>
        </w:tc>
      </w:tr>
      <w:tr w:rsidR="00000000">
        <w:tblPrEx>
          <w:tblCellMar>
            <w:top w:w="0" w:type="dxa"/>
            <w:left w:w="0" w:type="dxa"/>
            <w:bottom w:w="0" w:type="dxa"/>
            <w:right w:w="0" w:type="dxa"/>
          </w:tblCellMar>
        </w:tblPrEx>
        <w:trPr>
          <w:cantSplit/>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89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Casados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Viudos, divorciados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80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Cohabitaci</w:t>
            </w:r>
            <w:r>
              <w:rPr>
                <w:i/>
                <w:sz w:val="14"/>
                <w:lang w:val="es-MX"/>
              </w:rPr>
              <w:t>ó</w:t>
            </w:r>
            <w:r>
              <w:rPr>
                <w:i/>
                <w:sz w:val="14"/>
              </w:rPr>
              <w:t>n</w:t>
            </w:r>
          </w:p>
        </w:tc>
        <w:tc>
          <w:tcPr>
            <w:tcW w:w="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Solteros</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9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0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81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9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99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72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Ganar dinero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28,3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en el hogar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Familia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63,6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Amigos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34,7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Ocio</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59,7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¿En qué utilizaría más tiempo si pudiera?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Respuestas válidas desglosadas por sexo como proporción de los grupos de población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92" w:type="dxa"/>
        <w:tblLayout w:type="fixed"/>
        <w:tblCellMar>
          <w:left w:w="0" w:type="dxa"/>
          <w:right w:w="0" w:type="dxa"/>
        </w:tblCellMar>
        <w:tblLook w:val="0000" w:firstRow="0" w:lastRow="0" w:firstColumn="0" w:lastColumn="0" w:noHBand="0" w:noVBand="0"/>
      </w:tblPr>
      <w:tblGrid>
        <w:gridCol w:w="1620"/>
        <w:gridCol w:w="990"/>
        <w:gridCol w:w="1260"/>
        <w:gridCol w:w="90"/>
        <w:gridCol w:w="720"/>
        <w:gridCol w:w="795"/>
        <w:gridCol w:w="15"/>
        <w:gridCol w:w="90"/>
        <w:gridCol w:w="540"/>
        <w:gridCol w:w="790"/>
        <w:gridCol w:w="20"/>
        <w:gridCol w:w="90"/>
        <w:gridCol w:w="630"/>
        <w:gridCol w:w="695"/>
        <w:gridCol w:w="25"/>
        <w:gridCol w:w="90"/>
        <w:gridCol w:w="538"/>
        <w:gridCol w:w="632"/>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2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Entre 18 y 29 años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5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Entre 30 y 39 años</w:t>
            </w:r>
          </w:p>
        </w:tc>
        <w:tc>
          <w:tcPr>
            <w:tcW w:w="10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3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Entre 40 y 49 años</w:t>
            </w:r>
          </w:p>
        </w:tc>
        <w:tc>
          <w:tcPr>
            <w:tcW w:w="11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3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Entre 50 y 61 años</w:t>
            </w:r>
          </w:p>
        </w:tc>
        <w:tc>
          <w:tcPr>
            <w:tcW w:w="11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Más de 62 años</w:t>
            </w:r>
          </w:p>
        </w:tc>
      </w:tr>
      <w:tr w:rsidR="00000000">
        <w:tblPrEx>
          <w:tblCellMar>
            <w:top w:w="0" w:type="dxa"/>
            <w:left w:w="0" w:type="dxa"/>
            <w:bottom w:w="0" w:type="dxa"/>
            <w:right w:w="0" w:type="dxa"/>
          </w:tblCellMar>
        </w:tblPrEx>
        <w:trPr>
          <w:tblHead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28"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rPr>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Ganar dinero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6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en el hogar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Familia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6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Amigos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62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Ocio</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70,2</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64,9</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75,0</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69,6</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70,3</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72,4</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61,0</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63,2</w:t>
            </w:r>
          </w:p>
        </w:tc>
        <w:tc>
          <w:tcPr>
            <w:tcW w:w="62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33,3</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Segunda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7.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financiero asignado por el Comité de Organizaciones no Gubernamentales del Parlamento (1991-1999)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20"/>
        <w:gridCol w:w="1530"/>
        <w:gridCol w:w="1501"/>
      </w:tblGrid>
      <w:tr w:rsidR="00000000">
        <w:tblPrEx>
          <w:tblCellMar>
            <w:top w:w="0" w:type="dxa"/>
            <w:left w:w="0" w:type="dxa"/>
            <w:bottom w:w="0" w:type="dxa"/>
            <w:right w:w="0" w:type="dxa"/>
          </w:tblCellMar>
        </w:tblPrEx>
        <w:trPr>
          <w:tblHeader/>
        </w:trPr>
        <w:tc>
          <w:tcPr>
            <w:tcW w:w="4320" w:type="dxa"/>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Organizaciones no gubernamentales que reciben apoyo presupuestario</w:t>
            </w:r>
          </w:p>
        </w:tc>
        <w:tc>
          <w:tcPr>
            <w:tcW w:w="1530"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r>
              <w:rPr>
                <w:i/>
                <w:sz w:val="14"/>
              </w:rPr>
              <w:t>Cifra (forints)</w:t>
            </w:r>
          </w:p>
        </w:tc>
        <w:tc>
          <w:tcPr>
            <w:tcW w:w="1501"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320" w:type="dxa"/>
            <w:vAlign w:val="bottom"/>
          </w:tcPr>
          <w:p w:rsidR="00000000" w:rsidRDefault="00000000">
            <w:pPr>
              <w:spacing w:before="40" w:after="40" w:line="210" w:lineRule="exact"/>
              <w:ind w:left="346" w:right="40" w:hanging="346"/>
              <w:rPr>
                <w:sz w:val="17"/>
              </w:rPr>
            </w:pPr>
          </w:p>
        </w:tc>
        <w:tc>
          <w:tcPr>
            <w:tcW w:w="1530" w:type="dxa"/>
            <w:vAlign w:val="bottom"/>
          </w:tcPr>
          <w:p w:rsidR="00000000" w:rsidRDefault="00000000">
            <w:pPr>
              <w:spacing w:before="40" w:after="40" w:line="210" w:lineRule="exact"/>
              <w:ind w:left="346" w:right="40" w:hanging="346"/>
              <w:rPr>
                <w:sz w:val="17"/>
              </w:rPr>
            </w:pPr>
          </w:p>
        </w:tc>
        <w:tc>
          <w:tcPr>
            <w:tcW w:w="1501" w:type="dxa"/>
            <w:vAlign w:val="bottom"/>
          </w:tcPr>
          <w:p w:rsidR="00000000" w:rsidRDefault="00000000">
            <w:pPr>
              <w:spacing w:before="40" w:after="40" w:line="210" w:lineRule="exact"/>
              <w:ind w:left="346" w:right="40" w:hanging="346"/>
              <w:rPr>
                <w:sz w:val="17"/>
              </w:rPr>
            </w:pPr>
          </w:p>
        </w:tc>
      </w:tr>
      <w:tr w:rsidR="00000000">
        <w:tblPrEx>
          <w:tblCellMar>
            <w:top w:w="0" w:type="dxa"/>
            <w:left w:w="0" w:type="dxa"/>
            <w:bottom w:w="0" w:type="dxa"/>
            <w:right w:w="0" w:type="dxa"/>
          </w:tblCellMar>
        </w:tblPrEx>
        <w:tc>
          <w:tcPr>
            <w:tcW w:w="7351" w:type="dxa"/>
            <w:gridSpan w:val="3"/>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75 751,9</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de la Alianza de Mujeres de Hungría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1 001 002,5</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1 751 754,4</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7351" w:type="dxa"/>
            <w:gridSpan w:val="3"/>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0,4386</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1992</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800 800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1 500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Red feminista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50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2 350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r>
              <w:rPr>
                <w:b/>
                <w:sz w:val="17"/>
              </w:rPr>
              <w:t>0,551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1993</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2 000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2 200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0,535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1994</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2 000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580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1 500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4 080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r>
              <w:rPr>
                <w:b/>
                <w:sz w:val="17"/>
              </w:rPr>
              <w:t>0,951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1995</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las Mujeres Juntas contra la Violencia (NANE)</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1 000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Alianza Católica de Mujeres y Niñas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1 900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4 400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1,1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1996</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las Mujeres Juntas contra la Violencia (NANE)</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Primera Asociación de Mujeres de Zonas Rurales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Alianza Independiente de Representación de la Mujer</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2 100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5 000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1,282</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1997</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Primera Asociación de Mujeres de Zonas Rurales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Diaconesas Evangélicas FEBE</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Asociación Científica para la Protección de la Mujer y la Familia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las Mujeres Juntas contra la Violencia (NANE)</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Graduadas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Independiente de 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350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1 200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4 000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1,547</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1998</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Primera Asociación de Mujeres de Zonas Rurales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250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Diaconesas Evangélicas FEBE</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Asociación Científica para la Protección de la Mujer y la Familia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350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Graduadas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Alianza Independiente de Representación de la Mujer</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Independiente de 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1 300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Mujeres con  las Mujeres Juntas contra la Violencia (NANE)</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400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keepLines/>
              <w:tabs>
                <w:tab w:val="left" w:pos="288"/>
                <w:tab w:val="left" w:pos="576"/>
                <w:tab w:val="left" w:pos="864"/>
                <w:tab w:val="left" w:pos="1152"/>
              </w:tabs>
              <w:spacing w:before="81" w:after="81" w:line="210" w:lineRule="exact"/>
              <w:ind w:right="43"/>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4 600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1,580</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1999</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Diaconesas Evangélicas FEBE</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Enfermeras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Civil de Mujeres del Condado de Nógrád</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Alianza Católica de Mujeres y Niñas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Girl Scouts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de Fuzesgyarmat</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Independiente de 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2 100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de Mujeres de Hungría</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Asociación NANE</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300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4"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5 300</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81" w:after="40" w:line="210" w:lineRule="exact"/>
              <w:ind w:left="346" w:right="40" w:hanging="346"/>
              <w:rPr>
                <w:sz w:val="17"/>
              </w:rPr>
            </w:pPr>
          </w:p>
        </w:tc>
        <w:tc>
          <w:tcPr>
            <w:tcW w:w="1530"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sz w:val="17"/>
              </w:rPr>
            </w:pPr>
          </w:p>
        </w:tc>
        <w:tc>
          <w:tcPr>
            <w:tcW w:w="1501" w:type="dxa"/>
            <w:vAlign w:val="bottom"/>
          </w:tcPr>
          <w:p w:rsidR="00000000" w:rsidRDefault="00000000">
            <w:pPr>
              <w:tabs>
                <w:tab w:val="left" w:pos="288"/>
                <w:tab w:val="left" w:pos="576"/>
                <w:tab w:val="left" w:pos="864"/>
                <w:tab w:val="left" w:pos="1152"/>
              </w:tabs>
              <w:spacing w:before="81" w:after="40" w:line="210" w:lineRule="exact"/>
              <w:ind w:left="346" w:right="40" w:hanging="346"/>
              <w:jc w:val="right"/>
              <w:rPr>
                <w:b/>
                <w:sz w:val="17"/>
              </w:rPr>
            </w:pPr>
            <w:r>
              <w:rPr>
                <w:b/>
                <w:sz w:val="17"/>
              </w:rPr>
              <w:t>1,679</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Apoyo financiero a actividades sociales y caritativas en 1999</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center"/>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Fundación para la Protección de las Madres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Asociación Pública de Casas de Mujeres</w:t>
            </w:r>
          </w:p>
        </w:tc>
        <w:tc>
          <w:tcPr>
            <w:tcW w:w="15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700</w:t>
            </w:r>
          </w:p>
        </w:tc>
        <w:tc>
          <w:tcPr>
            <w:tcW w:w="1501"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210" w:lineRule="exact"/>
              <w:ind w:left="346" w:right="40" w:hanging="346"/>
              <w:rPr>
                <w:sz w:val="17"/>
              </w:rPr>
            </w:pPr>
            <w:r>
              <w:rPr>
                <w:sz w:val="17"/>
              </w:rPr>
              <w:t>Fundación de Crisis S.O.S.</w:t>
            </w:r>
          </w:p>
        </w:tc>
        <w:tc>
          <w:tcPr>
            <w:tcW w:w="1530"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r>
              <w:rPr>
                <w:sz w:val="17"/>
              </w:rPr>
              <w:t>550</w:t>
            </w:r>
          </w:p>
        </w:tc>
        <w:tc>
          <w:tcPr>
            <w:tcW w:w="1501" w:type="dxa"/>
            <w:vAlign w:val="bottom"/>
          </w:tcPr>
          <w:p w:rsidR="00000000" w:rsidRDefault="00000000">
            <w:pPr>
              <w:tabs>
                <w:tab w:val="left" w:pos="288"/>
                <w:tab w:val="left" w:pos="576"/>
                <w:tab w:val="left" w:pos="864"/>
                <w:tab w:val="left" w:pos="1152"/>
              </w:tabs>
              <w:spacing w:before="40" w:after="81" w:line="210" w:lineRule="exact"/>
              <w:ind w:left="346" w:right="40" w:hanging="346"/>
              <w:jc w:val="right"/>
              <w:rPr>
                <w:sz w:val="17"/>
              </w:rPr>
            </w:pPr>
          </w:p>
        </w:tc>
      </w:tr>
      <w:tr w:rsidR="00000000">
        <w:tblPrEx>
          <w:tblCellMar>
            <w:top w:w="0" w:type="dxa"/>
            <w:left w:w="0" w:type="dxa"/>
            <w:bottom w:w="0" w:type="dxa"/>
            <w:right w:w="0" w:type="dxa"/>
          </w:tblCellMar>
        </w:tblPrEx>
        <w:tc>
          <w:tcPr>
            <w:tcW w:w="4320" w:type="dxa"/>
            <w:tcBorders>
              <w:top w:val="single" w:sz="4" w:space="0" w:color="auto"/>
              <w:bottom w:val="single" w:sz="12" w:space="0" w:color="auto"/>
            </w:tcBorders>
            <w:vAlign w:val="bottom"/>
          </w:tcPr>
          <w:p w:rsidR="00000000" w:rsidRDefault="00000000">
            <w:pPr>
              <w:pStyle w:val="Heading1"/>
              <w:tabs>
                <w:tab w:val="left" w:pos="288"/>
                <w:tab w:val="left" w:pos="576"/>
                <w:tab w:val="left" w:pos="864"/>
                <w:tab w:val="left" w:pos="1152"/>
              </w:tabs>
              <w:spacing w:before="81" w:after="81" w:line="210" w:lineRule="exact"/>
              <w:ind w:right="40"/>
            </w:pPr>
            <w:r>
              <w:tab/>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1 950</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346" w:right="40" w:hanging="346"/>
              <w:jc w:val="right"/>
              <w:rPr>
                <w:b/>
                <w:sz w:val="17"/>
              </w:rPr>
            </w:pPr>
            <w:r>
              <w:rPr>
                <w:b/>
                <w:sz w:val="17"/>
              </w:rPr>
              <w:t>1,125</w:t>
            </w:r>
          </w:p>
        </w:tc>
      </w:tr>
    </w:tbl>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Pr>
          <w:sz w:val="10"/>
        </w:rPr>
        <w:tab/>
      </w:r>
      <w:r>
        <w:rPr>
          <w:sz w:val="10"/>
        </w:rPr>
        <w:tab/>
      </w:r>
      <w:r>
        <w:t>Tercera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1.9</w:t>
      </w:r>
      <w:r>
        <w:tab/>
        <w:t>Nivel más alto de educación alcanzado desglosado por sexo como proporción de la población correspondiente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080"/>
        <w:gridCol w:w="2340"/>
        <w:gridCol w:w="630"/>
        <w:gridCol w:w="630"/>
        <w:gridCol w:w="630"/>
        <w:gridCol w:w="691"/>
        <w:gridCol w:w="1"/>
      </w:tblGrid>
      <w:tr w:rsidR="00000000">
        <w:tblPrEx>
          <w:tblCellMar>
            <w:top w:w="0" w:type="dxa"/>
            <w:left w:w="0" w:type="dxa"/>
            <w:bottom w:w="0" w:type="dxa"/>
            <w:right w:w="0" w:type="dxa"/>
          </w:tblCellMar>
        </w:tblPrEx>
        <w:trPr>
          <w:gridAfter w:val="1"/>
          <w:cantSplit/>
          <w:tblHeader/>
        </w:trPr>
        <w:tc>
          <w:tcPr>
            <w:tcW w:w="2430" w:type="dxa"/>
            <w:gridSpan w:val="2"/>
            <w:tcBorders>
              <w:top w:val="single" w:sz="4" w:space="0" w:color="auto"/>
              <w:bottom w:val="single" w:sz="12" w:space="0" w:color="auto"/>
            </w:tcBorders>
            <w:vAlign w:val="bottom"/>
          </w:tcPr>
          <w:p w:rsidR="00000000" w:rsidRDefault="00000000">
            <w:pPr>
              <w:spacing w:before="81" w:after="81" w:line="160" w:lineRule="exact"/>
              <w:ind w:left="346" w:right="40" w:hanging="346"/>
              <w:rPr>
                <w:i/>
                <w:sz w:val="14"/>
              </w:rPr>
            </w:pPr>
            <w:r>
              <w:rPr>
                <w:i/>
                <w:sz w:val="14"/>
              </w:rPr>
              <w:t>Nivel de educación, grupo de edad</w:t>
            </w:r>
          </w:p>
        </w:tc>
        <w:tc>
          <w:tcPr>
            <w:tcW w:w="2340"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p>
        </w:tc>
        <w:tc>
          <w:tcPr>
            <w:tcW w:w="630"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r>
              <w:rPr>
                <w:i/>
                <w:sz w:val="14"/>
              </w:rPr>
              <w:t>1960</w:t>
            </w:r>
          </w:p>
        </w:tc>
        <w:tc>
          <w:tcPr>
            <w:tcW w:w="630"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r>
              <w:rPr>
                <w:i/>
                <w:sz w:val="14"/>
              </w:rPr>
              <w:t>1980</w:t>
            </w:r>
          </w:p>
        </w:tc>
        <w:tc>
          <w:tcPr>
            <w:tcW w:w="630"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r>
              <w:rPr>
                <w:i/>
                <w:sz w:val="14"/>
              </w:rPr>
              <w:t>1990</w:t>
            </w:r>
          </w:p>
        </w:tc>
        <w:tc>
          <w:tcPr>
            <w:tcW w:w="691" w:type="dxa"/>
            <w:tcBorders>
              <w:top w:val="single" w:sz="4" w:space="0" w:color="auto"/>
              <w:bottom w:val="single" w:sz="12" w:space="0" w:color="auto"/>
            </w:tcBorders>
            <w:vAlign w:val="bottom"/>
          </w:tcPr>
          <w:p w:rsidR="00000000" w:rsidRDefault="00000000">
            <w:pPr>
              <w:spacing w:before="81" w:after="81" w:line="160" w:lineRule="exact"/>
              <w:ind w:left="346" w:right="40" w:hanging="346"/>
              <w:jc w:val="right"/>
              <w:rPr>
                <w:i/>
                <w:sz w:val="14"/>
              </w:rPr>
            </w:pPr>
            <w:r>
              <w:rPr>
                <w:i/>
                <w:sz w:val="14"/>
              </w:rPr>
              <w:t>1996</w:t>
            </w:r>
          </w:p>
        </w:tc>
      </w:tr>
      <w:tr w:rsidR="00000000">
        <w:tblPrEx>
          <w:tblCellMar>
            <w:top w:w="0" w:type="dxa"/>
            <w:left w:w="0" w:type="dxa"/>
            <w:bottom w:w="0" w:type="dxa"/>
            <w:right w:w="0" w:type="dxa"/>
          </w:tblCellMar>
        </w:tblPrEx>
        <w:trPr>
          <w:trHeight w:hRule="exact" w:val="115"/>
          <w:tblHeader/>
        </w:trPr>
        <w:tc>
          <w:tcPr>
            <w:tcW w:w="1350" w:type="dxa"/>
            <w:vAlign w:val="bottom"/>
          </w:tcPr>
          <w:p w:rsidR="00000000" w:rsidRDefault="00000000">
            <w:pPr>
              <w:spacing w:before="40" w:after="40" w:line="210" w:lineRule="exact"/>
              <w:ind w:left="346" w:right="40" w:hanging="346"/>
              <w:rPr>
                <w:sz w:val="17"/>
              </w:rPr>
            </w:pPr>
          </w:p>
        </w:tc>
        <w:tc>
          <w:tcPr>
            <w:tcW w:w="3420" w:type="dxa"/>
            <w:gridSpan w:val="2"/>
            <w:vAlign w:val="bottom"/>
          </w:tcPr>
          <w:p w:rsidR="00000000" w:rsidRDefault="00000000">
            <w:pPr>
              <w:spacing w:before="40" w:after="40" w:line="210" w:lineRule="exact"/>
              <w:ind w:left="346" w:right="40" w:hanging="346"/>
              <w:rPr>
                <w:sz w:val="17"/>
              </w:rPr>
            </w:pPr>
          </w:p>
        </w:tc>
        <w:tc>
          <w:tcPr>
            <w:tcW w:w="630" w:type="dxa"/>
            <w:vAlign w:val="bottom"/>
          </w:tcPr>
          <w:p w:rsidR="00000000" w:rsidRDefault="00000000">
            <w:pPr>
              <w:spacing w:before="40" w:after="40" w:line="210" w:lineRule="exact"/>
              <w:ind w:left="346" w:right="40" w:hanging="346"/>
              <w:jc w:val="center"/>
              <w:rPr>
                <w:sz w:val="17"/>
              </w:rPr>
            </w:pPr>
          </w:p>
        </w:tc>
        <w:tc>
          <w:tcPr>
            <w:tcW w:w="630" w:type="dxa"/>
            <w:vAlign w:val="bottom"/>
          </w:tcPr>
          <w:p w:rsidR="00000000" w:rsidRDefault="00000000">
            <w:pPr>
              <w:spacing w:before="40" w:after="40" w:line="210" w:lineRule="exact"/>
              <w:ind w:left="346" w:right="40" w:hanging="346"/>
              <w:jc w:val="center"/>
              <w:rPr>
                <w:sz w:val="17"/>
              </w:rPr>
            </w:pPr>
          </w:p>
        </w:tc>
        <w:tc>
          <w:tcPr>
            <w:tcW w:w="630" w:type="dxa"/>
            <w:vAlign w:val="bottom"/>
          </w:tcPr>
          <w:p w:rsidR="00000000" w:rsidRDefault="00000000">
            <w:pPr>
              <w:spacing w:before="40" w:after="40" w:line="210" w:lineRule="exact"/>
              <w:ind w:left="346" w:right="40" w:hanging="346"/>
              <w:jc w:val="center"/>
              <w:rPr>
                <w:sz w:val="17"/>
              </w:rPr>
            </w:pPr>
          </w:p>
        </w:tc>
        <w:tc>
          <w:tcPr>
            <w:tcW w:w="692" w:type="dxa"/>
            <w:gridSpan w:val="2"/>
            <w:vAlign w:val="bottom"/>
          </w:tcPr>
          <w:p w:rsidR="00000000" w:rsidRDefault="00000000">
            <w:pPr>
              <w:spacing w:before="40" w:after="40" w:line="210" w:lineRule="exact"/>
              <w:ind w:left="346" w:right="40" w:hanging="346"/>
              <w:jc w:val="center"/>
              <w:rPr>
                <w:sz w:val="17"/>
              </w:rPr>
            </w:pPr>
          </w:p>
        </w:tc>
      </w:tr>
      <w:tr w:rsidR="00000000">
        <w:tblPrEx>
          <w:tblCellMar>
            <w:top w:w="0" w:type="dxa"/>
            <w:left w:w="0" w:type="dxa"/>
            <w:bottom w:w="0" w:type="dxa"/>
            <w:right w:w="0" w:type="dxa"/>
          </w:tblCellMar>
        </w:tblPrEx>
        <w:tc>
          <w:tcPr>
            <w:tcW w:w="1350" w:type="dxa"/>
            <w:vAlign w:val="bottom"/>
          </w:tcPr>
          <w:p w:rsidR="00000000" w:rsidRDefault="00000000">
            <w:pPr>
              <w:pStyle w:val="Heading1"/>
              <w:tabs>
                <w:tab w:val="left" w:pos="288"/>
                <w:tab w:val="left" w:pos="576"/>
                <w:tab w:val="left" w:pos="864"/>
                <w:tab w:val="left" w:pos="1152"/>
              </w:tabs>
              <w:spacing w:before="40" w:after="40" w:line="210" w:lineRule="exact"/>
              <w:ind w:right="40"/>
            </w:pPr>
            <w:r>
              <w:t>Hombres</w:t>
            </w: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center"/>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center"/>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center"/>
              <w:rPr>
                <w:sz w:val="17"/>
              </w:rPr>
            </w:pP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center"/>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Título educativo terciario</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25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8,6</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10,5</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11,8</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11,9</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13,7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Escuela secundaria</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18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7,8</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16,7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21,7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18,0</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21,0</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21,3</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Ocho cursos de escuela elemental*</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más de 15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23,4</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47,8</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61,0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56,1</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63,8</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58,3</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con menos de ocho cursos de escuela elemental</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15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65,5</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28,9</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17,2</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3,3</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10,6</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2,0</w:t>
            </w:r>
          </w:p>
        </w:tc>
      </w:tr>
      <w:tr w:rsidR="00000000">
        <w:tblPrEx>
          <w:tblCellMar>
            <w:top w:w="0" w:type="dxa"/>
            <w:left w:w="0" w:type="dxa"/>
            <w:bottom w:w="0" w:type="dxa"/>
            <w:right w:w="0" w:type="dxa"/>
          </w:tblCellMar>
        </w:tblPrEx>
        <w:tc>
          <w:tcPr>
            <w:tcW w:w="1350" w:type="dxa"/>
            <w:vAlign w:val="bottom"/>
          </w:tcPr>
          <w:p w:rsidR="00000000" w:rsidRDefault="00000000">
            <w:pPr>
              <w:pStyle w:val="Heading1"/>
              <w:tabs>
                <w:tab w:val="left" w:pos="288"/>
                <w:tab w:val="left" w:pos="576"/>
                <w:tab w:val="left" w:pos="864"/>
                <w:tab w:val="left" w:pos="1152"/>
              </w:tabs>
              <w:spacing w:before="40" w:after="40" w:line="210" w:lineRule="exact"/>
              <w:ind w:right="40"/>
            </w:pPr>
            <w:r>
              <w:t>Mujeres</w:t>
            </w: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Título educativo terciario</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25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1,2</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4,6</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9,8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8,7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14,7</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10,7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16,4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Escuela secundaria</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18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5,5</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17,8</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29,9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21,6</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31,9</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26,4</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35,9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Ocho cursos de escuela elemental*</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más de 15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25,1</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26,8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40,1</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52,7</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45,7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49,5</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47,2</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45,1</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con menos de ocho cursos de escuela elemental</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15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68,7</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65,3</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38,4</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7,6</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26,1</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3,9</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18,5</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2,6</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rPr>
                <w:b/>
                <w:sz w:val="17"/>
              </w:rPr>
            </w:pPr>
            <w:r>
              <w:rPr>
                <w:b/>
                <w:sz w:val="17"/>
              </w:rPr>
              <w:t>Población total</w:t>
            </w:r>
          </w:p>
        </w:tc>
        <w:tc>
          <w:tcPr>
            <w:tcW w:w="3420" w:type="dxa"/>
            <w:gridSpan w:val="2"/>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rPr>
                <w:sz w:val="17"/>
              </w:rPr>
            </w:pP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p>
        </w:tc>
        <w:tc>
          <w:tcPr>
            <w:tcW w:w="692" w:type="dxa"/>
            <w:gridSpan w:val="2"/>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rPr>
                <w:sz w:val="17"/>
              </w:rPr>
            </w:pPr>
          </w:p>
        </w:tc>
        <w:tc>
          <w:tcPr>
            <w:tcW w:w="3420" w:type="dxa"/>
            <w:gridSpan w:val="2"/>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rPr>
                <w:sz w:val="17"/>
              </w:rPr>
            </w:pPr>
            <w:r>
              <w:rPr>
                <w:sz w:val="17"/>
              </w:rPr>
              <w:t>Título educativo terciario</w:t>
            </w:r>
          </w:p>
          <w:p w:rsidR="00000000" w:rsidRDefault="00000000">
            <w:pPr>
              <w:keepNext/>
              <w:keepLines/>
              <w:tabs>
                <w:tab w:val="left" w:pos="288"/>
                <w:tab w:val="left" w:pos="576"/>
                <w:tab w:val="left" w:pos="864"/>
                <w:tab w:val="left" w:pos="1152"/>
              </w:tabs>
              <w:spacing w:before="40" w:after="40" w:line="210" w:lineRule="exact"/>
              <w:ind w:left="346" w:right="43" w:hanging="346"/>
              <w:rPr>
                <w:sz w:val="17"/>
              </w:rPr>
            </w:pPr>
            <w:r>
              <w:rPr>
                <w:sz w:val="17"/>
              </w:rPr>
              <w:tab/>
              <w:t>Población mayor de 25 años</w:t>
            </w:r>
          </w:p>
          <w:p w:rsidR="00000000" w:rsidRDefault="00000000">
            <w:pPr>
              <w:keepNext/>
              <w:keepLines/>
              <w:tabs>
                <w:tab w:val="left" w:pos="288"/>
                <w:tab w:val="left" w:pos="576"/>
                <w:tab w:val="left" w:pos="864"/>
                <w:tab w:val="left" w:pos="1152"/>
              </w:tabs>
              <w:spacing w:before="40" w:after="40" w:line="210" w:lineRule="exact"/>
              <w:ind w:left="346" w:right="43" w:hanging="346"/>
              <w:rPr>
                <w:sz w:val="17"/>
              </w:rPr>
            </w:pPr>
            <w:r>
              <w:rPr>
                <w:sz w:val="17"/>
              </w:rPr>
              <w:tab/>
              <w:t>Población de entre 25 y 39 años</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2,8</w:t>
            </w:r>
          </w:p>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3,8</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6,5</w:t>
            </w:r>
          </w:p>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10,1</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10,1</w:t>
            </w:r>
          </w:p>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13,3</w:t>
            </w:r>
          </w:p>
        </w:tc>
        <w:tc>
          <w:tcPr>
            <w:tcW w:w="692" w:type="dxa"/>
            <w:gridSpan w:val="2"/>
            <w:vAlign w:val="bottom"/>
          </w:tcPr>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12,1</w:t>
            </w:r>
          </w:p>
          <w:p w:rsidR="00000000" w:rsidRDefault="00000000">
            <w:pPr>
              <w:keepNext/>
              <w:keepLines/>
              <w:tabs>
                <w:tab w:val="left" w:pos="288"/>
                <w:tab w:val="left" w:pos="576"/>
                <w:tab w:val="left" w:pos="864"/>
                <w:tab w:val="left" w:pos="1152"/>
              </w:tabs>
              <w:spacing w:before="40" w:after="40" w:line="210" w:lineRule="exact"/>
              <w:ind w:left="346" w:right="43" w:hanging="346"/>
              <w:jc w:val="right"/>
              <w:rPr>
                <w:sz w:val="17"/>
              </w:rPr>
            </w:pPr>
            <w:r>
              <w:rPr>
                <w:sz w:val="17"/>
              </w:rPr>
              <w:t>14,4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Escuela secundaria</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18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6,6</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17,3</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25,8</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19,9</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26,4</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24,0</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30,3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Ocho cursos de escuela elemental*</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más de 15 años</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de entre 25 y 39 años</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42,9</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26,0</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43,8</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56,9</w:t>
            </w:r>
          </w:p>
        </w:tc>
        <w:tc>
          <w:tcPr>
            <w:tcW w:w="630" w:type="dxa"/>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50,6</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56,7</w:t>
            </w:r>
          </w:p>
        </w:tc>
        <w:tc>
          <w:tcPr>
            <w:tcW w:w="692" w:type="dxa"/>
            <w:gridSpan w:val="2"/>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52,4</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53,0</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346" w:right="40" w:hanging="346"/>
              <w:rPr>
                <w:sz w:val="17"/>
              </w:rPr>
            </w:pPr>
          </w:p>
        </w:tc>
        <w:tc>
          <w:tcPr>
            <w:tcW w:w="34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con menos de ocho cursos de escuela elemental</w:t>
            </w:r>
          </w:p>
          <w:p w:rsidR="00000000" w:rsidRDefault="00000000">
            <w:pPr>
              <w:tabs>
                <w:tab w:val="left" w:pos="288"/>
                <w:tab w:val="left" w:pos="576"/>
                <w:tab w:val="left" w:pos="864"/>
                <w:tab w:val="left" w:pos="1152"/>
              </w:tabs>
              <w:spacing w:before="40" w:after="40" w:line="210" w:lineRule="exact"/>
              <w:ind w:left="346" w:right="40" w:hanging="346"/>
              <w:rPr>
                <w:sz w:val="17"/>
              </w:rPr>
            </w:pPr>
            <w:r>
              <w:rPr>
                <w:sz w:val="17"/>
              </w:rPr>
              <w:tab/>
              <w:t>Población mayor de 15 años</w:t>
            </w:r>
          </w:p>
          <w:p w:rsidR="00000000" w:rsidRDefault="00000000">
            <w:pPr>
              <w:tabs>
                <w:tab w:val="left" w:pos="288"/>
                <w:tab w:val="left" w:pos="576"/>
                <w:tab w:val="left" w:pos="864"/>
                <w:tab w:val="left" w:pos="1152"/>
              </w:tabs>
              <w:spacing w:before="40" w:after="81" w:line="210" w:lineRule="exact"/>
              <w:ind w:left="346" w:right="43" w:hanging="346"/>
              <w:rPr>
                <w:sz w:val="17"/>
              </w:rPr>
            </w:pPr>
            <w:r>
              <w:rPr>
                <w:sz w:val="17"/>
              </w:rPr>
              <w:tab/>
              <w:t>Población de entre 25 y 39 años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67,2</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63,0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33,9</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7,2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21,9</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3,6</w:t>
            </w:r>
          </w:p>
        </w:tc>
        <w:tc>
          <w:tcPr>
            <w:tcW w:w="69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14,8</w:t>
            </w:r>
          </w:p>
          <w:p w:rsidR="00000000" w:rsidRDefault="00000000">
            <w:pPr>
              <w:tabs>
                <w:tab w:val="left" w:pos="288"/>
                <w:tab w:val="left" w:pos="576"/>
                <w:tab w:val="left" w:pos="864"/>
                <w:tab w:val="left" w:pos="1152"/>
              </w:tabs>
              <w:spacing w:before="40" w:after="40" w:line="210" w:lineRule="exact"/>
              <w:ind w:left="346" w:right="40" w:hanging="346"/>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w:t>
      </w:r>
      <w:r>
        <w:tab/>
        <w:t>*</w:t>
      </w:r>
      <w:r>
        <w:tab/>
        <w:t>Incluidos los graduados en escuelas de aprendizaje.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30" w:hanging="1267"/>
      </w:pPr>
      <w:r>
        <w:tab/>
      </w:r>
      <w:r>
        <w:tab/>
        <w:t>Graduados en la escuela secundaria en el sistema ordinario de educación por sexo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810"/>
        <w:gridCol w:w="630"/>
        <w:gridCol w:w="720"/>
        <w:gridCol w:w="90"/>
        <w:gridCol w:w="720"/>
        <w:gridCol w:w="720"/>
        <w:gridCol w:w="810"/>
        <w:gridCol w:w="90"/>
        <w:gridCol w:w="810"/>
        <w:gridCol w:w="720"/>
        <w:gridCol w:w="630"/>
      </w:tblGrid>
      <w:tr w:rsidR="00000000">
        <w:tblPrEx>
          <w:tblCellMar>
            <w:top w:w="0" w:type="dxa"/>
            <w:left w:w="0" w:type="dxa"/>
            <w:bottom w:w="0" w:type="dxa"/>
            <w:right w:w="0" w:type="dxa"/>
          </w:tblCellMar>
        </w:tblPrEx>
        <w:trPr>
          <w:cantSplit/>
          <w:tblHeader/>
        </w:trPr>
        <w:tc>
          <w:tcPr>
            <w:tcW w:w="18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Tipo de escuela</w:t>
            </w:r>
          </w:p>
        </w:tc>
        <w:tc>
          <w:tcPr>
            <w:tcW w:w="21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1971</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1984</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1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180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Graduados de escuelas secundarias</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(Porcen-taje)</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(Porcen-taje)</w:t>
            </w:r>
          </w:p>
        </w:tc>
        <w:tc>
          <w:tcPr>
            <w:tcW w:w="81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Graduados de escuelas secundarias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(Porcen-taje)</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(Porcen-taje)</w:t>
            </w:r>
          </w:p>
        </w:tc>
        <w:tc>
          <w:tcPr>
            <w:tcW w:w="90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Graduados de escuelas secundarias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(Porcen-taje)</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(Porcen-taje)</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de gramática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25 939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32 651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 de formación profesional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25 284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42 913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Industria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Agricultura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Comercio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Economía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4 965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Transporte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Servicio Postal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Hostelería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Pedagogía, educación pública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Salud</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ab/>
              <w:t>Arte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r>
      <w:tr w:rsidR="00000000">
        <w:tblPrEx>
          <w:tblCellMar>
            <w:top w:w="0" w:type="dxa"/>
            <w:left w:w="0" w:type="dxa"/>
            <w:bottom w:w="0" w:type="dxa"/>
            <w:right w:w="0" w:type="dxa"/>
          </w:tblCellMar>
        </w:tblPrEx>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48 050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42,9</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46 409</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42,8</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75 564</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ab/>
        <w:t>Nota</w:t>
      </w:r>
      <w:r>
        <w:t>:</w:t>
      </w:r>
      <w:r>
        <w:tab/>
        <w:t>*</w:t>
      </w:r>
      <w:r>
        <w:tab/>
        <w:t>A partir de 1998 el sistema de educación profesional ha cambiado. Los datos no son comparables.</w:t>
      </w:r>
    </w:p>
    <w:p w:rsidR="00000000" w:rsidRDefault="00000000">
      <w:pPr>
        <w:pStyle w:val="FootnoteText"/>
        <w:tabs>
          <w:tab w:val="clear" w:pos="418"/>
          <w:tab w:val="right" w:pos="1476"/>
          <w:tab w:val="left" w:pos="1548"/>
          <w:tab w:val="right" w:pos="1836"/>
          <w:tab w:val="left" w:pos="1908"/>
        </w:tabs>
        <w:spacing w:line="120" w:lineRule="exact"/>
        <w:ind w:left="1908" w:right="1267" w:hanging="648"/>
        <w:rPr>
          <w:sz w:val="10"/>
        </w:rPr>
      </w:pPr>
    </w:p>
    <w:p w:rsidR="00000000" w:rsidRDefault="00000000">
      <w:pPr>
        <w:pStyle w:val="FootnoteText"/>
        <w:tabs>
          <w:tab w:val="clear" w:pos="418"/>
          <w:tab w:val="right" w:pos="1476"/>
          <w:tab w:val="left" w:pos="1548"/>
          <w:tab w:val="right" w:pos="1836"/>
          <w:tab w:val="left" w:pos="1908"/>
        </w:tabs>
        <w:spacing w:line="120" w:lineRule="exact"/>
        <w:ind w:left="1908" w:right="1267" w:hanging="64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Estudiantes ordinarios de educación secundaria y terciaria por sexo (porcentaje)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200"/>
        <w:gridCol w:w="1230"/>
        <w:gridCol w:w="90"/>
        <w:gridCol w:w="1140"/>
        <w:gridCol w:w="1200"/>
        <w:gridCol w:w="90"/>
        <w:gridCol w:w="1170"/>
        <w:gridCol w:w="1080"/>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Escuelas de aprendices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Escuelas secundarias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2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Universidades, facultades</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tabs>
                <w:tab w:val="left" w:pos="288"/>
                <w:tab w:val="left" w:pos="576"/>
                <w:tab w:val="left" w:pos="864"/>
                <w:tab w:val="left" w:pos="1152"/>
              </w:tabs>
              <w:spacing w:after="81" w:line="160" w:lineRule="exact"/>
              <w:ind w:right="40"/>
              <w:rPr>
                <w:i/>
                <w:sz w:val="14"/>
                <w:lang w:val="en-US"/>
              </w:rPr>
            </w:pPr>
            <w:r>
              <w:rPr>
                <w:i/>
                <w:sz w:val="14"/>
              </w:rPr>
              <w:t>Año</w:t>
            </w:r>
          </w:p>
        </w:tc>
        <w:tc>
          <w:tcPr>
            <w:tcW w:w="12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2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23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2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26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12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12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12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12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1998</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36,3</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63,7</w:t>
            </w:r>
          </w:p>
        </w:tc>
        <w:tc>
          <w:tcPr>
            <w:tcW w:w="12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53,8</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46,2</w:t>
            </w: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53,2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46,8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Cuarta Parte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16. Matrimonio y vida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Anticonceptivos que se comercializan en Hungría y sus precios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Medicamentos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760"/>
        <w:gridCol w:w="1560"/>
      </w:tblGrid>
      <w:tr w:rsidR="00000000">
        <w:tblPrEx>
          <w:tblCellMar>
            <w:top w:w="0" w:type="dxa"/>
            <w:left w:w="0" w:type="dxa"/>
            <w:bottom w:w="0" w:type="dxa"/>
            <w:right w:w="0" w:type="dxa"/>
          </w:tblCellMar>
        </w:tblPrEx>
        <w:trPr>
          <w:tblHeader/>
        </w:trPr>
        <w:tc>
          <w:tcPr>
            <w:tcW w:w="5760" w:type="dxa"/>
            <w:tcBorders>
              <w:top w:val="single" w:sz="4" w:space="0" w:color="auto"/>
              <w:bottom w:val="single" w:sz="12" w:space="0" w:color="auto"/>
            </w:tcBorders>
            <w:vAlign w:val="bottom"/>
          </w:tcPr>
          <w:p w:rsidR="00000000" w:rsidRDefault="00000000">
            <w:pPr>
              <w:tabs>
                <w:tab w:val="left" w:pos="288"/>
                <w:tab w:val="left" w:leader="dot" w:pos="5720"/>
              </w:tabs>
              <w:spacing w:before="81" w:after="81" w:line="160" w:lineRule="exact"/>
              <w:ind w:right="40"/>
              <w:rPr>
                <w:i/>
                <w:spacing w:val="60"/>
                <w:sz w:val="17"/>
              </w:rPr>
            </w:pPr>
            <w:r>
              <w:rPr>
                <w:i/>
                <w:sz w:val="14"/>
              </w:rPr>
              <w:t>Nombre</w:t>
            </w:r>
          </w:p>
        </w:tc>
        <w:tc>
          <w:tcPr>
            <w:tcW w:w="1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Precio (forints)</w:t>
            </w:r>
          </w:p>
        </w:tc>
      </w:tr>
      <w:tr w:rsidR="00000000">
        <w:tblPrEx>
          <w:tblCellMar>
            <w:top w:w="0" w:type="dxa"/>
            <w:left w:w="0" w:type="dxa"/>
            <w:bottom w:w="0" w:type="dxa"/>
            <w:right w:w="0" w:type="dxa"/>
          </w:tblCellMar>
        </w:tblPrEx>
        <w:trPr>
          <w:trHeight w:hRule="exact" w:val="115"/>
        </w:trPr>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Anteovin tbl. 631x</w:t>
            </w:r>
            <w:r>
              <w:rPr>
                <w:spacing w:val="60"/>
                <w:sz w:val="17"/>
              </w:rPr>
              <w:tab/>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Cilest tbl. 21x</w:t>
            </w:r>
            <w:r>
              <w:rPr>
                <w:spacing w:val="60"/>
                <w:sz w:val="17"/>
              </w:rPr>
              <w:tab/>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Cilest tbl. 63x</w:t>
            </w:r>
            <w:r>
              <w:rPr>
                <w:spacing w:val="60"/>
                <w:sz w:val="17"/>
              </w:rPr>
              <w:tab/>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pos="1296"/>
                <w:tab w:val="left" w:leader="dot" w:pos="5720"/>
                <w:tab w:val="right" w:leader="dot" w:pos="9101"/>
              </w:tabs>
              <w:spacing w:before="40" w:after="40" w:line="210" w:lineRule="exact"/>
              <w:ind w:right="40"/>
              <w:rPr>
                <w:spacing w:val="60"/>
                <w:sz w:val="17"/>
              </w:rPr>
            </w:pPr>
            <w:r>
              <w:rPr>
                <w:sz w:val="17"/>
              </w:rPr>
              <w:t>Contiunuin tbl 42x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pos="1296"/>
                <w:tab w:val="left" w:pos="1728"/>
                <w:tab w:val="left" w:leader="dot" w:pos="5720"/>
                <w:tab w:val="right" w:leader="dot" w:pos="9101"/>
              </w:tabs>
              <w:spacing w:before="40" w:after="40" w:line="210" w:lineRule="exact"/>
              <w:ind w:right="40"/>
              <w:rPr>
                <w:spacing w:val="60"/>
                <w:sz w:val="17"/>
              </w:rPr>
            </w:pPr>
            <w:r>
              <w:rPr>
                <w:sz w:val="17"/>
              </w:rPr>
              <w:t>Cyclo-Menorette drg 21x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pos="1296"/>
                <w:tab w:val="left" w:pos="1728"/>
                <w:tab w:val="left" w:leader="dot" w:pos="5720"/>
                <w:tab w:val="right" w:leader="dot" w:pos="9101"/>
              </w:tabs>
              <w:spacing w:before="40" w:after="40" w:line="210" w:lineRule="exact"/>
              <w:ind w:right="40"/>
              <w:rPr>
                <w:spacing w:val="60"/>
                <w:sz w:val="17"/>
              </w:rPr>
            </w:pPr>
            <w:r>
              <w:rPr>
                <w:sz w:val="17"/>
              </w:rPr>
              <w:t>Cyclo-Menorette drg 63x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Diane drg 21</w:t>
            </w:r>
            <w:r>
              <w:rPr>
                <w:spacing w:val="60"/>
                <w:sz w:val="17"/>
              </w:rPr>
              <w:tab/>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Diane drg 63</w:t>
            </w:r>
            <w:r>
              <w:rPr>
                <w:spacing w:val="60"/>
                <w:sz w:val="17"/>
              </w:rPr>
              <w:tab/>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Divina tbl 21x</w:t>
            </w:r>
            <w:r>
              <w:rPr>
                <w:spacing w:val="60"/>
                <w:sz w:val="17"/>
              </w:rPr>
              <w:tab/>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Femoden drg 21x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Femoden drg 63x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pos="1296"/>
                <w:tab w:val="left" w:leader="dot" w:pos="5720"/>
                <w:tab w:val="right" w:leader="dot" w:pos="9101"/>
              </w:tabs>
              <w:spacing w:before="40" w:after="40" w:line="210" w:lineRule="exact"/>
              <w:ind w:right="40"/>
              <w:rPr>
                <w:spacing w:val="60"/>
                <w:sz w:val="17"/>
              </w:rPr>
            </w:pPr>
            <w:r>
              <w:rPr>
                <w:sz w:val="17"/>
              </w:rPr>
              <w:t>Klimonorm drg 21x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pos="1296"/>
                <w:tab w:val="left" w:leader="dot" w:pos="5720"/>
                <w:tab w:val="right" w:leader="dot" w:pos="9101"/>
              </w:tabs>
              <w:spacing w:before="40" w:after="40" w:line="210" w:lineRule="exact"/>
              <w:ind w:right="40"/>
              <w:rPr>
                <w:spacing w:val="60"/>
                <w:sz w:val="17"/>
              </w:rPr>
            </w:pPr>
            <w:r>
              <w:rPr>
                <w:sz w:val="17"/>
              </w:rPr>
              <w:t>Klimonorm drg 63x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Marvelon tbl 21x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Marvelon tbl 63x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2 360</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Mercilon tbl 21x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r>
      <w:tr w:rsidR="00000000">
        <w:tblPrEx>
          <w:tblCellMar>
            <w:top w:w="0" w:type="dxa"/>
            <w:left w:w="0" w:type="dxa"/>
            <w:bottom w:w="0" w:type="dxa"/>
            <w:right w:w="0" w:type="dxa"/>
          </w:tblCellMar>
        </w:tblPrEx>
        <w:tc>
          <w:tcPr>
            <w:tcW w:w="5760" w:type="dxa"/>
            <w:vAlign w:val="bottom"/>
          </w:tcPr>
          <w:p w:rsidR="00000000" w:rsidRDefault="00000000">
            <w:pPr>
              <w:tabs>
                <w:tab w:val="right" w:pos="1080"/>
                <w:tab w:val="left" w:leader="dot" w:pos="5720"/>
                <w:tab w:val="right" w:leader="dot" w:pos="9101"/>
              </w:tabs>
              <w:spacing w:before="40" w:after="40" w:line="210" w:lineRule="exact"/>
              <w:ind w:right="40"/>
              <w:rPr>
                <w:spacing w:val="60"/>
                <w:sz w:val="17"/>
              </w:rPr>
            </w:pPr>
            <w:r>
              <w:rPr>
                <w:sz w:val="17"/>
              </w:rPr>
              <w:t>Mercilon tbl 63x</w:t>
            </w:r>
            <w:r>
              <w:rPr>
                <w:spacing w:val="60"/>
                <w:sz w:val="17"/>
              </w:rPr>
              <w:tab/>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Minulet drg 21x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Minulet drg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Novynette tbl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leader="dot" w:pos="5720"/>
              </w:tabs>
              <w:spacing w:before="40" w:after="40" w:line="210" w:lineRule="exact"/>
              <w:ind w:right="40"/>
              <w:rPr>
                <w:spacing w:val="60"/>
                <w:sz w:val="17"/>
              </w:rPr>
            </w:pPr>
            <w:r>
              <w:rPr>
                <w:sz w:val="17"/>
              </w:rPr>
              <w:t>Ovidon tbl 21</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Regulon tbl 21x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Regulon tbl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Rigevidon tbl 21x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Rigevidon tbl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Trinordiol drg 21x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Trinordiol drg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Triodena drg 21x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Triodena drg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Triquilar drg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1 470</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Tri-Regol drg 21x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r>
      <w:tr w:rsidR="00000000">
        <w:tblPrEx>
          <w:tblCellMar>
            <w:top w:w="0" w:type="dxa"/>
            <w:left w:w="0" w:type="dxa"/>
            <w:bottom w:w="0" w:type="dxa"/>
            <w:right w:w="0" w:type="dxa"/>
          </w:tblCellMar>
        </w:tblPrEx>
        <w:tc>
          <w:tcPr>
            <w:tcW w:w="5760" w:type="dxa"/>
            <w:vAlign w:val="bottom"/>
          </w:tcPr>
          <w:p w:rsidR="00000000" w:rsidRDefault="00000000">
            <w:pPr>
              <w:tabs>
                <w:tab w:val="left" w:pos="288"/>
                <w:tab w:val="left" w:pos="576"/>
                <w:tab w:val="left" w:pos="864"/>
                <w:tab w:val="left" w:pos="1152"/>
                <w:tab w:val="left" w:leader="dot" w:pos="5720"/>
              </w:tabs>
              <w:spacing w:before="40" w:after="40" w:line="210" w:lineRule="exact"/>
              <w:ind w:right="40"/>
              <w:rPr>
                <w:spacing w:val="60"/>
                <w:sz w:val="17"/>
              </w:rPr>
            </w:pPr>
            <w:r>
              <w:rPr>
                <w:sz w:val="17"/>
              </w:rPr>
              <w:t>Tri-Regol drg 63x</w:t>
            </w:r>
            <w:r>
              <w:rPr>
                <w:spacing w:val="60"/>
                <w:sz w:val="17"/>
              </w:rPr>
              <w:tab/>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r>
      <w:tr w:rsidR="00000000">
        <w:tblPrEx>
          <w:tblCellMar>
            <w:top w:w="0" w:type="dxa"/>
            <w:left w:w="0" w:type="dxa"/>
            <w:bottom w:w="0" w:type="dxa"/>
            <w:right w:w="0" w:type="dxa"/>
          </w:tblCellMar>
        </w:tblPrEx>
        <w:tc>
          <w:tcPr>
            <w:tcW w:w="5760" w:type="dxa"/>
            <w:tcBorders>
              <w:bottom w:val="single" w:sz="12" w:space="0" w:color="auto"/>
            </w:tcBorders>
            <w:vAlign w:val="bottom"/>
          </w:tcPr>
          <w:p w:rsidR="00000000" w:rsidRDefault="00000000">
            <w:pPr>
              <w:tabs>
                <w:tab w:val="left" w:pos="288"/>
                <w:tab w:val="left" w:pos="576"/>
                <w:tab w:val="left" w:pos="864"/>
                <w:tab w:val="left" w:pos="1152"/>
                <w:tab w:val="left" w:leader="dot" w:pos="5720"/>
              </w:tabs>
              <w:spacing w:before="40" w:after="81" w:line="210" w:lineRule="exact"/>
              <w:ind w:right="43"/>
              <w:rPr>
                <w:spacing w:val="60"/>
                <w:sz w:val="17"/>
              </w:rPr>
            </w:pPr>
            <w:r>
              <w:rPr>
                <w:sz w:val="17"/>
              </w:rPr>
              <w:t>Tri-Regol drg 21</w:t>
            </w:r>
            <w:r>
              <w:rPr>
                <w:sz w:val="17"/>
                <w:lang w:val="en-US"/>
              </w:rPr>
              <w:t>+</w:t>
            </w:r>
            <w:r>
              <w:rPr>
                <w:sz w:val="17"/>
              </w:rPr>
              <w:t>7</w:t>
            </w:r>
            <w:r>
              <w:rPr>
                <w:spacing w:val="60"/>
                <w:sz w:val="17"/>
              </w:rPr>
              <w:tab/>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540</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Dispositivos intrauterinos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260"/>
      </w:tblGrid>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after="120"/>
              <w:ind w:right="43"/>
            </w:pPr>
            <w:r>
              <w:t>Goldlily 1 pieza</w:t>
            </w:r>
          </w:p>
        </w:tc>
        <w:tc>
          <w:tcPr>
            <w:tcW w:w="1260" w:type="dxa"/>
          </w:tcPr>
          <w:p w:rsidR="00000000" w:rsidRDefault="00000000">
            <w:pPr>
              <w:tabs>
                <w:tab w:val="left" w:pos="288"/>
                <w:tab w:val="left" w:pos="576"/>
                <w:tab w:val="left" w:pos="864"/>
                <w:tab w:val="left" w:pos="1152"/>
              </w:tabs>
              <w:spacing w:after="120"/>
              <w:ind w:right="43"/>
            </w:pPr>
            <w:r>
              <w:t>2 518 Ft</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after="120"/>
              <w:ind w:right="43"/>
            </w:pPr>
            <w:r>
              <w:t>Multiload 1 pieza</w:t>
            </w:r>
          </w:p>
        </w:tc>
        <w:tc>
          <w:tcPr>
            <w:tcW w:w="1260" w:type="dxa"/>
          </w:tcPr>
          <w:p w:rsidR="00000000" w:rsidRDefault="00000000">
            <w:pPr>
              <w:tabs>
                <w:tab w:val="left" w:pos="288"/>
                <w:tab w:val="left" w:pos="576"/>
                <w:tab w:val="left" w:pos="864"/>
                <w:tab w:val="left" w:pos="1152"/>
              </w:tabs>
              <w:spacing w:after="120"/>
              <w:ind w:right="43"/>
            </w:pPr>
            <w:r>
              <w:t>2 429 Ft</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after="120"/>
              <w:ind w:right="43"/>
            </w:pPr>
            <w:r>
              <w:t>Silverlily 1 pieza</w:t>
            </w:r>
          </w:p>
        </w:tc>
        <w:tc>
          <w:tcPr>
            <w:tcW w:w="1260" w:type="dxa"/>
          </w:tcPr>
          <w:p w:rsidR="00000000" w:rsidRDefault="00000000">
            <w:pPr>
              <w:tabs>
                <w:tab w:val="left" w:pos="288"/>
                <w:tab w:val="left" w:pos="576"/>
                <w:tab w:val="left" w:pos="864"/>
                <w:tab w:val="left" w:pos="1152"/>
              </w:tabs>
              <w:spacing w:after="120"/>
              <w:ind w:right="43"/>
            </w:pPr>
            <w:r>
              <w:t>1 761 Ft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3.</w:t>
      </w:r>
      <w:r>
        <w:tab/>
        <w:t>Pesario</w:t>
      </w:r>
      <w:r>
        <w:tab/>
      </w:r>
      <w:r>
        <w:tab/>
      </w:r>
      <w:r>
        <w:tab/>
      </w:r>
      <w:r>
        <w:tab/>
        <w:t xml:space="preserve">   </w:t>
      </w:r>
      <w:r>
        <w:rPr>
          <w:b w:val="0"/>
        </w:rPr>
        <w:t>430 Ft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Condones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260"/>
      </w:tblGrid>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after="120"/>
              <w:ind w:right="43"/>
            </w:pPr>
            <w:r>
              <w:t>Paquete de 3 – 10</w:t>
            </w:r>
          </w:p>
        </w:tc>
        <w:tc>
          <w:tcPr>
            <w:tcW w:w="1260" w:type="dxa"/>
          </w:tcPr>
          <w:p w:rsidR="00000000" w:rsidRDefault="00000000">
            <w:pPr>
              <w:tabs>
                <w:tab w:val="left" w:pos="288"/>
                <w:tab w:val="left" w:pos="576"/>
                <w:tab w:val="left" w:pos="864"/>
                <w:tab w:val="left" w:pos="1152"/>
              </w:tabs>
              <w:spacing w:after="120"/>
              <w:ind w:right="43"/>
            </w:pPr>
            <w:r>
              <w:t>220 – 333 Ft</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after="120"/>
              <w:ind w:right="43"/>
            </w:pPr>
          </w:p>
        </w:tc>
        <w:tc>
          <w:tcPr>
            <w:tcW w:w="1260" w:type="dxa"/>
          </w:tcPr>
          <w:p w:rsidR="00000000" w:rsidRDefault="00000000">
            <w:pPr>
              <w:tabs>
                <w:tab w:val="left" w:pos="288"/>
                <w:tab w:val="left" w:pos="576"/>
                <w:tab w:val="left" w:pos="864"/>
                <w:tab w:val="left" w:pos="1152"/>
              </w:tabs>
              <w:spacing w:after="120"/>
              <w:ind w:right="43"/>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after="120"/>
              <w:ind w:right="43"/>
            </w:pPr>
          </w:p>
        </w:tc>
        <w:tc>
          <w:tcPr>
            <w:tcW w:w="1260" w:type="dxa"/>
          </w:tcPr>
          <w:p w:rsidR="00000000" w:rsidRDefault="00000000">
            <w:pPr>
              <w:tabs>
                <w:tab w:val="left" w:pos="288"/>
                <w:tab w:val="left" w:pos="576"/>
                <w:tab w:val="left" w:pos="864"/>
                <w:tab w:val="left" w:pos="1152"/>
              </w:tabs>
              <w:spacing w:after="120"/>
              <w:ind w:right="43"/>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Disposiciones jurídicas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s>
      </w:pPr>
      <w:r>
        <w:tab/>
      </w:r>
      <w:r>
        <w:tab/>
        <w:t>El Código de Trabajo</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s>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Primera Parte. Prohibición de la discriminación y obligación de dar preferencia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Sección 5</w:t>
      </w:r>
    </w:p>
    <w:p w:rsidR="00000000" w:rsidRDefault="00000000">
      <w:pPr>
        <w:spacing w:line="120" w:lineRule="exact"/>
        <w:rPr>
          <w:sz w:val="10"/>
        </w:rPr>
      </w:pPr>
    </w:p>
    <w:p w:rsidR="00000000" w:rsidRDefault="00000000">
      <w:pPr>
        <w:pStyle w:val="SingleTxt"/>
      </w:pPr>
      <w:r>
        <w:t>1.</w:t>
      </w:r>
      <w:r>
        <w:tab/>
        <w:t>En lo que se refiere a una relación laboral, no se practicará discriminación contra los empleados por motivos de sexo, edad, raza, origen nacional, religión, op</w:t>
      </w:r>
      <w:r>
        <w:t>i</w:t>
      </w:r>
      <w:r>
        <w:t>niones políticas o pertenencia a organizaciones de representación de los intereses de los empleados o la realización de actividades conexas, así como por cualesquiera otra circunstancias no relacionadas con el empleo. No se entenderá como discrim</w:t>
      </w:r>
      <w:r>
        <w:t>i</w:t>
      </w:r>
      <w:r>
        <w:t>nación la diferenciación establecida clara y directamente por el carácter o la natur</w:t>
      </w:r>
      <w:r>
        <w:t>a</w:t>
      </w:r>
      <w:r>
        <w:t>leza del trabajo.</w:t>
      </w:r>
    </w:p>
    <w:p w:rsidR="00000000" w:rsidRDefault="00000000">
      <w:pPr>
        <w:pStyle w:val="SingleTxt"/>
      </w:pPr>
      <w:r>
        <w:t>2.</w:t>
      </w:r>
      <w:r>
        <w:tab/>
        <w:t>En caso de disputa relacionada con una violación de la prohibición de discr</w:t>
      </w:r>
      <w:r>
        <w:t>i</w:t>
      </w:r>
      <w:r>
        <w:t>minar, el empleador tendrá que probar que sus actos no violaron las disposiciones de la subsección 1.</w:t>
      </w:r>
    </w:p>
    <w:p w:rsidR="00000000" w:rsidRDefault="00000000">
      <w:pPr>
        <w:pStyle w:val="SingleTxt"/>
      </w:pPr>
      <w:r>
        <w:t>3.</w:t>
      </w:r>
      <w:r>
        <w:tab/>
        <w:t>Los empleadores darán a los empleados la oportunidad de ascender a puestos más altos sin discriminación y únicamente sobre la base de la antigüedad en el e</w:t>
      </w:r>
      <w:r>
        <w:t>m</w:t>
      </w:r>
      <w:r>
        <w:t>pleo, la capacidad profesional, la experiencia y el rendimiento.</w:t>
      </w:r>
    </w:p>
    <w:p w:rsidR="00000000" w:rsidRDefault="00000000">
      <w:pPr>
        <w:pStyle w:val="SingleTxt"/>
      </w:pPr>
      <w:r>
        <w:t>4.</w:t>
      </w:r>
      <w:r>
        <w:tab/>
        <w:t>Con respecto a un grupo concreto de empleados, la obligación de dar prefere</w:t>
      </w:r>
      <w:r>
        <w:t>n</w:t>
      </w:r>
      <w:r>
        <w:t>cia podrá estar prescrita en las normas relacionadas con el empleo, en relación con una relación laboral y en las mismas condiciones.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75</w:t>
      </w:r>
    </w:p>
    <w:p w:rsidR="00000000" w:rsidRDefault="00000000">
      <w:pPr>
        <w:pStyle w:val="SingleTxt"/>
        <w:spacing w:after="0" w:line="120" w:lineRule="exact"/>
        <w:rPr>
          <w:sz w:val="10"/>
        </w:rPr>
      </w:pPr>
    </w:p>
    <w:p w:rsidR="00000000" w:rsidRDefault="00000000">
      <w:pPr>
        <w:pStyle w:val="SingleTxt"/>
      </w:pPr>
      <w:r>
        <w:t>1.</w:t>
      </w:r>
      <w:r>
        <w:tab/>
        <w:t>Las mujeres y los menores no estarán empleados en trabajos que puedan tener efectos nocivos sobre su condición física o su desarrollo. Los trabajos concretos en los que no se empleará a mujeres o menores, o que éstos puedan realizar únicamente si se establecen condiciones de trabajo específicas o sobre la base de un examen médico pr</w:t>
      </w:r>
      <w:r>
        <w:t>e</w:t>
      </w:r>
      <w:r>
        <w:t>liminar, estarán determinados por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IV de 1978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Código Penal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Secuestro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175/A</w:t>
      </w:r>
    </w:p>
    <w:p w:rsidR="00000000" w:rsidRDefault="00000000">
      <w:pPr>
        <w:pStyle w:val="SingleTxt"/>
        <w:spacing w:after="0" w:line="120" w:lineRule="exact"/>
        <w:rPr>
          <w:sz w:val="10"/>
        </w:rPr>
      </w:pPr>
    </w:p>
    <w:p w:rsidR="00000000" w:rsidRDefault="00000000">
      <w:pPr>
        <w:pStyle w:val="SingleTxt"/>
      </w:pPr>
      <w:r>
        <w:t>1.</w:t>
      </w:r>
      <w:r>
        <w:tab/>
        <w:t>La persona que prive a otra de su libertad mediante la violencia, o mediante una amenaza inminente contra su vida o su integridad física, o aprovechándose de su situación de no poder defenderse o exponer su voluntad, y haga que su liberación dependa del cumplimiento de una exigencia comete un delito que podrá castigarse con penas de dos a ocho años de prisión.</w:t>
      </w:r>
    </w:p>
    <w:p w:rsidR="00000000" w:rsidRDefault="00000000">
      <w:pPr>
        <w:pStyle w:val="SingleTxt"/>
      </w:pPr>
      <w:r>
        <w:t>2.</w:t>
      </w:r>
      <w:r>
        <w:tab/>
        <w:t>El castigo será de cinco a quince años de prisión si el secuestro se comete: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a)</w:t>
      </w:r>
      <w:r>
        <w:tab/>
        <w:t>Como parte de una conspiración criminal;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b)</w:t>
      </w:r>
      <w:r>
        <w:tab/>
        <w:t>Con el uso de armas.</w:t>
      </w:r>
    </w:p>
    <w:p w:rsidR="00000000" w:rsidRDefault="00000000">
      <w:pPr>
        <w:pStyle w:val="SingleTxt"/>
      </w:pPr>
      <w:r>
        <w:t>3.</w:t>
      </w:r>
      <w:r>
        <w:tab/>
        <w:t>El castigo será de cinco a quince años de prisión, o cadena perpetua, si con el secuestro: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a)</w:t>
      </w:r>
      <w:r>
        <w:tab/>
        <w:t>Se causa una desventaja especialmente grave;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b)</w:t>
      </w:r>
      <w:r>
        <w:tab/>
        <w:t>Se causa la muerte.</w:t>
      </w:r>
    </w:p>
    <w:p w:rsidR="00000000" w:rsidRDefault="00000000">
      <w:pPr>
        <w:pStyle w:val="SingleTxt"/>
      </w:pPr>
      <w:r>
        <w:t>4.</w:t>
      </w:r>
      <w:r>
        <w:tab/>
        <w:t>El castigo será de diez a quince años de prisión, o cadena perpetua, si el s</w:t>
      </w:r>
      <w:r>
        <w:t>e</w:t>
      </w:r>
      <w:r>
        <w:t>cuestro conlleva el homicidio inte</w:t>
      </w:r>
      <w:r>
        <w:t>n</w:t>
      </w:r>
      <w:r>
        <w:t>cionado.</w:t>
      </w:r>
    </w:p>
    <w:p w:rsidR="00000000" w:rsidRDefault="00000000">
      <w:pPr>
        <w:pStyle w:val="SingleTxt"/>
      </w:pPr>
      <w:r>
        <w:t>5.</w:t>
      </w:r>
      <w:r>
        <w:tab/>
        <w:t>La persona que lleve a cabo preparativos para un secuestro podrá ser castigada por ese delito con penas de hasta tres años de prisión.</w:t>
      </w:r>
    </w:p>
    <w:p w:rsidR="00000000" w:rsidRDefault="00000000">
      <w:pPr>
        <w:pStyle w:val="SingleTxt"/>
      </w:pPr>
      <w:r>
        <w:t>6.</w:t>
      </w:r>
      <w:r>
        <w:tab/>
        <w:t>El castigo de la persona que voluntariamente ponga fin al secuestro antes de que se originen consecuencias graves podrá mitigarse sin limitación.</w:t>
      </w:r>
    </w:p>
    <w:p w:rsidR="00000000" w:rsidRDefault="00000000">
      <w:pPr>
        <w:pStyle w:val="SingleTxt"/>
      </w:pPr>
      <w:r>
        <w:t>7.</w:t>
      </w:r>
      <w:r>
        <w:tab/>
        <w:t>La persona que sepa que se está preparando un secuestro y no informe a la pe</w:t>
      </w:r>
      <w:r>
        <w:t>r</w:t>
      </w:r>
      <w:r>
        <w:t>sona interesada o las autoridades lo antes posible comete un delito que podrá cast</w:t>
      </w:r>
      <w:r>
        <w:t>i</w:t>
      </w:r>
      <w:r>
        <w:t>garse con penas de hasta tres años de prisión si cuando menos llegara a intentarse el secuestro.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Tráfico de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175/B</w:t>
      </w:r>
    </w:p>
    <w:p w:rsidR="00000000" w:rsidRDefault="00000000">
      <w:pPr>
        <w:pStyle w:val="SingleTxt"/>
        <w:spacing w:after="0" w:line="120" w:lineRule="exact"/>
        <w:rPr>
          <w:sz w:val="10"/>
        </w:rPr>
      </w:pPr>
    </w:p>
    <w:p w:rsidR="00000000" w:rsidRDefault="00000000">
      <w:pPr>
        <w:pStyle w:val="SingleTxt"/>
      </w:pPr>
      <w:r>
        <w:t>1.</w:t>
      </w:r>
      <w:r>
        <w:tab/>
        <w:t>La persona que venda, compre, transporte o reciba otra persona o intercambie a una persona por otra o haga de intermediario con ese fin para otra parte comete un del</w:t>
      </w:r>
      <w:r>
        <w:t>i</w:t>
      </w:r>
      <w:r>
        <w:t>to que podrá castigarse con penas de hasta tres años de prisión.</w:t>
      </w:r>
    </w:p>
    <w:p w:rsidR="00000000" w:rsidRDefault="00000000">
      <w:pPr>
        <w:pStyle w:val="SingleTxt"/>
      </w:pPr>
      <w:r>
        <w:t>2.</w:t>
      </w:r>
      <w:r>
        <w:tab/>
        <w:t>La pena será de uno a cinco años de prisión si el del</w:t>
      </w:r>
      <w:r>
        <w:t>i</w:t>
      </w:r>
      <w:r>
        <w:t>to se comete:</w:t>
      </w:r>
    </w:p>
    <w:p w:rsidR="00000000" w:rsidRDefault="00000000">
      <w:pPr>
        <w:pStyle w:val="SingleTxt"/>
      </w:pPr>
      <w:r>
        <w:tab/>
        <w:t>a)</w:t>
      </w:r>
      <w:r>
        <w:tab/>
        <w:t>Contra una persona privada de su libertad pe</w:t>
      </w:r>
      <w:r>
        <w:t>r</w:t>
      </w:r>
      <w:r>
        <w:t>sonal;</w:t>
      </w:r>
    </w:p>
    <w:p w:rsidR="00000000" w:rsidRDefault="00000000">
      <w:pPr>
        <w:pStyle w:val="SingleTxt"/>
      </w:pPr>
      <w:r>
        <w:tab/>
        <w:t>b)</w:t>
      </w:r>
      <w:r>
        <w:tab/>
        <w:t>Contra una persona menor de 18 años;</w:t>
      </w:r>
    </w:p>
    <w:p w:rsidR="00000000" w:rsidRDefault="00000000">
      <w:pPr>
        <w:pStyle w:val="SingleTxt"/>
      </w:pPr>
      <w:r>
        <w:tab/>
        <w:t>c)</w:t>
      </w:r>
      <w:r>
        <w:tab/>
        <w:t>Con el fin de someter a la persona a trabajos forzados;</w:t>
      </w:r>
    </w:p>
    <w:p w:rsidR="00000000" w:rsidRDefault="00000000">
      <w:pPr>
        <w:pStyle w:val="SingleTxt"/>
      </w:pPr>
      <w:r>
        <w:tab/>
        <w:t>d)</w:t>
      </w:r>
      <w:r>
        <w:tab/>
        <w:t>Con el fin de realizar actos de sodomía o relaciones sexuales, o participar en ellas con otra persona en contra de su voluntad.</w:t>
      </w:r>
    </w:p>
    <w:p w:rsidR="00000000" w:rsidRDefault="00000000">
      <w:pPr>
        <w:pStyle w:val="SingleTxt"/>
      </w:pPr>
      <w:r>
        <w:t>3.</w:t>
      </w:r>
      <w:r>
        <w:tab/>
        <w:t>El castigo será de dos a ocho años de prisión si el del</w:t>
      </w:r>
      <w:r>
        <w:t>i</w:t>
      </w:r>
      <w:r>
        <w:t>to:</w:t>
      </w:r>
    </w:p>
    <w:p w:rsidR="00000000" w:rsidRDefault="00000000">
      <w:pPr>
        <w:pStyle w:val="SingleTxt"/>
      </w:pPr>
      <w:r>
        <w:tab/>
        <w:t>a)</w:t>
      </w:r>
      <w:r>
        <w:tab/>
        <w:t>Entraña dos de los casos descritos en la subse</w:t>
      </w:r>
      <w:r>
        <w:t>c</w:t>
      </w:r>
      <w:r>
        <w:t>ción 2 o si el delito se</w:t>
      </w:r>
      <w:r>
        <w:br/>
        <w:t>c</w:t>
      </w:r>
      <w:r>
        <w:t>o</w:t>
      </w:r>
      <w:r>
        <w:t>mete:</w:t>
      </w:r>
    </w:p>
    <w:p w:rsidR="00000000" w:rsidRDefault="00000000">
      <w:pPr>
        <w:pStyle w:val="SingleTxt"/>
      </w:pPr>
      <w:r>
        <w:tab/>
        <w:t>b)</w:t>
      </w:r>
      <w:r>
        <w:tab/>
        <w:t>Como parte de una organización delictiva;</w:t>
      </w:r>
    </w:p>
    <w:p w:rsidR="00000000" w:rsidRDefault="00000000">
      <w:pPr>
        <w:pStyle w:val="SingleTxt"/>
      </w:pPr>
      <w:r>
        <w:tab/>
        <w:t>c)</w:t>
      </w:r>
      <w:r>
        <w:tab/>
        <w:t>Contra una persona bajo la tutela, custodia, supervisión o tratamiento médico del autor.</w:t>
      </w:r>
    </w:p>
    <w:p w:rsidR="00000000" w:rsidRDefault="00000000">
      <w:pPr>
        <w:pStyle w:val="SingleTxt"/>
      </w:pPr>
      <w:r>
        <w:t>4.</w:t>
      </w:r>
      <w:r>
        <w:tab/>
        <w:t>El castigo será de cinco a diez años de prisión si el d</w:t>
      </w:r>
      <w:r>
        <w:t>e</w:t>
      </w:r>
      <w:r>
        <w:t>lito:</w:t>
      </w:r>
    </w:p>
    <w:p w:rsidR="00000000" w:rsidRDefault="00000000">
      <w:pPr>
        <w:pStyle w:val="SingleTxt"/>
      </w:pPr>
      <w:r>
        <w:tab/>
        <w:t>a)</w:t>
      </w:r>
      <w:r>
        <w:tab/>
        <w:t>Entraña tres de los casos descritos en la subsección 2, o si el delito se comete:</w:t>
      </w:r>
    </w:p>
    <w:p w:rsidR="00000000" w:rsidRDefault="00000000">
      <w:pPr>
        <w:pStyle w:val="SingleTxt"/>
      </w:pPr>
      <w:r>
        <w:tab/>
        <w:t>b)</w:t>
      </w:r>
      <w:r>
        <w:tab/>
        <w:t xml:space="preserve">Contra una persona privada de la libertad personal, como parte de una organización delictiva; </w:t>
      </w:r>
    </w:p>
    <w:p w:rsidR="00000000" w:rsidRDefault="00000000">
      <w:pPr>
        <w:pStyle w:val="SingleTxt"/>
      </w:pPr>
      <w:r>
        <w:tab/>
        <w:t>c)</w:t>
      </w:r>
      <w:r>
        <w:tab/>
        <w:t>Contra una persona bajo la tutela, custodia, supervisión o tratamiento médico del autor y privada de su l</w:t>
      </w:r>
      <w:r>
        <w:t>i</w:t>
      </w:r>
      <w:r>
        <w:t>bertad personal.</w:t>
      </w:r>
    </w:p>
    <w:p w:rsidR="00000000" w:rsidRDefault="00000000">
      <w:pPr>
        <w:pStyle w:val="SingleTxt"/>
        <w:rPr>
          <w:w w:val="101"/>
        </w:rPr>
      </w:pPr>
      <w:r>
        <w:rPr>
          <w:w w:val="101"/>
        </w:rPr>
        <w:t>5.</w:t>
      </w:r>
      <w:r>
        <w:rPr>
          <w:w w:val="101"/>
        </w:rPr>
        <w:tab/>
        <w:t>El castigo será de diez a quince años de prisión, o cadena perpetua, si el delito se comete con el fin de someter a la persona a trabajos forzados y actos de sodomía o relaciones sexuales, o participar en ellos con otra persona en contra de su volu</w:t>
      </w:r>
      <w:r>
        <w:rPr>
          <w:w w:val="101"/>
        </w:rPr>
        <w:t>n</w:t>
      </w:r>
      <w:r>
        <w:rPr>
          <w:w w:val="101"/>
        </w:rPr>
        <w:t>tad:</w:t>
      </w:r>
    </w:p>
    <w:p w:rsidR="00000000" w:rsidRDefault="00000000">
      <w:pPr>
        <w:pStyle w:val="SingleTxt"/>
      </w:pPr>
      <w:r>
        <w:tab/>
        <w:t>a)</w:t>
      </w:r>
      <w:r>
        <w:tab/>
        <w:t>Contra una persona privada de su libertad personal, como parte de una organización delictiva;</w:t>
      </w:r>
    </w:p>
    <w:p w:rsidR="00000000" w:rsidRDefault="00000000">
      <w:pPr>
        <w:pStyle w:val="SingleTxt"/>
      </w:pPr>
      <w:r>
        <w:tab/>
        <w:t>b)</w:t>
      </w:r>
      <w:r>
        <w:tab/>
        <w:t>Contra una persona bajo la tutela, custodia, supervisión o tratamiento médico del autor, y privada de su l</w:t>
      </w:r>
      <w:r>
        <w:t>i</w:t>
      </w:r>
      <w:r>
        <w:t>bertad personal.</w:t>
      </w:r>
    </w:p>
    <w:p w:rsidR="00000000" w:rsidRDefault="00000000">
      <w:pPr>
        <w:pStyle w:val="SingleTxt"/>
      </w:pPr>
      <w:r>
        <w:t>6.</w:t>
      </w:r>
      <w:r>
        <w:tab/>
        <w:t>La persona que haga preparativos para participar en el tráfico de personas c</w:t>
      </w:r>
      <w:r>
        <w:t>o</w:t>
      </w:r>
      <w:r>
        <w:t>mete una falta que podrá castigarse con penas de hasta dos años de prisión.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Producción de imágenes pornográficas prohibidas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195/A</w:t>
      </w:r>
    </w:p>
    <w:p w:rsidR="00000000" w:rsidRDefault="00000000">
      <w:pPr>
        <w:pStyle w:val="SingleTxt"/>
        <w:spacing w:after="0" w:line="120" w:lineRule="exact"/>
        <w:rPr>
          <w:sz w:val="10"/>
        </w:rPr>
      </w:pPr>
    </w:p>
    <w:p w:rsidR="00000000" w:rsidRDefault="00000000">
      <w:pPr>
        <w:pStyle w:val="SingleTxt"/>
      </w:pPr>
      <w:r>
        <w:t>1.</w:t>
      </w:r>
      <w:r>
        <w:tab/>
        <w:t>La persona que obtenga imágenes pornográficas de un menor en vídeo, pel</w:t>
      </w:r>
      <w:r>
        <w:t>í</w:t>
      </w:r>
      <w:r>
        <w:t>cula, fotografías o cualquier otro medio, distribuya esas imágenes o comercie con ellas, comete un delito que podrá castigarse con penas de dos a ocho años de pr</w:t>
      </w:r>
      <w:r>
        <w:t>i</w:t>
      </w:r>
      <w:r>
        <w:t>sión.</w:t>
      </w:r>
    </w:p>
    <w:p w:rsidR="00000000" w:rsidRDefault="00000000">
      <w:pPr>
        <w:pStyle w:val="SingleTxt"/>
      </w:pPr>
      <w:r>
        <w:t>2.</w:t>
      </w:r>
      <w:r>
        <w:tab/>
        <w:t>La persona que haga que un menor participe en un espectáculo pornográfico podrá recibir el castigo establec</w:t>
      </w:r>
      <w:r>
        <w:t>i</w:t>
      </w:r>
      <w:r>
        <w:t>do en la subsección 1.</w:t>
      </w:r>
    </w:p>
    <w:p w:rsidR="00000000" w:rsidRDefault="00000000">
      <w:pPr>
        <w:pStyle w:val="SingleTxt"/>
      </w:pPr>
      <w:r>
        <w:t>3.</w:t>
      </w:r>
      <w:r>
        <w:tab/>
        <w:t>La persona que aporte medios financieros y colabore así en la comisión del delito definido en las subsecciones 1 y 2 podrá ser castigada con penas de dos a ocho años de prisión.</w:t>
      </w:r>
    </w:p>
    <w:p w:rsidR="00000000" w:rsidRDefault="00000000">
      <w:pPr>
        <w:pStyle w:val="SingleTxt"/>
      </w:pPr>
      <w:r>
        <w:t>4.</w:t>
      </w:r>
      <w:r>
        <w:tab/>
        <w:t>En aplicación de las subsecciones 1 y 2, se entiende por imagen o espectáculo pornográfico la exhibición de la sexualidad de forma gravemente indecente con el fin co</w:t>
      </w:r>
      <w:r>
        <w:t>n</w:t>
      </w:r>
      <w:r>
        <w:t>creto de provocar el deseo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201</w:t>
      </w:r>
    </w:p>
    <w:p w:rsidR="00000000" w:rsidRDefault="00000000">
      <w:pPr>
        <w:pStyle w:val="SingleTxt"/>
        <w:spacing w:after="0" w:line="120" w:lineRule="exact"/>
        <w:rPr>
          <w:sz w:val="10"/>
        </w:rPr>
      </w:pPr>
    </w:p>
    <w:p w:rsidR="00000000" w:rsidRDefault="00000000">
      <w:pPr>
        <w:pStyle w:val="SingleTxt"/>
      </w:pPr>
      <w:r>
        <w:t>1.</w:t>
      </w:r>
      <w:r>
        <w:tab/>
        <w:t>La persona que tenga relaciones sexuales con una persona que aún no haya cumplido 14 años, así como la persona que haya cumplido 18 años y realice actos de fornicación con una persona que aún no haya cumplido 14 años comete un delito que podrá castigarse con penas de uno a cinco años de prisión.</w:t>
      </w:r>
    </w:p>
    <w:p w:rsidR="00000000" w:rsidRDefault="00000000">
      <w:pPr>
        <w:pStyle w:val="SingleTxt"/>
      </w:pPr>
      <w:r>
        <w:t>2.</w:t>
      </w:r>
      <w:r>
        <w:tab/>
        <w:t>La persona que haya cumplido 18 años y trate de persuadir a una persona que aún no haya cumplido 14 años para tener relaciones sexuales o realizar actos de fo</w:t>
      </w:r>
      <w:r>
        <w:t>r</w:t>
      </w:r>
      <w:r>
        <w:t>nicación con ella comete un delito que podrá castigarse con penas de hasta tres años de prisión.</w:t>
      </w:r>
    </w:p>
    <w:p w:rsidR="00000000" w:rsidRDefault="00000000">
      <w:pPr>
        <w:pStyle w:val="SingleTxt"/>
      </w:pPr>
      <w:r>
        <w:t>3.</w:t>
      </w:r>
      <w:r>
        <w:tab/>
        <w:t>El castigo será de dos a ocho años de prisión, o de uno a cinco años, respect</w:t>
      </w:r>
      <w:r>
        <w:t>i</w:t>
      </w:r>
      <w:r>
        <w:t>vamente, si la parte perjudicada por el delito definido en las subsecciones 1 ó 2 es pariente del autor, o está sujeta a su educación, supervisión, cuidado o tratamiento médico.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202</w:t>
      </w:r>
    </w:p>
    <w:p w:rsidR="00000000" w:rsidRDefault="00000000">
      <w:pPr>
        <w:pStyle w:val="SingleTxt"/>
        <w:spacing w:after="0" w:line="120" w:lineRule="exact"/>
        <w:rPr>
          <w:sz w:val="10"/>
        </w:rPr>
      </w:pPr>
    </w:p>
    <w:p w:rsidR="00000000" w:rsidRDefault="00000000">
      <w:pPr>
        <w:pStyle w:val="SingleTxt"/>
      </w:pPr>
      <w:r>
        <w:t>1.</w:t>
      </w:r>
      <w:r>
        <w:tab/>
        <w:t>La persona que induzca a una persona que aún no haya cumplido 14 años a t</w:t>
      </w:r>
      <w:r>
        <w:t>e</w:t>
      </w:r>
      <w:r>
        <w:t>ner relaciones sexuales o realizar actos de fornicación con otra comete un delito que podrá castigarse con penas de uno a cinco años de prisión.</w:t>
      </w:r>
    </w:p>
    <w:p w:rsidR="00000000" w:rsidRDefault="00000000">
      <w:pPr>
        <w:pStyle w:val="SingleTxt"/>
      </w:pPr>
      <w:r>
        <w:t>2.</w:t>
      </w:r>
      <w:r>
        <w:tab/>
        <w:t>La persona que haya cumplido 18 años y trate de persuadir a una persona que aún no haya cumplido 14 años para tener relaciones sexuales o realizar actos de fo</w:t>
      </w:r>
      <w:r>
        <w:t>r</w:t>
      </w:r>
      <w:r>
        <w:t>nicación con otra comete un delito que podrá castigarse con penas de hasta tres años de prisión.</w:t>
      </w:r>
    </w:p>
    <w:p w:rsidR="00000000" w:rsidRDefault="00000000">
      <w:pPr>
        <w:pStyle w:val="SingleTxt"/>
      </w:pPr>
      <w:r>
        <w:t>3.</w:t>
      </w:r>
      <w:r>
        <w:tab/>
        <w:t>El castigo será de dos a ocho años de prisión, o de uno a cinco años respect</w:t>
      </w:r>
      <w:r>
        <w:t>i</w:t>
      </w:r>
      <w:r>
        <w:t>vamente, si la parte perjudicada por el delito definido en las subsecciones 1ó 2 es pariente del autor o está sujeta a su educación, supervisión, cuidado o tratamiento médico.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Fomento de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205</w:t>
      </w:r>
    </w:p>
    <w:p w:rsidR="00000000" w:rsidRDefault="00000000">
      <w:pPr>
        <w:pStyle w:val="SingleTxt"/>
        <w:spacing w:after="0" w:line="120" w:lineRule="exact"/>
        <w:rPr>
          <w:sz w:val="10"/>
        </w:rPr>
      </w:pPr>
    </w:p>
    <w:p w:rsidR="00000000" w:rsidRDefault="00000000">
      <w:pPr>
        <w:pStyle w:val="SingleTxt"/>
      </w:pPr>
      <w:r>
        <w:t>1.</w:t>
      </w:r>
      <w:r>
        <w:tab/>
        <w:t>La persona que ponga a disposición de otra un edificio u otro lugar para la prostitución comete un delito que podrá castigarse con penas de hasta tres años de prisión.</w:t>
      </w:r>
    </w:p>
    <w:p w:rsidR="00000000" w:rsidRDefault="00000000">
      <w:pPr>
        <w:pStyle w:val="SingleTxt"/>
      </w:pPr>
      <w:r>
        <w:t>2.</w:t>
      </w:r>
      <w:r>
        <w:tab/>
        <w:t>La persona que mantenga o dirija un prostíbulo o aporte medios financieros p</w:t>
      </w:r>
      <w:r>
        <w:t>a</w:t>
      </w:r>
      <w:r>
        <w:t>ra su funcionamiento comete un delito que podrá castigarse con penas de hasta cinco años de prisión.</w:t>
      </w:r>
    </w:p>
    <w:p w:rsidR="00000000" w:rsidRDefault="00000000">
      <w:pPr>
        <w:pStyle w:val="SingleTxt"/>
      </w:pPr>
      <w:r>
        <w:t>3.</w:t>
      </w:r>
      <w:r>
        <w:tab/>
        <w:t>El castigo será de dos a ocho años de prisión si:</w:t>
      </w:r>
    </w:p>
    <w:p w:rsidR="00000000" w:rsidRDefault="00000000">
      <w:pPr>
        <w:pStyle w:val="SingleTxt"/>
      </w:pPr>
      <w:r>
        <w:tab/>
        <w:t>a)</w:t>
      </w:r>
      <w:r>
        <w:tab/>
        <w:t>Una persona que no hay cumplido 18 años participa en la prostitución en el prostíbulo;</w:t>
      </w:r>
    </w:p>
    <w:p w:rsidR="00000000" w:rsidRDefault="00000000">
      <w:pPr>
        <w:pStyle w:val="SingleTxt"/>
      </w:pPr>
      <w:r>
        <w:tab/>
        <w:t>b)</w:t>
      </w:r>
      <w:r>
        <w:tab/>
        <w:t>Se fomenta la prostitución como parte de una organización delictiva.</w:t>
      </w:r>
    </w:p>
    <w:p w:rsidR="00000000" w:rsidRDefault="00000000">
      <w:pPr>
        <w:pStyle w:val="SingleTxt"/>
      </w:pPr>
      <w:r>
        <w:t>4.</w:t>
      </w:r>
      <w:r>
        <w:tab/>
        <w:t>La persona que persuada a otra persona para participar en la prostitución podrá recibir el castigo establecido en la subsección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Vivir de los ingresos generados por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206</w:t>
      </w:r>
    </w:p>
    <w:p w:rsidR="00000000" w:rsidRDefault="00000000">
      <w:pPr>
        <w:pStyle w:val="SingleTxt"/>
        <w:spacing w:after="0" w:line="120" w:lineRule="exact"/>
        <w:rPr>
          <w:sz w:val="10"/>
        </w:rPr>
      </w:pPr>
    </w:p>
    <w:p w:rsidR="00000000" w:rsidRDefault="00000000">
      <w:pPr>
        <w:pStyle w:val="SingleTxt"/>
      </w:pPr>
      <w:r>
        <w:tab/>
        <w:t>La persona que viva en todo o en parte de los ingresos de una persona que pa</w:t>
      </w:r>
      <w:r>
        <w:t>r</w:t>
      </w:r>
      <w:r>
        <w:t>ticipa en la prostitución comete un delito que podrá castigarse con penas de hasta tres años de prisión. Podrá imponerse además la pena de destierro.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Proxenetismo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207</w:t>
      </w:r>
    </w:p>
    <w:p w:rsidR="00000000" w:rsidRDefault="00000000">
      <w:pPr>
        <w:pStyle w:val="SingleTxt"/>
        <w:spacing w:after="0" w:line="120" w:lineRule="exact"/>
        <w:rPr>
          <w:sz w:val="10"/>
        </w:rPr>
      </w:pPr>
    </w:p>
    <w:p w:rsidR="00000000" w:rsidRDefault="00000000">
      <w:pPr>
        <w:pStyle w:val="SingleTxt"/>
      </w:pPr>
      <w:r>
        <w:t>1.</w:t>
      </w:r>
      <w:r>
        <w:tab/>
        <w:t>La persona que pida a otra persona que mantenga relaciones sexuales o realice actos de fornicación con una tercera persona para obtener beneficios comete un d</w:t>
      </w:r>
      <w:r>
        <w:t>e</w:t>
      </w:r>
      <w:r>
        <w:t>lito que podrá castigarse con penas de hasta tres años de prisión.</w:t>
      </w:r>
    </w:p>
    <w:p w:rsidR="00000000" w:rsidRDefault="00000000">
      <w:pPr>
        <w:pStyle w:val="SingleTxt"/>
      </w:pPr>
      <w:r>
        <w:t>2.</w:t>
      </w:r>
      <w:r>
        <w:tab/>
        <w:t>El castigo será de uno a cinco años de prisión si el proxenetismo se realiza como negocio.</w:t>
      </w:r>
    </w:p>
    <w:p w:rsidR="00000000" w:rsidRDefault="00000000">
      <w:pPr>
        <w:pStyle w:val="SingleTxt"/>
      </w:pPr>
      <w:r>
        <w:t>3.</w:t>
      </w:r>
      <w:r>
        <w:tab/>
        <w:t>El castigo será de dos a ocho años de prisión si el proxenetismo se comete:</w:t>
      </w:r>
    </w:p>
    <w:p w:rsidR="00000000" w:rsidRDefault="00000000">
      <w:pPr>
        <w:pStyle w:val="SingleTxt"/>
      </w:pPr>
      <w:r>
        <w:tab/>
        <w:t>a)</w:t>
      </w:r>
      <w:r>
        <w:tab/>
        <w:t>De forma que se perjudique a un pariente del autor o una persona bajo su educación, supervisión o cuidado o que no haya cumplido 18 años;</w:t>
      </w:r>
    </w:p>
    <w:p w:rsidR="00000000" w:rsidRDefault="00000000">
      <w:pPr>
        <w:pStyle w:val="SingleTxt"/>
        <w:suppressAutoHyphens/>
      </w:pPr>
      <w:r>
        <w:tab/>
        <w:t>b)</w:t>
      </w:r>
      <w:r>
        <w:tab/>
        <w:t>Con engaño, violencia o amenaza directa contra la vida o la integridad física;</w:t>
      </w:r>
    </w:p>
    <w:p w:rsidR="00000000" w:rsidRDefault="00000000">
      <w:pPr>
        <w:pStyle w:val="SingleTxt"/>
      </w:pPr>
      <w:r>
        <w:tab/>
        <w:t>c)</w:t>
      </w:r>
      <w:r>
        <w:tab/>
        <w:t>Como parte de una organización delictiva.</w:t>
      </w:r>
    </w:p>
    <w:p w:rsidR="00000000" w:rsidRDefault="00000000">
      <w:pPr>
        <w:pStyle w:val="SingleTxt"/>
      </w:pPr>
      <w:r>
        <w:t>4.</w:t>
      </w:r>
      <w:r>
        <w:tab/>
        <w:t>La persona que consienta a comisión del proxenetismo definida en la subse</w:t>
      </w:r>
      <w:r>
        <w:t>c</w:t>
      </w:r>
      <w:r>
        <w:t>ción 2 comete un delito que podrá castigarse con penas de hasta tres años de prisión.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210/A</w:t>
      </w:r>
    </w:p>
    <w:p w:rsidR="00000000" w:rsidRDefault="00000000">
      <w:pPr>
        <w:pStyle w:val="SingleTxt"/>
        <w:spacing w:after="0" w:line="120" w:lineRule="exact"/>
        <w:rPr>
          <w:sz w:val="10"/>
        </w:rPr>
      </w:pPr>
    </w:p>
    <w:p w:rsidR="00000000" w:rsidRDefault="00000000">
      <w:pPr>
        <w:pStyle w:val="SingleTxt"/>
      </w:pPr>
      <w:r>
        <w:t>1.</w:t>
      </w:r>
      <w:r>
        <w:tab/>
        <w:t>Realiza prostitución la persona que mantiene relaciones sexuales o realiza a</w:t>
      </w:r>
      <w:r>
        <w:t>c</w:t>
      </w:r>
      <w:r>
        <w:t>tos de fornicación con el fin de o</w:t>
      </w:r>
      <w:r>
        <w:t>b</w:t>
      </w:r>
      <w:r>
        <w:t>tener una contraprestación económica.</w:t>
      </w:r>
    </w:p>
    <w:p w:rsidR="00000000" w:rsidRDefault="00000000">
      <w:pPr>
        <w:pStyle w:val="SingleTxt"/>
      </w:pPr>
      <w:r>
        <w:t>2.</w:t>
      </w:r>
      <w:r>
        <w:tab/>
        <w:t>A los fines de lo dispuesto en este título, se considera fornicación cualquier acto gravemente indecoroso con excepción de las relaciones sexuales que sirva para el estímulo o la satisfacción del deseo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XX de 1949 Constitución de la República de Hungría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LXV de 1990 sobre los gobiernos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XX de 1949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Constitución de la República de Hungría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66</w:t>
      </w:r>
    </w:p>
    <w:p w:rsidR="00000000" w:rsidRDefault="00000000">
      <w:pPr>
        <w:pStyle w:val="SingleTxt"/>
        <w:spacing w:after="0" w:line="120" w:lineRule="exact"/>
        <w:rPr>
          <w:sz w:val="10"/>
        </w:rPr>
      </w:pPr>
    </w:p>
    <w:p w:rsidR="00000000" w:rsidRDefault="00000000">
      <w:pPr>
        <w:pStyle w:val="SingleTxt"/>
      </w:pPr>
      <w:r>
        <w:t>1.</w:t>
      </w:r>
      <w:r>
        <w:tab/>
        <w:t>La República de Hungría velará por la igualdad de hombres y mujeres en todos los derechos civiles, políticos, económicos, sociales y culturales.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70</w:t>
      </w:r>
    </w:p>
    <w:p w:rsidR="00000000" w:rsidRDefault="00000000">
      <w:pPr>
        <w:pStyle w:val="SingleTxt"/>
        <w:spacing w:after="0" w:line="120" w:lineRule="exact"/>
        <w:rPr>
          <w:sz w:val="10"/>
        </w:rPr>
      </w:pPr>
    </w:p>
    <w:p w:rsidR="00000000" w:rsidRDefault="00000000">
      <w:pPr>
        <w:pStyle w:val="SingleTxt"/>
        <w:rPr>
          <w:w w:val="101"/>
        </w:rPr>
      </w:pPr>
      <w:r>
        <w:rPr>
          <w:w w:val="101"/>
        </w:rPr>
        <w:t>1.</w:t>
      </w:r>
      <w:r>
        <w:rPr>
          <w:w w:val="101"/>
        </w:rPr>
        <w:tab/>
        <w:t>Todos los ciudadanos húngaros adultos que residen en el territorio de la Rep</w:t>
      </w:r>
      <w:r>
        <w:rPr>
          <w:w w:val="101"/>
        </w:rPr>
        <w:t>ú</w:t>
      </w:r>
      <w:r>
        <w:rPr>
          <w:w w:val="101"/>
        </w:rPr>
        <w:t>blica de Hungría tienen derecho a ser elegidos y a votar en las elecciones parlament</w:t>
      </w:r>
      <w:r>
        <w:rPr>
          <w:w w:val="101"/>
        </w:rPr>
        <w:t>a</w:t>
      </w:r>
      <w:r>
        <w:rPr>
          <w:w w:val="101"/>
        </w:rPr>
        <w:t>rias, las elecciones para los gobiernos locales o las elecciones minoritarias de autog</w:t>
      </w:r>
      <w:r>
        <w:rPr>
          <w:w w:val="101"/>
        </w:rPr>
        <w:t>o</w:t>
      </w:r>
      <w:r>
        <w:rPr>
          <w:w w:val="101"/>
        </w:rPr>
        <w:t>bierno siempre que se encuentren en el país el día de la elección o referéndum, así como a participar en referendums o iniciativas populares de nivel nacional o l</w:t>
      </w:r>
      <w:r>
        <w:rPr>
          <w:w w:val="101"/>
        </w:rPr>
        <w:t>o</w:t>
      </w:r>
      <w:r>
        <w:rPr>
          <w:w w:val="101"/>
        </w:rPr>
        <w:t>cal.</w:t>
      </w:r>
    </w:p>
    <w:p w:rsidR="00000000" w:rsidRDefault="00000000">
      <w:pPr>
        <w:pStyle w:val="SingleTxt"/>
      </w:pPr>
      <w:r>
        <w:t>2.</w:t>
      </w:r>
      <w:r>
        <w:tab/>
        <w:t>Las personas que residen en el territorio de la República de Hungría como i</w:t>
      </w:r>
      <w:r>
        <w:t>n</w:t>
      </w:r>
      <w:r>
        <w:t>migrantes que no ostentan la ciudadanía húngara tienen también derecho a votar en las elecciones locales para representantes y alcaldes, así como derecho a participar en los referendums e iniciativas populares de nivel local, de conformidad con las normas establecidas en una ley separada, siempre que estén presentes en el país el día de la elección o referéndum.</w:t>
      </w:r>
    </w:p>
    <w:p w:rsidR="00000000" w:rsidRDefault="00000000">
      <w:pPr>
        <w:pStyle w:val="SingleTxt"/>
      </w:pPr>
      <w:r>
        <w:t>3.</w:t>
      </w:r>
      <w:r>
        <w:tab/>
        <w:t>No se concederá derecho a votar a las personas sometidas a una tutela que l</w:t>
      </w:r>
      <w:r>
        <w:t>i</w:t>
      </w:r>
      <w:r>
        <w:t>mite o excluya su capacidad, a las personas condenadas por una sentencia judicial firme que les prohiba participar en los asuntos públicos, ni a las personas encarcel</w:t>
      </w:r>
      <w:r>
        <w:t>a</w:t>
      </w:r>
      <w:r>
        <w:t>das en virtud de una sentencia judicial firme o que estén bajo el cuidado instituci</w:t>
      </w:r>
      <w:r>
        <w:t>o</w:t>
      </w:r>
      <w:r>
        <w:t>nal obligatorio en vi</w:t>
      </w:r>
      <w:r>
        <w:t>r</w:t>
      </w:r>
      <w:r>
        <w:t>tud de una sentencia judicial firme dictada en un proceso penal.</w:t>
      </w:r>
    </w:p>
    <w:p w:rsidR="00000000" w:rsidRDefault="00000000">
      <w:pPr>
        <w:pStyle w:val="SingleTxt"/>
      </w:pPr>
      <w:r>
        <w:t>4.</w:t>
      </w:r>
      <w:r>
        <w:tab/>
        <w:t>Todos los ciudadanos húngaros tienen derecho a participar en los asuntos p</w:t>
      </w:r>
      <w:r>
        <w:t>ú</w:t>
      </w:r>
      <w:r>
        <w:t>blicos y a desempeñar cargos públicos según su disposición, educación y capacidad prof</w:t>
      </w:r>
      <w:r>
        <w:t>e</w:t>
      </w:r>
      <w:r>
        <w:t>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70/A</w:t>
      </w:r>
    </w:p>
    <w:p w:rsidR="00000000" w:rsidRDefault="00000000">
      <w:pPr>
        <w:pStyle w:val="SingleTxt"/>
        <w:spacing w:after="0" w:line="120" w:lineRule="exact"/>
        <w:rPr>
          <w:sz w:val="10"/>
        </w:rPr>
      </w:pPr>
    </w:p>
    <w:p w:rsidR="00000000" w:rsidRDefault="00000000">
      <w:pPr>
        <w:pStyle w:val="SingleTxt"/>
      </w:pPr>
      <w:r>
        <w:t>1.</w:t>
      </w:r>
      <w:r>
        <w:tab/>
        <w:t>La República de Hungría respetará los derechos humanos y los derechos civ</w:t>
      </w:r>
      <w:r>
        <w:t>i</w:t>
      </w:r>
      <w:r>
        <w:t>les de todas las personas que se encuentren en el país sin discriminación por motivos de raza, color, sexo, idioma, religión, opinión política o de otro tipo, origen nacional o social, situación económica, nac</w:t>
      </w:r>
      <w:r>
        <w:t>i</w:t>
      </w:r>
      <w:r>
        <w:t>miento o por otro motivo cualquiera que éste sea.</w:t>
      </w:r>
    </w:p>
    <w:p w:rsidR="00000000" w:rsidRDefault="00000000">
      <w:pPr>
        <w:pStyle w:val="SingleTxt"/>
      </w:pPr>
      <w:r>
        <w:t>2.</w:t>
      </w:r>
      <w:r>
        <w:tab/>
        <w:t>Se establecerá en la ley el estricto castigo de la discriminación sobre la base de lo dispuesto en el párrafo 1.</w:t>
      </w:r>
    </w:p>
    <w:p w:rsidR="00000000" w:rsidRDefault="00000000">
      <w:pPr>
        <w:pStyle w:val="SingleTxt"/>
      </w:pPr>
      <w:r>
        <w:t>3.</w:t>
      </w:r>
      <w:r>
        <w:tab/>
        <w:t>La República de Hungría hará lo posible por conseguir la igualdad de derechos mediante medidas encaminadas a la creación de oportunidades justas para todos.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Capítulo XIII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Principios básicos de las elecciones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71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Los miembros del Parlamento, los miembros de los órganos representativos de los gobiernos locales, los alcaldes y el Alcalde de la capital serán elegidos por s</w:t>
      </w:r>
      <w:r>
        <w:t>u</w:t>
      </w:r>
      <w:r>
        <w:t>fragio directo y secreto de los ciudadanos votantes sobre la base de su derecho de voto igual y universal.</w:t>
      </w:r>
    </w:p>
    <w:p w:rsidR="00000000" w:rsidRDefault="00000000">
      <w:pPr>
        <w:pStyle w:val="SingleTxt"/>
      </w:pPr>
      <w:r>
        <w:t>2.</w:t>
      </w:r>
      <w:r>
        <w:tab/>
        <w:t>Los miembros del órgano representativo del gobierno local en los condados elegirán al Presidente del órgano r</w:t>
      </w:r>
      <w:r>
        <w:t>e</w:t>
      </w:r>
      <w:r>
        <w:t>presentativo por sufragio directo y secreto.</w:t>
      </w:r>
    </w:p>
    <w:p w:rsidR="00000000" w:rsidRDefault="00000000">
      <w:pPr>
        <w:pStyle w:val="SingleTxt"/>
      </w:pPr>
      <w:r>
        <w:t>3.</w:t>
      </w:r>
      <w:r>
        <w:tab/>
        <w:t>En leyes separadas se establecerán las disposiciones para la elección de los miembros del Parlamento, los miembros de los órganos representativos de los g</w:t>
      </w:r>
      <w:r>
        <w:t>o</w:t>
      </w:r>
      <w:r>
        <w:t>biernos locales y los alcaldes. Para aprobar esas leyes será necesaria una mayoría de dos tercios de los votos de los miembros del Parlamento.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Ley LXV de 1990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sobre los gobiernos locales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Capítulo IV</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Referéndum local, iniciativa popular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45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Cualquier persona con derecho a votar en las elecciones municipales podrá tomar parte en la iniciativa popular y en los referéndums locales.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LV de 1993 sobre la nacionalidad húngara, decreto del Gobierno No. 125/1993 (IX.22.) sobre la aplicación de la ley LV de 1993 sobre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Ley LV de 1993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sobre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interés de la preservación de la importancia moral de la nacionalidad hú</w:t>
      </w:r>
      <w:r>
        <w:t>n</w:t>
      </w:r>
      <w:r>
        <w:t>gara y del fortalecimiento del vínculo de los ciudadanos húngaros con la República de Hungría, teniendo también en cuenta las tradiciones de la legislación sobre la n</w:t>
      </w:r>
      <w:r>
        <w:t>a</w:t>
      </w:r>
      <w:r>
        <w:t>cionalidad húngara y las disposiciones de los convenios internacionales, el Parl</w:t>
      </w:r>
      <w:r>
        <w:t>a</w:t>
      </w:r>
      <w:r>
        <w:t>mento promulga por la presente la siguiente ley sobre las normas para la obtención, adqu</w:t>
      </w:r>
      <w:r>
        <w:t>i</w:t>
      </w:r>
      <w:r>
        <w:t>sición y pérdida de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Principios básicos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w:t>
      </w:r>
    </w:p>
    <w:p w:rsidR="00000000" w:rsidRDefault="00000000">
      <w:pPr>
        <w:pStyle w:val="SingleTxt"/>
        <w:spacing w:after="0" w:line="120" w:lineRule="exact"/>
        <w:rPr>
          <w:sz w:val="10"/>
        </w:rPr>
      </w:pPr>
    </w:p>
    <w:p w:rsidR="00000000" w:rsidRDefault="00000000">
      <w:pPr>
        <w:pStyle w:val="SingleTxt"/>
      </w:pPr>
      <w:r>
        <w:t>1.</w:t>
      </w:r>
      <w:r>
        <w:tab/>
        <w:t>No habrá discriminación entre los ciudadanos húngaros por motivo de la base jurídica para la obtención o a</w:t>
      </w:r>
      <w:r>
        <w:t>d</w:t>
      </w:r>
      <w:r>
        <w:t>quisición de la nacionalidad.</w:t>
      </w:r>
    </w:p>
    <w:p w:rsidR="00000000" w:rsidRDefault="00000000">
      <w:pPr>
        <w:pStyle w:val="SingleTxt"/>
      </w:pPr>
      <w:r>
        <w:t>2.</w:t>
      </w:r>
      <w:r>
        <w:tab/>
        <w:t>Nadie será privado arbitrariamente de su nacionalidad ni del derecho a cambiar de nacionalidad.</w:t>
      </w:r>
    </w:p>
    <w:p w:rsidR="00000000" w:rsidRDefault="00000000">
      <w:pPr>
        <w:pStyle w:val="SingleTxt"/>
      </w:pPr>
      <w:r>
        <w:t>3.</w:t>
      </w:r>
      <w:r>
        <w:tab/>
        <w:t>Por la presente ley</w:t>
      </w:r>
    </w:p>
    <w:p w:rsidR="00000000" w:rsidRDefault="00000000">
      <w:pPr>
        <w:pStyle w:val="SingleTxt"/>
        <w:tabs>
          <w:tab w:val="right" w:pos="1685"/>
        </w:tabs>
        <w:ind w:left="1742" w:hanging="475"/>
      </w:pPr>
      <w:r>
        <w:tab/>
        <w:t>–</w:t>
      </w:r>
      <w:r>
        <w:tab/>
        <w:t>Se promueve la unidad de nacionalidad de la familia al tiempo que se respeta la libertad y la voluntad de las personas;</w:t>
      </w:r>
    </w:p>
    <w:p w:rsidR="00000000" w:rsidRDefault="00000000">
      <w:pPr>
        <w:pStyle w:val="SingleTxt"/>
        <w:tabs>
          <w:tab w:val="right" w:pos="1685"/>
        </w:tabs>
        <w:ind w:left="1742" w:hanging="475"/>
      </w:pPr>
      <w:r>
        <w:tab/>
        <w:t>–</w:t>
      </w:r>
      <w:r>
        <w:tab/>
        <w:t>Se fomenta la reducción de los casos de personas apátridas;</w:t>
      </w:r>
    </w:p>
    <w:p w:rsidR="00000000" w:rsidRDefault="00000000">
      <w:pPr>
        <w:pStyle w:val="SingleTxt"/>
        <w:tabs>
          <w:tab w:val="right" w:pos="1685"/>
        </w:tabs>
        <w:ind w:left="1742" w:hanging="475"/>
      </w:pPr>
      <w:r>
        <w:tab/>
        <w:t>–</w:t>
      </w:r>
      <w:r>
        <w:tab/>
        <w:t>Se promueve la protección de los datos personales.</w:t>
      </w:r>
    </w:p>
    <w:p w:rsidR="00000000" w:rsidRDefault="00000000">
      <w:pPr>
        <w:pStyle w:val="SingleTxt"/>
      </w:pPr>
      <w:r>
        <w:t>4.</w:t>
      </w:r>
      <w:r>
        <w:tab/>
        <w:t>La presente ley no tendrá efectos retroactivos. Las normas jurídicas en vigor en el momento de los hechos o de los acontecimientos que pudieran afectar a la n</w:t>
      </w:r>
      <w:r>
        <w:t>a</w:t>
      </w:r>
      <w:r>
        <w:t>cionalidad se aplicarán a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Ciudadanos húngaros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w:t>
      </w:r>
    </w:p>
    <w:p w:rsidR="00000000" w:rsidRDefault="00000000">
      <w:pPr>
        <w:pStyle w:val="SingleTxt"/>
        <w:spacing w:after="0" w:line="120" w:lineRule="exact"/>
        <w:rPr>
          <w:sz w:val="10"/>
        </w:rPr>
      </w:pPr>
    </w:p>
    <w:p w:rsidR="00000000" w:rsidRDefault="00000000">
      <w:pPr>
        <w:pStyle w:val="SingleTxt"/>
      </w:pPr>
      <w:r>
        <w:t>1.</w:t>
      </w:r>
      <w:r>
        <w:tab/>
        <w:t>Cualquier persona que ostente la nacionalidad húngara a la entrada en vigor de la presente ley y adquiera la nacionalidad húngara en virtud de lo dispuesto en la presente ley o que adquiera la nacionalidad húngara sobre la base de la presente ley tendrá la condición de ciudadano húngaro hasta que pierda su nacion</w:t>
      </w:r>
      <w:r>
        <w:t>a</w:t>
      </w:r>
      <w:r>
        <w:t>lidad.</w:t>
      </w:r>
    </w:p>
    <w:p w:rsidR="00000000" w:rsidRDefault="00000000">
      <w:pPr>
        <w:pStyle w:val="SingleTxt"/>
      </w:pPr>
      <w:r>
        <w:t>2.</w:t>
      </w:r>
      <w:r>
        <w:tab/>
        <w:t>A menos que en una ley se establezca otra cosa, una persona de nacionalidad húngara que tenga al mismo tiempo la nacionalidad de otro Estado se considerará de naci</w:t>
      </w:r>
      <w:r>
        <w:t>o</w:t>
      </w:r>
      <w:r>
        <w:t>nalidad húngara a los efectos de la aplicación de la ley de Hungría.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Obtención de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3</w:t>
      </w:r>
    </w:p>
    <w:p w:rsidR="00000000" w:rsidRDefault="00000000">
      <w:pPr>
        <w:pStyle w:val="SingleTxt"/>
        <w:spacing w:after="0" w:line="120" w:lineRule="exact"/>
        <w:rPr>
          <w:sz w:val="10"/>
        </w:rPr>
      </w:pPr>
    </w:p>
    <w:p w:rsidR="00000000" w:rsidRDefault="00000000">
      <w:pPr>
        <w:pStyle w:val="SingleTxt"/>
      </w:pPr>
      <w:r>
        <w:t>1.</w:t>
      </w:r>
      <w:r>
        <w:tab/>
        <w:t>Los hijos de ciudadanos húngaros serán ciudadanos húngaros por derecho de nacimiento.</w:t>
      </w:r>
    </w:p>
    <w:p w:rsidR="00000000" w:rsidRDefault="00000000">
      <w:pPr>
        <w:pStyle w:val="SingleTxt"/>
      </w:pPr>
      <w:r>
        <w:t>2.</w:t>
      </w:r>
      <w:r>
        <w:tab/>
        <w:t>La nacionalidad húngara del hijo de una persona que no ostente la nacionalidad húngara se obtendrá con efecto retroactivo al momento de su nacimiento si el otro progenitor tiene la nacionalidad húngara sobre la base del pleno reconocimiento de la paternidad, posterior matrimonio o establecimiento por un juez de la paternidad o maternidad.</w:t>
      </w:r>
    </w:p>
    <w:p w:rsidR="00000000" w:rsidRDefault="00000000">
      <w:pPr>
        <w:pStyle w:val="SingleTxt"/>
      </w:pPr>
      <w:r>
        <w:t>3.</w:t>
      </w:r>
      <w:r>
        <w:tab/>
        <w:t>Salvo prueba en contrario, se considerará que tienen la nacionalidad húngara:</w:t>
      </w:r>
    </w:p>
    <w:p w:rsidR="00000000" w:rsidRDefault="00000000">
      <w:pPr>
        <w:pStyle w:val="SingleTxt"/>
        <w:suppressAutoHyphens/>
      </w:pPr>
      <w:r>
        <w:tab/>
        <w:t>a)</w:t>
      </w:r>
      <w:r>
        <w:tab/>
        <w:t>Los hijos nacidos en Hungría de personas apátridas que residan en Hungría;</w:t>
      </w:r>
    </w:p>
    <w:p w:rsidR="00000000" w:rsidRDefault="00000000">
      <w:pPr>
        <w:pStyle w:val="SingleTxt"/>
      </w:pPr>
      <w:r>
        <w:tab/>
        <w:t>b)</w:t>
      </w:r>
      <w:r>
        <w:tab/>
        <w:t>Los hijos nacidos de padres desconocidos y e</w:t>
      </w:r>
      <w:r>
        <w:t>n</w:t>
      </w:r>
      <w:r>
        <w:t>contrados en Hungría.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Adquisición de la nacionalidad húngara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Naturalización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4</w:t>
      </w:r>
    </w:p>
    <w:p w:rsidR="00000000" w:rsidRDefault="00000000">
      <w:pPr>
        <w:pStyle w:val="SingleTxt"/>
        <w:spacing w:after="0" w:line="120" w:lineRule="exact"/>
        <w:rPr>
          <w:sz w:val="10"/>
        </w:rPr>
      </w:pPr>
    </w:p>
    <w:p w:rsidR="00000000" w:rsidRDefault="00000000">
      <w:pPr>
        <w:pStyle w:val="SingleTxt"/>
      </w:pPr>
      <w:r>
        <w:t>1.</w:t>
      </w:r>
      <w:r>
        <w:tab/>
        <w:t>Una persona que no ostente la nacionalidad húngara podrá naturalizarse, si lo sol</w:t>
      </w:r>
      <w:r>
        <w:t>i</w:t>
      </w:r>
      <w:r>
        <w:t>cita, siempre que:</w:t>
      </w:r>
    </w:p>
    <w:p w:rsidR="00000000" w:rsidRDefault="00000000">
      <w:pPr>
        <w:pStyle w:val="SingleTxt"/>
      </w:pPr>
      <w:r>
        <w:tab/>
        <w:t>a)</w:t>
      </w:r>
      <w:r>
        <w:tab/>
        <w:t>La persona haya residido en Hungría de forma continua durante un perí</w:t>
      </w:r>
      <w:r>
        <w:t>o</w:t>
      </w:r>
      <w:r>
        <w:t>do de ocho años anterior a la pr</w:t>
      </w:r>
      <w:r>
        <w:t>e</w:t>
      </w:r>
      <w:r>
        <w:t>sentación de la solicitud;</w:t>
      </w:r>
    </w:p>
    <w:p w:rsidR="00000000" w:rsidRDefault="00000000">
      <w:pPr>
        <w:pStyle w:val="SingleTxt"/>
      </w:pPr>
      <w:r>
        <w:tab/>
        <w:t>b)</w:t>
      </w:r>
      <w:r>
        <w:tab/>
        <w:t>La persona no tenga antecedentes penales según la legislación de Hungría y en el momento de la evaluación de la aplicación no tenga pendiente ningún proc</w:t>
      </w:r>
      <w:r>
        <w:t>e</w:t>
      </w:r>
      <w:r>
        <w:t>so ante un tribunal de Hungría;</w:t>
      </w:r>
    </w:p>
    <w:p w:rsidR="00000000" w:rsidRDefault="00000000">
      <w:pPr>
        <w:pStyle w:val="SingleTxt"/>
      </w:pPr>
      <w:r>
        <w:tab/>
        <w:t>c)</w:t>
      </w:r>
      <w:r>
        <w:tab/>
        <w:t>Estén garantizados sus medios de vida y su res</w:t>
      </w:r>
      <w:r>
        <w:t>i</w:t>
      </w:r>
      <w:r>
        <w:t>dencia en Hungría;</w:t>
      </w:r>
    </w:p>
    <w:p w:rsidR="00000000" w:rsidRDefault="00000000">
      <w:pPr>
        <w:pStyle w:val="SingleTxt"/>
      </w:pPr>
      <w:r>
        <w:tab/>
        <w:t>d)</w:t>
      </w:r>
      <w:r>
        <w:tab/>
        <w:t>Su naturalización no contravenga los intereses de la República de Hu</w:t>
      </w:r>
      <w:r>
        <w:t>n</w:t>
      </w:r>
      <w:r>
        <w:t>gría; y</w:t>
      </w:r>
    </w:p>
    <w:p w:rsidR="00000000" w:rsidRDefault="00000000">
      <w:pPr>
        <w:pStyle w:val="SingleTxt"/>
      </w:pPr>
      <w:r>
        <w:tab/>
        <w:t>e)</w:t>
      </w:r>
      <w:r>
        <w:tab/>
        <w:t>La persona pruebe que ha aprobado un examen de estudios constituci</w:t>
      </w:r>
      <w:r>
        <w:t>o</w:t>
      </w:r>
      <w:r>
        <w:t>nales básicos en húngaro. Sólo las personas mayores de edad estarán obligadas a p</w:t>
      </w:r>
      <w:r>
        <w:t>a</w:t>
      </w:r>
      <w:r>
        <w:t>sar ese examen.</w:t>
      </w:r>
    </w:p>
    <w:p w:rsidR="00000000" w:rsidRDefault="00000000">
      <w:pPr>
        <w:pStyle w:val="SingleTxt"/>
      </w:pPr>
      <w:r>
        <w:t>2.</w:t>
      </w:r>
      <w:r>
        <w:tab/>
        <w:t>Una persona que no ostente la nacionalidad húngara que haya residido en Hungría continuamente por un período de tres años antes de presentar la solicitud y cumpla las condiciones establecidas en los párrafos b) a e) de la subsección 1 podrá naturalizarse en condiciones preferentes siempre que:</w:t>
      </w:r>
    </w:p>
    <w:p w:rsidR="00000000" w:rsidRDefault="00000000">
      <w:pPr>
        <w:pStyle w:val="SingleTxt"/>
      </w:pPr>
      <w:r>
        <w:tab/>
        <w:t>a)</w:t>
      </w:r>
      <w:r>
        <w:tab/>
        <w:t>La persona haya vivido en un matrimonio válido con un ciudadano hú</w:t>
      </w:r>
      <w:r>
        <w:t>n</w:t>
      </w:r>
      <w:r>
        <w:t>garo durante un mínimo de tres años o el matrimonio se hubiera extinguido por la muerte del cónyuge;</w:t>
      </w:r>
    </w:p>
    <w:p w:rsidR="00000000" w:rsidRDefault="00000000">
      <w:pPr>
        <w:pStyle w:val="SingleTxt"/>
      </w:pPr>
      <w:r>
        <w:tab/>
        <w:t>b)</w:t>
      </w:r>
      <w:r>
        <w:tab/>
        <w:t>Un hijo menor de la persona ostente la nacional</w:t>
      </w:r>
      <w:r>
        <w:t>i</w:t>
      </w:r>
      <w:r>
        <w:t>dad húngara;</w:t>
      </w:r>
    </w:p>
    <w:p w:rsidR="00000000" w:rsidRDefault="00000000">
      <w:pPr>
        <w:pStyle w:val="SingleTxt"/>
      </w:pPr>
      <w:r>
        <w:tab/>
        <w:t>c)</w:t>
      </w:r>
      <w:r>
        <w:tab/>
        <w:t>La persona ha sido adoptada por un ciudadano húngaro, o</w:t>
      </w:r>
    </w:p>
    <w:p w:rsidR="00000000" w:rsidRDefault="00000000">
      <w:pPr>
        <w:pStyle w:val="SingleTxt"/>
      </w:pPr>
      <w:r>
        <w:tab/>
        <w:t>d)</w:t>
      </w:r>
      <w:r>
        <w:tab/>
        <w:t>La persona ha sido reconocida como refugiado por una autoridad de Hungría.</w:t>
      </w:r>
    </w:p>
    <w:p w:rsidR="00000000" w:rsidRDefault="00000000">
      <w:pPr>
        <w:pStyle w:val="SingleTxt"/>
      </w:pPr>
      <w:r>
        <w:t>3.</w:t>
      </w:r>
      <w:r>
        <w:tab/>
        <w:t>En caso de que se satisfagan las condiciones establecidas en los párrafos b) a e) de la subsección 1, una persona que no ostente la nacionalidad húngara que diga ser nacional de Hungría y que haya vivido en Hungría durante al menos un año antes de presentar la solicitud, y tenga al menos un antecesor que fuese ciudadano húng</w:t>
      </w:r>
      <w:r>
        <w:t>a</w:t>
      </w:r>
      <w:r>
        <w:t>ro, podrá nat</w:t>
      </w:r>
      <w:r>
        <w:t>u</w:t>
      </w:r>
      <w:r>
        <w:t>ralizarse en condiciones preferentes.</w:t>
      </w:r>
    </w:p>
    <w:p w:rsidR="00000000" w:rsidRDefault="00000000">
      <w:pPr>
        <w:pStyle w:val="SingleTxt"/>
      </w:pPr>
      <w:r>
        <w:t>4.</w:t>
      </w:r>
      <w:r>
        <w:tab/>
        <w:t>La condición de permanencia en Hungría durante los períodos establecidos en las subsecciones 1 y 2 podrá excluirse en el caso de un menor, siempre que la nat</w:t>
      </w:r>
      <w:r>
        <w:t>u</w:t>
      </w:r>
      <w:r>
        <w:t>raliz</w:t>
      </w:r>
      <w:r>
        <w:t>a</w:t>
      </w:r>
      <w:r>
        <w:t>ción del menor se solicite juntamente con la de los padres.</w:t>
      </w:r>
    </w:p>
    <w:p w:rsidR="00000000" w:rsidRDefault="00000000">
      <w:pPr>
        <w:pStyle w:val="SingleTxt"/>
      </w:pPr>
      <w:r>
        <w:t>5.</w:t>
      </w:r>
      <w:r>
        <w:tab/>
        <w:t>En el caso definido en el párrafo c) de la subsección 2, la condición de perm</w:t>
      </w:r>
      <w:r>
        <w:t>a</w:t>
      </w:r>
      <w:r>
        <w:t>nencia en Hungría durante un p</w:t>
      </w:r>
      <w:r>
        <w:t>e</w:t>
      </w:r>
      <w:r>
        <w:t>ríodo de tres años podrá excluirse si se solicita.</w:t>
      </w:r>
    </w:p>
    <w:p w:rsidR="00000000" w:rsidRDefault="00000000">
      <w:pPr>
        <w:pStyle w:val="SingleTxt"/>
      </w:pPr>
      <w:r>
        <w:t>6.</w:t>
      </w:r>
      <w:r>
        <w:tab/>
        <w:t>El Presidente de la República, por recomendación del Ministro del Interior, podrá otorgar una exención de las condiciones establecidas en los párrafos a), c) y e) de la subsección 1 si la naturalización del solicitante redundara en interés de la R</w:t>
      </w:r>
      <w:r>
        <w:t>e</w:t>
      </w:r>
      <w:r>
        <w:t>pública de Hungría.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Nueva naturalización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5</w:t>
      </w:r>
    </w:p>
    <w:p w:rsidR="00000000" w:rsidRDefault="00000000">
      <w:pPr>
        <w:pStyle w:val="SingleTxt"/>
        <w:spacing w:after="0" w:line="120" w:lineRule="exact"/>
        <w:rPr>
          <w:sz w:val="10"/>
        </w:rPr>
      </w:pPr>
    </w:p>
    <w:p w:rsidR="00000000" w:rsidRDefault="00000000">
      <w:pPr>
        <w:pStyle w:val="SingleTxt"/>
      </w:pPr>
      <w:r>
        <w:tab/>
        <w:t>Una persona residente en Hungría que haya perdido la nacionalidad húngara podrá solicitar su nueva naturalización si se cumplen las condiciones establecidas en los párrafos b) a d) de la subsección 1 de la sección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Renuncia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8</w:t>
      </w:r>
    </w:p>
    <w:p w:rsidR="00000000" w:rsidRDefault="00000000">
      <w:pPr>
        <w:pStyle w:val="SingleTxt"/>
        <w:spacing w:after="0" w:line="120" w:lineRule="exact"/>
        <w:rPr>
          <w:sz w:val="10"/>
        </w:rPr>
      </w:pPr>
    </w:p>
    <w:p w:rsidR="00000000" w:rsidRDefault="00000000">
      <w:pPr>
        <w:pStyle w:val="SingleTxt"/>
      </w:pPr>
      <w:r>
        <w:t>1.</w:t>
      </w:r>
      <w:r>
        <w:tab/>
        <w:t>Un ciudadano húngaro residente en el extranjero podrá renunciar a su nacion</w:t>
      </w:r>
      <w:r>
        <w:t>a</w:t>
      </w:r>
      <w:r>
        <w:t>lidad húngara en una declaración dirigida al Presidente de la República si:</w:t>
      </w:r>
    </w:p>
    <w:p w:rsidR="00000000" w:rsidRDefault="00000000">
      <w:pPr>
        <w:pStyle w:val="SingleTxt"/>
      </w:pPr>
      <w:r>
        <w:tab/>
        <w:t>a)</w:t>
      </w:r>
      <w:r>
        <w:tab/>
        <w:t>Ostenta también una nacionalidad extranjera o puede adquirir esa naci</w:t>
      </w:r>
      <w:r>
        <w:t>o</w:t>
      </w:r>
      <w:r>
        <w:t>nalidad y</w:t>
      </w:r>
    </w:p>
    <w:p w:rsidR="00000000" w:rsidRDefault="00000000">
      <w:pPr>
        <w:pStyle w:val="SingleTxt"/>
      </w:pPr>
      <w:r>
        <w:tab/>
        <w:t>b)</w:t>
      </w:r>
      <w:r>
        <w:tab/>
        <w:t>No tiene procesos pendientes ante un tribunal de Hungría, o si la pena impuesta por un tribunal de Hungría no pudiera ejecutarse, y</w:t>
      </w:r>
    </w:p>
    <w:p w:rsidR="00000000" w:rsidRDefault="00000000">
      <w:pPr>
        <w:pStyle w:val="SingleTxt"/>
      </w:pPr>
      <w:r>
        <w:tab/>
        <w:t>c)</w:t>
      </w:r>
      <w:r>
        <w:tab/>
        <w:t>No tiene deudas fiscales u otro tipo de deudas públicas en Hungría.</w:t>
      </w:r>
    </w:p>
    <w:p w:rsidR="00000000" w:rsidRDefault="00000000">
      <w:pPr>
        <w:pStyle w:val="SingleTxt"/>
      </w:pPr>
      <w:r>
        <w:t>2.</w:t>
      </w:r>
      <w:r>
        <w:tab/>
        <w:t>Si se satisfacen las condiciones establecidas en la subsección 1, el Ministro del Interior hará una recomendación al Presidente de la República relativa a la acept</w:t>
      </w:r>
      <w:r>
        <w:t>a</w:t>
      </w:r>
      <w:r>
        <w:t>ción de la renuncia. El Presidente de la República emitirá un certificado de la exti</w:t>
      </w:r>
      <w:r>
        <w:t>n</w:t>
      </w:r>
      <w:r>
        <w:t>ción de la nacionalidad húngara por renuncia. La nacionalidad húngara quedará e</w:t>
      </w:r>
      <w:r>
        <w:t>x</w:t>
      </w:r>
      <w:r>
        <w:t>tinguida el día de em</w:t>
      </w:r>
      <w:r>
        <w:t>i</w:t>
      </w:r>
      <w:r>
        <w:t>sión del certificado.</w:t>
      </w:r>
    </w:p>
    <w:p w:rsidR="00000000" w:rsidRDefault="00000000">
      <w:pPr>
        <w:pStyle w:val="SingleTxt"/>
      </w:pPr>
      <w:r>
        <w:t>3.</w:t>
      </w:r>
      <w:r>
        <w:tab/>
        <w:t>Si las condiciones para la aceptación de la renuncia no se satisfacen, el Mini</w:t>
      </w:r>
      <w:r>
        <w:t>s</w:t>
      </w:r>
      <w:r>
        <w:t>tro del Interior así lo establecerá en una decisión. La decisión podrá apelarse ante el Tribunal Metropolitano.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Revocación de la nacion</w:t>
      </w:r>
      <w:r>
        <w:t>a</w:t>
      </w:r>
      <w:r>
        <w:t>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9</w:t>
      </w:r>
    </w:p>
    <w:p w:rsidR="00000000" w:rsidRDefault="00000000">
      <w:pPr>
        <w:pStyle w:val="SingleTxt"/>
        <w:spacing w:after="0" w:line="120" w:lineRule="exact"/>
        <w:rPr>
          <w:sz w:val="10"/>
        </w:rPr>
      </w:pPr>
    </w:p>
    <w:p w:rsidR="00000000" w:rsidRDefault="00000000">
      <w:pPr>
        <w:pStyle w:val="SingleTxt"/>
      </w:pPr>
      <w:r>
        <w:t>1.</w:t>
      </w:r>
      <w:r>
        <w:tab/>
        <w:t>Podrá revocarse la nacionalidad húngara de un ciudadano húngaro que resida en el extranjero si hubiese adquirido su nacionalidad húngara mediante una viol</w:t>
      </w:r>
      <w:r>
        <w:t>a</w:t>
      </w:r>
      <w:r>
        <w:t>ción de las leyes, en particular si la hubiera adquirido engañando a las autoridades mediante la presentación de datos falsos o la ocultación de datos o hechos. No podrá revocarse la nacionalidad después de un plazo de diez años contado a partir de la f</w:t>
      </w:r>
      <w:r>
        <w:t>e</w:t>
      </w:r>
      <w:r>
        <w:t>cha de adquisición de la nacionalidad hú</w:t>
      </w:r>
      <w:r>
        <w:t>n</w:t>
      </w:r>
      <w:r>
        <w:t>gara.</w:t>
      </w:r>
    </w:p>
    <w:p w:rsidR="00000000" w:rsidRDefault="00000000">
      <w:pPr>
        <w:pStyle w:val="SingleTxt"/>
      </w:pPr>
      <w:r>
        <w:t>2.</w:t>
      </w:r>
      <w:r>
        <w:tab/>
        <w:t>El Ministro del Interior establecerá la existencia de un hecho que dé lugar a la revocación de la nacionalidad en una decisión. Esa decisión podrá apelarse ante el Tribunal M</w:t>
      </w:r>
      <w:r>
        <w:t>e</w:t>
      </w:r>
      <w:r>
        <w:t>tropolitano.</w:t>
      </w:r>
    </w:p>
    <w:p w:rsidR="00000000" w:rsidRDefault="00000000">
      <w:pPr>
        <w:pStyle w:val="SingleTxt"/>
      </w:pPr>
      <w:r>
        <w:t>3.</w:t>
      </w:r>
      <w:r>
        <w:tab/>
        <w:t>El Presidente de la República decidirá sobre la extinción de la nacionalidad húngara por revocación, sobre la base de la recomendación del Ministro del Interior.</w:t>
      </w:r>
    </w:p>
    <w:p w:rsidR="00000000" w:rsidRDefault="00000000">
      <w:pPr>
        <w:pStyle w:val="SingleTxt"/>
      </w:pPr>
      <w:r>
        <w:t>4.</w:t>
      </w:r>
      <w:r>
        <w:tab/>
        <w:t>La decisión relativa a la revocación de la nacionalidad húngara se publicará en el Boletín Oficial de Hungría (Magyar Kozlony). La nacionalidad húngara quedará extinguida el día de la publicación de la decisión.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21</w:t>
      </w:r>
    </w:p>
    <w:p w:rsidR="00000000" w:rsidRDefault="00000000">
      <w:pPr>
        <w:pStyle w:val="SingleTxt"/>
        <w:spacing w:after="0" w:line="120" w:lineRule="exact"/>
        <w:rPr>
          <w:sz w:val="10"/>
        </w:rPr>
      </w:pPr>
    </w:p>
    <w:p w:rsidR="00000000" w:rsidRDefault="00000000">
      <w:pPr>
        <w:pStyle w:val="SingleTxt"/>
      </w:pPr>
      <w:r>
        <w:t>1.</w:t>
      </w:r>
      <w:r>
        <w:tab/>
        <w:t>Las personas privadas de su nacionalidad húngara sobre la base de la Ley X de 1947 y la Ley XXVI de 1948 sobre la revocación de la nacionalidad húngara de ciertas personas que viven en el extranjero, la Ley LX de 1948 sobre la nacionalidad húngara y la Ley V de 1957 sobre la nacionalidad, las personas que perdieron su n</w:t>
      </w:r>
      <w:r>
        <w:t>a</w:t>
      </w:r>
      <w:r>
        <w:t>cionalidad húngara sobre la base del decreto No. 7970/1946.M.E. del Gobierno de la República de Hungría, el decreto del Gobierno No. 10.515/1947.Korm. y el decreto del Gobierno No. 12.200/1947/Korm., así como las personas que perdieron la naci</w:t>
      </w:r>
      <w:r>
        <w:t>o</w:t>
      </w:r>
      <w:r>
        <w:t>nalidad húngara por revocación entre el 15 de septiembre de 1947 y el 2 de mayo de 1990 podrán recuperar la nacionalidad húngara mediante una declaración personal por escrito dirigida al Presidente de la República de Hungría a partir de la fecha de la declar</w:t>
      </w:r>
      <w:r>
        <w:t>a</w:t>
      </w:r>
      <w:r>
        <w:t>ción.</w:t>
      </w:r>
    </w:p>
    <w:p w:rsidR="00000000" w:rsidRDefault="00000000">
      <w:pPr>
        <w:pStyle w:val="SingleTxt"/>
      </w:pPr>
      <w:r>
        <w:t>2.</w:t>
      </w:r>
      <w:r>
        <w:tab/>
        <w:t>Sobre la base de la declaración, el Ministro del Interior emitirá un certificado de nacionalidad para la persona interesada.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Decreto del Gobierno No. 125/1993 (IX.22.)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sobre la aplicación de la Ley LV de 1993 sobre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Sobre la base de la autorización concedida en virtud de la subsección 4 de la sección 24 de la Ley LV de 1993 sobre la nacionalidad húngara (en lo sucesivo “CA”), el Gobierno promulga el siguiente decreto relativo a las normas detalladas de los procedimientos de nacion</w:t>
      </w:r>
      <w:r>
        <w:t>a</w:t>
      </w:r>
      <w:r>
        <w:t>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Solicitud de la nacion</w:t>
      </w:r>
      <w:r>
        <w:t>a</w:t>
      </w:r>
      <w:r>
        <w:t>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w:t>
      </w:r>
    </w:p>
    <w:p w:rsidR="00000000" w:rsidRDefault="00000000">
      <w:pPr>
        <w:pStyle w:val="SingleTxt"/>
        <w:spacing w:after="0" w:line="120" w:lineRule="exact"/>
        <w:rPr>
          <w:sz w:val="10"/>
        </w:rPr>
      </w:pPr>
    </w:p>
    <w:p w:rsidR="00000000" w:rsidRDefault="00000000">
      <w:pPr>
        <w:pStyle w:val="SingleTxt"/>
      </w:pPr>
      <w:r>
        <w:tab/>
        <w:t>Las solicitudes de nacionalidad definidas en la subsección 1 de la sección 13 de la Ley LV de 1993 sobre la nacionalidad húngara se presentarán en la forma e</w:t>
      </w:r>
      <w:r>
        <w:t>s</w:t>
      </w:r>
      <w:r>
        <w:t>pecificada en los anexos del presente decreto:</w:t>
      </w:r>
    </w:p>
    <w:p w:rsidR="00000000" w:rsidRDefault="00000000">
      <w:pPr>
        <w:pStyle w:val="SingleTxt"/>
      </w:pPr>
      <w:r>
        <w:tab/>
        <w:t>a)</w:t>
      </w:r>
      <w:r>
        <w:tab/>
        <w:t>La solicitud de naturalización (nueva naturaliz</w:t>
      </w:r>
      <w:r>
        <w:t>a</w:t>
      </w:r>
      <w:r>
        <w:t>ción) en el anexo No. 1;</w:t>
      </w:r>
    </w:p>
    <w:p w:rsidR="00000000" w:rsidRDefault="00000000">
      <w:pPr>
        <w:pStyle w:val="SingleTxt"/>
      </w:pPr>
      <w:r>
        <w:tab/>
        <w:t>b)</w:t>
      </w:r>
      <w:r>
        <w:tab/>
        <w:t>La declaración de renuncia a la nacionalidad en el anexo No.2;</w:t>
      </w:r>
    </w:p>
    <w:p w:rsidR="00000000" w:rsidRDefault="00000000">
      <w:pPr>
        <w:pStyle w:val="SingleTxt"/>
      </w:pPr>
      <w:r>
        <w:tab/>
        <w:t>c)</w:t>
      </w:r>
      <w:r>
        <w:tab/>
        <w:t>La solicitud de un certificado de nacionalidad en el anexo No.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w:t>
      </w:r>
    </w:p>
    <w:p w:rsidR="00000000" w:rsidRDefault="00000000">
      <w:pPr>
        <w:pStyle w:val="SingleTxt"/>
        <w:spacing w:after="0" w:line="120" w:lineRule="exact"/>
        <w:rPr>
          <w:sz w:val="10"/>
        </w:rPr>
      </w:pPr>
    </w:p>
    <w:p w:rsidR="00000000" w:rsidRDefault="00000000">
      <w:pPr>
        <w:pStyle w:val="SingleTxt"/>
      </w:pPr>
      <w:r>
        <w:t>1.</w:t>
      </w:r>
      <w:r>
        <w:tab/>
        <w:t>Al recibir una solicitud de nacionalidad, el encargado del registro o el cónsul comprobarán la identidad del solic</w:t>
      </w:r>
      <w:r>
        <w:t>i</w:t>
      </w:r>
      <w:r>
        <w:t>tante y verificarán su firma.</w:t>
      </w:r>
    </w:p>
    <w:p w:rsidR="00000000" w:rsidRDefault="00000000">
      <w:pPr>
        <w:pStyle w:val="SingleTxt"/>
      </w:pPr>
      <w:r>
        <w:t>2.</w:t>
      </w:r>
      <w:r>
        <w:tab/>
        <w:t>En el caso de los solicitantes residentes en el extranjero, la autoridad comp</w:t>
      </w:r>
      <w:r>
        <w:t>e</w:t>
      </w:r>
      <w:r>
        <w:t>tente en su lugar de residencia podrá también comprobar su identidad y verificar su firma. La solicitud de enviará al cónsul de Hungría competente. El cónsul compr</w:t>
      </w:r>
      <w:r>
        <w:t>o</w:t>
      </w:r>
      <w:r>
        <w:t>bará que la verificación ha sido efectuada por una persona autorizada al efecto.</w:t>
      </w:r>
    </w:p>
    <w:p w:rsidR="00000000" w:rsidRDefault="00000000">
      <w:pPr>
        <w:pStyle w:val="SingleTxt"/>
      </w:pPr>
      <w:r>
        <w:t>3.</w:t>
      </w:r>
      <w:r>
        <w:tab/>
        <w:t>El encargado del registro o el cónsul transmitirá la solicitud, junto con sus anexos, al Ministro del Interior dentro del plazo establecido en la subsección 2 de la sección 13 de la CA. No podrá negarse la transmisión de una solicitud sobre la base de que el solicitante no aportó los documentos enumerados en la ley o en el presente decreto. Sin embargo, se harán saber al solicitante los inconvenientes y las cons</w:t>
      </w:r>
      <w:r>
        <w:t>e</w:t>
      </w:r>
      <w:r>
        <w:t>cuencias que puedan surgir de no subsanarse esas d</w:t>
      </w:r>
      <w:r>
        <w:t>e</w:t>
      </w:r>
      <w:r>
        <w:t>ficiencias.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Solicitudes de naturalización y nueva naturalización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3</w:t>
      </w:r>
    </w:p>
    <w:p w:rsidR="00000000" w:rsidRDefault="00000000">
      <w:pPr>
        <w:pStyle w:val="SingleTxt"/>
        <w:spacing w:after="0" w:line="120" w:lineRule="exact"/>
        <w:rPr>
          <w:sz w:val="10"/>
        </w:rPr>
      </w:pPr>
    </w:p>
    <w:p w:rsidR="00000000" w:rsidRDefault="00000000">
      <w:pPr>
        <w:pStyle w:val="SingleTxt"/>
      </w:pPr>
      <w:r>
        <w:t>1.</w:t>
      </w:r>
      <w:r>
        <w:tab/>
        <w:t>La autoridad de policía de extranjeros verificará las señas y el período de res</w:t>
      </w:r>
      <w:r>
        <w:t>i</w:t>
      </w:r>
      <w:r>
        <w:t>dencia en Hungría.</w:t>
      </w:r>
    </w:p>
    <w:p w:rsidR="00000000" w:rsidRDefault="00000000">
      <w:pPr>
        <w:pStyle w:val="SingleTxt"/>
      </w:pPr>
      <w:r>
        <w:t>2.</w:t>
      </w:r>
      <w:r>
        <w:tab/>
        <w:t>Podrá probarse la ausencia de antecedentes penales mediante una carta de bu</w:t>
      </w:r>
      <w:r>
        <w:t>e</w:t>
      </w:r>
      <w:r>
        <w:t>na conducta o mediante un certificado de antecedentes penales emitido por la aut</w:t>
      </w:r>
      <w:r>
        <w:t>o</w:t>
      </w:r>
      <w:r>
        <w:t>ridad competente, según el lugar de residencia en el extranjero, por solicitud esp</w:t>
      </w:r>
      <w:r>
        <w:t>e</w:t>
      </w:r>
      <w:r>
        <w:t>cial del Ministro de Interior.</w:t>
      </w:r>
    </w:p>
    <w:p w:rsidR="00000000" w:rsidRDefault="00000000">
      <w:pPr>
        <w:pStyle w:val="SingleTxt"/>
      </w:pPr>
      <w:r>
        <w:t>3.</w:t>
      </w:r>
      <w:r>
        <w:tab/>
        <w:t>Se aportarán pruebas suficientes de los medios de vida y del lugar de reside</w:t>
      </w:r>
      <w:r>
        <w:t>n</w:t>
      </w:r>
      <w:r>
        <w:t>cia, a cuyos efectos será suficiente un certificado emitido por el empleador; un cert</w:t>
      </w:r>
      <w:r>
        <w:t>i</w:t>
      </w:r>
      <w:r>
        <w:t>ficado emitido por las autoridades fiscales o del Estado o del gobierno local en el que conste que el solicitante cuenta con ingresos sujetos a impuestos; un certificado de recepción de pensión; un contrato de compra de una casa o de alquiler de un al</w:t>
      </w:r>
      <w:r>
        <w:t>o</w:t>
      </w:r>
      <w:r>
        <w:t>jamiento; y una declaración de aceptación que garantice un alojamiento o la rece</w:t>
      </w:r>
      <w:r>
        <w:t>p</w:t>
      </w:r>
      <w:r>
        <w:t>ción de apoyo.</w:t>
      </w:r>
    </w:p>
    <w:p w:rsidR="00000000" w:rsidRDefault="00000000">
      <w:pPr>
        <w:pStyle w:val="SingleTxt"/>
      </w:pPr>
      <w:r>
        <w:t>4.</w:t>
      </w:r>
      <w:r>
        <w:tab/>
        <w:t>Además de los documentos enumerados en las subsecciones 1 a 3, se adjunt</w:t>
      </w:r>
      <w:r>
        <w:t>a</w:t>
      </w:r>
      <w:r>
        <w:t>rán a la solicitud de naturalización o nueva naturalización en condiciones prefere</w:t>
      </w:r>
      <w:r>
        <w:t>n</w:t>
      </w:r>
      <w:r>
        <w:t>tes los siguientes documentos:</w:t>
      </w:r>
    </w:p>
    <w:p w:rsidR="00000000" w:rsidRDefault="00000000">
      <w:pPr>
        <w:pStyle w:val="SingleTxt"/>
      </w:pPr>
      <w:r>
        <w:tab/>
        <w:t>a)</w:t>
      </w:r>
      <w:r>
        <w:tab/>
        <w:t>Una decisión firme de la autoridad pública de tutela de Hungría en el c</w:t>
      </w:r>
      <w:r>
        <w:t>a</w:t>
      </w:r>
      <w:r>
        <w:t>so de una solicitud de naturalización basada en el párrafo c) de la subsección 2 de la sección 4 de la CA;</w:t>
      </w:r>
    </w:p>
    <w:p w:rsidR="00000000" w:rsidRDefault="00000000">
      <w:pPr>
        <w:pStyle w:val="SingleTxt"/>
      </w:pPr>
      <w:r>
        <w:tab/>
        <w:t>b)</w:t>
      </w:r>
      <w:r>
        <w:tab/>
        <w:t>Una decisión de la autoridad sobre los refugiados en el caso de una sol</w:t>
      </w:r>
      <w:r>
        <w:t>i</w:t>
      </w:r>
      <w:r>
        <w:t>citud de naturalización basada en el párrafo d) de la subsección 2 de la sección 4;</w:t>
      </w:r>
    </w:p>
    <w:p w:rsidR="00000000" w:rsidRDefault="00000000">
      <w:pPr>
        <w:pStyle w:val="SingleTxt"/>
      </w:pPr>
      <w:r>
        <w:tab/>
        <w:t>c)</w:t>
      </w:r>
      <w:r>
        <w:tab/>
        <w:t>Documentos que prueben la nacionalidad húngara del solicitante o sus ascendientes (sección 5 de la CA), o que la hagan probable, en el caso de la solicitud de naturalización o nueva naturalización basada en la subsección 3 de la sección 4 de la CA.</w:t>
      </w:r>
    </w:p>
    <w:p w:rsidR="00000000" w:rsidRDefault="00000000">
      <w:pPr>
        <w:pStyle w:val="SingleTxt"/>
      </w:pPr>
      <w:r>
        <w:t>5.</w:t>
      </w:r>
      <w:r>
        <w:tab/>
        <w:t>Al presentar una solicitud de naturalización sobre la base de los párrafos a), b) y c) de la subsección 2 de la sección 4 de la CA, se probará la nacionalidad húngara del cónyuge, del hijo menor o del padre adoptivo.</w:t>
      </w:r>
    </w:p>
    <w:p w:rsidR="00000000" w:rsidRDefault="00000000">
      <w:pPr>
        <w:pStyle w:val="SingleTxt"/>
      </w:pPr>
      <w:r>
        <w:t>6.</w:t>
      </w:r>
      <w:r>
        <w:tab/>
        <w:t>Se adjuntará un certificado que pruebe que se ha aprobado el examen de est</w:t>
      </w:r>
      <w:r>
        <w:t>u</w:t>
      </w:r>
      <w:r>
        <w:t>dios constitucionales en e caso de una solicitud de naturalización basada en las su</w:t>
      </w:r>
      <w:r>
        <w:t>b</w:t>
      </w:r>
      <w:r>
        <w:t>secci</w:t>
      </w:r>
      <w:r>
        <w:t>o</w:t>
      </w:r>
      <w:r>
        <w:t>nes 1 a 3 de la sección 4 de la 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4</w:t>
      </w:r>
    </w:p>
    <w:p w:rsidR="00000000" w:rsidRDefault="00000000">
      <w:pPr>
        <w:pStyle w:val="SingleTxt"/>
        <w:spacing w:after="0" w:line="120" w:lineRule="exact"/>
        <w:rPr>
          <w:sz w:val="10"/>
        </w:rPr>
      </w:pPr>
    </w:p>
    <w:p w:rsidR="00000000" w:rsidRDefault="00000000">
      <w:pPr>
        <w:pStyle w:val="SingleTxt"/>
      </w:pPr>
      <w:r>
        <w:tab/>
        <w:t>Tras la decisión del Presidente de la República, el Ministro del Interior remit</w:t>
      </w:r>
      <w:r>
        <w:t>i</w:t>
      </w:r>
      <w:r>
        <w:t>rá el certificado de naturalización o nueva naturalización o la notificación del rech</w:t>
      </w:r>
      <w:r>
        <w:t>a</w:t>
      </w:r>
      <w:r>
        <w:t>zo de la sol</w:t>
      </w:r>
      <w:r>
        <w:t>i</w:t>
      </w:r>
      <w:r>
        <w:t>citud al alcalde competente según el lugar de residencia del solicitante.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Renuncia a la nacionalidad húngara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6</w:t>
      </w:r>
    </w:p>
    <w:p w:rsidR="00000000" w:rsidRDefault="00000000">
      <w:pPr>
        <w:pStyle w:val="SingleTxt"/>
        <w:spacing w:after="0" w:line="120" w:lineRule="exact"/>
        <w:rPr>
          <w:sz w:val="10"/>
        </w:rPr>
      </w:pPr>
    </w:p>
    <w:p w:rsidR="00000000" w:rsidRDefault="00000000">
      <w:pPr>
        <w:pStyle w:val="SingleTxt"/>
      </w:pPr>
      <w:r>
        <w:t>1.</w:t>
      </w:r>
      <w:r>
        <w:tab/>
        <w:t>Al presentar una declaración a la renuncia a la nacionalidad húngara el solic</w:t>
      </w:r>
      <w:r>
        <w:t>i</w:t>
      </w:r>
      <w:r>
        <w:t>tante adjuntará lo siguiente:</w:t>
      </w:r>
    </w:p>
    <w:p w:rsidR="00000000" w:rsidRDefault="00000000">
      <w:pPr>
        <w:pStyle w:val="SingleTxt"/>
      </w:pPr>
      <w:r>
        <w:tab/>
        <w:t>a)</w:t>
      </w:r>
      <w:r>
        <w:tab/>
        <w:t>Certificado de nacimiento, documentos que ver</w:t>
      </w:r>
      <w:r>
        <w:t>i</w:t>
      </w:r>
      <w:r>
        <w:t>fiquen el estado civil;</w:t>
      </w:r>
    </w:p>
    <w:p w:rsidR="00000000" w:rsidRDefault="00000000">
      <w:pPr>
        <w:pStyle w:val="SingleTxt"/>
      </w:pPr>
      <w:r>
        <w:tab/>
        <w:t>b)</w:t>
      </w:r>
      <w:r>
        <w:tab/>
        <w:t>Certificado o carta certificada emitida por la autoridad extranjera co</w:t>
      </w:r>
      <w:r>
        <w:t>m</w:t>
      </w:r>
      <w:r>
        <w:t>petente a los fines de probar la nacionalidad extranjera o documentos que mue</w:t>
      </w:r>
      <w:r>
        <w:t>s</w:t>
      </w:r>
      <w:r>
        <w:t>tren que es probable la adquisición de la nacionalidad extranjera (promesa de naci</w:t>
      </w:r>
      <w:r>
        <w:t>o</w:t>
      </w:r>
      <w:r>
        <w:t>nal</w:t>
      </w:r>
      <w:r>
        <w:t>i</w:t>
      </w:r>
      <w:r>
        <w:t>dad);</w:t>
      </w:r>
    </w:p>
    <w:p w:rsidR="00000000" w:rsidRDefault="00000000">
      <w:pPr>
        <w:pStyle w:val="SingleTxt"/>
      </w:pPr>
      <w:r>
        <w:tab/>
        <w:t>c)</w:t>
      </w:r>
      <w:r>
        <w:tab/>
        <w:t>Carta certificada emitida por las autoridades fiscales del Estado o del g</w:t>
      </w:r>
      <w:r>
        <w:t>o</w:t>
      </w:r>
      <w:r>
        <w:t>bierno local competente según el último lugar de residencia en Hungría donde conste que el solicitante no tiene deudas fiscales u otro tipo de deudas públicas en Hungría.</w:t>
      </w:r>
    </w:p>
    <w:p w:rsidR="00000000" w:rsidRDefault="00000000">
      <w:pPr>
        <w:pStyle w:val="SingleTxt"/>
      </w:pPr>
      <w:r>
        <w:t>2.</w:t>
      </w:r>
      <w:r>
        <w:tab/>
        <w:t>Cuando el declarante no resida en Hungría presentará una declaración de que no tiene deudas fiscales u otro tipo de deudas públicas en Hungría.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7</w:t>
      </w:r>
    </w:p>
    <w:p w:rsidR="00000000" w:rsidRDefault="00000000">
      <w:pPr>
        <w:pStyle w:val="SingleTxt"/>
        <w:spacing w:after="0" w:line="120" w:lineRule="exact"/>
        <w:rPr>
          <w:sz w:val="10"/>
        </w:rPr>
      </w:pPr>
    </w:p>
    <w:p w:rsidR="00000000" w:rsidRDefault="00000000">
      <w:pPr>
        <w:pStyle w:val="SingleTxt"/>
      </w:pPr>
      <w:r>
        <w:tab/>
        <w:t>El Ministro del Interior comprobará ex oficio si hay algún procedimiento penal pendiente contra la persona que renuncia a su nacionalidad húngara y si ha prescrito cualquier p</w:t>
      </w:r>
      <w:r>
        <w:t>e</w:t>
      </w:r>
      <w:r>
        <w:t>na impuesta por un tribunal de Hungría.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Sección 8</w:t>
      </w:r>
    </w:p>
    <w:p w:rsidR="00000000" w:rsidRDefault="00000000">
      <w:pPr>
        <w:pStyle w:val="SingleTxt"/>
        <w:spacing w:after="0" w:line="120" w:lineRule="exact"/>
        <w:rPr>
          <w:sz w:val="10"/>
        </w:rPr>
      </w:pPr>
    </w:p>
    <w:p w:rsidR="00000000" w:rsidRDefault="00000000">
      <w:pPr>
        <w:pStyle w:val="SingleTxt"/>
      </w:pPr>
      <w:r>
        <w:t>1.</w:t>
      </w:r>
      <w:r>
        <w:tab/>
        <w:t>El Ministro del Interior enviará el documento emitido en relación con la ace</w:t>
      </w:r>
      <w:r>
        <w:t>p</w:t>
      </w:r>
      <w:r>
        <w:t>tación de la renuncia o la decisión de rechazar la solicitud al cónsul de Hungría competente, quien lo remitirá al solicitante.</w:t>
      </w:r>
    </w:p>
    <w:p w:rsidR="00000000" w:rsidRDefault="00000000">
      <w:pPr>
        <w:pStyle w:val="SingleTxt"/>
      </w:pPr>
      <w:r>
        <w:t>2.</w:t>
      </w:r>
      <w:r>
        <w:tab/>
        <w:t>Antes de la entrega del documento el cónsul retirará los documentos que pru</w:t>
      </w:r>
      <w:r>
        <w:t>e</w:t>
      </w:r>
      <w:r>
        <w:t>ben la nacionalidad húngara del solicitante.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Ley LXXXVI de 1993 sobre la entrada y la estancia en Hungría y la inmigración de extranjeros</w:t>
      </w:r>
    </w:p>
    <w:p w:rsidR="00000000" w:rsidRDefault="00000000">
      <w:pPr>
        <w:pStyle w:val="SingleTxt"/>
      </w:pPr>
      <w:r>
        <w:t>Decreto del Gobierno No. 64/1994 (IV.30.) Korm. sobre la aplicación de la Ley LXXXVI de 1993 sobre la entrada y la estancia en Hungría y la inmigración de e</w:t>
      </w:r>
      <w:r>
        <w:t>x</w:t>
      </w:r>
      <w:r>
        <w:t>tranjeros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Ley LXXXVI de 1993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sobre la entrada y la estancia en Hungría y la inmigración de extranjeros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3</w:t>
      </w:r>
    </w:p>
    <w:p w:rsidR="00000000" w:rsidRDefault="00000000">
      <w:pPr>
        <w:pStyle w:val="SingleTxt"/>
        <w:spacing w:after="0" w:line="120" w:lineRule="exact"/>
        <w:rPr>
          <w:sz w:val="10"/>
        </w:rPr>
      </w:pPr>
    </w:p>
    <w:p w:rsidR="00000000" w:rsidRDefault="00000000">
      <w:pPr>
        <w:pStyle w:val="SingleTxt"/>
      </w:pPr>
      <w:r>
        <w:t>1.</w:t>
      </w:r>
      <w:r>
        <w:tab/>
        <w:t>La entrada, estancia, salida e inmigración de ciudadanos extranjeros sólo podrá restringirse en virtud de las disposiciones establecidas en la presente Ley. Los ci</w:t>
      </w:r>
      <w:r>
        <w:t>u</w:t>
      </w:r>
      <w:r>
        <w:t>dadanos extranjeros que se encuentren legalmente en la República de Hungría te</w:t>
      </w:r>
      <w:r>
        <w:t>n</w:t>
      </w:r>
      <w:r>
        <w:t>drán derecho de libertad de movimiento, derecho a elegir su residencia y derecho a viajar, en el marco establecido por la presente Ley.</w:t>
      </w:r>
    </w:p>
    <w:p w:rsidR="00000000" w:rsidRDefault="00000000">
      <w:pPr>
        <w:pStyle w:val="SingleTxt"/>
      </w:pPr>
      <w:r>
        <w:t>2.</w:t>
      </w:r>
      <w:r>
        <w:tab/>
        <w:t>Mientras se encuentren en Hungría, los ciudadanos extranjeros respetarán el orden constitucional de la República de Hungría, respetarán sus leyes y cumplirán las medidas dictadas por sus autoridades.</w:t>
      </w:r>
    </w:p>
    <w:p w:rsidR="00000000" w:rsidRDefault="00000000">
      <w:pPr>
        <w:pStyle w:val="SingleTxt"/>
      </w:pPr>
      <w:r>
        <w:t>3.</w:t>
      </w:r>
      <w:r>
        <w:tab/>
        <w:t>Los ciudadanos extranjeros presentarán los documentos, datos y certificados enumerados en la presente Ley que sean necesarios a los agentes de las autoridades de Hu</w:t>
      </w:r>
      <w:r>
        <w:t>n</w:t>
      </w:r>
      <w:r>
        <w:t>gría.</w:t>
      </w:r>
    </w:p>
    <w:p w:rsidR="00000000" w:rsidRDefault="00000000">
      <w:pPr>
        <w:pStyle w:val="SingleTxt"/>
      </w:pPr>
      <w:r>
        <w:t>4.</w:t>
      </w:r>
      <w:r>
        <w:tab/>
        <w:t>En el curso de sus actuaciones, las autoridades de Hungría informarán a los ciudadanos extranjeros de sus derechos y obligaciones establecidas en la presente Ley, en particular de su derecho a acudir a los tribunales y a reclamar indemnizaci</w:t>
      </w:r>
      <w:r>
        <w:t>o</w:t>
      </w:r>
      <w:r>
        <w:t>nes y de la forma de hacer valor sus der</w:t>
      </w:r>
      <w:r>
        <w:t>e</w:t>
      </w:r>
      <w:r>
        <w:t>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Permisos de inmigración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17</w:t>
      </w:r>
    </w:p>
    <w:p w:rsidR="00000000" w:rsidRDefault="00000000">
      <w:pPr>
        <w:pStyle w:val="SingleTxt"/>
        <w:spacing w:after="0" w:line="120" w:lineRule="exact"/>
        <w:rPr>
          <w:sz w:val="10"/>
        </w:rPr>
      </w:pPr>
    </w:p>
    <w:p w:rsidR="00000000" w:rsidRDefault="00000000">
      <w:pPr>
        <w:pStyle w:val="SingleTxt"/>
      </w:pPr>
      <w:r>
        <w:t>1.</w:t>
      </w:r>
      <w:r>
        <w:tab/>
        <w:t>Los solicitantes de permisos de inmigración deberán satisfacer las siguientes condiciones:</w:t>
      </w:r>
    </w:p>
    <w:p w:rsidR="00000000" w:rsidRDefault="00000000">
      <w:pPr>
        <w:pStyle w:val="SingleTxt"/>
      </w:pPr>
      <w:r>
        <w:tab/>
        <w:t>a)</w:t>
      </w:r>
      <w:r>
        <w:tab/>
        <w:t>Deberán haber vivido legal y continuamente en Hungría durante al menos tres años desde la fecha de e</w:t>
      </w:r>
      <w:r>
        <w:t>n</w:t>
      </w:r>
      <w:r>
        <w:t>trada;</w:t>
      </w:r>
    </w:p>
    <w:p w:rsidR="00000000" w:rsidRDefault="00000000">
      <w:pPr>
        <w:pStyle w:val="SingleTxt"/>
      </w:pPr>
      <w:r>
        <w:tab/>
        <w:t>b)</w:t>
      </w:r>
      <w:r>
        <w:tab/>
        <w:t>Deberán tener garantizado un lugar de residencia y medios de vida en Hungría; y</w:t>
      </w:r>
    </w:p>
    <w:p w:rsidR="00000000" w:rsidRDefault="00000000">
      <w:pPr>
        <w:pStyle w:val="SingleTxt"/>
      </w:pPr>
      <w:r>
        <w:tab/>
        <w:t>c)</w:t>
      </w:r>
      <w:r>
        <w:tab/>
        <w:t>Deben estar exentos de cualquier motivo de exclusión establecido en la presente Ley.</w:t>
      </w:r>
    </w:p>
    <w:p w:rsidR="00000000" w:rsidRDefault="00000000">
      <w:pPr>
        <w:pStyle w:val="SingleTxt"/>
      </w:pPr>
      <w:r>
        <w:t>2.</w:t>
      </w:r>
      <w:r>
        <w:tab/>
        <w:t>A los fines de lo dispuesto en el párrafo a) de la subsección 1, no se consider</w:t>
      </w:r>
      <w:r>
        <w:t>a</w:t>
      </w:r>
      <w:r>
        <w:t>rá como interrupción de la estancia el abandono del país durante no más de 45 días al año.</w:t>
      </w:r>
    </w:p>
    <w:p w:rsidR="00000000" w:rsidRDefault="00000000">
      <w:pPr>
        <w:pStyle w:val="SingleTxt"/>
      </w:pPr>
      <w:r>
        <w:t>3.</w:t>
      </w:r>
      <w:r>
        <w:tab/>
        <w:t>La solicitud de inmigración que claramente no cumpla las condiciones pre</w:t>
      </w:r>
      <w:r>
        <w:t>s</w:t>
      </w:r>
      <w:r>
        <w:t>critas en los párrafos a) y b) de la su</w:t>
      </w:r>
      <w:r>
        <w:t>b</w:t>
      </w:r>
      <w:r>
        <w:t>sección 1 se rechazará sin investigación.</w:t>
      </w:r>
    </w:p>
    <w:p w:rsidR="00000000" w:rsidRDefault="00000000">
      <w:pPr>
        <w:pStyle w:val="SingleTxt"/>
      </w:pPr>
      <w:r>
        <w:t>4.</w:t>
      </w:r>
      <w:r>
        <w:tab/>
        <w:t>Podrá concederse una exención de las condiciones enumeradas en el párrafo a) de la subsección 1 a los ciud</w:t>
      </w:r>
      <w:r>
        <w:t>a</w:t>
      </w:r>
      <w:r>
        <w:t>danos extranjeros</w:t>
      </w:r>
    </w:p>
    <w:p w:rsidR="00000000" w:rsidRDefault="00000000">
      <w:pPr>
        <w:pStyle w:val="SingleTxt"/>
      </w:pPr>
      <w:r>
        <w:tab/>
        <w:t>a)</w:t>
      </w:r>
      <w:r>
        <w:tab/>
        <w:t>Que soliciten la inmigración como miembros de una familia, a los fines de la reagrupación familiar; o</w:t>
      </w:r>
    </w:p>
    <w:p w:rsidR="00000000" w:rsidRDefault="00000000">
      <w:pPr>
        <w:pStyle w:val="SingleTxt"/>
      </w:pPr>
      <w:r>
        <w:tab/>
        <w:t>b)</w:t>
      </w:r>
      <w:r>
        <w:tab/>
        <w:t>Que fuesen anteriormente ciudadanos húngaros que perdieron la naci</w:t>
      </w:r>
      <w:r>
        <w:t>o</w:t>
      </w:r>
      <w:r>
        <w:t>nalidad, o cuyos ascendientes inm</w:t>
      </w:r>
      <w:r>
        <w:t>e</w:t>
      </w:r>
      <w:r>
        <w:t>diatos sean ciudadanos húngaros.</w:t>
      </w:r>
    </w:p>
    <w:p w:rsidR="00000000" w:rsidRDefault="00000000">
      <w:pPr>
        <w:pStyle w:val="SingleTxt"/>
      </w:pPr>
      <w:r>
        <w:t>5.</w:t>
      </w:r>
      <w:r>
        <w:tab/>
        <w:t>A los fines de lo dispuesto en el párrafo a) de la subsección 4, se considerarán miembros de una familia los s</w:t>
      </w:r>
      <w:r>
        <w:t>i</w:t>
      </w:r>
      <w:r>
        <w:t>guientes:</w:t>
      </w:r>
    </w:p>
    <w:p w:rsidR="00000000" w:rsidRDefault="00000000">
      <w:pPr>
        <w:pStyle w:val="SingleTxt"/>
      </w:pPr>
      <w:r>
        <w:tab/>
        <w:t>a)</w:t>
      </w:r>
      <w:r>
        <w:tab/>
        <w:t>Cónyuges;</w:t>
      </w:r>
    </w:p>
    <w:p w:rsidR="00000000" w:rsidRDefault="00000000">
      <w:pPr>
        <w:pStyle w:val="SingleTxt"/>
      </w:pPr>
      <w:r>
        <w:tab/>
        <w:t>b)</w:t>
      </w:r>
      <w:r>
        <w:tab/>
        <w:t>Hijos menores de edad;</w:t>
      </w:r>
    </w:p>
    <w:p w:rsidR="00000000" w:rsidRDefault="00000000">
      <w:pPr>
        <w:pStyle w:val="SingleTxt"/>
      </w:pPr>
      <w:r>
        <w:tab/>
        <w:t>c)</w:t>
      </w:r>
      <w:r>
        <w:tab/>
        <w:t>Padres y abuelos que vivan como dependientes en el mismo hogar;</w:t>
      </w:r>
    </w:p>
    <w:p w:rsidR="00000000" w:rsidRDefault="00000000">
      <w:pPr>
        <w:pStyle w:val="SingleTxt"/>
      </w:pPr>
      <w:r>
        <w:tab/>
        <w:t>d)</w:t>
      </w:r>
      <w:r>
        <w:tab/>
        <w:t>Hijos mayores de edad que vivan como depe</w:t>
      </w:r>
      <w:r>
        <w:t>n</w:t>
      </w:r>
      <w:r>
        <w:t>dientes en el mismo hogar.</w:t>
      </w:r>
    </w:p>
    <w:p w:rsidR="00000000" w:rsidRDefault="00000000">
      <w:pPr>
        <w:pStyle w:val="SingleTxt"/>
      </w:pPr>
      <w:r>
        <w:t>6.</w:t>
      </w:r>
      <w:r>
        <w:tab/>
        <w:t>En la normativa jurídica o en los tratados internacionales podrán encontrarse circunstancias adicionales en relación con la tramitación favorable de un solicitud de inmigr</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18</w:t>
      </w:r>
    </w:p>
    <w:p w:rsidR="00000000" w:rsidRDefault="00000000">
      <w:pPr>
        <w:pStyle w:val="SingleTxt"/>
        <w:spacing w:after="0" w:line="120" w:lineRule="exact"/>
        <w:rPr>
          <w:sz w:val="10"/>
        </w:rPr>
      </w:pPr>
    </w:p>
    <w:p w:rsidR="00000000" w:rsidRDefault="00000000">
      <w:pPr>
        <w:pStyle w:val="SingleTxt"/>
      </w:pPr>
      <w:r>
        <w:t>1.</w:t>
      </w:r>
      <w:r>
        <w:tab/>
        <w:t>La solicitud de inmigración podrá presentarse rellenando el formulario pre</w:t>
      </w:r>
      <w:r>
        <w:t>s</w:t>
      </w:r>
      <w:r>
        <w:t>crito en persona o, en el caso de solicitudes conjuntas, por un miembro de la familia mayor de edad (subsección 5 de la sección 17) en la oficina de administración públ</w:t>
      </w:r>
      <w:r>
        <w:t>i</w:t>
      </w:r>
      <w:r>
        <w:t>ca del condado o de Budapest (en lo sucesivo denominada la “Oficina de Admini</w:t>
      </w:r>
      <w:r>
        <w:t>s</w:t>
      </w:r>
      <w:r>
        <w:t>tración Pública”) competente según el futuro lugar de residencia en Hungría, o en la representación extranjera húngara en el lugar de residencia permanente o habitual del solicitante.</w:t>
      </w:r>
    </w:p>
    <w:p w:rsidR="00000000" w:rsidRDefault="00000000">
      <w:pPr>
        <w:pStyle w:val="SingleTxt"/>
      </w:pPr>
      <w:r>
        <w:t>2.</w:t>
      </w:r>
      <w:r>
        <w:tab/>
        <w:t>La tasa por el procedimiento de inmigración se hará efectiva al presentar la solicitud de inmigración.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19</w:t>
      </w:r>
    </w:p>
    <w:p w:rsidR="00000000" w:rsidRDefault="00000000">
      <w:pPr>
        <w:pStyle w:val="SingleTxt"/>
        <w:spacing w:after="0" w:line="120" w:lineRule="exact"/>
        <w:rPr>
          <w:sz w:val="10"/>
        </w:rPr>
      </w:pPr>
    </w:p>
    <w:p w:rsidR="00000000" w:rsidRDefault="00000000">
      <w:pPr>
        <w:pStyle w:val="SingleTxt"/>
      </w:pPr>
      <w:r>
        <w:t>1.</w:t>
      </w:r>
      <w:r>
        <w:tab/>
        <w:t>Se adjuntará a la solicitud de inmigración la siguiente documentación:</w:t>
      </w:r>
    </w:p>
    <w:p w:rsidR="00000000" w:rsidRDefault="00000000">
      <w:pPr>
        <w:pStyle w:val="SingleTxt"/>
      </w:pPr>
      <w:r>
        <w:tab/>
        <w:t>a)</w:t>
      </w:r>
      <w:r>
        <w:tab/>
        <w:t>Documentos que acrediten los datos personales de identificación y la n</w:t>
      </w:r>
      <w:r>
        <w:t>a</w:t>
      </w:r>
      <w:r>
        <w:t>cionalidad (condición de apátrida);</w:t>
      </w:r>
    </w:p>
    <w:p w:rsidR="00000000" w:rsidRDefault="00000000">
      <w:pPr>
        <w:pStyle w:val="SingleTxt"/>
      </w:pPr>
      <w:r>
        <w:tab/>
        <w:t>b)</w:t>
      </w:r>
      <w:r>
        <w:tab/>
        <w:t>Certificado de nacimiento, certificado de matrimonio en su caso, certif</w:t>
      </w:r>
      <w:r>
        <w:t>i</w:t>
      </w:r>
      <w:r>
        <w:t>cado de divorcio en su caso, un documento notarizado en virtud de la legislación del solicitante menor de edad en el que se certifique que no hay obstáculos legales para que esa persona se establezca en el e</w:t>
      </w:r>
      <w:r>
        <w:t>x</w:t>
      </w:r>
      <w:r>
        <w:t>tranjero;</w:t>
      </w:r>
    </w:p>
    <w:p w:rsidR="00000000" w:rsidRDefault="00000000">
      <w:pPr>
        <w:pStyle w:val="SingleTxt"/>
        <w:rPr>
          <w:w w:val="100"/>
        </w:rPr>
      </w:pPr>
      <w:r>
        <w:rPr>
          <w:w w:val="100"/>
        </w:rPr>
        <w:tab/>
        <w:t>c)</w:t>
      </w:r>
      <w:r>
        <w:rPr>
          <w:w w:val="100"/>
        </w:rPr>
        <w:tab/>
        <w:t>Un documento en el que se certifique que el solicitante no tiene antec</w:t>
      </w:r>
      <w:r>
        <w:rPr>
          <w:w w:val="100"/>
        </w:rPr>
        <w:t>e</w:t>
      </w:r>
      <w:r>
        <w:rPr>
          <w:w w:val="100"/>
        </w:rPr>
        <w:t>dentes penales, que habrá de haber sido emitido con menos de seis meses de antelación por la autoridad competente según el lugar de residencia del ciudadano extranj</w:t>
      </w:r>
      <w:r>
        <w:rPr>
          <w:w w:val="100"/>
        </w:rPr>
        <w:t>e</w:t>
      </w:r>
      <w:r>
        <w:rPr>
          <w:w w:val="100"/>
        </w:rPr>
        <w:t>ro;</w:t>
      </w:r>
    </w:p>
    <w:p w:rsidR="00000000" w:rsidRDefault="00000000">
      <w:pPr>
        <w:pStyle w:val="SingleTxt"/>
      </w:pPr>
      <w:r>
        <w:tab/>
        <w:t>d)</w:t>
      </w:r>
      <w:r>
        <w:tab/>
        <w:t>Un certificado médico oficial emitido con menos de tres meses de ant</w:t>
      </w:r>
      <w:r>
        <w:t>e</w:t>
      </w:r>
      <w:r>
        <w:t>rioridad en el que se acredite que el ciudadano extranjero no padece ninguna enfe</w:t>
      </w:r>
      <w:r>
        <w:t>r</w:t>
      </w:r>
      <w:r>
        <w:t>medad que represente un posible riesgo para la salud pública;</w:t>
      </w:r>
    </w:p>
    <w:p w:rsidR="00000000" w:rsidRDefault="00000000">
      <w:pPr>
        <w:pStyle w:val="SingleTxt"/>
      </w:pPr>
      <w:r>
        <w:tab/>
        <w:t>e)</w:t>
      </w:r>
      <w:r>
        <w:tab/>
        <w:t>Documentos en los que se certifique la educación y/o las cualificaciones profesionales;</w:t>
      </w:r>
    </w:p>
    <w:p w:rsidR="00000000" w:rsidRDefault="00000000">
      <w:pPr>
        <w:pStyle w:val="SingleTxt"/>
      </w:pPr>
      <w:r>
        <w:tab/>
        <w:t>f)</w:t>
      </w:r>
      <w:r>
        <w:tab/>
        <w:t>Documentos en los que se acredite la residencia y los medios de vida del ciudadano extranjero en Hungría.</w:t>
      </w:r>
    </w:p>
    <w:p w:rsidR="00000000" w:rsidRDefault="00000000">
      <w:pPr>
        <w:pStyle w:val="SingleTxt"/>
      </w:pPr>
      <w:r>
        <w:t>2.</w:t>
      </w:r>
      <w:r>
        <w:tab/>
        <w:t>Podrán adjuntarse también copias certificadas por la autoridad extranjera co</w:t>
      </w:r>
      <w:r>
        <w:t>m</w:t>
      </w:r>
      <w:r>
        <w:t>petente en lugar de los originales de los documentos enumerados en la subsección 1. Tras prestar una declaración, podrá eximirse al solicitante de las obligaciones de</w:t>
      </w:r>
      <w:r>
        <w:t>s</w:t>
      </w:r>
      <w:r>
        <w:t>critas en los párrafos b) y c) de la subsección 1. Los documentos y certificados, o sus copias, emitidos por la autoridad extranjera se adjuntarán con sus traducciones oficiales al idioma húngaro.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22</w:t>
      </w:r>
    </w:p>
    <w:p w:rsidR="00000000" w:rsidRDefault="00000000">
      <w:pPr>
        <w:pStyle w:val="SingleTxt"/>
        <w:spacing w:after="0" w:line="120" w:lineRule="exact"/>
        <w:rPr>
          <w:sz w:val="10"/>
        </w:rPr>
      </w:pPr>
    </w:p>
    <w:p w:rsidR="00000000" w:rsidRDefault="00000000">
      <w:pPr>
        <w:pStyle w:val="SingleTxt"/>
      </w:pPr>
      <w:r>
        <w:t>1.</w:t>
      </w:r>
      <w:r>
        <w:tab/>
        <w:t>No se concederá el permiso de inmigración a un ci</w:t>
      </w:r>
      <w:r>
        <w:t>u</w:t>
      </w:r>
      <w:r>
        <w:t>dadano extranjero</w:t>
      </w:r>
    </w:p>
    <w:p w:rsidR="00000000" w:rsidRDefault="00000000">
      <w:pPr>
        <w:pStyle w:val="SingleTxt"/>
      </w:pPr>
      <w:r>
        <w:tab/>
        <w:t>a)</w:t>
      </w:r>
      <w:r>
        <w:tab/>
        <w:t>A quien se le haya prohibido la entrada y la e</w:t>
      </w:r>
      <w:r>
        <w:t>s</w:t>
      </w:r>
      <w:r>
        <w:t>tancia en el país; o</w:t>
      </w:r>
    </w:p>
    <w:p w:rsidR="00000000" w:rsidRDefault="00000000">
      <w:pPr>
        <w:pStyle w:val="SingleTxt"/>
      </w:pPr>
      <w:r>
        <w:tab/>
        <w:t>b)</w:t>
      </w:r>
      <w:r>
        <w:tab/>
        <w:t>Que no tenga garantizados su residencia o sus medios de vida en Hu</w:t>
      </w:r>
      <w:r>
        <w:t>n</w:t>
      </w:r>
      <w:r>
        <w:t>gría; o</w:t>
      </w:r>
    </w:p>
    <w:p w:rsidR="00000000" w:rsidRDefault="00000000">
      <w:pPr>
        <w:pStyle w:val="SingleTxt"/>
        <w:rPr>
          <w:w w:val="100"/>
        </w:rPr>
      </w:pPr>
      <w:r>
        <w:rPr>
          <w:w w:val="100"/>
        </w:rPr>
        <w:tab/>
        <w:t>c)</w:t>
      </w:r>
      <w:r>
        <w:rPr>
          <w:w w:val="100"/>
        </w:rPr>
        <w:tab/>
        <w:t>Cuya integración en la sociedad húngara no sea probable por otras raz</w:t>
      </w:r>
      <w:r>
        <w:rPr>
          <w:w w:val="100"/>
        </w:rPr>
        <w:t>o</w:t>
      </w:r>
      <w:r>
        <w:rPr>
          <w:w w:val="100"/>
        </w:rPr>
        <w:t>nes.</w:t>
      </w:r>
    </w:p>
    <w:p w:rsidR="00000000" w:rsidRDefault="00000000">
      <w:pPr>
        <w:pStyle w:val="SingleTxt"/>
        <w:rPr>
          <w:w w:val="101"/>
        </w:rPr>
      </w:pPr>
      <w:r>
        <w:rPr>
          <w:w w:val="101"/>
        </w:rPr>
        <w:t>2.</w:t>
      </w:r>
      <w:r>
        <w:rPr>
          <w:w w:val="101"/>
        </w:rPr>
        <w:tab/>
        <w:t>Se considerará que los medios de vida de un ciudadano extranjero están garant</w:t>
      </w:r>
      <w:r>
        <w:rPr>
          <w:w w:val="101"/>
        </w:rPr>
        <w:t>i</w:t>
      </w:r>
      <w:r>
        <w:rPr>
          <w:w w:val="101"/>
        </w:rPr>
        <w:t>zados si esa persona cuenta con ingresos o recursos financieros disponibles suficientes para mantenerse a sí mismo y a los miembros de su familia que pretendan inmigrar y tengan derecho y necesidad de manutención, o si esa persona tiene un pariente res</w:t>
      </w:r>
      <w:r>
        <w:rPr>
          <w:w w:val="101"/>
        </w:rPr>
        <w:t>i</w:t>
      </w:r>
      <w:r>
        <w:rPr>
          <w:w w:val="101"/>
        </w:rPr>
        <w:t>dente en Hungría que pueda estar obligado por le ley de Hungría a mant</w:t>
      </w:r>
      <w:r>
        <w:rPr>
          <w:w w:val="101"/>
        </w:rPr>
        <w:t>e</w:t>
      </w:r>
      <w:r>
        <w:rPr>
          <w:w w:val="101"/>
        </w:rPr>
        <w:t>nerlo.</w:t>
      </w:r>
    </w:p>
    <w:p w:rsidR="00000000" w:rsidRDefault="00000000">
      <w:pPr>
        <w:pStyle w:val="SingleTxt"/>
      </w:pPr>
      <w:r>
        <w:t>3.</w:t>
      </w:r>
      <w:r>
        <w:tab/>
        <w:t>Se considerará que la residencia de un ciudadano extranjero no está garantiz</w:t>
      </w:r>
      <w:r>
        <w:t>a</w:t>
      </w:r>
      <w:r>
        <w:t>da si el espacio disponible en la futura residencia indicada por dicho ciudadano e</w:t>
      </w:r>
      <w:r>
        <w:t>x</w:t>
      </w:r>
      <w:r>
        <w:t>tranjero es de menos de 6 metros cuadrados por persona. Los solicitantes enumer</w:t>
      </w:r>
      <w:r>
        <w:t>a</w:t>
      </w:r>
      <w:r>
        <w:t>dos en la subsección 4 de la sección 17 podrán estar exentos del cumplimiento de esa condición.</w:t>
      </w:r>
    </w:p>
    <w:p w:rsidR="00000000" w:rsidRDefault="00000000">
      <w:pPr>
        <w:pStyle w:val="SingleTxt"/>
      </w:pPr>
      <w:r>
        <w:t>4.</w:t>
      </w:r>
      <w:r>
        <w:tab/>
        <w:t>De conformidad con la disposición de no discriminación, la raza, color, sexo, lengua, religión, afiliación política o de otra naturaleza, el origen nacional o social, o el nacimiento de un ciudadano extranjero no se considerarán obstáculos para su integración en la sociedad húngara según lo establecido en el párrafo c) de la su</w:t>
      </w:r>
      <w:r>
        <w:t>b</w:t>
      </w:r>
      <w:r>
        <w:t>sección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Decreto del Gobierno No. 64/1994 (IV.30.) Korm.</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relativo a la aplicación de la ley LXXXVI de 1993 sobre la entrada y la estancia en Hungría y la inmigración de extranjeros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Carta de invitación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2</w:t>
      </w:r>
    </w:p>
    <w:p w:rsidR="00000000" w:rsidRDefault="00000000">
      <w:pPr>
        <w:pStyle w:val="SingleTxt"/>
        <w:spacing w:after="0" w:line="120" w:lineRule="exact"/>
        <w:rPr>
          <w:sz w:val="10"/>
        </w:rPr>
      </w:pPr>
    </w:p>
    <w:p w:rsidR="00000000" w:rsidRDefault="00000000">
      <w:pPr>
        <w:pStyle w:val="SingleTxt"/>
      </w:pPr>
      <w:r>
        <w:t>1.</w:t>
      </w:r>
      <w:r>
        <w:tab/>
        <w:t>La cobertura financiera de la entrada y la estancia podrá verificarse también por una carta de invitación válida con el contenido definido en el presente decreto, a la entrada y en las actuaciones relacionadas con el visado, la extensión del período de estancia que figure en el visado y el permiso de residencia.</w:t>
      </w:r>
    </w:p>
    <w:p w:rsidR="00000000" w:rsidRDefault="00000000">
      <w:pPr>
        <w:pStyle w:val="SingleTxt"/>
      </w:pPr>
      <w:r>
        <w:t>2.</w:t>
      </w:r>
      <w:r>
        <w:tab/>
        <w:t>La carta de invitación contendrá los datos personales de identidad de la parte que extinda la invitación, las señas de su residencia, el lugar de estancia, la nacion</w:t>
      </w:r>
      <w:r>
        <w:t>a</w:t>
      </w:r>
      <w:r>
        <w:t>lidad o la condición de apátridas de los extranjeros con permisos de residencia a</w:t>
      </w:r>
      <w:r>
        <w:t>m</w:t>
      </w:r>
      <w:r>
        <w:t>pliados, el nombre y las señas de personas jurídicas y organizaciones no registradas (en lo sucesivo denominadas conjuntamente “entidad legal”), el objeto de la invit</w:t>
      </w:r>
      <w:r>
        <w:t>a</w:t>
      </w:r>
      <w:r>
        <w:t>ción, los datos personales de identidad, la nacionalidad o la condición de apátrida del ciudadano extranjero invitado, las señas de su residencia y el nombre de sus h</w:t>
      </w:r>
      <w:r>
        <w:t>i</w:t>
      </w:r>
      <w:r>
        <w:t>jos menores de edad que viajen juntos, el contenido y la duración de la aceptación de la obligación, las señas del alojamiento previsto del ciudadano extranjero, el permiso de la sede de la policía en calidad de autoridad competente y el período de val</w:t>
      </w:r>
      <w:r>
        <w:t>i</w:t>
      </w:r>
      <w:r>
        <w:t>dez de la carta de invitación.</w:t>
      </w:r>
    </w:p>
    <w:p w:rsidR="00000000" w:rsidRDefault="00000000">
      <w:pPr>
        <w:pStyle w:val="SingleTxt"/>
      </w:pPr>
      <w:r>
        <w:t>3.</w:t>
      </w:r>
      <w:r>
        <w:tab/>
        <w:t>La cobertura financiera de la estancia podrá verificarse también mediante una carta de invitación en el caso de un viaje de un grupo de extranjeros sobre la base de una invitación de una entidad legal (visita escolar, vacaciones de niños, invitación de grupos de artistas, etc.). En ese caso, la autoridad de policía de extranjeros a</w:t>
      </w:r>
      <w:r>
        <w:t>d</w:t>
      </w:r>
      <w:r>
        <w:t>juntará a la carta de invitación en una lista separada los datos de identificación pe</w:t>
      </w:r>
      <w:r>
        <w:t>r</w:t>
      </w:r>
      <w:r>
        <w:t>sonal, la nacionalidad y el lugar de residencia de las pe</w:t>
      </w:r>
      <w:r>
        <w:t>r</w:t>
      </w:r>
      <w:r>
        <w:t>sonas invitadas.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Tipos de visados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Sección 7</w:t>
      </w:r>
    </w:p>
    <w:p w:rsidR="00000000" w:rsidRDefault="00000000">
      <w:pPr>
        <w:pStyle w:val="SingleTxt"/>
        <w:spacing w:after="0" w:line="120" w:lineRule="exact"/>
        <w:rPr>
          <w:sz w:val="10"/>
        </w:rPr>
      </w:pPr>
    </w:p>
    <w:p w:rsidR="00000000" w:rsidRDefault="00000000">
      <w:pPr>
        <w:pStyle w:val="SingleTxt"/>
      </w:pPr>
      <w:r>
        <w:t>1.</w:t>
      </w:r>
      <w:r>
        <w:tab/>
        <w:t>Los visados podrán emitirse con fines de viajes oficiales o privados, así como de inmigración.</w:t>
      </w:r>
    </w:p>
    <w:p w:rsidR="00000000" w:rsidRDefault="00000000">
      <w:pPr>
        <w:pStyle w:val="SingleTxt"/>
      </w:pPr>
      <w:r>
        <w:t>2.</w:t>
      </w:r>
      <w:r>
        <w:tab/>
        <w:t xml:space="preserve">Podrá emitirse un visado oficial </w:t>
      </w:r>
    </w:p>
    <w:p w:rsidR="00000000" w:rsidRDefault="00000000">
      <w:pPr>
        <w:pStyle w:val="SingleTxt"/>
      </w:pPr>
      <w:r>
        <w:tab/>
        <w:t>a)</w:t>
      </w:r>
      <w:r>
        <w:tab/>
        <w:t>Para el viaje de personas que gocen de prerrogativas e inmunidades bas</w:t>
      </w:r>
      <w:r>
        <w:t>a</w:t>
      </w:r>
      <w:r>
        <w:t>das en su condición de diplomáticos o en el derecho internacional y los miembros de su f</w:t>
      </w:r>
      <w:r>
        <w:t>a</w:t>
      </w:r>
      <w:r>
        <w:t>milia;</w:t>
      </w:r>
    </w:p>
    <w:p w:rsidR="00000000" w:rsidRDefault="00000000">
      <w:pPr>
        <w:pStyle w:val="SingleTxt"/>
      </w:pPr>
      <w:r>
        <w:tab/>
        <w:t>b)</w:t>
      </w:r>
      <w:r>
        <w:tab/>
        <w:t>Para el viaje de miembros de una delegación oficial de Estados y órganos estatales extranjeros;</w:t>
      </w:r>
    </w:p>
    <w:p w:rsidR="00000000" w:rsidRDefault="00000000">
      <w:pPr>
        <w:pStyle w:val="SingleTxt"/>
      </w:pPr>
      <w:r>
        <w:tab/>
        <w:t>c)</w:t>
      </w:r>
      <w:r>
        <w:tab/>
        <w:t>Para el viaje de personas invitadas asistir a acontecimientos políticos, científicos, económicos, culturales o deportivos de excepcional importancia;</w:t>
      </w:r>
    </w:p>
    <w:p w:rsidR="00000000" w:rsidRDefault="00000000">
      <w:pPr>
        <w:pStyle w:val="SingleTxt"/>
      </w:pPr>
      <w:r>
        <w:tab/>
        <w:t>d)</w:t>
      </w:r>
      <w:r>
        <w:tab/>
        <w:t>Para corresponsales de prensa, y</w:t>
      </w:r>
    </w:p>
    <w:p w:rsidR="00000000" w:rsidRDefault="00000000">
      <w:pPr>
        <w:pStyle w:val="SingleTxt"/>
      </w:pPr>
      <w:r>
        <w:tab/>
        <w:t>e)</w:t>
      </w:r>
      <w:r>
        <w:tab/>
        <w:t>Para personas que lleguen a Hungría con fines de formación educativa, científica, de capacitación y de extensión en el marco de un convenio internacional o de cooperación cultural, educativa, científica e internacional, o programas interg</w:t>
      </w:r>
      <w:r>
        <w:t>u</w:t>
      </w:r>
      <w:r>
        <w:t>bernamentales de ayuda, además, de al personal de las instituciones científicas, ed</w:t>
      </w:r>
      <w:r>
        <w:t>u</w:t>
      </w:r>
      <w:r>
        <w:t>cativas o culturales que funcionen en Hungría sobre la base de los convenios inte</w:t>
      </w:r>
      <w:r>
        <w:t>r</w:t>
      </w:r>
      <w:r>
        <w:t>nacionales, y a las personas que entren dentro del ámbito de las actividades de esas inst</w:t>
      </w:r>
      <w:r>
        <w:t>i</w:t>
      </w:r>
      <w:r>
        <w:t>tuciones.</w:t>
      </w:r>
    </w:p>
    <w:p w:rsidR="00000000" w:rsidRDefault="00000000">
      <w:pPr>
        <w:pStyle w:val="SingleTxt"/>
      </w:pPr>
      <w:r>
        <w:t>3.</w:t>
      </w:r>
      <w:r>
        <w:tab/>
        <w:t>Con el fin de viajes privados, podrán emitirse, dependiendo del objeto de la entrada y la duración de la estancia, los siguientes visados:</w:t>
      </w:r>
    </w:p>
    <w:p w:rsidR="00000000" w:rsidRDefault="00000000">
      <w:pPr>
        <w:pStyle w:val="SingleTxt"/>
      </w:pPr>
      <w:r>
        <w:tab/>
        <w:t>a)</w:t>
      </w:r>
      <w:r>
        <w:tab/>
        <w:t>Visado de turista;</w:t>
      </w:r>
    </w:p>
    <w:p w:rsidR="00000000" w:rsidRDefault="00000000">
      <w:pPr>
        <w:pStyle w:val="SingleTxt"/>
      </w:pPr>
      <w:r>
        <w:tab/>
        <w:t>b)</w:t>
      </w:r>
      <w:r>
        <w:tab/>
        <w:t>Visado de visitante;</w:t>
      </w:r>
    </w:p>
    <w:p w:rsidR="00000000" w:rsidRDefault="00000000">
      <w:pPr>
        <w:pStyle w:val="SingleTxt"/>
      </w:pPr>
      <w:r>
        <w:tab/>
        <w:t>c)</w:t>
      </w:r>
      <w:r>
        <w:tab/>
        <w:t>Visado de negocios;</w:t>
      </w:r>
    </w:p>
    <w:p w:rsidR="00000000" w:rsidRDefault="00000000">
      <w:pPr>
        <w:pStyle w:val="SingleTxt"/>
      </w:pPr>
      <w:r>
        <w:tab/>
        <w:t>d)</w:t>
      </w:r>
      <w:r>
        <w:tab/>
        <w:t>Visado de empleo;</w:t>
      </w:r>
    </w:p>
    <w:p w:rsidR="00000000" w:rsidRDefault="00000000">
      <w:pPr>
        <w:pStyle w:val="SingleTxt"/>
      </w:pPr>
      <w:r>
        <w:tab/>
        <w:t>e)</w:t>
      </w:r>
      <w:r>
        <w:tab/>
        <w:t>Visado de obtención de ingresos;</w:t>
      </w:r>
    </w:p>
    <w:p w:rsidR="00000000" w:rsidRDefault="00000000">
      <w:pPr>
        <w:pStyle w:val="SingleTxt"/>
        <w:suppressAutoHyphens/>
      </w:pPr>
      <w:r>
        <w:tab/>
        <w:t>f)</w:t>
      </w:r>
      <w:r>
        <w:tab/>
        <w:t>Visado que da derecho a la entrada para estudios y otros fines de formación científica y de extensión distintos de los definidos en el párrafo e) de la subsección 2;</w:t>
      </w:r>
    </w:p>
    <w:p w:rsidR="00000000" w:rsidRDefault="00000000">
      <w:pPr>
        <w:pStyle w:val="SingleTxt"/>
        <w:suppressAutoHyphens/>
      </w:pPr>
      <w:r>
        <w:tab/>
        <w:t>g)</w:t>
      </w:r>
      <w:r>
        <w:tab/>
        <w:t>Visado que da derecho a la entrada con el fin de obtener tratamiento médico;</w:t>
      </w:r>
    </w:p>
    <w:p w:rsidR="00000000" w:rsidRDefault="00000000">
      <w:pPr>
        <w:pStyle w:val="SingleTxt"/>
      </w:pPr>
      <w:r>
        <w:tab/>
        <w:t>h)</w:t>
      </w:r>
      <w:r>
        <w:tab/>
        <w:t>Visado de tránsito;</w:t>
      </w:r>
    </w:p>
    <w:p w:rsidR="00000000" w:rsidRDefault="00000000">
      <w:pPr>
        <w:pStyle w:val="SingleTxt"/>
      </w:pPr>
      <w:r>
        <w:tab/>
        <w:t>i)</w:t>
      </w:r>
      <w:r>
        <w:tab/>
        <w:t>Visado de tránsito en aeropuerto;</w:t>
      </w:r>
    </w:p>
    <w:p w:rsidR="00000000" w:rsidRDefault="00000000">
      <w:pPr>
        <w:pStyle w:val="SingleTxt"/>
      </w:pPr>
      <w:r>
        <w:tab/>
        <w:t>j)</w:t>
      </w:r>
      <w:r>
        <w:tab/>
        <w:t>Otros visados de entrada.</w:t>
      </w:r>
    </w:p>
    <w:p w:rsidR="00000000" w:rsidRDefault="00000000">
      <w:pPr>
        <w:pStyle w:val="SingleTxt"/>
      </w:pPr>
      <w:r>
        <w:t>4.</w:t>
      </w:r>
      <w:r>
        <w:tab/>
        <w:t>Podrá emitirse un visado de turistas para extranjeros que deseen entrar en Hungría para conocer los valores turísticos del país con fines de recreo, descanso, excursión, caza, etc.</w:t>
      </w:r>
    </w:p>
    <w:p w:rsidR="00000000" w:rsidRDefault="00000000">
      <w:pPr>
        <w:pStyle w:val="SingleTxt"/>
      </w:pPr>
      <w:r>
        <w:t>5.</w:t>
      </w:r>
      <w:r>
        <w:tab/>
        <w:t>Podrá emitirse un visado de visitante para los extranjeros que deseen visitar a miembros de su familia, parientes o conocidos que vivan en Hungría o tengan un permiso de residencia de larga duración y, además, a los que deseen entrar para una visita por invitación de una entidad legal de Hungría.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Lista de autores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Autores de la Primera Parte: Dra. Gabriella Csója, Dra. Evelin Pataki</w:t>
      </w:r>
    </w:p>
    <w:p w:rsidR="00000000" w:rsidRDefault="00000000">
      <w:pPr>
        <w:pStyle w:val="SingleTxt"/>
        <w:spacing w:after="0" w:line="120" w:lineRule="exact"/>
        <w:rPr>
          <w:sz w:val="10"/>
        </w:rPr>
      </w:pPr>
    </w:p>
    <w:p w:rsidR="00000000" w:rsidRDefault="00000000">
      <w:pPr>
        <w:pStyle w:val="SingleTxt"/>
      </w:pPr>
      <w:r>
        <w:t>Artículo 1: Ministerio de Justicia</w:t>
      </w:r>
    </w:p>
    <w:p w:rsidR="00000000" w:rsidRDefault="00000000">
      <w:pPr>
        <w:pStyle w:val="SingleTxt"/>
      </w:pPr>
      <w:r>
        <w:t>Artículo 2: Ministerio de Justicia</w:t>
      </w:r>
    </w:p>
    <w:p w:rsidR="00000000" w:rsidRDefault="00000000">
      <w:pPr>
        <w:pStyle w:val="SingleTxt"/>
      </w:pPr>
      <w:r>
        <w:t>Artículo 3: Ministerio de Justicia</w:t>
      </w:r>
    </w:p>
    <w:p w:rsidR="00000000" w:rsidRDefault="00000000">
      <w:pPr>
        <w:pStyle w:val="SingleTxt"/>
      </w:pPr>
      <w:r>
        <w:t>Artículo 4: Ministerio de Asuntos Sociales y de la Familia</w:t>
      </w:r>
    </w:p>
    <w:p w:rsidR="00000000" w:rsidRDefault="00000000">
      <w:pPr>
        <w:pStyle w:val="SingleTxt"/>
      </w:pPr>
      <w:r>
        <w:t>Artículo 5: Ministerio de Educación, Ministerio del Interior</w:t>
      </w:r>
    </w:p>
    <w:p w:rsidR="00000000" w:rsidRDefault="00000000">
      <w:pPr>
        <w:pStyle w:val="SingleTxt"/>
      </w:pPr>
      <w:r>
        <w:t>Artículo 6: Ministerio del Interior</w:t>
      </w:r>
    </w:p>
    <w:p w:rsidR="00000000" w:rsidRDefault="00000000">
      <w:pPr>
        <w:pStyle w:val="SingleTxt"/>
        <w:ind w:left="2218" w:hanging="951"/>
        <w:jc w:val="left"/>
      </w:pPr>
      <w:r>
        <w:t>Expertos:</w:t>
      </w:r>
      <w:r>
        <w:tab/>
        <w:t>Judit Acsády, Dr. Lenke Fehér, Dr. Tamás Gyulavári, Dar. Mária Herczog, Dra. Zsuzsa Debreceni Kormosné, Dra. Krisztina Morvai, Éva Thun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 de la Segunda Parte: Dra. Lenke Fehér</w:t>
      </w:r>
    </w:p>
    <w:p w:rsidR="00000000" w:rsidRDefault="00000000">
      <w:pPr>
        <w:pStyle w:val="SingleTxt"/>
        <w:spacing w:after="0" w:line="120" w:lineRule="exact"/>
        <w:rPr>
          <w:sz w:val="10"/>
        </w:rPr>
      </w:pPr>
    </w:p>
    <w:p w:rsidR="00000000" w:rsidRDefault="00000000">
      <w:pPr>
        <w:pStyle w:val="SingleTxt"/>
        <w:suppressAutoHyphens/>
        <w:ind w:left="2218" w:hanging="951"/>
        <w:jc w:val="left"/>
      </w:pPr>
      <w:r>
        <w:t>Artículo 7:</w:t>
      </w:r>
      <w:r>
        <w:tab/>
        <w:t>Ministerio del Interior, Ministerio de Relaciones Exteriores, Comité de Organizaciones no Gubernamentales del Parlamento de Hungría</w:t>
      </w:r>
    </w:p>
    <w:p w:rsidR="00000000" w:rsidRDefault="00000000">
      <w:pPr>
        <w:pStyle w:val="SingleTxt"/>
      </w:pPr>
      <w:r>
        <w:t>Artículo 8:</w:t>
      </w:r>
      <w:r>
        <w:tab/>
        <w:t>Ministerio de Relaciones Exteriores</w:t>
      </w:r>
    </w:p>
    <w:p w:rsidR="00000000" w:rsidRDefault="00000000">
      <w:pPr>
        <w:pStyle w:val="SingleTxt"/>
      </w:pPr>
      <w:r>
        <w:t>Artículo 8:</w:t>
      </w:r>
      <w:r>
        <w:tab/>
        <w:t>Ministerio de Justicia</w:t>
      </w:r>
    </w:p>
    <w:p w:rsidR="00000000" w:rsidRDefault="00000000">
      <w:pPr>
        <w:pStyle w:val="SingleTxt"/>
      </w:pPr>
      <w:r>
        <w:t>Expertos:</w:t>
      </w:r>
      <w:r>
        <w:tab/>
        <w:t>Dra. Katalin Koncz, Dra. Márta Mátrai, Istvánné Szabó</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 de la Tercera Parte: Beáta Nagy</w:t>
      </w:r>
    </w:p>
    <w:p w:rsidR="00000000" w:rsidRDefault="00000000">
      <w:pPr>
        <w:pStyle w:val="SingleTxt"/>
        <w:spacing w:after="0" w:line="120" w:lineRule="exact"/>
        <w:rPr>
          <w:sz w:val="10"/>
        </w:rPr>
      </w:pPr>
    </w:p>
    <w:p w:rsidR="00000000" w:rsidRDefault="00000000">
      <w:pPr>
        <w:pStyle w:val="SingleTxt"/>
        <w:tabs>
          <w:tab w:val="clear" w:pos="2693"/>
          <w:tab w:val="left" w:pos="2430"/>
        </w:tabs>
      </w:pPr>
      <w:r>
        <w:t>Artículo 10:</w:t>
      </w:r>
      <w:r>
        <w:tab/>
        <w:t>Ministerio de Educación, Ministerio de Salud</w:t>
      </w:r>
    </w:p>
    <w:p w:rsidR="00000000" w:rsidRDefault="00000000">
      <w:pPr>
        <w:pStyle w:val="SingleTxt"/>
        <w:tabs>
          <w:tab w:val="clear" w:pos="2693"/>
          <w:tab w:val="left" w:pos="2430"/>
        </w:tabs>
        <w:suppressAutoHyphens/>
        <w:ind w:left="2430" w:hanging="1163"/>
        <w:jc w:val="left"/>
      </w:pPr>
      <w:r>
        <w:t>Artículo 11:</w:t>
      </w:r>
      <w:r>
        <w:tab/>
        <w:t>Ministerio de Asuntos Sociales y de la Familia, Administración Central del Seguro Social de Hungría, Ministerio de Salud</w:t>
      </w:r>
    </w:p>
    <w:p w:rsidR="00000000" w:rsidRDefault="00000000">
      <w:pPr>
        <w:pStyle w:val="SingleTxt"/>
        <w:tabs>
          <w:tab w:val="clear" w:pos="2693"/>
          <w:tab w:val="left" w:pos="2430"/>
        </w:tabs>
        <w:suppressAutoHyphens/>
        <w:ind w:left="2430" w:hanging="1163"/>
        <w:jc w:val="left"/>
      </w:pPr>
      <w:r>
        <w:t>Artículo 12:</w:t>
      </w:r>
      <w:r>
        <w:tab/>
        <w:t>Ministerio de Salud, Ministerio de Asuntos Sociales y de la Familia</w:t>
      </w:r>
    </w:p>
    <w:p w:rsidR="00000000" w:rsidRDefault="00000000">
      <w:pPr>
        <w:pStyle w:val="SingleTxt"/>
        <w:tabs>
          <w:tab w:val="clear" w:pos="2693"/>
          <w:tab w:val="left" w:pos="2430"/>
        </w:tabs>
        <w:suppressAutoHyphens/>
        <w:ind w:left="2430" w:hanging="1163"/>
        <w:jc w:val="left"/>
      </w:pPr>
      <w:r>
        <w:t>Artículo 13:</w:t>
      </w:r>
      <w:r>
        <w:tab/>
        <w:t>Ministerio de Finanzas, Ministerio de Asuntos Sociales y de la Familia, Administración Central del Seguro Social de Hungría</w:t>
      </w:r>
    </w:p>
    <w:p w:rsidR="00000000" w:rsidRDefault="00000000">
      <w:pPr>
        <w:pStyle w:val="SingleTxt"/>
        <w:tabs>
          <w:tab w:val="clear" w:pos="2693"/>
          <w:tab w:val="left" w:pos="2430"/>
        </w:tabs>
        <w:suppressAutoHyphens/>
        <w:ind w:left="2430" w:hanging="1163"/>
        <w:jc w:val="left"/>
      </w:pPr>
      <w:r>
        <w:t>Artículo 14:</w:t>
      </w:r>
      <w:r>
        <w:tab/>
        <w:t>Ministerio de Agricultura, Ministerio de Salud, Ministerio de Finanzas, Ministerio de Transportes, Comunicaciones y Ordenación de los Recursos Hídricos</w:t>
      </w:r>
    </w:p>
    <w:p w:rsidR="00000000" w:rsidRDefault="00000000">
      <w:pPr>
        <w:pStyle w:val="SingleTxt"/>
        <w:tabs>
          <w:tab w:val="clear" w:pos="2693"/>
          <w:tab w:val="left" w:pos="2430"/>
        </w:tabs>
        <w:suppressAutoHyphens/>
        <w:ind w:left="2218" w:hanging="951"/>
        <w:jc w:val="left"/>
      </w:pPr>
      <w:r>
        <w:t>Expertos:</w:t>
      </w:r>
      <w:r>
        <w:tab/>
        <w:t>Judit Acsády, Jánosné Balog, Mária Frey, Dra. Ildiko Hrubos , Dra. Katalin Koncz, Dra. Beáta Nacsa, Beáta Nagy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 de la Cuarta Parte: Dra. Lenke Fehér</w:t>
      </w:r>
    </w:p>
    <w:p w:rsidR="00000000" w:rsidRDefault="00000000">
      <w:pPr>
        <w:pStyle w:val="SingleTxt"/>
        <w:spacing w:after="0" w:line="120" w:lineRule="exact"/>
        <w:rPr>
          <w:sz w:val="10"/>
        </w:rPr>
      </w:pPr>
    </w:p>
    <w:p w:rsidR="00000000" w:rsidRDefault="00000000">
      <w:pPr>
        <w:pStyle w:val="SingleTxt"/>
        <w:tabs>
          <w:tab w:val="left" w:pos="2520"/>
        </w:tabs>
      </w:pPr>
      <w:r>
        <w:t>Artículo 15:</w:t>
      </w:r>
      <w:r>
        <w:tab/>
        <w:t>Ministerio de Justicia</w:t>
      </w:r>
    </w:p>
    <w:p w:rsidR="00000000" w:rsidRDefault="00000000">
      <w:pPr>
        <w:pStyle w:val="SingleTxt"/>
        <w:tabs>
          <w:tab w:val="left" w:pos="2520"/>
        </w:tabs>
      </w:pPr>
      <w:r>
        <w:t>Artículo 16:</w:t>
      </w:r>
      <w:r>
        <w:tab/>
        <w:t>Ministerio de Justicia</w:t>
      </w:r>
    </w:p>
    <w:p w:rsidR="00000000" w:rsidRDefault="00000000">
      <w:pPr>
        <w:pStyle w:val="SingleTxt"/>
        <w:tabs>
          <w:tab w:val="left" w:pos="2520"/>
        </w:tabs>
      </w:pPr>
      <w:r>
        <w:t>Expertos:</w:t>
      </w:r>
      <w:r>
        <w:tab/>
        <w:t>Dra. Mária Kopp, Dra. Jenö Lörincz, Dra. K</w:t>
      </w:r>
      <w:r>
        <w:t>a</w:t>
      </w:r>
      <w:r>
        <w:t>talin S. Nagy</w:t>
      </w:r>
    </w:p>
    <w:p w:rsidR="00000000" w:rsidRDefault="00000000">
      <w:pPr>
        <w:pStyle w:val="SingleTxt"/>
      </w:pPr>
      <w:r>
        <w:tab/>
        <w:t>La Sra. Erzsébet Kardos-Kaponyi no pudo participar en la finalización del i</w:t>
      </w:r>
      <w:r>
        <w:t>n</w:t>
      </w:r>
      <w:r>
        <w:t>forme a causa de su viaje al extranjero, no obstante, aportó su experiencia en la fase inicial del trabajo.</w:t>
      </w:r>
    </w:p>
    <w:p w:rsidR="00000000" w:rsidRDefault="00000000">
      <w:pPr>
        <w:pStyle w:val="SingleTxt"/>
      </w:pPr>
      <w:r>
        <w:tab/>
        <w:t>En el informe se incluyen estudios y cuadros de la publicación “El cambiante papel de la mujer” (Centro Informático de Investigación Social – Oficina de Asuntos de la Mujer, 1999) y en la segunda parte se utilizan los cuadros del estudio “La m</w:t>
      </w:r>
      <w:r>
        <w:t>u</w:t>
      </w:r>
      <w:r>
        <w:t>jer en la política” de la Dra. Katalin Koncz. También fue de gran ayuda el Informe de Vigilancia Regional No. 6 de 1999 de proyecto MONEE titulado “La mujer en la tra</w:t>
      </w:r>
      <w:r>
        <w:t>n</w:t>
      </w:r>
      <w:r>
        <w:t>sición”.</w:t>
      </w:r>
    </w:p>
    <w:p w:rsidR="00000000" w:rsidRDefault="00000000">
      <w:pPr>
        <w:pStyle w:val="SingleTxt"/>
      </w:pPr>
      <w:r>
        <w:tab/>
        <w:t>La presente publicación puede solicitarse a las siguie</w:t>
      </w:r>
      <w:r>
        <w:t>n</w:t>
      </w:r>
      <w:r>
        <w:t>te señas:</w:t>
      </w:r>
    </w:p>
    <w:p w:rsidR="00000000" w:rsidRDefault="00000000">
      <w:pPr>
        <w:pStyle w:val="SingleTxt"/>
        <w:spacing w:after="0"/>
      </w:pPr>
      <w:r>
        <w:tab/>
        <w:t>Ministerio de Asuntos Sociales y de la Familia</w:t>
      </w:r>
    </w:p>
    <w:p w:rsidR="00000000" w:rsidRDefault="00000000">
      <w:pPr>
        <w:pStyle w:val="SingleTxt"/>
        <w:spacing w:after="0"/>
      </w:pPr>
      <w:r>
        <w:tab/>
        <w:t>Oficina de Asuntos de la Mujer</w:t>
      </w:r>
    </w:p>
    <w:p w:rsidR="00000000" w:rsidRDefault="00000000">
      <w:pPr>
        <w:pStyle w:val="SingleTxt"/>
        <w:spacing w:after="0"/>
      </w:pPr>
      <w:r>
        <w:tab/>
        <w:t>P.O. Box 1051</w:t>
      </w:r>
    </w:p>
    <w:p w:rsidR="00000000" w:rsidRDefault="00000000">
      <w:pPr>
        <w:pStyle w:val="SingleTxt"/>
        <w:spacing w:after="0"/>
      </w:pPr>
      <w:r>
        <w:tab/>
        <w:t>Roosevelt Square 7-8</w:t>
      </w:r>
    </w:p>
    <w:p w:rsidR="00000000" w:rsidRDefault="00000000">
      <w:pPr>
        <w:pStyle w:val="SingleTxt"/>
        <w:spacing w:after="0"/>
      </w:pPr>
      <w:r>
        <w:tab/>
        <w:t>Budapest, Hungría</w:t>
      </w:r>
    </w:p>
    <w:p w:rsidR="00000000" w:rsidRDefault="00000000">
      <w:pPr>
        <w:pStyle w:val="SingleTxt"/>
        <w:spacing w:after="0"/>
      </w:pPr>
      <w:r>
        <w:tab/>
        <w:t>Teléfono: 36-1-312-2008</w:t>
      </w:r>
    </w:p>
    <w:p w:rsidR="00000000" w:rsidRDefault="00000000">
      <w:pPr>
        <w:pStyle w:val="SingleTxt"/>
        <w:spacing w:after="0" w:line="240" w:lineRule="auto"/>
      </w:pPr>
      <w:r>
        <w:tab/>
        <w:t>Fax: 36-1-312-5260</w:t>
      </w:r>
    </w:p>
    <w:p w:rsidR="00000000" w:rsidRDefault="00000000">
      <w:pPr>
        <w:pStyle w:val="SingleTxt"/>
        <w:spacing w:after="0" w:line="240" w:lineRule="auto"/>
      </w:pPr>
    </w:p>
    <w:p w:rsidR="00000000" w:rsidRDefault="00000000">
      <w:pPr>
        <w:pStyle w:val="SingleTxt"/>
        <w:spacing w:after="0" w:line="240" w:lineRule="auto"/>
      </w:pPr>
      <w:r>
        <w:rPr>
          <w:noProof/>
          <w:w w:val="100"/>
        </w:rPr>
        <w:pict>
          <v:line id="_x0000_s2053"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NO&gt;&gt;N0066448S&lt;&lt;ODS JOB NO&gt;&gt;</w:t>
      </w:r>
    </w:p>
    <w:p w:rsidR="00000000" w:rsidRDefault="00000000">
      <w:pPr>
        <w:pStyle w:val="CommentText"/>
      </w:pPr>
      <w:r>
        <w:t>&lt;&lt;ODS DOC SYMBOL1&gt;&gt;CEDAW/C/HUN/4-5&lt;&lt;ODS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00-66448 (S)    160401    170401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*0066448*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0066448s.doc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CEDAW/C/HUN/4-5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CEDAW/C/HUN/4-5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/C/HUN/4-5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septiembre de 2000</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113</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0066448s.doc</w:t>
                </w:r>
                <w:r>
                  <w:rPr>
                    <w:b w:val="0"/>
                    <w:sz w:val="14"/>
                  </w:rP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CEDAW/C/HUN/4-5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0066448s.doc</w:t>
                </w:r>
                <w:r>
                  <w:rPr>
                    <w:b w:val="0"/>
                    <w:sz w:val="14"/>
                  </w:rPr>
                  <w:fldChar w:fldCharType="end"/>
                </w:r>
                <w:r>
                  <w:rPr>
                    <w:b w:val="0"/>
                    <w:sz w:val="14"/>
                  </w:rPr>
                  <w:tab/>
                </w:r>
                <w:r>
                  <w:fldChar w:fldCharType="begin"/>
                </w:r>
                <w:r>
                  <w:instrText xml:space="preserve"> PAGE  \* MERGEFORMAT </w:instrText>
                </w:r>
                <w:r>
                  <w:fldChar w:fldCharType="separate"/>
                </w:r>
                <w:r>
                  <w:t>113</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CEDAW/C/HUN/4-5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CEDAW/C/HUN/4-5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CEDAW/C/HUN/4-5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842"/>
    <w:multiLevelType w:val="singleLevel"/>
    <w:tmpl w:val="62164F4C"/>
    <w:lvl w:ilvl="0">
      <w:start w:val="1"/>
      <w:numFmt w:val="decimal"/>
      <w:lvlRestart w:val="0"/>
      <w:lvlText w:val="%1."/>
      <w:lvlJc w:val="left"/>
      <w:pPr>
        <w:tabs>
          <w:tab w:val="num" w:pos="475"/>
        </w:tabs>
        <w:ind w:left="0" w:firstLine="0"/>
      </w:pPr>
      <w:rPr>
        <w:b w:val="0"/>
        <w:i w:val="0"/>
        <w:spacing w:val="0"/>
        <w:w w:val="100"/>
        <w:u w:val="none"/>
      </w:rPr>
    </w:lvl>
  </w:abstractNum>
  <w:abstractNum w:abstractNumId="1">
    <w:nsid w:val="1BCA511D"/>
    <w:multiLevelType w:val="singleLevel"/>
    <w:tmpl w:val="0CD48E8C"/>
    <w:lvl w:ilvl="0">
      <w:start w:val="4"/>
      <w:numFmt w:val="bullet"/>
      <w:lvlText w:val="-"/>
      <w:lvlJc w:val="left"/>
      <w:pPr>
        <w:tabs>
          <w:tab w:val="num" w:pos="720"/>
        </w:tabs>
        <w:ind w:left="720" w:hanging="720"/>
      </w:pPr>
      <w:rPr>
        <w:rFonts w:hint="default"/>
      </w:rPr>
    </w:lvl>
  </w:abstractNum>
  <w:abstractNum w:abstractNumId="2">
    <w:nsid w:val="20F506A0"/>
    <w:multiLevelType w:val="singleLevel"/>
    <w:tmpl w:val="8C74E804"/>
    <w:lvl w:ilvl="0">
      <w:numFmt w:val="bullet"/>
      <w:lvlText w:val="-"/>
      <w:lvlJc w:val="left"/>
      <w:pPr>
        <w:tabs>
          <w:tab w:val="num" w:pos="360"/>
        </w:tabs>
        <w:ind w:left="360" w:hanging="360"/>
      </w:pPr>
      <w:rPr>
        <w:rFonts w:hint="default"/>
      </w:rPr>
    </w:lvl>
  </w:abstractNum>
  <w:abstractNum w:abstractNumId="3">
    <w:nsid w:val="25335288"/>
    <w:multiLevelType w:val="singleLevel"/>
    <w:tmpl w:val="CE1C84D8"/>
    <w:lvl w:ilvl="0">
      <w:numFmt w:val="bullet"/>
      <w:lvlText w:val="-"/>
      <w:lvlJc w:val="left"/>
      <w:pPr>
        <w:tabs>
          <w:tab w:val="num" w:pos="360"/>
        </w:tabs>
        <w:ind w:left="360" w:hanging="360"/>
      </w:pPr>
      <w:rPr>
        <w:rFonts w:hint="default"/>
      </w:rPr>
    </w:lvl>
  </w:abstractNum>
  <w:abstractNum w:abstractNumId="4">
    <w:nsid w:val="37296819"/>
    <w:multiLevelType w:val="singleLevel"/>
    <w:tmpl w:val="AC142442"/>
    <w:lvl w:ilvl="0">
      <w:start w:val="2"/>
      <w:numFmt w:val="bullet"/>
      <w:lvlText w:val="-"/>
      <w:lvlJc w:val="left"/>
      <w:pPr>
        <w:tabs>
          <w:tab w:val="num" w:pos="360"/>
        </w:tabs>
        <w:ind w:left="360" w:hanging="360"/>
      </w:pPr>
      <w:rPr>
        <w:rFonts w:hint="default"/>
      </w:rPr>
    </w:lvl>
  </w:abstractNum>
  <w:abstractNum w:abstractNumId="5">
    <w:nsid w:val="6CCA3FAC"/>
    <w:multiLevelType w:val="multilevel"/>
    <w:tmpl w:val="138AD9A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7F0658AA"/>
    <w:multiLevelType w:val="singleLevel"/>
    <w:tmpl w:val="0409000F"/>
    <w:lvl w:ilvl="0">
      <w:start w:val="1"/>
      <w:numFmt w:val="decimal"/>
      <w:lvlText w:val="%1."/>
      <w:lvlJc w:val="left"/>
      <w:pPr>
        <w:tabs>
          <w:tab w:val="num" w:pos="360"/>
        </w:tabs>
        <w:ind w:left="360" w:hanging="360"/>
      </w:pPr>
      <w:rPr>
        <w:rFonts w:hint="default"/>
      </w:rPr>
    </w:lvl>
  </w:abstractNum>
  <w:num w:numId="1">
    <w:abstractNumId w:val="6"/>
  </w:num>
  <w:num w:numId="2">
    <w:abstractNumId w:val="2"/>
  </w:num>
  <w:num w:numId="3">
    <w:abstractNumId w:val="4"/>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4/2001 10:36:37"/>
    <w:docVar w:name="DocCategory" w:val="Doc"/>
    <w:docVar w:name="DocType" w:val="Final"/>
    <w:docVar w:name="JobNo" w:val="0066448S"/>
    <w:docVar w:name="OandT" w:val="Joyce"/>
    <w:docVar w:name="Symbol1" w:val="CEDAW/C/HUN/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ind w:left="346" w:hanging="346"/>
      <w:outlineLvl w:val="0"/>
    </w:pPr>
    <w:rPr>
      <w:b/>
      <w:sz w:val="17"/>
    </w:rPr>
  </w:style>
  <w:style w:type="paragraph" w:styleId="Heading2">
    <w:name w:val="heading 2"/>
    <w:basedOn w:val="Normal"/>
    <w:next w:val="Normal"/>
    <w:qFormat/>
    <w:pPr>
      <w:keepNext/>
      <w:tabs>
        <w:tab w:val="left" w:pos="288"/>
        <w:tab w:val="left" w:pos="576"/>
        <w:tab w:val="left" w:pos="864"/>
        <w:tab w:val="left" w:pos="1152"/>
      </w:tabs>
      <w:spacing w:before="40" w:after="40" w:line="210" w:lineRule="exact"/>
      <w:ind w:right="40"/>
      <w:outlineLvl w:val="1"/>
    </w:pPr>
    <w:rPr>
      <w:b/>
      <w:sz w:val="17"/>
    </w:rPr>
  </w:style>
  <w:style w:type="paragraph" w:styleId="Heading3">
    <w:name w:val="heading 3"/>
    <w:basedOn w:val="Normal"/>
    <w:next w:val="Normal"/>
    <w:qFormat/>
    <w:pPr>
      <w:keepNext/>
      <w:tabs>
        <w:tab w:val="left" w:pos="288"/>
        <w:tab w:val="left" w:pos="576"/>
        <w:tab w:val="left" w:pos="864"/>
        <w:tab w:val="left" w:pos="1152"/>
      </w:tabs>
      <w:spacing w:before="40" w:after="40" w:line="210" w:lineRule="exact"/>
      <w:ind w:right="40"/>
      <w:jc w:val="center"/>
      <w:outlineLvl w:val="2"/>
    </w:pPr>
    <w:rPr>
      <w:b/>
      <w:sz w:val="17"/>
    </w:rPr>
  </w:style>
  <w:style w:type="paragraph" w:styleId="Heading8">
    <w:name w:val="heading 8"/>
    <w:basedOn w:val="Normal"/>
    <w:next w:val="Normal"/>
    <w:qFormat/>
    <w:pPr>
      <w:numPr>
        <w:ilvl w:val="7"/>
        <w:numId w:val="6"/>
      </w:numPr>
      <w:spacing w:before="240" w:after="60"/>
      <w:outlineLvl w:val="7"/>
    </w:pPr>
    <w:rPr>
      <w:rFonts w:ascii="Arial" w:hAnsi="Arial"/>
      <w:i/>
    </w:rPr>
  </w:style>
  <w:style w:type="paragraph" w:styleId="Heading9">
    <w:name w:val="heading 9"/>
    <w:basedOn w:val="Normal"/>
    <w:next w:val="Normal"/>
    <w:qFormat/>
    <w:pPr>
      <w:numPr>
        <w:ilvl w:val="8"/>
        <w:numId w:val="6"/>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630</TotalTime>
  <Pages>1</Pages>
  <Words>52462</Words>
  <Characters>262313</Characters>
  <Application>Microsoft Office Word</Application>
  <DocSecurity>4</DocSecurity>
  <Lines>8197</Lines>
  <Paragraphs>3694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367238</CharactersWithSpaces>
  <SharedDoc>false</SharedDoc>
  <HLinks>
    <vt:vector size="6" baseType="variant">
      <vt:variant>
        <vt:i4>4522087</vt:i4>
      </vt:variant>
      <vt:variant>
        <vt:i4>329122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52</cp:revision>
  <cp:lastPrinted>2001-04-17T11:16:00Z</cp:lastPrinted>
  <dcterms:created xsi:type="dcterms:W3CDTF">2001-04-16T08:36:00Z</dcterms:created>
  <dcterms:modified xsi:type="dcterms:W3CDTF">2001-04-17T12:39:00Z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0066448</vt:lpwstr>
  </property>
  <property fmtid="{D5CDD505-2E9C-101B-9397-08002B2CF9AE}" pid="3" name="Symbol1">
    <vt:lpwstr>CEDAW/C/HUN/4-5</vt:lpwstr>
  </property>
  <property fmtid="{D5CDD505-2E9C-101B-9397-08002B2CF9AE}" pid="4" name="Symbol2">
    <vt:lpwstr/>
  </property>
  <property fmtid="{D5CDD505-2E9C-101B-9397-08002B2CF9AE}" pid="5" name="Translator">
    <vt:lpwstr/>
  </property>
  <property fmtid="{D5CDD505-2E9C-101B-9397-08002B2CF9AE}" pid="6" name="Comment">
    <vt:lpwstr>Documento externo para formateo (texto y cuadros).</vt:lpwstr>
  </property>
  <property fmtid="{D5CDD505-2E9C-101B-9397-08002B2CF9AE}" pid="7" name="DraftPages">
    <vt:lpwstr> </vt:lpwstr>
  </property>
  <property fmtid="{D5CDD505-2E9C-101B-9397-08002B2CF9AE}" pid="8" name="Operator">
    <vt:lpwstr>Joyce</vt:lpwstr>
  </property>
</Properties>
</file>