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4CC" w:rsidRPr="00E22BFC" w:rsidRDefault="00A134CC" w:rsidP="00A134CC">
      <w:pPr>
        <w:spacing w:line="240" w:lineRule="auto"/>
        <w:rPr>
          <w:sz w:val="6"/>
        </w:rPr>
        <w:sectPr w:rsidR="00A134CC" w:rsidRPr="00E22BFC" w:rsidSect="007D514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E22BFC">
        <w:rPr>
          <w:rStyle w:val="CommentReference"/>
          <w:szCs w:val="20"/>
        </w:rPr>
        <w:commentReference w:id="0"/>
      </w:r>
      <w:bookmarkStart w:id="1" w:name="_GoBack"/>
      <w:bookmarkEnd w:id="1"/>
    </w:p>
    <w:p w:rsidR="00E22BFC" w:rsidRPr="00E22BFC" w:rsidRDefault="00E22BFC" w:rsidP="00E22B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251"/>
        <w:rPr>
          <w:lang w:bidi="es-ES"/>
        </w:rPr>
      </w:pPr>
      <w:r w:rsidRPr="00E22BFC">
        <w:rPr>
          <w:lang w:bidi="es-ES"/>
        </w:rPr>
        <w:lastRenderedPageBreak/>
        <w:t xml:space="preserve">Comité para la Eliminación de la Discriminación contra la Mujer </w:t>
      </w:r>
    </w:p>
    <w:p w:rsidR="00E22BFC" w:rsidRP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Cs/>
          <w:lang w:bidi="es-ES"/>
        </w:rPr>
      </w:pPr>
      <w:r w:rsidRPr="00E22BFC">
        <w:rPr>
          <w:lang w:bidi="es-ES"/>
        </w:rPr>
        <w:t>68º período de sesiones</w:t>
      </w:r>
    </w:p>
    <w:p w:rsidR="00E22BFC" w:rsidRPr="00E22BFC" w:rsidRDefault="00E22BFC" w:rsidP="00E22BFC">
      <w:pPr>
        <w:rPr>
          <w:lang w:bidi="es-ES"/>
        </w:rPr>
      </w:pPr>
      <w:r w:rsidRPr="00E22BFC">
        <w:rPr>
          <w:lang w:bidi="es-ES"/>
        </w:rPr>
        <w:t>23 de octubre a 17 de noviembre de 2017</w:t>
      </w:r>
    </w:p>
    <w:p w:rsidR="00E22BFC" w:rsidRPr="00E22BFC" w:rsidRDefault="00E22BFC" w:rsidP="00E22BFC">
      <w:pPr>
        <w:rPr>
          <w:b/>
          <w:lang w:bidi="es-ES"/>
        </w:rPr>
      </w:pPr>
      <w:r w:rsidRPr="00E22BFC">
        <w:rPr>
          <w:lang w:bidi="es-ES"/>
        </w:rPr>
        <w:t>Tema 4 del programa provisional</w:t>
      </w:r>
    </w:p>
    <w:p w:rsidR="00E22BFC" w:rsidRP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right="5052"/>
        <w:rPr>
          <w:lang w:bidi="es-ES"/>
        </w:rPr>
      </w:pPr>
      <w:r w:rsidRPr="00E22BFC">
        <w:rPr>
          <w:lang w:bidi="es-ES"/>
        </w:rPr>
        <w:t>Examen de los informes presentados por los Estados partes en virtud del artículo 18 de la Convención sobre la Eliminación de Todas las Formas de Discriminación contra la Mujer</w:t>
      </w:r>
    </w:p>
    <w:p w:rsidR="00E22BFC" w:rsidRPr="00E22BFC" w:rsidRDefault="00E22BFC" w:rsidP="00E22BFC">
      <w:pPr>
        <w:pStyle w:val="SingleTxt"/>
        <w:spacing w:after="0" w:line="120" w:lineRule="exact"/>
        <w:rPr>
          <w:b/>
          <w:sz w:val="10"/>
          <w:lang w:bidi="es-ES"/>
        </w:rPr>
      </w:pPr>
    </w:p>
    <w:p w:rsidR="00E22BFC" w:rsidRPr="00E22BFC" w:rsidRDefault="00E22BFC" w:rsidP="00E22BFC">
      <w:pPr>
        <w:pStyle w:val="SingleTxt"/>
        <w:spacing w:after="0" w:line="120" w:lineRule="exact"/>
        <w:rPr>
          <w:b/>
          <w:sz w:val="10"/>
          <w:lang w:bidi="es-ES"/>
        </w:rPr>
      </w:pPr>
    </w:p>
    <w:p w:rsidR="00E22BFC" w:rsidRPr="00E22BFC" w:rsidRDefault="00E22BFC" w:rsidP="00E22BFC">
      <w:pPr>
        <w:pStyle w:val="SingleTxt"/>
        <w:spacing w:after="0" w:line="120" w:lineRule="exact"/>
        <w:rPr>
          <w:b/>
          <w:sz w:val="10"/>
          <w:lang w:bidi="es-ES"/>
        </w:rPr>
      </w:pPr>
    </w:p>
    <w:p w:rsidR="00E22BFC" w:rsidRDefault="00E22BFC" w:rsidP="00E22B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001" w:hanging="1267"/>
        <w:rPr>
          <w:lang w:bidi="es-ES"/>
        </w:rPr>
      </w:pPr>
      <w:r w:rsidRPr="00E22BFC">
        <w:rPr>
          <w:lang w:bidi="es-ES"/>
        </w:rPr>
        <w:tab/>
      </w:r>
      <w:r w:rsidRPr="00E22BFC">
        <w:rPr>
          <w:lang w:bidi="es-ES"/>
        </w:rPr>
        <w:tab/>
        <w:t>Lista de cuestiones y preguntas relativa al séptimo informe periódico de Burkina Faso</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sidRPr="00E22BFC">
        <w:rPr>
          <w:lang w:bidi="es-ES"/>
        </w:rPr>
        <w:tab/>
      </w:r>
      <w:r w:rsidRPr="00E22BFC">
        <w:rPr>
          <w:lang w:bidi="es-ES"/>
        </w:rPr>
        <w:tab/>
        <w:t xml:space="preserve">Marco jurídico y definición de la discriminación </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El Comité toma nota de la aprobación de la Ley núm. 033-2012/AN, de 11 de junio de 2012, por la que se modifica la Constitución y se consagra, en el artículo 101 de la Constitución, la promoción de la igualdad de género (</w:t>
      </w:r>
      <w:hyperlink r:id="rId15" w:history="1">
        <w:r w:rsidRPr="00441417">
          <w:rPr>
            <w:rStyle w:val="Hyperlink"/>
            <w:lang w:bidi="es-ES"/>
          </w:rPr>
          <w:t>CEDAW/C/BFA/7</w:t>
        </w:r>
      </w:hyperlink>
      <w:r w:rsidRPr="00E22BFC">
        <w:rPr>
          <w:lang w:bidi="es-ES"/>
        </w:rPr>
        <w:t>, párr. 24)</w:t>
      </w:r>
      <w:r w:rsidRPr="00E22BFC">
        <w:rPr>
          <w:vertAlign w:val="superscript"/>
          <w:lang w:bidi="es-ES"/>
        </w:rPr>
        <w:footnoteReference w:id="1"/>
      </w:r>
      <w:r w:rsidRPr="00E22BFC">
        <w:rPr>
          <w:lang w:bidi="es-ES"/>
        </w:rPr>
        <w:t xml:space="preserve">. En consideración del proceso de reforma constitucional en curso, se ruega proporcionar información sobre las medidas adoptadas para incorporar en la Constitución o a cualquier otra ley relevante la prohibición expresa de discriminar por razón de sexo, como también una definición de la discriminación contra la mujer que abarque la discriminación directa e indirecta tanto en la esfera pública como en la privada, en consonancia con los artículos 1 y 2 b) de la Convención, con arreglo a lo recomendado con anterioridad por el Comité (véase </w:t>
      </w:r>
      <w:hyperlink r:id="rId16" w:history="1">
        <w:r w:rsidRPr="00441417">
          <w:rPr>
            <w:rStyle w:val="Hyperlink"/>
            <w:lang w:bidi="es-ES"/>
          </w:rPr>
          <w:t>CEDAW/C/BFA/CO/6</w:t>
        </w:r>
      </w:hyperlink>
      <w:r w:rsidRPr="00E22BFC">
        <w:rPr>
          <w:lang w:bidi="es-ES"/>
        </w:rPr>
        <w:t>, párr. 10) y de conformidad con la meta 5.1 de los Objetivos de Desarrollo Sostenible para poner fin a todas las formas de discriminación contra todas las mujere</w:t>
      </w:r>
      <w:r>
        <w:rPr>
          <w:lang w:bidi="es-ES"/>
        </w:rPr>
        <w:t>s y las niñas en todo el mundo.</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Visibilidad de la Convención y el Protocolo Facultativo</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Se ruega proporcionar información sobre los programas de formación y concienciación emprendidos por el Estado parte para familiarizar a las mujeres, los </w:t>
      </w:r>
      <w:r w:rsidRPr="00E22BFC">
        <w:rPr>
          <w:lang w:bidi="es-ES"/>
        </w:rPr>
        <w:lastRenderedPageBreak/>
        <w:t>ministerios gubernamentales, los parlamentarios, el poder judicial y las organizaciones no gubernamentales con la Convención, el Protocolo Facultativo y las recomendaciones generales del Comité (</w:t>
      </w:r>
      <w:hyperlink r:id="rId17" w:history="1">
        <w:r w:rsidRPr="00441417">
          <w:rPr>
            <w:rStyle w:val="Hyperlink"/>
            <w:lang w:bidi="es-ES"/>
          </w:rPr>
          <w:t>CEDAW/C/BFA/CO/6</w:t>
        </w:r>
      </w:hyperlink>
      <w:r w:rsidRPr="00E22BFC">
        <w:rPr>
          <w:lang w:bidi="es-ES"/>
        </w:rPr>
        <w:t>, párr. 12).</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Acceso a la justicia</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El Estado parte informa que en 2013 se estableció un fondo de asistencia jurídica, que se espera que atienda a las necesidades de las mujeres víctima de violencia por razón de género (párr. 166). Se ruega proporcionar al Comité datos actualizados sobre la cantidad de mujeres que accedieron a asistencia jurídica y representación letrada en procedimientos judiciales en todas las demandas por discriminación. Además se ruega proporcionar información sobre si el Estado parte prevé revisar la política que permite que todos los gastos en los que haya incurrido el Estado parte por los procedimientos judiciales sean deducidos del monto de la indemnización pecuniaria concedida al demandante, ya que esto podría incidir negativamente en las mujeres con bajos ingresos en lo que respecta a sus denuncias (véase </w:t>
      </w:r>
      <w:hyperlink r:id="rId18" w:history="1">
        <w:r w:rsidRPr="00441417">
          <w:rPr>
            <w:rStyle w:val="Hyperlink"/>
            <w:lang w:bidi="es-ES"/>
          </w:rPr>
          <w:t>CEDAW/C/BFA/CO/6/Add.1</w:t>
        </w:r>
      </w:hyperlink>
      <w:r w:rsidRPr="00E22BFC">
        <w:rPr>
          <w:lang w:bidi="es-ES"/>
        </w:rPr>
        <w:t>, párr. 38). Se ruega informar al Comité sobre los programas destinados a fortalecer la capacidad de las fuerzas del orden, los oficiales de policía, los jueces y los fiscales en relación con la Convención, el Protocolo Facultativo y las recomendaciones generales del Comité.</w:t>
      </w:r>
    </w:p>
    <w:p w:rsidR="00E22BFC" w:rsidRDefault="00E22BFC" w:rsidP="00E22BFC">
      <w:pPr>
        <w:pStyle w:val="SingleTxt"/>
        <w:numPr>
          <w:ilvl w:val="0"/>
          <w:numId w:val="23"/>
        </w:numPr>
        <w:tabs>
          <w:tab w:val="clear" w:pos="475"/>
          <w:tab w:val="num" w:pos="1742"/>
        </w:tabs>
        <w:ind w:left="1267"/>
        <w:rPr>
          <w:lang w:bidi="es-ES"/>
        </w:rPr>
      </w:pPr>
      <w:r w:rsidRPr="00E22BFC">
        <w:rPr>
          <w:lang w:bidi="es-ES"/>
        </w:rPr>
        <w:t>El Comité toma nota de la aprobación de la Ley de la Comisión Nacional de los Derechos Humanos, el 24 de marzo de 2016, con miras a reforzar su cumplimiento de los principios relativos a la condición de las instituciones nacionales para la promoción y protección de los derechos humanos los Principios de París) y la promulgación de su decreto de aplicación, el 13 de mayo de 2016.</w:t>
      </w:r>
      <w:r w:rsidR="00441417">
        <w:rPr>
          <w:lang w:bidi="es-ES"/>
        </w:rPr>
        <w:t xml:space="preserve"> </w:t>
      </w:r>
      <w:r w:rsidRPr="00E22BFC">
        <w:rPr>
          <w:lang w:bidi="es-ES"/>
        </w:rPr>
        <w:t xml:space="preserve">Se ruega proporcionar información sobre la composición, el alcance del mandato y la labor realizada por la Comisión para promover la conciencia en las mujeres sobre sus derechos y su capacidad para reclamar por ellos (véase </w:t>
      </w:r>
      <w:hyperlink r:id="rId19" w:history="1">
        <w:r w:rsidRPr="00441417">
          <w:rPr>
            <w:rStyle w:val="Hyperlink"/>
            <w:lang w:bidi="es-ES"/>
          </w:rPr>
          <w:t>CEDAW/C/BFA/CO/6</w:t>
        </w:r>
      </w:hyperlink>
      <w:r w:rsidRPr="00E22BFC">
        <w:rPr>
          <w:lang w:bidi="es-ES"/>
        </w:rPr>
        <w:t>, párr. 16). También se ruega facilitar datos desglosados por edad sobre la cantidad de mujeres detenidas, en los que se indiquen las razones y condiciones de su detención.</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Mecanismo nacional para la promoción de la mujer</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numPr>
          <w:ilvl w:val="0"/>
          <w:numId w:val="23"/>
        </w:numPr>
        <w:tabs>
          <w:tab w:val="clear" w:pos="475"/>
          <w:tab w:val="num" w:pos="1742"/>
        </w:tabs>
        <w:ind w:left="1267"/>
        <w:rPr>
          <w:lang w:bidi="es-ES"/>
        </w:rPr>
      </w:pPr>
      <w:r w:rsidRPr="00E22BFC">
        <w:rPr>
          <w:lang w:bidi="es-ES"/>
        </w:rPr>
        <w:t>Se ruega informar el resultado de cualquier evaluación de los progresos realizados por el nuevo Ministerio para la Promoción de la Mujer y las Cuestiones de Género (párr.</w:t>
      </w:r>
      <w:r w:rsidR="00441417">
        <w:rPr>
          <w:lang w:bidi="es-ES"/>
        </w:rPr>
        <w:t xml:space="preserve"> </w:t>
      </w:r>
      <w:r w:rsidRPr="00E22BFC">
        <w:rPr>
          <w:lang w:bidi="es-ES"/>
        </w:rPr>
        <w:t xml:space="preserve">27) a fin de coordinar eficazmente la labor realizada para la promoción de la igualdad de género y la plena aplicación de la Convención en todos los sectores y niveles en el Estado parte (véase </w:t>
      </w:r>
      <w:hyperlink r:id="rId20" w:history="1">
        <w:r w:rsidRPr="00441417">
          <w:rPr>
            <w:rStyle w:val="Hyperlink"/>
            <w:lang w:bidi="es-ES"/>
          </w:rPr>
          <w:t>CEDAW/C/BFA/CO/6</w:t>
        </w:r>
      </w:hyperlink>
      <w:r w:rsidRPr="00E22BFC">
        <w:rPr>
          <w:lang w:bidi="es-ES"/>
        </w:rPr>
        <w:t>, párr. 14). Se ruega proporcionar detalles sobre los recursos humanos, técnicos y financieros asignados para asegurar el cumplimiento de su mandato.</w:t>
      </w:r>
      <w:r w:rsidR="00441417">
        <w:rPr>
          <w:lang w:bidi="es-ES"/>
        </w:rPr>
        <w:t xml:space="preserve"> </w:t>
      </w:r>
      <w:r w:rsidRPr="00E22BFC">
        <w:rPr>
          <w:lang w:bidi="es-ES"/>
        </w:rPr>
        <w:t xml:space="preserve">Se ruega, además, informar al Comité de toda formación que se brinde al personal técnico a cargo de la presupuestación a nivel nacional y local en lo relativo a la forma de establecer presupuestos que tengan en cuenta las cuestiones de género (véase </w:t>
      </w:r>
      <w:r w:rsidRPr="00E22BFC">
        <w:rPr>
          <w:i/>
          <w:lang w:bidi="es-ES"/>
        </w:rPr>
        <w:t>ibid</w:t>
      </w:r>
      <w:r w:rsidRPr="00E22BFC">
        <w:rPr>
          <w:lang w:bidi="es-ES"/>
        </w:rPr>
        <w:t xml:space="preserve">.). </w:t>
      </w: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Se ruega proporcionar: a) información sobre los progresos realizados y los obstáculos surgidos en la aplicación de la política nacional de género aprobada en el Decreto núm. 2009-672, de 7 de octubre de 2009, y el plan de acción correspondiente (2011 a 2013); b) información actualizada sobre los recursos humanos, técnicos y financieros asignados para la aplicar la política y el plan de </w:t>
      </w:r>
      <w:r w:rsidRPr="00E22BFC">
        <w:rPr>
          <w:lang w:bidi="es-ES"/>
        </w:rPr>
        <w:lastRenderedPageBreak/>
        <w:t xml:space="preserve">acción; y c) información sobre si el Estado parte prevé la adopción de un nuevo plan de acción posterior a la caducidad del plan de acción en </w:t>
      </w:r>
      <w:hyperlink r:id="rId21" w:history="1">
        <w:r w:rsidRPr="00441417">
          <w:rPr>
            <w:rStyle w:val="Hyperlink"/>
            <w:lang w:bidi="es-ES"/>
          </w:rPr>
          <w:t>2013 (párr. 34)</w:t>
        </w:r>
      </w:hyperlink>
      <w:r w:rsidRPr="00E22BFC">
        <w:rPr>
          <w:lang w:bidi="es-ES"/>
        </w:rPr>
        <w:t xml:space="preserve">. </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Medidas especiales de carácter temporal</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Se ruega proporcionar detalles sobre los objetivos numéricos y los plazos de las iniciativas mencionadas en los párrafos 37 a 43 del informe del Estado parte aplicadas para abordar la escasa representación de las mujeres en todas las esferas de la vida pública, política y profesional (véase</w:t>
      </w:r>
      <w:r w:rsidR="00441417">
        <w:rPr>
          <w:lang w:bidi="es-ES"/>
        </w:rPr>
        <w:t xml:space="preserve"> </w:t>
      </w:r>
      <w:hyperlink r:id="rId22" w:history="1">
        <w:r w:rsidRPr="00441417">
          <w:rPr>
            <w:rStyle w:val="Hyperlink"/>
            <w:lang w:bidi="es-ES"/>
          </w:rPr>
          <w:t>CEDAW/C/BFA/CO/6</w:t>
        </w:r>
      </w:hyperlink>
      <w:r w:rsidRPr="00E22BFC">
        <w:rPr>
          <w:lang w:bidi="es-ES"/>
        </w:rPr>
        <w:t xml:space="preserve">, párrs. 18 y 30). Se ruega explicar si estas iniciativas están vinculadas a una estrategia de incorporación de la perspectiva de género a todos los programas públicos con el propósito declarado de acelerar la consecución de una igualdad sustancial entre hombres y mujeres. </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Estereotipos y prácticas negativas</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En el informe se hace referencia a varias actividades emprendidas por el Estado parte para modificar o eliminar las prácticas negativas y los estereotipos patriarcales perjudiciales y discriminatorios para las mujeres (párrs. 45 a 50). Se ruega informar al Comité sobre si estas iniciativas están vinculadas a una estrategia integral con objetivos y plazos mensurables, aplicada para abordar el vínculo entre la subordinación de la mujer dentro de la familia y la sociedad y la perpetración de violencia contra la mujer y, en especial, la violencia doméstica, así como las limitadas oportunidades académicas y laborales de las mujeres (véase </w:t>
      </w:r>
      <w:hyperlink r:id="rId23" w:history="1">
        <w:r w:rsidRPr="00441417">
          <w:rPr>
            <w:rStyle w:val="Hyperlink"/>
            <w:lang w:bidi="es-ES"/>
          </w:rPr>
          <w:t>CEDAW/C/BFA/CO/6</w:t>
        </w:r>
      </w:hyperlink>
      <w:r w:rsidRPr="00E22BFC">
        <w:rPr>
          <w:lang w:bidi="es-ES"/>
        </w:rPr>
        <w:t>, párr.</w:t>
      </w:r>
      <w:r w:rsidR="00441417">
        <w:rPr>
          <w:lang w:bidi="es-ES"/>
        </w:rPr>
        <w:t xml:space="preserve"> </w:t>
      </w:r>
      <w:r w:rsidRPr="00E22BFC">
        <w:rPr>
          <w:lang w:bidi="es-ES"/>
        </w:rPr>
        <w:t xml:space="preserve">20). Se ruega indicar si se ha realizado una evaluación del impacto de estas actividades. Se ruega proporcionar detalles sobre las sanciones impuestas a los autores de mutilación genital femenina (véase </w:t>
      </w:r>
      <w:hyperlink r:id="rId24" w:history="1">
        <w:r w:rsidRPr="00441417">
          <w:rPr>
            <w:rStyle w:val="Hyperlink"/>
            <w:lang w:bidi="es-ES"/>
          </w:rPr>
          <w:t>CEDAW/C/BFA/CO/6</w:t>
        </w:r>
      </w:hyperlink>
      <w:r w:rsidRPr="00E22BFC">
        <w:rPr>
          <w:lang w:bidi="es-ES"/>
        </w:rPr>
        <w:t xml:space="preserve">, párr. 26). </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Violencia por razón de género contra la mujer</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El Comité toma nota de la aprobación de la Ley núm. 061-2015/CNT, el 6 de septiembre de 2015, sobre la prevención y castigo de la violencia contra las mujeres y las niñas y la reparación y el cuidado de las víctimas. Se ruega proporcionar, de conformidad con esta Ley: a) datos sobre la cantidad causas llevadas ante los tribunales, la naturaleza de las violaciones, las investigaciones abiertas, las sanciones aplicadas y los recursos proporcionados a las víctimas; b) información sobre los mecanismos establecidos y la labor realizada hasta la fecha para planificar, evaluar y supervisar la aplicación de una estrategia y un plan de acción nacionales para combatir la violencia contra las mujeres y las niñas y brindar protección y contención a las víctimas (véase </w:t>
      </w:r>
      <w:hyperlink r:id="rId25" w:history="1">
        <w:r w:rsidRPr="00441417">
          <w:rPr>
            <w:rStyle w:val="Hyperlink"/>
            <w:lang w:bidi="es-ES"/>
          </w:rPr>
          <w:t>CEDAW/C/BFA/CO/6/Add.1</w:t>
        </w:r>
      </w:hyperlink>
      <w:r w:rsidRPr="00E22BFC">
        <w:rPr>
          <w:lang w:bidi="es-ES"/>
        </w:rPr>
        <w:t xml:space="preserve">, párrs. 31 a 34; y c) el plazo para modificar el artículo 14 2), que no tipifica a la violación conyugal como delito, a menos que se cometa reiteradamente o que uno de los cónyuges esté físicamente incapacitado para mantener relaciones sexuales, y cuya única pena es el pago de una multa. </w:t>
      </w:r>
    </w:p>
    <w:p w:rsidR="00E22BFC" w:rsidRPr="00E22BFC" w:rsidRDefault="00E22BFC" w:rsidP="00E22BFC">
      <w:pPr>
        <w:pStyle w:val="SingleTxt"/>
        <w:numPr>
          <w:ilvl w:val="0"/>
          <w:numId w:val="23"/>
        </w:numPr>
        <w:tabs>
          <w:tab w:val="clear" w:pos="475"/>
          <w:tab w:val="num" w:pos="1742"/>
        </w:tabs>
        <w:ind w:left="1267"/>
        <w:rPr>
          <w:lang w:bidi="es-ES"/>
        </w:rPr>
      </w:pPr>
      <w:r w:rsidRPr="00E22BFC">
        <w:rPr>
          <w:lang w:bidi="es-ES"/>
        </w:rPr>
        <w:t>Se ha informado al Comité ha recibido información de las graves denuncias de violaciones de derechos humanos, incluidos actos de violencia sexual, cometidas por grupos armados, entre ellos, la Guardia Presidencial durante la crisis política del 2014 y 2015. Se ruega informar al Comité sobre si el Estado parte ha realizado investigaciones rigurosas e independientes de estas graves denuncias. Se ruega, además, proporcionar detalles sobre los resultados de cualquier investigación (incluidas aquellas en las que el procedimiento judicial ya se hubiera iniciado) la naturaleza de las sanciones impuestas a los culpables y los recursos proporcionados a las víctimas. También se ruega poner al Comité al corriente sobre la respuesta</w:t>
      </w:r>
      <w:r w:rsidR="007F02BD">
        <w:rPr>
          <w:lang w:bidi="es-ES"/>
        </w:rPr>
        <w:t xml:space="preserve"> del c</w:t>
      </w:r>
      <w:r w:rsidRPr="00E22BFC">
        <w:rPr>
          <w:lang w:bidi="es-ES"/>
        </w:rPr>
        <w:t xml:space="preserve">onsejo </w:t>
      </w:r>
      <w:r w:rsidR="007F02BD">
        <w:rPr>
          <w:lang w:bidi="es-ES"/>
        </w:rPr>
        <w:t>n</w:t>
      </w:r>
      <w:r w:rsidRPr="00E22BFC">
        <w:rPr>
          <w:lang w:bidi="es-ES"/>
        </w:rPr>
        <w:t>acional, establecido en enero de 2016, y las dos comisiones de investigación de estas denuncias.</w:t>
      </w:r>
    </w:p>
    <w:p w:rsidR="00E22BFC" w:rsidRDefault="00E22BFC" w:rsidP="00E22BFC">
      <w:pPr>
        <w:pStyle w:val="SingleTxt"/>
        <w:numPr>
          <w:ilvl w:val="0"/>
          <w:numId w:val="23"/>
        </w:numPr>
        <w:tabs>
          <w:tab w:val="clear" w:pos="475"/>
          <w:tab w:val="num" w:pos="1742"/>
        </w:tabs>
        <w:ind w:left="1267"/>
        <w:rPr>
          <w:lang w:bidi="es-ES"/>
        </w:rPr>
      </w:pPr>
      <w:r w:rsidRPr="00E22BFC">
        <w:rPr>
          <w:lang w:bidi="es-ES"/>
        </w:rPr>
        <w:t>El Estado parte informa que en 2012 se preparó un anteproyecto de ley para modificar el Código Penal en lo relativo a la violencia doméstica, la exclusión familiar de las niñas debido a embarazos fuera del matrimonio o a su rechazo a un matrimonio forzado,</w:t>
      </w:r>
      <w:r w:rsidR="00441417">
        <w:rPr>
          <w:lang w:bidi="es-ES"/>
        </w:rPr>
        <w:t xml:space="preserve"> </w:t>
      </w:r>
      <w:r w:rsidRPr="00E22BFC">
        <w:rPr>
          <w:lang w:bidi="es-ES"/>
        </w:rPr>
        <w:t xml:space="preserve">la exclusión social por brujería, la violación en el matrimonio y el acoso sexual (véase </w:t>
      </w:r>
      <w:hyperlink r:id="rId26" w:history="1">
        <w:r w:rsidRPr="00441417">
          <w:rPr>
            <w:rStyle w:val="Hyperlink"/>
            <w:lang w:bidi="es-ES"/>
          </w:rPr>
          <w:t>CEDAW/C/BFA/CO/6/Add.1</w:t>
        </w:r>
      </w:hyperlink>
      <w:r w:rsidRPr="00E22BFC">
        <w:rPr>
          <w:lang w:bidi="es-ES"/>
        </w:rPr>
        <w:t>, párrs. 24 a 26). Se ruega brindar información actualizada sobre el estado de este proyecto de ley</w:t>
      </w:r>
      <w:r>
        <w:rPr>
          <w:lang w:bidi="es-ES"/>
        </w:rPr>
        <w:t>.</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 xml:space="preserve">Trata y explotación de la prostitución </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Como se solicitó durante la revisión anterior, se ruega proporcionar al Comité información sobre: a) los mecanismos coordinados para reforzar la aplicación de la Ley núm. 029-2008/AN, de 15 de mayo de 2008, relativa a la Lucha contra la Trata de Personas y Prácticas Similares (véase </w:t>
      </w:r>
      <w:hyperlink r:id="rId27" w:history="1">
        <w:r w:rsidRPr="00441417">
          <w:rPr>
            <w:rStyle w:val="Hyperlink"/>
            <w:lang w:bidi="es-ES"/>
          </w:rPr>
          <w:t>CEDAW/C/BFA/7</w:t>
        </w:r>
      </w:hyperlink>
      <w:r w:rsidRPr="00E22BFC">
        <w:rPr>
          <w:lang w:bidi="es-ES"/>
        </w:rPr>
        <w:t xml:space="preserve">, párr. 24); b) la elaboración y aplicación de un plan de acción nacional contra la trata que garantice el enjuiciamiento y castigo de los delincuentes y el fortalezca la asistencia jurídica y psicosocial y las iniciativas de reintegración necesarias para las víctimas de la trata; y c) los resultados del estudio sobre la trata de personas realizado por el Ministerio de Acción Social y de Solidaridad Nacional en </w:t>
      </w:r>
      <w:hyperlink r:id="rId28" w:history="1">
        <w:r w:rsidRPr="00441417">
          <w:rPr>
            <w:rStyle w:val="Hyperlink"/>
            <w:lang w:bidi="es-ES"/>
          </w:rPr>
          <w:t>2013 (párr. 63)</w:t>
        </w:r>
      </w:hyperlink>
      <w:r w:rsidRPr="00E22BFC">
        <w:rPr>
          <w:lang w:bidi="es-ES"/>
        </w:rPr>
        <w:t>.</w:t>
      </w:r>
      <w:r w:rsidR="00441417">
        <w:rPr>
          <w:lang w:bidi="es-ES"/>
        </w:rPr>
        <w:t xml:space="preserve"> </w:t>
      </w:r>
      <w:r w:rsidRPr="00E22BFC">
        <w:rPr>
          <w:lang w:bidi="es-ES"/>
        </w:rPr>
        <w:t xml:space="preserve"> </w:t>
      </w:r>
    </w:p>
    <w:p w:rsidR="00E22BFC" w:rsidRDefault="00E22BFC" w:rsidP="00E22BFC">
      <w:pPr>
        <w:pStyle w:val="SingleTxt"/>
        <w:numPr>
          <w:ilvl w:val="0"/>
          <w:numId w:val="23"/>
        </w:numPr>
        <w:tabs>
          <w:tab w:val="clear" w:pos="475"/>
          <w:tab w:val="num" w:pos="1742"/>
        </w:tabs>
        <w:ind w:left="1267"/>
        <w:rPr>
          <w:lang w:bidi="es-ES"/>
        </w:rPr>
      </w:pPr>
      <w:r w:rsidRPr="00E22BFC">
        <w:rPr>
          <w:lang w:bidi="es-ES"/>
        </w:rPr>
        <w:t>Se ruega proporcionar datos actualizados, desglosados por sexo y edad, sobre el alcance y las formas de trata y de explotación de la prostitución y ofrecer detalles de casos de enjuiciamiento y sanción de los autores de delitos de trata de mujeres y niñas, al igual que sobre las medidas de protección y las reparaciones otorgadas a las víctimas. Asimismo se ruega señalar la existencia de servicios sociales y de cualquier tipo de asistencia disponible para las mujeres que deseen abandonar la prostitución.</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Participación en la vida política y pública y la toma de decisiones</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El Comité toma nota de la aprobación de la Ley núm. 010-2009, de 16 de abril de 2009, que establece una cuota de al menos un 30% de candidatos de ambos sexos en las listas electorales para las elecciones legislativas y municipales y los incentivos financieros complementarios (párrs. 37 y 66). Sin embargo, también observa la falta de un decreto de aplicación y el débil impacto de la Ley en la representación de las mujeres en cargos electos, la cual, tras las elecciones de noviembre de 2015, es de un 11% en el parlamento. Se ruega proporcionar información sobre las medidas que el Estado parte tomará para: a) endurecer las penas ante el incumplimiento de esta ley; b) armonizar sus disposiciones y las del artículo 154 del Código Electoral (Ley núm. 005-2015/CNT, de 7 de abril de 2015), que requiere la representación de solamente un hombre o una mujer en la lista de candidatos; y c) acelerar la participación plena y en pie de igualdad de las mujeres en la vida política y pública en todos los niveles y en la representación internacional (véase </w:t>
      </w:r>
      <w:hyperlink r:id="rId29" w:history="1">
        <w:r w:rsidRPr="00441417">
          <w:rPr>
            <w:rStyle w:val="Hyperlink"/>
            <w:lang w:bidi="es-ES"/>
          </w:rPr>
          <w:t>CEDAW/C/BFA/CO/6</w:t>
        </w:r>
      </w:hyperlink>
      <w:r w:rsidRPr="00E22BFC">
        <w:rPr>
          <w:lang w:bidi="es-ES"/>
        </w:rPr>
        <w:t xml:space="preserve">, párr. 30). </w:t>
      </w: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Educación</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El Comité toma nota de la aprobación, en 2012, de la Estrategia Nacional para Acelerar la Educación de las Niñas (párr. 38). Se ruega proporcionar detalles sobre los resultados de cualquier evaluación de esta estrategia y sobre la medida en que ha abordado las preocupaciones anteriores del Comité en lo relativo a la ampliación del acceso de las niñas a la educación en todo el Estado parte (véase </w:t>
      </w:r>
      <w:hyperlink r:id="rId30" w:history="1">
        <w:r w:rsidRPr="00441417">
          <w:rPr>
            <w:rStyle w:val="Hyperlink"/>
            <w:lang w:bidi="es-ES"/>
          </w:rPr>
          <w:t>CEDAW/C/BFA/CO/6</w:t>
        </w:r>
      </w:hyperlink>
      <w:r w:rsidRPr="00E22BFC">
        <w:rPr>
          <w:lang w:bidi="es-ES"/>
        </w:rPr>
        <w:t xml:space="preserve">, párr. 31). Se ruega informar al Comité sobre: a) si se han eliminado todos los costos relativos a la educación básica, incluidos los costos ocultos, como los pagos a asociaciones de padres y maestros; b) el resultado de cualquier evaluación de la eficacia del consejo nacional de prevención de la violencia en el medio escolar (párr. 99); y c) si se incorporaron los derechos humanos y la igualdad de género en el material de capacitación (véase </w:t>
      </w:r>
      <w:hyperlink r:id="rId31" w:history="1">
        <w:r w:rsidRPr="00441417">
          <w:rPr>
            <w:rStyle w:val="Hyperlink"/>
            <w:lang w:bidi="es-ES"/>
          </w:rPr>
          <w:t>CEDAW/C/BFA/CO/6</w:t>
        </w:r>
      </w:hyperlink>
      <w:r w:rsidRPr="00E22BFC">
        <w:rPr>
          <w:lang w:bidi="es-ES"/>
        </w:rPr>
        <w:t>, párr. 32).</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Empleo</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El Estado parte informó al Comité de que su Constitución, el Código de las Personas y de la Familia y el Código del Trabajo contienen varias disposiciones que propugnan el trabajo y la formación profesional de la mujer. Dichas disposiciones abordan la discriminación, el acoso sexual, el despido, el derecho a igual remuneración y las sanciones en caso de incumplimiento (párr. 107). Se ruega proporcionar detalles sobre estas disposiciones y sobre cómo se aplican para que las víctimas de discriminación por razón de género y de acoso sexual en el lugar de trabajo puedan obtener reparación (véase </w:t>
      </w:r>
      <w:hyperlink r:id="rId32" w:history="1">
        <w:r w:rsidRPr="00441417">
          <w:rPr>
            <w:rStyle w:val="Hyperlink"/>
            <w:lang w:bidi="es-ES"/>
          </w:rPr>
          <w:t>CEDAW/C/BFA/CO/6</w:t>
        </w:r>
      </w:hyperlink>
      <w:r w:rsidRPr="00E22BFC">
        <w:rPr>
          <w:lang w:bidi="es-ES"/>
        </w:rPr>
        <w:t>, párr.</w:t>
      </w:r>
      <w:r w:rsidR="00441417">
        <w:rPr>
          <w:lang w:bidi="es-ES"/>
        </w:rPr>
        <w:t xml:space="preserve"> </w:t>
      </w:r>
      <w:r w:rsidRPr="00E22BFC">
        <w:rPr>
          <w:lang w:bidi="es-ES"/>
        </w:rPr>
        <w:t>34). Se ruega facilitar datos desglosados por sexo sobre la cantidad de casos presentados, la naturaleza de las violaciones, las investigaciones abiertas, las sanciones aplicadas y los recursos proporcionados a las víctimas. Se ruega remitir al Comité información actualizada sobre las revisiones previstas para la política del Estado parte relativa a la imposibilidad de la mujer de beneficiarse de subvenciones familiares o de la reducción de los cargos que se le aplican en función del impuesto único sobre los salarios y sueldos, que se concede automáticamente al padre (párr. 109). Asimismo se ruega informar al Comité sobre el plazo previsto para la ratificación del Convenio sobre las Trabajadoras y los Trabajadores Domésticos</w:t>
      </w:r>
      <w:r w:rsidRPr="00A71AD8">
        <w:rPr>
          <w:color w:val="000000" w:themeColor="text1"/>
          <w:lang w:bidi="es-ES"/>
        </w:rPr>
        <w:t xml:space="preserve">, </w:t>
      </w:r>
      <w:hyperlink r:id="rId33" w:history="1">
        <w:r w:rsidRPr="00A71AD8">
          <w:rPr>
            <w:rStyle w:val="Hyperlink"/>
            <w:color w:val="000000" w:themeColor="text1"/>
            <w:lang w:bidi="es-ES"/>
          </w:rPr>
          <w:t>2011 (Núm. 189)</w:t>
        </w:r>
      </w:hyperlink>
      <w:r w:rsidRPr="00E22BFC">
        <w:rPr>
          <w:lang w:bidi="es-ES"/>
        </w:rPr>
        <w:t xml:space="preserve"> de la Organización Internacional del Trabajo.</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Salud</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numPr>
          <w:ilvl w:val="0"/>
          <w:numId w:val="23"/>
        </w:numPr>
        <w:tabs>
          <w:tab w:val="clear" w:pos="475"/>
          <w:tab w:val="num" w:pos="1742"/>
        </w:tabs>
        <w:ind w:left="1267"/>
        <w:rPr>
          <w:lang w:bidi="es-ES"/>
        </w:rPr>
      </w:pPr>
      <w:r w:rsidRPr="00E22BFC">
        <w:rPr>
          <w:lang w:bidi="es-ES"/>
        </w:rPr>
        <w:t>Se ruega comunicar al Comité sobre el progreso</w:t>
      </w:r>
      <w:r w:rsidR="00A71AD8">
        <w:rPr>
          <w:lang w:bidi="es-ES"/>
        </w:rPr>
        <w:t xml:space="preserve"> realizado en lo relativo a: a) </w:t>
      </w:r>
      <w:r w:rsidRPr="00E22BFC">
        <w:rPr>
          <w:lang w:bidi="es-ES"/>
        </w:rPr>
        <w:t xml:space="preserve">la derogación de los artículos 383 a 390 del Código Penal que tipifican el aborto como delito; b) la eliminación de las trabas procesales que obstaculizan efectivamente el acceso al aborto legal en casos de violación o incesto (entre ellas, obtener una sentencia judicial que reconozca el delito y que limite la realización del aborto, en tales casos, a las primeras diez semanas de gestación); c) la formulación de directrices claras para que el personal de atención de salud mejore la accesibilidad y la disponibilidad de servicios de aborto y posaborto seguros; d) la concienciación sobre el acceso a abortos legales y la provisión de cuidados posaborto en todos los casos; y e) la ampliación de la disponibilidad y el acceso a la información y los servicios de salud sexual y reproductiva en todo el Estado parte, incluso mediante la lucha por eliminar el estigma creado en torno al uso de anticonceptivos por parte de las mujeres (véase </w:t>
      </w:r>
      <w:hyperlink r:id="rId34" w:history="1">
        <w:r w:rsidRPr="00441417">
          <w:rPr>
            <w:rStyle w:val="Hyperlink"/>
            <w:lang w:bidi="es-ES"/>
          </w:rPr>
          <w:t>CEDAW/C/BFA/CO/6</w:t>
        </w:r>
      </w:hyperlink>
      <w:r w:rsidRPr="00E22BFC">
        <w:rPr>
          <w:lang w:bidi="es-ES"/>
        </w:rPr>
        <w:t xml:space="preserve">, párr. 40). </w:t>
      </w: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Se ruega aclarar si el plan estratégico para la salud mental incluye como objetivo específico medidas para tratar los trastornos y enfermedades mentales de las mujeres, entre ellas, el asesoramiento psicosocial para mujeres y niñas afectadas por situaciones traumáticas, estrés grave y otros problemas conductuales y de salud mental (párr. 124). Se ruega facilitar al Comité datos desglosados por sexo sobre los casos denunciados tratados por el servicio de salud mental (véase </w:t>
      </w:r>
      <w:hyperlink r:id="rId35" w:history="1">
        <w:r w:rsidRPr="00441417">
          <w:rPr>
            <w:rStyle w:val="Hyperlink"/>
            <w:lang w:bidi="es-ES"/>
          </w:rPr>
          <w:t>CEDAW/C/BFA/CO/6</w:t>
        </w:r>
      </w:hyperlink>
      <w:r w:rsidRPr="00E22BFC">
        <w:rPr>
          <w:lang w:bidi="es-ES"/>
        </w:rPr>
        <w:t>, párr. 38). Asimismo se ruega proporcionar información sobre la atención especializada brindada a mujeres y niñas con discapacidades, en particular a aquellas que residen en zonas rurales.</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Ventajas sociales y económicas</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Se ruega indicar si la igualdad de género es un componente explícito de los programas de desarrollo a nivel nacional y local del Estado parte (véase </w:t>
      </w:r>
      <w:hyperlink r:id="rId36" w:history="1">
        <w:r w:rsidRPr="00441417">
          <w:rPr>
            <w:rStyle w:val="Hyperlink"/>
            <w:lang w:bidi="es-ES"/>
          </w:rPr>
          <w:t>CEDAW/C/BFA/CO/6</w:t>
        </w:r>
      </w:hyperlink>
      <w:r w:rsidRPr="00E22BFC">
        <w:rPr>
          <w:lang w:bidi="es-ES"/>
        </w:rPr>
        <w:t xml:space="preserve">, párr. 36). Se ruega dar a conocer el resultado de cualquier evaluación de la eficacia de la Dirección General de Promoción del Emprendimiento de las Mujeres y de la Sociedad Financiera de Garantía Interbancaria de Burkina Faso en lo relativo a la reducción de la pobreza y a la ampliación del acceso a préstamos por parte de las mujeres en todo el Estado parte (párr. 42). </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Mujeres rurales</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rPr>
          <w:lang w:bidi="es-ES"/>
        </w:rPr>
      </w:pPr>
      <w:r w:rsidRPr="00E22BFC">
        <w:rPr>
          <w:lang w:bidi="es-ES"/>
        </w:rPr>
        <w:t xml:space="preserve">Se ruega informar al Comité sobre la existencia de estrategias y programas de desarrollo que tengan en cuenta el género y que garanticen la plena participación de las mujeres rurales en su formulación y aplicación (véase </w:t>
      </w:r>
      <w:hyperlink r:id="rId37" w:history="1">
        <w:r w:rsidRPr="00441417">
          <w:rPr>
            <w:rStyle w:val="Hyperlink"/>
            <w:lang w:bidi="es-ES"/>
          </w:rPr>
          <w:t>CEDAW/C/BFA/CO/6</w:t>
        </w:r>
      </w:hyperlink>
      <w:r w:rsidRPr="00E22BFC">
        <w:rPr>
          <w:lang w:bidi="es-ES"/>
        </w:rPr>
        <w:t>, párr. 44, recomendación general núm. 34 (2016) sobre los derechos de las mujeres rurales). Se ruega informar al Comité sobre las medidas adoptadas para la concienciación y el cumplimiento del derecho de las mujeres a ser adjudicatarias del 30% de las tierras destinadas al desarrollo (párr. 157). Se ruega proporcionar detalles sobre los mecanismos de denuncia disponibles para las mujeres que sufren discriminación en lo relativo a su derecho al acceso, la propiedad, la utilización y la herencia de tierras, y la cantidad de casos presentados, la naturaleza de las violaciones, las investigaciones abiertas, las sanciones aplicadas y los recursos proporcionados a las víctimas.</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Mujeres de edad y viudas</w:t>
      </w:r>
    </w:p>
    <w:p w:rsidR="00E22BFC" w:rsidRPr="00E22BFC" w:rsidRDefault="00E22BFC" w:rsidP="00E22BFC">
      <w:pPr>
        <w:pStyle w:val="SingleTxt"/>
        <w:spacing w:after="0" w:line="120" w:lineRule="exact"/>
        <w:rPr>
          <w:sz w:val="10"/>
          <w:lang w:bidi="es-ES"/>
        </w:rPr>
      </w:pPr>
    </w:p>
    <w:p w:rsidR="00E22BFC" w:rsidRPr="00E22BFC" w:rsidRDefault="00E22BFC" w:rsidP="00E22BFC">
      <w:pPr>
        <w:pStyle w:val="SingleTxt"/>
        <w:numPr>
          <w:ilvl w:val="0"/>
          <w:numId w:val="23"/>
        </w:numPr>
        <w:tabs>
          <w:tab w:val="clear" w:pos="475"/>
          <w:tab w:val="num" w:pos="1742"/>
        </w:tabs>
        <w:ind w:left="1267"/>
        <w:rPr>
          <w:i/>
          <w:lang w:bidi="es-ES"/>
        </w:rPr>
      </w:pPr>
      <w:r w:rsidRPr="00E22BFC">
        <w:rPr>
          <w:lang w:bidi="es-ES"/>
        </w:rPr>
        <w:t xml:space="preserve">Se ruega facilitar al Comité información actualizada sobre el estado del proyecto de ley relativo a la promoción y protección de los derechos de las personas de edad y el plazo para su aprobación (párr. 60). Se ruega indicar si el proyecto de ley aborda específicamente la precaria situación de las mujeres de edad y si garantiza su acceso a los servicios sociales y de salud, si protege sus derechos a la propiedad y la herencia y si brinda un mecanismo de denuncia para asegurar que las víctimas de discriminación puedan reclamar los derechos consagrados en dicha ley (véase </w:t>
      </w:r>
      <w:hyperlink r:id="rId38" w:history="1">
        <w:r w:rsidRPr="00441417">
          <w:rPr>
            <w:rStyle w:val="Hyperlink"/>
            <w:lang w:bidi="es-ES"/>
          </w:rPr>
          <w:t>CEDAW/C/BFA/CO/6</w:t>
        </w:r>
      </w:hyperlink>
      <w:r w:rsidRPr="00E22BFC">
        <w:rPr>
          <w:lang w:bidi="es-ES"/>
        </w:rPr>
        <w:t>, párr. 46). Se ruega informar al Comité sobre el mecanismo para supervisar la aplicación del plan de acción nacional para combatir la exclusión social de personas acusadas de brujería (2012 a 2016) (párr. 59) y sobre el resultado de cualquier evaluación de su eficacia. Asimismo se ruega facilitar detalles sobre los programas existentes para modificar las opiniones tradicionales sobre las mujeres de edad y las viudas con miras a combatir toda forma de discrimin</w:t>
      </w:r>
      <w:r>
        <w:rPr>
          <w:lang w:bidi="es-ES"/>
        </w:rPr>
        <w:t>ación y violencia contra ellas.</w:t>
      </w:r>
    </w:p>
    <w:p w:rsidR="00E22BFC" w:rsidRPr="00E22BFC" w:rsidRDefault="00E22BFC" w:rsidP="00E22BFC">
      <w:pPr>
        <w:pStyle w:val="SingleTxt"/>
        <w:spacing w:after="0" w:line="120" w:lineRule="exact"/>
        <w:rPr>
          <w:sz w:val="10"/>
          <w:lang w:bidi="es-ES"/>
        </w:rPr>
      </w:pPr>
    </w:p>
    <w:p w:rsidR="00E22BFC" w:rsidRDefault="00E22BFC" w:rsidP="00E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bidi="es-ES"/>
        </w:rPr>
      </w:pPr>
      <w:r>
        <w:rPr>
          <w:lang w:bidi="es-ES"/>
        </w:rPr>
        <w:tab/>
      </w:r>
      <w:r>
        <w:rPr>
          <w:lang w:bidi="es-ES"/>
        </w:rPr>
        <w:tab/>
      </w:r>
      <w:r w:rsidRPr="00E22BFC">
        <w:rPr>
          <w:lang w:bidi="es-ES"/>
        </w:rPr>
        <w:t>La igualdad en el matrimonio y en las relaciones familiares</w:t>
      </w:r>
    </w:p>
    <w:p w:rsidR="00E22BFC" w:rsidRPr="00E22BFC" w:rsidRDefault="00E22BFC" w:rsidP="00E22BFC">
      <w:pPr>
        <w:pStyle w:val="SingleTxt"/>
        <w:spacing w:after="0" w:line="120" w:lineRule="exact"/>
        <w:rPr>
          <w:sz w:val="10"/>
          <w:lang w:bidi="es-ES"/>
        </w:rPr>
      </w:pPr>
    </w:p>
    <w:p w:rsidR="00E22BFC" w:rsidRDefault="00E22BFC" w:rsidP="00E22BFC">
      <w:pPr>
        <w:pStyle w:val="SingleTxt"/>
        <w:numPr>
          <w:ilvl w:val="0"/>
          <w:numId w:val="23"/>
        </w:numPr>
        <w:tabs>
          <w:tab w:val="clear" w:pos="475"/>
          <w:tab w:val="num" w:pos="1742"/>
        </w:tabs>
        <w:ind w:left="1267"/>
      </w:pPr>
      <w:r w:rsidRPr="00E22BFC">
        <w:rPr>
          <w:lang w:bidi="es-ES"/>
        </w:rPr>
        <w:t xml:space="preserve">Se ruega indicar al Comité el plazo para derogar todas las disposiciones discriminatorias del Código de las Personas y de la Familia, según el estudio encomendado por el Gobierno en diciembre de 2012 con el fin de revocar todas las disposiciones del código que fueran desfavorables para las mujeres, entre ellas los artículos 257 a 262, sobre la poligamia, el artículo 294, sobre la elección del domicilio, y el artículo 741, sobre la herencia (véase </w:t>
      </w:r>
      <w:hyperlink r:id="rId39" w:history="1">
        <w:r w:rsidRPr="00441417">
          <w:rPr>
            <w:rStyle w:val="Hyperlink"/>
            <w:lang w:bidi="es-ES"/>
          </w:rPr>
          <w:t>CEDAW/C/BFA/CO/6/Add.1</w:t>
        </w:r>
      </w:hyperlink>
      <w:r w:rsidRPr="00E22BFC">
        <w:rPr>
          <w:lang w:bidi="es-ES"/>
        </w:rPr>
        <w:t xml:space="preserve">, párr. 50). Se ruega informar al Comité el plazo para la reforma del artículo 238 del Código con el fin de garantizar que esta disposición sea aplicable a todas las formas de matrimonio, incluidos los matrimonios civiles, religiosos o consuetudinarios, y que imponga sanciones a quienes contraigan matrimonio con niños y matrimonios precoces (véase </w:t>
      </w:r>
      <w:hyperlink r:id="rId40" w:history="1">
        <w:r w:rsidRPr="00441417">
          <w:rPr>
            <w:rStyle w:val="Hyperlink"/>
            <w:lang w:bidi="es-ES"/>
          </w:rPr>
          <w:t>CEDAW/C/BFA/CO/6</w:t>
        </w:r>
      </w:hyperlink>
      <w:r w:rsidRPr="00E22BFC">
        <w:rPr>
          <w:lang w:bidi="es-ES"/>
        </w:rPr>
        <w:t>, párr. 50). Se ruega proporcionar al Comité información actualizada sobre el plazo para la aprobación de un código de las personas y de la familia que fije en 18 años la edad legal mínima para contraer matrimonio de mujeres y hombres. Asimismo se ruega informar al Comité sobre si la estrategia nacional de prevención y eliminación del matrimonio infantil (2016 a 2025), aprobada en noviembre de 2015, proporciona a las víctimas de matrimonios infantiles y matrimonios precoces el acceso a refugios, a asistencia psicológica y atención médica y a recibir asesoría jurídica para realizar denuncias.</w:t>
      </w:r>
    </w:p>
    <w:p w:rsidR="00E22BFC" w:rsidRPr="00E22BFC" w:rsidRDefault="00441417" w:rsidP="00E22BFC">
      <w:pPr>
        <w:pStyle w:val="SingleTxt"/>
      </w:pPr>
      <w:r>
        <w:rPr>
          <w:noProof/>
          <w:w w:val="100"/>
          <w:lang w:val="en-GB" w:eastAsia="en-GB"/>
        </w:rPr>
        <mc:AlternateContent>
          <mc:Choice Requires="wps">
            <w:drawing>
              <wp:anchor distT="0" distB="0" distL="114300" distR="114300" simplePos="0" relativeHeight="251659264" behindDoc="0" locked="0" layoutInCell="1" allowOverlap="1" wp14:anchorId="50725733" wp14:editId="4D883025">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22BFC" w:rsidRPr="00E22BFC" w:rsidSect="007D5147">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7T19:01:00Z" w:initials="Start">
    <w:p w:rsidR="00A134CC" w:rsidRPr="00E22BFC" w:rsidRDefault="00A134CC">
      <w:pPr>
        <w:pStyle w:val="CommentText"/>
        <w:rPr>
          <w:lang w:val="en-US"/>
        </w:rPr>
      </w:pPr>
      <w:r>
        <w:fldChar w:fldCharType="begin"/>
      </w:r>
      <w:r w:rsidRPr="00E22BFC">
        <w:rPr>
          <w:rStyle w:val="CommentReference"/>
          <w:lang w:val="en-US"/>
        </w:rPr>
        <w:instrText xml:space="preserve"> </w:instrText>
      </w:r>
      <w:r w:rsidRPr="00E22BFC">
        <w:rPr>
          <w:lang w:val="en-US"/>
        </w:rPr>
        <w:instrText>PAGE \# "'Page: '#'</w:instrText>
      </w:r>
      <w:r w:rsidRPr="00E22BFC">
        <w:rPr>
          <w:lang w:val="en-US"/>
        </w:rPr>
        <w:br/>
        <w:instrText>'"</w:instrText>
      </w:r>
      <w:r w:rsidRPr="00E22BFC">
        <w:rPr>
          <w:rStyle w:val="CommentReference"/>
          <w:lang w:val="en-US"/>
        </w:rPr>
        <w:instrText xml:space="preserve"> </w:instrText>
      </w:r>
      <w:r>
        <w:fldChar w:fldCharType="end"/>
      </w:r>
      <w:r>
        <w:rPr>
          <w:rStyle w:val="CommentReference"/>
        </w:rPr>
        <w:annotationRef/>
      </w:r>
      <w:r w:rsidRPr="00E22BFC">
        <w:rPr>
          <w:lang w:val="en-US"/>
        </w:rPr>
        <w:t>&lt;&lt;ODS JOB NO&gt;&gt;N1706550S&lt;&lt;ODS JOB NO&gt;&gt;</w:t>
      </w:r>
    </w:p>
    <w:p w:rsidR="00A134CC" w:rsidRPr="00E22BFC" w:rsidRDefault="00A134CC">
      <w:pPr>
        <w:pStyle w:val="CommentText"/>
        <w:rPr>
          <w:lang w:val="en-US"/>
        </w:rPr>
      </w:pPr>
      <w:r w:rsidRPr="00E22BFC">
        <w:rPr>
          <w:lang w:val="en-US"/>
        </w:rPr>
        <w:t>&lt;&lt;ODS DOC SYMBOL1&gt;&gt;CEDAW/C/BFA/Q/7&lt;&lt;ODS DOC SYMBOL1&gt;&gt;</w:t>
      </w:r>
    </w:p>
    <w:p w:rsidR="00A134CC" w:rsidRPr="00E22BFC" w:rsidRDefault="00A134CC">
      <w:pPr>
        <w:pStyle w:val="CommentText"/>
        <w:rPr>
          <w:lang w:val="en-US"/>
        </w:rPr>
      </w:pPr>
      <w:r w:rsidRPr="00E22BF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F0E" w:rsidRDefault="00E93F0E" w:rsidP="00556720">
      <w:r>
        <w:separator/>
      </w:r>
    </w:p>
  </w:endnote>
  <w:endnote w:type="continuationSeparator" w:id="0">
    <w:p w:rsidR="00E93F0E" w:rsidRDefault="00E93F0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134CC" w:rsidTr="00A134CC">
      <w:tc>
        <w:tcPr>
          <w:tcW w:w="5028" w:type="dxa"/>
          <w:shd w:val="clear" w:color="auto" w:fill="auto"/>
        </w:tcPr>
        <w:p w:rsidR="00A134CC" w:rsidRPr="00A134CC" w:rsidRDefault="00A134CC" w:rsidP="00A134C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F3868">
            <w:rPr>
              <w:b w:val="0"/>
              <w:color w:val="000000"/>
              <w:w w:val="103"/>
              <w:sz w:val="14"/>
            </w:rPr>
            <w:t>17-04023</w:t>
          </w:r>
          <w:r>
            <w:rPr>
              <w:b w:val="0"/>
              <w:color w:val="000000"/>
              <w:w w:val="103"/>
              <w:sz w:val="14"/>
            </w:rPr>
            <w:fldChar w:fldCharType="end"/>
          </w:r>
        </w:p>
      </w:tc>
      <w:tc>
        <w:tcPr>
          <w:tcW w:w="5028" w:type="dxa"/>
          <w:shd w:val="clear" w:color="auto" w:fill="auto"/>
        </w:tcPr>
        <w:p w:rsidR="00A134CC" w:rsidRPr="00A134CC" w:rsidRDefault="00A134CC" w:rsidP="00A134C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379E0">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379E0">
            <w:rPr>
              <w:color w:val="000000"/>
              <w:w w:val="103"/>
            </w:rPr>
            <w:t>2</w:t>
          </w:r>
          <w:r>
            <w:rPr>
              <w:color w:val="000000"/>
              <w:w w:val="103"/>
            </w:rPr>
            <w:fldChar w:fldCharType="end"/>
          </w:r>
        </w:p>
      </w:tc>
    </w:tr>
  </w:tbl>
  <w:p w:rsidR="00A134CC" w:rsidRPr="00A134CC" w:rsidRDefault="00A134CC" w:rsidP="00A134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134CC" w:rsidTr="00A134CC">
      <w:tc>
        <w:tcPr>
          <w:tcW w:w="5028" w:type="dxa"/>
          <w:shd w:val="clear" w:color="auto" w:fill="auto"/>
        </w:tcPr>
        <w:p w:rsidR="00A134CC" w:rsidRPr="00A134CC" w:rsidRDefault="00A134CC" w:rsidP="00A134C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F3868">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F3868">
            <w:rPr>
              <w:color w:val="000000"/>
              <w:w w:val="103"/>
            </w:rPr>
            <w:t>7</w:t>
          </w:r>
          <w:r>
            <w:rPr>
              <w:color w:val="000000"/>
              <w:w w:val="103"/>
            </w:rPr>
            <w:fldChar w:fldCharType="end"/>
          </w:r>
        </w:p>
      </w:tc>
      <w:tc>
        <w:tcPr>
          <w:tcW w:w="5028" w:type="dxa"/>
          <w:shd w:val="clear" w:color="auto" w:fill="auto"/>
        </w:tcPr>
        <w:p w:rsidR="00A134CC" w:rsidRPr="00A134CC" w:rsidRDefault="00A134CC" w:rsidP="00A134C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F3868">
            <w:rPr>
              <w:b w:val="0"/>
              <w:color w:val="000000"/>
              <w:w w:val="103"/>
              <w:sz w:val="14"/>
            </w:rPr>
            <w:t>17-04023</w:t>
          </w:r>
          <w:r>
            <w:rPr>
              <w:b w:val="0"/>
              <w:color w:val="000000"/>
              <w:w w:val="103"/>
              <w:sz w:val="14"/>
            </w:rPr>
            <w:fldChar w:fldCharType="end"/>
          </w:r>
        </w:p>
      </w:tc>
    </w:tr>
  </w:tbl>
  <w:p w:rsidR="00A134CC" w:rsidRPr="00A134CC" w:rsidRDefault="00A134CC" w:rsidP="00A134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4CC" w:rsidRPr="00A134CC" w:rsidRDefault="00A134CC" w:rsidP="00A134CC">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5721A96A" wp14:editId="416D2EA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FA/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FA/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A134CC" w:rsidTr="00A134CC">
      <w:tc>
        <w:tcPr>
          <w:tcW w:w="3830" w:type="dxa"/>
        </w:tcPr>
        <w:p w:rsidR="00A134CC" w:rsidRDefault="00A134CC" w:rsidP="00A134CC">
          <w:pPr>
            <w:pStyle w:val="ReleaseDate"/>
          </w:pPr>
          <w:r>
            <w:t>17-04023 (S)</w:t>
          </w:r>
          <w:r w:rsidR="00E22BFC">
            <w:t xml:space="preserve">    040417    </w:t>
          </w:r>
          <w:r w:rsidR="00AE0A21">
            <w:t>0805</w:t>
          </w:r>
          <w:r>
            <w:t>17</w:t>
          </w:r>
        </w:p>
        <w:p w:rsidR="00A134CC" w:rsidRPr="00A134CC" w:rsidRDefault="00A134CC" w:rsidP="00A134C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*1704023*</w:t>
          </w:r>
        </w:p>
      </w:tc>
      <w:tc>
        <w:tcPr>
          <w:tcW w:w="5028" w:type="dxa"/>
        </w:tcPr>
        <w:p w:rsidR="00A134CC" w:rsidRDefault="00A134CC" w:rsidP="00A134CC">
          <w:pPr>
            <w:pStyle w:val="Footer"/>
            <w:jc w:val="right"/>
            <w:rPr>
              <w:b w:val="0"/>
              <w:sz w:val="20"/>
            </w:rPr>
          </w:pPr>
          <w:r>
            <w:rPr>
              <w:b w:val="0"/>
              <w:sz w:val="20"/>
              <w:lang w:val="en-GB" w:eastAsia="en-GB"/>
            </w:rPr>
            <w:drawing>
              <wp:inline distT="0" distB="0" distL="0" distR="0" wp14:anchorId="14A4CDFD" wp14:editId="117F114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134CC" w:rsidRPr="00A134CC" w:rsidRDefault="00A134CC" w:rsidP="00A134C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F0E" w:rsidRPr="00E22BFC" w:rsidRDefault="00E22BFC" w:rsidP="00E22BFC">
      <w:pPr>
        <w:pStyle w:val="Footer"/>
        <w:spacing w:after="80"/>
        <w:ind w:left="792"/>
        <w:rPr>
          <w:sz w:val="16"/>
        </w:rPr>
      </w:pPr>
      <w:r w:rsidRPr="00E22BFC">
        <w:rPr>
          <w:sz w:val="16"/>
        </w:rPr>
        <w:t>__________________</w:t>
      </w:r>
    </w:p>
  </w:footnote>
  <w:footnote w:type="continuationSeparator" w:id="0">
    <w:p w:rsidR="00E93F0E" w:rsidRPr="00E22BFC" w:rsidRDefault="00E22BFC" w:rsidP="00E22BFC">
      <w:pPr>
        <w:pStyle w:val="Footer"/>
        <w:spacing w:after="80"/>
        <w:ind w:left="792"/>
        <w:rPr>
          <w:sz w:val="16"/>
        </w:rPr>
      </w:pPr>
      <w:r w:rsidRPr="00E22BFC">
        <w:rPr>
          <w:sz w:val="16"/>
        </w:rPr>
        <w:t>__________________</w:t>
      </w:r>
    </w:p>
  </w:footnote>
  <w:footnote w:id="1">
    <w:p w:rsidR="00E22BFC" w:rsidRDefault="00E22BFC" w:rsidP="00E22BFC">
      <w:pPr>
        <w:pStyle w:val="FootnoteText"/>
        <w:widowControl w:val="0"/>
        <w:tabs>
          <w:tab w:val="clear" w:pos="418"/>
          <w:tab w:val="right" w:pos="1195"/>
          <w:tab w:val="left" w:pos="1267"/>
          <w:tab w:val="left" w:pos="1742"/>
          <w:tab w:val="left" w:pos="2218"/>
          <w:tab w:val="left" w:pos="2693"/>
        </w:tabs>
        <w:ind w:left="1267" w:right="1267" w:hanging="432"/>
      </w:pPr>
      <w:r>
        <w:tab/>
      </w:r>
      <w:r>
        <w:rPr>
          <w:i/>
        </w:rPr>
        <w:t>Nota:</w:t>
      </w:r>
      <w:r>
        <w:t xml:space="preserve"> Este documento se distribuye únicamente en español, francés e inglés.</w:t>
      </w:r>
    </w:p>
    <w:p w:rsidR="00E22BFC" w:rsidRPr="00B70812" w:rsidRDefault="00E22BFC" w:rsidP="00E22BFC">
      <w:pPr>
        <w:pStyle w:val="FootnoteText"/>
        <w:widowControl w:val="0"/>
        <w:tabs>
          <w:tab w:val="clear" w:pos="418"/>
          <w:tab w:val="right" w:pos="1195"/>
          <w:tab w:val="left" w:pos="1267"/>
          <w:tab w:val="left" w:pos="1742"/>
          <w:tab w:val="left" w:pos="2218"/>
          <w:tab w:val="left" w:pos="2693"/>
        </w:tabs>
        <w:ind w:left="1267" w:right="1267" w:hanging="432"/>
        <w:rPr>
          <w:lang w:val="es-AR"/>
        </w:rPr>
      </w:pPr>
      <w:r>
        <w:tab/>
      </w:r>
      <w:r>
        <w:rPr>
          <w:rStyle w:val="FootnoteReference"/>
        </w:rPr>
        <w:footnoteRef/>
      </w:r>
      <w:r>
        <w:tab/>
        <w:t>A menos que se indique lo contrario, los números de párrafo se refieren al séptimo informe periódico del Estado miembro.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134CC" w:rsidTr="00A134CC">
      <w:trPr>
        <w:trHeight w:hRule="exact" w:val="864"/>
      </w:trPr>
      <w:tc>
        <w:tcPr>
          <w:tcW w:w="4838" w:type="dxa"/>
          <w:shd w:val="clear" w:color="auto" w:fill="auto"/>
          <w:vAlign w:val="bottom"/>
        </w:tcPr>
        <w:p w:rsidR="00A134CC" w:rsidRPr="00A134CC" w:rsidRDefault="00A134CC" w:rsidP="00A134C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3868">
            <w:rPr>
              <w:b/>
              <w:color w:val="000000"/>
            </w:rPr>
            <w:t>CEDAW/C/BFA/Q/7</w:t>
          </w:r>
          <w:r>
            <w:rPr>
              <w:b/>
              <w:color w:val="000000"/>
            </w:rPr>
            <w:fldChar w:fldCharType="end"/>
          </w:r>
        </w:p>
      </w:tc>
      <w:tc>
        <w:tcPr>
          <w:tcW w:w="5028" w:type="dxa"/>
          <w:shd w:val="clear" w:color="auto" w:fill="auto"/>
          <w:vAlign w:val="bottom"/>
        </w:tcPr>
        <w:p w:rsidR="00A134CC" w:rsidRDefault="00A134CC" w:rsidP="00A134CC">
          <w:pPr>
            <w:pStyle w:val="Header"/>
          </w:pPr>
        </w:p>
      </w:tc>
    </w:tr>
  </w:tbl>
  <w:p w:rsidR="00A134CC" w:rsidRPr="00A134CC" w:rsidRDefault="00A134CC" w:rsidP="00A134C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134CC" w:rsidTr="00A134CC">
      <w:trPr>
        <w:trHeight w:hRule="exact" w:val="864"/>
      </w:trPr>
      <w:tc>
        <w:tcPr>
          <w:tcW w:w="4838" w:type="dxa"/>
          <w:shd w:val="clear" w:color="auto" w:fill="auto"/>
          <w:vAlign w:val="bottom"/>
        </w:tcPr>
        <w:p w:rsidR="00A134CC" w:rsidRDefault="00A134CC" w:rsidP="00A134CC">
          <w:pPr>
            <w:pStyle w:val="Header"/>
          </w:pPr>
        </w:p>
      </w:tc>
      <w:tc>
        <w:tcPr>
          <w:tcW w:w="5028" w:type="dxa"/>
          <w:shd w:val="clear" w:color="auto" w:fill="auto"/>
          <w:vAlign w:val="bottom"/>
        </w:tcPr>
        <w:p w:rsidR="00A134CC" w:rsidRPr="00A134CC" w:rsidRDefault="00A134CC" w:rsidP="00A134C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3868">
            <w:rPr>
              <w:b/>
              <w:color w:val="000000"/>
            </w:rPr>
            <w:t>CEDAW/C/BFA/Q/7</w:t>
          </w:r>
          <w:r>
            <w:rPr>
              <w:b/>
              <w:color w:val="000000"/>
            </w:rPr>
            <w:fldChar w:fldCharType="end"/>
          </w:r>
        </w:p>
      </w:tc>
    </w:tr>
  </w:tbl>
  <w:p w:rsidR="00A134CC" w:rsidRPr="00A134CC" w:rsidRDefault="00A134CC" w:rsidP="00A134C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134CC" w:rsidTr="00A134CC">
      <w:trPr>
        <w:gridAfter w:val="1"/>
        <w:wAfter w:w="12" w:type="dxa"/>
        <w:trHeight w:hRule="exact" w:val="864"/>
      </w:trPr>
      <w:tc>
        <w:tcPr>
          <w:tcW w:w="1267" w:type="dxa"/>
          <w:tcBorders>
            <w:bottom w:val="single" w:sz="4" w:space="0" w:color="auto"/>
          </w:tcBorders>
          <w:shd w:val="clear" w:color="auto" w:fill="auto"/>
          <w:vAlign w:val="bottom"/>
        </w:tcPr>
        <w:p w:rsidR="00A134CC" w:rsidRDefault="00A134CC" w:rsidP="00A134CC">
          <w:pPr>
            <w:pStyle w:val="Header"/>
            <w:spacing w:after="120"/>
          </w:pPr>
        </w:p>
      </w:tc>
      <w:tc>
        <w:tcPr>
          <w:tcW w:w="2059" w:type="dxa"/>
          <w:tcBorders>
            <w:bottom w:val="single" w:sz="4" w:space="0" w:color="auto"/>
          </w:tcBorders>
          <w:shd w:val="clear" w:color="auto" w:fill="auto"/>
          <w:vAlign w:val="bottom"/>
        </w:tcPr>
        <w:p w:rsidR="00A134CC" w:rsidRPr="00A134CC" w:rsidRDefault="00A134CC" w:rsidP="00A134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134CC" w:rsidRDefault="00A134CC" w:rsidP="00A134CC">
          <w:pPr>
            <w:pStyle w:val="Header"/>
            <w:spacing w:after="120"/>
          </w:pPr>
        </w:p>
      </w:tc>
      <w:tc>
        <w:tcPr>
          <w:tcW w:w="6523" w:type="dxa"/>
          <w:gridSpan w:val="3"/>
          <w:tcBorders>
            <w:bottom w:val="single" w:sz="4" w:space="0" w:color="auto"/>
          </w:tcBorders>
          <w:shd w:val="clear" w:color="auto" w:fill="auto"/>
          <w:vAlign w:val="bottom"/>
        </w:tcPr>
        <w:p w:rsidR="00A134CC" w:rsidRPr="00A134CC" w:rsidRDefault="00A134CC" w:rsidP="00A134CC">
          <w:pPr>
            <w:spacing w:after="80" w:line="240" w:lineRule="auto"/>
            <w:jc w:val="right"/>
            <w:rPr>
              <w:position w:val="-4"/>
            </w:rPr>
          </w:pPr>
          <w:r>
            <w:rPr>
              <w:position w:val="-4"/>
              <w:sz w:val="40"/>
            </w:rPr>
            <w:t>CEDAW</w:t>
          </w:r>
          <w:r>
            <w:rPr>
              <w:position w:val="-4"/>
            </w:rPr>
            <w:t>/C/BFA/Q/7</w:t>
          </w:r>
        </w:p>
      </w:tc>
    </w:tr>
    <w:tr w:rsidR="00A134CC" w:rsidRPr="00A134CC" w:rsidTr="00A134CC">
      <w:trPr>
        <w:trHeight w:hRule="exact" w:val="2880"/>
      </w:trPr>
      <w:tc>
        <w:tcPr>
          <w:tcW w:w="1267" w:type="dxa"/>
          <w:tcBorders>
            <w:top w:val="single" w:sz="4" w:space="0" w:color="auto"/>
            <w:bottom w:val="single" w:sz="12" w:space="0" w:color="auto"/>
          </w:tcBorders>
          <w:shd w:val="clear" w:color="auto" w:fill="auto"/>
        </w:tcPr>
        <w:p w:rsidR="00A134CC" w:rsidRPr="00A134CC" w:rsidRDefault="00A134CC" w:rsidP="00A134CC">
          <w:pPr>
            <w:pStyle w:val="Header"/>
            <w:spacing w:before="120"/>
            <w:jc w:val="center"/>
          </w:pPr>
          <w:r>
            <w:t xml:space="preserve"> </w:t>
          </w:r>
          <w:r>
            <w:rPr>
              <w:lang w:val="en-GB" w:eastAsia="en-GB"/>
            </w:rPr>
            <w:drawing>
              <wp:inline distT="0" distB="0" distL="0" distR="0" wp14:anchorId="1944B807" wp14:editId="7C54AA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134CC" w:rsidRPr="00A134CC" w:rsidRDefault="00A134CC" w:rsidP="00A134C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134CC" w:rsidRPr="00E22BFC" w:rsidRDefault="00A134CC" w:rsidP="00A134CC">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A134CC" w:rsidRDefault="00A134CC" w:rsidP="00A134CC">
          <w:pPr>
            <w:pStyle w:val="Distribution"/>
            <w:spacing w:before="240"/>
          </w:pPr>
          <w:r>
            <w:t>Distr. general</w:t>
          </w:r>
        </w:p>
        <w:p w:rsidR="00A134CC" w:rsidRDefault="00A134CC" w:rsidP="00A134CC">
          <w:pPr>
            <w:pStyle w:val="Publication"/>
          </w:pPr>
          <w:r>
            <w:t>13 de marzo de 2017</w:t>
          </w:r>
        </w:p>
        <w:p w:rsidR="00A134CC" w:rsidRDefault="00A134CC" w:rsidP="00A134CC">
          <w:r>
            <w:t>Español</w:t>
          </w:r>
        </w:p>
        <w:p w:rsidR="00A134CC" w:rsidRDefault="00A134CC" w:rsidP="00A134CC">
          <w:pPr>
            <w:pStyle w:val="Original"/>
          </w:pPr>
          <w:r>
            <w:t>Original: inglés</w:t>
          </w:r>
        </w:p>
        <w:p w:rsidR="00A134CC" w:rsidRPr="00A134CC" w:rsidRDefault="00A134CC" w:rsidP="00A134CC"/>
      </w:tc>
    </w:tr>
  </w:tbl>
  <w:p w:rsidR="00A134CC" w:rsidRPr="00A134CC" w:rsidRDefault="00A134CC" w:rsidP="00A134C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D0F10"/>
    <w:multiLevelType w:val="singleLevel"/>
    <w:tmpl w:val="DB2A80B4"/>
    <w:lvl w:ilvl="0">
      <w:start w:val="1"/>
      <w:numFmt w:val="decimal"/>
      <w:lvlRestart w:val="0"/>
      <w:lvlText w:val="%1."/>
      <w:lvlJc w:val="left"/>
      <w:pPr>
        <w:tabs>
          <w:tab w:val="num" w:pos="475"/>
        </w:tabs>
        <w:ind w:left="0" w:firstLine="0"/>
      </w:pPr>
      <w:rPr>
        <w:spacing w:val="0"/>
        <w:w w:val="100"/>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B8775A"/>
    <w:multiLevelType w:val="singleLevel"/>
    <w:tmpl w:val="0DE0C5C2"/>
    <w:lvl w:ilvl="0">
      <w:start w:val="1"/>
      <w:numFmt w:val="decimal"/>
      <w:lvlRestart w:val="0"/>
      <w:lvlText w:val="%1."/>
      <w:lvlJc w:val="left"/>
      <w:pPr>
        <w:tabs>
          <w:tab w:val="num" w:pos="475"/>
        </w:tabs>
        <w:ind w:left="0" w:firstLine="0"/>
      </w:pPr>
      <w:rPr>
        <w:i w:val="0"/>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E601B78"/>
    <w:multiLevelType w:val="hybridMultilevel"/>
    <w:tmpl w:val="172EC168"/>
    <w:lvl w:ilvl="0" w:tplc="A08A649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6"/>
  </w:num>
  <w:num w:numId="22">
    <w:abstractNumId w:val="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revisionView w:markup="0"/>
  <w:defaultTabStop w:val="475"/>
  <w:autoHyphenation/>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3*"/>
    <w:docVar w:name="CreationDt" w:val="07/04/2017 7:01: PM"/>
    <w:docVar w:name="DocCategory" w:val="Doc"/>
    <w:docVar w:name="DocType" w:val="Final"/>
    <w:docVar w:name="DutyStation" w:val="New York"/>
    <w:docVar w:name="FooterJN" w:val="17-04023"/>
    <w:docVar w:name="jobn" w:val="17-04023 (S)"/>
    <w:docVar w:name="jobnDT" w:val="17-04023 (S)   070417"/>
    <w:docVar w:name="jobnDTDT" w:val="17-04023 (S)   070417   070417"/>
    <w:docVar w:name="JobNo" w:val="1704023S"/>
    <w:docVar w:name="JobNo2" w:val="17065507:01: PM"/>
    <w:docVar w:name="LocalDrive" w:val="0"/>
    <w:docVar w:name="OandT" w:val="NB"/>
    <w:docVar w:name="sss1" w:val="CEDAW/C/BFA/Q/7"/>
    <w:docVar w:name="sss2" w:val="-"/>
    <w:docVar w:name="Symbol1" w:val="CEDAW/C/BFA/Q/7"/>
    <w:docVar w:name="Symbol2" w:val="-"/>
  </w:docVars>
  <w:rsids>
    <w:rsidRoot w:val="00E93F0E"/>
    <w:rsid w:val="00000C5F"/>
    <w:rsid w:val="00017FCF"/>
    <w:rsid w:val="00024D1E"/>
    <w:rsid w:val="00061A3F"/>
    <w:rsid w:val="00080E32"/>
    <w:rsid w:val="000979B2"/>
    <w:rsid w:val="000C4C9C"/>
    <w:rsid w:val="000C7846"/>
    <w:rsid w:val="000F31F7"/>
    <w:rsid w:val="00133342"/>
    <w:rsid w:val="00145A1A"/>
    <w:rsid w:val="00214645"/>
    <w:rsid w:val="002429E8"/>
    <w:rsid w:val="002706A2"/>
    <w:rsid w:val="002A0DBB"/>
    <w:rsid w:val="002E47D3"/>
    <w:rsid w:val="00354D77"/>
    <w:rsid w:val="00390C8B"/>
    <w:rsid w:val="00397E32"/>
    <w:rsid w:val="003B003E"/>
    <w:rsid w:val="003E3B08"/>
    <w:rsid w:val="003E723B"/>
    <w:rsid w:val="004226DC"/>
    <w:rsid w:val="00441417"/>
    <w:rsid w:val="0044179B"/>
    <w:rsid w:val="00496BEC"/>
    <w:rsid w:val="004B4C46"/>
    <w:rsid w:val="004D17DB"/>
    <w:rsid w:val="00501EC4"/>
    <w:rsid w:val="00530C21"/>
    <w:rsid w:val="00556720"/>
    <w:rsid w:val="005779A5"/>
    <w:rsid w:val="005B5ED1"/>
    <w:rsid w:val="005C49C8"/>
    <w:rsid w:val="006033D7"/>
    <w:rsid w:val="00634C43"/>
    <w:rsid w:val="006649C8"/>
    <w:rsid w:val="00674235"/>
    <w:rsid w:val="00677676"/>
    <w:rsid w:val="00684E72"/>
    <w:rsid w:val="00690655"/>
    <w:rsid w:val="00690885"/>
    <w:rsid w:val="006C6333"/>
    <w:rsid w:val="006F3E60"/>
    <w:rsid w:val="00703CC2"/>
    <w:rsid w:val="00724E4E"/>
    <w:rsid w:val="00757495"/>
    <w:rsid w:val="00767AEC"/>
    <w:rsid w:val="00796319"/>
    <w:rsid w:val="007D5147"/>
    <w:rsid w:val="007F02BD"/>
    <w:rsid w:val="008503C9"/>
    <w:rsid w:val="008534E2"/>
    <w:rsid w:val="00855FFA"/>
    <w:rsid w:val="00857B9D"/>
    <w:rsid w:val="008723C3"/>
    <w:rsid w:val="008E3B0C"/>
    <w:rsid w:val="00910493"/>
    <w:rsid w:val="00951F8F"/>
    <w:rsid w:val="009B451A"/>
    <w:rsid w:val="009E022F"/>
    <w:rsid w:val="009E1969"/>
    <w:rsid w:val="009E2BF1"/>
    <w:rsid w:val="00A134CC"/>
    <w:rsid w:val="00A20AC0"/>
    <w:rsid w:val="00A336F1"/>
    <w:rsid w:val="00A71AD8"/>
    <w:rsid w:val="00A86327"/>
    <w:rsid w:val="00AD7F6D"/>
    <w:rsid w:val="00AE0A21"/>
    <w:rsid w:val="00B723A3"/>
    <w:rsid w:val="00B7626C"/>
    <w:rsid w:val="00BB26DC"/>
    <w:rsid w:val="00BB3A73"/>
    <w:rsid w:val="00BF3868"/>
    <w:rsid w:val="00BF5B27"/>
    <w:rsid w:val="00BF6BE0"/>
    <w:rsid w:val="00C04FB3"/>
    <w:rsid w:val="00C11A0E"/>
    <w:rsid w:val="00C537FD"/>
    <w:rsid w:val="00C779E4"/>
    <w:rsid w:val="00CA0E0D"/>
    <w:rsid w:val="00CB1167"/>
    <w:rsid w:val="00CD55D3"/>
    <w:rsid w:val="00CF1B56"/>
    <w:rsid w:val="00D35254"/>
    <w:rsid w:val="00D379E0"/>
    <w:rsid w:val="00D67734"/>
    <w:rsid w:val="00DC7B16"/>
    <w:rsid w:val="00DE6DE2"/>
    <w:rsid w:val="00E2057E"/>
    <w:rsid w:val="00E22BFC"/>
    <w:rsid w:val="00E34C9D"/>
    <w:rsid w:val="00E93F0E"/>
    <w:rsid w:val="00EF399C"/>
    <w:rsid w:val="00F25651"/>
    <w:rsid w:val="00F27BF6"/>
    <w:rsid w:val="00F30184"/>
    <w:rsid w:val="00F5593E"/>
    <w:rsid w:val="00F73705"/>
    <w:rsid w:val="00F94BC6"/>
    <w:rsid w:val="00FB7373"/>
    <w:rsid w:val="00FD0E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E32"/>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97E3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97E3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97E3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97E3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97E3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97E3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97E3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97E3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97E3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97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97E32"/>
    <w:pPr>
      <w:keepNext/>
      <w:keepLines/>
      <w:spacing w:line="270" w:lineRule="exact"/>
      <w:outlineLvl w:val="0"/>
    </w:pPr>
    <w:rPr>
      <w:b/>
      <w:kern w:val="14"/>
      <w:sz w:val="24"/>
    </w:rPr>
  </w:style>
  <w:style w:type="paragraph" w:customStyle="1" w:styleId="HCh">
    <w:name w:val="_ H _Ch"/>
    <w:basedOn w:val="H1"/>
    <w:next w:val="SingleTxt"/>
    <w:qFormat/>
    <w:rsid w:val="00397E32"/>
    <w:pPr>
      <w:spacing w:line="300" w:lineRule="exact"/>
    </w:pPr>
    <w:rPr>
      <w:spacing w:val="-2"/>
      <w:sz w:val="28"/>
    </w:rPr>
  </w:style>
  <w:style w:type="paragraph" w:customStyle="1" w:styleId="HM">
    <w:name w:val="_ H __M"/>
    <w:basedOn w:val="HCh"/>
    <w:next w:val="Normal"/>
    <w:qFormat/>
    <w:rsid w:val="00397E32"/>
    <w:pPr>
      <w:spacing w:line="360" w:lineRule="exact"/>
    </w:pPr>
    <w:rPr>
      <w:spacing w:val="-3"/>
      <w:w w:val="99"/>
      <w:sz w:val="34"/>
    </w:rPr>
  </w:style>
  <w:style w:type="paragraph" w:customStyle="1" w:styleId="H23">
    <w:name w:val="_ H_2/3"/>
    <w:basedOn w:val="H1"/>
    <w:next w:val="SingleTxt"/>
    <w:qFormat/>
    <w:rsid w:val="00397E32"/>
    <w:pPr>
      <w:spacing w:line="240" w:lineRule="exact"/>
      <w:outlineLvl w:val="1"/>
    </w:pPr>
    <w:rPr>
      <w:spacing w:val="2"/>
      <w:sz w:val="20"/>
    </w:rPr>
  </w:style>
  <w:style w:type="paragraph" w:customStyle="1" w:styleId="H4">
    <w:name w:val="_ H_4"/>
    <w:basedOn w:val="Normal"/>
    <w:next w:val="Normal"/>
    <w:qFormat/>
    <w:rsid w:val="00397E32"/>
    <w:pPr>
      <w:keepNext/>
      <w:keepLines/>
      <w:tabs>
        <w:tab w:val="right" w:pos="360"/>
      </w:tabs>
      <w:outlineLvl w:val="3"/>
    </w:pPr>
    <w:rPr>
      <w:i/>
      <w:spacing w:val="3"/>
      <w:kern w:val="14"/>
    </w:rPr>
  </w:style>
  <w:style w:type="paragraph" w:customStyle="1" w:styleId="H56">
    <w:name w:val="_ H_5/6"/>
    <w:basedOn w:val="Normal"/>
    <w:next w:val="Normal"/>
    <w:qFormat/>
    <w:rsid w:val="00397E32"/>
    <w:pPr>
      <w:keepNext/>
      <w:keepLines/>
      <w:tabs>
        <w:tab w:val="right" w:pos="360"/>
      </w:tabs>
      <w:outlineLvl w:val="4"/>
    </w:pPr>
    <w:rPr>
      <w:kern w:val="14"/>
    </w:rPr>
  </w:style>
  <w:style w:type="paragraph" w:customStyle="1" w:styleId="DualTxt">
    <w:name w:val="__Dual Txt"/>
    <w:basedOn w:val="Normal"/>
    <w:qFormat/>
    <w:rsid w:val="00397E3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97E3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97E32"/>
    <w:pPr>
      <w:spacing w:line="540" w:lineRule="exact"/>
    </w:pPr>
    <w:rPr>
      <w:spacing w:val="-8"/>
      <w:w w:val="96"/>
      <w:sz w:val="57"/>
    </w:rPr>
  </w:style>
  <w:style w:type="paragraph" w:customStyle="1" w:styleId="SS">
    <w:name w:val="__S_S"/>
    <w:basedOn w:val="HCh"/>
    <w:next w:val="Normal"/>
    <w:qFormat/>
    <w:rsid w:val="00397E32"/>
    <w:pPr>
      <w:ind w:left="1267" w:right="1267"/>
    </w:pPr>
  </w:style>
  <w:style w:type="paragraph" w:customStyle="1" w:styleId="SingleTxt">
    <w:name w:val="__Single Txt"/>
    <w:basedOn w:val="Normal"/>
    <w:qFormat/>
    <w:rsid w:val="00397E3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97E32"/>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97E3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97E32"/>
    <w:pPr>
      <w:keepNext/>
      <w:keepLines/>
      <w:spacing w:line="240" w:lineRule="exact"/>
      <w:ind w:left="0" w:right="0" w:firstLine="0"/>
      <w:outlineLvl w:val="1"/>
    </w:pPr>
    <w:rPr>
      <w:sz w:val="20"/>
    </w:rPr>
  </w:style>
  <w:style w:type="paragraph" w:styleId="BalloonText">
    <w:name w:val="Balloon Text"/>
    <w:basedOn w:val="Normal"/>
    <w:link w:val="BalloonTextChar"/>
    <w:semiHidden/>
    <w:rsid w:val="00397E32"/>
    <w:rPr>
      <w:rFonts w:ascii="Tahoma" w:hAnsi="Tahoma" w:cs="Tahoma"/>
      <w:sz w:val="16"/>
      <w:szCs w:val="16"/>
    </w:rPr>
  </w:style>
  <w:style w:type="character" w:customStyle="1" w:styleId="BalloonTextChar">
    <w:name w:val="Balloon Text Char"/>
    <w:basedOn w:val="DefaultParagraphFont"/>
    <w:link w:val="BalloonText"/>
    <w:semiHidden/>
    <w:rsid w:val="00397E32"/>
    <w:rPr>
      <w:rFonts w:ascii="Tahoma" w:eastAsiaTheme="minorHAnsi" w:hAnsi="Tahoma" w:cs="Tahoma"/>
      <w:spacing w:val="4"/>
      <w:w w:val="103"/>
      <w:sz w:val="16"/>
      <w:szCs w:val="16"/>
      <w:lang w:val="es-ES" w:eastAsia="en-US"/>
    </w:rPr>
  </w:style>
  <w:style w:type="paragraph" w:customStyle="1" w:styleId="Bullet1">
    <w:name w:val="Bullet 1"/>
    <w:basedOn w:val="Normal"/>
    <w:qFormat/>
    <w:rsid w:val="00397E32"/>
    <w:pPr>
      <w:numPr>
        <w:numId w:val="17"/>
      </w:numPr>
      <w:spacing w:after="120"/>
      <w:ind w:right="1264"/>
      <w:jc w:val="both"/>
    </w:pPr>
  </w:style>
  <w:style w:type="paragraph" w:customStyle="1" w:styleId="Bullet2">
    <w:name w:val="Bullet 2"/>
    <w:basedOn w:val="Normal"/>
    <w:qFormat/>
    <w:rsid w:val="00397E32"/>
    <w:pPr>
      <w:numPr>
        <w:numId w:val="18"/>
      </w:numPr>
      <w:spacing w:after="120"/>
      <w:ind w:right="1264"/>
      <w:jc w:val="both"/>
    </w:pPr>
  </w:style>
  <w:style w:type="paragraph" w:customStyle="1" w:styleId="Bullet3">
    <w:name w:val="Bullet 3"/>
    <w:basedOn w:val="SingleTxt"/>
    <w:qFormat/>
    <w:rsid w:val="00397E3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97E32"/>
    <w:pPr>
      <w:spacing w:line="240" w:lineRule="auto"/>
    </w:pPr>
    <w:rPr>
      <w:b/>
      <w:bCs/>
      <w:color w:val="4F81BD"/>
      <w:sz w:val="18"/>
      <w:szCs w:val="18"/>
    </w:rPr>
  </w:style>
  <w:style w:type="character" w:styleId="CommentReference">
    <w:name w:val="annotation reference"/>
    <w:semiHidden/>
    <w:rsid w:val="00397E32"/>
    <w:rPr>
      <w:sz w:val="6"/>
    </w:rPr>
  </w:style>
  <w:style w:type="paragraph" w:customStyle="1" w:styleId="Distribution">
    <w:name w:val="Distribu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97E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97E3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97E3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97E32"/>
    <w:pPr>
      <w:spacing w:after="80"/>
    </w:pPr>
  </w:style>
  <w:style w:type="character" w:customStyle="1" w:styleId="EndnoteTextChar">
    <w:name w:val="Endnote Text Char"/>
    <w:basedOn w:val="DefaultParagraphFont"/>
    <w:link w:val="EndnoteText"/>
    <w:semiHidden/>
    <w:rsid w:val="00397E32"/>
    <w:rPr>
      <w:rFonts w:ascii="Times New Roman" w:eastAsiaTheme="minorHAnsi" w:hAnsi="Times New Roman" w:cs="Times New Roman"/>
      <w:spacing w:val="5"/>
      <w:w w:val="104"/>
      <w:sz w:val="17"/>
      <w:lang w:val="es-ES" w:eastAsia="en-US"/>
    </w:rPr>
  </w:style>
  <w:style w:type="paragraph" w:styleId="Footer">
    <w:name w:val="footer"/>
    <w:link w:val="FooterChar"/>
    <w:qFormat/>
    <w:rsid w:val="00397E32"/>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97E32"/>
    <w:rPr>
      <w:rFonts w:ascii="Times New Roman" w:eastAsiaTheme="minorHAnsi" w:hAnsi="Times New Roman" w:cs="Times New Roman"/>
      <w:b/>
      <w:noProof/>
      <w:sz w:val="17"/>
      <w:lang w:val="en-US" w:eastAsia="en-US"/>
    </w:rPr>
  </w:style>
  <w:style w:type="character" w:styleId="FootnoteReference">
    <w:name w:val="footnote reference"/>
    <w:semiHidden/>
    <w:rsid w:val="00397E3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97E3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97E3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97E32"/>
    <w:pPr>
      <w:spacing w:before="240"/>
    </w:pPr>
    <w:rPr>
      <w:b/>
      <w:spacing w:val="-2"/>
      <w:w w:val="100"/>
    </w:rPr>
  </w:style>
  <w:style w:type="paragraph" w:customStyle="1" w:styleId="HdChapterBdLg">
    <w:name w:val="Hd Chapter Bd Lg"/>
    <w:basedOn w:val="HdChapterBD"/>
    <w:next w:val="Normal"/>
    <w:qFormat/>
    <w:rsid w:val="00397E32"/>
    <w:rPr>
      <w:spacing w:val="-3"/>
      <w:w w:val="99"/>
      <w:kern w:val="14"/>
      <w:sz w:val="34"/>
      <w:szCs w:val="34"/>
    </w:rPr>
  </w:style>
  <w:style w:type="paragraph" w:styleId="Header">
    <w:name w:val="header"/>
    <w:link w:val="HeaderChar"/>
    <w:qFormat/>
    <w:rsid w:val="00397E32"/>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97E3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97E32"/>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97E32"/>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97E32"/>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397E32"/>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397E32"/>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97E32"/>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97E32"/>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97E32"/>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97E32"/>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397E32"/>
    <w:pPr>
      <w:keepNext/>
      <w:spacing w:before="190" w:line="270" w:lineRule="exact"/>
    </w:pPr>
    <w:rPr>
      <w:b/>
      <w:kern w:val="14"/>
      <w:sz w:val="24"/>
    </w:rPr>
  </w:style>
  <w:style w:type="paragraph" w:customStyle="1" w:styleId="JournalHeading2">
    <w:name w:val="Journal_Heading2"/>
    <w:basedOn w:val="Normal"/>
    <w:next w:val="Normal"/>
    <w:qFormat/>
    <w:rsid w:val="00397E32"/>
    <w:pPr>
      <w:keepNext/>
      <w:keepLines/>
      <w:spacing w:before="240"/>
      <w:outlineLvl w:val="1"/>
    </w:pPr>
    <w:rPr>
      <w:b/>
      <w:spacing w:val="2"/>
      <w:kern w:val="14"/>
    </w:rPr>
  </w:style>
  <w:style w:type="paragraph" w:customStyle="1" w:styleId="JournalHeading4">
    <w:name w:val="Journal_Heading4"/>
    <w:basedOn w:val="Normal"/>
    <w:next w:val="Normal"/>
    <w:qFormat/>
    <w:rsid w:val="00397E32"/>
    <w:pPr>
      <w:keepNext/>
      <w:keepLines/>
      <w:spacing w:before="240"/>
      <w:outlineLvl w:val="3"/>
    </w:pPr>
    <w:rPr>
      <w:i/>
      <w:kern w:val="14"/>
    </w:rPr>
  </w:style>
  <w:style w:type="character" w:styleId="LineNumber">
    <w:name w:val="line number"/>
    <w:qFormat/>
    <w:rsid w:val="00397E32"/>
    <w:rPr>
      <w:sz w:val="14"/>
    </w:rPr>
  </w:style>
  <w:style w:type="paragraph" w:styleId="NoSpacing">
    <w:name w:val="No Spacing"/>
    <w:basedOn w:val="Normal"/>
    <w:uiPriority w:val="1"/>
    <w:rsid w:val="00397E32"/>
    <w:pPr>
      <w:spacing w:line="240" w:lineRule="auto"/>
    </w:pPr>
  </w:style>
  <w:style w:type="paragraph" w:customStyle="1" w:styleId="NormalBullet">
    <w:name w:val="Normal Bullet"/>
    <w:basedOn w:val="Normal"/>
    <w:next w:val="Normal"/>
    <w:qFormat/>
    <w:rsid w:val="00397E32"/>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397E32"/>
    <w:pPr>
      <w:tabs>
        <w:tab w:val="left" w:leader="dot" w:pos="2218"/>
        <w:tab w:val="left" w:pos="2707"/>
        <w:tab w:val="right" w:leader="dot" w:pos="9835"/>
      </w:tabs>
    </w:pPr>
    <w:rPr>
      <w:kern w:val="14"/>
    </w:rPr>
  </w:style>
  <w:style w:type="paragraph" w:customStyle="1" w:styleId="Original">
    <w:name w:val="Original"/>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97E32"/>
    <w:pPr>
      <w:tabs>
        <w:tab w:val="right" w:pos="9965"/>
      </w:tabs>
      <w:spacing w:line="210" w:lineRule="exact"/>
    </w:pPr>
    <w:rPr>
      <w:spacing w:val="5"/>
      <w:w w:val="104"/>
      <w:kern w:val="14"/>
      <w:sz w:val="17"/>
    </w:rPr>
  </w:style>
  <w:style w:type="paragraph" w:customStyle="1" w:styleId="SmallX">
    <w:name w:val="SmallX"/>
    <w:basedOn w:val="Small"/>
    <w:next w:val="Normal"/>
    <w:qFormat/>
    <w:rsid w:val="00397E32"/>
    <w:pPr>
      <w:spacing w:line="180" w:lineRule="exact"/>
      <w:jc w:val="right"/>
    </w:pPr>
    <w:rPr>
      <w:spacing w:val="6"/>
      <w:w w:val="106"/>
      <w:sz w:val="14"/>
    </w:rPr>
  </w:style>
  <w:style w:type="paragraph" w:customStyle="1" w:styleId="TitleHCH">
    <w:name w:val="Title_H_CH"/>
    <w:basedOn w:val="HCh"/>
    <w:next w:val="SingleTxt"/>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97E32"/>
    <w:pPr>
      <w:outlineLvl w:val="9"/>
    </w:pPr>
    <w:rPr>
      <w:rFonts w:eastAsiaTheme="majorEastAsia" w:cstheme="majorBidi"/>
      <w:lang w:bidi="en-US"/>
    </w:rPr>
  </w:style>
  <w:style w:type="paragraph" w:customStyle="1" w:styleId="XLarge">
    <w:name w:val="XLarge"/>
    <w:basedOn w:val="HM"/>
    <w:qFormat/>
    <w:rsid w:val="00397E32"/>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134CC"/>
    <w:pPr>
      <w:spacing w:line="240" w:lineRule="auto"/>
    </w:pPr>
    <w:rPr>
      <w:szCs w:val="20"/>
    </w:rPr>
  </w:style>
  <w:style w:type="character" w:customStyle="1" w:styleId="CommentTextChar">
    <w:name w:val="Comment Text Char"/>
    <w:basedOn w:val="DefaultParagraphFont"/>
    <w:link w:val="CommentText"/>
    <w:uiPriority w:val="99"/>
    <w:semiHidden/>
    <w:rsid w:val="00A134C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134CC"/>
    <w:rPr>
      <w:b/>
      <w:bCs/>
    </w:rPr>
  </w:style>
  <w:style w:type="character" w:customStyle="1" w:styleId="CommentSubjectChar">
    <w:name w:val="Comment Subject Char"/>
    <w:basedOn w:val="CommentTextChar"/>
    <w:link w:val="CommentSubject"/>
    <w:uiPriority w:val="99"/>
    <w:semiHidden/>
    <w:rsid w:val="00A134CC"/>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E22BFC"/>
    <w:rPr>
      <w:color w:val="0000FF"/>
      <w:u w:val="none"/>
    </w:rPr>
  </w:style>
  <w:style w:type="character" w:styleId="FollowedHyperlink">
    <w:name w:val="FollowedHyperlink"/>
    <w:basedOn w:val="DefaultParagraphFont"/>
    <w:uiPriority w:val="99"/>
    <w:semiHidden/>
    <w:unhideWhenUsed/>
    <w:rsid w:val="0044141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E32"/>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97E3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97E3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97E3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97E3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97E3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97E3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97E3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97E3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97E3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97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97E32"/>
    <w:pPr>
      <w:keepNext/>
      <w:keepLines/>
      <w:spacing w:line="270" w:lineRule="exact"/>
      <w:outlineLvl w:val="0"/>
    </w:pPr>
    <w:rPr>
      <w:b/>
      <w:kern w:val="14"/>
      <w:sz w:val="24"/>
    </w:rPr>
  </w:style>
  <w:style w:type="paragraph" w:customStyle="1" w:styleId="HCh">
    <w:name w:val="_ H _Ch"/>
    <w:basedOn w:val="H1"/>
    <w:next w:val="SingleTxt"/>
    <w:qFormat/>
    <w:rsid w:val="00397E32"/>
    <w:pPr>
      <w:spacing w:line="300" w:lineRule="exact"/>
    </w:pPr>
    <w:rPr>
      <w:spacing w:val="-2"/>
      <w:sz w:val="28"/>
    </w:rPr>
  </w:style>
  <w:style w:type="paragraph" w:customStyle="1" w:styleId="HM">
    <w:name w:val="_ H __M"/>
    <w:basedOn w:val="HCh"/>
    <w:next w:val="Normal"/>
    <w:qFormat/>
    <w:rsid w:val="00397E32"/>
    <w:pPr>
      <w:spacing w:line="360" w:lineRule="exact"/>
    </w:pPr>
    <w:rPr>
      <w:spacing w:val="-3"/>
      <w:w w:val="99"/>
      <w:sz w:val="34"/>
    </w:rPr>
  </w:style>
  <w:style w:type="paragraph" w:customStyle="1" w:styleId="H23">
    <w:name w:val="_ H_2/3"/>
    <w:basedOn w:val="H1"/>
    <w:next w:val="SingleTxt"/>
    <w:qFormat/>
    <w:rsid w:val="00397E32"/>
    <w:pPr>
      <w:spacing w:line="240" w:lineRule="exact"/>
      <w:outlineLvl w:val="1"/>
    </w:pPr>
    <w:rPr>
      <w:spacing w:val="2"/>
      <w:sz w:val="20"/>
    </w:rPr>
  </w:style>
  <w:style w:type="paragraph" w:customStyle="1" w:styleId="H4">
    <w:name w:val="_ H_4"/>
    <w:basedOn w:val="Normal"/>
    <w:next w:val="Normal"/>
    <w:qFormat/>
    <w:rsid w:val="00397E32"/>
    <w:pPr>
      <w:keepNext/>
      <w:keepLines/>
      <w:tabs>
        <w:tab w:val="right" w:pos="360"/>
      </w:tabs>
      <w:outlineLvl w:val="3"/>
    </w:pPr>
    <w:rPr>
      <w:i/>
      <w:spacing w:val="3"/>
      <w:kern w:val="14"/>
    </w:rPr>
  </w:style>
  <w:style w:type="paragraph" w:customStyle="1" w:styleId="H56">
    <w:name w:val="_ H_5/6"/>
    <w:basedOn w:val="Normal"/>
    <w:next w:val="Normal"/>
    <w:qFormat/>
    <w:rsid w:val="00397E32"/>
    <w:pPr>
      <w:keepNext/>
      <w:keepLines/>
      <w:tabs>
        <w:tab w:val="right" w:pos="360"/>
      </w:tabs>
      <w:outlineLvl w:val="4"/>
    </w:pPr>
    <w:rPr>
      <w:kern w:val="14"/>
    </w:rPr>
  </w:style>
  <w:style w:type="paragraph" w:customStyle="1" w:styleId="DualTxt">
    <w:name w:val="__Dual Txt"/>
    <w:basedOn w:val="Normal"/>
    <w:qFormat/>
    <w:rsid w:val="00397E3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97E3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97E32"/>
    <w:pPr>
      <w:spacing w:line="540" w:lineRule="exact"/>
    </w:pPr>
    <w:rPr>
      <w:spacing w:val="-8"/>
      <w:w w:val="96"/>
      <w:sz w:val="57"/>
    </w:rPr>
  </w:style>
  <w:style w:type="paragraph" w:customStyle="1" w:styleId="SS">
    <w:name w:val="__S_S"/>
    <w:basedOn w:val="HCh"/>
    <w:next w:val="Normal"/>
    <w:qFormat/>
    <w:rsid w:val="00397E32"/>
    <w:pPr>
      <w:ind w:left="1267" w:right="1267"/>
    </w:pPr>
  </w:style>
  <w:style w:type="paragraph" w:customStyle="1" w:styleId="SingleTxt">
    <w:name w:val="__Single Txt"/>
    <w:basedOn w:val="Normal"/>
    <w:qFormat/>
    <w:rsid w:val="00397E3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97E32"/>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97E3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97E32"/>
    <w:pPr>
      <w:keepNext/>
      <w:keepLines/>
      <w:spacing w:line="240" w:lineRule="exact"/>
      <w:ind w:left="0" w:right="0" w:firstLine="0"/>
      <w:outlineLvl w:val="1"/>
    </w:pPr>
    <w:rPr>
      <w:sz w:val="20"/>
    </w:rPr>
  </w:style>
  <w:style w:type="paragraph" w:styleId="BalloonText">
    <w:name w:val="Balloon Text"/>
    <w:basedOn w:val="Normal"/>
    <w:link w:val="BalloonTextChar"/>
    <w:semiHidden/>
    <w:rsid w:val="00397E32"/>
    <w:rPr>
      <w:rFonts w:ascii="Tahoma" w:hAnsi="Tahoma" w:cs="Tahoma"/>
      <w:sz w:val="16"/>
      <w:szCs w:val="16"/>
    </w:rPr>
  </w:style>
  <w:style w:type="character" w:customStyle="1" w:styleId="BalloonTextChar">
    <w:name w:val="Balloon Text Char"/>
    <w:basedOn w:val="DefaultParagraphFont"/>
    <w:link w:val="BalloonText"/>
    <w:semiHidden/>
    <w:rsid w:val="00397E32"/>
    <w:rPr>
      <w:rFonts w:ascii="Tahoma" w:eastAsiaTheme="minorHAnsi" w:hAnsi="Tahoma" w:cs="Tahoma"/>
      <w:spacing w:val="4"/>
      <w:w w:val="103"/>
      <w:sz w:val="16"/>
      <w:szCs w:val="16"/>
      <w:lang w:val="es-ES" w:eastAsia="en-US"/>
    </w:rPr>
  </w:style>
  <w:style w:type="paragraph" w:customStyle="1" w:styleId="Bullet1">
    <w:name w:val="Bullet 1"/>
    <w:basedOn w:val="Normal"/>
    <w:qFormat/>
    <w:rsid w:val="00397E32"/>
    <w:pPr>
      <w:numPr>
        <w:numId w:val="17"/>
      </w:numPr>
      <w:spacing w:after="120"/>
      <w:ind w:right="1264"/>
      <w:jc w:val="both"/>
    </w:pPr>
  </w:style>
  <w:style w:type="paragraph" w:customStyle="1" w:styleId="Bullet2">
    <w:name w:val="Bullet 2"/>
    <w:basedOn w:val="Normal"/>
    <w:qFormat/>
    <w:rsid w:val="00397E32"/>
    <w:pPr>
      <w:numPr>
        <w:numId w:val="18"/>
      </w:numPr>
      <w:spacing w:after="120"/>
      <w:ind w:right="1264"/>
      <w:jc w:val="both"/>
    </w:pPr>
  </w:style>
  <w:style w:type="paragraph" w:customStyle="1" w:styleId="Bullet3">
    <w:name w:val="Bullet 3"/>
    <w:basedOn w:val="SingleTxt"/>
    <w:qFormat/>
    <w:rsid w:val="00397E3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97E32"/>
    <w:pPr>
      <w:spacing w:line="240" w:lineRule="auto"/>
    </w:pPr>
    <w:rPr>
      <w:b/>
      <w:bCs/>
      <w:color w:val="4F81BD"/>
      <w:sz w:val="18"/>
      <w:szCs w:val="18"/>
    </w:rPr>
  </w:style>
  <w:style w:type="character" w:styleId="CommentReference">
    <w:name w:val="annotation reference"/>
    <w:semiHidden/>
    <w:rsid w:val="00397E32"/>
    <w:rPr>
      <w:sz w:val="6"/>
    </w:rPr>
  </w:style>
  <w:style w:type="paragraph" w:customStyle="1" w:styleId="Distribution">
    <w:name w:val="Distribu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97E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97E3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97E3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97E32"/>
    <w:pPr>
      <w:spacing w:after="80"/>
    </w:pPr>
  </w:style>
  <w:style w:type="character" w:customStyle="1" w:styleId="EndnoteTextChar">
    <w:name w:val="Endnote Text Char"/>
    <w:basedOn w:val="DefaultParagraphFont"/>
    <w:link w:val="EndnoteText"/>
    <w:semiHidden/>
    <w:rsid w:val="00397E32"/>
    <w:rPr>
      <w:rFonts w:ascii="Times New Roman" w:eastAsiaTheme="minorHAnsi" w:hAnsi="Times New Roman" w:cs="Times New Roman"/>
      <w:spacing w:val="5"/>
      <w:w w:val="104"/>
      <w:sz w:val="17"/>
      <w:lang w:val="es-ES" w:eastAsia="en-US"/>
    </w:rPr>
  </w:style>
  <w:style w:type="paragraph" w:styleId="Footer">
    <w:name w:val="footer"/>
    <w:link w:val="FooterChar"/>
    <w:qFormat/>
    <w:rsid w:val="00397E32"/>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97E32"/>
    <w:rPr>
      <w:rFonts w:ascii="Times New Roman" w:eastAsiaTheme="minorHAnsi" w:hAnsi="Times New Roman" w:cs="Times New Roman"/>
      <w:b/>
      <w:noProof/>
      <w:sz w:val="17"/>
      <w:lang w:val="en-US" w:eastAsia="en-US"/>
    </w:rPr>
  </w:style>
  <w:style w:type="character" w:styleId="FootnoteReference">
    <w:name w:val="footnote reference"/>
    <w:semiHidden/>
    <w:rsid w:val="00397E3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97E3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97E3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97E32"/>
    <w:pPr>
      <w:spacing w:before="240"/>
    </w:pPr>
    <w:rPr>
      <w:b/>
      <w:spacing w:val="-2"/>
      <w:w w:val="100"/>
    </w:rPr>
  </w:style>
  <w:style w:type="paragraph" w:customStyle="1" w:styleId="HdChapterBdLg">
    <w:name w:val="Hd Chapter Bd Lg"/>
    <w:basedOn w:val="HdChapterBD"/>
    <w:next w:val="Normal"/>
    <w:qFormat/>
    <w:rsid w:val="00397E32"/>
    <w:rPr>
      <w:spacing w:val="-3"/>
      <w:w w:val="99"/>
      <w:kern w:val="14"/>
      <w:sz w:val="34"/>
      <w:szCs w:val="34"/>
    </w:rPr>
  </w:style>
  <w:style w:type="paragraph" w:styleId="Header">
    <w:name w:val="header"/>
    <w:link w:val="HeaderChar"/>
    <w:qFormat/>
    <w:rsid w:val="00397E32"/>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97E3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97E32"/>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97E32"/>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97E32"/>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397E32"/>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397E32"/>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97E32"/>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97E32"/>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97E32"/>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97E32"/>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397E32"/>
    <w:pPr>
      <w:keepNext/>
      <w:spacing w:before="190" w:line="270" w:lineRule="exact"/>
    </w:pPr>
    <w:rPr>
      <w:b/>
      <w:kern w:val="14"/>
      <w:sz w:val="24"/>
    </w:rPr>
  </w:style>
  <w:style w:type="paragraph" w:customStyle="1" w:styleId="JournalHeading2">
    <w:name w:val="Journal_Heading2"/>
    <w:basedOn w:val="Normal"/>
    <w:next w:val="Normal"/>
    <w:qFormat/>
    <w:rsid w:val="00397E32"/>
    <w:pPr>
      <w:keepNext/>
      <w:keepLines/>
      <w:spacing w:before="240"/>
      <w:outlineLvl w:val="1"/>
    </w:pPr>
    <w:rPr>
      <w:b/>
      <w:spacing w:val="2"/>
      <w:kern w:val="14"/>
    </w:rPr>
  </w:style>
  <w:style w:type="paragraph" w:customStyle="1" w:styleId="JournalHeading4">
    <w:name w:val="Journal_Heading4"/>
    <w:basedOn w:val="Normal"/>
    <w:next w:val="Normal"/>
    <w:qFormat/>
    <w:rsid w:val="00397E32"/>
    <w:pPr>
      <w:keepNext/>
      <w:keepLines/>
      <w:spacing w:before="240"/>
      <w:outlineLvl w:val="3"/>
    </w:pPr>
    <w:rPr>
      <w:i/>
      <w:kern w:val="14"/>
    </w:rPr>
  </w:style>
  <w:style w:type="character" w:styleId="LineNumber">
    <w:name w:val="line number"/>
    <w:qFormat/>
    <w:rsid w:val="00397E32"/>
    <w:rPr>
      <w:sz w:val="14"/>
    </w:rPr>
  </w:style>
  <w:style w:type="paragraph" w:styleId="NoSpacing">
    <w:name w:val="No Spacing"/>
    <w:basedOn w:val="Normal"/>
    <w:uiPriority w:val="1"/>
    <w:rsid w:val="00397E32"/>
    <w:pPr>
      <w:spacing w:line="240" w:lineRule="auto"/>
    </w:pPr>
  </w:style>
  <w:style w:type="paragraph" w:customStyle="1" w:styleId="NormalBullet">
    <w:name w:val="Normal Bullet"/>
    <w:basedOn w:val="Normal"/>
    <w:next w:val="Normal"/>
    <w:qFormat/>
    <w:rsid w:val="00397E32"/>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397E32"/>
    <w:pPr>
      <w:tabs>
        <w:tab w:val="left" w:leader="dot" w:pos="2218"/>
        <w:tab w:val="left" w:pos="2707"/>
        <w:tab w:val="right" w:leader="dot" w:pos="9835"/>
      </w:tabs>
    </w:pPr>
    <w:rPr>
      <w:kern w:val="14"/>
    </w:rPr>
  </w:style>
  <w:style w:type="paragraph" w:customStyle="1" w:styleId="Original">
    <w:name w:val="Original"/>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97E32"/>
    <w:pPr>
      <w:tabs>
        <w:tab w:val="right" w:pos="9965"/>
      </w:tabs>
      <w:spacing w:line="210" w:lineRule="exact"/>
    </w:pPr>
    <w:rPr>
      <w:spacing w:val="5"/>
      <w:w w:val="104"/>
      <w:kern w:val="14"/>
      <w:sz w:val="17"/>
    </w:rPr>
  </w:style>
  <w:style w:type="paragraph" w:customStyle="1" w:styleId="SmallX">
    <w:name w:val="SmallX"/>
    <w:basedOn w:val="Small"/>
    <w:next w:val="Normal"/>
    <w:qFormat/>
    <w:rsid w:val="00397E32"/>
    <w:pPr>
      <w:spacing w:line="180" w:lineRule="exact"/>
      <w:jc w:val="right"/>
    </w:pPr>
    <w:rPr>
      <w:spacing w:val="6"/>
      <w:w w:val="106"/>
      <w:sz w:val="14"/>
    </w:rPr>
  </w:style>
  <w:style w:type="paragraph" w:customStyle="1" w:styleId="TitleHCH">
    <w:name w:val="Title_H_CH"/>
    <w:basedOn w:val="HCh"/>
    <w:next w:val="SingleTxt"/>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97E32"/>
    <w:pPr>
      <w:outlineLvl w:val="9"/>
    </w:pPr>
    <w:rPr>
      <w:rFonts w:eastAsiaTheme="majorEastAsia" w:cstheme="majorBidi"/>
      <w:lang w:bidi="en-US"/>
    </w:rPr>
  </w:style>
  <w:style w:type="paragraph" w:customStyle="1" w:styleId="XLarge">
    <w:name w:val="XLarge"/>
    <w:basedOn w:val="HM"/>
    <w:qFormat/>
    <w:rsid w:val="00397E32"/>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134CC"/>
    <w:pPr>
      <w:spacing w:line="240" w:lineRule="auto"/>
    </w:pPr>
    <w:rPr>
      <w:szCs w:val="20"/>
    </w:rPr>
  </w:style>
  <w:style w:type="character" w:customStyle="1" w:styleId="CommentTextChar">
    <w:name w:val="Comment Text Char"/>
    <w:basedOn w:val="DefaultParagraphFont"/>
    <w:link w:val="CommentText"/>
    <w:uiPriority w:val="99"/>
    <w:semiHidden/>
    <w:rsid w:val="00A134C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134CC"/>
    <w:rPr>
      <w:b/>
      <w:bCs/>
    </w:rPr>
  </w:style>
  <w:style w:type="character" w:customStyle="1" w:styleId="CommentSubjectChar">
    <w:name w:val="Comment Subject Char"/>
    <w:basedOn w:val="CommentTextChar"/>
    <w:link w:val="CommentSubject"/>
    <w:uiPriority w:val="99"/>
    <w:semiHidden/>
    <w:rsid w:val="00A134CC"/>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E22BFC"/>
    <w:rPr>
      <w:color w:val="0000FF"/>
      <w:u w:val="none"/>
    </w:rPr>
  </w:style>
  <w:style w:type="character" w:styleId="FollowedHyperlink">
    <w:name w:val="FollowedHyperlink"/>
    <w:basedOn w:val="DefaultParagraphFont"/>
    <w:uiPriority w:val="99"/>
    <w:semiHidden/>
    <w:unhideWhenUsed/>
    <w:rsid w:val="0044141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BFA/CO/6/Add.1" TargetMode="External"/><Relationship Id="rId26" Type="http://schemas.openxmlformats.org/officeDocument/2006/relationships/hyperlink" Target="http://undocs.org/sp/CEDAW/C/BFA/CO/6/Add.1" TargetMode="External"/><Relationship Id="rId39" Type="http://schemas.openxmlformats.org/officeDocument/2006/relationships/hyperlink" Target="http://undocs.org/sp/CEDAW/C/BFA/CO/6/Add.1" TargetMode="External"/><Relationship Id="rId3" Type="http://schemas.microsoft.com/office/2007/relationships/stylesWithEffects" Target="stylesWithEffects.xml"/><Relationship Id="rId21" Type="http://schemas.openxmlformats.org/officeDocument/2006/relationships/hyperlink" Target="http://undocs.org/sp/S/RES/2013(p&#225;rr.34)" TargetMode="External"/><Relationship Id="rId34" Type="http://schemas.openxmlformats.org/officeDocument/2006/relationships/hyperlink" Target="http://undocs.org/sp/CEDAW/C/BFA/CO/6"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BFA/CO/6" TargetMode="External"/><Relationship Id="rId25" Type="http://schemas.openxmlformats.org/officeDocument/2006/relationships/hyperlink" Target="http://undocs.org/sp/CEDAW/C/BFA/CO/6/Add.1" TargetMode="External"/><Relationship Id="rId33" Type="http://schemas.openxmlformats.org/officeDocument/2006/relationships/hyperlink" Target="http://undocs.org/sp/S/RES/2011(N&#250;m.189)" TargetMode="External"/><Relationship Id="rId38" Type="http://schemas.openxmlformats.org/officeDocument/2006/relationships/hyperlink" Target="http://undocs.org/sp/CEDAW/C/BFA/CO/6" TargetMode="External"/><Relationship Id="rId2" Type="http://schemas.openxmlformats.org/officeDocument/2006/relationships/styles" Target="styles.xml"/><Relationship Id="rId16" Type="http://schemas.openxmlformats.org/officeDocument/2006/relationships/hyperlink" Target="http://undocs.org/sp/CEDAW/C/BFA/CO/6" TargetMode="External"/><Relationship Id="rId20" Type="http://schemas.openxmlformats.org/officeDocument/2006/relationships/hyperlink" Target="http://undocs.org/sp/CEDAW/C/BFA/CO/6" TargetMode="External"/><Relationship Id="rId29" Type="http://schemas.openxmlformats.org/officeDocument/2006/relationships/hyperlink" Target="http://undocs.org/sp/CEDAW/C/BFA/CO/6"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CEDAW/C/BFA/CO/6" TargetMode="External"/><Relationship Id="rId32" Type="http://schemas.openxmlformats.org/officeDocument/2006/relationships/hyperlink" Target="http://undocs.org/sp/CEDAW/C/BFA/CO/6" TargetMode="External"/><Relationship Id="rId37" Type="http://schemas.openxmlformats.org/officeDocument/2006/relationships/hyperlink" Target="http://undocs.org/sp/CEDAW/C/BFA/CO/6" TargetMode="External"/><Relationship Id="rId40" Type="http://schemas.openxmlformats.org/officeDocument/2006/relationships/hyperlink" Target="http://undocs.org/sp/CEDAW/C/BFA/CO/6" TargetMode="External"/><Relationship Id="rId5" Type="http://schemas.openxmlformats.org/officeDocument/2006/relationships/webSettings" Target="webSettings.xml"/><Relationship Id="rId15" Type="http://schemas.openxmlformats.org/officeDocument/2006/relationships/hyperlink" Target="http://undocs.org/sp/CEDAW/C/BFA/7" TargetMode="External"/><Relationship Id="rId23" Type="http://schemas.openxmlformats.org/officeDocument/2006/relationships/hyperlink" Target="http://undocs.org/sp/CEDAW/C/BFA/CO/6" TargetMode="External"/><Relationship Id="rId28" Type="http://schemas.openxmlformats.org/officeDocument/2006/relationships/hyperlink" Target="http://undocs.org/sp/S/RES/2013(p&#225;rr.63)" TargetMode="External"/><Relationship Id="rId36" Type="http://schemas.openxmlformats.org/officeDocument/2006/relationships/hyperlink" Target="http://undocs.org/sp/CEDAW/C/BFA/CO/6" TargetMode="External"/><Relationship Id="rId10" Type="http://schemas.openxmlformats.org/officeDocument/2006/relationships/footer" Target="footer1.xml"/><Relationship Id="rId19" Type="http://schemas.openxmlformats.org/officeDocument/2006/relationships/hyperlink" Target="http://undocs.org/sp/CEDAW/C/BFA/CO/6" TargetMode="External"/><Relationship Id="rId31" Type="http://schemas.openxmlformats.org/officeDocument/2006/relationships/hyperlink" Target="http://undocs.org/sp/CEDAW/C/BFA/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EDAW/C/BFA/CO/6" TargetMode="External"/><Relationship Id="rId27" Type="http://schemas.openxmlformats.org/officeDocument/2006/relationships/hyperlink" Target="http://undocs.org/sp/CEDAW/C/BFA/7" TargetMode="External"/><Relationship Id="rId30" Type="http://schemas.openxmlformats.org/officeDocument/2006/relationships/hyperlink" Target="http://undocs.org/sp/CEDAW/C/BFA/CO/6" TargetMode="External"/><Relationship Id="rId35" Type="http://schemas.openxmlformats.org/officeDocument/2006/relationships/hyperlink" Target="http://undocs.org/sp/CEDAW/C/BF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3184</Words>
  <Characters>18151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Administrator</cp:lastModifiedBy>
  <cp:revision>4</cp:revision>
  <cp:lastPrinted>2017-05-08T13:25:00Z</cp:lastPrinted>
  <dcterms:created xsi:type="dcterms:W3CDTF">2017-05-08T13:25:00Z</dcterms:created>
  <dcterms:modified xsi:type="dcterms:W3CDTF">2017-05-08T13:27:00Z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1704023</vt:lpwstr>
  </property>
  <property fmtid="{D5CDD505-2E9C-101B-9397-08002B2CF9AE}" pid="3" name="ODSRefJobNo">
    <vt:lpwstr>1706550</vt:lpwstr>
  </property>
  <property fmtid="{D5CDD505-2E9C-101B-9397-08002B2CF9AE}" pid="4" name="Symbol1">
    <vt:lpwstr>CEDAW/C/BFA/Q/7</vt:lpwstr>
  </property>
  <property fmtid="{D5CDD505-2E9C-101B-9397-08002B2CF9AE}" pid="5" name="Symbol2">
    <vt:lpwstr/>
  </property>
  <property fmtid="{D5CDD505-2E9C-101B-9397-08002B2CF9AE}" pid="6" name="Comment">
    <vt:lpwstr/>
  </property>
  <property fmtid="{D5CDD505-2E9C-101B-9397-08002B2CF9AE}" pid="7" name="DraftPages">
    <vt:lpwstr> </vt:lpwstr>
  </property>
  <property fmtid="{D5CDD505-2E9C-101B-9397-08002B2CF9AE}" pid="8" name="Operator">
    <vt:lpwstr>NB/Juan Pedreyra</vt:lpwstr>
  </property>
  <property fmtid="{D5CDD505-2E9C-101B-9397-08002B2CF9AE}" pid="9" name="Translator">
    <vt:lpwstr>NB/Juan Pedreyra</vt:lpwstr>
  </property>
  <property fmtid="{D5CDD505-2E9C-101B-9397-08002B2CF9AE}" pid="10" name="Distribution">
    <vt:lpwstr>general</vt:lpwstr>
  </property>
  <property fmtid="{D5CDD505-2E9C-101B-9397-08002B2CF9AE}" pid="11" name="Publication Date">
    <vt:lpwstr>13 de marzo de 2017</vt:lpwstr>
  </property>
  <property fmtid="{D5CDD505-2E9C-101B-9397-08002B2CF9AE}" pid="12" name="Original">
    <vt:lpwstr>inglés</vt:lpwstr>
  </property>
  <property fmtid="{D5CDD505-2E9C-101B-9397-08002B2CF9AE}" pid="13" name="Release Date">
    <vt:lpwstr>040417</vt:lpwstr>
  </property>
</Properties>
</file>