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89"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14:paraId="77378F79" w14:textId="77777777" w:rsidTr="005B46D9">
        <w:trPr>
          <w:trHeight w:hRule="exact" w:val="851"/>
        </w:trPr>
        <w:tc>
          <w:tcPr>
            <w:tcW w:w="1274" w:type="dxa"/>
            <w:tcBorders>
              <w:top w:val="nil"/>
              <w:bottom w:val="single" w:sz="4" w:space="0" w:color="auto"/>
            </w:tcBorders>
          </w:tcPr>
          <w:p w14:paraId="4A26930E" w14:textId="77777777" w:rsidR="00AD0014" w:rsidRPr="000F3A9F" w:rsidRDefault="00AD0014" w:rsidP="00BC55C8"/>
        </w:tc>
        <w:tc>
          <w:tcPr>
            <w:tcW w:w="1885" w:type="dxa"/>
            <w:tcBorders>
              <w:bottom w:val="single" w:sz="4" w:space="0" w:color="auto"/>
            </w:tcBorders>
            <w:vAlign w:val="bottom"/>
          </w:tcPr>
          <w:p w14:paraId="44E461CB" w14:textId="77777777" w:rsidR="00AD0014" w:rsidRPr="00DB7679" w:rsidRDefault="00AD0014" w:rsidP="00BC55C8">
            <w:pPr>
              <w:spacing w:after="80" w:line="480" w:lineRule="exact"/>
              <w:jc w:val="left"/>
              <w:rPr>
                <w:szCs w:val="40"/>
                <w:rtl/>
              </w:rPr>
            </w:pPr>
            <w:r w:rsidRPr="00DB7679">
              <w:rPr>
                <w:rFonts w:hint="cs"/>
                <w:szCs w:val="40"/>
                <w:rtl/>
              </w:rPr>
              <w:t>الأمم المتحدة</w:t>
            </w:r>
          </w:p>
        </w:tc>
        <w:tc>
          <w:tcPr>
            <w:tcW w:w="6480" w:type="dxa"/>
            <w:gridSpan w:val="2"/>
            <w:tcBorders>
              <w:bottom w:val="single" w:sz="4" w:space="0" w:color="auto"/>
            </w:tcBorders>
            <w:vAlign w:val="bottom"/>
          </w:tcPr>
          <w:p w14:paraId="08887D32" w14:textId="77777777" w:rsidR="00AD0014" w:rsidRPr="00B70119" w:rsidRDefault="006724A5" w:rsidP="00B70119">
            <w:pPr>
              <w:bidi w:val="0"/>
              <w:spacing w:after="20"/>
              <w:jc w:val="left"/>
              <w:rPr>
                <w:sz w:val="40"/>
                <w:szCs w:val="20"/>
              </w:rPr>
            </w:pPr>
            <w:r w:rsidRPr="00F27894">
              <w:rPr>
                <w:sz w:val="40"/>
              </w:rPr>
              <w:t>CED</w:t>
            </w:r>
            <w:r>
              <w:t>/C/</w:t>
            </w:r>
            <w:r w:rsidRPr="004A571B">
              <w:rPr>
                <w:szCs w:val="20"/>
              </w:rPr>
              <w:t>17</w:t>
            </w:r>
            <w:r>
              <w:t>/</w:t>
            </w:r>
            <w:r w:rsidRPr="004A571B">
              <w:rPr>
                <w:szCs w:val="20"/>
              </w:rPr>
              <w:t>2</w:t>
            </w:r>
          </w:p>
        </w:tc>
      </w:tr>
      <w:tr w:rsidR="00257225" w:rsidRPr="00DB7679" w14:paraId="7884D5F6" w14:textId="77777777" w:rsidTr="005B46D9">
        <w:trPr>
          <w:trHeight w:hRule="exact" w:val="2835"/>
        </w:trPr>
        <w:tc>
          <w:tcPr>
            <w:tcW w:w="1274" w:type="dxa"/>
            <w:tcBorders>
              <w:top w:val="single" w:sz="4" w:space="0" w:color="auto"/>
              <w:bottom w:val="single" w:sz="12" w:space="0" w:color="auto"/>
            </w:tcBorders>
          </w:tcPr>
          <w:p w14:paraId="29880A85" w14:textId="77777777" w:rsidR="00257225" w:rsidRPr="00DB7679" w:rsidRDefault="00686E35" w:rsidP="00303272">
            <w:pPr>
              <w:spacing w:before="60"/>
              <w:jc w:val="center"/>
            </w:pPr>
            <w:r>
              <w:rPr>
                <w:noProof/>
              </w:rPr>
              <w:drawing>
                <wp:inline distT="0" distB="0" distL="0" distR="0" wp14:anchorId="03D73373" wp14:editId="71DD8071">
                  <wp:extent cx="678180" cy="63246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8180" cy="632460"/>
                          </a:xfrm>
                          <a:prstGeom prst="rect">
                            <a:avLst/>
                          </a:prstGeom>
                          <a:noFill/>
                          <a:ln>
                            <a:noFill/>
                          </a:ln>
                        </pic:spPr>
                      </pic:pic>
                    </a:graphicData>
                  </a:graphic>
                </wp:inline>
              </w:drawing>
            </w:r>
          </w:p>
        </w:tc>
        <w:tc>
          <w:tcPr>
            <w:tcW w:w="4753" w:type="dxa"/>
            <w:gridSpan w:val="2"/>
            <w:tcBorders>
              <w:top w:val="single" w:sz="4" w:space="0" w:color="auto"/>
              <w:bottom w:val="single" w:sz="12" w:space="0" w:color="auto"/>
            </w:tcBorders>
          </w:tcPr>
          <w:p w14:paraId="63086A01" w14:textId="77777777" w:rsidR="00257225" w:rsidRPr="00DA2806" w:rsidRDefault="00827BA1" w:rsidP="00DA2806">
            <w:pPr>
              <w:spacing w:before="60" w:line="640" w:lineRule="exact"/>
              <w:rPr>
                <w:sz w:val="52"/>
                <w:szCs w:val="52"/>
                <w:rtl/>
              </w:rPr>
            </w:pPr>
            <w:r w:rsidRPr="00DA2806">
              <w:rPr>
                <w:rFonts w:hint="cs"/>
                <w:b/>
                <w:bCs/>
                <w:sz w:val="52"/>
                <w:szCs w:val="52"/>
                <w:rtl/>
              </w:rPr>
              <w:t>الاتفاقية الدوليـة لحماية جميع الأشخاص من الاختفاء القسري</w:t>
            </w:r>
          </w:p>
        </w:tc>
        <w:tc>
          <w:tcPr>
            <w:tcW w:w="3612" w:type="dxa"/>
            <w:tcBorders>
              <w:top w:val="single" w:sz="4" w:space="0" w:color="auto"/>
              <w:bottom w:val="single" w:sz="12" w:space="0" w:color="auto"/>
            </w:tcBorders>
          </w:tcPr>
          <w:p w14:paraId="54D79276" w14:textId="77777777" w:rsidR="00364831" w:rsidRDefault="00364831" w:rsidP="005E349F">
            <w:pPr>
              <w:bidi w:val="0"/>
              <w:spacing w:before="240" w:line="240" w:lineRule="exact"/>
            </w:pPr>
            <w:r>
              <w:t xml:space="preserve">Distr.: </w:t>
            </w:r>
            <w:r w:rsidR="005E349F">
              <w:t>General</w:t>
            </w:r>
          </w:p>
          <w:p w14:paraId="6D1A9A7F" w14:textId="77777777" w:rsidR="005E349F" w:rsidRDefault="006724A5" w:rsidP="00364831">
            <w:pPr>
              <w:bidi w:val="0"/>
              <w:jc w:val="left"/>
            </w:pPr>
            <w:r w:rsidRPr="004A571B">
              <w:rPr>
                <w:szCs w:val="20"/>
              </w:rPr>
              <w:t>8</w:t>
            </w:r>
            <w:r>
              <w:t xml:space="preserve"> November </w:t>
            </w:r>
            <w:r w:rsidRPr="004A571B">
              <w:rPr>
                <w:szCs w:val="20"/>
              </w:rPr>
              <w:t>2019</w:t>
            </w:r>
          </w:p>
          <w:p w14:paraId="30A5EDFA" w14:textId="77777777" w:rsidR="000E0996" w:rsidRDefault="000E0996" w:rsidP="000E0996">
            <w:pPr>
              <w:bidi w:val="0"/>
              <w:jc w:val="left"/>
            </w:pPr>
            <w:r>
              <w:t>Arabic</w:t>
            </w:r>
          </w:p>
          <w:p w14:paraId="68A762C4" w14:textId="77777777" w:rsidR="00257225" w:rsidRPr="008B4BC6" w:rsidRDefault="00364831" w:rsidP="005E349F">
            <w:pPr>
              <w:bidi w:val="0"/>
              <w:jc w:val="left"/>
            </w:pPr>
            <w:r>
              <w:t xml:space="preserve">Original: </w:t>
            </w:r>
            <w:r w:rsidR="006724A5">
              <w:t>Spanish</w:t>
            </w:r>
          </w:p>
        </w:tc>
      </w:tr>
    </w:tbl>
    <w:p w14:paraId="1B1139A0" w14:textId="77777777" w:rsidR="006724A5" w:rsidRPr="006724A5" w:rsidRDefault="006724A5" w:rsidP="006724A5">
      <w:pPr>
        <w:spacing w:before="120" w:after="120" w:line="380" w:lineRule="exact"/>
        <w:rPr>
          <w:b/>
          <w:bCs/>
          <w:sz w:val="26"/>
          <w:szCs w:val="36"/>
          <w:rtl/>
          <w:lang w:eastAsia="ar-SA" w:bidi="ar-DZ"/>
        </w:rPr>
      </w:pPr>
      <w:r w:rsidRPr="006724A5">
        <w:rPr>
          <w:b/>
          <w:bCs/>
          <w:sz w:val="26"/>
          <w:szCs w:val="36"/>
          <w:rtl/>
          <w:lang w:eastAsia="ar-SA"/>
        </w:rPr>
        <w:t>اللجنة المعنية بحالات الاختفاء القسري</w:t>
      </w:r>
    </w:p>
    <w:p w14:paraId="7EDC8151" w14:textId="77777777" w:rsidR="006724A5" w:rsidRPr="006724A5" w:rsidRDefault="006724A5" w:rsidP="006724A5">
      <w:pPr>
        <w:pStyle w:val="HChGA"/>
        <w:rPr>
          <w:rFonts w:hint="cs"/>
          <w:rtl/>
          <w:lang w:eastAsia="ar-SA"/>
        </w:rPr>
      </w:pPr>
      <w:r w:rsidRPr="006724A5">
        <w:rPr>
          <w:rtl/>
          <w:lang w:val="en-GB" w:eastAsia="ar-SA" w:bidi="ar-DZ"/>
        </w:rPr>
        <w:tab/>
      </w:r>
      <w:r w:rsidRPr="006724A5">
        <w:rPr>
          <w:rtl/>
          <w:lang w:val="en-GB" w:eastAsia="ar-SA" w:bidi="ar-DZ"/>
        </w:rPr>
        <w:tab/>
      </w:r>
      <w:r w:rsidRPr="006724A5">
        <w:rPr>
          <w:rtl/>
          <w:lang w:eastAsia="ar-SA"/>
        </w:rPr>
        <w:t xml:space="preserve">تقرير عن طلبات الإجراءات العاجلة المقدمة بموجب المادة </w:t>
      </w:r>
      <w:r w:rsidRPr="004A571B">
        <w:rPr>
          <w:szCs w:val="28"/>
          <w:rtl/>
          <w:lang w:eastAsia="ar-SA"/>
        </w:rPr>
        <w:t>30</w:t>
      </w:r>
      <w:r w:rsidRPr="006724A5">
        <w:rPr>
          <w:rtl/>
          <w:lang w:eastAsia="ar-SA"/>
        </w:rPr>
        <w:t xml:space="preserve"> من الاتفاقية</w:t>
      </w:r>
      <w:r w:rsidRPr="006724A5">
        <w:rPr>
          <w:rStyle w:val="FootnoteReference"/>
          <w:sz w:val="20"/>
          <w:vertAlign w:val="baseline"/>
          <w:rtl/>
          <w:lang w:eastAsia="ar-SA"/>
        </w:rPr>
        <w:footnoteReference w:customMarkFollows="1" w:id="1"/>
        <w:t>*</w:t>
      </w:r>
    </w:p>
    <w:p w14:paraId="6C5A0A97" w14:textId="77777777" w:rsidR="006724A5" w:rsidRPr="006724A5" w:rsidRDefault="006724A5" w:rsidP="006724A5">
      <w:pPr>
        <w:pStyle w:val="H1GA"/>
        <w:rPr>
          <w:rtl/>
          <w:lang w:eastAsia="ar-SA"/>
        </w:rPr>
      </w:pPr>
      <w:r>
        <w:rPr>
          <w:rtl/>
          <w:lang w:eastAsia="ar-SA"/>
        </w:rPr>
        <w:tab/>
      </w:r>
      <w:r w:rsidRPr="006724A5">
        <w:rPr>
          <w:rtl/>
          <w:lang w:eastAsia="ar-SA"/>
        </w:rPr>
        <w:t>ألف-</w:t>
      </w:r>
      <w:r w:rsidRPr="006724A5">
        <w:rPr>
          <w:rtl/>
          <w:lang w:val="en-GB" w:eastAsia="ar-SA" w:bidi="ar-DZ"/>
        </w:rPr>
        <w:tab/>
      </w:r>
      <w:r w:rsidRPr="006724A5">
        <w:rPr>
          <w:rtl/>
          <w:lang w:eastAsia="ar-SA"/>
        </w:rPr>
        <w:t>مقدمة</w:t>
      </w:r>
    </w:p>
    <w:p w14:paraId="555540F5" w14:textId="77777777" w:rsidR="006724A5" w:rsidRPr="00DA2806" w:rsidRDefault="006724A5" w:rsidP="006724A5">
      <w:pPr>
        <w:pStyle w:val="SingleTxtGA"/>
        <w:rPr>
          <w:spacing w:val="-2"/>
          <w:rtl/>
          <w:lang w:eastAsia="ar-SA"/>
        </w:rPr>
      </w:pPr>
      <w:r w:rsidRPr="00DA2806">
        <w:rPr>
          <w:spacing w:val="-2"/>
          <w:szCs w:val="20"/>
          <w:rtl/>
          <w:lang w:eastAsia="ar-SA"/>
        </w:rPr>
        <w:t>1</w:t>
      </w:r>
      <w:r w:rsidRPr="00DA2806">
        <w:rPr>
          <w:spacing w:val="-2"/>
          <w:rtl/>
          <w:lang w:eastAsia="ar-SA"/>
        </w:rPr>
        <w:t>-</w:t>
      </w:r>
      <w:r w:rsidRPr="00DA2806">
        <w:rPr>
          <w:spacing w:val="-2"/>
          <w:rtl/>
          <w:lang w:eastAsia="ar-SA" w:bidi="ar-DZ"/>
        </w:rPr>
        <w:tab/>
      </w:r>
      <w:r w:rsidRPr="00DA2806">
        <w:rPr>
          <w:spacing w:val="-2"/>
          <w:rtl/>
          <w:lang w:eastAsia="ar-SA"/>
        </w:rPr>
        <w:t xml:space="preserve">تنص المادتان </w:t>
      </w:r>
      <w:r w:rsidRPr="00DA2806">
        <w:rPr>
          <w:spacing w:val="-2"/>
          <w:szCs w:val="20"/>
          <w:rtl/>
          <w:lang w:eastAsia="ar-SA"/>
        </w:rPr>
        <w:t>57</w:t>
      </w:r>
      <w:r w:rsidRPr="00DA2806">
        <w:rPr>
          <w:spacing w:val="-2"/>
          <w:rtl/>
          <w:lang w:eastAsia="ar-SA"/>
        </w:rPr>
        <w:t xml:space="preserve"> </w:t>
      </w:r>
      <w:proofErr w:type="spellStart"/>
      <w:r w:rsidRPr="00DA2806">
        <w:rPr>
          <w:spacing w:val="-2"/>
          <w:rtl/>
          <w:lang w:eastAsia="ar-SA"/>
        </w:rPr>
        <w:t>و</w:t>
      </w:r>
      <w:r w:rsidRPr="00DA2806">
        <w:rPr>
          <w:spacing w:val="-2"/>
          <w:szCs w:val="20"/>
          <w:rtl/>
          <w:lang w:eastAsia="ar-SA"/>
        </w:rPr>
        <w:t>58</w:t>
      </w:r>
      <w:proofErr w:type="spellEnd"/>
      <w:r w:rsidRPr="00DA2806">
        <w:rPr>
          <w:spacing w:val="-2"/>
          <w:rtl/>
          <w:lang w:eastAsia="ar-SA"/>
        </w:rPr>
        <w:t xml:space="preserve"> من النظام الداخلي للجنة على توجيه نظر اللجنة إلى جميع طلبات الإجراءات العاجلة المقدمة لكي تنظر فيها وفقاً للمادة </w:t>
      </w:r>
      <w:r w:rsidRPr="00DA2806">
        <w:rPr>
          <w:spacing w:val="-2"/>
          <w:szCs w:val="20"/>
          <w:rtl/>
          <w:lang w:eastAsia="ar-SA"/>
        </w:rPr>
        <w:t>30</w:t>
      </w:r>
      <w:r w:rsidRPr="00DA2806">
        <w:rPr>
          <w:spacing w:val="-2"/>
          <w:rtl/>
          <w:lang w:eastAsia="ar-SA"/>
        </w:rPr>
        <w:t xml:space="preserve"> من الاتفاقية. ويمكن إتاحة النص الكامل لأي طلب من هذا القبيل باللغة التي قُدِّم بها إلى أي عضو من أعضاء اللجنة بناءً على طلبه. ويوجز هذا التقرير المسائل الرئيسية التي تم التطرق إليها فيما يتعلق بطلبات الإجراءات العاجلة التي تلقتها اللجنة بموجب المادة </w:t>
      </w:r>
      <w:r w:rsidRPr="00DA2806">
        <w:rPr>
          <w:spacing w:val="-2"/>
          <w:szCs w:val="20"/>
          <w:rtl/>
          <w:lang w:eastAsia="ar-SA"/>
        </w:rPr>
        <w:t>30</w:t>
      </w:r>
      <w:r w:rsidRPr="00DA2806">
        <w:rPr>
          <w:spacing w:val="-2"/>
          <w:rtl/>
          <w:lang w:eastAsia="ar-SA"/>
        </w:rPr>
        <w:t xml:space="preserve"> من الاتفاقية، والقرارات المتخذة بشأن تلك الطلبات منذ الدورة السادسة عشرة.</w:t>
      </w:r>
    </w:p>
    <w:p w14:paraId="42A9EBD1" w14:textId="77777777" w:rsidR="006724A5" w:rsidRPr="006724A5" w:rsidRDefault="006724A5" w:rsidP="006724A5">
      <w:pPr>
        <w:pStyle w:val="H1GA"/>
        <w:rPr>
          <w:rtl/>
          <w:lang w:eastAsia="ar-SA"/>
        </w:rPr>
      </w:pPr>
      <w:r>
        <w:rPr>
          <w:rtl/>
          <w:lang w:eastAsia="ar-SA"/>
        </w:rPr>
        <w:tab/>
      </w:r>
      <w:r w:rsidRPr="006724A5">
        <w:rPr>
          <w:rtl/>
          <w:lang w:eastAsia="ar-SA"/>
        </w:rPr>
        <w:t>باء-</w:t>
      </w:r>
      <w:r w:rsidRPr="006724A5">
        <w:rPr>
          <w:rtl/>
          <w:lang w:val="en-GB" w:eastAsia="ar-SA" w:bidi="ar-DZ"/>
        </w:rPr>
        <w:tab/>
      </w:r>
      <w:r w:rsidRPr="006724A5">
        <w:rPr>
          <w:rtl/>
          <w:lang w:eastAsia="ar-SA"/>
        </w:rPr>
        <w:t>طلبات الإجراءات العاجلة الواردة منذ الدورة السادسة عشرة للجنة</w:t>
      </w:r>
    </w:p>
    <w:p w14:paraId="0BC89196" w14:textId="77777777" w:rsidR="006724A5" w:rsidRPr="006724A5" w:rsidRDefault="006724A5" w:rsidP="006724A5">
      <w:pPr>
        <w:pStyle w:val="SingleTxtGA"/>
        <w:rPr>
          <w:rtl/>
          <w:lang w:eastAsia="ar-SA"/>
        </w:rPr>
      </w:pPr>
      <w:r w:rsidRPr="004A571B">
        <w:rPr>
          <w:szCs w:val="20"/>
          <w:rtl/>
          <w:lang w:eastAsia="ar-SA"/>
        </w:rPr>
        <w:t>2</w:t>
      </w:r>
      <w:r w:rsidRPr="006724A5">
        <w:rPr>
          <w:rtl/>
          <w:lang w:eastAsia="ar-SA"/>
        </w:rPr>
        <w:t>-</w:t>
      </w:r>
      <w:r w:rsidRPr="006724A5">
        <w:rPr>
          <w:rtl/>
          <w:lang w:val="en-GB" w:eastAsia="ar-SA" w:bidi="ar-DZ"/>
        </w:rPr>
        <w:tab/>
      </w:r>
      <w:r w:rsidRPr="006724A5">
        <w:rPr>
          <w:rtl/>
          <w:lang w:eastAsia="ar-SA"/>
        </w:rPr>
        <w:t xml:space="preserve">بيّنت اللجنة في تقريرها المتعلق بطلبات الإجراءات العاجلة والمعتمد في دورتها السادسة عشرة القرارات التي اتُّخذت بشأن طلبات الإجراءات العاجلة المسجّلة حتى </w:t>
      </w:r>
      <w:r w:rsidRPr="004A571B">
        <w:rPr>
          <w:szCs w:val="20"/>
          <w:rtl/>
          <w:lang w:eastAsia="ar-SA"/>
        </w:rPr>
        <w:t>4</w:t>
      </w:r>
      <w:r w:rsidRPr="006724A5">
        <w:rPr>
          <w:rtl/>
          <w:lang w:eastAsia="ar-SA"/>
        </w:rPr>
        <w:t xml:space="preserve"> نيسان/</w:t>
      </w:r>
      <w:r w:rsidR="00A300E9">
        <w:rPr>
          <w:rFonts w:hint="cs"/>
          <w:rtl/>
          <w:lang w:eastAsia="ar-SA"/>
        </w:rPr>
        <w:t xml:space="preserve"> </w:t>
      </w:r>
      <w:r w:rsidRPr="006724A5">
        <w:rPr>
          <w:rtl/>
          <w:lang w:eastAsia="ar-SA"/>
        </w:rPr>
        <w:t>أبريل</w:t>
      </w:r>
      <w:r w:rsidR="00A300E9">
        <w:rPr>
          <w:rFonts w:hint="cs"/>
          <w:rtl/>
          <w:lang w:eastAsia="ar-SA"/>
        </w:rPr>
        <w:t> </w:t>
      </w:r>
      <w:r w:rsidRPr="004A571B">
        <w:rPr>
          <w:szCs w:val="20"/>
          <w:rtl/>
          <w:lang w:eastAsia="ar-SA"/>
        </w:rPr>
        <w:t>2019</w:t>
      </w:r>
      <w:r w:rsidRPr="006724A5">
        <w:rPr>
          <w:rtl/>
          <w:lang w:eastAsia="ar-SA"/>
        </w:rPr>
        <w:t xml:space="preserve">، والبالغ عددها </w:t>
      </w:r>
      <w:r w:rsidRPr="004A571B">
        <w:rPr>
          <w:szCs w:val="20"/>
          <w:rtl/>
          <w:lang w:eastAsia="ar-SA"/>
        </w:rPr>
        <w:t>569</w:t>
      </w:r>
      <w:r w:rsidRPr="006724A5">
        <w:rPr>
          <w:rtl/>
          <w:lang w:eastAsia="ar-SA"/>
        </w:rPr>
        <w:t xml:space="preserve"> طلباً. وفيما بين ذلك التاريخ </w:t>
      </w:r>
      <w:proofErr w:type="spellStart"/>
      <w:r w:rsidRPr="006724A5">
        <w:rPr>
          <w:rtl/>
          <w:lang w:eastAsia="ar-SA"/>
        </w:rPr>
        <w:t>و</w:t>
      </w:r>
      <w:r w:rsidRPr="004A571B">
        <w:rPr>
          <w:szCs w:val="20"/>
          <w:rtl/>
          <w:lang w:eastAsia="ar-SA"/>
        </w:rPr>
        <w:t>30</w:t>
      </w:r>
      <w:proofErr w:type="spellEnd"/>
      <w:r w:rsidRPr="006724A5">
        <w:rPr>
          <w:rtl/>
          <w:lang w:eastAsia="ar-SA"/>
        </w:rPr>
        <w:t xml:space="preserve"> أيلول/سبتمبر </w:t>
      </w:r>
      <w:r w:rsidRPr="004A571B">
        <w:rPr>
          <w:szCs w:val="20"/>
          <w:rtl/>
          <w:lang w:eastAsia="ar-SA"/>
        </w:rPr>
        <w:t>2019</w:t>
      </w:r>
      <w:r w:rsidRPr="006724A5">
        <w:rPr>
          <w:rtl/>
          <w:lang w:eastAsia="ar-SA"/>
        </w:rPr>
        <w:t xml:space="preserve">، تلقت اللجنة </w:t>
      </w:r>
      <w:r w:rsidRPr="004A571B">
        <w:rPr>
          <w:szCs w:val="20"/>
          <w:rtl/>
          <w:lang w:eastAsia="ar-SA"/>
        </w:rPr>
        <w:t>220</w:t>
      </w:r>
      <w:r w:rsidRPr="006724A5">
        <w:rPr>
          <w:rtl/>
          <w:lang w:eastAsia="ar-SA"/>
        </w:rPr>
        <w:t xml:space="preserve"> طلباً جديداً لاتخاذ إجراءات عاجلة سُجلت جميعها. وتتعلق هذه الطلبات الجديدة البالغ عددها </w:t>
      </w:r>
      <w:r w:rsidRPr="004A571B">
        <w:rPr>
          <w:szCs w:val="20"/>
          <w:rtl/>
          <w:lang w:eastAsia="ar-SA"/>
        </w:rPr>
        <w:t>220</w:t>
      </w:r>
      <w:r w:rsidRPr="006724A5">
        <w:rPr>
          <w:rtl/>
          <w:lang w:eastAsia="ar-SA" w:bidi="ar-DZ"/>
        </w:rPr>
        <w:t xml:space="preserve"> طلباً بوقائع </w:t>
      </w:r>
      <w:r w:rsidRPr="006724A5">
        <w:rPr>
          <w:rtl/>
          <w:lang w:eastAsia="ar-SA" w:bidi="ar-SY"/>
        </w:rPr>
        <w:t>جرت</w:t>
      </w:r>
      <w:r w:rsidRPr="006724A5">
        <w:rPr>
          <w:rtl/>
          <w:lang w:eastAsia="ar-SA" w:bidi="ar-DZ"/>
        </w:rPr>
        <w:t xml:space="preserve"> في تونس و</w:t>
      </w:r>
      <w:r w:rsidRPr="006724A5">
        <w:rPr>
          <w:rtl/>
          <w:lang w:eastAsia="ar-SA"/>
        </w:rPr>
        <w:t>العراق والمكسيك. ويُقدَّم هذا التقرير مشفوعاً بقائمة الإجراءات العاجلة المسجلة (انظر الجدول).</w:t>
      </w:r>
    </w:p>
    <w:p w14:paraId="2885E71C" w14:textId="77777777" w:rsidR="006724A5" w:rsidRDefault="006724A5" w:rsidP="006724A5">
      <w:pPr>
        <w:pStyle w:val="SingleTxtGA"/>
        <w:rPr>
          <w:rtl/>
          <w:lang w:eastAsia="ar-SA"/>
        </w:rPr>
      </w:pPr>
      <w:r w:rsidRPr="004A571B">
        <w:rPr>
          <w:szCs w:val="20"/>
          <w:rtl/>
          <w:lang w:eastAsia="ar-SA"/>
        </w:rPr>
        <w:t>3</w:t>
      </w:r>
      <w:r w:rsidRPr="006724A5">
        <w:rPr>
          <w:rtl/>
          <w:lang w:eastAsia="ar-SA"/>
        </w:rPr>
        <w:t>-</w:t>
      </w:r>
      <w:r w:rsidRPr="006724A5">
        <w:rPr>
          <w:rtl/>
          <w:lang w:val="en-GB" w:eastAsia="ar-SA" w:bidi="ar-DZ"/>
        </w:rPr>
        <w:tab/>
      </w:r>
      <w:r w:rsidRPr="006724A5">
        <w:rPr>
          <w:rtl/>
          <w:lang w:eastAsia="ar-SA"/>
        </w:rPr>
        <w:t xml:space="preserve">وفي الفترة من عام </w:t>
      </w:r>
      <w:r w:rsidRPr="004A571B">
        <w:rPr>
          <w:szCs w:val="20"/>
          <w:rtl/>
          <w:lang w:eastAsia="ar-SA"/>
        </w:rPr>
        <w:t>2012</w:t>
      </w:r>
      <w:r w:rsidRPr="006724A5">
        <w:rPr>
          <w:rtl/>
          <w:lang w:eastAsia="ar-SA"/>
        </w:rPr>
        <w:t xml:space="preserve"> إلى </w:t>
      </w:r>
      <w:r w:rsidRPr="004A571B">
        <w:rPr>
          <w:szCs w:val="20"/>
          <w:rtl/>
          <w:lang w:eastAsia="ar-SA"/>
        </w:rPr>
        <w:t>30</w:t>
      </w:r>
      <w:r w:rsidRPr="006724A5">
        <w:rPr>
          <w:rtl/>
          <w:lang w:eastAsia="ar-SA"/>
        </w:rPr>
        <w:t xml:space="preserve"> أيلول/سبتمبر </w:t>
      </w:r>
      <w:r w:rsidRPr="004A571B">
        <w:rPr>
          <w:szCs w:val="20"/>
          <w:rtl/>
          <w:lang w:eastAsia="ar-SA"/>
        </w:rPr>
        <w:t>2019</w:t>
      </w:r>
      <w:r w:rsidRPr="006724A5">
        <w:rPr>
          <w:rtl/>
          <w:lang w:eastAsia="ar-SA"/>
        </w:rPr>
        <w:t xml:space="preserve">، سجلت اللجنة ما مجموعه </w:t>
      </w:r>
      <w:r w:rsidRPr="004A571B">
        <w:rPr>
          <w:szCs w:val="20"/>
          <w:rtl/>
          <w:lang w:eastAsia="ar-SA"/>
        </w:rPr>
        <w:t>782</w:t>
      </w:r>
      <w:r w:rsidRPr="006724A5">
        <w:rPr>
          <w:rtl/>
          <w:lang w:eastAsia="ar-SA"/>
        </w:rPr>
        <w:t xml:space="preserve"> طلباً لاتخاذ إجراءات عاجلة مقدمة من بلدان مختلفة، على النحو المبين في الجدول أدناه.</w:t>
      </w:r>
    </w:p>
    <w:tbl>
      <w:tblPr>
        <w:bidiVisual/>
        <w:tblW w:w="8505" w:type="dxa"/>
        <w:tblInd w:w="1134" w:type="dxa"/>
        <w:tblBorders>
          <w:top w:val="single" w:sz="4" w:space="0" w:color="auto"/>
          <w:bottom w:val="single" w:sz="12" w:space="0" w:color="auto"/>
        </w:tblBorders>
        <w:tblLayout w:type="fixed"/>
        <w:tblCellMar>
          <w:top w:w="108" w:type="dxa"/>
          <w:left w:w="0" w:type="dxa"/>
          <w:bottom w:w="108" w:type="dxa"/>
          <w:right w:w="0" w:type="dxa"/>
        </w:tblCellMar>
        <w:tblLook w:val="04A0" w:firstRow="1" w:lastRow="0" w:firstColumn="1" w:lastColumn="0" w:noHBand="0" w:noVBand="1"/>
      </w:tblPr>
      <w:tblGrid>
        <w:gridCol w:w="709"/>
        <w:gridCol w:w="452"/>
        <w:gridCol w:w="452"/>
        <w:gridCol w:w="453"/>
        <w:gridCol w:w="452"/>
        <w:gridCol w:w="453"/>
        <w:gridCol w:w="452"/>
        <w:gridCol w:w="453"/>
        <w:gridCol w:w="452"/>
        <w:gridCol w:w="452"/>
        <w:gridCol w:w="453"/>
        <w:gridCol w:w="452"/>
        <w:gridCol w:w="453"/>
        <w:gridCol w:w="452"/>
        <w:gridCol w:w="453"/>
        <w:gridCol w:w="323"/>
        <w:gridCol w:w="425"/>
        <w:gridCol w:w="714"/>
      </w:tblGrid>
      <w:tr w:rsidR="00347801" w:rsidRPr="00627755" w14:paraId="055B7E49" w14:textId="77777777" w:rsidTr="00DA2806">
        <w:trPr>
          <w:cantSplit/>
          <w:trHeight w:val="1010"/>
          <w:tblHeader/>
        </w:trPr>
        <w:tc>
          <w:tcPr>
            <w:tcW w:w="709" w:type="dxa"/>
            <w:tcBorders>
              <w:top w:val="single" w:sz="4" w:space="0" w:color="auto"/>
              <w:bottom w:val="single" w:sz="12" w:space="0" w:color="auto"/>
            </w:tcBorders>
            <w:shd w:val="clear" w:color="auto" w:fill="auto"/>
            <w:vAlign w:val="bottom"/>
          </w:tcPr>
          <w:p w14:paraId="33FFD8D1" w14:textId="77777777" w:rsidR="00347801" w:rsidRPr="00627755" w:rsidRDefault="00347801" w:rsidP="00DA2806">
            <w:pPr>
              <w:pageBreakBefore/>
              <w:spacing w:before="60" w:after="60" w:line="300" w:lineRule="exact"/>
              <w:ind w:left="57"/>
              <w:rPr>
                <w:i/>
                <w:iCs/>
                <w:sz w:val="18"/>
                <w:szCs w:val="28"/>
                <w:rtl/>
                <w:lang w:eastAsia="ar-SA"/>
              </w:rPr>
            </w:pPr>
            <w:r w:rsidRPr="00627755">
              <w:rPr>
                <w:i/>
                <w:iCs/>
                <w:sz w:val="18"/>
                <w:szCs w:val="28"/>
                <w:rtl/>
                <w:lang w:eastAsia="ar-SA"/>
              </w:rPr>
              <w:lastRenderedPageBreak/>
              <w:t>السنة</w:t>
            </w:r>
          </w:p>
        </w:tc>
        <w:tc>
          <w:tcPr>
            <w:tcW w:w="452" w:type="dxa"/>
            <w:tcBorders>
              <w:top w:val="single" w:sz="4" w:space="0" w:color="auto"/>
              <w:bottom w:val="single" w:sz="12" w:space="0" w:color="auto"/>
            </w:tcBorders>
            <w:shd w:val="clear" w:color="auto" w:fill="auto"/>
            <w:textDirection w:val="tbRl"/>
          </w:tcPr>
          <w:p w14:paraId="792D93E0" w14:textId="77777777" w:rsidR="00347801" w:rsidRPr="00627755" w:rsidRDefault="00347801" w:rsidP="0086319C">
            <w:pPr>
              <w:pageBreakBefore/>
              <w:spacing w:line="300" w:lineRule="exact"/>
              <w:ind w:left="57" w:right="57"/>
              <w:jc w:val="left"/>
              <w:rPr>
                <w:i/>
                <w:iCs/>
                <w:sz w:val="18"/>
                <w:szCs w:val="28"/>
                <w:rtl/>
                <w:lang w:eastAsia="ar-SA"/>
              </w:rPr>
            </w:pPr>
            <w:r w:rsidRPr="00627755">
              <w:rPr>
                <w:i/>
                <w:iCs/>
                <w:sz w:val="18"/>
                <w:szCs w:val="28"/>
                <w:rtl/>
                <w:lang w:eastAsia="ar-SA"/>
              </w:rPr>
              <w:t>الأرجنتين</w:t>
            </w:r>
          </w:p>
        </w:tc>
        <w:tc>
          <w:tcPr>
            <w:tcW w:w="452" w:type="dxa"/>
            <w:tcBorders>
              <w:top w:val="single" w:sz="4" w:space="0" w:color="auto"/>
              <w:bottom w:val="single" w:sz="12" w:space="0" w:color="auto"/>
            </w:tcBorders>
            <w:shd w:val="clear" w:color="auto" w:fill="auto"/>
            <w:textDirection w:val="tbRl"/>
          </w:tcPr>
          <w:p w14:paraId="648F034A" w14:textId="77777777" w:rsidR="00347801" w:rsidRPr="00627755" w:rsidRDefault="00347801" w:rsidP="0086319C">
            <w:pPr>
              <w:pageBreakBefore/>
              <w:spacing w:line="300" w:lineRule="exact"/>
              <w:ind w:left="57" w:right="57"/>
              <w:jc w:val="left"/>
              <w:rPr>
                <w:i/>
                <w:iCs/>
                <w:sz w:val="18"/>
                <w:szCs w:val="28"/>
                <w:rtl/>
                <w:lang w:eastAsia="ar-SA"/>
              </w:rPr>
            </w:pPr>
            <w:r w:rsidRPr="00627755">
              <w:rPr>
                <w:i/>
                <w:iCs/>
                <w:sz w:val="18"/>
                <w:szCs w:val="28"/>
                <w:rtl/>
                <w:lang w:eastAsia="ar-SA"/>
              </w:rPr>
              <w:t>أرمينيا</w:t>
            </w:r>
          </w:p>
        </w:tc>
        <w:tc>
          <w:tcPr>
            <w:tcW w:w="453" w:type="dxa"/>
            <w:tcBorders>
              <w:top w:val="single" w:sz="4" w:space="0" w:color="auto"/>
              <w:bottom w:val="single" w:sz="12" w:space="0" w:color="auto"/>
            </w:tcBorders>
            <w:shd w:val="clear" w:color="auto" w:fill="auto"/>
            <w:textDirection w:val="tbRl"/>
          </w:tcPr>
          <w:p w14:paraId="5D7E2518" w14:textId="77777777" w:rsidR="00347801" w:rsidRPr="00627755" w:rsidRDefault="00347801" w:rsidP="0086319C">
            <w:pPr>
              <w:pageBreakBefore/>
              <w:spacing w:line="300" w:lineRule="exact"/>
              <w:ind w:left="57" w:right="57"/>
              <w:jc w:val="left"/>
              <w:rPr>
                <w:i/>
                <w:iCs/>
                <w:sz w:val="18"/>
                <w:szCs w:val="28"/>
                <w:rtl/>
                <w:lang w:eastAsia="ar-SA"/>
              </w:rPr>
            </w:pPr>
            <w:r w:rsidRPr="00627755">
              <w:rPr>
                <w:i/>
                <w:iCs/>
                <w:sz w:val="18"/>
                <w:szCs w:val="28"/>
                <w:rtl/>
                <w:lang w:eastAsia="ar-SA"/>
              </w:rPr>
              <w:t>البرازيل</w:t>
            </w:r>
          </w:p>
        </w:tc>
        <w:tc>
          <w:tcPr>
            <w:tcW w:w="452" w:type="dxa"/>
            <w:tcBorders>
              <w:top w:val="single" w:sz="4" w:space="0" w:color="auto"/>
              <w:bottom w:val="single" w:sz="12" w:space="0" w:color="auto"/>
            </w:tcBorders>
            <w:shd w:val="clear" w:color="auto" w:fill="auto"/>
            <w:textDirection w:val="tbRl"/>
          </w:tcPr>
          <w:p w14:paraId="4B61E32F"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كمبوديا</w:t>
            </w:r>
          </w:p>
        </w:tc>
        <w:tc>
          <w:tcPr>
            <w:tcW w:w="453" w:type="dxa"/>
            <w:tcBorders>
              <w:top w:val="single" w:sz="4" w:space="0" w:color="auto"/>
              <w:bottom w:val="single" w:sz="12" w:space="0" w:color="auto"/>
            </w:tcBorders>
            <w:shd w:val="clear" w:color="auto" w:fill="auto"/>
            <w:textDirection w:val="tbRl"/>
          </w:tcPr>
          <w:p w14:paraId="05555746"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كولومبيا</w:t>
            </w:r>
          </w:p>
        </w:tc>
        <w:tc>
          <w:tcPr>
            <w:tcW w:w="452" w:type="dxa"/>
            <w:tcBorders>
              <w:top w:val="single" w:sz="4" w:space="0" w:color="auto"/>
              <w:bottom w:val="single" w:sz="12" w:space="0" w:color="auto"/>
            </w:tcBorders>
            <w:shd w:val="clear" w:color="auto" w:fill="auto"/>
            <w:textDirection w:val="tbRl"/>
          </w:tcPr>
          <w:p w14:paraId="3601B9B3"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كوبا</w:t>
            </w:r>
          </w:p>
        </w:tc>
        <w:tc>
          <w:tcPr>
            <w:tcW w:w="453" w:type="dxa"/>
            <w:tcBorders>
              <w:top w:val="single" w:sz="4" w:space="0" w:color="auto"/>
              <w:bottom w:val="single" w:sz="12" w:space="0" w:color="auto"/>
            </w:tcBorders>
            <w:shd w:val="clear" w:color="auto" w:fill="auto"/>
            <w:textDirection w:val="tbRl"/>
          </w:tcPr>
          <w:p w14:paraId="7B3DD460"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هندوراس</w:t>
            </w:r>
          </w:p>
        </w:tc>
        <w:tc>
          <w:tcPr>
            <w:tcW w:w="452" w:type="dxa"/>
            <w:tcBorders>
              <w:top w:val="single" w:sz="4" w:space="0" w:color="auto"/>
              <w:bottom w:val="single" w:sz="12" w:space="0" w:color="auto"/>
            </w:tcBorders>
            <w:shd w:val="clear" w:color="auto" w:fill="auto"/>
            <w:textDirection w:val="tbRl"/>
          </w:tcPr>
          <w:p w14:paraId="0E096A9A" w14:textId="77777777" w:rsidR="00347801" w:rsidRPr="00627755" w:rsidRDefault="00174CD2" w:rsidP="0086319C">
            <w:pPr>
              <w:pageBreakBefore/>
              <w:spacing w:line="300" w:lineRule="exact"/>
              <w:ind w:left="57" w:right="57"/>
              <w:jc w:val="left"/>
              <w:rPr>
                <w:i/>
                <w:iCs/>
                <w:sz w:val="18"/>
                <w:szCs w:val="28"/>
                <w:rtl/>
                <w:lang w:eastAsia="ar-SA"/>
              </w:rPr>
            </w:pPr>
            <w:r>
              <w:rPr>
                <w:rFonts w:hint="cs"/>
                <w:i/>
                <w:iCs/>
                <w:sz w:val="18"/>
                <w:szCs w:val="28"/>
                <w:rtl/>
                <w:lang w:eastAsia="ar-SA"/>
              </w:rPr>
              <w:t>العراق</w:t>
            </w:r>
          </w:p>
        </w:tc>
        <w:tc>
          <w:tcPr>
            <w:tcW w:w="452" w:type="dxa"/>
            <w:tcBorders>
              <w:top w:val="single" w:sz="4" w:space="0" w:color="auto"/>
              <w:bottom w:val="single" w:sz="12" w:space="0" w:color="auto"/>
            </w:tcBorders>
            <w:shd w:val="clear" w:color="auto" w:fill="auto"/>
            <w:textDirection w:val="tbRl"/>
          </w:tcPr>
          <w:p w14:paraId="1A4B5603" w14:textId="77777777" w:rsidR="00347801" w:rsidRPr="00627755" w:rsidRDefault="00174CD2" w:rsidP="0086319C">
            <w:pPr>
              <w:pageBreakBefore/>
              <w:spacing w:line="300" w:lineRule="exact"/>
              <w:ind w:left="57" w:right="57"/>
              <w:jc w:val="left"/>
              <w:rPr>
                <w:i/>
                <w:iCs/>
                <w:sz w:val="18"/>
                <w:szCs w:val="28"/>
                <w:rtl/>
                <w:lang w:eastAsia="ar-SA"/>
              </w:rPr>
            </w:pPr>
            <w:r>
              <w:rPr>
                <w:rFonts w:hint="cs"/>
                <w:i/>
                <w:iCs/>
                <w:sz w:val="18"/>
                <w:szCs w:val="28"/>
                <w:rtl/>
                <w:lang w:eastAsia="ar-SA"/>
              </w:rPr>
              <w:t>كازاخستان</w:t>
            </w:r>
          </w:p>
        </w:tc>
        <w:tc>
          <w:tcPr>
            <w:tcW w:w="453" w:type="dxa"/>
            <w:tcBorders>
              <w:top w:val="single" w:sz="4" w:space="0" w:color="auto"/>
              <w:bottom w:val="single" w:sz="12" w:space="0" w:color="auto"/>
            </w:tcBorders>
            <w:shd w:val="clear" w:color="auto" w:fill="auto"/>
            <w:textDirection w:val="tbRl"/>
          </w:tcPr>
          <w:p w14:paraId="572F702E"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ليتوانيا</w:t>
            </w:r>
          </w:p>
        </w:tc>
        <w:tc>
          <w:tcPr>
            <w:tcW w:w="452" w:type="dxa"/>
            <w:tcBorders>
              <w:top w:val="single" w:sz="4" w:space="0" w:color="auto"/>
              <w:bottom w:val="single" w:sz="12" w:space="0" w:color="auto"/>
            </w:tcBorders>
            <w:shd w:val="clear" w:color="auto" w:fill="auto"/>
            <w:textDirection w:val="tbRl"/>
          </w:tcPr>
          <w:p w14:paraId="51EF6C4D"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موريتانيا</w:t>
            </w:r>
          </w:p>
        </w:tc>
        <w:tc>
          <w:tcPr>
            <w:tcW w:w="453" w:type="dxa"/>
            <w:tcBorders>
              <w:top w:val="single" w:sz="4" w:space="0" w:color="auto"/>
              <w:bottom w:val="single" w:sz="12" w:space="0" w:color="auto"/>
            </w:tcBorders>
            <w:shd w:val="clear" w:color="auto" w:fill="auto"/>
            <w:textDirection w:val="tbRl"/>
          </w:tcPr>
          <w:p w14:paraId="691AACC6" w14:textId="77777777" w:rsidR="00347801" w:rsidRPr="00627755" w:rsidRDefault="00174CD2" w:rsidP="0086319C">
            <w:pPr>
              <w:pageBreakBefore/>
              <w:spacing w:line="300" w:lineRule="exact"/>
              <w:ind w:left="57" w:right="57"/>
              <w:jc w:val="left"/>
              <w:rPr>
                <w:i/>
                <w:iCs/>
                <w:sz w:val="18"/>
                <w:szCs w:val="28"/>
                <w:rtl/>
                <w:lang w:eastAsia="ar-SA"/>
              </w:rPr>
            </w:pPr>
            <w:r w:rsidRPr="00627755">
              <w:rPr>
                <w:i/>
                <w:iCs/>
                <w:sz w:val="18"/>
                <w:szCs w:val="28"/>
                <w:rtl/>
                <w:lang w:eastAsia="ar-SA"/>
              </w:rPr>
              <w:t>المكسيك</w:t>
            </w:r>
          </w:p>
        </w:tc>
        <w:tc>
          <w:tcPr>
            <w:tcW w:w="452" w:type="dxa"/>
            <w:tcBorders>
              <w:top w:val="single" w:sz="4" w:space="0" w:color="auto"/>
              <w:bottom w:val="single" w:sz="12" w:space="0" w:color="auto"/>
            </w:tcBorders>
            <w:shd w:val="clear" w:color="auto" w:fill="auto"/>
            <w:textDirection w:val="tbRl"/>
          </w:tcPr>
          <w:p w14:paraId="3F6309DC" w14:textId="77777777" w:rsidR="00347801" w:rsidRPr="00627755" w:rsidRDefault="00347801" w:rsidP="0086319C">
            <w:pPr>
              <w:pageBreakBefore/>
              <w:spacing w:line="300" w:lineRule="exact"/>
              <w:ind w:left="57" w:right="57"/>
              <w:jc w:val="left"/>
              <w:rPr>
                <w:i/>
                <w:iCs/>
                <w:sz w:val="18"/>
                <w:szCs w:val="28"/>
                <w:rtl/>
                <w:lang w:eastAsia="ar-SA"/>
              </w:rPr>
            </w:pPr>
            <w:r w:rsidRPr="00627755">
              <w:rPr>
                <w:i/>
                <w:iCs/>
                <w:sz w:val="18"/>
                <w:szCs w:val="28"/>
                <w:rtl/>
                <w:lang w:eastAsia="ar-SA"/>
              </w:rPr>
              <w:t>المغرب</w:t>
            </w:r>
          </w:p>
        </w:tc>
        <w:tc>
          <w:tcPr>
            <w:tcW w:w="453" w:type="dxa"/>
            <w:tcBorders>
              <w:top w:val="single" w:sz="4" w:space="0" w:color="auto"/>
              <w:bottom w:val="single" w:sz="12" w:space="0" w:color="auto"/>
            </w:tcBorders>
            <w:shd w:val="clear" w:color="auto" w:fill="auto"/>
            <w:textDirection w:val="tbRl"/>
          </w:tcPr>
          <w:p w14:paraId="557E2645" w14:textId="77777777" w:rsidR="00347801" w:rsidRPr="00627755" w:rsidRDefault="00174CD2" w:rsidP="0086319C">
            <w:pPr>
              <w:pageBreakBefore/>
              <w:spacing w:line="300" w:lineRule="exact"/>
              <w:ind w:left="57" w:right="57"/>
              <w:jc w:val="left"/>
              <w:rPr>
                <w:i/>
                <w:iCs/>
                <w:sz w:val="18"/>
                <w:szCs w:val="28"/>
                <w:rtl/>
                <w:lang w:eastAsia="ar-SA"/>
              </w:rPr>
            </w:pPr>
            <w:r>
              <w:rPr>
                <w:rFonts w:hint="cs"/>
                <w:i/>
                <w:iCs/>
                <w:sz w:val="18"/>
                <w:szCs w:val="28"/>
                <w:rtl/>
                <w:lang w:eastAsia="ar-SA"/>
              </w:rPr>
              <w:t>سري لانكا</w:t>
            </w:r>
          </w:p>
        </w:tc>
        <w:tc>
          <w:tcPr>
            <w:tcW w:w="323" w:type="dxa"/>
            <w:tcBorders>
              <w:top w:val="single" w:sz="4" w:space="0" w:color="auto"/>
              <w:bottom w:val="single" w:sz="12" w:space="0" w:color="auto"/>
            </w:tcBorders>
            <w:shd w:val="clear" w:color="auto" w:fill="auto"/>
            <w:textDirection w:val="tbRl"/>
          </w:tcPr>
          <w:p w14:paraId="638F0DBD" w14:textId="77777777" w:rsidR="00347801" w:rsidRPr="00627755" w:rsidRDefault="00174CD2" w:rsidP="0086319C">
            <w:pPr>
              <w:pageBreakBefore/>
              <w:spacing w:line="300" w:lineRule="exact"/>
              <w:ind w:left="57" w:right="57"/>
              <w:jc w:val="left"/>
              <w:rPr>
                <w:i/>
                <w:iCs/>
                <w:sz w:val="18"/>
                <w:szCs w:val="28"/>
                <w:rtl/>
                <w:lang w:eastAsia="ar-SA"/>
              </w:rPr>
            </w:pPr>
            <w:r>
              <w:rPr>
                <w:rFonts w:hint="cs"/>
                <w:i/>
                <w:iCs/>
                <w:sz w:val="18"/>
                <w:szCs w:val="28"/>
                <w:rtl/>
                <w:lang w:eastAsia="ar-SA"/>
              </w:rPr>
              <w:t>توغو</w:t>
            </w:r>
          </w:p>
        </w:tc>
        <w:tc>
          <w:tcPr>
            <w:tcW w:w="425" w:type="dxa"/>
            <w:tcBorders>
              <w:top w:val="single" w:sz="4" w:space="0" w:color="auto"/>
              <w:bottom w:val="single" w:sz="12" w:space="0" w:color="auto"/>
            </w:tcBorders>
            <w:shd w:val="clear" w:color="auto" w:fill="auto"/>
            <w:textDirection w:val="tbRl"/>
          </w:tcPr>
          <w:p w14:paraId="020F025A" w14:textId="77777777" w:rsidR="00347801" w:rsidRPr="00627755" w:rsidRDefault="00174CD2" w:rsidP="0086319C">
            <w:pPr>
              <w:pageBreakBefore/>
              <w:spacing w:line="300" w:lineRule="exact"/>
              <w:ind w:left="57" w:right="57"/>
              <w:jc w:val="left"/>
              <w:rPr>
                <w:i/>
                <w:iCs/>
                <w:sz w:val="18"/>
                <w:szCs w:val="28"/>
                <w:rtl/>
                <w:lang w:eastAsia="ar-SA"/>
              </w:rPr>
            </w:pPr>
            <w:r>
              <w:rPr>
                <w:rFonts w:hint="cs"/>
                <w:i/>
                <w:iCs/>
                <w:sz w:val="18"/>
                <w:szCs w:val="28"/>
                <w:rtl/>
                <w:lang w:eastAsia="ar-SA"/>
              </w:rPr>
              <w:t>تونس</w:t>
            </w:r>
          </w:p>
        </w:tc>
        <w:tc>
          <w:tcPr>
            <w:tcW w:w="714" w:type="dxa"/>
            <w:tcBorders>
              <w:top w:val="single" w:sz="4" w:space="0" w:color="auto"/>
              <w:bottom w:val="single" w:sz="12" w:space="0" w:color="auto"/>
            </w:tcBorders>
            <w:shd w:val="clear" w:color="auto" w:fill="auto"/>
            <w:tcMar>
              <w:right w:w="28" w:type="dxa"/>
            </w:tcMar>
            <w:vAlign w:val="bottom"/>
          </w:tcPr>
          <w:p w14:paraId="14D9DF62" w14:textId="77777777" w:rsidR="00347801" w:rsidRPr="00627755" w:rsidRDefault="00347801" w:rsidP="00DA2806">
            <w:pPr>
              <w:pageBreakBefore/>
              <w:spacing w:before="60" w:after="60" w:line="300" w:lineRule="exact"/>
              <w:ind w:left="57"/>
              <w:rPr>
                <w:b/>
                <w:bCs/>
                <w:i/>
                <w:iCs/>
                <w:sz w:val="18"/>
                <w:szCs w:val="28"/>
                <w:rtl/>
                <w:lang w:eastAsia="ar-SA"/>
              </w:rPr>
            </w:pPr>
            <w:r w:rsidRPr="00627755">
              <w:rPr>
                <w:b/>
                <w:bCs/>
                <w:i/>
                <w:iCs/>
                <w:sz w:val="18"/>
                <w:szCs w:val="28"/>
                <w:rtl/>
                <w:lang w:eastAsia="ar-SA"/>
              </w:rPr>
              <w:t>المجموع</w:t>
            </w:r>
          </w:p>
        </w:tc>
      </w:tr>
      <w:tr w:rsidR="00AA55D4" w:rsidRPr="006A7FB8" w14:paraId="13BACAA1" w14:textId="77777777" w:rsidTr="00627755">
        <w:trPr>
          <w:trHeight w:val="240"/>
        </w:trPr>
        <w:tc>
          <w:tcPr>
            <w:tcW w:w="709" w:type="dxa"/>
            <w:tcBorders>
              <w:top w:val="single" w:sz="12" w:space="0" w:color="auto"/>
            </w:tcBorders>
            <w:shd w:val="clear" w:color="auto" w:fill="auto"/>
          </w:tcPr>
          <w:p w14:paraId="22086C2C" w14:textId="77777777" w:rsidR="00AA55D4" w:rsidRPr="00167F14" w:rsidRDefault="00AA55D4" w:rsidP="00167F14">
            <w:pPr>
              <w:pStyle w:val="SingleTxtG"/>
              <w:bidi/>
              <w:spacing w:before="40" w:after="40" w:line="220" w:lineRule="exact"/>
              <w:ind w:left="0" w:right="113"/>
              <w:jc w:val="left"/>
              <w:rPr>
                <w:sz w:val="18"/>
                <w:lang w:val="en-US" w:bidi="ar-DZ"/>
              </w:rPr>
            </w:pPr>
            <w:r w:rsidRPr="006A7FB8">
              <w:rPr>
                <w:sz w:val="18"/>
                <w:rtl/>
                <w:lang w:bidi="ar-DZ"/>
              </w:rPr>
              <w:t>2012</w:t>
            </w:r>
          </w:p>
        </w:tc>
        <w:tc>
          <w:tcPr>
            <w:tcW w:w="452" w:type="dxa"/>
            <w:tcBorders>
              <w:top w:val="single" w:sz="12" w:space="0" w:color="auto"/>
            </w:tcBorders>
            <w:shd w:val="clear" w:color="auto" w:fill="auto"/>
            <w:tcMar>
              <w:right w:w="28" w:type="dxa"/>
            </w:tcMar>
            <w:vAlign w:val="bottom"/>
          </w:tcPr>
          <w:p w14:paraId="382A898F" w14:textId="77777777" w:rsidR="00AA55D4" w:rsidRPr="006A7FB8" w:rsidRDefault="00AA55D4" w:rsidP="0086319C">
            <w:pPr>
              <w:pStyle w:val="SingleTxtG"/>
              <w:bidi/>
              <w:spacing w:before="40" w:after="40" w:line="220" w:lineRule="exact"/>
              <w:ind w:left="0" w:right="0"/>
              <w:jc w:val="left"/>
              <w:rPr>
                <w:rFonts w:hint="cs"/>
                <w:sz w:val="18"/>
                <w:rtl/>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52EC07E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43F89B7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3370D69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0AE4EE5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0B9956A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149D2719"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6BF19DEE"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2F44A7F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77ECE6AD"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single" w:sz="12" w:space="0" w:color="auto"/>
            </w:tcBorders>
            <w:shd w:val="clear" w:color="auto" w:fill="auto"/>
            <w:tcMar>
              <w:right w:w="28" w:type="dxa"/>
            </w:tcMar>
            <w:vAlign w:val="bottom"/>
          </w:tcPr>
          <w:p w14:paraId="565A784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67C5185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5</w:t>
            </w:r>
          </w:p>
        </w:tc>
        <w:tc>
          <w:tcPr>
            <w:tcW w:w="452" w:type="dxa"/>
            <w:tcBorders>
              <w:top w:val="single" w:sz="12" w:space="0" w:color="auto"/>
            </w:tcBorders>
            <w:shd w:val="clear" w:color="auto" w:fill="auto"/>
            <w:tcMar>
              <w:right w:w="28" w:type="dxa"/>
            </w:tcMar>
            <w:vAlign w:val="bottom"/>
          </w:tcPr>
          <w:p w14:paraId="0F4334D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single" w:sz="12" w:space="0" w:color="auto"/>
            </w:tcBorders>
            <w:shd w:val="clear" w:color="auto" w:fill="auto"/>
            <w:tcMar>
              <w:right w:w="28" w:type="dxa"/>
            </w:tcMar>
            <w:vAlign w:val="bottom"/>
          </w:tcPr>
          <w:p w14:paraId="2050072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tcBorders>
              <w:top w:val="single" w:sz="12" w:space="0" w:color="auto"/>
            </w:tcBorders>
            <w:shd w:val="clear" w:color="auto" w:fill="auto"/>
            <w:tcMar>
              <w:right w:w="28" w:type="dxa"/>
            </w:tcMar>
            <w:vAlign w:val="bottom"/>
          </w:tcPr>
          <w:p w14:paraId="392E7F1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tcBorders>
              <w:top w:val="single" w:sz="12" w:space="0" w:color="auto"/>
            </w:tcBorders>
            <w:shd w:val="clear" w:color="auto" w:fill="auto"/>
            <w:tcMar>
              <w:right w:w="28" w:type="dxa"/>
            </w:tcMar>
            <w:vAlign w:val="bottom"/>
          </w:tcPr>
          <w:p w14:paraId="47CD6F3D"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tcBorders>
              <w:top w:val="single" w:sz="12" w:space="0" w:color="auto"/>
            </w:tcBorders>
            <w:shd w:val="clear" w:color="auto" w:fill="auto"/>
            <w:tcMar>
              <w:right w:w="28" w:type="dxa"/>
            </w:tcMar>
            <w:vAlign w:val="bottom"/>
          </w:tcPr>
          <w:p w14:paraId="2F315C9D"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5</w:t>
            </w:r>
          </w:p>
        </w:tc>
      </w:tr>
      <w:tr w:rsidR="00AA55D4" w:rsidRPr="006A7FB8" w14:paraId="0DD76B3F" w14:textId="77777777" w:rsidTr="00627755">
        <w:trPr>
          <w:trHeight w:val="240"/>
        </w:trPr>
        <w:tc>
          <w:tcPr>
            <w:tcW w:w="709" w:type="dxa"/>
            <w:shd w:val="clear" w:color="auto" w:fill="auto"/>
          </w:tcPr>
          <w:p w14:paraId="7FFC42EC" w14:textId="77777777" w:rsidR="00AA55D4" w:rsidRPr="006A7FB8" w:rsidRDefault="00AA55D4" w:rsidP="00167F14">
            <w:pPr>
              <w:pStyle w:val="SingleTxtG"/>
              <w:bidi/>
              <w:spacing w:before="40" w:after="40" w:line="220" w:lineRule="exact"/>
              <w:ind w:left="0" w:right="113"/>
              <w:jc w:val="left"/>
              <w:rPr>
                <w:sz w:val="18"/>
                <w:lang w:bidi="ar-DZ"/>
              </w:rPr>
            </w:pPr>
            <w:r w:rsidRPr="006A7FB8">
              <w:rPr>
                <w:sz w:val="18"/>
                <w:rtl/>
                <w:lang w:bidi="ar-DZ"/>
              </w:rPr>
              <w:t>2013</w:t>
            </w:r>
          </w:p>
        </w:tc>
        <w:tc>
          <w:tcPr>
            <w:tcW w:w="452" w:type="dxa"/>
            <w:shd w:val="clear" w:color="auto" w:fill="auto"/>
            <w:tcMar>
              <w:right w:w="28" w:type="dxa"/>
            </w:tcMar>
            <w:vAlign w:val="bottom"/>
          </w:tcPr>
          <w:p w14:paraId="0BA06008"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2290D5F8"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296D546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624AB31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66C4D5B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2" w:type="dxa"/>
            <w:shd w:val="clear" w:color="auto" w:fill="auto"/>
            <w:tcMar>
              <w:right w:w="28" w:type="dxa"/>
            </w:tcMar>
            <w:vAlign w:val="bottom"/>
          </w:tcPr>
          <w:p w14:paraId="2846AF7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3AC5F24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56EC27F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3CC5317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7406EE0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48E5856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283C0076" w14:textId="77777777" w:rsidR="00AA55D4" w:rsidRPr="006A7FB8" w:rsidRDefault="00AA55D4" w:rsidP="0086319C">
            <w:pPr>
              <w:pStyle w:val="SingleTxtG"/>
              <w:bidi/>
              <w:spacing w:before="40" w:after="40" w:line="220" w:lineRule="exact"/>
              <w:ind w:left="0" w:right="0"/>
              <w:jc w:val="left"/>
              <w:rPr>
                <w:sz w:val="18"/>
                <w:rtl/>
                <w:lang w:bidi="ar-DZ"/>
              </w:rPr>
            </w:pPr>
            <w:proofErr w:type="spellStart"/>
            <w:r w:rsidRPr="006A7FB8">
              <w:rPr>
                <w:sz w:val="18"/>
                <w:rtl/>
                <w:lang w:bidi="ar-DZ"/>
              </w:rPr>
              <w:t>6</w:t>
            </w:r>
            <w:r w:rsidR="00167F14" w:rsidRPr="00321614">
              <w:rPr>
                <w:rFonts w:ascii="Traditional Arabic" w:hAnsi="Traditional Arabic" w:cs="Traditional Arabic"/>
                <w:sz w:val="28"/>
                <w:szCs w:val="28"/>
                <w:vertAlign w:val="superscript"/>
                <w:rtl/>
                <w:lang w:bidi="ar-DZ"/>
              </w:rPr>
              <w:t>أ</w:t>
            </w:r>
            <w:proofErr w:type="spellEnd"/>
          </w:p>
        </w:tc>
        <w:tc>
          <w:tcPr>
            <w:tcW w:w="452" w:type="dxa"/>
            <w:shd w:val="clear" w:color="auto" w:fill="auto"/>
            <w:tcMar>
              <w:right w:w="28" w:type="dxa"/>
            </w:tcMar>
            <w:vAlign w:val="bottom"/>
          </w:tcPr>
          <w:p w14:paraId="20EA774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5DED978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shd w:val="clear" w:color="auto" w:fill="auto"/>
            <w:tcMar>
              <w:right w:w="28" w:type="dxa"/>
            </w:tcMar>
            <w:vAlign w:val="bottom"/>
          </w:tcPr>
          <w:p w14:paraId="7EDC237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shd w:val="clear" w:color="auto" w:fill="auto"/>
            <w:tcMar>
              <w:right w:w="28" w:type="dxa"/>
            </w:tcMar>
            <w:vAlign w:val="bottom"/>
          </w:tcPr>
          <w:p w14:paraId="5E494FE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shd w:val="clear" w:color="auto" w:fill="auto"/>
            <w:tcMar>
              <w:right w:w="28" w:type="dxa"/>
            </w:tcMar>
            <w:vAlign w:val="bottom"/>
          </w:tcPr>
          <w:p w14:paraId="3D8AB891"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7</w:t>
            </w:r>
          </w:p>
        </w:tc>
      </w:tr>
      <w:tr w:rsidR="00AA55D4" w:rsidRPr="006A7FB8" w14:paraId="2CAC79FA" w14:textId="77777777" w:rsidTr="00627755">
        <w:trPr>
          <w:trHeight w:val="240"/>
        </w:trPr>
        <w:tc>
          <w:tcPr>
            <w:tcW w:w="709" w:type="dxa"/>
            <w:shd w:val="clear" w:color="auto" w:fill="auto"/>
          </w:tcPr>
          <w:p w14:paraId="1C39F7D3" w14:textId="77777777" w:rsidR="00AA55D4" w:rsidRPr="006A7FB8" w:rsidRDefault="00AA55D4" w:rsidP="00167F14">
            <w:pPr>
              <w:pStyle w:val="SingleTxtG"/>
              <w:bidi/>
              <w:spacing w:before="40" w:after="40" w:line="220" w:lineRule="exact"/>
              <w:ind w:left="0" w:right="113"/>
              <w:jc w:val="left"/>
              <w:rPr>
                <w:sz w:val="18"/>
                <w:lang w:bidi="ar-DZ"/>
              </w:rPr>
            </w:pPr>
            <w:r w:rsidRPr="006A7FB8">
              <w:rPr>
                <w:sz w:val="18"/>
                <w:rtl/>
                <w:lang w:bidi="ar-DZ"/>
              </w:rPr>
              <w:t>2014</w:t>
            </w:r>
          </w:p>
        </w:tc>
        <w:tc>
          <w:tcPr>
            <w:tcW w:w="452" w:type="dxa"/>
            <w:shd w:val="clear" w:color="auto" w:fill="auto"/>
            <w:tcMar>
              <w:right w:w="28" w:type="dxa"/>
            </w:tcMar>
            <w:vAlign w:val="bottom"/>
          </w:tcPr>
          <w:p w14:paraId="76E52C5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50E426B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5BAEB54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2" w:type="dxa"/>
            <w:shd w:val="clear" w:color="auto" w:fill="auto"/>
            <w:tcMar>
              <w:right w:w="28" w:type="dxa"/>
            </w:tcMar>
            <w:vAlign w:val="bottom"/>
          </w:tcPr>
          <w:p w14:paraId="586CC9A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3" w:type="dxa"/>
            <w:shd w:val="clear" w:color="auto" w:fill="auto"/>
            <w:tcMar>
              <w:right w:w="28" w:type="dxa"/>
            </w:tcMar>
            <w:vAlign w:val="bottom"/>
          </w:tcPr>
          <w:p w14:paraId="6081886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2" w:type="dxa"/>
            <w:shd w:val="clear" w:color="auto" w:fill="auto"/>
            <w:tcMar>
              <w:right w:w="28" w:type="dxa"/>
            </w:tcMar>
            <w:vAlign w:val="bottom"/>
          </w:tcPr>
          <w:p w14:paraId="645AA4BE" w14:textId="77777777" w:rsidR="00AA55D4" w:rsidRPr="006A7FB8" w:rsidRDefault="00AA55D4" w:rsidP="0086319C">
            <w:pPr>
              <w:pStyle w:val="SingleTxtG"/>
              <w:bidi/>
              <w:spacing w:before="40" w:after="40" w:line="220" w:lineRule="exact"/>
              <w:ind w:left="0" w:right="0"/>
              <w:jc w:val="left"/>
              <w:rPr>
                <w:sz w:val="18"/>
                <w:rtl/>
                <w:lang w:bidi="ar-DZ"/>
              </w:rPr>
            </w:pPr>
            <w:r w:rsidRPr="006A7FB8">
              <w:rPr>
                <w:sz w:val="18"/>
                <w:rtl/>
                <w:lang w:bidi="ar-DZ"/>
              </w:rPr>
              <w:t>-</w:t>
            </w:r>
          </w:p>
        </w:tc>
        <w:tc>
          <w:tcPr>
            <w:tcW w:w="453" w:type="dxa"/>
            <w:shd w:val="clear" w:color="auto" w:fill="auto"/>
            <w:tcMar>
              <w:right w:w="28" w:type="dxa"/>
            </w:tcMar>
            <w:vAlign w:val="bottom"/>
          </w:tcPr>
          <w:p w14:paraId="046EF84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30365FF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5</w:t>
            </w:r>
          </w:p>
        </w:tc>
        <w:tc>
          <w:tcPr>
            <w:tcW w:w="452" w:type="dxa"/>
            <w:shd w:val="clear" w:color="auto" w:fill="auto"/>
            <w:tcMar>
              <w:right w:w="28" w:type="dxa"/>
            </w:tcMar>
            <w:vAlign w:val="bottom"/>
          </w:tcPr>
          <w:p w14:paraId="310BF00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320414F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61A4E1B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0D749DE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43</w:t>
            </w:r>
          </w:p>
        </w:tc>
        <w:tc>
          <w:tcPr>
            <w:tcW w:w="452" w:type="dxa"/>
            <w:shd w:val="clear" w:color="auto" w:fill="auto"/>
            <w:tcMar>
              <w:right w:w="28" w:type="dxa"/>
            </w:tcMar>
            <w:vAlign w:val="bottom"/>
          </w:tcPr>
          <w:p w14:paraId="4DDA47A9"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49FC06B2"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shd w:val="clear" w:color="auto" w:fill="auto"/>
            <w:tcMar>
              <w:right w:w="28" w:type="dxa"/>
            </w:tcMar>
            <w:vAlign w:val="bottom"/>
          </w:tcPr>
          <w:p w14:paraId="6499AE82"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shd w:val="clear" w:color="auto" w:fill="auto"/>
            <w:tcMar>
              <w:right w:w="28" w:type="dxa"/>
            </w:tcMar>
            <w:vAlign w:val="bottom"/>
          </w:tcPr>
          <w:p w14:paraId="76C894E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shd w:val="clear" w:color="auto" w:fill="auto"/>
            <w:tcMar>
              <w:right w:w="28" w:type="dxa"/>
            </w:tcMar>
            <w:vAlign w:val="bottom"/>
          </w:tcPr>
          <w:p w14:paraId="08046BE9"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51</w:t>
            </w:r>
          </w:p>
        </w:tc>
      </w:tr>
      <w:tr w:rsidR="00AA55D4" w:rsidRPr="006A7FB8" w14:paraId="390621A7" w14:textId="77777777" w:rsidTr="00627755">
        <w:trPr>
          <w:trHeight w:val="240"/>
        </w:trPr>
        <w:tc>
          <w:tcPr>
            <w:tcW w:w="709" w:type="dxa"/>
            <w:shd w:val="clear" w:color="auto" w:fill="auto"/>
          </w:tcPr>
          <w:p w14:paraId="6FD0255D" w14:textId="77777777" w:rsidR="00AA55D4" w:rsidRPr="006A7FB8" w:rsidRDefault="00AA55D4" w:rsidP="00167F14">
            <w:pPr>
              <w:pStyle w:val="SingleTxtG"/>
              <w:bidi/>
              <w:spacing w:before="40" w:after="40" w:line="220" w:lineRule="exact"/>
              <w:ind w:left="0" w:right="113"/>
              <w:jc w:val="left"/>
              <w:rPr>
                <w:sz w:val="18"/>
                <w:lang w:bidi="ar-DZ"/>
              </w:rPr>
            </w:pPr>
            <w:r w:rsidRPr="006A7FB8">
              <w:rPr>
                <w:sz w:val="18"/>
                <w:rtl/>
                <w:lang w:bidi="ar-DZ"/>
              </w:rPr>
              <w:t>2015</w:t>
            </w:r>
          </w:p>
        </w:tc>
        <w:tc>
          <w:tcPr>
            <w:tcW w:w="452" w:type="dxa"/>
            <w:shd w:val="clear" w:color="auto" w:fill="auto"/>
            <w:tcMar>
              <w:right w:w="28" w:type="dxa"/>
            </w:tcMar>
            <w:vAlign w:val="bottom"/>
          </w:tcPr>
          <w:p w14:paraId="1F364DC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0153BCC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047D7862"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5C7FFE8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3554457C"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3</w:t>
            </w:r>
          </w:p>
        </w:tc>
        <w:tc>
          <w:tcPr>
            <w:tcW w:w="452" w:type="dxa"/>
            <w:shd w:val="clear" w:color="auto" w:fill="auto"/>
            <w:tcMar>
              <w:right w:w="28" w:type="dxa"/>
            </w:tcMar>
            <w:vAlign w:val="bottom"/>
          </w:tcPr>
          <w:p w14:paraId="7CFA88B9"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325C29E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14BF5C3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42</w:t>
            </w:r>
          </w:p>
        </w:tc>
        <w:tc>
          <w:tcPr>
            <w:tcW w:w="452" w:type="dxa"/>
            <w:shd w:val="clear" w:color="auto" w:fill="auto"/>
            <w:tcMar>
              <w:right w:w="28" w:type="dxa"/>
            </w:tcMar>
            <w:vAlign w:val="bottom"/>
          </w:tcPr>
          <w:p w14:paraId="0C410AF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364E519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shd w:val="clear" w:color="auto" w:fill="auto"/>
            <w:tcMar>
              <w:right w:w="28" w:type="dxa"/>
            </w:tcMar>
            <w:vAlign w:val="bottom"/>
          </w:tcPr>
          <w:p w14:paraId="759BE51D"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78B187A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165</w:t>
            </w:r>
          </w:p>
        </w:tc>
        <w:tc>
          <w:tcPr>
            <w:tcW w:w="452" w:type="dxa"/>
            <w:shd w:val="clear" w:color="auto" w:fill="auto"/>
            <w:tcMar>
              <w:right w:w="28" w:type="dxa"/>
            </w:tcMar>
            <w:vAlign w:val="bottom"/>
          </w:tcPr>
          <w:p w14:paraId="4DAD6D0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shd w:val="clear" w:color="auto" w:fill="auto"/>
            <w:tcMar>
              <w:right w:w="28" w:type="dxa"/>
            </w:tcMar>
            <w:vAlign w:val="bottom"/>
          </w:tcPr>
          <w:p w14:paraId="113C864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shd w:val="clear" w:color="auto" w:fill="auto"/>
            <w:tcMar>
              <w:right w:w="28" w:type="dxa"/>
            </w:tcMar>
            <w:vAlign w:val="bottom"/>
          </w:tcPr>
          <w:p w14:paraId="59F8186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shd w:val="clear" w:color="auto" w:fill="auto"/>
            <w:tcMar>
              <w:right w:w="28" w:type="dxa"/>
            </w:tcMar>
            <w:vAlign w:val="bottom"/>
          </w:tcPr>
          <w:p w14:paraId="1DCBF8C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shd w:val="clear" w:color="auto" w:fill="auto"/>
            <w:tcMar>
              <w:right w:w="28" w:type="dxa"/>
            </w:tcMar>
            <w:vAlign w:val="bottom"/>
          </w:tcPr>
          <w:p w14:paraId="35131B2B"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210</w:t>
            </w:r>
          </w:p>
        </w:tc>
      </w:tr>
      <w:tr w:rsidR="00AA55D4" w:rsidRPr="006A7FB8" w14:paraId="7C05EB4F" w14:textId="77777777" w:rsidTr="00627755">
        <w:trPr>
          <w:trHeight w:val="240"/>
        </w:trPr>
        <w:tc>
          <w:tcPr>
            <w:tcW w:w="709" w:type="dxa"/>
            <w:tcBorders>
              <w:bottom w:val="nil"/>
            </w:tcBorders>
            <w:shd w:val="clear" w:color="auto" w:fill="auto"/>
          </w:tcPr>
          <w:p w14:paraId="3B45E620" w14:textId="77777777" w:rsidR="00AA55D4" w:rsidRPr="006A7FB8" w:rsidRDefault="00AA55D4" w:rsidP="00167F14">
            <w:pPr>
              <w:pStyle w:val="SingleTxtG"/>
              <w:bidi/>
              <w:spacing w:before="40" w:after="40" w:line="220" w:lineRule="exact"/>
              <w:ind w:left="0" w:right="113"/>
              <w:jc w:val="left"/>
              <w:rPr>
                <w:sz w:val="18"/>
                <w:lang w:bidi="ar-DZ"/>
              </w:rPr>
            </w:pPr>
            <w:r w:rsidRPr="006A7FB8">
              <w:rPr>
                <w:sz w:val="18"/>
                <w:rtl/>
                <w:lang w:bidi="ar-DZ"/>
              </w:rPr>
              <w:t>2016</w:t>
            </w:r>
          </w:p>
        </w:tc>
        <w:tc>
          <w:tcPr>
            <w:tcW w:w="452" w:type="dxa"/>
            <w:tcBorders>
              <w:bottom w:val="nil"/>
            </w:tcBorders>
            <w:shd w:val="clear" w:color="auto" w:fill="auto"/>
            <w:tcMar>
              <w:right w:w="28" w:type="dxa"/>
            </w:tcMar>
            <w:vAlign w:val="bottom"/>
          </w:tcPr>
          <w:p w14:paraId="039A2708"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bottom w:val="nil"/>
            </w:tcBorders>
            <w:shd w:val="clear" w:color="auto" w:fill="auto"/>
            <w:tcMar>
              <w:right w:w="28" w:type="dxa"/>
            </w:tcMar>
            <w:vAlign w:val="bottom"/>
          </w:tcPr>
          <w:p w14:paraId="4BD8035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bottom w:val="nil"/>
            </w:tcBorders>
            <w:shd w:val="clear" w:color="auto" w:fill="auto"/>
            <w:tcMar>
              <w:right w:w="28" w:type="dxa"/>
            </w:tcMar>
            <w:vAlign w:val="bottom"/>
          </w:tcPr>
          <w:p w14:paraId="3906267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bottom w:val="nil"/>
            </w:tcBorders>
            <w:shd w:val="clear" w:color="auto" w:fill="auto"/>
            <w:tcMar>
              <w:right w:w="28" w:type="dxa"/>
            </w:tcMar>
            <w:vAlign w:val="bottom"/>
          </w:tcPr>
          <w:p w14:paraId="3BFE334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bottom w:val="nil"/>
            </w:tcBorders>
            <w:shd w:val="clear" w:color="auto" w:fill="auto"/>
            <w:tcMar>
              <w:right w:w="28" w:type="dxa"/>
            </w:tcMar>
            <w:vAlign w:val="bottom"/>
          </w:tcPr>
          <w:p w14:paraId="22018C99"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4</w:t>
            </w:r>
          </w:p>
        </w:tc>
        <w:tc>
          <w:tcPr>
            <w:tcW w:w="452" w:type="dxa"/>
            <w:tcBorders>
              <w:bottom w:val="nil"/>
            </w:tcBorders>
            <w:shd w:val="clear" w:color="auto" w:fill="auto"/>
            <w:tcMar>
              <w:right w:w="28" w:type="dxa"/>
            </w:tcMar>
            <w:vAlign w:val="bottom"/>
          </w:tcPr>
          <w:p w14:paraId="307B9BB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bottom w:val="nil"/>
            </w:tcBorders>
            <w:shd w:val="clear" w:color="auto" w:fill="auto"/>
            <w:tcMar>
              <w:right w:w="28" w:type="dxa"/>
            </w:tcMar>
            <w:vAlign w:val="bottom"/>
          </w:tcPr>
          <w:p w14:paraId="1111253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bottom w:val="nil"/>
            </w:tcBorders>
            <w:shd w:val="clear" w:color="auto" w:fill="auto"/>
            <w:tcMar>
              <w:right w:w="28" w:type="dxa"/>
            </w:tcMar>
            <w:vAlign w:val="bottom"/>
          </w:tcPr>
          <w:p w14:paraId="59CDFDEE"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22</w:t>
            </w:r>
          </w:p>
        </w:tc>
        <w:tc>
          <w:tcPr>
            <w:tcW w:w="452" w:type="dxa"/>
            <w:tcBorders>
              <w:bottom w:val="nil"/>
            </w:tcBorders>
            <w:shd w:val="clear" w:color="auto" w:fill="auto"/>
            <w:tcMar>
              <w:right w:w="28" w:type="dxa"/>
            </w:tcMar>
            <w:vAlign w:val="bottom"/>
          </w:tcPr>
          <w:p w14:paraId="4E9387D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bottom w:val="nil"/>
            </w:tcBorders>
            <w:shd w:val="clear" w:color="auto" w:fill="auto"/>
            <w:tcMar>
              <w:right w:w="28" w:type="dxa"/>
            </w:tcMar>
            <w:vAlign w:val="bottom"/>
          </w:tcPr>
          <w:p w14:paraId="0CCE86DE"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bottom w:val="nil"/>
            </w:tcBorders>
            <w:shd w:val="clear" w:color="auto" w:fill="auto"/>
            <w:tcMar>
              <w:right w:w="28" w:type="dxa"/>
            </w:tcMar>
            <w:vAlign w:val="bottom"/>
          </w:tcPr>
          <w:p w14:paraId="6A18A4A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bottom w:val="nil"/>
            </w:tcBorders>
            <w:shd w:val="clear" w:color="auto" w:fill="auto"/>
            <w:tcMar>
              <w:right w:w="28" w:type="dxa"/>
            </w:tcMar>
            <w:vAlign w:val="bottom"/>
          </w:tcPr>
          <w:p w14:paraId="4E706DE2"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58</w:t>
            </w:r>
          </w:p>
        </w:tc>
        <w:tc>
          <w:tcPr>
            <w:tcW w:w="452" w:type="dxa"/>
            <w:tcBorders>
              <w:bottom w:val="nil"/>
            </w:tcBorders>
            <w:shd w:val="clear" w:color="auto" w:fill="auto"/>
            <w:tcMar>
              <w:right w:w="28" w:type="dxa"/>
            </w:tcMar>
            <w:vAlign w:val="bottom"/>
          </w:tcPr>
          <w:p w14:paraId="4A34562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3" w:type="dxa"/>
            <w:tcBorders>
              <w:bottom w:val="nil"/>
            </w:tcBorders>
            <w:shd w:val="clear" w:color="auto" w:fill="auto"/>
            <w:tcMar>
              <w:right w:w="28" w:type="dxa"/>
            </w:tcMar>
            <w:vAlign w:val="bottom"/>
          </w:tcPr>
          <w:p w14:paraId="54DB362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tcBorders>
              <w:bottom w:val="nil"/>
            </w:tcBorders>
            <w:shd w:val="clear" w:color="auto" w:fill="auto"/>
            <w:tcMar>
              <w:right w:w="28" w:type="dxa"/>
            </w:tcMar>
            <w:vAlign w:val="bottom"/>
          </w:tcPr>
          <w:p w14:paraId="78B9FB7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tcBorders>
              <w:bottom w:val="nil"/>
            </w:tcBorders>
            <w:shd w:val="clear" w:color="auto" w:fill="auto"/>
            <w:tcMar>
              <w:right w:w="28" w:type="dxa"/>
            </w:tcMar>
            <w:vAlign w:val="bottom"/>
          </w:tcPr>
          <w:p w14:paraId="11F0068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tcBorders>
              <w:bottom w:val="nil"/>
            </w:tcBorders>
            <w:shd w:val="clear" w:color="auto" w:fill="auto"/>
            <w:tcMar>
              <w:right w:w="28" w:type="dxa"/>
            </w:tcMar>
            <w:vAlign w:val="bottom"/>
          </w:tcPr>
          <w:p w14:paraId="40363E6E"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85</w:t>
            </w:r>
          </w:p>
        </w:tc>
      </w:tr>
      <w:tr w:rsidR="00AA55D4" w:rsidRPr="006A7FB8" w14:paraId="7865B43A" w14:textId="77777777" w:rsidTr="00627755">
        <w:trPr>
          <w:trHeight w:val="240"/>
        </w:trPr>
        <w:tc>
          <w:tcPr>
            <w:tcW w:w="709" w:type="dxa"/>
            <w:tcBorders>
              <w:top w:val="nil"/>
              <w:bottom w:val="nil"/>
            </w:tcBorders>
            <w:shd w:val="clear" w:color="auto" w:fill="auto"/>
          </w:tcPr>
          <w:p w14:paraId="0A211E61" w14:textId="77777777" w:rsidR="00AA55D4" w:rsidRPr="006A7FB8" w:rsidRDefault="00AA55D4" w:rsidP="00167F14">
            <w:pPr>
              <w:pStyle w:val="SingleTxtG"/>
              <w:bidi/>
              <w:spacing w:before="40" w:after="40" w:line="220" w:lineRule="exact"/>
              <w:ind w:left="0" w:right="113"/>
              <w:jc w:val="left"/>
              <w:rPr>
                <w:rFonts w:hint="cs"/>
                <w:sz w:val="18"/>
                <w:rtl/>
                <w:lang w:bidi="ar-DZ"/>
              </w:rPr>
            </w:pPr>
            <w:r w:rsidRPr="006A7FB8">
              <w:rPr>
                <w:sz w:val="18"/>
                <w:rtl/>
                <w:lang w:bidi="ar-DZ"/>
              </w:rPr>
              <w:t>2017</w:t>
            </w:r>
          </w:p>
        </w:tc>
        <w:tc>
          <w:tcPr>
            <w:tcW w:w="452" w:type="dxa"/>
            <w:tcBorders>
              <w:top w:val="nil"/>
              <w:bottom w:val="nil"/>
            </w:tcBorders>
            <w:shd w:val="clear" w:color="auto" w:fill="auto"/>
            <w:tcMar>
              <w:right w:w="28" w:type="dxa"/>
            </w:tcMar>
            <w:vAlign w:val="bottom"/>
          </w:tcPr>
          <w:p w14:paraId="3397194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2</w:t>
            </w:r>
          </w:p>
        </w:tc>
        <w:tc>
          <w:tcPr>
            <w:tcW w:w="452" w:type="dxa"/>
            <w:tcBorders>
              <w:top w:val="nil"/>
              <w:bottom w:val="nil"/>
            </w:tcBorders>
            <w:shd w:val="clear" w:color="auto" w:fill="auto"/>
            <w:tcMar>
              <w:right w:w="28" w:type="dxa"/>
            </w:tcMar>
            <w:vAlign w:val="bottom"/>
          </w:tcPr>
          <w:p w14:paraId="46B1687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3" w:type="dxa"/>
            <w:tcBorders>
              <w:top w:val="nil"/>
              <w:bottom w:val="nil"/>
            </w:tcBorders>
            <w:shd w:val="clear" w:color="auto" w:fill="auto"/>
            <w:tcMar>
              <w:right w:w="28" w:type="dxa"/>
            </w:tcMar>
            <w:vAlign w:val="bottom"/>
          </w:tcPr>
          <w:p w14:paraId="1F00CB56"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7C85679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24E5469C"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3</w:t>
            </w:r>
          </w:p>
        </w:tc>
        <w:tc>
          <w:tcPr>
            <w:tcW w:w="452" w:type="dxa"/>
            <w:tcBorders>
              <w:top w:val="nil"/>
              <w:bottom w:val="nil"/>
            </w:tcBorders>
            <w:shd w:val="clear" w:color="auto" w:fill="auto"/>
            <w:tcMar>
              <w:right w:w="28" w:type="dxa"/>
            </w:tcMar>
            <w:vAlign w:val="bottom"/>
          </w:tcPr>
          <w:p w14:paraId="0AD28E4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4AA9688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601BCCF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43</w:t>
            </w:r>
          </w:p>
        </w:tc>
        <w:tc>
          <w:tcPr>
            <w:tcW w:w="452" w:type="dxa"/>
            <w:tcBorders>
              <w:top w:val="nil"/>
              <w:bottom w:val="nil"/>
            </w:tcBorders>
            <w:shd w:val="clear" w:color="auto" w:fill="auto"/>
            <w:tcMar>
              <w:right w:w="28" w:type="dxa"/>
            </w:tcMar>
            <w:vAlign w:val="bottom"/>
          </w:tcPr>
          <w:p w14:paraId="2594373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2</w:t>
            </w:r>
          </w:p>
        </w:tc>
        <w:tc>
          <w:tcPr>
            <w:tcW w:w="453" w:type="dxa"/>
            <w:tcBorders>
              <w:top w:val="nil"/>
              <w:bottom w:val="nil"/>
            </w:tcBorders>
            <w:shd w:val="clear" w:color="auto" w:fill="auto"/>
            <w:tcMar>
              <w:right w:w="28" w:type="dxa"/>
            </w:tcMar>
            <w:vAlign w:val="bottom"/>
          </w:tcPr>
          <w:p w14:paraId="4216238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665CB107"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453" w:type="dxa"/>
            <w:tcBorders>
              <w:top w:val="nil"/>
              <w:bottom w:val="nil"/>
            </w:tcBorders>
            <w:shd w:val="clear" w:color="auto" w:fill="auto"/>
            <w:tcMar>
              <w:right w:w="28" w:type="dxa"/>
            </w:tcMar>
            <w:vAlign w:val="bottom"/>
          </w:tcPr>
          <w:p w14:paraId="0D0036F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31</w:t>
            </w:r>
          </w:p>
        </w:tc>
        <w:tc>
          <w:tcPr>
            <w:tcW w:w="452" w:type="dxa"/>
            <w:tcBorders>
              <w:top w:val="nil"/>
              <w:bottom w:val="nil"/>
            </w:tcBorders>
            <w:shd w:val="clear" w:color="auto" w:fill="auto"/>
            <w:tcMar>
              <w:right w:w="28" w:type="dxa"/>
            </w:tcMar>
            <w:vAlign w:val="bottom"/>
          </w:tcPr>
          <w:p w14:paraId="5C4A0210"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2</w:t>
            </w:r>
          </w:p>
        </w:tc>
        <w:tc>
          <w:tcPr>
            <w:tcW w:w="453" w:type="dxa"/>
            <w:tcBorders>
              <w:top w:val="nil"/>
              <w:bottom w:val="nil"/>
            </w:tcBorders>
            <w:shd w:val="clear" w:color="auto" w:fill="auto"/>
            <w:tcMar>
              <w:right w:w="28" w:type="dxa"/>
            </w:tcMar>
            <w:vAlign w:val="bottom"/>
          </w:tcPr>
          <w:p w14:paraId="1E3E199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323" w:type="dxa"/>
            <w:tcBorders>
              <w:top w:val="nil"/>
              <w:bottom w:val="nil"/>
            </w:tcBorders>
            <w:shd w:val="clear" w:color="auto" w:fill="auto"/>
            <w:tcMar>
              <w:right w:w="28" w:type="dxa"/>
            </w:tcMar>
            <w:vAlign w:val="bottom"/>
          </w:tcPr>
          <w:p w14:paraId="4F67D63F"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tcBorders>
              <w:top w:val="nil"/>
              <w:bottom w:val="nil"/>
            </w:tcBorders>
            <w:shd w:val="clear" w:color="auto" w:fill="auto"/>
            <w:tcMar>
              <w:right w:w="28" w:type="dxa"/>
            </w:tcMar>
            <w:vAlign w:val="bottom"/>
          </w:tcPr>
          <w:p w14:paraId="5D93116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tcBorders>
              <w:top w:val="nil"/>
              <w:bottom w:val="nil"/>
            </w:tcBorders>
            <w:shd w:val="clear" w:color="auto" w:fill="auto"/>
            <w:tcMar>
              <w:right w:w="28" w:type="dxa"/>
            </w:tcMar>
            <w:vAlign w:val="bottom"/>
          </w:tcPr>
          <w:p w14:paraId="6E100A3D"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86</w:t>
            </w:r>
          </w:p>
        </w:tc>
      </w:tr>
      <w:tr w:rsidR="00AA55D4" w:rsidRPr="006A7FB8" w14:paraId="442C83BF" w14:textId="77777777" w:rsidTr="00627755">
        <w:trPr>
          <w:trHeight w:val="240"/>
        </w:trPr>
        <w:tc>
          <w:tcPr>
            <w:tcW w:w="709" w:type="dxa"/>
            <w:tcBorders>
              <w:top w:val="nil"/>
              <w:bottom w:val="nil"/>
            </w:tcBorders>
            <w:shd w:val="clear" w:color="auto" w:fill="auto"/>
          </w:tcPr>
          <w:p w14:paraId="70C00ED3" w14:textId="77777777" w:rsidR="00AA55D4" w:rsidRPr="006A7FB8" w:rsidRDefault="00AA55D4" w:rsidP="00167F14">
            <w:pPr>
              <w:pStyle w:val="SingleTxtG"/>
              <w:keepNext/>
              <w:keepLines/>
              <w:bidi/>
              <w:spacing w:before="40" w:after="40" w:line="220" w:lineRule="exact"/>
              <w:ind w:left="0" w:right="113"/>
              <w:jc w:val="left"/>
              <w:rPr>
                <w:sz w:val="18"/>
                <w:lang w:bidi="ar-DZ"/>
              </w:rPr>
            </w:pPr>
            <w:r w:rsidRPr="006A7FB8">
              <w:rPr>
                <w:sz w:val="18"/>
                <w:rtl/>
                <w:lang w:bidi="ar-DZ"/>
              </w:rPr>
              <w:t>2018</w:t>
            </w:r>
          </w:p>
        </w:tc>
        <w:tc>
          <w:tcPr>
            <w:tcW w:w="452" w:type="dxa"/>
            <w:tcBorders>
              <w:top w:val="nil"/>
              <w:bottom w:val="nil"/>
            </w:tcBorders>
            <w:shd w:val="clear" w:color="auto" w:fill="auto"/>
            <w:tcMar>
              <w:right w:w="28" w:type="dxa"/>
            </w:tcMar>
            <w:vAlign w:val="bottom"/>
          </w:tcPr>
          <w:p w14:paraId="1305BB4D"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5DEF3C2F"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3DE4AE4B"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08FF3736"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41F5BC6D"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9</w:t>
            </w:r>
          </w:p>
        </w:tc>
        <w:tc>
          <w:tcPr>
            <w:tcW w:w="452" w:type="dxa"/>
            <w:tcBorders>
              <w:top w:val="nil"/>
              <w:bottom w:val="nil"/>
            </w:tcBorders>
            <w:shd w:val="clear" w:color="auto" w:fill="auto"/>
            <w:tcMar>
              <w:right w:w="28" w:type="dxa"/>
            </w:tcMar>
            <w:vAlign w:val="bottom"/>
          </w:tcPr>
          <w:p w14:paraId="0B4A8914"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1</w:t>
            </w:r>
          </w:p>
        </w:tc>
        <w:tc>
          <w:tcPr>
            <w:tcW w:w="453" w:type="dxa"/>
            <w:tcBorders>
              <w:top w:val="nil"/>
              <w:bottom w:val="nil"/>
            </w:tcBorders>
            <w:shd w:val="clear" w:color="auto" w:fill="auto"/>
            <w:tcMar>
              <w:right w:w="28" w:type="dxa"/>
            </w:tcMar>
            <w:vAlign w:val="bottom"/>
          </w:tcPr>
          <w:p w14:paraId="457971D2"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14</w:t>
            </w:r>
          </w:p>
        </w:tc>
        <w:tc>
          <w:tcPr>
            <w:tcW w:w="452" w:type="dxa"/>
            <w:tcBorders>
              <w:top w:val="nil"/>
              <w:bottom w:val="nil"/>
            </w:tcBorders>
            <w:shd w:val="clear" w:color="auto" w:fill="auto"/>
            <w:tcMar>
              <w:right w:w="28" w:type="dxa"/>
            </w:tcMar>
            <w:vAlign w:val="bottom"/>
          </w:tcPr>
          <w:p w14:paraId="5F106FE9"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50</w:t>
            </w:r>
          </w:p>
        </w:tc>
        <w:tc>
          <w:tcPr>
            <w:tcW w:w="452" w:type="dxa"/>
            <w:tcBorders>
              <w:top w:val="nil"/>
              <w:bottom w:val="nil"/>
            </w:tcBorders>
            <w:shd w:val="clear" w:color="auto" w:fill="auto"/>
            <w:tcMar>
              <w:right w:w="28" w:type="dxa"/>
            </w:tcMar>
            <w:vAlign w:val="bottom"/>
          </w:tcPr>
          <w:p w14:paraId="14A229B2"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2C26424B"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nil"/>
            </w:tcBorders>
            <w:shd w:val="clear" w:color="auto" w:fill="auto"/>
            <w:tcMar>
              <w:right w:w="28" w:type="dxa"/>
            </w:tcMar>
            <w:vAlign w:val="bottom"/>
          </w:tcPr>
          <w:p w14:paraId="52CA0CA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2C54B24C"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42</w:t>
            </w:r>
          </w:p>
        </w:tc>
        <w:tc>
          <w:tcPr>
            <w:tcW w:w="452" w:type="dxa"/>
            <w:tcBorders>
              <w:top w:val="nil"/>
              <w:bottom w:val="nil"/>
            </w:tcBorders>
            <w:shd w:val="clear" w:color="auto" w:fill="auto"/>
            <w:tcMar>
              <w:right w:w="28" w:type="dxa"/>
            </w:tcMar>
            <w:vAlign w:val="bottom"/>
          </w:tcPr>
          <w:p w14:paraId="4848CD99"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nil"/>
            </w:tcBorders>
            <w:shd w:val="clear" w:color="auto" w:fill="auto"/>
            <w:tcMar>
              <w:right w:w="28" w:type="dxa"/>
            </w:tcMar>
            <w:vAlign w:val="bottom"/>
          </w:tcPr>
          <w:p w14:paraId="2C044511"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tcBorders>
              <w:top w:val="nil"/>
              <w:bottom w:val="nil"/>
            </w:tcBorders>
            <w:shd w:val="clear" w:color="auto" w:fill="auto"/>
            <w:tcMar>
              <w:right w:w="28" w:type="dxa"/>
            </w:tcMar>
            <w:vAlign w:val="bottom"/>
          </w:tcPr>
          <w:p w14:paraId="3ADA78E3"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2</w:t>
            </w:r>
          </w:p>
        </w:tc>
        <w:tc>
          <w:tcPr>
            <w:tcW w:w="425" w:type="dxa"/>
            <w:tcBorders>
              <w:top w:val="nil"/>
              <w:bottom w:val="nil"/>
            </w:tcBorders>
            <w:shd w:val="clear" w:color="auto" w:fill="auto"/>
            <w:tcMar>
              <w:right w:w="28" w:type="dxa"/>
            </w:tcMar>
            <w:vAlign w:val="bottom"/>
          </w:tcPr>
          <w:p w14:paraId="6A5C82E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714" w:type="dxa"/>
            <w:tcBorders>
              <w:top w:val="nil"/>
              <w:bottom w:val="nil"/>
            </w:tcBorders>
            <w:shd w:val="clear" w:color="auto" w:fill="auto"/>
            <w:tcMar>
              <w:right w:w="28" w:type="dxa"/>
            </w:tcMar>
            <w:vAlign w:val="bottom"/>
          </w:tcPr>
          <w:p w14:paraId="7A164A47"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118</w:t>
            </w:r>
          </w:p>
        </w:tc>
      </w:tr>
      <w:tr w:rsidR="00AA55D4" w:rsidRPr="006A7FB8" w14:paraId="73E1127E" w14:textId="77777777" w:rsidTr="00DA2806">
        <w:trPr>
          <w:trHeight w:val="240"/>
        </w:trPr>
        <w:tc>
          <w:tcPr>
            <w:tcW w:w="709" w:type="dxa"/>
            <w:tcBorders>
              <w:top w:val="nil"/>
              <w:bottom w:val="single" w:sz="4" w:space="0" w:color="auto"/>
            </w:tcBorders>
            <w:shd w:val="clear" w:color="auto" w:fill="auto"/>
          </w:tcPr>
          <w:p w14:paraId="7AC71D43" w14:textId="77777777" w:rsidR="00AA55D4" w:rsidRPr="006A7FB8" w:rsidRDefault="00AA55D4" w:rsidP="00167F14">
            <w:pPr>
              <w:pStyle w:val="SingleTxtG"/>
              <w:keepNext/>
              <w:keepLines/>
              <w:bidi/>
              <w:spacing w:before="40" w:after="40" w:line="220" w:lineRule="exact"/>
              <w:ind w:left="0" w:right="113"/>
              <w:jc w:val="left"/>
              <w:rPr>
                <w:sz w:val="18"/>
                <w:rtl/>
                <w:lang w:bidi="ar-DZ"/>
              </w:rPr>
            </w:pPr>
            <w:proofErr w:type="spellStart"/>
            <w:r w:rsidRPr="006A7FB8">
              <w:rPr>
                <w:sz w:val="18"/>
                <w:rtl/>
                <w:lang w:bidi="ar-DZ"/>
              </w:rPr>
              <w:t>2019</w:t>
            </w:r>
            <w:r w:rsidR="00167F14" w:rsidRPr="00321614">
              <w:rPr>
                <w:rFonts w:ascii="Traditional Arabic" w:hAnsi="Traditional Arabic" w:cs="Traditional Arabic"/>
                <w:sz w:val="26"/>
                <w:szCs w:val="28"/>
                <w:vertAlign w:val="superscript"/>
                <w:rtl/>
                <w:lang w:bidi="ar-DZ"/>
              </w:rPr>
              <w:t>ب</w:t>
            </w:r>
            <w:proofErr w:type="spellEnd"/>
          </w:p>
        </w:tc>
        <w:tc>
          <w:tcPr>
            <w:tcW w:w="452" w:type="dxa"/>
            <w:tcBorders>
              <w:top w:val="nil"/>
              <w:bottom w:val="single" w:sz="4" w:space="0" w:color="auto"/>
            </w:tcBorders>
            <w:shd w:val="clear" w:color="auto" w:fill="auto"/>
            <w:tcMar>
              <w:right w:w="28" w:type="dxa"/>
            </w:tcMar>
            <w:vAlign w:val="bottom"/>
          </w:tcPr>
          <w:p w14:paraId="43BA7C3D"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single" w:sz="4" w:space="0" w:color="auto"/>
            </w:tcBorders>
            <w:shd w:val="clear" w:color="auto" w:fill="auto"/>
            <w:tcMar>
              <w:right w:w="28" w:type="dxa"/>
            </w:tcMar>
            <w:vAlign w:val="bottom"/>
          </w:tcPr>
          <w:p w14:paraId="643D1563"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single" w:sz="4" w:space="0" w:color="auto"/>
            </w:tcBorders>
            <w:shd w:val="clear" w:color="auto" w:fill="auto"/>
            <w:tcMar>
              <w:right w:w="28" w:type="dxa"/>
            </w:tcMar>
            <w:vAlign w:val="bottom"/>
          </w:tcPr>
          <w:p w14:paraId="166A6004"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single" w:sz="4" w:space="0" w:color="auto"/>
            </w:tcBorders>
            <w:shd w:val="clear" w:color="auto" w:fill="auto"/>
            <w:tcMar>
              <w:right w:w="28" w:type="dxa"/>
            </w:tcMar>
            <w:vAlign w:val="bottom"/>
          </w:tcPr>
          <w:p w14:paraId="09F24642"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1</w:t>
            </w:r>
          </w:p>
        </w:tc>
        <w:tc>
          <w:tcPr>
            <w:tcW w:w="453" w:type="dxa"/>
            <w:tcBorders>
              <w:top w:val="nil"/>
              <w:bottom w:val="single" w:sz="4" w:space="0" w:color="auto"/>
            </w:tcBorders>
            <w:shd w:val="clear" w:color="auto" w:fill="auto"/>
            <w:tcMar>
              <w:right w:w="28" w:type="dxa"/>
            </w:tcMar>
            <w:vAlign w:val="bottom"/>
          </w:tcPr>
          <w:p w14:paraId="2E7E0C6C"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1</w:t>
            </w:r>
          </w:p>
        </w:tc>
        <w:tc>
          <w:tcPr>
            <w:tcW w:w="452" w:type="dxa"/>
            <w:tcBorders>
              <w:top w:val="nil"/>
              <w:bottom w:val="single" w:sz="4" w:space="0" w:color="auto"/>
            </w:tcBorders>
            <w:shd w:val="clear" w:color="auto" w:fill="auto"/>
            <w:tcMar>
              <w:right w:w="28" w:type="dxa"/>
            </w:tcMar>
            <w:vAlign w:val="bottom"/>
          </w:tcPr>
          <w:p w14:paraId="34AF58C9"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single" w:sz="4" w:space="0" w:color="auto"/>
            </w:tcBorders>
            <w:shd w:val="clear" w:color="auto" w:fill="auto"/>
            <w:tcMar>
              <w:right w:w="28" w:type="dxa"/>
            </w:tcMar>
            <w:vAlign w:val="bottom"/>
          </w:tcPr>
          <w:p w14:paraId="45EDF0C9"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2" w:type="dxa"/>
            <w:tcBorders>
              <w:top w:val="nil"/>
              <w:bottom w:val="single" w:sz="4" w:space="0" w:color="auto"/>
            </w:tcBorders>
            <w:shd w:val="clear" w:color="auto" w:fill="auto"/>
            <w:tcMar>
              <w:right w:w="28" w:type="dxa"/>
            </w:tcMar>
            <w:vAlign w:val="bottom"/>
          </w:tcPr>
          <w:p w14:paraId="543B19B9"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209</w:t>
            </w:r>
          </w:p>
        </w:tc>
        <w:tc>
          <w:tcPr>
            <w:tcW w:w="452" w:type="dxa"/>
            <w:tcBorders>
              <w:top w:val="nil"/>
              <w:bottom w:val="single" w:sz="4" w:space="0" w:color="auto"/>
            </w:tcBorders>
            <w:shd w:val="clear" w:color="auto" w:fill="auto"/>
            <w:tcMar>
              <w:right w:w="28" w:type="dxa"/>
            </w:tcMar>
            <w:vAlign w:val="bottom"/>
          </w:tcPr>
          <w:p w14:paraId="7A56ABB7"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w:t>
            </w:r>
          </w:p>
        </w:tc>
        <w:tc>
          <w:tcPr>
            <w:tcW w:w="453" w:type="dxa"/>
            <w:tcBorders>
              <w:top w:val="nil"/>
              <w:bottom w:val="single" w:sz="4" w:space="0" w:color="auto"/>
            </w:tcBorders>
            <w:shd w:val="clear" w:color="auto" w:fill="auto"/>
            <w:tcMar>
              <w:right w:w="28" w:type="dxa"/>
            </w:tcMar>
            <w:vAlign w:val="bottom"/>
          </w:tcPr>
          <w:p w14:paraId="6A067FB1" w14:textId="77777777" w:rsidR="00AA55D4" w:rsidRPr="006A7FB8" w:rsidRDefault="00AA55D4" w:rsidP="0086319C">
            <w:pPr>
              <w:pStyle w:val="SingleTxtG"/>
              <w:keepNext/>
              <w:keepLines/>
              <w:bidi/>
              <w:spacing w:before="40" w:after="40" w:line="220" w:lineRule="exact"/>
              <w:ind w:left="0" w:right="0"/>
              <w:jc w:val="left"/>
              <w:rPr>
                <w:sz w:val="18"/>
                <w:lang w:bidi="ar-DZ"/>
              </w:rPr>
            </w:pPr>
            <w:r w:rsidRPr="006A7FB8">
              <w:rPr>
                <w:sz w:val="18"/>
                <w:rtl/>
                <w:lang w:bidi="ar-DZ"/>
              </w:rPr>
              <w:t>1</w:t>
            </w:r>
          </w:p>
        </w:tc>
        <w:tc>
          <w:tcPr>
            <w:tcW w:w="452" w:type="dxa"/>
            <w:tcBorders>
              <w:top w:val="nil"/>
              <w:bottom w:val="single" w:sz="4" w:space="0" w:color="auto"/>
            </w:tcBorders>
            <w:shd w:val="clear" w:color="auto" w:fill="auto"/>
            <w:tcMar>
              <w:right w:w="28" w:type="dxa"/>
            </w:tcMar>
            <w:vAlign w:val="bottom"/>
          </w:tcPr>
          <w:p w14:paraId="165D9F04"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single" w:sz="4" w:space="0" w:color="auto"/>
            </w:tcBorders>
            <w:shd w:val="clear" w:color="auto" w:fill="auto"/>
            <w:tcMar>
              <w:right w:w="28" w:type="dxa"/>
            </w:tcMar>
            <w:vAlign w:val="bottom"/>
          </w:tcPr>
          <w:p w14:paraId="20AA1DA5"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7</w:t>
            </w:r>
          </w:p>
        </w:tc>
        <w:tc>
          <w:tcPr>
            <w:tcW w:w="452" w:type="dxa"/>
            <w:tcBorders>
              <w:top w:val="nil"/>
              <w:bottom w:val="single" w:sz="4" w:space="0" w:color="auto"/>
            </w:tcBorders>
            <w:shd w:val="clear" w:color="auto" w:fill="auto"/>
            <w:tcMar>
              <w:right w:w="28" w:type="dxa"/>
            </w:tcMar>
            <w:vAlign w:val="bottom"/>
          </w:tcPr>
          <w:p w14:paraId="393FF778"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53" w:type="dxa"/>
            <w:tcBorders>
              <w:top w:val="nil"/>
              <w:bottom w:val="single" w:sz="4" w:space="0" w:color="auto"/>
            </w:tcBorders>
            <w:shd w:val="clear" w:color="auto" w:fill="auto"/>
            <w:tcMar>
              <w:right w:w="28" w:type="dxa"/>
            </w:tcMar>
            <w:vAlign w:val="bottom"/>
          </w:tcPr>
          <w:p w14:paraId="660576BB"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323" w:type="dxa"/>
            <w:tcBorders>
              <w:top w:val="nil"/>
              <w:bottom w:val="single" w:sz="4" w:space="0" w:color="auto"/>
            </w:tcBorders>
            <w:shd w:val="clear" w:color="auto" w:fill="auto"/>
            <w:tcMar>
              <w:right w:w="28" w:type="dxa"/>
            </w:tcMar>
            <w:vAlign w:val="bottom"/>
          </w:tcPr>
          <w:p w14:paraId="7AA8D05A"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w:t>
            </w:r>
          </w:p>
        </w:tc>
        <w:tc>
          <w:tcPr>
            <w:tcW w:w="425" w:type="dxa"/>
            <w:tcBorders>
              <w:top w:val="nil"/>
              <w:bottom w:val="single" w:sz="4" w:space="0" w:color="auto"/>
            </w:tcBorders>
            <w:shd w:val="clear" w:color="auto" w:fill="auto"/>
            <w:tcMar>
              <w:right w:w="28" w:type="dxa"/>
            </w:tcMar>
            <w:vAlign w:val="bottom"/>
          </w:tcPr>
          <w:p w14:paraId="394E0688" w14:textId="77777777" w:rsidR="00AA55D4" w:rsidRPr="006A7FB8" w:rsidRDefault="00AA55D4" w:rsidP="0086319C">
            <w:pPr>
              <w:pStyle w:val="SingleTxtG"/>
              <w:bidi/>
              <w:spacing w:before="40" w:after="40" w:line="220" w:lineRule="exact"/>
              <w:ind w:left="0" w:right="0"/>
              <w:jc w:val="left"/>
              <w:rPr>
                <w:sz w:val="18"/>
                <w:lang w:bidi="ar-DZ"/>
              </w:rPr>
            </w:pPr>
            <w:r w:rsidRPr="006A7FB8">
              <w:rPr>
                <w:sz w:val="18"/>
                <w:rtl/>
                <w:lang w:bidi="ar-DZ"/>
              </w:rPr>
              <w:t>1</w:t>
            </w:r>
          </w:p>
        </w:tc>
        <w:tc>
          <w:tcPr>
            <w:tcW w:w="714" w:type="dxa"/>
            <w:tcBorders>
              <w:top w:val="nil"/>
              <w:bottom w:val="single" w:sz="4" w:space="0" w:color="auto"/>
            </w:tcBorders>
            <w:shd w:val="clear" w:color="auto" w:fill="auto"/>
            <w:tcMar>
              <w:right w:w="28" w:type="dxa"/>
            </w:tcMar>
            <w:vAlign w:val="bottom"/>
          </w:tcPr>
          <w:p w14:paraId="015D5060" w14:textId="77777777" w:rsidR="00AA55D4" w:rsidRPr="00167F14" w:rsidRDefault="00AA55D4" w:rsidP="0086319C">
            <w:pPr>
              <w:pStyle w:val="SingleTxtG"/>
              <w:bidi/>
              <w:spacing w:before="40" w:after="40" w:line="220" w:lineRule="exact"/>
              <w:ind w:left="0" w:right="0"/>
              <w:jc w:val="left"/>
              <w:rPr>
                <w:b/>
                <w:bCs/>
                <w:sz w:val="18"/>
                <w:lang w:bidi="ar-DZ"/>
              </w:rPr>
            </w:pPr>
            <w:r w:rsidRPr="00167F14">
              <w:rPr>
                <w:b/>
                <w:bCs/>
                <w:sz w:val="18"/>
                <w:rtl/>
                <w:lang w:bidi="ar-DZ"/>
              </w:rPr>
              <w:t>220</w:t>
            </w:r>
          </w:p>
        </w:tc>
      </w:tr>
      <w:tr w:rsidR="00AA55D4" w:rsidRPr="00174CD2" w14:paraId="1FC6F58D" w14:textId="77777777" w:rsidTr="00DA2806">
        <w:trPr>
          <w:trHeight w:val="240"/>
        </w:trPr>
        <w:tc>
          <w:tcPr>
            <w:tcW w:w="709" w:type="dxa"/>
            <w:tcBorders>
              <w:top w:val="single" w:sz="4" w:space="0" w:color="auto"/>
              <w:bottom w:val="single" w:sz="12" w:space="0" w:color="auto"/>
            </w:tcBorders>
            <w:shd w:val="clear" w:color="auto" w:fill="auto"/>
          </w:tcPr>
          <w:p w14:paraId="1C8F5EA4" w14:textId="77777777" w:rsidR="00AA55D4" w:rsidRPr="00174CD2" w:rsidRDefault="00347801" w:rsidP="00DA2806">
            <w:pPr>
              <w:spacing w:before="40" w:after="40" w:line="240" w:lineRule="exact"/>
              <w:rPr>
                <w:b/>
                <w:bCs/>
                <w:sz w:val="18"/>
                <w:szCs w:val="28"/>
                <w:lang w:eastAsia="ar-SA" w:bidi="ar-DZ"/>
              </w:rPr>
            </w:pPr>
            <w:r w:rsidRPr="00174CD2">
              <w:rPr>
                <w:b/>
                <w:bCs/>
                <w:sz w:val="18"/>
                <w:szCs w:val="28"/>
                <w:rtl/>
                <w:lang w:eastAsia="ar-SA" w:bidi="ar-DZ"/>
              </w:rPr>
              <w:t>المجموع</w:t>
            </w:r>
          </w:p>
        </w:tc>
        <w:tc>
          <w:tcPr>
            <w:tcW w:w="452" w:type="dxa"/>
            <w:tcBorders>
              <w:top w:val="single" w:sz="4" w:space="0" w:color="auto"/>
              <w:bottom w:val="single" w:sz="12" w:space="0" w:color="auto"/>
            </w:tcBorders>
            <w:shd w:val="clear" w:color="auto" w:fill="auto"/>
            <w:tcMar>
              <w:right w:w="28" w:type="dxa"/>
            </w:tcMar>
            <w:vAlign w:val="bottom"/>
          </w:tcPr>
          <w:p w14:paraId="432E8A20"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2</w:t>
            </w:r>
          </w:p>
        </w:tc>
        <w:tc>
          <w:tcPr>
            <w:tcW w:w="452" w:type="dxa"/>
            <w:tcBorders>
              <w:top w:val="single" w:sz="4" w:space="0" w:color="auto"/>
              <w:bottom w:val="single" w:sz="12" w:space="0" w:color="auto"/>
            </w:tcBorders>
            <w:shd w:val="clear" w:color="auto" w:fill="auto"/>
            <w:tcMar>
              <w:right w:w="28" w:type="dxa"/>
            </w:tcMar>
            <w:vAlign w:val="bottom"/>
          </w:tcPr>
          <w:p w14:paraId="6B75D194"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w:t>
            </w:r>
          </w:p>
        </w:tc>
        <w:tc>
          <w:tcPr>
            <w:tcW w:w="453" w:type="dxa"/>
            <w:tcBorders>
              <w:top w:val="single" w:sz="4" w:space="0" w:color="auto"/>
              <w:bottom w:val="single" w:sz="12" w:space="0" w:color="auto"/>
            </w:tcBorders>
            <w:shd w:val="clear" w:color="auto" w:fill="auto"/>
            <w:tcMar>
              <w:right w:w="28" w:type="dxa"/>
            </w:tcMar>
            <w:vAlign w:val="bottom"/>
          </w:tcPr>
          <w:p w14:paraId="21F60072"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w:t>
            </w:r>
          </w:p>
        </w:tc>
        <w:tc>
          <w:tcPr>
            <w:tcW w:w="452" w:type="dxa"/>
            <w:tcBorders>
              <w:top w:val="single" w:sz="4" w:space="0" w:color="auto"/>
              <w:bottom w:val="single" w:sz="12" w:space="0" w:color="auto"/>
            </w:tcBorders>
            <w:shd w:val="clear" w:color="auto" w:fill="auto"/>
            <w:tcMar>
              <w:right w:w="28" w:type="dxa"/>
            </w:tcMar>
            <w:vAlign w:val="bottom"/>
          </w:tcPr>
          <w:p w14:paraId="757BDB9E"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w:t>
            </w:r>
          </w:p>
        </w:tc>
        <w:tc>
          <w:tcPr>
            <w:tcW w:w="453" w:type="dxa"/>
            <w:tcBorders>
              <w:top w:val="single" w:sz="4" w:space="0" w:color="auto"/>
              <w:bottom w:val="single" w:sz="12" w:space="0" w:color="auto"/>
            </w:tcBorders>
            <w:shd w:val="clear" w:color="auto" w:fill="auto"/>
            <w:tcMar>
              <w:right w:w="28" w:type="dxa"/>
            </w:tcMar>
            <w:vAlign w:val="bottom"/>
          </w:tcPr>
          <w:p w14:paraId="2BA5442C"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22</w:t>
            </w:r>
          </w:p>
        </w:tc>
        <w:tc>
          <w:tcPr>
            <w:tcW w:w="452" w:type="dxa"/>
            <w:tcBorders>
              <w:top w:val="single" w:sz="4" w:space="0" w:color="auto"/>
              <w:bottom w:val="single" w:sz="12" w:space="0" w:color="auto"/>
            </w:tcBorders>
            <w:shd w:val="clear" w:color="auto" w:fill="auto"/>
            <w:tcMar>
              <w:right w:w="28" w:type="dxa"/>
            </w:tcMar>
            <w:vAlign w:val="bottom"/>
          </w:tcPr>
          <w:p w14:paraId="7E35048D"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w:t>
            </w:r>
          </w:p>
        </w:tc>
        <w:tc>
          <w:tcPr>
            <w:tcW w:w="453" w:type="dxa"/>
            <w:tcBorders>
              <w:top w:val="single" w:sz="4" w:space="0" w:color="auto"/>
              <w:bottom w:val="single" w:sz="12" w:space="0" w:color="auto"/>
            </w:tcBorders>
            <w:shd w:val="clear" w:color="auto" w:fill="auto"/>
            <w:tcMar>
              <w:right w:w="28" w:type="dxa"/>
            </w:tcMar>
            <w:vAlign w:val="bottom"/>
          </w:tcPr>
          <w:p w14:paraId="52FC9ABE"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14</w:t>
            </w:r>
          </w:p>
        </w:tc>
        <w:tc>
          <w:tcPr>
            <w:tcW w:w="452" w:type="dxa"/>
            <w:tcBorders>
              <w:top w:val="single" w:sz="4" w:space="0" w:color="auto"/>
              <w:bottom w:val="single" w:sz="12" w:space="0" w:color="auto"/>
            </w:tcBorders>
            <w:shd w:val="clear" w:color="auto" w:fill="auto"/>
            <w:tcMar>
              <w:right w:w="28" w:type="dxa"/>
            </w:tcMar>
            <w:vAlign w:val="bottom"/>
          </w:tcPr>
          <w:p w14:paraId="3FC95F3D"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371</w:t>
            </w:r>
          </w:p>
        </w:tc>
        <w:tc>
          <w:tcPr>
            <w:tcW w:w="452" w:type="dxa"/>
            <w:tcBorders>
              <w:top w:val="single" w:sz="4" w:space="0" w:color="auto"/>
              <w:bottom w:val="single" w:sz="12" w:space="0" w:color="auto"/>
            </w:tcBorders>
            <w:shd w:val="clear" w:color="auto" w:fill="auto"/>
            <w:tcMar>
              <w:right w:w="28" w:type="dxa"/>
            </w:tcMar>
            <w:vAlign w:val="bottom"/>
          </w:tcPr>
          <w:p w14:paraId="2B577670"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2</w:t>
            </w:r>
          </w:p>
        </w:tc>
        <w:tc>
          <w:tcPr>
            <w:tcW w:w="453" w:type="dxa"/>
            <w:tcBorders>
              <w:top w:val="single" w:sz="4" w:space="0" w:color="auto"/>
              <w:bottom w:val="single" w:sz="12" w:space="0" w:color="auto"/>
            </w:tcBorders>
            <w:shd w:val="clear" w:color="auto" w:fill="auto"/>
            <w:tcMar>
              <w:right w:w="28" w:type="dxa"/>
            </w:tcMar>
            <w:vAlign w:val="bottom"/>
          </w:tcPr>
          <w:p w14:paraId="556760E8" w14:textId="77777777" w:rsidR="00AA55D4" w:rsidRPr="00174CD2" w:rsidRDefault="00AA55D4" w:rsidP="00DA2806">
            <w:pPr>
              <w:pStyle w:val="SingleTxtG"/>
              <w:keepNext/>
              <w:keepLines/>
              <w:bidi/>
              <w:spacing w:before="40" w:after="40" w:line="240" w:lineRule="exact"/>
              <w:ind w:left="0" w:right="113"/>
              <w:jc w:val="left"/>
              <w:rPr>
                <w:b/>
                <w:bCs/>
                <w:sz w:val="18"/>
                <w:lang w:bidi="ar-DZ"/>
              </w:rPr>
            </w:pPr>
            <w:r w:rsidRPr="00174CD2">
              <w:rPr>
                <w:b/>
                <w:bCs/>
                <w:sz w:val="18"/>
                <w:rtl/>
                <w:lang w:bidi="ar-DZ"/>
              </w:rPr>
              <w:t>1</w:t>
            </w:r>
          </w:p>
        </w:tc>
        <w:tc>
          <w:tcPr>
            <w:tcW w:w="452" w:type="dxa"/>
            <w:tcBorders>
              <w:top w:val="single" w:sz="4" w:space="0" w:color="auto"/>
              <w:bottom w:val="single" w:sz="12" w:space="0" w:color="auto"/>
            </w:tcBorders>
            <w:shd w:val="clear" w:color="auto" w:fill="auto"/>
            <w:tcMar>
              <w:right w:w="28" w:type="dxa"/>
            </w:tcMar>
            <w:vAlign w:val="bottom"/>
          </w:tcPr>
          <w:p w14:paraId="79FD834A"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1</w:t>
            </w:r>
          </w:p>
        </w:tc>
        <w:tc>
          <w:tcPr>
            <w:tcW w:w="453" w:type="dxa"/>
            <w:tcBorders>
              <w:top w:val="single" w:sz="4" w:space="0" w:color="auto"/>
              <w:bottom w:val="single" w:sz="12" w:space="0" w:color="auto"/>
            </w:tcBorders>
            <w:shd w:val="clear" w:color="auto" w:fill="auto"/>
            <w:tcMar>
              <w:right w:w="28" w:type="dxa"/>
            </w:tcMar>
            <w:vAlign w:val="bottom"/>
          </w:tcPr>
          <w:p w14:paraId="0DA29403"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357</w:t>
            </w:r>
          </w:p>
        </w:tc>
        <w:tc>
          <w:tcPr>
            <w:tcW w:w="452" w:type="dxa"/>
            <w:tcBorders>
              <w:top w:val="single" w:sz="4" w:space="0" w:color="auto"/>
              <w:bottom w:val="single" w:sz="12" w:space="0" w:color="auto"/>
            </w:tcBorders>
            <w:shd w:val="clear" w:color="auto" w:fill="auto"/>
            <w:tcMar>
              <w:right w:w="28" w:type="dxa"/>
            </w:tcMar>
            <w:vAlign w:val="bottom"/>
          </w:tcPr>
          <w:p w14:paraId="311500BF"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3</w:t>
            </w:r>
          </w:p>
        </w:tc>
        <w:tc>
          <w:tcPr>
            <w:tcW w:w="453" w:type="dxa"/>
            <w:tcBorders>
              <w:top w:val="single" w:sz="4" w:space="0" w:color="auto"/>
              <w:bottom w:val="single" w:sz="12" w:space="0" w:color="auto"/>
            </w:tcBorders>
            <w:shd w:val="clear" w:color="auto" w:fill="auto"/>
            <w:tcMar>
              <w:right w:w="28" w:type="dxa"/>
            </w:tcMar>
            <w:vAlign w:val="bottom"/>
          </w:tcPr>
          <w:p w14:paraId="0DCA6812"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1</w:t>
            </w:r>
          </w:p>
        </w:tc>
        <w:tc>
          <w:tcPr>
            <w:tcW w:w="323" w:type="dxa"/>
            <w:tcBorders>
              <w:top w:val="single" w:sz="4" w:space="0" w:color="auto"/>
              <w:bottom w:val="single" w:sz="12" w:space="0" w:color="auto"/>
            </w:tcBorders>
            <w:shd w:val="clear" w:color="auto" w:fill="auto"/>
            <w:tcMar>
              <w:right w:w="28" w:type="dxa"/>
            </w:tcMar>
            <w:vAlign w:val="bottom"/>
          </w:tcPr>
          <w:p w14:paraId="2907355C"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2</w:t>
            </w:r>
          </w:p>
        </w:tc>
        <w:tc>
          <w:tcPr>
            <w:tcW w:w="425" w:type="dxa"/>
            <w:tcBorders>
              <w:top w:val="single" w:sz="4" w:space="0" w:color="auto"/>
              <w:bottom w:val="single" w:sz="12" w:space="0" w:color="auto"/>
            </w:tcBorders>
            <w:shd w:val="clear" w:color="auto" w:fill="auto"/>
            <w:tcMar>
              <w:right w:w="28" w:type="dxa"/>
            </w:tcMar>
            <w:vAlign w:val="bottom"/>
          </w:tcPr>
          <w:p w14:paraId="1496D474"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1</w:t>
            </w:r>
          </w:p>
        </w:tc>
        <w:tc>
          <w:tcPr>
            <w:tcW w:w="714" w:type="dxa"/>
            <w:tcBorders>
              <w:top w:val="single" w:sz="4" w:space="0" w:color="auto"/>
              <w:bottom w:val="single" w:sz="12" w:space="0" w:color="auto"/>
            </w:tcBorders>
            <w:shd w:val="clear" w:color="auto" w:fill="auto"/>
            <w:tcMar>
              <w:right w:w="28" w:type="dxa"/>
            </w:tcMar>
            <w:vAlign w:val="bottom"/>
          </w:tcPr>
          <w:p w14:paraId="79612B4C" w14:textId="77777777" w:rsidR="00AA55D4" w:rsidRPr="00174CD2" w:rsidRDefault="00AA55D4" w:rsidP="00DA2806">
            <w:pPr>
              <w:pStyle w:val="SingleTxtG"/>
              <w:bidi/>
              <w:spacing w:before="40" w:after="40" w:line="240" w:lineRule="exact"/>
              <w:ind w:left="0" w:right="113"/>
              <w:jc w:val="left"/>
              <w:rPr>
                <w:b/>
                <w:bCs/>
                <w:sz w:val="18"/>
                <w:lang w:bidi="ar-DZ"/>
              </w:rPr>
            </w:pPr>
            <w:r w:rsidRPr="00174CD2">
              <w:rPr>
                <w:b/>
                <w:bCs/>
                <w:sz w:val="18"/>
                <w:rtl/>
                <w:lang w:bidi="ar-DZ"/>
              </w:rPr>
              <w:t>782</w:t>
            </w:r>
          </w:p>
        </w:tc>
      </w:tr>
    </w:tbl>
    <w:p w14:paraId="2EC6EE47" w14:textId="77777777" w:rsidR="006724A5" w:rsidRPr="00DA2806" w:rsidRDefault="006724A5" w:rsidP="00DA2806">
      <w:pPr>
        <w:pStyle w:val="SingleTxtGA"/>
        <w:spacing w:before="60" w:after="60" w:line="300" w:lineRule="exact"/>
        <w:rPr>
          <w:rFonts w:eastAsiaTheme="majorEastAsia"/>
          <w:spacing w:val="-2"/>
          <w:sz w:val="16"/>
          <w:szCs w:val="26"/>
          <w:rtl/>
          <w:lang w:eastAsia="ar-SA"/>
        </w:rPr>
      </w:pPr>
      <w:r w:rsidRPr="00DA2806">
        <w:rPr>
          <w:rFonts w:eastAsiaTheme="majorEastAsia"/>
          <w:spacing w:val="-2"/>
          <w:sz w:val="16"/>
          <w:szCs w:val="26"/>
          <w:rtl/>
          <w:lang w:eastAsia="ar-SA"/>
        </w:rPr>
        <w:t>(أ)</w:t>
      </w:r>
      <w:r w:rsidR="00167F14" w:rsidRPr="00DA2806">
        <w:rPr>
          <w:rFonts w:eastAsiaTheme="majorEastAsia"/>
          <w:spacing w:val="-2"/>
          <w:sz w:val="16"/>
          <w:szCs w:val="26"/>
          <w:rtl/>
          <w:lang w:eastAsia="ar-SA"/>
        </w:rPr>
        <w:tab/>
      </w:r>
      <w:r w:rsidRPr="00DA2806">
        <w:rPr>
          <w:rFonts w:eastAsiaTheme="majorEastAsia"/>
          <w:spacing w:val="-2"/>
          <w:sz w:val="16"/>
          <w:szCs w:val="26"/>
          <w:rtl/>
          <w:lang w:eastAsia="ar-SA"/>
        </w:rPr>
        <w:t xml:space="preserve">يشير الإجراء العاجل رقم </w:t>
      </w:r>
      <w:r w:rsidRPr="00DA2806">
        <w:rPr>
          <w:rFonts w:eastAsiaTheme="majorEastAsia"/>
          <w:spacing w:val="-2"/>
          <w:sz w:val="18"/>
          <w:szCs w:val="18"/>
          <w:rtl/>
          <w:lang w:eastAsia="ar-SA"/>
        </w:rPr>
        <w:t>9</w:t>
      </w:r>
      <w:r w:rsidRPr="00DA2806">
        <w:rPr>
          <w:rFonts w:eastAsiaTheme="majorEastAsia"/>
          <w:spacing w:val="-2"/>
          <w:sz w:val="18"/>
          <w:rtl/>
          <w:lang w:eastAsia="ar-SA"/>
        </w:rPr>
        <w:t>/</w:t>
      </w:r>
      <w:r w:rsidRPr="00DA2806">
        <w:rPr>
          <w:rFonts w:eastAsiaTheme="majorEastAsia"/>
          <w:spacing w:val="-2"/>
          <w:sz w:val="18"/>
          <w:szCs w:val="18"/>
          <w:rtl/>
          <w:lang w:eastAsia="ar-SA"/>
        </w:rPr>
        <w:t>2013</w:t>
      </w:r>
      <w:r w:rsidRPr="00DA2806">
        <w:rPr>
          <w:rFonts w:eastAsiaTheme="majorEastAsia"/>
          <w:spacing w:val="-2"/>
          <w:sz w:val="16"/>
          <w:szCs w:val="26"/>
          <w:rtl/>
          <w:lang w:eastAsia="ar-SA"/>
        </w:rPr>
        <w:t xml:space="preserve"> إلى شخصين اثنين. ولذلك يُحسب</w:t>
      </w:r>
      <w:r w:rsidRPr="00DA2806">
        <w:rPr>
          <w:rFonts w:eastAsiaTheme="majorEastAsia"/>
          <w:spacing w:val="-2"/>
          <w:sz w:val="16"/>
          <w:szCs w:val="26"/>
          <w:rtl/>
          <w:lang w:eastAsia="ar-SA" w:bidi="ar-DZ"/>
        </w:rPr>
        <w:t xml:space="preserve"> هذا</w:t>
      </w:r>
      <w:r w:rsidRPr="00DA2806">
        <w:rPr>
          <w:rFonts w:eastAsiaTheme="majorEastAsia"/>
          <w:spacing w:val="-2"/>
          <w:sz w:val="16"/>
          <w:szCs w:val="26"/>
          <w:rtl/>
          <w:lang w:eastAsia="ar-SA"/>
        </w:rPr>
        <w:t xml:space="preserve"> الإجراء كإجراءين عاجلين.</w:t>
      </w:r>
      <w:r w:rsidRPr="00DA2806">
        <w:rPr>
          <w:rFonts w:eastAsiaTheme="majorEastAsia" w:cs="Arial" w:hint="cs"/>
          <w:spacing w:val="-2"/>
          <w:sz w:val="16"/>
          <w:szCs w:val="26"/>
          <w:rtl/>
          <w:lang w:eastAsia="ar-SA"/>
        </w:rPr>
        <w:t>‬</w:t>
      </w:r>
    </w:p>
    <w:p w14:paraId="20AFDB48" w14:textId="77777777" w:rsidR="006724A5" w:rsidRPr="00DA2806" w:rsidRDefault="006724A5" w:rsidP="00DA2806">
      <w:pPr>
        <w:pStyle w:val="SingleTxtGA"/>
        <w:spacing w:after="0" w:line="300" w:lineRule="exact"/>
        <w:rPr>
          <w:rFonts w:eastAsiaTheme="majorEastAsia"/>
          <w:sz w:val="16"/>
          <w:szCs w:val="26"/>
          <w:rtl/>
          <w:lang w:eastAsia="ar-SA"/>
        </w:rPr>
      </w:pPr>
      <w:r w:rsidRPr="00DA2806">
        <w:rPr>
          <w:rFonts w:eastAsiaTheme="majorEastAsia"/>
          <w:sz w:val="16"/>
          <w:szCs w:val="26"/>
          <w:rtl/>
          <w:lang w:eastAsia="ar-SA"/>
        </w:rPr>
        <w:t>(ب)</w:t>
      </w:r>
      <w:r w:rsidR="00167F14" w:rsidRPr="00DA2806">
        <w:rPr>
          <w:rFonts w:eastAsiaTheme="majorEastAsia"/>
          <w:sz w:val="16"/>
          <w:szCs w:val="26"/>
          <w:rtl/>
          <w:lang w:eastAsia="ar-SA"/>
        </w:rPr>
        <w:tab/>
      </w:r>
      <w:r w:rsidRPr="00DA2806">
        <w:rPr>
          <w:rFonts w:eastAsiaTheme="majorEastAsia"/>
          <w:sz w:val="16"/>
          <w:szCs w:val="26"/>
          <w:rtl/>
          <w:lang w:eastAsia="ar-SA"/>
        </w:rPr>
        <w:t xml:space="preserve">حتى </w:t>
      </w:r>
      <w:r w:rsidRPr="00DA2806">
        <w:rPr>
          <w:rFonts w:eastAsiaTheme="majorEastAsia"/>
          <w:sz w:val="16"/>
          <w:szCs w:val="16"/>
          <w:rtl/>
          <w:lang w:eastAsia="ar-SA"/>
        </w:rPr>
        <w:t>30</w:t>
      </w:r>
      <w:r w:rsidRPr="00DA2806">
        <w:rPr>
          <w:rFonts w:eastAsiaTheme="majorEastAsia"/>
          <w:sz w:val="16"/>
          <w:szCs w:val="26"/>
          <w:rtl/>
          <w:lang w:eastAsia="ar-SA"/>
        </w:rPr>
        <w:t xml:space="preserve"> أيلول/سبت</w:t>
      </w:r>
      <w:bookmarkStart w:id="0" w:name="_GoBack"/>
      <w:bookmarkEnd w:id="0"/>
      <w:r w:rsidRPr="00DA2806">
        <w:rPr>
          <w:rFonts w:eastAsiaTheme="majorEastAsia"/>
          <w:sz w:val="16"/>
          <w:szCs w:val="26"/>
          <w:rtl/>
          <w:lang w:eastAsia="ar-SA"/>
        </w:rPr>
        <w:t xml:space="preserve">مبر </w:t>
      </w:r>
      <w:r w:rsidRPr="00DA2806">
        <w:rPr>
          <w:rFonts w:eastAsiaTheme="majorEastAsia"/>
          <w:sz w:val="18"/>
          <w:szCs w:val="18"/>
          <w:rtl/>
          <w:lang w:eastAsia="ar-SA"/>
        </w:rPr>
        <w:t>2019</w:t>
      </w:r>
      <w:r w:rsidRPr="00DA2806">
        <w:rPr>
          <w:rFonts w:eastAsiaTheme="majorEastAsia"/>
          <w:sz w:val="16"/>
          <w:szCs w:val="26"/>
          <w:rtl/>
          <w:lang w:eastAsia="ar-SA"/>
        </w:rPr>
        <w:t>.</w:t>
      </w:r>
    </w:p>
    <w:p w14:paraId="157C298F" w14:textId="77777777" w:rsidR="006724A5" w:rsidRPr="006724A5" w:rsidRDefault="006724A5" w:rsidP="006724A5">
      <w:pPr>
        <w:pStyle w:val="H1GA"/>
        <w:rPr>
          <w:rtl/>
          <w:lang w:eastAsia="ar-SA"/>
        </w:rPr>
      </w:pPr>
      <w:r w:rsidRPr="00DA2806">
        <w:rPr>
          <w:rFonts w:eastAsiaTheme="majorEastAsia"/>
          <w:rtl/>
          <w:lang w:eastAsia="ar-SA"/>
        </w:rPr>
        <w:tab/>
        <w:t>جيم-</w:t>
      </w:r>
      <w:r w:rsidRPr="00DA2806">
        <w:rPr>
          <w:rFonts w:eastAsiaTheme="majorEastAsia"/>
          <w:rtl/>
          <w:lang w:val="en-GB" w:eastAsia="ar-SA" w:bidi="ar-DZ"/>
        </w:rPr>
        <w:tab/>
      </w:r>
      <w:r w:rsidRPr="00DA2806">
        <w:rPr>
          <w:rFonts w:eastAsiaTheme="majorEastAsia"/>
          <w:rtl/>
          <w:lang w:eastAsia="ar-SA"/>
        </w:rPr>
        <w:t>سير طلبات الإجراءات العاجلة بعد</w:t>
      </w:r>
      <w:r w:rsidRPr="006724A5">
        <w:rPr>
          <w:rtl/>
          <w:lang w:eastAsia="ar-SA"/>
        </w:rPr>
        <w:t xml:space="preserve"> تسجيلها: الاتجاهات التي لوحظت منذ الدورة السادسة عشرة (إلى </w:t>
      </w:r>
      <w:r w:rsidRPr="004A571B">
        <w:rPr>
          <w:szCs w:val="24"/>
          <w:rtl/>
          <w:lang w:eastAsia="ar-SA"/>
        </w:rPr>
        <w:t>30</w:t>
      </w:r>
      <w:r w:rsidRPr="006724A5">
        <w:rPr>
          <w:rtl/>
          <w:lang w:eastAsia="ar-SA"/>
        </w:rPr>
        <w:t xml:space="preserve"> أيلول/سبتمبر </w:t>
      </w:r>
      <w:r w:rsidRPr="004A571B">
        <w:rPr>
          <w:szCs w:val="24"/>
          <w:rtl/>
          <w:lang w:eastAsia="ar-SA"/>
        </w:rPr>
        <w:t>2019</w:t>
      </w:r>
      <w:r w:rsidRPr="006724A5">
        <w:rPr>
          <w:rtl/>
          <w:lang w:eastAsia="ar-SA"/>
        </w:rPr>
        <w:t xml:space="preserve">) </w:t>
      </w:r>
    </w:p>
    <w:p w14:paraId="5753029A" w14:textId="77777777" w:rsidR="006724A5" w:rsidRPr="006724A5" w:rsidRDefault="006724A5" w:rsidP="006724A5">
      <w:pPr>
        <w:pStyle w:val="SingleTxtGA"/>
        <w:rPr>
          <w:b/>
          <w:rtl/>
          <w:lang w:eastAsia="ar-SA"/>
        </w:rPr>
      </w:pPr>
      <w:r w:rsidRPr="004A571B">
        <w:rPr>
          <w:b/>
          <w:szCs w:val="20"/>
          <w:rtl/>
          <w:lang w:eastAsia="ar-SA"/>
        </w:rPr>
        <w:t>4</w:t>
      </w:r>
      <w:r w:rsidRPr="006724A5">
        <w:rPr>
          <w:b/>
          <w:rtl/>
          <w:lang w:eastAsia="ar-SA"/>
        </w:rPr>
        <w:t>-</w:t>
      </w:r>
      <w:r w:rsidRPr="006724A5">
        <w:rPr>
          <w:b/>
          <w:rtl/>
          <w:lang w:val="en-GB" w:eastAsia="ar-SA" w:bidi="ar-DZ"/>
        </w:rPr>
        <w:tab/>
      </w:r>
      <w:r w:rsidRPr="006724A5">
        <w:rPr>
          <w:b/>
          <w:rtl/>
          <w:lang w:eastAsia="ar-SA"/>
        </w:rPr>
        <w:t>تواصل اللجنة اتصالها بالدول الأطراف، عن طريق بعثاتها الدائمة، وبمقدمي طلبات الإجراءات العاجلة، عن طريق إرسال مذكرات ورسائل وكذلك عن طريق عقد اجتماعات أو إجراء اتصالات هاتفية.</w:t>
      </w:r>
    </w:p>
    <w:p w14:paraId="2697BBDE" w14:textId="77777777" w:rsidR="006724A5" w:rsidRPr="004A571B" w:rsidRDefault="006724A5" w:rsidP="006724A5">
      <w:pPr>
        <w:pStyle w:val="SingleTxtGA"/>
        <w:rPr>
          <w:rtl/>
          <w:lang w:eastAsia="ar-SA"/>
        </w:rPr>
      </w:pPr>
      <w:r w:rsidRPr="004A571B">
        <w:rPr>
          <w:szCs w:val="20"/>
          <w:rtl/>
          <w:lang w:eastAsia="ar-SA"/>
        </w:rPr>
        <w:t>5</w:t>
      </w:r>
      <w:r w:rsidRPr="004A571B">
        <w:rPr>
          <w:rtl/>
          <w:lang w:eastAsia="ar-SA"/>
        </w:rPr>
        <w:t>-</w:t>
      </w:r>
      <w:r w:rsidRPr="004A571B">
        <w:rPr>
          <w:rtl/>
          <w:lang w:val="en-GB" w:eastAsia="ar-SA" w:bidi="ar-DZ"/>
        </w:rPr>
        <w:tab/>
      </w:r>
      <w:r w:rsidRPr="004A571B">
        <w:rPr>
          <w:rtl/>
          <w:lang w:eastAsia="ar-SA"/>
        </w:rPr>
        <w:t xml:space="preserve">وتؤكد المعلومات المقدمة في إطار عملية الإجراءات العاجلة عدداً من الاتجاهات المبينة في التقارير التي اعتُمدت في الدورات من الحادية عشرة إلى السادسة عشرة </w:t>
      </w:r>
      <w:r w:rsidRPr="004A571B">
        <w:rPr>
          <w:rtl/>
          <w:lang w:val="en-GB" w:eastAsia="ar-SA" w:bidi="ar-DZ"/>
        </w:rPr>
        <w:t>(</w:t>
      </w:r>
      <w:r w:rsidRPr="004A571B">
        <w:rPr>
          <w:lang w:val="en-GB" w:eastAsia="ar-SA" w:bidi="ar-DZ"/>
        </w:rPr>
        <w:t>CED/C/</w:t>
      </w:r>
      <w:r w:rsidRPr="004A571B">
        <w:rPr>
          <w:szCs w:val="20"/>
          <w:lang w:val="en-GB" w:eastAsia="ar-SA" w:bidi="ar-DZ"/>
        </w:rPr>
        <w:t>11</w:t>
      </w:r>
      <w:r w:rsidRPr="004A571B">
        <w:rPr>
          <w:lang w:val="en-GB" w:eastAsia="ar-SA" w:bidi="ar-DZ"/>
        </w:rPr>
        <w:t>/</w:t>
      </w:r>
      <w:r w:rsidRPr="004A571B">
        <w:rPr>
          <w:szCs w:val="20"/>
          <w:lang w:val="en-GB" w:eastAsia="ar-SA" w:bidi="ar-DZ"/>
        </w:rPr>
        <w:t>3</w:t>
      </w:r>
      <w:r w:rsidRPr="004A571B">
        <w:rPr>
          <w:rtl/>
          <w:lang w:eastAsia="ar-SA"/>
        </w:rPr>
        <w:t>، و</w:t>
      </w:r>
      <w:r w:rsidRPr="004A571B">
        <w:rPr>
          <w:lang w:val="en-GB" w:eastAsia="ar-SA" w:bidi="ar-DZ"/>
        </w:rPr>
        <w:t>CED/C/</w:t>
      </w:r>
      <w:r w:rsidRPr="004A571B">
        <w:rPr>
          <w:szCs w:val="20"/>
          <w:lang w:val="en-GB" w:eastAsia="ar-SA" w:bidi="ar-DZ"/>
        </w:rPr>
        <w:t>12</w:t>
      </w:r>
      <w:r w:rsidRPr="004A571B">
        <w:rPr>
          <w:lang w:val="en-GB" w:eastAsia="ar-SA" w:bidi="ar-DZ"/>
        </w:rPr>
        <w:t>/</w:t>
      </w:r>
      <w:r w:rsidRPr="004A571B">
        <w:rPr>
          <w:szCs w:val="20"/>
          <w:lang w:val="en-GB" w:eastAsia="ar-SA" w:bidi="ar-DZ"/>
        </w:rPr>
        <w:t>2</w:t>
      </w:r>
      <w:r w:rsidRPr="004A571B">
        <w:rPr>
          <w:rtl/>
          <w:lang w:eastAsia="ar-SA"/>
        </w:rPr>
        <w:t>، و</w:t>
      </w:r>
      <w:r w:rsidRPr="004A571B">
        <w:rPr>
          <w:lang w:val="en-GB" w:eastAsia="ar-SA" w:bidi="ar-DZ"/>
        </w:rPr>
        <w:t>CED/C/</w:t>
      </w:r>
      <w:r w:rsidRPr="004A571B">
        <w:rPr>
          <w:szCs w:val="20"/>
          <w:lang w:val="en-GB" w:eastAsia="ar-SA" w:bidi="ar-DZ"/>
        </w:rPr>
        <w:t>13</w:t>
      </w:r>
      <w:r w:rsidRPr="004A571B">
        <w:rPr>
          <w:lang w:val="en-GB" w:eastAsia="ar-SA" w:bidi="ar-DZ"/>
        </w:rPr>
        <w:t>/</w:t>
      </w:r>
      <w:r w:rsidRPr="004A571B">
        <w:rPr>
          <w:szCs w:val="20"/>
          <w:lang w:val="en-GB" w:eastAsia="ar-SA" w:bidi="ar-DZ"/>
        </w:rPr>
        <w:t>3</w:t>
      </w:r>
      <w:r w:rsidRPr="004A571B">
        <w:rPr>
          <w:rtl/>
          <w:lang w:eastAsia="ar-SA"/>
        </w:rPr>
        <w:t xml:space="preserve"> و</w:t>
      </w:r>
      <w:r w:rsidRPr="004A571B">
        <w:rPr>
          <w:lang w:val="en-GB" w:eastAsia="ar-SA" w:bidi="ar-DZ"/>
        </w:rPr>
        <w:t>CED/C/</w:t>
      </w:r>
      <w:r w:rsidRPr="004A571B">
        <w:rPr>
          <w:szCs w:val="20"/>
          <w:lang w:val="en-GB" w:eastAsia="ar-SA" w:bidi="ar-DZ"/>
        </w:rPr>
        <w:t>14</w:t>
      </w:r>
      <w:r w:rsidRPr="004A571B">
        <w:rPr>
          <w:lang w:val="en-GB" w:eastAsia="ar-SA" w:bidi="ar-DZ"/>
        </w:rPr>
        <w:t>/</w:t>
      </w:r>
      <w:r w:rsidRPr="004A571B">
        <w:rPr>
          <w:szCs w:val="20"/>
          <w:lang w:val="en-GB" w:eastAsia="ar-SA" w:bidi="ar-DZ"/>
        </w:rPr>
        <w:t>2</w:t>
      </w:r>
      <w:r w:rsidRPr="004A571B">
        <w:rPr>
          <w:rtl/>
          <w:lang w:eastAsia="ar-SA"/>
        </w:rPr>
        <w:t>، و</w:t>
      </w:r>
      <w:r w:rsidRPr="004A571B">
        <w:rPr>
          <w:lang w:val="en-GB" w:eastAsia="ar-SA" w:bidi="ar-DZ"/>
        </w:rPr>
        <w:t>CED/C/</w:t>
      </w:r>
      <w:r w:rsidRPr="004A571B">
        <w:rPr>
          <w:szCs w:val="20"/>
          <w:lang w:val="en-GB" w:eastAsia="ar-SA" w:bidi="ar-DZ"/>
        </w:rPr>
        <w:t>15</w:t>
      </w:r>
      <w:r w:rsidRPr="004A571B">
        <w:rPr>
          <w:lang w:val="en-GB" w:eastAsia="ar-SA" w:bidi="ar-DZ"/>
        </w:rPr>
        <w:t>/</w:t>
      </w:r>
      <w:r w:rsidRPr="004A571B">
        <w:rPr>
          <w:szCs w:val="20"/>
          <w:lang w:val="en-GB" w:eastAsia="ar-SA" w:bidi="ar-DZ"/>
        </w:rPr>
        <w:t>3</w:t>
      </w:r>
      <w:r w:rsidRPr="004A571B">
        <w:rPr>
          <w:rtl/>
          <w:lang w:eastAsia="ar-SA"/>
        </w:rPr>
        <w:t xml:space="preserve">). </w:t>
      </w:r>
      <w:r w:rsidRPr="004A571B">
        <w:rPr>
          <w:rtl/>
          <w:lang w:eastAsia="ar-SA" w:bidi="ar-SY"/>
        </w:rPr>
        <w:t>ولا تزال</w:t>
      </w:r>
      <w:r w:rsidRPr="004A571B">
        <w:rPr>
          <w:rtl/>
          <w:lang w:eastAsia="ar-SA"/>
        </w:rPr>
        <w:t xml:space="preserve"> أغلب الحالات ذات الصلة بطلبات الإجراءات العاجلة المسجلة تتعلق بوقائع جرت في المكسيك والعراق. وفيما يخص الفترة المشمولة بهذا التقرير، تود اللجنة أن تسلط الضوء على الاتجاهات التالية المتعلقة بالدول الأطراف المعنية.</w:t>
      </w:r>
    </w:p>
    <w:p w14:paraId="260EF909" w14:textId="77777777" w:rsidR="006724A5" w:rsidRPr="006724A5" w:rsidRDefault="006724A5" w:rsidP="00EB5418">
      <w:pPr>
        <w:pStyle w:val="H23GA"/>
        <w:keepNext/>
        <w:keepLines/>
        <w:spacing w:before="240"/>
        <w:rPr>
          <w:rtl/>
        </w:rPr>
      </w:pPr>
      <w:r>
        <w:rPr>
          <w:rtl/>
        </w:rPr>
        <w:tab/>
      </w:r>
      <w:r w:rsidRPr="004A571B">
        <w:rPr>
          <w:szCs w:val="20"/>
          <w:rtl/>
        </w:rPr>
        <w:t>1</w:t>
      </w:r>
      <w:r w:rsidRPr="006724A5">
        <w:rPr>
          <w:rtl/>
        </w:rPr>
        <w:t>-</w:t>
      </w:r>
      <w:r w:rsidRPr="006724A5">
        <w:rPr>
          <w:rtl/>
          <w:lang w:val="en-GB" w:bidi="ar-DZ"/>
        </w:rPr>
        <w:tab/>
      </w:r>
      <w:r w:rsidRPr="006724A5">
        <w:rPr>
          <w:rtl/>
        </w:rPr>
        <w:t>التطورات المتعلقة بالمكسيك والعراق</w:t>
      </w:r>
      <w:r w:rsidRPr="006724A5">
        <w:rPr>
          <w:rFonts w:ascii="Arial" w:hAnsi="Arial" w:cs="Arial" w:hint="cs"/>
          <w:rtl/>
        </w:rPr>
        <w:t>‬</w:t>
      </w:r>
    </w:p>
    <w:p w14:paraId="27748964" w14:textId="77777777" w:rsidR="006724A5" w:rsidRPr="006724A5" w:rsidRDefault="006724A5" w:rsidP="00EB5418">
      <w:pPr>
        <w:pStyle w:val="H23GA"/>
        <w:keepNext/>
        <w:keepLines/>
        <w:spacing w:before="240"/>
        <w:rPr>
          <w:rtl/>
        </w:rPr>
      </w:pPr>
      <w:r>
        <w:rPr>
          <w:rtl/>
        </w:rPr>
        <w:tab/>
      </w:r>
      <w:r w:rsidRPr="006724A5">
        <w:rPr>
          <w:rtl/>
        </w:rPr>
        <w:t>(أ)</w:t>
      </w:r>
      <w:r w:rsidRPr="006724A5">
        <w:rPr>
          <w:rtl/>
          <w:lang w:val="en-GB" w:bidi="ar-DZ"/>
        </w:rPr>
        <w:tab/>
      </w:r>
      <w:r w:rsidRPr="006724A5">
        <w:rPr>
          <w:rtl/>
        </w:rPr>
        <w:t>المكسيك</w:t>
      </w:r>
    </w:p>
    <w:p w14:paraId="3CC780DE" w14:textId="77777777" w:rsidR="006724A5" w:rsidRPr="006724A5" w:rsidRDefault="006724A5" w:rsidP="006724A5">
      <w:pPr>
        <w:pStyle w:val="SingleTxtGA"/>
        <w:rPr>
          <w:rtl/>
          <w:lang w:eastAsia="ar-SA"/>
        </w:rPr>
      </w:pPr>
      <w:r w:rsidRPr="004A571B">
        <w:rPr>
          <w:b/>
          <w:szCs w:val="20"/>
          <w:rtl/>
          <w:lang w:eastAsia="ar-SA"/>
        </w:rPr>
        <w:t>6</w:t>
      </w:r>
      <w:r w:rsidRPr="006724A5">
        <w:rPr>
          <w:rtl/>
          <w:lang w:eastAsia="ar-SA"/>
        </w:rPr>
        <w:t>-</w:t>
      </w:r>
      <w:r w:rsidRPr="006724A5">
        <w:rPr>
          <w:rtl/>
          <w:lang w:val="en-GB" w:eastAsia="ar-SA" w:bidi="ar-DZ"/>
        </w:rPr>
        <w:tab/>
      </w:r>
      <w:r w:rsidRPr="006724A5">
        <w:rPr>
          <w:rtl/>
          <w:lang w:eastAsia="ar-SA" w:bidi="ar-DZ"/>
        </w:rPr>
        <w:t xml:space="preserve">ردت </w:t>
      </w:r>
      <w:r w:rsidRPr="006724A5">
        <w:rPr>
          <w:rtl/>
          <w:lang w:eastAsia="ar-SA"/>
        </w:rPr>
        <w:t>الدولة الطرف على جميع طلبات الإجراءات العاجلة المسجلة في الآونة الأخيرة. ولكن، فيما يتعلق بمذكرات المتابعة، يزداد طول مدة الرد: إذ باتت المعلومات المقدمة أقل بكثير مع مرور الوقت، وتُظهر الردود الواردة في كثير من الأحيان أن عمليات البحث والتحقيق المتعلقة بالأشخاص المختفين قد توقفت.</w:t>
      </w:r>
    </w:p>
    <w:p w14:paraId="4CA79FB0" w14:textId="77777777" w:rsidR="006724A5" w:rsidRPr="006724A5" w:rsidRDefault="006724A5" w:rsidP="006724A5">
      <w:pPr>
        <w:pStyle w:val="SingleTxtGA"/>
        <w:rPr>
          <w:rtl/>
          <w:lang w:eastAsia="ar-SA"/>
        </w:rPr>
      </w:pPr>
      <w:r w:rsidRPr="004A571B">
        <w:rPr>
          <w:szCs w:val="20"/>
          <w:rtl/>
          <w:lang w:eastAsia="ar-SA"/>
        </w:rPr>
        <w:lastRenderedPageBreak/>
        <w:t>7</w:t>
      </w:r>
      <w:r w:rsidRPr="006724A5">
        <w:rPr>
          <w:rtl/>
          <w:lang w:eastAsia="ar-SA"/>
        </w:rPr>
        <w:t>-</w:t>
      </w:r>
      <w:r w:rsidRPr="006724A5">
        <w:rPr>
          <w:rtl/>
          <w:lang w:val="en-GB" w:eastAsia="ar-SA" w:bidi="ar-DZ"/>
        </w:rPr>
        <w:tab/>
      </w:r>
      <w:r w:rsidRPr="006724A5">
        <w:rPr>
          <w:rtl/>
          <w:lang w:eastAsia="ar-SA" w:bidi="ar-DZ"/>
        </w:rPr>
        <w:t xml:space="preserve">ولا تزال </w:t>
      </w:r>
      <w:r w:rsidRPr="006724A5">
        <w:rPr>
          <w:rtl/>
          <w:lang w:eastAsia="ar-SA"/>
        </w:rPr>
        <w:t>المعلومات التي قدمتها الدولة الطرف تبين اتخاذ إجراءات متفرقة ومعزولة يغلب عليها طابع شكلي وليست فيما يبدو جزءا</w:t>
      </w:r>
      <w:r w:rsidR="00362886">
        <w:rPr>
          <w:rFonts w:hint="cs"/>
          <w:rtl/>
          <w:lang w:eastAsia="ar-SA"/>
        </w:rPr>
        <w:t>ً</w:t>
      </w:r>
      <w:r w:rsidRPr="006724A5">
        <w:rPr>
          <w:rtl/>
          <w:lang w:eastAsia="ar-SA"/>
        </w:rPr>
        <w:t xml:space="preserve"> من استراتيجية بحث وتحقيق محددة سلفا</w:t>
      </w:r>
      <w:r w:rsidR="00362886">
        <w:rPr>
          <w:rFonts w:hint="cs"/>
          <w:rtl/>
          <w:lang w:eastAsia="ar-SA"/>
        </w:rPr>
        <w:t>ً</w:t>
      </w:r>
      <w:r w:rsidRPr="006724A5">
        <w:rPr>
          <w:rtl/>
          <w:lang w:eastAsia="ar-SA"/>
        </w:rPr>
        <w:t xml:space="preserve">. ولا تزال الخطوات التي يتخذها أفراد أسرة الأشخاص المختفين </w:t>
      </w:r>
      <w:r w:rsidRPr="006724A5">
        <w:rPr>
          <w:rtl/>
          <w:lang w:eastAsia="ar-SA" w:bidi="ar-DZ"/>
        </w:rPr>
        <w:t xml:space="preserve">أو </w:t>
      </w:r>
      <w:r w:rsidRPr="006724A5">
        <w:rPr>
          <w:rtl/>
          <w:lang w:eastAsia="ar-SA" w:bidi="ar-SY"/>
        </w:rPr>
        <w:t>أقاربهم</w:t>
      </w:r>
      <w:r w:rsidRPr="006724A5">
        <w:rPr>
          <w:rtl/>
          <w:lang w:eastAsia="ar-SA"/>
        </w:rPr>
        <w:t xml:space="preserve"> أو ممثلوهم بالغة الأهمية لضمان</w:t>
      </w:r>
      <w:r w:rsidRPr="006724A5">
        <w:rPr>
          <w:rtl/>
          <w:lang w:eastAsia="ar-SA" w:bidi="ar-DZ"/>
        </w:rPr>
        <w:t xml:space="preserve"> سير</w:t>
      </w:r>
      <w:r w:rsidRPr="006724A5">
        <w:rPr>
          <w:rtl/>
          <w:lang w:eastAsia="ar-SA"/>
        </w:rPr>
        <w:t xml:space="preserve"> عمليات البحث والتحقيق.</w:t>
      </w:r>
    </w:p>
    <w:p w14:paraId="55A5F103" w14:textId="77777777" w:rsidR="006724A5" w:rsidRPr="006724A5" w:rsidRDefault="006724A5" w:rsidP="006724A5">
      <w:pPr>
        <w:pStyle w:val="SingleTxtGA"/>
        <w:rPr>
          <w:rtl/>
          <w:lang w:eastAsia="ar-SA"/>
        </w:rPr>
      </w:pPr>
      <w:r w:rsidRPr="004A571B">
        <w:rPr>
          <w:szCs w:val="20"/>
          <w:rtl/>
          <w:lang w:eastAsia="ar-SA"/>
        </w:rPr>
        <w:t>8</w:t>
      </w:r>
      <w:r w:rsidRPr="006724A5">
        <w:rPr>
          <w:rtl/>
          <w:lang w:eastAsia="ar-SA"/>
        </w:rPr>
        <w:t>-</w:t>
      </w:r>
      <w:r w:rsidRPr="006724A5">
        <w:rPr>
          <w:rtl/>
          <w:lang w:val="en-GB" w:eastAsia="ar-SA" w:bidi="ar-DZ"/>
        </w:rPr>
        <w:tab/>
      </w:r>
      <w:r w:rsidRPr="006724A5">
        <w:rPr>
          <w:rtl/>
          <w:lang w:eastAsia="ar-SA"/>
        </w:rPr>
        <w:t>وفي الغالبية العظمى من الحالات، يشعر أصحاب طلبات الإجراءات العاجلة بالإحباط لعدم إجراء عمليات البحث والتحقيق بالعناية الواجبة. فهم يجدون من المؤسف عدم إجراء تحقيقات ميدانية أو تحليلات شاملة للأدلة المتاحة أو للمعلومات التي يقدمونها إلى السلطات المسؤولة عن عمليات البحث والتحقيق.</w:t>
      </w:r>
    </w:p>
    <w:p w14:paraId="5A1BE445" w14:textId="77777777" w:rsidR="006724A5" w:rsidRPr="006724A5" w:rsidRDefault="006724A5" w:rsidP="006724A5">
      <w:pPr>
        <w:pStyle w:val="SingleTxtGA"/>
        <w:rPr>
          <w:rtl/>
          <w:lang w:eastAsia="ar-SA"/>
        </w:rPr>
      </w:pPr>
      <w:r w:rsidRPr="004A571B">
        <w:rPr>
          <w:szCs w:val="20"/>
          <w:rtl/>
          <w:lang w:eastAsia="ar-SA"/>
        </w:rPr>
        <w:t>9</w:t>
      </w:r>
      <w:r w:rsidRPr="006724A5">
        <w:rPr>
          <w:rtl/>
          <w:lang w:eastAsia="ar-SA"/>
        </w:rPr>
        <w:t>-</w:t>
      </w:r>
      <w:r w:rsidRPr="006724A5">
        <w:rPr>
          <w:rtl/>
          <w:lang w:val="en-GB" w:eastAsia="ar-SA" w:bidi="ar-DZ"/>
        </w:rPr>
        <w:tab/>
      </w:r>
      <w:r w:rsidRPr="006724A5">
        <w:rPr>
          <w:rtl/>
          <w:lang w:eastAsia="ar-SA"/>
        </w:rPr>
        <w:t>ولا يزال أصحاب البلاغات يدعون في كثير من الأحيان أن سلطات المسؤولة عن البحث والتحقيق ضالعة بشكل مباشر أو غير مباشر في الوقائع المحيطة بحالات الاختفاء، وأن جهود البحث والتحقيق قد توقفت. وفي هذه الحالات، شددت اللجنة على أهمية إنشاء آليات لمساءلة موظفي الدولة المسؤولين عن عمليات البحث والتحقيق، وطلبت من الدولة الطرف التحقيق في الادعاءات التي</w:t>
      </w:r>
      <w:r w:rsidRPr="006724A5">
        <w:rPr>
          <w:rtl/>
          <w:lang w:eastAsia="ar-SA" w:bidi="ar-DZ"/>
        </w:rPr>
        <w:t xml:space="preserve"> تفيد بأن</w:t>
      </w:r>
      <w:r w:rsidRPr="006724A5">
        <w:rPr>
          <w:rtl/>
          <w:lang w:eastAsia="ar-SA"/>
        </w:rPr>
        <w:t xml:space="preserve"> هؤلاء المسؤولين يعيقون الإجراءات.</w:t>
      </w:r>
      <w:r w:rsidRPr="006724A5">
        <w:rPr>
          <w:rFonts w:ascii="Arial" w:hAnsi="Arial" w:cs="Arial" w:hint="cs"/>
          <w:rtl/>
          <w:lang w:eastAsia="ar-SA"/>
        </w:rPr>
        <w:t>‬</w:t>
      </w:r>
      <w:r w:rsidRPr="006724A5">
        <w:rPr>
          <w:rtl/>
          <w:lang w:eastAsia="ar-SA"/>
        </w:rPr>
        <w:t xml:space="preserve"> </w:t>
      </w:r>
      <w:r w:rsidRPr="006724A5">
        <w:rPr>
          <w:rFonts w:ascii="Arial" w:hAnsi="Arial" w:cs="Arial" w:hint="cs"/>
          <w:rtl/>
          <w:lang w:eastAsia="ar-SA"/>
        </w:rPr>
        <w:t>‬</w:t>
      </w:r>
    </w:p>
    <w:p w14:paraId="7B10FF48" w14:textId="77777777" w:rsidR="006724A5" w:rsidRPr="006724A5" w:rsidRDefault="006724A5" w:rsidP="006724A5">
      <w:pPr>
        <w:pStyle w:val="SingleTxtGA"/>
        <w:rPr>
          <w:rtl/>
          <w:lang w:eastAsia="ar-SA"/>
        </w:rPr>
      </w:pPr>
      <w:r w:rsidRPr="004A571B">
        <w:rPr>
          <w:szCs w:val="20"/>
          <w:rtl/>
          <w:lang w:eastAsia="ar-SA"/>
        </w:rPr>
        <w:t>10</w:t>
      </w:r>
      <w:r w:rsidRPr="006724A5">
        <w:rPr>
          <w:rtl/>
          <w:lang w:eastAsia="ar-SA"/>
        </w:rPr>
        <w:t>-</w:t>
      </w:r>
      <w:r w:rsidRPr="006724A5">
        <w:rPr>
          <w:rtl/>
          <w:lang w:val="en-GB" w:eastAsia="ar-SA" w:bidi="ar-DZ"/>
        </w:rPr>
        <w:tab/>
      </w:r>
      <w:r w:rsidRPr="006724A5">
        <w:rPr>
          <w:rtl/>
          <w:lang w:eastAsia="ar-SA"/>
        </w:rPr>
        <w:t>وتود اللجنة أن تؤكد قلقها بشأن المعلومات التي تفيد بأن أفراد أسرة الأشخاص المختفين يُستهدفون بالتهديد والترهيب عندما يحاولون الحث على التحقيق في الوقائع المحيطة بالاختفاء القسري لذويهم. وتتخذ هذه التهديدات أشكالا</w:t>
      </w:r>
      <w:r w:rsidR="00362886">
        <w:rPr>
          <w:rFonts w:hint="cs"/>
          <w:rtl/>
          <w:lang w:eastAsia="ar-SA"/>
        </w:rPr>
        <w:t>ً</w:t>
      </w:r>
      <w:r w:rsidRPr="006724A5">
        <w:rPr>
          <w:rtl/>
          <w:lang w:eastAsia="ar-SA"/>
        </w:rPr>
        <w:t xml:space="preserve"> مختلفة، منها التهديد بالقتل، وتسيير دوريات حول منازل الأشخاص، واتخاذ قرارات إجرائية تؤثر في الحماية الممنوحة للأشخاص المعنيين (على سبيل المثال، إلغاء تدبير حماية هوية أحد الشهود الرئيسيين في التحقيق بإحالة ملف القضية إلى مكتب المدعي العام في ولاية </w:t>
      </w:r>
      <w:proofErr w:type="spellStart"/>
      <w:r w:rsidRPr="006724A5">
        <w:rPr>
          <w:rtl/>
          <w:lang w:eastAsia="ar-SA"/>
        </w:rPr>
        <w:t>غيريرو</w:t>
      </w:r>
      <w:proofErr w:type="spellEnd"/>
      <w:r w:rsidRPr="006724A5">
        <w:rPr>
          <w:rtl/>
          <w:lang w:eastAsia="ar-SA"/>
        </w:rPr>
        <w:t>). وفي هذه الحالات، تطلب اللجنة مرة أخرى إلى الدولة الطرف اتخاذ تدابير مؤقتة تتألف من (أ) التدابير اللازمة للحفاظ على حياة وسلامة الأشخاص المعنيين؛ (ب) التدابير اللازمة لضمان تمكن الشخص من البحث عن أحد أفراد الأسرة المفقودين دون التعرض للعنف أو المضايقة. وتطلب اللجنة أيضا</w:t>
      </w:r>
      <w:r w:rsidR="00362886">
        <w:rPr>
          <w:rFonts w:hint="cs"/>
          <w:rtl/>
          <w:lang w:eastAsia="ar-SA"/>
        </w:rPr>
        <w:t>ً</w:t>
      </w:r>
      <w:r w:rsidRPr="006724A5">
        <w:rPr>
          <w:rtl/>
          <w:lang w:eastAsia="ar-SA"/>
        </w:rPr>
        <w:t xml:space="preserve"> اتخاذ مزيد من التدابير المحددة عند الاقتضاء (مثلاً، لضمان الحفاظ على سرية هوية الشخص رغم إحالة ملف القضية).</w:t>
      </w:r>
    </w:p>
    <w:p w14:paraId="561E73A7" w14:textId="77777777" w:rsidR="006724A5" w:rsidRPr="006724A5" w:rsidRDefault="006724A5" w:rsidP="00EB5418">
      <w:pPr>
        <w:pStyle w:val="H23GA"/>
        <w:keepNext/>
        <w:keepLines/>
        <w:spacing w:before="240"/>
        <w:rPr>
          <w:rtl/>
        </w:rPr>
      </w:pPr>
      <w:r>
        <w:rPr>
          <w:rtl/>
        </w:rPr>
        <w:tab/>
      </w:r>
      <w:r w:rsidRPr="006724A5">
        <w:rPr>
          <w:rtl/>
        </w:rPr>
        <w:t>(ب)</w:t>
      </w:r>
      <w:r w:rsidRPr="006724A5">
        <w:rPr>
          <w:rtl/>
          <w:lang w:val="en-GB" w:bidi="ar-DZ"/>
        </w:rPr>
        <w:tab/>
      </w:r>
      <w:r w:rsidRPr="006724A5">
        <w:rPr>
          <w:rtl/>
        </w:rPr>
        <w:t>العراق</w:t>
      </w:r>
    </w:p>
    <w:p w14:paraId="6947A94E" w14:textId="77777777" w:rsidR="006724A5" w:rsidRPr="006724A5" w:rsidRDefault="006724A5" w:rsidP="006724A5">
      <w:pPr>
        <w:pStyle w:val="SingleTxtGA"/>
        <w:rPr>
          <w:rtl/>
          <w:lang w:eastAsia="ar-SA"/>
        </w:rPr>
      </w:pPr>
      <w:r w:rsidRPr="004A571B">
        <w:rPr>
          <w:szCs w:val="20"/>
          <w:rtl/>
          <w:lang w:eastAsia="ar-SA"/>
        </w:rPr>
        <w:t>11</w:t>
      </w:r>
      <w:r w:rsidRPr="006724A5">
        <w:rPr>
          <w:rtl/>
          <w:lang w:eastAsia="ar-SA"/>
        </w:rPr>
        <w:t>-</w:t>
      </w:r>
      <w:r w:rsidRPr="006724A5">
        <w:rPr>
          <w:rtl/>
          <w:lang w:val="en-GB" w:eastAsia="ar-SA" w:bidi="ar-DZ"/>
        </w:rPr>
        <w:tab/>
      </w:r>
      <w:r w:rsidRPr="006724A5">
        <w:rPr>
          <w:rtl/>
          <w:lang w:eastAsia="ar-SA"/>
        </w:rPr>
        <w:t xml:space="preserve">تعرب اللجنة عن بالغ قلقها لعدم قيام العراق، رغم رسائل التذكير المتعددة، بالرد على معظم طلبات الإجراءات العاجلة المسجلة المتعلقة بوقائع جرت في إقليمه. فقد وُجهت أربع رسائل تذكير بشأن </w:t>
      </w:r>
      <w:r w:rsidRPr="004A571B">
        <w:rPr>
          <w:szCs w:val="20"/>
          <w:rtl/>
          <w:lang w:eastAsia="ar-SA"/>
        </w:rPr>
        <w:t>53</w:t>
      </w:r>
      <w:r w:rsidRPr="006724A5">
        <w:rPr>
          <w:rtl/>
          <w:lang w:eastAsia="ar-SA"/>
        </w:rPr>
        <w:t xml:space="preserve"> طلباً من طلبات الإجراءات العاجلة المسجلة، ولم ترد الدولة الطرف عليها. وفي الحالات التي وردت فيها ردود، لم تقدم الدولة الطرف أي معلومات على الإطلاق عن أي إجراء اتخذته للبحث عن الأشخاص المختفين أو للتحقيق في اختفائهم القسري المزعوم. ولم توضح الدولة الطرف أيضاً الإجراءات المتاحة للضحايا، ولا تزال المعلومات المقدمة من أفراد الأسرة وغيرهم من أقارب الأشخاص المختفين تؤكد، بشكل عام، أنهم لا بد أن يتعرضوا لسوء المعاملة على أيدي سلطات الدولة عندما يطلبون معلومات أو يلتمسون الدعم فيما يتعلق بعمليات البحث عن الأشخاص المختفين أو التحقيق في اختفائهم القسري المدعى.</w:t>
      </w:r>
    </w:p>
    <w:p w14:paraId="7D36F4CB" w14:textId="77777777" w:rsidR="006724A5" w:rsidRPr="006724A5" w:rsidRDefault="006724A5" w:rsidP="006724A5">
      <w:pPr>
        <w:pStyle w:val="SingleTxtGA"/>
        <w:rPr>
          <w:rtl/>
          <w:lang w:eastAsia="ar-SA"/>
        </w:rPr>
      </w:pPr>
      <w:r w:rsidRPr="004A571B">
        <w:rPr>
          <w:szCs w:val="20"/>
          <w:rtl/>
          <w:lang w:eastAsia="ar-SA"/>
        </w:rPr>
        <w:t>12</w:t>
      </w:r>
      <w:r w:rsidRPr="006724A5">
        <w:rPr>
          <w:rtl/>
          <w:lang w:eastAsia="ar-SA"/>
        </w:rPr>
        <w:t>-</w:t>
      </w:r>
      <w:r w:rsidRPr="006724A5">
        <w:rPr>
          <w:rtl/>
          <w:lang w:val="en-GB" w:eastAsia="ar-SA" w:bidi="ar-DZ"/>
        </w:rPr>
        <w:tab/>
      </w:r>
      <w:r w:rsidRPr="006724A5">
        <w:rPr>
          <w:rtl/>
          <w:lang w:eastAsia="ar-SA"/>
        </w:rPr>
        <w:t xml:space="preserve">وتكتفي الدولة الطرف، في العديد من ردودها، بالقول إن الأشخاص المدعى أنهم ضحايا ينتمون إلى جماعات إرهابية. ففي الفترة المشمولة بالتقرير، على سبيل المثال، سجلت اللجنة </w:t>
      </w:r>
      <w:r w:rsidRPr="004A571B">
        <w:rPr>
          <w:szCs w:val="20"/>
          <w:rtl/>
          <w:lang w:eastAsia="ar-SA"/>
        </w:rPr>
        <w:t>192</w:t>
      </w:r>
      <w:r w:rsidRPr="006724A5">
        <w:rPr>
          <w:rtl/>
          <w:lang w:eastAsia="ar-SA"/>
        </w:rPr>
        <w:t xml:space="preserve"> طلباً جديداً لاتخاذ إجراءات عاجلة بشأن الاختفاء القسري لـ </w:t>
      </w:r>
      <w:r w:rsidRPr="004A571B">
        <w:rPr>
          <w:szCs w:val="20"/>
          <w:rtl/>
          <w:lang w:eastAsia="ar-SA"/>
        </w:rPr>
        <w:t>192</w:t>
      </w:r>
      <w:r w:rsidRPr="006724A5">
        <w:rPr>
          <w:rtl/>
          <w:lang w:eastAsia="ar-SA"/>
        </w:rPr>
        <w:t xml:space="preserve"> شخصاً عند نقطة تفتيش الرزازة في محافظة الأنبار. وأُبلغت اللجنة بأنه، في سياق محاربة تنظيم الدولة الإسلامية في العراق والشام، </w:t>
      </w:r>
      <w:r w:rsidRPr="006724A5">
        <w:rPr>
          <w:rtl/>
          <w:lang w:eastAsia="ar-SA"/>
        </w:rPr>
        <w:lastRenderedPageBreak/>
        <w:t>فر</w:t>
      </w:r>
      <w:r w:rsidR="00DA2806">
        <w:rPr>
          <w:rFonts w:hint="cs"/>
          <w:rtl/>
          <w:lang w:eastAsia="ar-SA"/>
        </w:rPr>
        <w:t> </w:t>
      </w:r>
      <w:r w:rsidRPr="006724A5">
        <w:rPr>
          <w:rtl/>
          <w:lang w:eastAsia="ar-SA"/>
        </w:rPr>
        <w:t xml:space="preserve">الكثير من الأسر في </w:t>
      </w:r>
      <w:r w:rsidRPr="004A571B">
        <w:rPr>
          <w:szCs w:val="20"/>
          <w:rtl/>
          <w:lang w:eastAsia="ar-SA"/>
        </w:rPr>
        <w:t>26</w:t>
      </w:r>
      <w:r w:rsidRPr="006724A5">
        <w:rPr>
          <w:rtl/>
          <w:lang w:eastAsia="ar-SA"/>
        </w:rPr>
        <w:t xml:space="preserve"> تشرين الأول/أكتوبر </w:t>
      </w:r>
      <w:r w:rsidRPr="004A571B">
        <w:rPr>
          <w:szCs w:val="20"/>
          <w:rtl/>
          <w:lang w:eastAsia="ar-SA"/>
        </w:rPr>
        <w:t>2014</w:t>
      </w:r>
      <w:r w:rsidRPr="006724A5">
        <w:rPr>
          <w:rtl/>
          <w:lang w:eastAsia="ar-SA"/>
        </w:rPr>
        <w:t xml:space="preserve"> من جرف الصخر في محافظة بابل إلى مناطق أكثر أمنا</w:t>
      </w:r>
      <w:r w:rsidR="00362886">
        <w:rPr>
          <w:rFonts w:hint="cs"/>
          <w:rtl/>
          <w:lang w:eastAsia="ar-SA"/>
        </w:rPr>
        <w:t>ً</w:t>
      </w:r>
      <w:r w:rsidRPr="006724A5">
        <w:rPr>
          <w:rtl/>
          <w:lang w:eastAsia="ar-SA"/>
        </w:rPr>
        <w:t xml:space="preserve"> بعبور نقطة التفتيش المذكورة، التي كانت خاضعة في ذلك الوقت لسيطرة كتائب حزب الله. وتفيد التقارير التي تلقتها اللجنة باعتقال الـ </w:t>
      </w:r>
      <w:r w:rsidRPr="004A571B">
        <w:rPr>
          <w:szCs w:val="20"/>
          <w:rtl/>
          <w:lang w:eastAsia="ar-SA"/>
        </w:rPr>
        <w:t>192</w:t>
      </w:r>
      <w:r w:rsidRPr="006724A5">
        <w:rPr>
          <w:rtl/>
          <w:lang w:eastAsia="ar-SA"/>
        </w:rPr>
        <w:t xml:space="preserve"> شخصاً أثناء محاولتهم عبور نقطة التفتيش واقتادهم حزب الله إلى مكان مجهول. ورغم الشكاوى المتكررة المقدمة من أفراد الأسر إلى سلطات الدولة الطرف، لا</w:t>
      </w:r>
      <w:r w:rsidR="00DA2806">
        <w:rPr>
          <w:rFonts w:hint="cs"/>
          <w:rtl/>
          <w:lang w:eastAsia="ar-SA"/>
        </w:rPr>
        <w:t> </w:t>
      </w:r>
      <w:r w:rsidRPr="006724A5">
        <w:rPr>
          <w:rtl/>
          <w:lang w:eastAsia="ar-SA"/>
        </w:rPr>
        <w:t>يزال مكان وجودهم مجهولا</w:t>
      </w:r>
      <w:r w:rsidR="00362886">
        <w:rPr>
          <w:rFonts w:hint="cs"/>
          <w:rtl/>
          <w:lang w:eastAsia="ar-SA"/>
        </w:rPr>
        <w:t>ً</w:t>
      </w:r>
      <w:r w:rsidRPr="006724A5">
        <w:rPr>
          <w:rtl/>
          <w:lang w:eastAsia="ar-SA"/>
        </w:rPr>
        <w:t>. وطلبت اللجنة إلى الدولة الطرف اتخاذ إجراءات فورية للبحث عن الأشخاص المختفين وتحديد مكانهم، والتحقيق في اختفائهم القسري المدعى، وكفالة تمتعهم بحماية القانون، واتخاذ التدابير اللازمة لتحديد المسؤولين عن هذا الاختفاء. وذكرت الدولة الطرف في ردها أن جميع الأشخاص المشار إليهم في هذه الإجراءات العاجلة لهم صلات بتنظيم الدولة الإسلامية في العراق والشام، وأن سبعة منهم قُتلوا. وأحيلت هذه المعلومات إلى مقدمي طلبات اتخاذ الإجراءات العاجلة للتعليق عليها. وبصورة أعم، أُبلغت اللجنة، وهو ما يثير قلقها، بحالات عديدة تعرض فيها أفراد أسرة المختفين وغيرهم من الأقارب لأعمال انتقامية بعد إبلاغ السلطات المختصة بالوقائع، وبما لهذا الوضع من تأثير سلبي في إمكانية أن يطلب الأشخاص تدخل السلطات المسؤولة عن البحث عن الأشخاص المفقودين والتحقيق في اختفائهم.</w:t>
      </w:r>
    </w:p>
    <w:p w14:paraId="4059F952" w14:textId="77777777" w:rsidR="006724A5" w:rsidRPr="006724A5" w:rsidRDefault="006724A5" w:rsidP="00EB5418">
      <w:pPr>
        <w:pStyle w:val="H23GA"/>
        <w:keepNext/>
        <w:keepLines/>
        <w:spacing w:before="240"/>
        <w:rPr>
          <w:rtl/>
        </w:rPr>
      </w:pPr>
      <w:r>
        <w:rPr>
          <w:rtl/>
        </w:rPr>
        <w:tab/>
      </w:r>
      <w:r w:rsidRPr="004A571B">
        <w:rPr>
          <w:szCs w:val="20"/>
          <w:rtl/>
        </w:rPr>
        <w:t>2</w:t>
      </w:r>
      <w:r w:rsidRPr="006724A5">
        <w:rPr>
          <w:rtl/>
        </w:rPr>
        <w:t>-</w:t>
      </w:r>
      <w:r w:rsidRPr="006724A5">
        <w:rPr>
          <w:rtl/>
          <w:lang w:val="en-GB" w:bidi="ar-DZ"/>
        </w:rPr>
        <w:tab/>
      </w:r>
      <w:r w:rsidRPr="006724A5">
        <w:rPr>
          <w:rtl/>
        </w:rPr>
        <w:t>طلبات الإجراءات العاجلة المتعلقة بدول أطراف أخرى</w:t>
      </w:r>
    </w:p>
    <w:p w14:paraId="56BE9614" w14:textId="77777777" w:rsidR="006724A5" w:rsidRPr="006724A5" w:rsidRDefault="006724A5" w:rsidP="006724A5">
      <w:pPr>
        <w:pStyle w:val="SingleTxtGA"/>
        <w:rPr>
          <w:rtl/>
          <w:lang w:eastAsia="ar-SA"/>
        </w:rPr>
      </w:pPr>
      <w:r w:rsidRPr="004A571B">
        <w:rPr>
          <w:szCs w:val="20"/>
          <w:rtl/>
          <w:lang w:eastAsia="ar-SA"/>
        </w:rPr>
        <w:t>13</w:t>
      </w:r>
      <w:r w:rsidRPr="006724A5">
        <w:rPr>
          <w:rtl/>
          <w:lang w:eastAsia="ar-SA"/>
        </w:rPr>
        <w:t>-</w:t>
      </w:r>
      <w:r w:rsidRPr="006724A5">
        <w:rPr>
          <w:rtl/>
          <w:lang w:val="en-GB" w:eastAsia="ar-SA" w:bidi="ar-DZ"/>
        </w:rPr>
        <w:tab/>
      </w:r>
      <w:r w:rsidRPr="006724A5">
        <w:rPr>
          <w:rtl/>
          <w:lang w:eastAsia="ar-SA"/>
        </w:rPr>
        <w:t>فيما يخص طلبات الإجراءات العاجلة المتعلقة بدول أطراف أخرى، ترى اللجنة أن عدد الطلبات المسجلة لا يسمح لها باستنتاج اتجاه عام. ومع ذلك، تود اللجنة أن تسلط الضوء على عناصر معينة تتعلق ببعض الطلبات الواردة.</w:t>
      </w:r>
    </w:p>
    <w:p w14:paraId="68906E8E" w14:textId="77777777" w:rsidR="006724A5" w:rsidRPr="006724A5" w:rsidRDefault="006724A5" w:rsidP="00EB5418">
      <w:pPr>
        <w:pStyle w:val="H23GA"/>
        <w:keepNext/>
        <w:keepLines/>
        <w:spacing w:before="240"/>
        <w:rPr>
          <w:rtl/>
        </w:rPr>
      </w:pPr>
      <w:r>
        <w:rPr>
          <w:rtl/>
        </w:rPr>
        <w:tab/>
      </w:r>
      <w:r w:rsidRPr="006724A5">
        <w:rPr>
          <w:rtl/>
        </w:rPr>
        <w:t>(أ)</w:t>
      </w:r>
      <w:r w:rsidRPr="006724A5">
        <w:rPr>
          <w:rtl/>
          <w:lang w:val="en-GB" w:bidi="ar-DZ"/>
        </w:rPr>
        <w:tab/>
      </w:r>
      <w:r w:rsidRPr="006724A5">
        <w:rPr>
          <w:rtl/>
        </w:rPr>
        <w:t>البرازيل</w:t>
      </w:r>
    </w:p>
    <w:p w14:paraId="07EE3001" w14:textId="77777777" w:rsidR="006724A5" w:rsidRPr="006724A5" w:rsidRDefault="006724A5" w:rsidP="006724A5">
      <w:pPr>
        <w:pStyle w:val="SingleTxtGA"/>
        <w:rPr>
          <w:rtl/>
          <w:lang w:eastAsia="ar-SA"/>
        </w:rPr>
      </w:pPr>
      <w:r w:rsidRPr="004A571B">
        <w:rPr>
          <w:szCs w:val="20"/>
          <w:rtl/>
          <w:lang w:eastAsia="ar-SA"/>
        </w:rPr>
        <w:t>14</w:t>
      </w:r>
      <w:r w:rsidRPr="006724A5">
        <w:rPr>
          <w:rtl/>
          <w:lang w:eastAsia="ar-SA"/>
        </w:rPr>
        <w:t>-</w:t>
      </w:r>
      <w:r w:rsidRPr="006724A5">
        <w:rPr>
          <w:rtl/>
          <w:lang w:val="en-GB" w:eastAsia="ar-SA" w:bidi="ar-DZ"/>
        </w:rPr>
        <w:tab/>
      </w:r>
      <w:r w:rsidRPr="006724A5">
        <w:rPr>
          <w:rtl/>
          <w:lang w:eastAsia="ar-SA"/>
        </w:rPr>
        <w:t xml:space="preserve">في قضية دافي سانتوس </w:t>
      </w:r>
      <w:proofErr w:type="spellStart"/>
      <w:r w:rsidRPr="006724A5">
        <w:rPr>
          <w:rtl/>
          <w:lang w:eastAsia="ar-SA"/>
        </w:rPr>
        <w:t>فيوزا</w:t>
      </w:r>
      <w:proofErr w:type="spellEnd"/>
      <w:r w:rsidRPr="006724A5">
        <w:rPr>
          <w:rtl/>
          <w:lang w:val="en-GB" w:eastAsia="ar-SA" w:bidi="ar-DZ"/>
        </w:rPr>
        <w:t xml:space="preserve"> </w:t>
      </w:r>
      <w:r w:rsidRPr="006724A5">
        <w:rPr>
          <w:rtl/>
          <w:lang w:eastAsia="ar-SA"/>
        </w:rPr>
        <w:t xml:space="preserve">(الإجراء العاجل رقم </w:t>
      </w:r>
      <w:r w:rsidRPr="004A571B">
        <w:rPr>
          <w:szCs w:val="20"/>
          <w:rtl/>
          <w:lang w:eastAsia="ar-SA"/>
        </w:rPr>
        <w:t>61</w:t>
      </w:r>
      <w:r w:rsidRPr="006724A5">
        <w:rPr>
          <w:rtl/>
          <w:lang w:eastAsia="ar-SA"/>
        </w:rPr>
        <w:t>/</w:t>
      </w:r>
      <w:r w:rsidRPr="004A571B">
        <w:rPr>
          <w:szCs w:val="20"/>
          <w:rtl/>
          <w:lang w:eastAsia="ar-SA"/>
        </w:rPr>
        <w:t>2014</w:t>
      </w:r>
      <w:r w:rsidRPr="006724A5">
        <w:rPr>
          <w:rtl/>
          <w:lang w:eastAsia="ar-SA"/>
        </w:rPr>
        <w:t xml:space="preserve">)، وُجهت مذكرة متابعة أخرى إلى الدولة الطرف تحيط علماً بالمعلومات التي تفيد بأن نتائج البحث والتحقيق اللذين أجرتهما الشرطة على مدى أربع سنوات في اختفائه أُرسلت إلى مكتب المدعي العام لولاية باهيا، وبأن سلطات الشرطة أشارت إلى إمكانية ضلوع </w:t>
      </w:r>
      <w:r w:rsidRPr="004A571B">
        <w:rPr>
          <w:szCs w:val="20"/>
          <w:rtl/>
          <w:lang w:eastAsia="ar-SA"/>
        </w:rPr>
        <w:t>17</w:t>
      </w:r>
      <w:r w:rsidRPr="006724A5">
        <w:rPr>
          <w:rtl/>
          <w:lang w:eastAsia="ar-SA"/>
        </w:rPr>
        <w:t xml:space="preserve"> فرداً من شرطة ولاية باهيا (الشرطة العسكرية)، وأن المدعي العام كان يستعرض في ذلك الوقت ملف القضية لتحديد المسؤولية القانونية لكل فرد من أفراد الشرطة الـ </w:t>
      </w:r>
      <w:r w:rsidRPr="004A571B">
        <w:rPr>
          <w:szCs w:val="20"/>
          <w:rtl/>
          <w:lang w:eastAsia="ar-SA"/>
        </w:rPr>
        <w:t>17</w:t>
      </w:r>
      <w:r w:rsidRPr="006724A5">
        <w:rPr>
          <w:rtl/>
          <w:lang w:eastAsia="ar-SA"/>
        </w:rPr>
        <w:t xml:space="preserve"> وتقديم الجناة إلى العدالة. بيد أنه في ضوء المعلومات التي جُمعت في سياق الإجراءات العاجلة، تأسف اللجنة لتأخر مكتب المدعي العام في التحقيق في القضية وعدم اتخاذه مزيداً من الخطوات للبحث عن السيد سانتوس </w:t>
      </w:r>
      <w:proofErr w:type="spellStart"/>
      <w:r w:rsidRPr="006724A5">
        <w:rPr>
          <w:rtl/>
          <w:lang w:eastAsia="ar-SA"/>
        </w:rPr>
        <w:t>فيوزا</w:t>
      </w:r>
      <w:proofErr w:type="spellEnd"/>
      <w:r w:rsidRPr="006724A5">
        <w:rPr>
          <w:rtl/>
          <w:lang w:eastAsia="ar-SA"/>
        </w:rPr>
        <w:t xml:space="preserve"> وتحديد مكانه، رغم تلقيه نتائج تحقيقات الشرطة.</w:t>
      </w:r>
    </w:p>
    <w:p w14:paraId="57B457D9" w14:textId="77777777" w:rsidR="006724A5" w:rsidRPr="006724A5" w:rsidRDefault="006724A5" w:rsidP="00EB5418">
      <w:pPr>
        <w:pStyle w:val="H23GA"/>
        <w:keepNext/>
        <w:keepLines/>
        <w:spacing w:before="240"/>
        <w:rPr>
          <w:rtl/>
        </w:rPr>
      </w:pPr>
      <w:r>
        <w:rPr>
          <w:rtl/>
        </w:rPr>
        <w:tab/>
      </w:r>
      <w:r w:rsidRPr="006724A5">
        <w:rPr>
          <w:rtl/>
        </w:rPr>
        <w:t>(ب)</w:t>
      </w:r>
      <w:r w:rsidRPr="006724A5">
        <w:rPr>
          <w:rtl/>
          <w:lang w:val="en-GB" w:bidi="ar-DZ"/>
        </w:rPr>
        <w:tab/>
      </w:r>
      <w:r w:rsidRPr="006724A5">
        <w:rPr>
          <w:rtl/>
        </w:rPr>
        <w:t>كولومبيا</w:t>
      </w:r>
    </w:p>
    <w:p w14:paraId="3C9B1698" w14:textId="77777777" w:rsidR="006724A5" w:rsidRPr="006724A5" w:rsidRDefault="006724A5" w:rsidP="006724A5">
      <w:pPr>
        <w:pStyle w:val="SingleTxtGA"/>
        <w:rPr>
          <w:rtl/>
          <w:lang w:eastAsia="ar-SA"/>
        </w:rPr>
      </w:pPr>
      <w:r w:rsidRPr="004A571B">
        <w:rPr>
          <w:szCs w:val="20"/>
          <w:rtl/>
          <w:lang w:eastAsia="ar-SA"/>
        </w:rPr>
        <w:t>15</w:t>
      </w:r>
      <w:r w:rsidRPr="006724A5">
        <w:rPr>
          <w:rtl/>
          <w:lang w:eastAsia="ar-SA"/>
        </w:rPr>
        <w:t>-</w:t>
      </w:r>
      <w:r w:rsidRPr="006724A5">
        <w:rPr>
          <w:rtl/>
          <w:lang w:val="en-GB" w:eastAsia="ar-SA" w:bidi="ar-DZ"/>
        </w:rPr>
        <w:tab/>
      </w:r>
      <w:r w:rsidRPr="006724A5">
        <w:rPr>
          <w:rtl/>
          <w:lang w:eastAsia="ar-SA"/>
        </w:rPr>
        <w:t xml:space="preserve">تفيد تقارير الدورات السابقة بأن المعلومات التي قدمتها الدولة الطرف عن طلبات الإجراءات العاجلة المسجلة، البالغ عددها </w:t>
      </w:r>
      <w:r w:rsidRPr="004A571B">
        <w:rPr>
          <w:szCs w:val="20"/>
          <w:rtl/>
          <w:lang w:eastAsia="ar-SA"/>
        </w:rPr>
        <w:t>21</w:t>
      </w:r>
      <w:r w:rsidRPr="006724A5">
        <w:rPr>
          <w:rtl/>
          <w:lang w:eastAsia="ar-SA"/>
        </w:rPr>
        <w:t xml:space="preserve"> طلباً، تبين أن إجراءات البحث والتحقيق كثيراً ما تصل إلى طريق مسدود بعد بضعة أشهر من بدايتها.</w:t>
      </w:r>
    </w:p>
    <w:p w14:paraId="24BE9B3D" w14:textId="77777777" w:rsidR="006724A5" w:rsidRPr="006724A5" w:rsidRDefault="006724A5" w:rsidP="006724A5">
      <w:pPr>
        <w:pStyle w:val="SingleTxtGA"/>
        <w:rPr>
          <w:lang w:val="en-GB" w:eastAsia="ar-SA" w:bidi="ar-DZ"/>
        </w:rPr>
      </w:pPr>
      <w:r w:rsidRPr="004A571B">
        <w:rPr>
          <w:szCs w:val="20"/>
          <w:rtl/>
          <w:lang w:eastAsia="ar-SA"/>
        </w:rPr>
        <w:t>16</w:t>
      </w:r>
      <w:r w:rsidRPr="006724A5">
        <w:rPr>
          <w:rtl/>
          <w:lang w:eastAsia="ar-SA"/>
        </w:rPr>
        <w:t>-</w:t>
      </w:r>
      <w:r w:rsidRPr="006724A5">
        <w:rPr>
          <w:rtl/>
          <w:lang w:val="en-GB" w:eastAsia="ar-SA" w:bidi="ar-DZ"/>
        </w:rPr>
        <w:tab/>
      </w:r>
      <w:r w:rsidRPr="006724A5">
        <w:rPr>
          <w:rtl/>
          <w:lang w:eastAsia="ar-SA"/>
        </w:rPr>
        <w:t xml:space="preserve">وفيما يتعلق بالإجراءات العاجلة ذات الأرقام </w:t>
      </w:r>
      <w:r w:rsidRPr="004A571B">
        <w:rPr>
          <w:szCs w:val="20"/>
          <w:rtl/>
          <w:lang w:eastAsia="ar-SA"/>
        </w:rPr>
        <w:t>378</w:t>
      </w:r>
      <w:r w:rsidRPr="006724A5">
        <w:rPr>
          <w:rtl/>
          <w:lang w:eastAsia="ar-SA"/>
        </w:rPr>
        <w:t>/</w:t>
      </w:r>
      <w:r w:rsidRPr="004A571B">
        <w:rPr>
          <w:szCs w:val="20"/>
          <w:rtl/>
          <w:lang w:eastAsia="ar-SA"/>
        </w:rPr>
        <w:t>2017</w:t>
      </w:r>
      <w:r w:rsidRPr="006724A5">
        <w:rPr>
          <w:rtl/>
          <w:lang w:eastAsia="ar-SA"/>
        </w:rPr>
        <w:t xml:space="preserve"> </w:t>
      </w:r>
      <w:proofErr w:type="spellStart"/>
      <w:r w:rsidRPr="006724A5">
        <w:rPr>
          <w:rtl/>
          <w:lang w:eastAsia="ar-SA"/>
        </w:rPr>
        <w:t>و</w:t>
      </w:r>
      <w:r w:rsidRPr="004A571B">
        <w:rPr>
          <w:szCs w:val="20"/>
          <w:rtl/>
          <w:lang w:eastAsia="ar-SA"/>
        </w:rPr>
        <w:t>379</w:t>
      </w:r>
      <w:proofErr w:type="spellEnd"/>
      <w:r w:rsidRPr="006724A5">
        <w:rPr>
          <w:rtl/>
          <w:lang w:eastAsia="ar-SA"/>
        </w:rPr>
        <w:t>/</w:t>
      </w:r>
      <w:r w:rsidRPr="004A571B">
        <w:rPr>
          <w:szCs w:val="20"/>
          <w:rtl/>
          <w:lang w:eastAsia="ar-SA"/>
        </w:rPr>
        <w:t>2017</w:t>
      </w:r>
      <w:r w:rsidRPr="006724A5">
        <w:rPr>
          <w:rtl/>
          <w:lang w:eastAsia="ar-SA"/>
        </w:rPr>
        <w:t xml:space="preserve"> </w:t>
      </w:r>
      <w:proofErr w:type="spellStart"/>
      <w:r w:rsidRPr="006724A5">
        <w:rPr>
          <w:rtl/>
          <w:lang w:eastAsia="ar-SA"/>
        </w:rPr>
        <w:t>و</w:t>
      </w:r>
      <w:r w:rsidRPr="004A571B">
        <w:rPr>
          <w:szCs w:val="20"/>
          <w:rtl/>
          <w:lang w:eastAsia="ar-SA"/>
        </w:rPr>
        <w:t>380</w:t>
      </w:r>
      <w:proofErr w:type="spellEnd"/>
      <w:r w:rsidRPr="006724A5">
        <w:rPr>
          <w:rtl/>
          <w:lang w:eastAsia="ar-SA"/>
        </w:rPr>
        <w:t>/</w:t>
      </w:r>
      <w:r w:rsidRPr="004A571B">
        <w:rPr>
          <w:szCs w:val="20"/>
          <w:rtl/>
          <w:lang w:eastAsia="ar-SA"/>
        </w:rPr>
        <w:t>2017</w:t>
      </w:r>
      <w:r w:rsidRPr="006724A5">
        <w:rPr>
          <w:rtl/>
          <w:lang w:eastAsia="ar-SA"/>
        </w:rPr>
        <w:t xml:space="preserve">، أُبلغت اللجنة بأنه أُلقي القبض على أربعة أشخاص قدموا معلومات عن مكان وجود رفات الأطفال المختفين. ووُجهت إليهم تهم تتعلق بالاختفاء القسري. وكان الأطفال الثلاثة قد عُثر عليهم قتلى في حي سيرو نورتي في </w:t>
      </w:r>
      <w:proofErr w:type="spellStart"/>
      <w:r w:rsidRPr="006724A5">
        <w:rPr>
          <w:rtl/>
          <w:lang w:eastAsia="ar-SA"/>
        </w:rPr>
        <w:t>أوساكين</w:t>
      </w:r>
      <w:proofErr w:type="spellEnd"/>
      <w:r w:rsidRPr="006724A5">
        <w:rPr>
          <w:rtl/>
          <w:lang w:eastAsia="ar-SA"/>
        </w:rPr>
        <w:t xml:space="preserve"> في أيار/مايو </w:t>
      </w:r>
      <w:r w:rsidRPr="004A571B">
        <w:rPr>
          <w:szCs w:val="20"/>
          <w:rtl/>
          <w:lang w:eastAsia="ar-SA"/>
        </w:rPr>
        <w:t>2019</w:t>
      </w:r>
      <w:r w:rsidRPr="006724A5">
        <w:rPr>
          <w:rtl/>
          <w:lang w:eastAsia="ar-SA"/>
        </w:rPr>
        <w:t>. وأُبلغت هذه المعلومات إلى مقدّمي طلبات الإجراءات العاجلة للتعليق عليها.</w:t>
      </w:r>
    </w:p>
    <w:p w14:paraId="3F563AB8" w14:textId="77777777" w:rsidR="006724A5" w:rsidRPr="006724A5" w:rsidRDefault="006724A5" w:rsidP="00EB5418">
      <w:pPr>
        <w:pStyle w:val="H23GA"/>
        <w:keepNext/>
        <w:keepLines/>
        <w:spacing w:before="240"/>
        <w:rPr>
          <w:rtl/>
        </w:rPr>
      </w:pPr>
      <w:r>
        <w:rPr>
          <w:rtl/>
        </w:rPr>
        <w:lastRenderedPageBreak/>
        <w:tab/>
      </w:r>
      <w:r w:rsidRPr="006724A5">
        <w:rPr>
          <w:rtl/>
        </w:rPr>
        <w:t>(ج)</w:t>
      </w:r>
      <w:r w:rsidRPr="006724A5">
        <w:rPr>
          <w:rtl/>
          <w:lang w:val="en-GB" w:bidi="ar-DZ"/>
        </w:rPr>
        <w:tab/>
      </w:r>
      <w:r w:rsidRPr="006724A5">
        <w:rPr>
          <w:rtl/>
        </w:rPr>
        <w:t>توغو</w:t>
      </w:r>
    </w:p>
    <w:p w14:paraId="6A176A3A" w14:textId="77777777" w:rsidR="006724A5" w:rsidRPr="006724A5" w:rsidRDefault="006724A5" w:rsidP="006724A5">
      <w:pPr>
        <w:pStyle w:val="SingleTxtGA"/>
        <w:rPr>
          <w:rtl/>
          <w:lang w:eastAsia="ar-SA"/>
        </w:rPr>
      </w:pPr>
      <w:r w:rsidRPr="004A571B">
        <w:rPr>
          <w:szCs w:val="20"/>
          <w:rtl/>
          <w:lang w:eastAsia="ar-SA"/>
        </w:rPr>
        <w:t>17</w:t>
      </w:r>
      <w:r w:rsidRPr="006724A5">
        <w:rPr>
          <w:rtl/>
          <w:lang w:eastAsia="ar-SA"/>
        </w:rPr>
        <w:t>-</w:t>
      </w:r>
      <w:r w:rsidRPr="006724A5">
        <w:rPr>
          <w:rtl/>
          <w:lang w:val="en-GB" w:eastAsia="ar-SA" w:bidi="ar-DZ"/>
        </w:rPr>
        <w:tab/>
      </w:r>
      <w:r w:rsidRPr="006724A5">
        <w:rPr>
          <w:rtl/>
          <w:lang w:eastAsia="ar-SA"/>
        </w:rPr>
        <w:t xml:space="preserve">فيما يتعلق بقضيتي أتسو </w:t>
      </w:r>
      <w:proofErr w:type="spellStart"/>
      <w:r w:rsidRPr="006724A5">
        <w:rPr>
          <w:rtl/>
          <w:lang w:eastAsia="ar-SA"/>
        </w:rPr>
        <w:t>أدزي</w:t>
      </w:r>
      <w:proofErr w:type="spellEnd"/>
      <w:r w:rsidRPr="006724A5">
        <w:rPr>
          <w:rtl/>
          <w:lang w:eastAsia="ar-SA"/>
        </w:rPr>
        <w:t xml:space="preserve"> وميسان كوكو </w:t>
      </w:r>
      <w:proofErr w:type="spellStart"/>
      <w:r w:rsidRPr="006724A5">
        <w:rPr>
          <w:rtl/>
          <w:lang w:eastAsia="ar-SA"/>
        </w:rPr>
        <w:t>أدزي</w:t>
      </w:r>
      <w:proofErr w:type="spellEnd"/>
      <w:r w:rsidRPr="006724A5">
        <w:rPr>
          <w:rtl/>
          <w:lang w:eastAsia="ar-SA"/>
        </w:rPr>
        <w:t xml:space="preserve"> (الإجراءان العاجلان رقم</w:t>
      </w:r>
      <w:r w:rsidR="00C73329">
        <w:rPr>
          <w:rFonts w:hint="cs"/>
          <w:rtl/>
          <w:lang w:eastAsia="ar-SA"/>
        </w:rPr>
        <w:t> </w:t>
      </w:r>
      <w:r w:rsidRPr="004A571B">
        <w:rPr>
          <w:szCs w:val="20"/>
          <w:rtl/>
          <w:lang w:eastAsia="ar-SA"/>
        </w:rPr>
        <w:t>543</w:t>
      </w:r>
      <w:r w:rsidRPr="006724A5">
        <w:rPr>
          <w:rtl/>
          <w:lang w:eastAsia="ar-SA"/>
        </w:rPr>
        <w:t>/</w:t>
      </w:r>
      <w:r w:rsidRPr="004A571B">
        <w:rPr>
          <w:szCs w:val="20"/>
          <w:rtl/>
          <w:lang w:eastAsia="ar-SA"/>
        </w:rPr>
        <w:t>2018</w:t>
      </w:r>
      <w:r w:rsidRPr="006724A5">
        <w:rPr>
          <w:rtl/>
          <w:lang w:eastAsia="ar-SA"/>
        </w:rPr>
        <w:t xml:space="preserve"> </w:t>
      </w:r>
      <w:proofErr w:type="spellStart"/>
      <w:r w:rsidRPr="006724A5">
        <w:rPr>
          <w:rtl/>
          <w:lang w:eastAsia="ar-SA"/>
        </w:rPr>
        <w:t>و</w:t>
      </w:r>
      <w:r w:rsidRPr="004A571B">
        <w:rPr>
          <w:szCs w:val="20"/>
          <w:rtl/>
          <w:lang w:eastAsia="ar-SA"/>
        </w:rPr>
        <w:t>544</w:t>
      </w:r>
      <w:proofErr w:type="spellEnd"/>
      <w:r w:rsidRPr="006724A5">
        <w:rPr>
          <w:rtl/>
          <w:lang w:eastAsia="ar-SA"/>
        </w:rPr>
        <w:t>/</w:t>
      </w:r>
      <w:r w:rsidRPr="004A571B">
        <w:rPr>
          <w:szCs w:val="20"/>
          <w:rtl/>
          <w:lang w:eastAsia="ar-SA"/>
        </w:rPr>
        <w:t>2018</w:t>
      </w:r>
      <w:r w:rsidRPr="006724A5">
        <w:rPr>
          <w:rtl/>
          <w:lang w:eastAsia="ar-SA"/>
        </w:rPr>
        <w:t xml:space="preserve">)، أفادت الدولة الطرف في ردها المؤرخ </w:t>
      </w:r>
      <w:r w:rsidRPr="004A571B">
        <w:rPr>
          <w:szCs w:val="20"/>
          <w:rtl/>
          <w:lang w:eastAsia="ar-SA"/>
        </w:rPr>
        <w:t>17</w:t>
      </w:r>
      <w:r w:rsidRPr="006724A5">
        <w:rPr>
          <w:rtl/>
          <w:lang w:eastAsia="ar-SA"/>
        </w:rPr>
        <w:t xml:space="preserve"> تموز/يوليه </w:t>
      </w:r>
      <w:r w:rsidRPr="004A571B">
        <w:rPr>
          <w:szCs w:val="20"/>
          <w:rtl/>
          <w:lang w:eastAsia="ar-SA"/>
        </w:rPr>
        <w:t>2019</w:t>
      </w:r>
      <w:r w:rsidRPr="006724A5">
        <w:rPr>
          <w:rtl/>
          <w:lang w:eastAsia="ar-SA"/>
        </w:rPr>
        <w:t xml:space="preserve"> بأن سلطاتها اكتشفت، بعد إجراء تحقيقات في حالتي الاختفاء المعنيتين، أن أتسو </w:t>
      </w:r>
      <w:proofErr w:type="spellStart"/>
      <w:r w:rsidRPr="006724A5">
        <w:rPr>
          <w:rtl/>
          <w:lang w:eastAsia="ar-SA"/>
        </w:rPr>
        <w:t>أدزي</w:t>
      </w:r>
      <w:proofErr w:type="spellEnd"/>
      <w:r w:rsidRPr="006724A5">
        <w:rPr>
          <w:rtl/>
          <w:lang w:eastAsia="ar-SA"/>
        </w:rPr>
        <w:t xml:space="preserve"> تُوفي في </w:t>
      </w:r>
      <w:r w:rsidRPr="004A571B">
        <w:rPr>
          <w:szCs w:val="20"/>
          <w:rtl/>
          <w:lang w:eastAsia="ar-SA"/>
        </w:rPr>
        <w:t>3</w:t>
      </w:r>
      <w:r w:rsidRPr="006724A5">
        <w:rPr>
          <w:rtl/>
          <w:lang w:eastAsia="ar-SA"/>
        </w:rPr>
        <w:t xml:space="preserve"> كانون الثاني/يناير </w:t>
      </w:r>
      <w:r w:rsidRPr="004A571B">
        <w:rPr>
          <w:szCs w:val="20"/>
          <w:rtl/>
          <w:lang w:eastAsia="ar-SA"/>
        </w:rPr>
        <w:t>2014</w:t>
      </w:r>
      <w:r w:rsidRPr="006724A5">
        <w:rPr>
          <w:rtl/>
          <w:lang w:eastAsia="ar-SA"/>
        </w:rPr>
        <w:t xml:space="preserve"> من جراء مشاكل صحية. وأفادت أيضاً بأن هذا الأمر أكده عدة أشخاص، منهم أحد أعمام أتسو </w:t>
      </w:r>
      <w:proofErr w:type="spellStart"/>
      <w:r w:rsidRPr="006724A5">
        <w:rPr>
          <w:rtl/>
          <w:lang w:eastAsia="ar-SA"/>
        </w:rPr>
        <w:t>أدزي</w:t>
      </w:r>
      <w:proofErr w:type="spellEnd"/>
      <w:r w:rsidRPr="006724A5">
        <w:rPr>
          <w:rtl/>
          <w:lang w:eastAsia="ar-SA"/>
        </w:rPr>
        <w:t xml:space="preserve">، الذي رتب الجنازة، ورئيس منطقة غابي. وفيما يتعلق بميسان كوكو </w:t>
      </w:r>
      <w:proofErr w:type="spellStart"/>
      <w:r w:rsidRPr="006724A5">
        <w:rPr>
          <w:rtl/>
          <w:lang w:eastAsia="ar-SA"/>
        </w:rPr>
        <w:t>أدزي</w:t>
      </w:r>
      <w:proofErr w:type="spellEnd"/>
      <w:r w:rsidRPr="006724A5">
        <w:rPr>
          <w:rtl/>
          <w:lang w:eastAsia="ar-SA"/>
        </w:rPr>
        <w:t xml:space="preserve">، تدعي سلطات توغو أنها عثرت عليه في </w:t>
      </w:r>
      <w:r w:rsidRPr="004A571B">
        <w:rPr>
          <w:szCs w:val="20"/>
          <w:rtl/>
          <w:lang w:eastAsia="ar-SA"/>
        </w:rPr>
        <w:t>29</w:t>
      </w:r>
      <w:r w:rsidRPr="006724A5">
        <w:rPr>
          <w:rtl/>
          <w:lang w:eastAsia="ar-SA"/>
        </w:rPr>
        <w:t xml:space="preserve"> حزيران/</w:t>
      </w:r>
      <w:proofErr w:type="gramStart"/>
      <w:r w:rsidRPr="006724A5">
        <w:rPr>
          <w:rtl/>
          <w:lang w:eastAsia="ar-SA"/>
        </w:rPr>
        <w:t>يونيه</w:t>
      </w:r>
      <w:proofErr w:type="gramEnd"/>
      <w:r w:rsidRPr="006724A5">
        <w:rPr>
          <w:rtl/>
          <w:lang w:eastAsia="ar-SA"/>
        </w:rPr>
        <w:t xml:space="preserve"> </w:t>
      </w:r>
      <w:r w:rsidRPr="004A571B">
        <w:rPr>
          <w:szCs w:val="20"/>
          <w:rtl/>
          <w:lang w:eastAsia="ar-SA"/>
        </w:rPr>
        <w:t>2019</w:t>
      </w:r>
      <w:r w:rsidRPr="006724A5">
        <w:rPr>
          <w:rtl/>
          <w:lang w:eastAsia="ar-SA"/>
        </w:rPr>
        <w:t xml:space="preserve"> في لومي، حيث يعيش. وتفيد السلطات بأنه</w:t>
      </w:r>
      <w:r w:rsidR="006D1F9C">
        <w:rPr>
          <w:rtl/>
          <w:lang w:eastAsia="ar-SA"/>
        </w:rPr>
        <w:t xml:space="preserve"> </w:t>
      </w:r>
      <w:r w:rsidRPr="006724A5">
        <w:rPr>
          <w:rtl/>
          <w:lang w:eastAsia="ar-SA"/>
        </w:rPr>
        <w:t>على اتصال بأسرته في غابي. وأجرت السلطات تحقيقاً في القضية وخلصت إلى أن شخصين لفقا القصة المذكورة. وأُبلغت ملاحظات الدولة الطرف إلى مقدّمي طلبات الإجراءات العاجلة للتعليق عليها. وستتخذ اللجنة قرارا</w:t>
      </w:r>
      <w:r w:rsidR="00362886">
        <w:rPr>
          <w:rFonts w:hint="cs"/>
          <w:rtl/>
          <w:lang w:eastAsia="ar-SA"/>
        </w:rPr>
        <w:t>ً</w:t>
      </w:r>
      <w:r w:rsidRPr="006724A5">
        <w:rPr>
          <w:rtl/>
          <w:lang w:eastAsia="ar-SA"/>
        </w:rPr>
        <w:t xml:space="preserve"> بشأن هذا الإجراء العاجل في ضوء الرد المقدم.</w:t>
      </w:r>
    </w:p>
    <w:p w14:paraId="1F53148E" w14:textId="77777777" w:rsidR="006724A5" w:rsidRPr="006724A5" w:rsidRDefault="006724A5" w:rsidP="00EB5418">
      <w:pPr>
        <w:pStyle w:val="H23GA"/>
        <w:keepNext/>
        <w:keepLines/>
        <w:spacing w:before="240"/>
        <w:rPr>
          <w:rtl/>
        </w:rPr>
      </w:pPr>
      <w:r>
        <w:rPr>
          <w:rtl/>
        </w:rPr>
        <w:tab/>
      </w:r>
      <w:r w:rsidRPr="006724A5">
        <w:rPr>
          <w:rtl/>
        </w:rPr>
        <w:t>(د)</w:t>
      </w:r>
      <w:r w:rsidRPr="006724A5">
        <w:rPr>
          <w:rtl/>
          <w:lang w:val="en-GB" w:bidi="ar-DZ"/>
        </w:rPr>
        <w:tab/>
      </w:r>
      <w:r w:rsidRPr="006724A5">
        <w:rPr>
          <w:rtl/>
        </w:rPr>
        <w:t>تونس</w:t>
      </w:r>
    </w:p>
    <w:p w14:paraId="51484B20" w14:textId="77777777" w:rsidR="006724A5" w:rsidRPr="006724A5" w:rsidRDefault="006724A5" w:rsidP="006724A5">
      <w:pPr>
        <w:pStyle w:val="SingleTxtGA"/>
        <w:rPr>
          <w:rtl/>
          <w:lang w:eastAsia="ar-SA"/>
        </w:rPr>
      </w:pPr>
      <w:r w:rsidRPr="004A571B">
        <w:rPr>
          <w:szCs w:val="20"/>
          <w:rtl/>
          <w:lang w:eastAsia="ar-SA"/>
        </w:rPr>
        <w:t>18</w:t>
      </w:r>
      <w:r w:rsidRPr="006724A5">
        <w:rPr>
          <w:rtl/>
          <w:lang w:eastAsia="ar-SA"/>
        </w:rPr>
        <w:t>-</w:t>
      </w:r>
      <w:r w:rsidRPr="006724A5">
        <w:rPr>
          <w:lang w:val="en-GB" w:eastAsia="ar-SA"/>
        </w:rPr>
        <w:tab/>
      </w:r>
      <w:r w:rsidRPr="006724A5">
        <w:rPr>
          <w:rtl/>
          <w:lang w:eastAsia="ar-SA"/>
        </w:rPr>
        <w:t>في الفترة المشمولة بالتقرير، سُجلت قضية محمد قفاصة</w:t>
      </w:r>
      <w:r w:rsidRPr="006724A5">
        <w:rPr>
          <w:rtl/>
          <w:lang w:val="en-GB" w:eastAsia="ar-SA" w:bidi="ar-DZ"/>
        </w:rPr>
        <w:t xml:space="preserve"> </w:t>
      </w:r>
      <w:r w:rsidRPr="006724A5">
        <w:rPr>
          <w:rtl/>
          <w:lang w:eastAsia="ar-SA"/>
        </w:rPr>
        <w:t>(الإجراء العاجل رقم</w:t>
      </w:r>
      <w:r w:rsidR="00C73329">
        <w:rPr>
          <w:rFonts w:hint="cs"/>
          <w:rtl/>
          <w:lang w:eastAsia="ar-SA"/>
        </w:rPr>
        <w:t> </w:t>
      </w:r>
      <w:r w:rsidRPr="004A571B">
        <w:rPr>
          <w:szCs w:val="20"/>
          <w:rtl/>
          <w:lang w:eastAsia="ar-SA"/>
        </w:rPr>
        <w:t>768</w:t>
      </w:r>
      <w:r w:rsidRPr="006724A5">
        <w:rPr>
          <w:rtl/>
          <w:lang w:eastAsia="ar-SA"/>
        </w:rPr>
        <w:t>/</w:t>
      </w:r>
      <w:r w:rsidRPr="004A571B">
        <w:rPr>
          <w:szCs w:val="20"/>
          <w:rtl/>
          <w:lang w:eastAsia="ar-SA"/>
        </w:rPr>
        <w:t>2019</w:t>
      </w:r>
      <w:r w:rsidRPr="006724A5">
        <w:rPr>
          <w:rtl/>
          <w:lang w:eastAsia="ar-SA"/>
        </w:rPr>
        <w:t xml:space="preserve">)، وهو مواطن جزائري اختفى في المياه الإقليمية التونسية ليلة </w:t>
      </w:r>
      <w:r w:rsidRPr="004A571B">
        <w:rPr>
          <w:szCs w:val="20"/>
          <w:rtl/>
          <w:lang w:eastAsia="ar-SA"/>
        </w:rPr>
        <w:t>2</w:t>
      </w:r>
      <w:r w:rsidRPr="006724A5">
        <w:rPr>
          <w:rtl/>
          <w:lang w:eastAsia="ar-SA"/>
        </w:rPr>
        <w:t xml:space="preserve"> تشرين الأول/</w:t>
      </w:r>
      <w:r w:rsidR="00C73329">
        <w:rPr>
          <w:rFonts w:hint="cs"/>
          <w:rtl/>
          <w:lang w:eastAsia="ar-SA"/>
        </w:rPr>
        <w:t xml:space="preserve"> </w:t>
      </w:r>
      <w:r w:rsidRPr="006724A5">
        <w:rPr>
          <w:rtl/>
          <w:lang w:eastAsia="ar-SA"/>
        </w:rPr>
        <w:t xml:space="preserve">أكتوبر </w:t>
      </w:r>
      <w:r w:rsidRPr="004A571B">
        <w:rPr>
          <w:szCs w:val="20"/>
          <w:rtl/>
          <w:lang w:eastAsia="ar-SA"/>
        </w:rPr>
        <w:t>2016</w:t>
      </w:r>
      <w:r w:rsidRPr="006724A5">
        <w:rPr>
          <w:rtl/>
          <w:lang w:eastAsia="ar-SA"/>
        </w:rPr>
        <w:t xml:space="preserve"> إذ كان مسافراً بصورة غير شرعية من الجزائر إلى جزيرة سردينيا الإيطالية واعترضه حرس السواحل التونسية. وتفيد المعلومات المقدمة إلى اللجنة بأن السيد قفاصة قد يكون محتجزاً بصورة غير قانونية في تونس بتهم ذات صلة بالإرهاب. وطلبت اللجنة إلى الدولة الطرف أن تتخذ فورا</w:t>
      </w:r>
      <w:r w:rsidR="00362886">
        <w:rPr>
          <w:rFonts w:hint="cs"/>
          <w:rtl/>
          <w:lang w:eastAsia="ar-SA"/>
        </w:rPr>
        <w:t>ً</w:t>
      </w:r>
      <w:r w:rsidRPr="006724A5">
        <w:rPr>
          <w:rtl/>
          <w:lang w:eastAsia="ar-SA"/>
        </w:rPr>
        <w:t xml:space="preserve"> جميع التدابير اللازمة للبحث عن السيد قفاصة وتحديد مكانه وحمايته. ولم ترد الدولة الطرف حتى تاريخ هذا التقرير على المذكرة الشفوية الموجهة إليها. ووُجهت رسالة تذكير.</w:t>
      </w:r>
    </w:p>
    <w:p w14:paraId="5D76E5A9" w14:textId="77777777" w:rsidR="006724A5" w:rsidRPr="006724A5" w:rsidRDefault="006724A5" w:rsidP="00EB5418">
      <w:pPr>
        <w:pStyle w:val="H23GA"/>
        <w:keepNext/>
        <w:keepLines/>
        <w:spacing w:before="240"/>
        <w:rPr>
          <w:rtl/>
        </w:rPr>
      </w:pPr>
      <w:r>
        <w:rPr>
          <w:rtl/>
        </w:rPr>
        <w:tab/>
      </w:r>
      <w:r w:rsidRPr="004A571B">
        <w:rPr>
          <w:szCs w:val="20"/>
          <w:rtl/>
        </w:rPr>
        <w:t>3</w:t>
      </w:r>
      <w:r w:rsidRPr="006724A5">
        <w:rPr>
          <w:rtl/>
        </w:rPr>
        <w:t>-</w:t>
      </w:r>
      <w:r w:rsidRPr="006724A5">
        <w:rPr>
          <w:rtl/>
          <w:lang w:val="en-GB" w:bidi="ar-DZ"/>
        </w:rPr>
        <w:tab/>
      </w:r>
      <w:r w:rsidRPr="006724A5">
        <w:rPr>
          <w:rtl/>
        </w:rPr>
        <w:t>المستجدات</w:t>
      </w:r>
    </w:p>
    <w:p w14:paraId="355578D6" w14:textId="77777777" w:rsidR="006724A5" w:rsidRPr="006724A5" w:rsidRDefault="006724A5" w:rsidP="006724A5">
      <w:pPr>
        <w:pStyle w:val="SingleTxtGA"/>
        <w:rPr>
          <w:rtl/>
          <w:lang w:eastAsia="ar-SA"/>
        </w:rPr>
      </w:pPr>
      <w:r w:rsidRPr="004A571B">
        <w:rPr>
          <w:szCs w:val="20"/>
          <w:rtl/>
          <w:lang w:eastAsia="ar-SA"/>
        </w:rPr>
        <w:t>19</w:t>
      </w:r>
      <w:r w:rsidRPr="006724A5">
        <w:rPr>
          <w:rtl/>
          <w:lang w:eastAsia="ar-SA"/>
        </w:rPr>
        <w:t>-</w:t>
      </w:r>
      <w:r w:rsidRPr="006724A5">
        <w:rPr>
          <w:rtl/>
          <w:lang w:val="en-GB" w:eastAsia="ar-SA" w:bidi="ar-DZ"/>
        </w:rPr>
        <w:tab/>
      </w:r>
      <w:r w:rsidRPr="006724A5">
        <w:rPr>
          <w:rtl/>
          <w:lang w:eastAsia="ar-SA"/>
        </w:rPr>
        <w:t xml:space="preserve">عقب اعتماد ونشر المبادئ التوجيهية للبحث عن الأشخاص المختفين </w:t>
      </w:r>
      <w:r w:rsidRPr="006724A5">
        <w:rPr>
          <w:rtl/>
          <w:lang w:val="en-GB" w:eastAsia="ar-SA" w:bidi="ar-DZ"/>
        </w:rPr>
        <w:t>(</w:t>
      </w:r>
      <w:r w:rsidRPr="006724A5">
        <w:rPr>
          <w:lang w:val="en-GB" w:eastAsia="ar-SA" w:bidi="ar-DZ"/>
        </w:rPr>
        <w:t>CED/C/</w:t>
      </w:r>
      <w:r w:rsidRPr="004A571B">
        <w:rPr>
          <w:szCs w:val="20"/>
          <w:lang w:val="en-GB" w:eastAsia="ar-SA" w:bidi="ar-DZ"/>
        </w:rPr>
        <w:t>7</w:t>
      </w:r>
      <w:r w:rsidRPr="006724A5">
        <w:rPr>
          <w:rtl/>
          <w:lang w:val="en-GB" w:eastAsia="ar-SA" w:bidi="ar-DZ"/>
        </w:rPr>
        <w:t>)</w:t>
      </w:r>
      <w:r w:rsidRPr="006724A5">
        <w:rPr>
          <w:rtl/>
          <w:lang w:eastAsia="ar-SA"/>
        </w:rPr>
        <w:t xml:space="preserve">، في آب/أغسطس </w:t>
      </w:r>
      <w:r w:rsidRPr="004A571B">
        <w:rPr>
          <w:szCs w:val="20"/>
          <w:rtl/>
          <w:lang w:eastAsia="ar-SA"/>
        </w:rPr>
        <w:t>2019</w:t>
      </w:r>
      <w:r w:rsidRPr="006724A5">
        <w:rPr>
          <w:rtl/>
          <w:lang w:eastAsia="ar-SA"/>
        </w:rPr>
        <w:t xml:space="preserve">، أدرجت اللجنة إشارات محددة إلى هذه المبادئ في مذكرات المتابعة التي تصدرها، لجعل مضمون توصياتها المقدمة إلى الدول الأطراف أكثر دقة. وأرفقت اللجنة أيضاً المبادئ التوجيهية بمذكرات المتابعة، عند الاقتضاء. </w:t>
      </w:r>
    </w:p>
    <w:p w14:paraId="2B09678F" w14:textId="77777777" w:rsidR="006724A5" w:rsidRPr="006724A5" w:rsidRDefault="006724A5" w:rsidP="006724A5">
      <w:pPr>
        <w:pStyle w:val="H1GA"/>
        <w:rPr>
          <w:rtl/>
          <w:lang w:eastAsia="ar-SA" w:bidi="ar-DZ"/>
        </w:rPr>
      </w:pPr>
      <w:r>
        <w:rPr>
          <w:rtl/>
          <w:lang w:eastAsia="ar-SA"/>
        </w:rPr>
        <w:tab/>
      </w:r>
      <w:r w:rsidRPr="006724A5">
        <w:rPr>
          <w:rtl/>
          <w:lang w:eastAsia="ar-SA"/>
        </w:rPr>
        <w:t>دال-</w:t>
      </w:r>
      <w:r w:rsidRPr="006724A5">
        <w:rPr>
          <w:rtl/>
          <w:lang w:val="en-GB" w:eastAsia="ar-SA" w:bidi="ar-DZ"/>
        </w:rPr>
        <w:tab/>
      </w:r>
      <w:r w:rsidRPr="006724A5">
        <w:rPr>
          <w:rtl/>
          <w:lang w:eastAsia="ar-SA"/>
        </w:rPr>
        <w:t>طلبات الإجراءات العاجلة التي أُوقف النظر فيها أو أُغلقت أو لا تزال مفتوحة لحماية الأشخاص المستفيدين من تدابير مؤقتة</w:t>
      </w:r>
    </w:p>
    <w:p w14:paraId="22D6AD2C" w14:textId="77777777" w:rsidR="006724A5" w:rsidRPr="006724A5" w:rsidRDefault="006724A5" w:rsidP="006724A5">
      <w:pPr>
        <w:pStyle w:val="SingleTxtGA"/>
        <w:rPr>
          <w:rtl/>
          <w:lang w:eastAsia="ar-SA"/>
        </w:rPr>
      </w:pPr>
      <w:r w:rsidRPr="004A571B">
        <w:rPr>
          <w:szCs w:val="20"/>
          <w:rtl/>
          <w:lang w:eastAsia="ar-SA"/>
        </w:rPr>
        <w:t>20</w:t>
      </w:r>
      <w:r w:rsidRPr="006724A5">
        <w:rPr>
          <w:rtl/>
          <w:lang w:eastAsia="ar-SA"/>
        </w:rPr>
        <w:t>-</w:t>
      </w:r>
      <w:r w:rsidRPr="006724A5">
        <w:rPr>
          <w:rtl/>
          <w:lang w:val="en-GB" w:eastAsia="ar-SA" w:bidi="ar-DZ"/>
        </w:rPr>
        <w:tab/>
      </w:r>
      <w:r w:rsidRPr="006724A5">
        <w:rPr>
          <w:rtl/>
          <w:lang w:eastAsia="ar-SA"/>
        </w:rPr>
        <w:t>وفقاً للمعايير التي اعتمدتها اللجنة في الجلسة العامة في دورتها الثامنة:</w:t>
      </w:r>
    </w:p>
    <w:p w14:paraId="20BE2AC2" w14:textId="77777777" w:rsidR="006724A5" w:rsidRPr="006724A5" w:rsidRDefault="006724A5" w:rsidP="006724A5">
      <w:pPr>
        <w:pStyle w:val="SingleTxtGA"/>
        <w:rPr>
          <w:rtl/>
          <w:lang w:eastAsia="ar-SA"/>
        </w:rPr>
      </w:pPr>
      <w:r w:rsidRPr="006724A5">
        <w:rPr>
          <w:rtl/>
          <w:lang w:val="en-GB" w:eastAsia="ar-SA" w:bidi="ar-DZ"/>
        </w:rPr>
        <w:tab/>
      </w:r>
      <w:r w:rsidRPr="006724A5">
        <w:rPr>
          <w:rtl/>
          <w:lang w:eastAsia="ar-SA"/>
        </w:rPr>
        <w:t>(أ)</w:t>
      </w:r>
      <w:r w:rsidRPr="006724A5">
        <w:rPr>
          <w:rtl/>
          <w:lang w:val="en-GB" w:eastAsia="ar-SA" w:bidi="ar-DZ"/>
        </w:rPr>
        <w:tab/>
      </w:r>
      <w:r w:rsidRPr="006724A5">
        <w:rPr>
          <w:rtl/>
          <w:lang w:eastAsia="ar-SA"/>
        </w:rPr>
        <w:t>يُوقَف الإجراء العاجل عندما يُحدَّد مكان الشخص المختفي ولكنه لا يزال محتجزاً. والسبب في ذلك هو أن الشخص المعني يكون عرضة بصفة خاصة لخطر الوقوع ضحية لاختفاء قسري جديد ولأن يوضع خارج نطاق حماية القانون؛</w:t>
      </w:r>
    </w:p>
    <w:p w14:paraId="3A7B09AD" w14:textId="77777777" w:rsidR="006724A5" w:rsidRPr="006724A5" w:rsidRDefault="006724A5" w:rsidP="006724A5">
      <w:pPr>
        <w:pStyle w:val="SingleTxtGA"/>
        <w:rPr>
          <w:rtl/>
          <w:lang w:eastAsia="ar-SA"/>
        </w:rPr>
      </w:pPr>
      <w:r w:rsidRPr="006724A5">
        <w:rPr>
          <w:rtl/>
          <w:lang w:val="en-GB" w:eastAsia="ar-SA" w:bidi="ar-DZ"/>
        </w:rPr>
        <w:tab/>
      </w:r>
      <w:r w:rsidRPr="006724A5">
        <w:rPr>
          <w:rtl/>
          <w:lang w:eastAsia="ar-SA"/>
        </w:rPr>
        <w:t>(ب)</w:t>
      </w:r>
      <w:r w:rsidRPr="006724A5">
        <w:rPr>
          <w:rtl/>
          <w:lang w:val="en-GB" w:eastAsia="ar-SA" w:bidi="ar-DZ"/>
        </w:rPr>
        <w:tab/>
      </w:r>
      <w:r w:rsidRPr="006724A5">
        <w:rPr>
          <w:rtl/>
          <w:lang w:eastAsia="ar-SA"/>
        </w:rPr>
        <w:t>يُغلَق الإجراء العاجل متى عُثر على الشخص المختفي حراً طليقاً، أو عُرف مكانه وأُفرج عنه، أو عُثر عليه ميتاً، شريطة ألا يعترض أفراد أسرته و/أو مقدمو الطلب على هذه الوقائع؛</w:t>
      </w:r>
    </w:p>
    <w:p w14:paraId="1D2F0A57" w14:textId="77777777" w:rsidR="006724A5" w:rsidRPr="006724A5" w:rsidRDefault="006724A5" w:rsidP="006724A5">
      <w:pPr>
        <w:pStyle w:val="SingleTxtGA"/>
        <w:rPr>
          <w:rtl/>
          <w:lang w:eastAsia="ar-SA"/>
        </w:rPr>
      </w:pPr>
      <w:r w:rsidRPr="006724A5">
        <w:rPr>
          <w:rtl/>
          <w:lang w:val="en-GB" w:eastAsia="ar-SA" w:bidi="ar-DZ"/>
        </w:rPr>
        <w:tab/>
      </w:r>
      <w:r w:rsidRPr="006724A5">
        <w:rPr>
          <w:rtl/>
          <w:lang w:eastAsia="ar-SA"/>
        </w:rPr>
        <w:t>(ج)</w:t>
      </w:r>
      <w:r w:rsidRPr="006724A5">
        <w:rPr>
          <w:rtl/>
          <w:lang w:val="en-GB" w:eastAsia="ar-SA" w:bidi="ar-DZ"/>
        </w:rPr>
        <w:tab/>
      </w:r>
      <w:r w:rsidRPr="006724A5">
        <w:rPr>
          <w:rtl/>
          <w:lang w:eastAsia="ar-SA"/>
        </w:rPr>
        <w:t>يظل الإجراء العاجل مفتوحاً عندما يكون مكان وجود الشخص المختفي قد حُدد ولكن لا يزال الأشخاص الذين مُنحوا تدابير مؤقتة في سياق الإجراء العاجل يتعرَّضون للتهديد. وفي هذه الحالات، يقتصر تدخل اللجنة على متابعة التدابير المؤقتة.</w:t>
      </w:r>
    </w:p>
    <w:p w14:paraId="30AC72F0" w14:textId="77777777" w:rsidR="006724A5" w:rsidRPr="006724A5" w:rsidRDefault="006724A5" w:rsidP="006724A5">
      <w:pPr>
        <w:pStyle w:val="SingleTxtGA"/>
        <w:rPr>
          <w:rtl/>
          <w:lang w:eastAsia="ar-SA"/>
        </w:rPr>
      </w:pPr>
      <w:r w:rsidRPr="004A571B">
        <w:rPr>
          <w:szCs w:val="20"/>
          <w:rtl/>
          <w:lang w:eastAsia="ar-SA"/>
        </w:rPr>
        <w:lastRenderedPageBreak/>
        <w:t>21</w:t>
      </w:r>
      <w:r w:rsidRPr="006724A5">
        <w:rPr>
          <w:rtl/>
          <w:lang w:eastAsia="ar-SA"/>
        </w:rPr>
        <w:t>-</w:t>
      </w:r>
      <w:r w:rsidRPr="006724A5">
        <w:rPr>
          <w:rtl/>
          <w:lang w:val="en-GB" w:eastAsia="ar-SA" w:bidi="ar-DZ"/>
        </w:rPr>
        <w:tab/>
      </w:r>
      <w:r w:rsidRPr="006724A5">
        <w:rPr>
          <w:rtl/>
          <w:lang w:eastAsia="ar-SA"/>
        </w:rPr>
        <w:t xml:space="preserve">وفي تاريخ كتابة هذا التقرير، كانت اللجنة قد أغلقت ما مجموعه </w:t>
      </w:r>
      <w:r w:rsidRPr="004A571B">
        <w:rPr>
          <w:szCs w:val="20"/>
          <w:rtl/>
          <w:lang w:eastAsia="ar-SA"/>
        </w:rPr>
        <w:t>52</w:t>
      </w:r>
      <w:r w:rsidRPr="006724A5">
        <w:rPr>
          <w:rtl/>
          <w:lang w:eastAsia="ar-SA"/>
        </w:rPr>
        <w:t xml:space="preserve"> حالة من حالات </w:t>
      </w:r>
      <w:r w:rsidR="00BA7FE3">
        <w:rPr>
          <w:rFonts w:hint="cs"/>
          <w:rtl/>
          <w:lang w:eastAsia="ar-SA"/>
        </w:rPr>
        <w:t xml:space="preserve">الإجراءات </w:t>
      </w:r>
      <w:r w:rsidRPr="006724A5">
        <w:rPr>
          <w:rtl/>
          <w:lang w:eastAsia="ar-SA"/>
        </w:rPr>
        <w:t xml:space="preserve">العاجلة: ففي </w:t>
      </w:r>
      <w:r w:rsidRPr="004A571B">
        <w:rPr>
          <w:szCs w:val="20"/>
          <w:rtl/>
          <w:lang w:eastAsia="ar-SA"/>
        </w:rPr>
        <w:t>29</w:t>
      </w:r>
      <w:r w:rsidRPr="006724A5">
        <w:rPr>
          <w:rtl/>
          <w:lang w:eastAsia="ar-SA"/>
        </w:rPr>
        <w:t xml:space="preserve"> حالة منها، عُثر على </w:t>
      </w:r>
      <w:r w:rsidR="00BA7FE3">
        <w:rPr>
          <w:rFonts w:hint="cs"/>
          <w:rtl/>
          <w:lang w:eastAsia="ar-SA"/>
        </w:rPr>
        <w:t xml:space="preserve">الأشخاص </w:t>
      </w:r>
      <w:r w:rsidRPr="006724A5">
        <w:rPr>
          <w:rtl/>
          <w:lang w:eastAsia="ar-SA"/>
        </w:rPr>
        <w:t xml:space="preserve">المختفين أحياء وأُطلق سراحهم، وفي </w:t>
      </w:r>
      <w:r w:rsidRPr="004A571B">
        <w:rPr>
          <w:szCs w:val="20"/>
          <w:rtl/>
          <w:lang w:eastAsia="ar-SA"/>
        </w:rPr>
        <w:t>23</w:t>
      </w:r>
      <w:r w:rsidRPr="006724A5">
        <w:rPr>
          <w:rtl/>
          <w:lang w:eastAsia="ar-SA"/>
        </w:rPr>
        <w:t xml:space="preserve"> حالة أخرى عُثر على </w:t>
      </w:r>
      <w:r w:rsidR="00BA7FE3">
        <w:rPr>
          <w:rFonts w:hint="cs"/>
          <w:rtl/>
          <w:lang w:eastAsia="ar-SA"/>
        </w:rPr>
        <w:t xml:space="preserve">الأشخاص </w:t>
      </w:r>
      <w:r w:rsidRPr="006724A5">
        <w:rPr>
          <w:rtl/>
          <w:lang w:eastAsia="ar-SA"/>
        </w:rPr>
        <w:t>المختفين أمواتاً.</w:t>
      </w:r>
    </w:p>
    <w:p w14:paraId="62C23807" w14:textId="77777777" w:rsidR="006724A5" w:rsidRPr="006724A5" w:rsidRDefault="006724A5" w:rsidP="006724A5">
      <w:pPr>
        <w:pStyle w:val="SingleTxtGA"/>
        <w:rPr>
          <w:rtl/>
          <w:lang w:eastAsia="ar-SA"/>
        </w:rPr>
      </w:pPr>
      <w:r w:rsidRPr="004A571B">
        <w:rPr>
          <w:szCs w:val="20"/>
          <w:rtl/>
          <w:lang w:eastAsia="ar-SA"/>
        </w:rPr>
        <w:t>22</w:t>
      </w:r>
      <w:r w:rsidRPr="006724A5">
        <w:rPr>
          <w:rtl/>
          <w:lang w:eastAsia="ar-SA"/>
        </w:rPr>
        <w:t>-</w:t>
      </w:r>
      <w:r w:rsidRPr="006724A5">
        <w:rPr>
          <w:rtl/>
          <w:lang w:val="en-GB" w:eastAsia="ar-SA" w:bidi="ar-DZ"/>
        </w:rPr>
        <w:tab/>
      </w:r>
      <w:r w:rsidRPr="006724A5">
        <w:rPr>
          <w:rtl/>
          <w:lang w:eastAsia="ar-SA"/>
        </w:rPr>
        <w:t xml:space="preserve">وبالإضافة إلى ذلك، أوقفت اللجنة النظر في </w:t>
      </w:r>
      <w:r w:rsidRPr="004A571B">
        <w:rPr>
          <w:szCs w:val="20"/>
          <w:rtl/>
          <w:lang w:eastAsia="ar-SA"/>
        </w:rPr>
        <w:t>13</w:t>
      </w:r>
      <w:r w:rsidRPr="006724A5">
        <w:rPr>
          <w:rtl/>
          <w:lang w:eastAsia="ar-SA"/>
        </w:rPr>
        <w:t xml:space="preserve"> حالة من حالات الإجراءات العاجلة لأن الأشخاص المختفين عُثر عليهم ولكنهم كانوا لا يزالون محتجزين.</w:t>
      </w:r>
    </w:p>
    <w:p w14:paraId="4FEC5263" w14:textId="77777777" w:rsidR="006724A5" w:rsidRPr="00DA2806" w:rsidRDefault="006724A5" w:rsidP="006724A5">
      <w:pPr>
        <w:pStyle w:val="SingleTxtGA"/>
        <w:rPr>
          <w:spacing w:val="-4"/>
          <w:rtl/>
          <w:lang w:eastAsia="ar-SA"/>
        </w:rPr>
      </w:pPr>
      <w:r w:rsidRPr="00DA2806">
        <w:rPr>
          <w:spacing w:val="-4"/>
          <w:szCs w:val="20"/>
          <w:rtl/>
          <w:lang w:eastAsia="ar-SA"/>
        </w:rPr>
        <w:t>23</w:t>
      </w:r>
      <w:r w:rsidRPr="00DA2806">
        <w:rPr>
          <w:spacing w:val="-4"/>
          <w:rtl/>
          <w:lang w:eastAsia="ar-SA"/>
        </w:rPr>
        <w:t>-</w:t>
      </w:r>
      <w:r w:rsidRPr="00DA2806">
        <w:rPr>
          <w:spacing w:val="-4"/>
          <w:rtl/>
          <w:lang w:val="en-GB" w:eastAsia="ar-SA" w:bidi="ar-DZ"/>
        </w:rPr>
        <w:tab/>
      </w:r>
      <w:r w:rsidRPr="00DA2806">
        <w:rPr>
          <w:spacing w:val="-4"/>
          <w:rtl/>
          <w:lang w:eastAsia="ar-SA"/>
        </w:rPr>
        <w:t xml:space="preserve">وفي حالتين من حالات الإجراءات العاجلة، عُثر على الأشخاص المختفين أمواتاً، ولكن الإجراء العاجل يظل مفتوحاً لأن الأشخاص الذين اتُخذت لصالحهم تدابير مؤقتة </w:t>
      </w:r>
      <w:r w:rsidR="00362886" w:rsidRPr="00DA2806">
        <w:rPr>
          <w:spacing w:val="-4"/>
          <w:rtl/>
          <w:lang w:eastAsia="ar-SA"/>
        </w:rPr>
        <w:t>لا</w:t>
      </w:r>
      <w:r w:rsidR="00362886" w:rsidRPr="00DA2806">
        <w:rPr>
          <w:rFonts w:hint="cs"/>
          <w:spacing w:val="-4"/>
          <w:rtl/>
          <w:lang w:eastAsia="ar-SA"/>
        </w:rPr>
        <w:t> </w:t>
      </w:r>
      <w:r w:rsidRPr="00DA2806">
        <w:rPr>
          <w:spacing w:val="-4"/>
          <w:rtl/>
          <w:lang w:eastAsia="ar-SA"/>
        </w:rPr>
        <w:t>يزالون يتعرضون لتهديدات.</w:t>
      </w:r>
    </w:p>
    <w:p w14:paraId="382184BF" w14:textId="77777777" w:rsidR="006724A5" w:rsidRPr="005A54C5" w:rsidRDefault="006724A5" w:rsidP="006724A5">
      <w:pPr>
        <w:pStyle w:val="SingleTxtGA"/>
        <w:rPr>
          <w:spacing w:val="-2"/>
          <w:rtl/>
          <w:lang w:eastAsia="ar-SA"/>
        </w:rPr>
      </w:pPr>
      <w:r w:rsidRPr="005A54C5">
        <w:rPr>
          <w:spacing w:val="-2"/>
          <w:szCs w:val="20"/>
          <w:rtl/>
          <w:lang w:eastAsia="ar-SA"/>
        </w:rPr>
        <w:t>24</w:t>
      </w:r>
      <w:r w:rsidRPr="005A54C5">
        <w:rPr>
          <w:spacing w:val="-2"/>
          <w:rtl/>
          <w:lang w:eastAsia="ar-SA"/>
        </w:rPr>
        <w:t>-</w:t>
      </w:r>
      <w:r w:rsidRPr="005A54C5">
        <w:rPr>
          <w:spacing w:val="-2"/>
          <w:rtl/>
          <w:lang w:val="en-GB" w:eastAsia="ar-SA" w:bidi="ar-DZ"/>
        </w:rPr>
        <w:tab/>
      </w:r>
      <w:r w:rsidRPr="005A54C5">
        <w:rPr>
          <w:spacing w:val="-2"/>
          <w:rtl/>
          <w:lang w:eastAsia="ar-SA"/>
        </w:rPr>
        <w:t>وفي واحدة من حالات الإجراءات العاجلة، أفادت مقدمة الطلب بأن بعض رفات زوجها عُثر عليها. وأكدت مع ذلك عدم رضاها، لأن السلطات لم تر أن من الضروري مواصلة البحث عن باقي الرفات، في حين أنها أصرت على أن تواصل السلطات البحث. وتُذكَّر الدولة الطرف بأنه عندما لا يُعثر إلا على جزء من رفات الشخص المختفي وتُحدد هويته، ينبغي لأي قرار بمواصلة البحث من أجل العثور على رفاته المفقودة وتحديد هويته أن يأخذ في الحسبان مدى وجود فرص فعلية للعثور على مزيد من الرفات، وأن يراعي الرغبات التي يبديها أفراد أسرته في سياق الأعراف الثقافية المتعلقة بتشييع الجنازات. وينبغي لأي قرار بوقف البحث أن يُتخذ بطريقة شفافة، وأن يشترط الموافقة المسبقة والمستنيرة لأفراد الأسرة، وفقا</w:t>
      </w:r>
      <w:r w:rsidR="00362886">
        <w:rPr>
          <w:rFonts w:hint="cs"/>
          <w:spacing w:val="-2"/>
          <w:rtl/>
          <w:lang w:eastAsia="ar-SA"/>
        </w:rPr>
        <w:t>ً</w:t>
      </w:r>
      <w:r w:rsidRPr="005A54C5">
        <w:rPr>
          <w:spacing w:val="-2"/>
          <w:rtl/>
          <w:lang w:eastAsia="ar-SA"/>
        </w:rPr>
        <w:t xml:space="preserve"> للمبدأ </w:t>
      </w:r>
      <w:r w:rsidRPr="005A54C5">
        <w:rPr>
          <w:spacing w:val="-2"/>
          <w:szCs w:val="20"/>
          <w:rtl/>
          <w:lang w:eastAsia="ar-SA"/>
        </w:rPr>
        <w:t>7</w:t>
      </w:r>
      <w:r w:rsidRPr="005A54C5">
        <w:rPr>
          <w:spacing w:val="-2"/>
          <w:rtl/>
          <w:lang w:eastAsia="ar-SA"/>
        </w:rPr>
        <w:t xml:space="preserve"> من المبادئ التوجيهية للبحث عن الأشخاص المختفين. ولذلك قررت اللجنة أن تبقي الإجراء العاجل مفتوحاً. </w:t>
      </w:r>
    </w:p>
    <w:p w14:paraId="78EE52A0" w14:textId="77777777" w:rsidR="006724A5" w:rsidRPr="006724A5" w:rsidRDefault="006724A5" w:rsidP="006724A5">
      <w:pPr>
        <w:pStyle w:val="H1GA"/>
        <w:rPr>
          <w:rtl/>
          <w:lang w:eastAsia="ar-SA"/>
        </w:rPr>
      </w:pPr>
      <w:r>
        <w:rPr>
          <w:rtl/>
          <w:lang w:eastAsia="ar-SA"/>
        </w:rPr>
        <w:tab/>
      </w:r>
      <w:r w:rsidRPr="006724A5">
        <w:rPr>
          <w:rtl/>
          <w:lang w:eastAsia="ar-SA"/>
        </w:rPr>
        <w:t>هاء-</w:t>
      </w:r>
      <w:r>
        <w:rPr>
          <w:rtl/>
          <w:lang w:eastAsia="ar-SA"/>
        </w:rPr>
        <w:tab/>
      </w:r>
      <w:r w:rsidRPr="006724A5">
        <w:rPr>
          <w:rtl/>
          <w:lang w:eastAsia="ar-SA"/>
        </w:rPr>
        <w:t>بنود للمناقشة في الجلسة العامة للجنة في دورتها السابعة عشرة</w:t>
      </w:r>
      <w:r w:rsidRPr="006724A5">
        <w:rPr>
          <w:rFonts w:ascii="Arial" w:hAnsi="Arial" w:cs="Arial" w:hint="cs"/>
          <w:rtl/>
          <w:lang w:eastAsia="ar-SA"/>
        </w:rPr>
        <w:t>‬</w:t>
      </w:r>
      <w:r w:rsidRPr="006724A5">
        <w:rPr>
          <w:rFonts w:ascii="Arial" w:hAnsi="Arial" w:cs="Arial" w:hint="cs"/>
          <w:rtl/>
          <w:lang w:eastAsia="ar-SA"/>
        </w:rPr>
        <w:t>‬</w:t>
      </w:r>
      <w:r w:rsidRPr="006724A5">
        <w:rPr>
          <w:rFonts w:ascii="Arial" w:hAnsi="Arial" w:cs="Arial" w:hint="cs"/>
          <w:rtl/>
          <w:lang w:eastAsia="ar-SA"/>
        </w:rPr>
        <w:t>‬</w:t>
      </w:r>
    </w:p>
    <w:p w14:paraId="69E4A9A7" w14:textId="77777777" w:rsidR="006724A5" w:rsidRPr="006724A5" w:rsidRDefault="006724A5" w:rsidP="006724A5">
      <w:pPr>
        <w:pStyle w:val="SingleTxtGA"/>
        <w:rPr>
          <w:rtl/>
          <w:lang w:eastAsia="ar-SA"/>
        </w:rPr>
      </w:pPr>
      <w:r w:rsidRPr="004A571B">
        <w:rPr>
          <w:szCs w:val="20"/>
          <w:rtl/>
          <w:lang w:eastAsia="ar-SA"/>
        </w:rPr>
        <w:t>25</w:t>
      </w:r>
      <w:r w:rsidRPr="006724A5">
        <w:rPr>
          <w:rtl/>
          <w:lang w:eastAsia="ar-SA"/>
        </w:rPr>
        <w:t>-</w:t>
      </w:r>
      <w:r w:rsidRPr="006724A5">
        <w:rPr>
          <w:rtl/>
          <w:lang w:val="en-GB" w:eastAsia="ar-SA" w:bidi="ar-DZ"/>
        </w:rPr>
        <w:tab/>
      </w:r>
      <w:r w:rsidRPr="006724A5">
        <w:rPr>
          <w:rtl/>
          <w:lang w:eastAsia="ar-SA"/>
        </w:rPr>
        <w:t>تؤكد اللجنة من جديد، في ضوء زيادة عدد طلبات الإجراءات العاجلة التي سُجلت، الحاجة العاجلة إلى زيادة عدد الموظفين في أمانة مفوضية الأمم المتحدة السامية لحقوق الإنسان، المكرسين لمعالجة تلك الطلبات.</w:t>
      </w:r>
    </w:p>
    <w:p w14:paraId="044D4A4E" w14:textId="77777777" w:rsidR="006724A5" w:rsidRPr="006724A5" w:rsidRDefault="006724A5" w:rsidP="006724A5">
      <w:pPr>
        <w:pStyle w:val="SingleTxtGA"/>
        <w:rPr>
          <w:rtl/>
          <w:lang w:eastAsia="ar-SA"/>
        </w:rPr>
      </w:pPr>
      <w:r w:rsidRPr="004A571B">
        <w:rPr>
          <w:szCs w:val="20"/>
          <w:rtl/>
          <w:lang w:eastAsia="ar-SA"/>
        </w:rPr>
        <w:t>26</w:t>
      </w:r>
      <w:r w:rsidRPr="006724A5">
        <w:rPr>
          <w:rtl/>
          <w:lang w:eastAsia="ar-SA"/>
        </w:rPr>
        <w:t>-</w:t>
      </w:r>
      <w:r w:rsidRPr="006724A5">
        <w:rPr>
          <w:rtl/>
          <w:lang w:val="en-GB" w:eastAsia="ar-SA" w:bidi="ar-DZ"/>
        </w:rPr>
        <w:tab/>
      </w:r>
      <w:r w:rsidRPr="006724A5">
        <w:rPr>
          <w:rtl/>
          <w:lang w:eastAsia="ar-SA"/>
        </w:rPr>
        <w:t>وأكدت الجلسة العامة تشكيلة الفريق العامل المعني بالإجراءات العاجلة، وذكَّرت بأن تقسيم العمل بين الأعضاء يعتمد على لغة طلب اتخاذ إجراءات عاجلة. وذكّرت الأمانة بأساليب عمل اللجنة فيما يتعلق بالإجراءات العاجلة، وهي الأساليب التي أكدتها الجلسة العامة.</w:t>
      </w:r>
    </w:p>
    <w:p w14:paraId="242855A0" w14:textId="77777777" w:rsidR="006724A5" w:rsidRPr="006724A5" w:rsidRDefault="006724A5" w:rsidP="006724A5">
      <w:pPr>
        <w:pStyle w:val="SingleTxtGA"/>
        <w:rPr>
          <w:rtl/>
          <w:lang w:eastAsia="ar-SA"/>
        </w:rPr>
      </w:pPr>
      <w:r w:rsidRPr="004A571B">
        <w:rPr>
          <w:szCs w:val="20"/>
          <w:rtl/>
          <w:lang w:eastAsia="ar-SA"/>
        </w:rPr>
        <w:t>27</w:t>
      </w:r>
      <w:r w:rsidRPr="006724A5">
        <w:rPr>
          <w:rtl/>
          <w:lang w:eastAsia="ar-SA"/>
        </w:rPr>
        <w:t>-</w:t>
      </w:r>
      <w:r w:rsidRPr="006724A5">
        <w:rPr>
          <w:rtl/>
          <w:lang w:val="en-GB" w:eastAsia="ar-SA" w:bidi="ar-DZ"/>
        </w:rPr>
        <w:tab/>
      </w:r>
      <w:r w:rsidRPr="006724A5">
        <w:rPr>
          <w:rtl/>
          <w:lang w:eastAsia="ar-SA"/>
        </w:rPr>
        <w:t xml:space="preserve">وأكدت اللجنة </w:t>
      </w:r>
      <w:r w:rsidRPr="006724A5">
        <w:rPr>
          <w:rtl/>
          <w:lang w:eastAsia="ar-SA" w:bidi="ar-DZ"/>
        </w:rPr>
        <w:t xml:space="preserve">أنه يجب، عند الاقتضاء، الإشارة إلى أنه يقع على الدول الأطراف التزام، </w:t>
      </w:r>
      <w:r w:rsidRPr="006724A5">
        <w:rPr>
          <w:rtl/>
          <w:lang w:eastAsia="ar-SA"/>
        </w:rPr>
        <w:t>دون الإخلال بالتزامها بمواصلة التحقيق إلى أن يتضح مصير الشخص المختفي، بأن تتخذ التدابير الملائمة فيما يتعلق بالوضع القانوني للأشخاص المختفين الذين لم يتضح مصيرهم وكذلك الوضع القانوني لأقاربهم، في مجالات مثل الرعاية الاجتماعية والمسائل المالية وقانون الأسرة وحقوق الملكية. وفي العديد من حالات الاختفاء القسري، لا غنى عن تقديم الدعم الاقتصادي والاجتماعي لتمكين أفراد أسرة الشخص المختفي وأقاربه الآخرين من المشاركة في عمليات البحث والتحقيق.</w:t>
      </w:r>
    </w:p>
    <w:p w14:paraId="3A6992F2" w14:textId="77777777" w:rsidR="006724A5" w:rsidRPr="006724A5" w:rsidRDefault="006724A5" w:rsidP="006724A5">
      <w:pPr>
        <w:pStyle w:val="SingleTxtGA"/>
        <w:rPr>
          <w:rtl/>
          <w:lang w:eastAsia="ar-SA"/>
        </w:rPr>
      </w:pPr>
      <w:r w:rsidRPr="004A571B">
        <w:rPr>
          <w:szCs w:val="20"/>
          <w:rtl/>
          <w:lang w:eastAsia="ar-SA"/>
        </w:rPr>
        <w:t>28</w:t>
      </w:r>
      <w:r w:rsidRPr="006724A5">
        <w:rPr>
          <w:rtl/>
          <w:lang w:eastAsia="ar-SA"/>
        </w:rPr>
        <w:t>-</w:t>
      </w:r>
      <w:r w:rsidRPr="006724A5">
        <w:rPr>
          <w:rtl/>
          <w:lang w:val="en-GB" w:eastAsia="ar-SA" w:bidi="ar-DZ"/>
        </w:rPr>
        <w:tab/>
      </w:r>
      <w:r w:rsidRPr="006724A5">
        <w:rPr>
          <w:rtl/>
          <w:lang w:eastAsia="ar-SA" w:bidi="ar-DZ"/>
        </w:rPr>
        <w:t>و</w:t>
      </w:r>
      <w:r w:rsidRPr="006724A5">
        <w:rPr>
          <w:rtl/>
          <w:lang w:eastAsia="ar-SA"/>
        </w:rPr>
        <w:t>قررت اللجنة أن تنقح صيغة تقديم طلبات الإجراءات العاجلة، استنادا</w:t>
      </w:r>
      <w:r w:rsidR="00362886">
        <w:rPr>
          <w:rFonts w:hint="cs"/>
          <w:rtl/>
          <w:lang w:eastAsia="ar-SA"/>
        </w:rPr>
        <w:t>ً</w:t>
      </w:r>
      <w:r w:rsidRPr="006724A5">
        <w:rPr>
          <w:rtl/>
          <w:lang w:eastAsia="ar-SA"/>
        </w:rPr>
        <w:t xml:space="preserve"> إلى الخبرة المكتسبة منذ بداية الإجراءات.</w:t>
      </w:r>
    </w:p>
    <w:p w14:paraId="7F37341D" w14:textId="77777777" w:rsidR="00B95673" w:rsidRPr="006724A5" w:rsidRDefault="006724A5" w:rsidP="006724A5">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B95673" w:rsidRPr="006724A5" w:rsidSect="00B15B8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78549" w14:textId="77777777" w:rsidR="00AA55D4" w:rsidRPr="00FE6865" w:rsidRDefault="00AA55D4" w:rsidP="00FE6865">
      <w:pPr>
        <w:pStyle w:val="Footer"/>
      </w:pPr>
    </w:p>
  </w:endnote>
  <w:endnote w:type="continuationSeparator" w:id="0">
    <w:p w14:paraId="7E0B9379" w14:textId="77777777" w:rsidR="00AA55D4" w:rsidRDefault="00AA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17FEE" w14:textId="77777777" w:rsidR="00AA55D4" w:rsidRPr="00EB00E9" w:rsidRDefault="00AA55D4" w:rsidP="001F7B42">
    <w:pPr>
      <w:pStyle w:val="Footer"/>
      <w:tabs>
        <w:tab w:val="right" w:pos="9598"/>
      </w:tabs>
    </w:pPr>
    <w:r w:rsidRPr="00281072">
      <w:rPr>
        <w:sz w:val="17"/>
        <w:szCs w:val="17"/>
        <w:lang w:val="en-US"/>
      </w:rPr>
      <w:t>GE.</w:t>
    </w:r>
    <w:r w:rsidR="00066D7D">
      <w:rPr>
        <w:sz w:val="17"/>
        <w:szCs w:val="17"/>
        <w:lang w:val="en-US"/>
      </w:rPr>
      <w:t>19</w:t>
    </w:r>
    <w:r w:rsidRPr="00281072">
      <w:rPr>
        <w:sz w:val="17"/>
        <w:szCs w:val="17"/>
        <w:lang w:val="en-US"/>
      </w:rPr>
      <w:t>-</w:t>
    </w:r>
    <w:r w:rsidR="00066D7D">
      <w:rPr>
        <w:sz w:val="17"/>
        <w:szCs w:val="17"/>
        <w:lang w:val="en-US"/>
      </w:rPr>
      <w:t>19861</w:t>
    </w:r>
    <w:r w:rsidRPr="00281072">
      <w:rPr>
        <w:lang w:val="en-US"/>
      </w:rPr>
      <w:tab/>
    </w:r>
    <w:r w:rsidRPr="00281072">
      <w:rPr>
        <w:b/>
        <w:sz w:val="18"/>
        <w:szCs w:val="18"/>
        <w:lang w:val="en-US"/>
      </w:rPr>
      <w:fldChar w:fldCharType="begin"/>
    </w:r>
    <w:r w:rsidRPr="00281072">
      <w:rPr>
        <w:b/>
        <w:sz w:val="18"/>
        <w:szCs w:val="18"/>
        <w:lang w:val="en-US"/>
      </w:rPr>
      <w:instrText xml:space="preserve"> PAGE  \* MERGEFORMAT </w:instrText>
    </w:r>
    <w:r w:rsidRPr="00281072">
      <w:rPr>
        <w:b/>
        <w:sz w:val="18"/>
        <w:szCs w:val="18"/>
        <w:lang w:val="en-US"/>
      </w:rPr>
      <w:fldChar w:fldCharType="separate"/>
    </w:r>
    <w:r>
      <w:rPr>
        <w:b/>
        <w:noProof/>
        <w:sz w:val="18"/>
        <w:szCs w:val="18"/>
        <w:lang w:val="en-US"/>
      </w:rPr>
      <w:t>4</w:t>
    </w:r>
    <w:r w:rsidRPr="00281072">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3587D" w14:textId="77777777" w:rsidR="00AA55D4" w:rsidRPr="00EB00E9" w:rsidRDefault="00AA55D4" w:rsidP="001F7B42">
    <w:pPr>
      <w:pStyle w:val="Footer"/>
      <w:tabs>
        <w:tab w:val="right" w:pos="9598"/>
      </w:tabs>
      <w:rPr>
        <w:b/>
        <w:sz w:val="18"/>
      </w:rPr>
    </w:pPr>
    <w:r w:rsidRPr="00296307">
      <w:rPr>
        <w:b/>
        <w:sz w:val="18"/>
        <w:lang w:val="en-US"/>
      </w:rPr>
      <w:fldChar w:fldCharType="begin"/>
    </w:r>
    <w:r w:rsidRPr="00296307">
      <w:rPr>
        <w:b/>
        <w:sz w:val="18"/>
        <w:lang w:val="en-US"/>
      </w:rPr>
      <w:instrText xml:space="preserve"> PAGE  \* MERGEFORMAT </w:instrText>
    </w:r>
    <w:r w:rsidRPr="00296307">
      <w:rPr>
        <w:b/>
        <w:sz w:val="18"/>
        <w:lang w:val="en-US"/>
      </w:rPr>
      <w:fldChar w:fldCharType="separate"/>
    </w:r>
    <w:r>
      <w:rPr>
        <w:b/>
        <w:noProof/>
        <w:sz w:val="18"/>
        <w:lang w:val="en-US"/>
      </w:rPr>
      <w:t>5</w:t>
    </w:r>
    <w:r w:rsidRPr="00296307">
      <w:rPr>
        <w:b/>
        <w:sz w:val="18"/>
        <w:lang w:val="en-US"/>
      </w:rPr>
      <w:fldChar w:fldCharType="end"/>
    </w:r>
    <w:r>
      <w:rPr>
        <w:b/>
        <w:sz w:val="18"/>
        <w:lang w:val="en-US"/>
      </w:rPr>
      <w:tab/>
    </w:r>
    <w:r>
      <w:rPr>
        <w:sz w:val="17"/>
        <w:lang w:val="en-US"/>
      </w:rPr>
      <w:t>GE.</w:t>
    </w:r>
    <w:r w:rsidR="00066D7D">
      <w:rPr>
        <w:sz w:val="17"/>
        <w:lang w:val="en-US"/>
      </w:rPr>
      <w:t>19</w:t>
    </w:r>
    <w:r>
      <w:rPr>
        <w:sz w:val="17"/>
        <w:lang w:val="en-US"/>
      </w:rPr>
      <w:t>-</w:t>
    </w:r>
    <w:r w:rsidR="00066D7D">
      <w:rPr>
        <w:sz w:val="17"/>
        <w:lang w:val="en-US"/>
      </w:rPr>
      <w:t>19861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0C78F" w14:textId="77777777" w:rsidR="00AA55D4" w:rsidRPr="00A017FE" w:rsidRDefault="00066D7D" w:rsidP="00281072">
    <w:pPr>
      <w:suppressAutoHyphens/>
      <w:bidi w:val="0"/>
      <w:spacing w:before="360" w:line="240" w:lineRule="auto"/>
      <w:jc w:val="right"/>
      <w:rPr>
        <w:szCs w:val="20"/>
        <w:lang w:val="en-GB"/>
      </w:rPr>
    </w:pPr>
    <w:r>
      <w:rPr>
        <w:rFonts w:hint="cs"/>
        <w:noProof/>
      </w:rPr>
      <w:drawing>
        <wp:anchor distT="0" distB="0" distL="114300" distR="114300" simplePos="0" relativeHeight="251660800" behindDoc="0" locked="0" layoutInCell="1" allowOverlap="1" wp14:anchorId="632AAF2D" wp14:editId="778F5020">
          <wp:simplePos x="0" y="0"/>
          <wp:positionH relativeFrom="column">
            <wp:posOffset>3175</wp:posOffset>
          </wp:positionH>
          <wp:positionV relativeFrom="paragraph">
            <wp:posOffset>115731</wp:posOffset>
          </wp:positionV>
          <wp:extent cx="620973" cy="620973"/>
          <wp:effectExtent l="0" t="0" r="8255" b="8255"/>
          <wp:wrapNone/>
          <wp:docPr id="3" name="Picture 2" descr="http://undocs.org/m2/QRCode.ashx?DS=CED/C/17/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17/2&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973" cy="620973"/>
                  </a:xfrm>
                  <a:prstGeom prst="rect">
                    <a:avLst/>
                  </a:prstGeom>
                  <a:noFill/>
                  <a:ln>
                    <a:noFill/>
                  </a:ln>
                </pic:spPr>
              </pic:pic>
            </a:graphicData>
          </a:graphic>
          <wp14:sizeRelH relativeFrom="page">
            <wp14:pctWidth>0</wp14:pctWidth>
          </wp14:sizeRelH>
          <wp14:sizeRelV relativeFrom="page">
            <wp14:pctHeight>0</wp14:pctHeight>
          </wp14:sizeRelV>
        </wp:anchor>
      </w:drawing>
    </w:r>
    <w:r w:rsidR="00AA55D4" w:rsidRPr="00A017FE">
      <w:rPr>
        <w:szCs w:val="20"/>
        <w:lang w:val="en-GB"/>
      </w:rPr>
      <w:t>GE.</w:t>
    </w:r>
    <w:r>
      <w:rPr>
        <w:szCs w:val="20"/>
        <w:lang w:val="en-GB"/>
      </w:rPr>
      <w:t>19</w:t>
    </w:r>
    <w:r w:rsidR="00AA55D4" w:rsidRPr="00A017FE">
      <w:rPr>
        <w:szCs w:val="20"/>
        <w:lang w:val="en-GB"/>
      </w:rPr>
      <w:t>-</w:t>
    </w:r>
    <w:r w:rsidR="00AA55D4" w:rsidRPr="00A017FE">
      <w:rPr>
        <w:noProof/>
        <w:sz w:val="16"/>
        <w:szCs w:val="22"/>
      </w:rPr>
      <w:drawing>
        <wp:anchor distT="0" distB="0" distL="114300" distR="114300" simplePos="0" relativeHeight="251655680" behindDoc="1" locked="1" layoutInCell="0" allowOverlap="1" wp14:anchorId="5001C25A" wp14:editId="6E89D1B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5" name="Picture 5"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0"/>
        <w:lang w:val="en-GB"/>
      </w:rPr>
      <w:t>19861</w:t>
    </w:r>
    <w:r w:rsidR="00AA55D4" w:rsidRPr="00A017FE">
      <w:rPr>
        <w:szCs w:val="20"/>
        <w:lang w:val="en-GB"/>
      </w:rPr>
      <w:t>(A)</w:t>
    </w:r>
  </w:p>
  <w:p w14:paraId="175475DE" w14:textId="77777777" w:rsidR="00AA55D4" w:rsidRPr="00A017FE" w:rsidRDefault="00AA55D4" w:rsidP="00281072">
    <w:pPr>
      <w:suppressAutoHyphens/>
      <w:bidi w:val="0"/>
      <w:spacing w:line="240" w:lineRule="auto"/>
      <w:jc w:val="right"/>
      <w:rPr>
        <w:rFonts w:ascii="C39T30Lfz" w:hAnsi="C39T30Lfz"/>
        <w:sz w:val="56"/>
        <w:szCs w:val="20"/>
        <w:lang w:val="en-GB"/>
      </w:rPr>
    </w:pPr>
    <w:r w:rsidRPr="00A017FE">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00066D7D">
      <w:rPr>
        <w:rFonts w:ascii="C39T30Lfz" w:hAnsi="C39T30Lfz"/>
        <w:sz w:val="56"/>
        <w:szCs w:val="20"/>
        <w:lang w:val="en-GB"/>
      </w:rPr>
      <w:t></w:t>
    </w:r>
    <w:r w:rsidRPr="00A017FE">
      <w:rPr>
        <w:rFonts w:ascii="C39T30Lfz" w:hAnsi="C39T30Lfz"/>
        <w:sz w:val="56"/>
        <w:szCs w:val="20"/>
        <w:lang w:val="en-GB"/>
      </w:rPr>
      <w:t></w:t>
    </w:r>
  </w:p>
  <w:p w14:paraId="1E3A92FA" w14:textId="77777777" w:rsidR="00AA55D4" w:rsidRPr="00066D7D" w:rsidRDefault="00AA55D4" w:rsidP="00A017F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CFB57" w14:textId="77777777" w:rsidR="00AA55D4" w:rsidRDefault="00AA55D4" w:rsidP="00834FF4">
      <w:pPr>
        <w:pStyle w:val="Footer"/>
        <w:bidi/>
        <w:spacing w:after="80" w:line="200" w:lineRule="exact"/>
        <w:ind w:left="680"/>
      </w:pPr>
      <w:r>
        <w:rPr>
          <w:rFonts w:hint="cs"/>
          <w:rtl/>
        </w:rPr>
        <w:t>__________</w:t>
      </w:r>
    </w:p>
  </w:footnote>
  <w:footnote w:type="continuationSeparator" w:id="0">
    <w:p w14:paraId="4068086C" w14:textId="77777777" w:rsidR="00AA55D4" w:rsidRDefault="00AA55D4" w:rsidP="00834FF4">
      <w:pPr>
        <w:pStyle w:val="Footer"/>
        <w:bidi/>
        <w:spacing w:after="80" w:line="200" w:lineRule="exact"/>
        <w:ind w:left="680"/>
      </w:pPr>
      <w:r>
        <w:rPr>
          <w:rFonts w:hint="cs"/>
          <w:rtl/>
        </w:rPr>
        <w:t>__________</w:t>
      </w:r>
    </w:p>
  </w:footnote>
  <w:footnote w:id="1">
    <w:p w14:paraId="383FE75F" w14:textId="77777777" w:rsidR="00AA55D4" w:rsidRPr="006724A5" w:rsidRDefault="00AA55D4" w:rsidP="0011422B">
      <w:pPr>
        <w:pStyle w:val="FootnoteText1"/>
        <w:tabs>
          <w:tab w:val="clear" w:pos="1021"/>
        </w:tabs>
        <w:spacing w:line="280" w:lineRule="exact"/>
        <w:ind w:hanging="567"/>
        <w:rPr>
          <w:rtl/>
        </w:rPr>
      </w:pPr>
      <w:r>
        <w:rPr>
          <w:rtl/>
        </w:rPr>
        <w:t>*</w:t>
      </w:r>
      <w:r>
        <w:rPr>
          <w:rtl/>
        </w:rPr>
        <w:tab/>
      </w:r>
      <w:r w:rsidRPr="0011422B">
        <w:rPr>
          <w:rFonts w:eastAsiaTheme="minorEastAsia"/>
          <w:rtl/>
          <w:lang w:eastAsia="zh-CN"/>
        </w:rPr>
        <w:t>اعتمدته</w:t>
      </w:r>
      <w:r w:rsidRPr="006724A5">
        <w:rPr>
          <w:rtl/>
        </w:rPr>
        <w:t xml:space="preserve"> اللجنة في دورتها السابعة عشرة (</w:t>
      </w:r>
      <w:r w:rsidRPr="004A571B">
        <w:rPr>
          <w:szCs w:val="18"/>
          <w:rtl/>
        </w:rPr>
        <w:t>30</w:t>
      </w:r>
      <w:r w:rsidRPr="006724A5">
        <w:rPr>
          <w:rtl/>
        </w:rPr>
        <w:t xml:space="preserve"> أيلول/سبتمبر </w:t>
      </w:r>
      <w:r w:rsidR="002D3461">
        <w:rPr>
          <w:rFonts w:hint="cs"/>
          <w:rtl/>
        </w:rPr>
        <w:t>-</w:t>
      </w:r>
      <w:r w:rsidRPr="006724A5">
        <w:rPr>
          <w:rtl/>
        </w:rPr>
        <w:t xml:space="preserve"> </w:t>
      </w:r>
      <w:r w:rsidRPr="004A571B">
        <w:rPr>
          <w:szCs w:val="18"/>
          <w:rtl/>
        </w:rPr>
        <w:t>11</w:t>
      </w:r>
      <w:r w:rsidRPr="006724A5">
        <w:rPr>
          <w:rtl/>
        </w:rPr>
        <w:t xml:space="preserve"> تشرين الأول/أكتوبر </w:t>
      </w:r>
      <w:r w:rsidRPr="004A571B">
        <w:rPr>
          <w:szCs w:val="18"/>
          <w:rtl/>
        </w:rPr>
        <w:t>2019</w:t>
      </w:r>
      <w:r w:rsidRPr="006724A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26396" w14:textId="77777777" w:rsidR="00AA55D4" w:rsidRPr="00EB00E9" w:rsidRDefault="00066D7D" w:rsidP="00066D7D">
    <w:pPr>
      <w:pStyle w:val="Header"/>
      <w:jc w:val="right"/>
    </w:pPr>
    <w:r w:rsidRPr="00066D7D">
      <w:rPr>
        <w:lang w:val="en-GB"/>
      </w:rPr>
      <w:t>CED/C/17/2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4A103" w14:textId="77777777" w:rsidR="00AA55D4" w:rsidRPr="00EB00E9" w:rsidRDefault="00066D7D" w:rsidP="00066D7D">
    <w:pPr>
      <w:pStyle w:val="Header"/>
      <w:jc w:val="left"/>
    </w:pPr>
    <w:r w:rsidRPr="00066D7D">
      <w:rPr>
        <w:lang w:val="en-GB"/>
      </w:rPr>
      <w:t>CED/C/17/2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16C33" w14:textId="77777777" w:rsidR="00AA55D4" w:rsidRDefault="00AA55D4" w:rsidP="005B46D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144D416"/>
    <w:lvl w:ilvl="0" w:tplc="10168920">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4"/>
  </w:num>
  <w:num w:numId="4">
    <w:abstractNumId w:val="1"/>
  </w:num>
  <w:num w:numId="5">
    <w:abstractNumId w:val="7"/>
  </w:num>
  <w:num w:numId="6">
    <w:abstractNumId w:val="5"/>
  </w:num>
  <w:num w:numId="7">
    <w:abstractNumId w:val="0"/>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ar-SA" w:vendorID="4" w:dllVersion="512" w:checkStyle="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567"/>
  <w:evenAndOddHeaders/>
  <w:characterSpacingControl w:val="doNotCompress"/>
  <w:hdrShapeDefaults>
    <o:shapedefaults v:ext="edit" spidmax="1536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0996"/>
    <w:rsid w:val="000020E3"/>
    <w:rsid w:val="00015FCC"/>
    <w:rsid w:val="00026241"/>
    <w:rsid w:val="00040E25"/>
    <w:rsid w:val="00042149"/>
    <w:rsid w:val="000448E5"/>
    <w:rsid w:val="000556A0"/>
    <w:rsid w:val="00055967"/>
    <w:rsid w:val="000648EA"/>
    <w:rsid w:val="00066D7D"/>
    <w:rsid w:val="000771C2"/>
    <w:rsid w:val="000957C8"/>
    <w:rsid w:val="00097049"/>
    <w:rsid w:val="000A04D5"/>
    <w:rsid w:val="000B52F2"/>
    <w:rsid w:val="000B6425"/>
    <w:rsid w:val="000D0362"/>
    <w:rsid w:val="000D03B7"/>
    <w:rsid w:val="000D0EAE"/>
    <w:rsid w:val="000D1746"/>
    <w:rsid w:val="000D5380"/>
    <w:rsid w:val="000D6654"/>
    <w:rsid w:val="000E0996"/>
    <w:rsid w:val="000E103D"/>
    <w:rsid w:val="000F0264"/>
    <w:rsid w:val="000F2EBF"/>
    <w:rsid w:val="000F3A9F"/>
    <w:rsid w:val="000F5FF6"/>
    <w:rsid w:val="001022B5"/>
    <w:rsid w:val="00113FA5"/>
    <w:rsid w:val="0011422B"/>
    <w:rsid w:val="001455A0"/>
    <w:rsid w:val="00151D30"/>
    <w:rsid w:val="001602A3"/>
    <w:rsid w:val="00167F14"/>
    <w:rsid w:val="00174CD2"/>
    <w:rsid w:val="001939BF"/>
    <w:rsid w:val="001A5161"/>
    <w:rsid w:val="001A60BD"/>
    <w:rsid w:val="001D4EAA"/>
    <w:rsid w:val="001E4755"/>
    <w:rsid w:val="001F3195"/>
    <w:rsid w:val="001F7B42"/>
    <w:rsid w:val="00217712"/>
    <w:rsid w:val="002206B3"/>
    <w:rsid w:val="002225D3"/>
    <w:rsid w:val="002244FB"/>
    <w:rsid w:val="00232277"/>
    <w:rsid w:val="0023736D"/>
    <w:rsid w:val="00257225"/>
    <w:rsid w:val="00281072"/>
    <w:rsid w:val="0028633C"/>
    <w:rsid w:val="00290020"/>
    <w:rsid w:val="002906D6"/>
    <w:rsid w:val="002D007D"/>
    <w:rsid w:val="002D3461"/>
    <w:rsid w:val="00303272"/>
    <w:rsid w:val="00310160"/>
    <w:rsid w:val="00321614"/>
    <w:rsid w:val="00341A8C"/>
    <w:rsid w:val="00347801"/>
    <w:rsid w:val="003519E6"/>
    <w:rsid w:val="00362886"/>
    <w:rsid w:val="00364831"/>
    <w:rsid w:val="00367513"/>
    <w:rsid w:val="003749D0"/>
    <w:rsid w:val="003B4356"/>
    <w:rsid w:val="003B47BC"/>
    <w:rsid w:val="003F08A8"/>
    <w:rsid w:val="00405F41"/>
    <w:rsid w:val="00422FB2"/>
    <w:rsid w:val="004250E3"/>
    <w:rsid w:val="00425CDF"/>
    <w:rsid w:val="00433B91"/>
    <w:rsid w:val="004578C9"/>
    <w:rsid w:val="00460CB7"/>
    <w:rsid w:val="00472A81"/>
    <w:rsid w:val="00490F66"/>
    <w:rsid w:val="004A20A6"/>
    <w:rsid w:val="004A571B"/>
    <w:rsid w:val="004B2C92"/>
    <w:rsid w:val="004D1C3A"/>
    <w:rsid w:val="004D6A3A"/>
    <w:rsid w:val="004E1E9C"/>
    <w:rsid w:val="004E24E7"/>
    <w:rsid w:val="004F4AD7"/>
    <w:rsid w:val="004F5479"/>
    <w:rsid w:val="004F591B"/>
    <w:rsid w:val="005045C6"/>
    <w:rsid w:val="005160FB"/>
    <w:rsid w:val="0053001E"/>
    <w:rsid w:val="00555FA9"/>
    <w:rsid w:val="00557CD3"/>
    <w:rsid w:val="00571432"/>
    <w:rsid w:val="005732A2"/>
    <w:rsid w:val="005762A5"/>
    <w:rsid w:val="00590BA3"/>
    <w:rsid w:val="005A0ED8"/>
    <w:rsid w:val="005A54C5"/>
    <w:rsid w:val="005A6632"/>
    <w:rsid w:val="005B46D9"/>
    <w:rsid w:val="005B7AE0"/>
    <w:rsid w:val="005D58C5"/>
    <w:rsid w:val="005D6832"/>
    <w:rsid w:val="005E349F"/>
    <w:rsid w:val="005F146F"/>
    <w:rsid w:val="005F71B6"/>
    <w:rsid w:val="00604249"/>
    <w:rsid w:val="006267B2"/>
    <w:rsid w:val="00627755"/>
    <w:rsid w:val="00642315"/>
    <w:rsid w:val="00651093"/>
    <w:rsid w:val="00654786"/>
    <w:rsid w:val="00660FD4"/>
    <w:rsid w:val="006724A5"/>
    <w:rsid w:val="0068571D"/>
    <w:rsid w:val="00686E35"/>
    <w:rsid w:val="006A1661"/>
    <w:rsid w:val="006A4425"/>
    <w:rsid w:val="006B00A4"/>
    <w:rsid w:val="006B31C7"/>
    <w:rsid w:val="006B4669"/>
    <w:rsid w:val="006B545C"/>
    <w:rsid w:val="006D1F9C"/>
    <w:rsid w:val="006D4CA6"/>
    <w:rsid w:val="006F6BF8"/>
    <w:rsid w:val="00707BDF"/>
    <w:rsid w:val="00710727"/>
    <w:rsid w:val="00715F45"/>
    <w:rsid w:val="00731815"/>
    <w:rsid w:val="00731B84"/>
    <w:rsid w:val="00734AE7"/>
    <w:rsid w:val="00746B65"/>
    <w:rsid w:val="0076775A"/>
    <w:rsid w:val="007836F4"/>
    <w:rsid w:val="0079344E"/>
    <w:rsid w:val="00796941"/>
    <w:rsid w:val="007B3A21"/>
    <w:rsid w:val="007D73DC"/>
    <w:rsid w:val="007E197F"/>
    <w:rsid w:val="007F68C4"/>
    <w:rsid w:val="00805CF9"/>
    <w:rsid w:val="008153DE"/>
    <w:rsid w:val="00821B04"/>
    <w:rsid w:val="00827BA1"/>
    <w:rsid w:val="00830966"/>
    <w:rsid w:val="00834B9E"/>
    <w:rsid w:val="00834FF4"/>
    <w:rsid w:val="008438B0"/>
    <w:rsid w:val="00852A10"/>
    <w:rsid w:val="00862634"/>
    <w:rsid w:val="0086319C"/>
    <w:rsid w:val="00866C59"/>
    <w:rsid w:val="00877306"/>
    <w:rsid w:val="00877449"/>
    <w:rsid w:val="008954A9"/>
    <w:rsid w:val="00896124"/>
    <w:rsid w:val="00897360"/>
    <w:rsid w:val="008A6242"/>
    <w:rsid w:val="008B3034"/>
    <w:rsid w:val="008B4BC6"/>
    <w:rsid w:val="008C69C2"/>
    <w:rsid w:val="008E1630"/>
    <w:rsid w:val="00901E57"/>
    <w:rsid w:val="009070DF"/>
    <w:rsid w:val="00922026"/>
    <w:rsid w:val="00935F0E"/>
    <w:rsid w:val="0095208F"/>
    <w:rsid w:val="00967DFF"/>
    <w:rsid w:val="00977B3F"/>
    <w:rsid w:val="009814AE"/>
    <w:rsid w:val="00982C9B"/>
    <w:rsid w:val="00985FAD"/>
    <w:rsid w:val="0098705B"/>
    <w:rsid w:val="009901D3"/>
    <w:rsid w:val="00996BBE"/>
    <w:rsid w:val="009B2C03"/>
    <w:rsid w:val="009B676D"/>
    <w:rsid w:val="009C7C07"/>
    <w:rsid w:val="009D1DD5"/>
    <w:rsid w:val="009F722C"/>
    <w:rsid w:val="00A017FE"/>
    <w:rsid w:val="00A10B05"/>
    <w:rsid w:val="00A26157"/>
    <w:rsid w:val="00A265C3"/>
    <w:rsid w:val="00A300E9"/>
    <w:rsid w:val="00A43F9A"/>
    <w:rsid w:val="00A53F38"/>
    <w:rsid w:val="00A543D4"/>
    <w:rsid w:val="00A6228A"/>
    <w:rsid w:val="00A8534F"/>
    <w:rsid w:val="00AA1660"/>
    <w:rsid w:val="00AA2E0E"/>
    <w:rsid w:val="00AA55D4"/>
    <w:rsid w:val="00AD0014"/>
    <w:rsid w:val="00AD4CF2"/>
    <w:rsid w:val="00AE3298"/>
    <w:rsid w:val="00AF0809"/>
    <w:rsid w:val="00AF0BBA"/>
    <w:rsid w:val="00B15B81"/>
    <w:rsid w:val="00B21C41"/>
    <w:rsid w:val="00B25BBD"/>
    <w:rsid w:val="00B30468"/>
    <w:rsid w:val="00B44E31"/>
    <w:rsid w:val="00B527CC"/>
    <w:rsid w:val="00B70119"/>
    <w:rsid w:val="00B729C8"/>
    <w:rsid w:val="00B83E35"/>
    <w:rsid w:val="00B95673"/>
    <w:rsid w:val="00BA4F7E"/>
    <w:rsid w:val="00BA7FE3"/>
    <w:rsid w:val="00BB2C41"/>
    <w:rsid w:val="00BB5E24"/>
    <w:rsid w:val="00BC55C8"/>
    <w:rsid w:val="00BC5C10"/>
    <w:rsid w:val="00BE2964"/>
    <w:rsid w:val="00C11CE5"/>
    <w:rsid w:val="00C12B7B"/>
    <w:rsid w:val="00C21623"/>
    <w:rsid w:val="00C24FBD"/>
    <w:rsid w:val="00C2733C"/>
    <w:rsid w:val="00C45946"/>
    <w:rsid w:val="00C464A0"/>
    <w:rsid w:val="00C473BA"/>
    <w:rsid w:val="00C611ED"/>
    <w:rsid w:val="00C6490A"/>
    <w:rsid w:val="00C64FE1"/>
    <w:rsid w:val="00C65662"/>
    <w:rsid w:val="00C7320B"/>
    <w:rsid w:val="00C73329"/>
    <w:rsid w:val="00C74296"/>
    <w:rsid w:val="00C8345E"/>
    <w:rsid w:val="00CA5F7C"/>
    <w:rsid w:val="00CC5C89"/>
    <w:rsid w:val="00CF307E"/>
    <w:rsid w:val="00D029C9"/>
    <w:rsid w:val="00D23155"/>
    <w:rsid w:val="00D51067"/>
    <w:rsid w:val="00D636A0"/>
    <w:rsid w:val="00D75657"/>
    <w:rsid w:val="00D817D8"/>
    <w:rsid w:val="00D8616F"/>
    <w:rsid w:val="00D960AD"/>
    <w:rsid w:val="00DA0E0E"/>
    <w:rsid w:val="00DA2806"/>
    <w:rsid w:val="00DA6989"/>
    <w:rsid w:val="00DB0C39"/>
    <w:rsid w:val="00DB6C86"/>
    <w:rsid w:val="00DB7679"/>
    <w:rsid w:val="00DD045F"/>
    <w:rsid w:val="00DD315F"/>
    <w:rsid w:val="00DF1702"/>
    <w:rsid w:val="00DF4DD8"/>
    <w:rsid w:val="00DF668E"/>
    <w:rsid w:val="00DF7FEA"/>
    <w:rsid w:val="00E00AE8"/>
    <w:rsid w:val="00E04826"/>
    <w:rsid w:val="00E05DA7"/>
    <w:rsid w:val="00E14D2B"/>
    <w:rsid w:val="00E177B6"/>
    <w:rsid w:val="00E20DBA"/>
    <w:rsid w:val="00E37C23"/>
    <w:rsid w:val="00E6524A"/>
    <w:rsid w:val="00E660D6"/>
    <w:rsid w:val="00E760F5"/>
    <w:rsid w:val="00E771AB"/>
    <w:rsid w:val="00EA796F"/>
    <w:rsid w:val="00EB00E9"/>
    <w:rsid w:val="00EB077B"/>
    <w:rsid w:val="00EB5418"/>
    <w:rsid w:val="00EC50B9"/>
    <w:rsid w:val="00ED124C"/>
    <w:rsid w:val="00ED26A0"/>
    <w:rsid w:val="00F1727A"/>
    <w:rsid w:val="00F251CC"/>
    <w:rsid w:val="00F34764"/>
    <w:rsid w:val="00F54E3C"/>
    <w:rsid w:val="00F7225E"/>
    <w:rsid w:val="00F874BD"/>
    <w:rsid w:val="00F87FCC"/>
    <w:rsid w:val="00FB1D0B"/>
    <w:rsid w:val="00FE55A3"/>
    <w:rsid w:val="00FE6865"/>
    <w:rsid w:val="00FF60E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5F8F73B"/>
  <w15:docId w15:val="{43B0038D-C923-4691-A99E-E68C4488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B00E9"/>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DA2806"/>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53001E"/>
    <w:rPr>
      <w:color w:val="FF0000"/>
      <w:lang w:val="fr-CH"/>
    </w:rPr>
  </w:style>
  <w:style w:type="character" w:customStyle="1" w:styleId="BlueFont">
    <w:name w:val="Blue_Font"/>
    <w:basedOn w:val="DefaultParagraphFont"/>
    <w:rsid w:val="0053001E"/>
    <w:rPr>
      <w:color w:val="0000FF"/>
      <w:kern w:val="16"/>
    </w:rPr>
  </w:style>
  <w:style w:type="paragraph" w:styleId="BalloonText">
    <w:name w:val="Balloon Text"/>
    <w:basedOn w:val="Normal"/>
    <w:semiHidden/>
    <w:rsid w:val="00C464A0"/>
    <w:rPr>
      <w:rFonts w:ascii="Tahoma" w:hAnsi="Tahoma" w:cs="Tahoma"/>
      <w:sz w:val="16"/>
      <w:szCs w:val="16"/>
    </w:rPr>
  </w:style>
  <w:style w:type="character" w:customStyle="1" w:styleId="SingleTxtGAChar">
    <w:name w:val="_ Single Txt_GA Char"/>
    <w:basedOn w:val="DefaultParagraphFont"/>
    <w:link w:val="SingleTxtGA"/>
    <w:locked/>
    <w:rsid w:val="00DA2806"/>
    <w:rPr>
      <w:rFonts w:cs="Traditional Arabic"/>
      <w:szCs w:val="28"/>
    </w:rPr>
  </w:style>
  <w:style w:type="paragraph" w:customStyle="1" w:styleId="Bullet1G">
    <w:name w:val="_Bullet 1_G"/>
    <w:basedOn w:val="Normal"/>
    <w:rsid w:val="00B83E35"/>
    <w:pPr>
      <w:numPr>
        <w:numId w:val="8"/>
      </w:numPr>
      <w:suppressAutoHyphens/>
      <w:bidi w:val="0"/>
      <w:spacing w:after="120"/>
      <w:ind w:right="1134"/>
      <w:jc w:val="both"/>
    </w:pPr>
    <w:rPr>
      <w:rFonts w:cs="Times New Roman"/>
      <w:szCs w:val="20"/>
      <w:lang w:val="en-GB"/>
    </w:rPr>
  </w:style>
  <w:style w:type="paragraph" w:customStyle="1" w:styleId="SingleTxtG">
    <w:name w:val="_ Single Txt_G"/>
    <w:basedOn w:val="Normal"/>
    <w:link w:val="SingleTxtGChar"/>
    <w:rsid w:val="00AA55D4"/>
    <w:pPr>
      <w:bidi w:val="0"/>
      <w:spacing w:after="120" w:line="240" w:lineRule="auto"/>
      <w:ind w:left="1134" w:right="1134"/>
      <w:jc w:val="both"/>
    </w:pPr>
    <w:rPr>
      <w:rFonts w:eastAsia="SimSun" w:cs="Times New Roman"/>
      <w:szCs w:val="20"/>
      <w:lang w:val="en-GB" w:eastAsia="zh-CN"/>
    </w:rPr>
  </w:style>
  <w:style w:type="character" w:customStyle="1" w:styleId="SingleTxtGChar">
    <w:name w:val="_ Single Txt_G Char"/>
    <w:basedOn w:val="DefaultParagraphFont"/>
    <w:link w:val="SingleTxtG"/>
    <w:rsid w:val="00AA55D4"/>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2330</Words>
  <Characters>11445</Characters>
  <Application>Microsoft Office Word</Application>
  <DocSecurity>0</DocSecurity>
  <Lines>369</Lines>
  <Paragraphs>281</Paragraphs>
  <ScaleCrop>false</ScaleCrop>
  <HeadingPairs>
    <vt:vector size="2" baseType="variant">
      <vt:variant>
        <vt:lpstr>Title</vt:lpstr>
      </vt:variant>
      <vt:variant>
        <vt:i4>1</vt:i4>
      </vt:variant>
    </vt:vector>
  </HeadingPairs>
  <TitlesOfParts>
    <vt:vector size="1" baseType="lpstr">
      <vt:lpstr>CED/C/17/2</vt:lpstr>
    </vt:vector>
  </TitlesOfParts>
  <Company>CSD</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GE.1919861</dc:subject>
  <dc:creator>SALY - </dc:creator>
  <cp:lastModifiedBy>Ibrahim Balan</cp:lastModifiedBy>
  <cp:revision>3</cp:revision>
  <cp:lastPrinted>2020-03-04T13:44:00Z</cp:lastPrinted>
  <dcterms:created xsi:type="dcterms:W3CDTF">2020-03-04T13:44:00Z</dcterms:created>
  <dcterms:modified xsi:type="dcterms:W3CDTF">2020-03-04T13:46:00Z</dcterms:modified>
</cp:coreProperties>
</file>