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190F93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190F93" w:rsidRDefault="002D5AAC" w:rsidP="00B63B0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spacing w:val="0"/>
                <w:w w:val="100"/>
                <w:kern w:val="0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190F93" w:rsidRDefault="00DF71B9" w:rsidP="003349E4">
            <w:pPr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190F93">
              <w:rPr>
                <w:spacing w:val="0"/>
                <w:w w:val="100"/>
                <w:kern w:val="0"/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190F93" w:rsidRDefault="00B63B0E" w:rsidP="00B63B0E">
            <w:pPr>
              <w:jc w:val="right"/>
              <w:rPr>
                <w:spacing w:val="0"/>
                <w:w w:val="100"/>
                <w:kern w:val="0"/>
              </w:rPr>
            </w:pPr>
            <w:r w:rsidRPr="00190F93">
              <w:rPr>
                <w:spacing w:val="0"/>
                <w:w w:val="100"/>
                <w:kern w:val="0"/>
                <w:sz w:val="40"/>
              </w:rPr>
              <w:t>CRPD</w:t>
            </w:r>
            <w:r w:rsidRPr="00190F93">
              <w:rPr>
                <w:spacing w:val="0"/>
                <w:w w:val="100"/>
                <w:kern w:val="0"/>
              </w:rPr>
              <w:t>/C/19/3</w:t>
            </w:r>
          </w:p>
        </w:tc>
      </w:tr>
      <w:tr w:rsidR="002D5AAC" w:rsidRPr="00190F93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190F93" w:rsidRDefault="002E5067" w:rsidP="003349E4">
            <w:pPr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190F93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190F93" w:rsidRDefault="005966F1" w:rsidP="003349E4">
            <w:pPr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190F93">
              <w:rPr>
                <w:b/>
                <w:spacing w:val="0"/>
                <w:w w:val="100"/>
                <w:kern w:val="0"/>
                <w:sz w:val="34"/>
                <w:szCs w:val="40"/>
              </w:rPr>
              <w:t>Конвенция о правах</w:t>
            </w:r>
            <w:r w:rsidRPr="00190F93">
              <w:rPr>
                <w:b/>
                <w:spacing w:val="0"/>
                <w:w w:val="100"/>
                <w:kern w:val="0"/>
                <w:sz w:val="34"/>
                <w:szCs w:val="40"/>
              </w:rPr>
              <w:br/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190F93" w:rsidRDefault="00B63B0E" w:rsidP="003349E4">
            <w:pPr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190F93">
              <w:rPr>
                <w:spacing w:val="0"/>
                <w:w w:val="100"/>
                <w:kern w:val="0"/>
                <w:lang w:val="en-US"/>
              </w:rPr>
              <w:t>Distr.: General</w:t>
            </w:r>
          </w:p>
          <w:p w:rsidR="00B63B0E" w:rsidRPr="00190F93" w:rsidRDefault="00B63B0E" w:rsidP="00B63B0E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190F93">
              <w:rPr>
                <w:spacing w:val="0"/>
                <w:w w:val="100"/>
                <w:kern w:val="0"/>
                <w:lang w:val="en-US"/>
              </w:rPr>
              <w:t>19 April 2018</w:t>
            </w:r>
          </w:p>
          <w:p w:rsidR="00B63B0E" w:rsidRPr="00190F93" w:rsidRDefault="00B63B0E" w:rsidP="00B63B0E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190F93">
              <w:rPr>
                <w:spacing w:val="0"/>
                <w:w w:val="100"/>
                <w:kern w:val="0"/>
                <w:lang w:val="en-US"/>
              </w:rPr>
              <w:t>Russian</w:t>
            </w:r>
          </w:p>
          <w:p w:rsidR="00B63B0E" w:rsidRPr="00190F93" w:rsidRDefault="00B63B0E" w:rsidP="00B63B0E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190F93">
              <w:rPr>
                <w:spacing w:val="0"/>
                <w:w w:val="100"/>
                <w:kern w:val="0"/>
                <w:lang w:val="en-US"/>
              </w:rPr>
              <w:t>Original: English</w:t>
            </w:r>
          </w:p>
        </w:tc>
      </w:tr>
    </w:tbl>
    <w:p w:rsidR="00B63B0E" w:rsidRPr="00B63B0E" w:rsidRDefault="00B63B0E" w:rsidP="00B63B0E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r w:rsidRPr="00B63B0E">
        <w:rPr>
          <w:b/>
          <w:spacing w:val="0"/>
          <w:w w:val="100"/>
          <w:kern w:val="0"/>
          <w:sz w:val="24"/>
          <w:szCs w:val="24"/>
        </w:rPr>
        <w:t>Комитет по правам инвалидов</w:t>
      </w:r>
    </w:p>
    <w:p w:rsidR="00B63B0E" w:rsidRPr="00B63B0E" w:rsidRDefault="00B63B0E" w:rsidP="00B63B0E">
      <w:pPr>
        <w:pStyle w:val="HCh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</w:r>
      <w:r w:rsidRPr="00B63B0E">
        <w:rPr>
          <w:spacing w:val="0"/>
          <w:w w:val="100"/>
          <w:kern w:val="0"/>
        </w:rPr>
        <w:tab/>
        <w:t>Последующие меры в связи с заключительными замечаниями по докладам государств-участников</w:t>
      </w:r>
      <w:r w:rsidRPr="00B63B0E">
        <w:rPr>
          <w:b w:val="0"/>
          <w:bCs/>
          <w:spacing w:val="0"/>
          <w:w w:val="100"/>
          <w:kern w:val="0"/>
          <w:sz w:val="20"/>
        </w:rPr>
        <w:footnoteReference w:customMarkFollows="1" w:id="1"/>
        <w:t>*</w:t>
      </w:r>
      <w:bookmarkStart w:id="0" w:name="_Toc511913566"/>
      <w:bookmarkEnd w:id="0"/>
    </w:p>
    <w:p w:rsidR="00B63B0E" w:rsidRPr="00B63B0E" w:rsidRDefault="00B63B0E" w:rsidP="00B63B0E">
      <w:pPr>
        <w:pStyle w:val="HCh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  <w:t>I.</w:t>
      </w:r>
      <w:r w:rsidRPr="00B63B0E">
        <w:rPr>
          <w:spacing w:val="0"/>
          <w:w w:val="100"/>
          <w:kern w:val="0"/>
        </w:rPr>
        <w:tab/>
        <w:t>Введение</w:t>
      </w:r>
      <w:bookmarkStart w:id="1" w:name="_Toc511913567"/>
      <w:bookmarkEnd w:id="1"/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1.</w:t>
      </w:r>
      <w:r w:rsidRPr="00B63B0E">
        <w:rPr>
          <w:spacing w:val="0"/>
          <w:w w:val="100"/>
          <w:kern w:val="0"/>
        </w:rPr>
        <w:tab/>
        <w:t xml:space="preserve">В настоящем докладе содержится резюме работы Комитета, касающейся процедуры последующей деятельности в связи с рекомендациями, содержащимися в заключительных замечаниях. 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2.</w:t>
      </w:r>
      <w:r w:rsidRPr="00B63B0E">
        <w:rPr>
          <w:spacing w:val="0"/>
          <w:w w:val="100"/>
          <w:kern w:val="0"/>
        </w:rPr>
        <w:tab/>
        <w:t>Указанная процедура идентична аналогичным процедурам, принятым во всех договорных органах по правам человека для отслеживания выполнения рекомендаций, которые рассматриваются государствами-участниками в качестве приоритетных.</w:t>
      </w:r>
    </w:p>
    <w:p w:rsidR="00B63B0E" w:rsidRPr="00B63B0E" w:rsidRDefault="00B63B0E" w:rsidP="00B63B0E">
      <w:pPr>
        <w:pStyle w:val="HCh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  <w:t>II.</w:t>
      </w:r>
      <w:r w:rsidRPr="00B63B0E">
        <w:rPr>
          <w:spacing w:val="0"/>
          <w:w w:val="100"/>
          <w:kern w:val="0"/>
        </w:rPr>
        <w:tab/>
        <w:t xml:space="preserve">Последующая деятельность согласно Конвенции и методам работы Комитета </w:t>
      </w:r>
      <w:bookmarkStart w:id="2" w:name="_Toc511913568"/>
      <w:bookmarkEnd w:id="2"/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3.</w:t>
      </w:r>
      <w:r w:rsidRPr="00B63B0E">
        <w:rPr>
          <w:spacing w:val="0"/>
          <w:w w:val="100"/>
          <w:kern w:val="0"/>
        </w:rPr>
        <w:tab/>
        <w:t>В соответствии с пунктом 2 статьи 35 Конвенции Комитету разрешается просить государства-участники о представлении докладов, когда он сочтет это необходимым.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4.</w:t>
      </w:r>
      <w:r w:rsidRPr="00B63B0E">
        <w:rPr>
          <w:spacing w:val="0"/>
          <w:w w:val="100"/>
          <w:kern w:val="0"/>
        </w:rPr>
        <w:tab/>
        <w:t>В пунктах 19–22 методов работы Комитета (CRPD/C/5/4) говорится, что государствам-участникам будет предлагаться подробно рассматривать вопросы, вызывающие озабоченность, которые были выявлены Комитетом в его заключительных замечаниях. Комитет может назначить одного из своих членов докладчиком по последующей деятельности в связи с заключительными замечаниями, а для государств-участников будет установлен срок представления запрошенной информации, не превышающий 12 месяцев со дня уведомления.</w:t>
      </w:r>
    </w:p>
    <w:p w:rsidR="00B63B0E" w:rsidRPr="00B63B0E" w:rsidRDefault="00B63B0E" w:rsidP="00B63B0E">
      <w:pPr>
        <w:pStyle w:val="H1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  <w:t>A.</w:t>
      </w:r>
      <w:r w:rsidRPr="00B63B0E">
        <w:rPr>
          <w:spacing w:val="0"/>
          <w:w w:val="100"/>
          <w:kern w:val="0"/>
        </w:rPr>
        <w:tab/>
        <w:t xml:space="preserve">Учреждение процедуры последующей деятельности </w:t>
      </w:r>
      <w:bookmarkStart w:id="3" w:name="_Toc511913569"/>
      <w:bookmarkEnd w:id="3"/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5.</w:t>
      </w:r>
      <w:r w:rsidRPr="00B63B0E">
        <w:rPr>
          <w:spacing w:val="0"/>
          <w:w w:val="100"/>
          <w:kern w:val="0"/>
        </w:rPr>
        <w:tab/>
        <w:t xml:space="preserve">В апреле 2012 года, на своей седьмой сессии, Комитет утвердил процедуру последующей деятельности в связи с заключительными замечаниями и назначил докладчика по последующей деятельности в связи с заключительными замечаниями, которому было поручено подготовить руководящие принципы процедуры. В апреле 2017 года, на своей семнадцатой сессии, Комитет назначил нового докладчика. </w:t>
      </w:r>
    </w:p>
    <w:p w:rsidR="00B63B0E" w:rsidRPr="00B63B0E" w:rsidRDefault="00B63B0E" w:rsidP="00B63B0E">
      <w:pPr>
        <w:pStyle w:val="H1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lastRenderedPageBreak/>
        <w:tab/>
        <w:t>B.</w:t>
      </w:r>
      <w:r w:rsidRPr="00B63B0E">
        <w:rPr>
          <w:spacing w:val="0"/>
          <w:w w:val="100"/>
          <w:kern w:val="0"/>
        </w:rPr>
        <w:tab/>
        <w:t>Руководящие принципы процедуры последующей деятельности</w:t>
      </w:r>
      <w:bookmarkStart w:id="4" w:name="_Toc511913570"/>
      <w:bookmarkEnd w:id="4"/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6.</w:t>
      </w:r>
      <w:r w:rsidRPr="00B63B0E">
        <w:rPr>
          <w:spacing w:val="0"/>
          <w:w w:val="100"/>
          <w:kern w:val="0"/>
        </w:rPr>
        <w:tab/>
        <w:t xml:space="preserve">В апреле 2014 года докладчик по последующей деятельности предложил конкретные руководящие принципы процедуры последующей деятельности. В сентябре 2014 года, на своей двенадцатой сессии, Комитет принял эти руководящие принципы и включил их в доклад о работе указанной сессии (CRPD/C/12/2, приложение II). 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7.</w:t>
      </w:r>
      <w:r w:rsidRPr="00B63B0E">
        <w:rPr>
          <w:spacing w:val="0"/>
          <w:w w:val="100"/>
          <w:kern w:val="0"/>
        </w:rPr>
        <w:tab/>
        <w:t>В руководящих принципах рассматривается роль докладчика по стране по сравнению с ролью докладчика по последующей деятельности, закрепляются критерии определения рекомендаций в отношении последующей деятельности и описываются критерии оценки ответов государств-участников о последующей деятельности. Комитет может считать ответы «удовлетворительными», «частично удовлетворительными» или «неудовлетворительными».</w:t>
      </w:r>
    </w:p>
    <w:p w:rsidR="00B63B0E" w:rsidRPr="00B63B0E" w:rsidRDefault="00B63B0E" w:rsidP="00B63B0E">
      <w:pPr>
        <w:pStyle w:val="H1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  <w:t>C.</w:t>
      </w:r>
      <w:r w:rsidRPr="00B63B0E">
        <w:rPr>
          <w:spacing w:val="0"/>
          <w:w w:val="100"/>
          <w:kern w:val="0"/>
        </w:rPr>
        <w:tab/>
        <w:t xml:space="preserve">Осуществление процедуры последующей деятельности </w:t>
      </w:r>
      <w:bookmarkStart w:id="5" w:name="_Toc511913571"/>
      <w:bookmarkEnd w:id="5"/>
    </w:p>
    <w:p w:rsidR="00B63B0E" w:rsidRPr="00B63B0E" w:rsidRDefault="00B63B0E" w:rsidP="00B63B0E">
      <w:pPr>
        <w:pStyle w:val="H23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  <w:t>1.</w:t>
      </w:r>
      <w:r w:rsidRPr="00B63B0E">
        <w:rPr>
          <w:spacing w:val="0"/>
          <w:w w:val="100"/>
          <w:kern w:val="0"/>
        </w:rPr>
        <w:tab/>
        <w:t xml:space="preserve">Время для заседаний </w:t>
      </w:r>
      <w:bookmarkStart w:id="6" w:name="_Toc511913572"/>
      <w:bookmarkEnd w:id="6"/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8.</w:t>
      </w:r>
      <w:r w:rsidRPr="00B63B0E">
        <w:rPr>
          <w:spacing w:val="0"/>
          <w:w w:val="100"/>
          <w:kern w:val="0"/>
        </w:rPr>
        <w:tab/>
        <w:t>Время для заседаний, бюджетные ресурсы и кадры, выделенные Комитету Генеральной Ассамблеей, использовались им главным образом для рассмотрения докладов, представляемых государствами-членами, а также сообщений отдельных лиц или групп лиц, утверждающих, что государство-участник нарушило их права, закрепленные в Конвенции. В связи с решением этих первоочередных задач Комитет занимался вопросами последующей деятельности только дважды: в апреле 2015 года, на своей тринадцатой сессии, Комитет рассмотрел на закрытом заседании ответы, представленные некоторыми государствами-участниками в рамках последующей деятельности в связи с заключительными замечаниями; а в феврале 2018 года, на своей девятнадцатой сессии, он рассмотрел настоящий доклад о последующей деятельности в связи с заключительными замечаниями.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9.</w:t>
      </w:r>
      <w:r w:rsidRPr="00B63B0E">
        <w:rPr>
          <w:spacing w:val="0"/>
          <w:w w:val="100"/>
          <w:kern w:val="0"/>
        </w:rPr>
        <w:tab/>
        <w:t>Несмотря на усилия Комитета, количество накопившихся первоначальных докладов, ожидающих рассмотрения,</w:t>
      </w:r>
      <w:r w:rsidR="007F4B6C">
        <w:rPr>
          <w:spacing w:val="0"/>
          <w:w w:val="100"/>
          <w:kern w:val="0"/>
        </w:rPr>
        <w:t xml:space="preserve"> уменьшилось лишь незначительно</w:t>
      </w:r>
      <w:r w:rsidRPr="00B63B0E">
        <w:rPr>
          <w:spacing w:val="0"/>
          <w:w w:val="100"/>
          <w:kern w:val="0"/>
        </w:rPr>
        <w:t xml:space="preserve"> главным образом в силу роста числа ратификаций Конвенции и Факультативного протокола к ней и числа докладов, представляемых каждый год. Поэтому Комитет предполагает, что в будущем времени, выделяемого для рассмотрения последующей деятельности государств-участников в связи с заключительными замечаниями, будет по-прежнему недостаточно.</w:t>
      </w:r>
    </w:p>
    <w:p w:rsidR="00B63B0E" w:rsidRPr="00B63B0E" w:rsidRDefault="00B63B0E" w:rsidP="00B63B0E">
      <w:pPr>
        <w:pStyle w:val="H23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  <w:t>2.</w:t>
      </w:r>
      <w:r w:rsidRPr="00B63B0E">
        <w:rPr>
          <w:spacing w:val="0"/>
          <w:w w:val="100"/>
          <w:kern w:val="0"/>
        </w:rPr>
        <w:tab/>
        <w:t>Страны и рекомендации, отобранные для последующей деятельности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10.</w:t>
      </w:r>
      <w:r w:rsidRPr="00B63B0E">
        <w:rPr>
          <w:spacing w:val="0"/>
          <w:w w:val="100"/>
          <w:kern w:val="0"/>
        </w:rPr>
        <w:tab/>
        <w:t xml:space="preserve">По состоянию на декабрь 2017 года Комитет рассмотрел 60 первоначальных докладов государств-участников и 1 первоначальный доклад организации региональной интеграции. Комитет отобрал рекомендации для последующей деятельности, содержащиеся в 50 из 61 (81%) заключительного замечания, принятого относительно первоначальных докладов. 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11.</w:t>
      </w:r>
      <w:r w:rsidRPr="00B63B0E">
        <w:rPr>
          <w:spacing w:val="0"/>
          <w:w w:val="100"/>
          <w:kern w:val="0"/>
        </w:rPr>
        <w:tab/>
        <w:t xml:space="preserve">Число рекомендаций, отобранных для последующей деятельности, возросло с 7 в 2012 году до 94 в 2017 году. 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12.</w:t>
      </w:r>
      <w:r w:rsidRPr="00B63B0E">
        <w:rPr>
          <w:spacing w:val="0"/>
          <w:w w:val="100"/>
          <w:kern w:val="0"/>
        </w:rPr>
        <w:tab/>
        <w:t xml:space="preserve">По состоянию на декабрь 2017 года было получено 38 из 67 ответов, подлежавших представлению, что составляет 56% – довольно скромный показатель соблюдения сроков. </w:t>
      </w:r>
    </w:p>
    <w:p w:rsidR="00B63B0E" w:rsidRPr="00B63B0E" w:rsidRDefault="00B63B0E" w:rsidP="00B63B0E">
      <w:pPr>
        <w:pStyle w:val="H23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  <w:t>3.</w:t>
      </w:r>
      <w:r w:rsidRPr="00B63B0E">
        <w:rPr>
          <w:spacing w:val="0"/>
          <w:w w:val="100"/>
          <w:kern w:val="0"/>
        </w:rPr>
        <w:tab/>
        <w:t>Отзывы о последующей деятельности, представленные заинтересованными сторонами, не являющимися государствами – участниками Конвенции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13.</w:t>
      </w:r>
      <w:r w:rsidRPr="00B63B0E">
        <w:rPr>
          <w:spacing w:val="0"/>
          <w:w w:val="100"/>
          <w:kern w:val="0"/>
        </w:rPr>
        <w:tab/>
        <w:t>Комитет получил очень мало материалов о процедуре последующей деятельности от других заинтересованных сторон, в частности от организаций инвалидов или национальных правозащитных учреждений. Подобные заинтересованные стороны представили только четыре письменных материала, касающихся четырех различных стран.</w:t>
      </w:r>
    </w:p>
    <w:p w:rsidR="00B63B0E" w:rsidRPr="00B63B0E" w:rsidRDefault="00B63B0E" w:rsidP="00B63B0E">
      <w:pPr>
        <w:pStyle w:val="H23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  <w:t>4.</w:t>
      </w:r>
      <w:r w:rsidRPr="00B63B0E">
        <w:rPr>
          <w:spacing w:val="0"/>
          <w:w w:val="100"/>
          <w:kern w:val="0"/>
        </w:rPr>
        <w:tab/>
        <w:t>Предмет рекомендаций, отобранных для последующей деятельности</w:t>
      </w:r>
      <w:bookmarkStart w:id="7" w:name="_Toc511913573"/>
      <w:bookmarkEnd w:id="7"/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14.</w:t>
      </w:r>
      <w:r w:rsidRPr="00B63B0E">
        <w:rPr>
          <w:spacing w:val="0"/>
          <w:w w:val="100"/>
          <w:kern w:val="0"/>
        </w:rPr>
        <w:tab/>
        <w:t xml:space="preserve">Большинство (54%) из 94 рекомендаций, отобранных для последующей деятельности, связаны со следующими конкретными положениями Конвенции: 17 рекомендаций (или 17,7%) касаются уважения физической и психической неприкосновенности инвалидов (статьи 15–17); 13 рекомендаций (или 13,5%) – мониторинга и осуществления Конвенции (статья 33); 9 рекомендаций (или 9,3%) – осуществления общих положений (статьи 1–4); 7 рекомендаций (или 7,2%) – права на равенство и недискриминацию (статья 5); и 5 рекомендаций (или 5,3%) – права на равенство перед законом (статья 12). 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15.</w:t>
      </w:r>
      <w:r w:rsidRPr="00B63B0E">
        <w:rPr>
          <w:spacing w:val="0"/>
          <w:w w:val="100"/>
          <w:kern w:val="0"/>
        </w:rPr>
        <w:tab/>
        <w:t>Остальные 46% составляют рекомендации, связанные с другими положениями Конвенции. Для последующей деятельности не было отобрано ни одной рекомендации, касающейся ст</w:t>
      </w:r>
      <w:r w:rsidR="00856B3E">
        <w:rPr>
          <w:spacing w:val="0"/>
          <w:w w:val="100"/>
          <w:kern w:val="0"/>
        </w:rPr>
        <w:t>ат</w:t>
      </w:r>
      <w:r w:rsidRPr="00B63B0E">
        <w:rPr>
          <w:spacing w:val="0"/>
          <w:w w:val="100"/>
          <w:kern w:val="0"/>
        </w:rPr>
        <w:t>ей 8 (просветите</w:t>
      </w:r>
      <w:r>
        <w:rPr>
          <w:spacing w:val="0"/>
          <w:w w:val="100"/>
          <w:kern w:val="0"/>
        </w:rPr>
        <w:t>льно-воспитательная работа), 20 </w:t>
      </w:r>
      <w:r w:rsidRPr="00B63B0E">
        <w:rPr>
          <w:spacing w:val="0"/>
          <w:w w:val="100"/>
          <w:kern w:val="0"/>
        </w:rPr>
        <w:t>(индивидуальная мобильность), 22 (неприк</w:t>
      </w:r>
      <w:r>
        <w:rPr>
          <w:spacing w:val="0"/>
          <w:w w:val="100"/>
          <w:kern w:val="0"/>
        </w:rPr>
        <w:t>основенность частной жизни), 23 </w:t>
      </w:r>
      <w:r w:rsidRPr="00B63B0E">
        <w:rPr>
          <w:spacing w:val="0"/>
          <w:w w:val="100"/>
          <w:kern w:val="0"/>
        </w:rPr>
        <w:t>(уважение дома и семьи), 25 (здоровье), 26 (аб</w:t>
      </w:r>
      <w:r>
        <w:rPr>
          <w:spacing w:val="0"/>
          <w:w w:val="100"/>
          <w:kern w:val="0"/>
        </w:rPr>
        <w:t>илитация и реабилитация) или 32 </w:t>
      </w:r>
      <w:r w:rsidRPr="00B63B0E">
        <w:rPr>
          <w:spacing w:val="0"/>
          <w:w w:val="100"/>
          <w:kern w:val="0"/>
        </w:rPr>
        <w:t xml:space="preserve">(международное сотрудничество). </w:t>
      </w:r>
    </w:p>
    <w:p w:rsidR="00B63B0E" w:rsidRPr="00B63B0E" w:rsidRDefault="00B63B0E" w:rsidP="00B63B0E">
      <w:pPr>
        <w:pStyle w:val="H23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  <w:t>5.</w:t>
      </w:r>
      <w:r w:rsidRPr="00B63B0E">
        <w:rPr>
          <w:spacing w:val="0"/>
          <w:w w:val="100"/>
          <w:kern w:val="0"/>
        </w:rPr>
        <w:tab/>
        <w:t xml:space="preserve">Оценка ответов </w:t>
      </w:r>
      <w:bookmarkStart w:id="8" w:name="_Toc511913574"/>
      <w:bookmarkEnd w:id="8"/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16.</w:t>
      </w:r>
      <w:r w:rsidRPr="00B63B0E">
        <w:rPr>
          <w:spacing w:val="0"/>
          <w:w w:val="100"/>
          <w:kern w:val="0"/>
        </w:rPr>
        <w:tab/>
        <w:t>Из 38 полученных ответов 28 ответов (или 74%) можно считать удовлетворительными или частично удовлетворительными в том смысле, что государства-участники, по всей видимости, предприняли определенные шаги для выполнения рекомендаций. Эти меры включают принятие, отмену или изменение законодательства; изменения в политике; или создание органов или комиссий для решения вопросов, поднятых Комитетом.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17.</w:t>
      </w:r>
      <w:r w:rsidRPr="00B63B0E">
        <w:rPr>
          <w:spacing w:val="0"/>
          <w:w w:val="100"/>
          <w:kern w:val="0"/>
        </w:rPr>
        <w:tab/>
        <w:t>Остальные 10 ответов (или 26%) можно считать неудовле</w:t>
      </w:r>
      <w:r w:rsidR="00810E36">
        <w:rPr>
          <w:spacing w:val="0"/>
          <w:w w:val="100"/>
          <w:kern w:val="0"/>
        </w:rPr>
        <w:t xml:space="preserve">творительными в том смысле, что </w:t>
      </w:r>
      <w:r w:rsidRPr="00B63B0E">
        <w:rPr>
          <w:spacing w:val="0"/>
          <w:w w:val="100"/>
          <w:kern w:val="0"/>
        </w:rPr>
        <w:t xml:space="preserve">либо для разрешения проблем, поднятых Комитетом, не было принято никаких мер, либо принятые меры не соответствовали рекомендуемому плану действий, указанному Комитетом. 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18.</w:t>
      </w:r>
      <w:r w:rsidRPr="00B63B0E">
        <w:rPr>
          <w:spacing w:val="0"/>
          <w:w w:val="100"/>
          <w:kern w:val="0"/>
        </w:rPr>
        <w:tab/>
        <w:t>Следует отметить, что большая часть неудовлетворительных ответов была связана с выполнением рекомендаций, касающихся статей 12 и 33. Это может указывать на сохраняющиеся трудности, испытываемые государствами-участниками при оперативном переходе от систем субститутивного принятия решений к режимам суппортивного принятия решений. Аналогичным образом результаты продемонстрировали упорное непонимание участниками Конвенции требования об учреждении независимых структур мониторинга, поскольку органы или ведомства, входящие в состав исполнительной ветви власти, по-прежнему становятся составными элементами структуры мониторинга.</w:t>
      </w:r>
    </w:p>
    <w:p w:rsidR="00B63B0E" w:rsidRPr="00B63B0E" w:rsidRDefault="00B63B0E" w:rsidP="00B63B0E">
      <w:pPr>
        <w:pStyle w:val="H23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  <w:t>6.</w:t>
      </w:r>
      <w:r w:rsidRPr="00B63B0E">
        <w:rPr>
          <w:spacing w:val="0"/>
          <w:w w:val="100"/>
          <w:kern w:val="0"/>
        </w:rPr>
        <w:tab/>
        <w:t>Итоги оценки 38 ответов на рекомендации, отобранные для последующей деятельности</w:t>
      </w:r>
      <w:bookmarkStart w:id="9" w:name="_Toc511913575"/>
      <w:bookmarkEnd w:id="9"/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19.</w:t>
      </w:r>
      <w:r w:rsidRPr="00B63B0E">
        <w:rPr>
          <w:spacing w:val="0"/>
          <w:w w:val="100"/>
          <w:kern w:val="0"/>
        </w:rPr>
        <w:tab/>
        <w:t xml:space="preserve">В отношении 11 рекомендаций, касающихся 6 стран, по которым Комитет уже утвердил или собирается утвердить перечень вопросов в соответствии с упрощенной процедурой представления докладов, не предусматривается никаких действий в рамках процедуры последующей деятельности. 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20.</w:t>
      </w:r>
      <w:r w:rsidRPr="00B63B0E">
        <w:rPr>
          <w:spacing w:val="0"/>
          <w:w w:val="100"/>
          <w:kern w:val="0"/>
        </w:rPr>
        <w:tab/>
        <w:t xml:space="preserve">Аналогичным образом не предусматривается никаких дальнейших действий в отношении 11 ответов, которые были сочтены удовлетворительными. 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21.</w:t>
      </w:r>
      <w:r w:rsidRPr="00B63B0E">
        <w:rPr>
          <w:spacing w:val="0"/>
          <w:w w:val="100"/>
          <w:kern w:val="0"/>
        </w:rPr>
        <w:tab/>
        <w:t xml:space="preserve">Что касается семи ответов, </w:t>
      </w:r>
      <w:bookmarkStart w:id="10" w:name="_GoBack"/>
      <w:bookmarkEnd w:id="10"/>
      <w:r w:rsidRPr="00B63B0E">
        <w:rPr>
          <w:spacing w:val="0"/>
          <w:w w:val="100"/>
          <w:kern w:val="0"/>
        </w:rPr>
        <w:t xml:space="preserve">которые были сочтены частично удовлетворительными, то Комитет призвал соответствующие государства-участники добиться прогресса в принятии надлежащих мер для выполнения своих рекомендаций и в рамках этого предприятия объединить инвалидов через представляющие их организации. 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22.</w:t>
      </w:r>
      <w:r w:rsidRPr="00B63B0E">
        <w:rPr>
          <w:spacing w:val="0"/>
          <w:w w:val="100"/>
          <w:kern w:val="0"/>
        </w:rPr>
        <w:tab/>
        <w:t xml:space="preserve">Что касается девяти ответов, которые были сочтены неудовлетворительными, то Комитет вновь призвал соответствующие государства-участники провести обзор своего законодательства, политики и практики, с тем чтобы привести их в соответствие с Конвенцией, а также рассмотреть возможность обратиться к Комитету за технической помощью во исполнение пункта 2 статьи 37 Конвенции. 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23.</w:t>
      </w:r>
      <w:r w:rsidRPr="00B63B0E">
        <w:rPr>
          <w:spacing w:val="0"/>
          <w:w w:val="100"/>
          <w:kern w:val="0"/>
        </w:rPr>
        <w:tab/>
        <w:t xml:space="preserve">Что касается государств-участников, которые не представили ответы, то Комитет призвал их продолжать выполнять его рекомендации и принимать все необходимые меры для обеспечения их осуществления. Комитет рассмотрит вопросы, отобранные для последующей деятельности, в ходе следующего цикла представления докладов государствами-участниками. </w:t>
      </w:r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24.</w:t>
      </w:r>
      <w:r w:rsidRPr="00B63B0E">
        <w:rPr>
          <w:spacing w:val="0"/>
          <w:w w:val="100"/>
          <w:kern w:val="0"/>
        </w:rPr>
        <w:tab/>
        <w:t xml:space="preserve">На веб-странице Комитета размещена записка на английском языке, в которой приводится резюме информации, содержащейся в ответах государств-участников, и проведенной Комитетом оценки. </w:t>
      </w:r>
    </w:p>
    <w:p w:rsidR="00B63B0E" w:rsidRPr="00B63B0E" w:rsidRDefault="00B63B0E" w:rsidP="00B63B0E">
      <w:pPr>
        <w:pStyle w:val="H1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  <w:t>D.</w:t>
      </w:r>
      <w:r w:rsidRPr="00B63B0E">
        <w:rPr>
          <w:spacing w:val="0"/>
          <w:w w:val="100"/>
          <w:kern w:val="0"/>
        </w:rPr>
        <w:tab/>
        <w:t>Согласование методов работы, касающихся процедур последующей деятельности</w:t>
      </w:r>
      <w:bookmarkStart w:id="11" w:name="_Toc511913576"/>
      <w:bookmarkEnd w:id="11"/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25.</w:t>
      </w:r>
      <w:r w:rsidRPr="00B63B0E">
        <w:rPr>
          <w:spacing w:val="0"/>
          <w:w w:val="100"/>
          <w:kern w:val="0"/>
        </w:rPr>
        <w:tab/>
        <w:t>Комитет выражает признательность за вышеупомянутую записку о последующей деятельности в связи с заключительными замечаниями, подготовленную докладчиком по последующей деятельности, призывает его продолжать оказывать Комитету помощь в сфере взаимодействия с государствами-участниками и другими заинтересованными сторонами в рамках последующей деятельности, а также учитывать методы работы других договорных органов по правам человека в целях достижения большей согласованности методов работы договорных органов в отношении процедур последующей деятельности.</w:t>
      </w:r>
    </w:p>
    <w:p w:rsidR="00B63B0E" w:rsidRPr="00B63B0E" w:rsidRDefault="00B63B0E" w:rsidP="00B63B0E">
      <w:pPr>
        <w:pStyle w:val="HCh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  <w:t>III.</w:t>
      </w:r>
      <w:r w:rsidRPr="00B63B0E">
        <w:rPr>
          <w:spacing w:val="0"/>
          <w:w w:val="100"/>
          <w:kern w:val="0"/>
        </w:rPr>
        <w:tab/>
        <w:t>Следующий доклад о последующей деятельности в связи с заключительными замечаниями</w:t>
      </w:r>
      <w:bookmarkStart w:id="12" w:name="_Toc511913577"/>
      <w:bookmarkEnd w:id="12"/>
    </w:p>
    <w:p w:rsidR="00B63B0E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26.</w:t>
      </w:r>
      <w:r w:rsidRPr="00B63B0E">
        <w:rPr>
          <w:spacing w:val="0"/>
          <w:w w:val="100"/>
          <w:kern w:val="0"/>
        </w:rPr>
        <w:tab/>
        <w:t xml:space="preserve">Комитет на своей девятнадцатой сессии (14 февраля – 9 марта 2018 года) постановил приостановить выполнение процедур последующей деятельности в связи с заключительными замечаниями по причине недостаточности кадровых ресурсов секретариата для обеспечения поддержки деятельности Комитета. В отношении последующих ответов государств-участников, которые должны были быть представлены в 2017 году или, как ожидается, должны будут быть представлены в 2018 году, Комитет призывает докладчика по последующей деятельности представить второй доклад о последующих мерах в связи с заключительными замечаниями не позднее чем на двадцать шестой сессии Комитета или во второй половине 2021 года. </w:t>
      </w:r>
    </w:p>
    <w:p w:rsidR="00B63B0E" w:rsidRPr="00B63B0E" w:rsidRDefault="00B63B0E" w:rsidP="00B63B0E">
      <w:pPr>
        <w:pStyle w:val="HChGR"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ab/>
        <w:t>IV.</w:t>
      </w:r>
      <w:r w:rsidRPr="00B63B0E">
        <w:rPr>
          <w:spacing w:val="0"/>
          <w:w w:val="100"/>
          <w:kern w:val="0"/>
        </w:rPr>
        <w:tab/>
        <w:t>Ссылка на настоящий доклад в двухгодичном докладе Комитета Генеральн</w:t>
      </w:r>
      <w:r>
        <w:rPr>
          <w:spacing w:val="0"/>
          <w:w w:val="100"/>
          <w:kern w:val="0"/>
        </w:rPr>
        <w:t>ой Ассамблее и Экономическому и </w:t>
      </w:r>
      <w:r w:rsidRPr="00B63B0E">
        <w:rPr>
          <w:spacing w:val="0"/>
          <w:w w:val="100"/>
          <w:kern w:val="0"/>
        </w:rPr>
        <w:t xml:space="preserve">Социальному Совету </w:t>
      </w:r>
      <w:bookmarkStart w:id="13" w:name="_Toc511913578"/>
      <w:bookmarkEnd w:id="13"/>
    </w:p>
    <w:p w:rsidR="00381C24" w:rsidRPr="00B63B0E" w:rsidRDefault="00B63B0E" w:rsidP="00B63B0E">
      <w:pPr>
        <w:pStyle w:val="SingleTxtGR"/>
        <w:suppressAutoHyphens/>
        <w:rPr>
          <w:spacing w:val="0"/>
          <w:w w:val="100"/>
          <w:kern w:val="0"/>
        </w:rPr>
      </w:pPr>
      <w:r w:rsidRPr="00B63B0E">
        <w:rPr>
          <w:spacing w:val="0"/>
          <w:w w:val="100"/>
          <w:kern w:val="0"/>
        </w:rPr>
        <w:t>27.</w:t>
      </w:r>
      <w:r w:rsidRPr="00B63B0E">
        <w:rPr>
          <w:spacing w:val="0"/>
          <w:w w:val="100"/>
          <w:kern w:val="0"/>
        </w:rPr>
        <w:tab/>
        <w:t>Предстоящий двухгодичный доклад Комитета, который подлежит представлению в начале 2019 года, должен включать в себя ссылку на настоящий доклад.</w:t>
      </w:r>
    </w:p>
    <w:p w:rsidR="00B63B0E" w:rsidRPr="00B63B0E" w:rsidRDefault="00B63B0E" w:rsidP="00B63B0E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</w:rPr>
      </w:pPr>
      <w:r w:rsidRPr="00B63B0E">
        <w:rPr>
          <w:spacing w:val="0"/>
          <w:w w:val="100"/>
          <w:kern w:val="0"/>
          <w:u w:val="single"/>
        </w:rPr>
        <w:tab/>
      </w:r>
      <w:r w:rsidRPr="00B63B0E">
        <w:rPr>
          <w:spacing w:val="0"/>
          <w:w w:val="100"/>
          <w:kern w:val="0"/>
          <w:u w:val="single"/>
        </w:rPr>
        <w:tab/>
      </w:r>
      <w:r w:rsidRPr="00B63B0E">
        <w:rPr>
          <w:spacing w:val="0"/>
          <w:w w:val="100"/>
          <w:kern w:val="0"/>
          <w:u w:val="single"/>
        </w:rPr>
        <w:tab/>
      </w:r>
    </w:p>
    <w:sectPr w:rsidR="00B63B0E" w:rsidRPr="00B63B0E" w:rsidSect="00B63B0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698" w:rsidRPr="00A312BC" w:rsidRDefault="00306698" w:rsidP="00A312BC"/>
  </w:endnote>
  <w:endnote w:type="continuationSeparator" w:id="0">
    <w:p w:rsidR="00306698" w:rsidRPr="00A312BC" w:rsidRDefault="0030669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B0E" w:rsidRPr="00190F93" w:rsidRDefault="00B63B0E">
    <w:pPr>
      <w:pStyle w:val="a8"/>
      <w:rPr>
        <w:spacing w:val="0"/>
        <w:w w:val="100"/>
        <w:kern w:val="0"/>
      </w:rPr>
    </w:pPr>
    <w:r w:rsidRPr="00190F93">
      <w:rPr>
        <w:b/>
        <w:spacing w:val="0"/>
        <w:w w:val="100"/>
        <w:kern w:val="0"/>
        <w:sz w:val="18"/>
      </w:rPr>
      <w:fldChar w:fldCharType="begin"/>
    </w:r>
    <w:r w:rsidRPr="00190F93">
      <w:rPr>
        <w:b/>
        <w:spacing w:val="0"/>
        <w:w w:val="100"/>
        <w:kern w:val="0"/>
        <w:sz w:val="18"/>
      </w:rPr>
      <w:instrText xml:space="preserve"> PAGE  \* MERGEFORMAT </w:instrText>
    </w:r>
    <w:r w:rsidRPr="00190F93">
      <w:rPr>
        <w:b/>
        <w:spacing w:val="0"/>
        <w:w w:val="100"/>
        <w:kern w:val="0"/>
        <w:sz w:val="18"/>
      </w:rPr>
      <w:fldChar w:fldCharType="separate"/>
    </w:r>
    <w:r w:rsidR="00770D7A">
      <w:rPr>
        <w:b/>
        <w:noProof/>
        <w:spacing w:val="0"/>
        <w:w w:val="100"/>
        <w:kern w:val="0"/>
        <w:sz w:val="18"/>
      </w:rPr>
      <w:t>4</w:t>
    </w:r>
    <w:r w:rsidRPr="00190F93">
      <w:rPr>
        <w:b/>
        <w:spacing w:val="0"/>
        <w:w w:val="100"/>
        <w:kern w:val="0"/>
        <w:sz w:val="18"/>
      </w:rPr>
      <w:fldChar w:fldCharType="end"/>
    </w:r>
    <w:r w:rsidRPr="00190F93">
      <w:rPr>
        <w:b/>
        <w:spacing w:val="0"/>
        <w:w w:val="100"/>
        <w:kern w:val="0"/>
        <w:sz w:val="18"/>
      </w:rPr>
      <w:tab/>
    </w:r>
    <w:r w:rsidRPr="00190F93">
      <w:rPr>
        <w:spacing w:val="0"/>
        <w:w w:val="100"/>
        <w:kern w:val="0"/>
      </w:rPr>
      <w:t>GE.18-06286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B0E" w:rsidRPr="00190F93" w:rsidRDefault="00B63B0E" w:rsidP="00B63B0E">
    <w:pPr>
      <w:pStyle w:val="a8"/>
      <w:tabs>
        <w:tab w:val="clear" w:pos="9639"/>
        <w:tab w:val="right" w:pos="9638"/>
      </w:tabs>
      <w:rPr>
        <w:b/>
        <w:spacing w:val="0"/>
        <w:w w:val="100"/>
        <w:kern w:val="0"/>
        <w:sz w:val="18"/>
      </w:rPr>
    </w:pPr>
    <w:r w:rsidRPr="00190F93">
      <w:rPr>
        <w:spacing w:val="0"/>
        <w:w w:val="100"/>
        <w:kern w:val="0"/>
      </w:rPr>
      <w:t>GE.18-06286</w:t>
    </w:r>
    <w:r w:rsidRPr="00190F93">
      <w:rPr>
        <w:spacing w:val="0"/>
        <w:w w:val="100"/>
        <w:kern w:val="0"/>
      </w:rPr>
      <w:tab/>
    </w:r>
    <w:r w:rsidRPr="00190F93">
      <w:rPr>
        <w:b/>
        <w:spacing w:val="0"/>
        <w:w w:val="100"/>
        <w:kern w:val="0"/>
        <w:sz w:val="18"/>
      </w:rPr>
      <w:fldChar w:fldCharType="begin"/>
    </w:r>
    <w:r w:rsidRPr="00190F93">
      <w:rPr>
        <w:b/>
        <w:spacing w:val="0"/>
        <w:w w:val="100"/>
        <w:kern w:val="0"/>
        <w:sz w:val="18"/>
      </w:rPr>
      <w:instrText xml:space="preserve"> PAGE  \* MERGEFORMAT </w:instrText>
    </w:r>
    <w:r w:rsidRPr="00190F93">
      <w:rPr>
        <w:b/>
        <w:spacing w:val="0"/>
        <w:w w:val="100"/>
        <w:kern w:val="0"/>
        <w:sz w:val="18"/>
      </w:rPr>
      <w:fldChar w:fldCharType="separate"/>
    </w:r>
    <w:r w:rsidR="00770D7A">
      <w:rPr>
        <w:b/>
        <w:noProof/>
        <w:spacing w:val="0"/>
        <w:w w:val="100"/>
        <w:kern w:val="0"/>
        <w:sz w:val="18"/>
      </w:rPr>
      <w:t>3</w:t>
    </w:r>
    <w:r w:rsidRPr="00190F93">
      <w:rPr>
        <w:b/>
        <w:spacing w:val="0"/>
        <w:w w:val="100"/>
        <w:kern w:val="0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190F93" w:rsidRDefault="00B63B0E" w:rsidP="00B63B0E">
    <w:pPr>
      <w:spacing w:before="120" w:line="240" w:lineRule="auto"/>
      <w:rPr>
        <w:spacing w:val="0"/>
        <w:w w:val="100"/>
        <w:kern w:val="0"/>
      </w:rPr>
    </w:pPr>
    <w:r w:rsidRPr="00190F93">
      <w:rPr>
        <w:spacing w:val="0"/>
        <w:w w:val="100"/>
        <w:kern w:val="0"/>
      </w:rPr>
      <w:t>GE.</w:t>
    </w:r>
    <w:r w:rsidR="00DF71B9" w:rsidRPr="00190F93">
      <w:rPr>
        <w:b/>
        <w:noProof/>
        <w:spacing w:val="0"/>
        <w:w w:val="100"/>
        <w:kern w:val="0"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93">
      <w:rPr>
        <w:spacing w:val="0"/>
        <w:w w:val="100"/>
        <w:kern w:val="0"/>
      </w:rPr>
      <w:t>18-</w:t>
    </w:r>
    <w:proofErr w:type="gramStart"/>
    <w:r w:rsidRPr="00190F93">
      <w:rPr>
        <w:spacing w:val="0"/>
        <w:w w:val="100"/>
        <w:kern w:val="0"/>
      </w:rPr>
      <w:t>06286  (</w:t>
    </w:r>
    <w:proofErr w:type="gramEnd"/>
    <w:r w:rsidRPr="00190F93">
      <w:rPr>
        <w:spacing w:val="0"/>
        <w:w w:val="100"/>
        <w:kern w:val="0"/>
      </w:rPr>
      <w:t>R)</w:t>
    </w:r>
    <w:r w:rsidRPr="00190F93">
      <w:rPr>
        <w:spacing w:val="0"/>
        <w:w w:val="100"/>
        <w:kern w:val="0"/>
        <w:lang w:val="en-US"/>
      </w:rPr>
      <w:t xml:space="preserve">  230418  240418</w:t>
    </w:r>
    <w:r w:rsidRPr="00190F93">
      <w:rPr>
        <w:spacing w:val="0"/>
        <w:w w:val="100"/>
        <w:kern w:val="0"/>
      </w:rPr>
      <w:br/>
    </w:r>
    <w:r w:rsidRPr="00190F93">
      <w:rPr>
        <w:rFonts w:ascii="C39T30Lfz" w:hAnsi="C39T30Lfz"/>
        <w:spacing w:val="0"/>
        <w:w w:val="100"/>
        <w:kern w:val="0"/>
        <w:sz w:val="56"/>
      </w:rPr>
      <w:t></w:t>
    </w:r>
    <w:r w:rsidRPr="00190F93">
      <w:rPr>
        <w:rFonts w:ascii="C39T30Lfz" w:hAnsi="C39T30Lfz"/>
        <w:spacing w:val="0"/>
        <w:w w:val="100"/>
        <w:kern w:val="0"/>
        <w:sz w:val="56"/>
      </w:rPr>
      <w:t></w:t>
    </w:r>
    <w:r w:rsidRPr="00190F93">
      <w:rPr>
        <w:rFonts w:ascii="C39T30Lfz" w:hAnsi="C39T30Lfz"/>
        <w:spacing w:val="0"/>
        <w:w w:val="100"/>
        <w:kern w:val="0"/>
        <w:sz w:val="56"/>
      </w:rPr>
      <w:t></w:t>
    </w:r>
    <w:r w:rsidRPr="00190F93">
      <w:rPr>
        <w:rFonts w:ascii="C39T30Lfz" w:hAnsi="C39T30Lfz"/>
        <w:spacing w:val="0"/>
        <w:w w:val="100"/>
        <w:kern w:val="0"/>
        <w:sz w:val="56"/>
      </w:rPr>
      <w:t></w:t>
    </w:r>
    <w:r w:rsidRPr="00190F93">
      <w:rPr>
        <w:rFonts w:ascii="C39T30Lfz" w:hAnsi="C39T30Lfz"/>
        <w:spacing w:val="0"/>
        <w:w w:val="100"/>
        <w:kern w:val="0"/>
        <w:sz w:val="56"/>
      </w:rPr>
      <w:t></w:t>
    </w:r>
    <w:r w:rsidRPr="00190F93">
      <w:rPr>
        <w:rFonts w:ascii="C39T30Lfz" w:hAnsi="C39T30Lfz"/>
        <w:spacing w:val="0"/>
        <w:w w:val="100"/>
        <w:kern w:val="0"/>
        <w:sz w:val="56"/>
      </w:rPr>
      <w:t></w:t>
    </w:r>
    <w:r w:rsidRPr="00190F93">
      <w:rPr>
        <w:rFonts w:ascii="C39T30Lfz" w:hAnsi="C39T30Lfz"/>
        <w:spacing w:val="0"/>
        <w:w w:val="100"/>
        <w:kern w:val="0"/>
        <w:sz w:val="56"/>
      </w:rPr>
      <w:t></w:t>
    </w:r>
    <w:r w:rsidRPr="00190F93">
      <w:rPr>
        <w:rFonts w:ascii="C39T30Lfz" w:hAnsi="C39T30Lfz"/>
        <w:spacing w:val="0"/>
        <w:w w:val="100"/>
        <w:kern w:val="0"/>
        <w:sz w:val="56"/>
      </w:rPr>
      <w:t></w:t>
    </w:r>
    <w:r w:rsidRPr="00190F93">
      <w:rPr>
        <w:rFonts w:ascii="C39T30Lfz" w:hAnsi="C39T30Lfz"/>
        <w:spacing w:val="0"/>
        <w:w w:val="100"/>
        <w:kern w:val="0"/>
        <w:sz w:val="56"/>
      </w:rPr>
      <w:t></w:t>
    </w:r>
    <w:r w:rsidRPr="00190F93">
      <w:rPr>
        <w:noProof/>
        <w:spacing w:val="0"/>
        <w:w w:val="100"/>
        <w:kern w:val="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19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19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698" w:rsidRPr="001075E9" w:rsidRDefault="0030669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06698" w:rsidRDefault="0030669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63B0E" w:rsidRPr="00B63B0E" w:rsidRDefault="00B63B0E" w:rsidP="00B63B0E">
      <w:pPr>
        <w:pStyle w:val="ad"/>
        <w:rPr>
          <w:spacing w:val="0"/>
          <w:w w:val="100"/>
          <w:kern w:val="0"/>
          <w:sz w:val="20"/>
          <w:lang w:val="ru-RU"/>
        </w:rPr>
      </w:pPr>
      <w:r w:rsidRPr="00B63B0E">
        <w:rPr>
          <w:spacing w:val="0"/>
          <w:w w:val="100"/>
          <w:kern w:val="0"/>
          <w:lang w:val="ru-RU"/>
        </w:rPr>
        <w:tab/>
      </w:r>
      <w:r w:rsidRPr="00B63B0E">
        <w:rPr>
          <w:spacing w:val="0"/>
          <w:w w:val="100"/>
          <w:kern w:val="0"/>
          <w:sz w:val="20"/>
          <w:lang w:val="ru-RU"/>
        </w:rPr>
        <w:t>*</w:t>
      </w:r>
      <w:r w:rsidRPr="00B63B0E">
        <w:rPr>
          <w:spacing w:val="0"/>
          <w:w w:val="100"/>
          <w:kern w:val="0"/>
          <w:lang w:val="ru-RU"/>
        </w:rPr>
        <w:tab/>
        <w:t>Приняты Комитетом на его девятнадцатой сессии (14 февраля – 9 марта 2018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B0E" w:rsidRPr="00190F93" w:rsidRDefault="00770D7A">
    <w:pPr>
      <w:pStyle w:val="a5"/>
      <w:rPr>
        <w:spacing w:val="0"/>
        <w:w w:val="100"/>
        <w:kern w:val="0"/>
      </w:rPr>
    </w:pPr>
    <w:r w:rsidRPr="00190F93">
      <w:rPr>
        <w:spacing w:val="0"/>
        <w:w w:val="100"/>
        <w:kern w:val="0"/>
      </w:rPr>
      <w:fldChar w:fldCharType="begin"/>
    </w:r>
    <w:r w:rsidRPr="00190F93">
      <w:rPr>
        <w:spacing w:val="0"/>
        <w:w w:val="100"/>
        <w:kern w:val="0"/>
      </w:rPr>
      <w:instrText xml:space="preserve"> TITLE  \* MERGE</w:instrText>
    </w:r>
    <w:r w:rsidRPr="00190F93">
      <w:rPr>
        <w:spacing w:val="0"/>
        <w:w w:val="100"/>
        <w:kern w:val="0"/>
      </w:rPr>
      <w:instrText xml:space="preserve">FORMAT </w:instrText>
    </w:r>
    <w:r w:rsidRPr="00190F93">
      <w:rPr>
        <w:spacing w:val="0"/>
        <w:w w:val="100"/>
        <w:kern w:val="0"/>
      </w:rPr>
      <w:fldChar w:fldCharType="separate"/>
    </w:r>
    <w:r>
      <w:rPr>
        <w:spacing w:val="0"/>
        <w:w w:val="100"/>
        <w:kern w:val="0"/>
      </w:rPr>
      <w:t>CRPD/C/19/3</w:t>
    </w:r>
    <w:r w:rsidRPr="00190F93">
      <w:rPr>
        <w:spacing w:val="0"/>
        <w:w w:val="100"/>
        <w:kern w:val="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B0E" w:rsidRPr="00190F93" w:rsidRDefault="00770D7A" w:rsidP="00B63B0E">
    <w:pPr>
      <w:pStyle w:val="a5"/>
      <w:jc w:val="right"/>
      <w:rPr>
        <w:spacing w:val="0"/>
        <w:w w:val="100"/>
        <w:kern w:val="0"/>
      </w:rPr>
    </w:pPr>
    <w:r w:rsidRPr="00190F93">
      <w:rPr>
        <w:spacing w:val="0"/>
        <w:w w:val="100"/>
        <w:kern w:val="0"/>
      </w:rPr>
      <w:fldChar w:fldCharType="begin"/>
    </w:r>
    <w:r w:rsidRPr="00190F93">
      <w:rPr>
        <w:spacing w:val="0"/>
        <w:w w:val="100"/>
        <w:kern w:val="0"/>
      </w:rPr>
      <w:instrText xml:space="preserve"> TITLE  \* MERGEFORMAT </w:instrText>
    </w:r>
    <w:r w:rsidRPr="00190F93">
      <w:rPr>
        <w:spacing w:val="0"/>
        <w:w w:val="100"/>
        <w:kern w:val="0"/>
      </w:rPr>
      <w:fldChar w:fldCharType="separate"/>
    </w:r>
    <w:r>
      <w:rPr>
        <w:spacing w:val="0"/>
        <w:w w:val="100"/>
        <w:kern w:val="0"/>
      </w:rPr>
      <w:t>CRPD/C/19/3</w:t>
    </w:r>
    <w:r w:rsidRPr="00190F93">
      <w:rPr>
        <w:spacing w:val="0"/>
        <w:w w:val="100"/>
        <w:kern w:val="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698"/>
    <w:rsid w:val="00006CAA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0F93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669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70D7A"/>
    <w:rsid w:val="007C3F50"/>
    <w:rsid w:val="007F4B6C"/>
    <w:rsid w:val="00806737"/>
    <w:rsid w:val="00810E36"/>
    <w:rsid w:val="00825F8D"/>
    <w:rsid w:val="00833758"/>
    <w:rsid w:val="00834B71"/>
    <w:rsid w:val="00856B3E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63B0E"/>
    <w:rsid w:val="00BB0EDB"/>
    <w:rsid w:val="00BC18B2"/>
    <w:rsid w:val="00BD33EE"/>
    <w:rsid w:val="00C106D6"/>
    <w:rsid w:val="00C60F0C"/>
    <w:rsid w:val="00C70FEF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80CDB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801496"/>
  <w15:docId w15:val="{5245A621-EB2E-46B7-9C38-34F56BF25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969F1-D02B-445B-AAB4-11F84BDB9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4</Pages>
  <Words>1301</Words>
  <Characters>9494</Characters>
  <Application>Microsoft Office Word</Application>
  <DocSecurity>0</DocSecurity>
  <Lines>177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CRPD/C/19/3</vt:lpstr>
      <vt:lpstr>A/</vt:lpstr>
    </vt:vector>
  </TitlesOfParts>
  <Company>DCM</Company>
  <LinksUpToDate>false</LinksUpToDate>
  <CharactersWithSpaces>10790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CRPD/C/19/3</dc:title>
  <dc:subject/>
  <dc:creator>Uliana ANTIPOVA</dc:creator>
  <cp:keywords/>
  <cp:lastModifiedBy>Uliana Antipova</cp:lastModifiedBy>
  <cp:revision>3</cp:revision>
  <cp:lastPrinted>2018-04-24T07:30:00Z</cp:lastPrinted>
  <dcterms:created xsi:type="dcterms:W3CDTF">2018-04-24T07:30:00Z</dcterms:created>
  <dcterms:modified xsi:type="dcterms:W3CDTF">2018-04-24T07:31:00Z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