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1280"/>
        <w:gridCol w:w="2273"/>
        <w:gridCol w:w="3267"/>
        <w:gridCol w:w="2819"/>
      </w:tblGrid>
      <w:tr w:rsidR="00AA5B69">
        <w:trPr>
          <w:trHeight w:hRule="exact" w:val="851"/>
        </w:trPr>
        <w:tc>
          <w:tcPr>
            <w:tcW w:w="1280" w:type="dxa"/>
            <w:tcBorders>
              <w:bottom w:val="single" w:sz="4" w:space="0" w:color="auto"/>
            </w:tcBorders>
          </w:tcPr>
          <w:p w:rsidR="00AA5B69" w:rsidRDefault="00AA5B69"/>
        </w:tc>
        <w:tc>
          <w:tcPr>
            <w:tcW w:w="2273" w:type="dxa"/>
            <w:tcBorders>
              <w:bottom w:val="single" w:sz="4" w:space="0" w:color="auto"/>
            </w:tcBorders>
            <w:vAlign w:val="bottom"/>
          </w:tcPr>
          <w:p w:rsidR="00AA5B69" w:rsidRPr="00BD33EE" w:rsidRDefault="00AA5B69">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AA5B69" w:rsidRDefault="00AA5B69">
            <w:pPr>
              <w:jc w:val="right"/>
            </w:pPr>
            <w:r>
              <w:rPr>
                <w:sz w:val="40"/>
              </w:rPr>
              <w:t>CRC</w:t>
            </w:r>
            <w:r>
              <w:t>/C/OPS</w:t>
            </w:r>
            <w:r w:rsidR="0013648C">
              <w:t>C</w:t>
            </w:r>
            <w:r>
              <w:t>/CAN/1</w:t>
            </w:r>
          </w:p>
        </w:tc>
      </w:tr>
      <w:tr w:rsidR="00AA5B69">
        <w:trPr>
          <w:trHeight w:hRule="exact" w:val="2835"/>
        </w:trPr>
        <w:tc>
          <w:tcPr>
            <w:tcW w:w="1280" w:type="dxa"/>
            <w:tcBorders>
              <w:top w:val="single" w:sz="4" w:space="0" w:color="auto"/>
              <w:bottom w:val="single" w:sz="12" w:space="0" w:color="auto"/>
            </w:tcBorders>
          </w:tcPr>
          <w:p w:rsidR="00AA5B69" w:rsidRDefault="00AA5B69">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AA5B69" w:rsidRPr="00FB2D3D" w:rsidRDefault="00AA5B69">
            <w:pPr>
              <w:spacing w:before="120" w:line="440" w:lineRule="exact"/>
              <w:rPr>
                <w:b/>
                <w:sz w:val="40"/>
                <w:szCs w:val="40"/>
              </w:rPr>
            </w:pPr>
            <w:r w:rsidRPr="00FB2D3D">
              <w:rPr>
                <w:b/>
                <w:sz w:val="40"/>
                <w:szCs w:val="40"/>
              </w:rPr>
              <w:t>Convención sobre los</w:t>
            </w:r>
            <w:r>
              <w:rPr>
                <w:b/>
                <w:sz w:val="40"/>
                <w:szCs w:val="40"/>
              </w:rPr>
              <w:br/>
            </w:r>
            <w:r w:rsidRPr="00FB2D3D">
              <w:rPr>
                <w:b/>
                <w:sz w:val="40"/>
                <w:szCs w:val="40"/>
              </w:rPr>
              <w:t>Derechos</w:t>
            </w:r>
            <w:r>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AA5B69" w:rsidRDefault="00AA5B69">
            <w:pPr>
              <w:spacing w:before="240" w:line="240" w:lineRule="exact"/>
            </w:pPr>
            <w:r>
              <w:t>Distr. general</w:t>
            </w:r>
          </w:p>
          <w:p w:rsidR="00AA5B69" w:rsidRDefault="00AA5B69">
            <w:pPr>
              <w:spacing w:line="240" w:lineRule="exact"/>
            </w:pPr>
            <w:r>
              <w:t>14 de junio de 2011</w:t>
            </w:r>
          </w:p>
          <w:p w:rsidR="00AA5B69" w:rsidRDefault="00AA5B69">
            <w:pPr>
              <w:spacing w:line="240" w:lineRule="exact"/>
            </w:pPr>
            <w:r>
              <w:t>Español</w:t>
            </w:r>
          </w:p>
          <w:p w:rsidR="00AA5B69" w:rsidRDefault="00AA5B69">
            <w:pPr>
              <w:spacing w:line="240" w:lineRule="exact"/>
            </w:pPr>
            <w:r>
              <w:t>Original: francés e inglés</w:t>
            </w:r>
          </w:p>
        </w:tc>
      </w:tr>
    </w:tbl>
    <w:p w:rsidR="00AA5B69" w:rsidRDefault="00AA5B69">
      <w:pPr>
        <w:spacing w:before="120"/>
        <w:jc w:val="both"/>
        <w:rPr>
          <w:b/>
          <w:sz w:val="24"/>
          <w:szCs w:val="24"/>
        </w:rPr>
      </w:pPr>
      <w:r>
        <w:rPr>
          <w:b/>
          <w:sz w:val="24"/>
          <w:szCs w:val="24"/>
        </w:rPr>
        <w:t>Comité de los Derechos del Niño</w:t>
      </w:r>
    </w:p>
    <w:p w:rsidR="00AA5B69" w:rsidRPr="002954E0" w:rsidRDefault="00AA5B69" w:rsidP="00DB4364">
      <w:pPr>
        <w:pStyle w:val="HMG"/>
      </w:pPr>
      <w:r>
        <w:tab/>
      </w:r>
      <w:r>
        <w:tab/>
        <w:t>E</w:t>
      </w:r>
      <w:r w:rsidRPr="002954E0">
        <w:t>xamen de los informes presentados por los Estados partes en virtud del párrafo 1 del artículo</w:t>
      </w:r>
      <w:r>
        <w:t> </w:t>
      </w:r>
      <w:r w:rsidRPr="002954E0">
        <w:t xml:space="preserve">12 del Protocolo Facultativo de </w:t>
      </w:r>
      <w:r w:rsidR="00DB4364">
        <w:br/>
      </w:r>
      <w:r w:rsidRPr="002954E0">
        <w:t xml:space="preserve">la Convención sobre los Derechos del Niño relativo </w:t>
      </w:r>
      <w:r w:rsidR="001D38E3">
        <w:br/>
      </w:r>
      <w:r w:rsidRPr="002954E0">
        <w:t>a la venta de niños, la prostitución infantil y</w:t>
      </w:r>
      <w:r w:rsidR="00DB4364">
        <w:br/>
      </w:r>
      <w:r w:rsidRPr="002954E0">
        <w:t>la utilización de niños en la pornografía</w:t>
      </w:r>
    </w:p>
    <w:p w:rsidR="00AA5B69" w:rsidRPr="002954E0" w:rsidRDefault="00AA5B69">
      <w:pPr>
        <w:pStyle w:val="HChG"/>
        <w:ind w:firstLine="0"/>
      </w:pPr>
      <w:r w:rsidRPr="002954E0">
        <w:t>Informe inicial que los Estados partes debían presentar en</w:t>
      </w:r>
      <w:r>
        <w:t> </w:t>
      </w:r>
      <w:r w:rsidRPr="002954E0">
        <w:t>2007</w:t>
      </w:r>
    </w:p>
    <w:p w:rsidR="00AA5B69" w:rsidRPr="002954E0" w:rsidRDefault="00AA5B69">
      <w:pPr>
        <w:pStyle w:val="HMG"/>
        <w:ind w:firstLine="0"/>
      </w:pPr>
      <w:r w:rsidRPr="002954E0">
        <w:t>Canadá</w:t>
      </w:r>
      <w:r>
        <w:rPr>
          <w:rStyle w:val="FootnoteReference"/>
          <w:sz w:val="20"/>
          <w:vertAlign w:val="baseline"/>
        </w:rPr>
        <w:footnoteReference w:customMarkFollows="1" w:id="1"/>
        <w:t>*</w:t>
      </w:r>
    </w:p>
    <w:p w:rsidR="00AA5B69" w:rsidRPr="002954E0" w:rsidRDefault="00AA5B69">
      <w:pPr>
        <w:autoSpaceDE w:val="0"/>
        <w:autoSpaceDN w:val="0"/>
        <w:adjustRightInd w:val="0"/>
        <w:spacing w:line="360" w:lineRule="auto"/>
        <w:jc w:val="both"/>
      </w:pPr>
    </w:p>
    <w:p w:rsidR="00AA5B69" w:rsidRPr="002954E0" w:rsidRDefault="00AA5B69">
      <w:pPr>
        <w:autoSpaceDE w:val="0"/>
        <w:autoSpaceDN w:val="0"/>
        <w:adjustRightInd w:val="0"/>
        <w:spacing w:line="360" w:lineRule="auto"/>
        <w:ind w:left="1134" w:right="1134"/>
        <w:jc w:val="right"/>
      </w:pPr>
      <w:r w:rsidRPr="002954E0">
        <w:t>[3 de febrero de 2009]</w:t>
      </w:r>
    </w:p>
    <w:p w:rsidR="00AA5B69" w:rsidRDefault="00AA5B69">
      <w:pPr>
        <w:spacing w:after="120"/>
        <w:rPr>
          <w:sz w:val="28"/>
        </w:rPr>
      </w:pPr>
      <w:r>
        <w:br w:type="page"/>
      </w:r>
      <w:r w:rsidRPr="00960F16">
        <w:rPr>
          <w:sz w:val="28"/>
        </w:rPr>
        <w:t xml:space="preserve">Índice </w:t>
      </w:r>
    </w:p>
    <w:p w:rsidR="00AA5B69" w:rsidRDefault="00AA5B69">
      <w:pPr>
        <w:tabs>
          <w:tab w:val="right" w:pos="8929"/>
          <w:tab w:val="right" w:pos="9638"/>
        </w:tabs>
        <w:spacing w:after="120"/>
        <w:ind w:left="283"/>
      </w:pPr>
      <w:r>
        <w:rPr>
          <w:i/>
          <w:sz w:val="18"/>
        </w:rPr>
        <w:tab/>
      </w:r>
      <w:r w:rsidRPr="00960F16">
        <w:rPr>
          <w:i/>
          <w:sz w:val="18"/>
        </w:rPr>
        <w:t>Párrafos</w:t>
      </w:r>
      <w:r>
        <w:rPr>
          <w:i/>
          <w:sz w:val="18"/>
        </w:rPr>
        <w:tab/>
      </w:r>
      <w:r w:rsidRPr="00960F16">
        <w:rPr>
          <w:i/>
          <w:sz w:val="18"/>
        </w:rPr>
        <w:t>Página</w:t>
      </w:r>
    </w:p>
    <w:p w:rsidR="00AA5B69" w:rsidRDefault="00AA5B69">
      <w:pPr>
        <w:tabs>
          <w:tab w:val="left" w:pos="1134"/>
          <w:tab w:val="left" w:pos="1559"/>
          <w:tab w:val="left" w:pos="1984"/>
          <w:tab w:val="left" w:leader="dot" w:pos="7654"/>
          <w:tab w:val="right" w:pos="8929"/>
          <w:tab w:val="right" w:pos="9638"/>
        </w:tabs>
        <w:spacing w:after="120"/>
      </w:pPr>
      <w:r>
        <w:tab/>
      </w:r>
      <w:r w:rsidR="00F60E3A">
        <w:tab/>
      </w:r>
      <w:r>
        <w:t>Parte I.</w:t>
      </w:r>
      <w:r w:rsidR="00F60E3A">
        <w:br/>
      </w:r>
      <w:r>
        <w:tab/>
      </w:r>
      <w:r w:rsidR="00F60E3A">
        <w:tab/>
      </w:r>
      <w:r>
        <w:t>Información general</w:t>
      </w:r>
      <w:r>
        <w:tab/>
      </w:r>
      <w:r>
        <w:tab/>
        <w:t>1-6</w:t>
      </w:r>
      <w:r>
        <w:tab/>
        <w:t>3</w:t>
      </w:r>
    </w:p>
    <w:p w:rsidR="00AA5B69" w:rsidRDefault="00AA5B69">
      <w:pPr>
        <w:tabs>
          <w:tab w:val="left" w:pos="1134"/>
          <w:tab w:val="left" w:pos="1559"/>
          <w:tab w:val="left" w:pos="1984"/>
          <w:tab w:val="left" w:leader="dot" w:pos="7654"/>
          <w:tab w:val="right" w:pos="8929"/>
          <w:tab w:val="right" w:pos="9638"/>
        </w:tabs>
        <w:spacing w:after="120"/>
      </w:pPr>
      <w:r>
        <w:tab/>
      </w:r>
      <w:r w:rsidR="00F60E3A">
        <w:tab/>
      </w:r>
      <w:r>
        <w:t>Parte II.</w:t>
      </w:r>
      <w:r w:rsidR="00F60E3A">
        <w:br/>
      </w:r>
      <w:r>
        <w:tab/>
      </w:r>
      <w:r w:rsidR="00F60E3A">
        <w:tab/>
      </w:r>
      <w:r>
        <w:t>Datos</w:t>
      </w:r>
      <w:r>
        <w:tab/>
      </w:r>
      <w:r>
        <w:tab/>
        <w:t>7-22</w:t>
      </w:r>
      <w:r>
        <w:tab/>
        <w:t>4</w:t>
      </w:r>
    </w:p>
    <w:p w:rsidR="00AA5B69" w:rsidRDefault="00AA5B69">
      <w:pPr>
        <w:tabs>
          <w:tab w:val="left" w:pos="1134"/>
          <w:tab w:val="left" w:pos="1559"/>
          <w:tab w:val="left" w:pos="1984"/>
          <w:tab w:val="left" w:leader="dot" w:pos="7654"/>
          <w:tab w:val="right" w:pos="8929"/>
          <w:tab w:val="right" w:pos="9638"/>
        </w:tabs>
        <w:spacing w:after="120"/>
      </w:pPr>
      <w:r>
        <w:tab/>
      </w:r>
      <w:r w:rsidR="00F60E3A">
        <w:tab/>
      </w:r>
      <w:r>
        <w:t>Parte III.</w:t>
      </w:r>
      <w:r w:rsidR="00F60E3A">
        <w:br/>
      </w:r>
      <w:r>
        <w:tab/>
      </w:r>
      <w:r w:rsidR="00F60E3A">
        <w:tab/>
      </w:r>
      <w:r>
        <w:t>Medidas generales de aplicación</w:t>
      </w:r>
      <w:r>
        <w:tab/>
      </w:r>
      <w:r>
        <w:tab/>
        <w:t>23-109</w:t>
      </w:r>
      <w:r>
        <w:tab/>
        <w:t>7</w:t>
      </w:r>
    </w:p>
    <w:p w:rsidR="00AA5B69" w:rsidRDefault="00AA5B69">
      <w:pPr>
        <w:tabs>
          <w:tab w:val="left" w:pos="1134"/>
          <w:tab w:val="left" w:pos="1559"/>
          <w:tab w:val="left" w:pos="1984"/>
          <w:tab w:val="left" w:leader="dot" w:pos="7654"/>
          <w:tab w:val="right" w:pos="8929"/>
          <w:tab w:val="right" w:pos="9638"/>
        </w:tabs>
        <w:spacing w:after="120"/>
      </w:pPr>
      <w:r>
        <w:tab/>
      </w:r>
      <w:r w:rsidR="00F60E3A">
        <w:tab/>
      </w:r>
      <w:r>
        <w:t>Parte IV.</w:t>
      </w:r>
      <w:r w:rsidR="00F60E3A">
        <w:br/>
      </w:r>
      <w:r>
        <w:tab/>
      </w:r>
      <w:r w:rsidR="00F60E3A">
        <w:tab/>
      </w:r>
      <w:r>
        <w:t>Prevención</w:t>
      </w:r>
      <w:r>
        <w:tab/>
      </w:r>
      <w:r>
        <w:tab/>
        <w:t>110-165</w:t>
      </w:r>
      <w:r>
        <w:tab/>
        <w:t>34</w:t>
      </w:r>
    </w:p>
    <w:p w:rsidR="00AA5B69" w:rsidRDefault="00AA5B69">
      <w:pPr>
        <w:tabs>
          <w:tab w:val="left" w:pos="1134"/>
          <w:tab w:val="left" w:pos="1559"/>
          <w:tab w:val="left" w:pos="1984"/>
          <w:tab w:val="left" w:leader="dot" w:pos="7654"/>
          <w:tab w:val="right" w:pos="8929"/>
          <w:tab w:val="right" w:pos="9638"/>
        </w:tabs>
        <w:spacing w:after="120"/>
      </w:pPr>
      <w:r>
        <w:tab/>
      </w:r>
      <w:r w:rsidR="00F60E3A">
        <w:tab/>
      </w:r>
      <w:r>
        <w:t>Parte V.</w:t>
      </w:r>
      <w:r w:rsidR="00F60E3A">
        <w:br/>
      </w:r>
      <w:r>
        <w:tab/>
      </w:r>
      <w:r w:rsidR="00F60E3A">
        <w:tab/>
      </w:r>
      <w:r>
        <w:t>Prohibición y asuntos conexos</w:t>
      </w:r>
      <w:r>
        <w:tab/>
      </w:r>
      <w:r>
        <w:tab/>
        <w:t>166-186</w:t>
      </w:r>
      <w:r>
        <w:tab/>
        <w:t>44</w:t>
      </w:r>
    </w:p>
    <w:p w:rsidR="00AA5B69" w:rsidRDefault="00AA5B69">
      <w:pPr>
        <w:tabs>
          <w:tab w:val="left" w:pos="1134"/>
          <w:tab w:val="left" w:pos="1559"/>
          <w:tab w:val="left" w:pos="1984"/>
          <w:tab w:val="left" w:leader="dot" w:pos="7654"/>
          <w:tab w:val="right" w:pos="8929"/>
          <w:tab w:val="right" w:pos="9638"/>
        </w:tabs>
        <w:spacing w:after="120"/>
      </w:pPr>
      <w:r>
        <w:tab/>
      </w:r>
      <w:r w:rsidR="00F60E3A">
        <w:tab/>
      </w:r>
      <w:r>
        <w:t>Parte VI.</w:t>
      </w:r>
      <w:r w:rsidR="00F60E3A">
        <w:br/>
      </w:r>
      <w:r>
        <w:tab/>
      </w:r>
      <w:r w:rsidR="00F60E3A">
        <w:tab/>
      </w:r>
      <w:r>
        <w:t>Protección de los derechos de las víctimas</w:t>
      </w:r>
      <w:r>
        <w:tab/>
      </w:r>
      <w:r>
        <w:tab/>
        <w:t>187-237</w:t>
      </w:r>
      <w:r>
        <w:tab/>
        <w:t>50</w:t>
      </w:r>
    </w:p>
    <w:p w:rsidR="00AA5B69" w:rsidRDefault="00AA5B69">
      <w:pPr>
        <w:tabs>
          <w:tab w:val="left" w:pos="1134"/>
          <w:tab w:val="left" w:pos="1559"/>
          <w:tab w:val="left" w:pos="1984"/>
          <w:tab w:val="left" w:leader="dot" w:pos="7654"/>
          <w:tab w:val="right" w:pos="8929"/>
          <w:tab w:val="right" w:pos="9638"/>
        </w:tabs>
        <w:spacing w:after="120"/>
      </w:pPr>
      <w:r>
        <w:tab/>
      </w:r>
      <w:r w:rsidR="00F60E3A">
        <w:tab/>
      </w:r>
      <w:r>
        <w:t>Parte VII.</w:t>
      </w:r>
      <w:r w:rsidR="00F60E3A">
        <w:br/>
      </w:r>
      <w:r>
        <w:tab/>
      </w:r>
      <w:r w:rsidR="00F60E3A">
        <w:tab/>
      </w:r>
      <w:r>
        <w:t>Asistencia y cooperación internacionales</w:t>
      </w:r>
      <w:r>
        <w:tab/>
      </w:r>
      <w:r>
        <w:tab/>
        <w:t>238-276</w:t>
      </w:r>
      <w:r>
        <w:tab/>
        <w:t>58</w:t>
      </w:r>
    </w:p>
    <w:p w:rsidR="00931ECD" w:rsidRDefault="00931ECD" w:rsidP="00931ECD">
      <w:pPr>
        <w:tabs>
          <w:tab w:val="left" w:pos="1134"/>
          <w:tab w:val="left" w:pos="1559"/>
          <w:tab w:val="left" w:pos="1984"/>
          <w:tab w:val="left" w:leader="dot" w:pos="8929"/>
          <w:tab w:val="right" w:pos="9638"/>
        </w:tabs>
        <w:spacing w:after="120"/>
      </w:pPr>
      <w:r>
        <w:tab/>
        <w:t>Anexo</w:t>
      </w:r>
    </w:p>
    <w:p w:rsidR="00AA5B69" w:rsidRDefault="00931ECD" w:rsidP="00931ECD">
      <w:pPr>
        <w:tabs>
          <w:tab w:val="left" w:pos="1134"/>
          <w:tab w:val="left" w:pos="1559"/>
          <w:tab w:val="left" w:pos="1984"/>
          <w:tab w:val="left" w:leader="dot" w:pos="8929"/>
          <w:tab w:val="right" w:pos="9638"/>
        </w:tabs>
        <w:spacing w:after="120"/>
      </w:pPr>
      <w:r>
        <w:tab/>
      </w:r>
      <w:r w:rsidR="00AA5B69">
        <w:tab/>
        <w:t>Tratados bilaterales de extradición</w:t>
      </w:r>
      <w:r w:rsidR="00AA5B69">
        <w:tab/>
      </w:r>
      <w:r w:rsidR="00AA5B69">
        <w:tab/>
        <w:t>66</w:t>
      </w:r>
    </w:p>
    <w:p w:rsidR="00AA5B69" w:rsidRDefault="00AA5B69">
      <w:pPr>
        <w:pStyle w:val="HChG"/>
        <w:spacing w:after="0"/>
        <w:ind w:firstLine="0"/>
      </w:pPr>
      <w:r>
        <w:br w:type="page"/>
        <w:t>Parte I</w:t>
      </w:r>
    </w:p>
    <w:p w:rsidR="00AA5B69" w:rsidRDefault="00AA5B69">
      <w:pPr>
        <w:pStyle w:val="HChG"/>
        <w:spacing w:before="0"/>
      </w:pPr>
      <w:r>
        <w:tab/>
      </w:r>
      <w:r>
        <w:tab/>
        <w:t>Información general</w:t>
      </w:r>
    </w:p>
    <w:p w:rsidR="00AA5B69" w:rsidRDefault="00AA5B69">
      <w:pPr>
        <w:spacing w:after="120"/>
        <w:ind w:left="1134" w:right="1134"/>
        <w:jc w:val="both"/>
      </w:pPr>
      <w:r>
        <w:t>1.</w:t>
      </w:r>
      <w:r>
        <w:tab/>
        <w:t xml:space="preserve">El Canadá ratificó el </w:t>
      </w:r>
      <w:r>
        <w:rPr>
          <w:i/>
        </w:rPr>
        <w:t>Protocolo Facultativo de la Convención sobre los Derechos del Niño relativo a la venta de niños, la prostitución infantil y la utilización de niños en la pornografía</w:t>
      </w:r>
      <w:r>
        <w:t xml:space="preserve"> (el Protocolo) el 14 de septiembre de 2005. En este informe se presentan las leyes, las políticas y los programas del Gobierno federal y los gobiernos provinciales y territoriales del Canadá que permiten hacer efectivo el Protocolo. Se ha elaborado en consulta con los gobiernos provinciales y territoriales, con el auspicio del Comité Permanente de funcionarios de derechos humanos, principal foro responsable de las consultas intergubernamentales y el intercambio de información sobre la ratificación y aplicación de los tratados internacionales de derechos humanos.</w:t>
      </w:r>
    </w:p>
    <w:p w:rsidR="00AA5B69" w:rsidRDefault="00AA5B69">
      <w:pPr>
        <w:spacing w:after="120"/>
        <w:ind w:left="1134" w:right="1134"/>
        <w:jc w:val="both"/>
      </w:pPr>
      <w:r>
        <w:t>2.</w:t>
      </w:r>
      <w:r>
        <w:tab/>
        <w:t>Se ha procurado que el informe se centre en cuestiones específicas para no repetir la información que ya se ha proporcionado en los informes presentados en virtud de otros tratados de los que el Canadá es parte. Cuando se dispone de información detallada en otros informes, se hace referencia a ellos y, con escasas excepciones, esa información no se repite en este informe. Además, para cumplir con las directrices y con la limitación sobre el número de páginas, en este informe no se presenta una lista exhaustiva de las medidas adoptadas por todos los gobiernos.</w:t>
      </w:r>
    </w:p>
    <w:p w:rsidR="00AA5B69" w:rsidRDefault="00AA5B69">
      <w:pPr>
        <w:spacing w:after="120"/>
        <w:ind w:left="1134" w:right="1134"/>
        <w:jc w:val="both"/>
      </w:pPr>
      <w:r>
        <w:t>3.</w:t>
      </w:r>
      <w:r>
        <w:tab/>
        <w:t>Se presentan ejemplos de las medidas adoptadas en cada jurisdicción, en el siguiente orden: Gobierno del Canadá, provincias y territorios (ordenados de oeste a este).</w:t>
      </w:r>
    </w:p>
    <w:p w:rsidR="00AA5B69" w:rsidRDefault="00AA5B69">
      <w:pPr>
        <w:spacing w:after="120"/>
        <w:ind w:left="1134" w:right="1134"/>
        <w:jc w:val="both"/>
      </w:pPr>
      <w:r>
        <w:t>4.</w:t>
      </w:r>
      <w:r>
        <w:tab/>
        <w:t>En el cuarto informe del Canadá sobre la aplicación del Pacto Internacional de Derechos Económicos, Sociales y Culturales, así como en el documento básico del Canadá, figura información detallada sobre el ejercicio de los derechos humanos en el Canadá y sobre el federalismo canadiense.</w:t>
      </w:r>
    </w:p>
    <w:p w:rsidR="00AA5B69" w:rsidRDefault="00AA5B69">
      <w:pPr>
        <w:spacing w:after="120"/>
        <w:ind w:left="1134" w:right="1134"/>
        <w:jc w:val="both"/>
      </w:pPr>
      <w:r>
        <w:t>5.</w:t>
      </w:r>
      <w:r>
        <w:tab/>
        <w:t xml:space="preserve">Los tratados internacionales sobre derechos humanos ratificados por el Canadá son de aplicación en todas las jurisdicciones del país. No obstante, los tratados no pasan automáticamente a formar parte de la legislación del Canadá, sino que se aplican mediante disposiciones legislativas y administrativas internas adoptadas por el Gobierno federal y los gobiernos de las provincias y los territorios. Los tratados de derechos humanos se aplican en parte en virtud del derecho constitucional, que incluye la Carta de Derechos y Libertades del Canadá, que se aplica a todos los gobiernos del Canadá, y también mediante la legislación sobre derechos humanos en los ámbitos federal, provincial y territorial, que en el Canadá tiene un rango cuasiconstitucional y proporciona una protección amplia y sustantiva contra </w:t>
      </w:r>
      <w:smartTag w:uri="urn:schemas-microsoft-com:office:smarttags" w:element="PersonName">
        <w:smartTagPr>
          <w:attr w:name="ProductID" w:val="la discriminaci￳n. Los"/>
        </w:smartTagPr>
        <w:r>
          <w:t>la discriminación. Los</w:t>
        </w:r>
      </w:smartTag>
      <w:r>
        <w:t xml:space="preserve"> tratados internacionales de derechos humanos son una ayuda importante para interpretar esas disposiciones legislativas de protección.</w:t>
      </w:r>
    </w:p>
    <w:p w:rsidR="00AA5B69" w:rsidRDefault="00AA5B69">
      <w:pPr>
        <w:spacing w:after="120"/>
        <w:ind w:left="1134" w:right="1134"/>
        <w:jc w:val="both"/>
      </w:pPr>
      <w:r>
        <w:t>6.</w:t>
      </w:r>
      <w:r>
        <w:tab/>
        <w:t>Tras la ratificación de un tratado internacional de derechos humanos, se tienen en cuenta las obligaciones internacionales del Canadá en la redacción de nueva legislación. Los gobiernos también pueden adoptar medidas adicionales. Por ejemplo, el gobierno de Quebec se ha comprometido a cumplir las disposiciones del Protocolo mediante la aprobación, el 19 de diciembre de 2007, de un decreto en ese sentido. También ha aprobado enmiendas a la Ley de protección de la juventud para que la legislación de Quebec esté en conformidad con el Protocolo.</w:t>
      </w:r>
    </w:p>
    <w:p w:rsidR="00AA5B69" w:rsidRDefault="00AA5B69">
      <w:pPr>
        <w:pStyle w:val="HChG"/>
        <w:spacing w:after="0"/>
      </w:pPr>
      <w:r>
        <w:tab/>
      </w:r>
      <w:r>
        <w:tab/>
        <w:t>Parte II</w:t>
      </w:r>
    </w:p>
    <w:p w:rsidR="00AA5B69" w:rsidRDefault="00AA5B69">
      <w:pPr>
        <w:pStyle w:val="HChG"/>
        <w:spacing w:before="0"/>
      </w:pPr>
      <w:r>
        <w:tab/>
      </w:r>
      <w:r>
        <w:tab/>
        <w:t>Datos</w:t>
      </w:r>
    </w:p>
    <w:p w:rsidR="00AA5B69" w:rsidRDefault="00AA5B69">
      <w:pPr>
        <w:pStyle w:val="H1G"/>
      </w:pPr>
      <w:r>
        <w:tab/>
      </w:r>
      <w:r>
        <w:tab/>
        <w:t>Metodologías y fuentes para la recopilación de datos</w:t>
      </w:r>
    </w:p>
    <w:p w:rsidR="00AA5B69" w:rsidRDefault="00AA5B69">
      <w:pPr>
        <w:spacing w:after="120"/>
        <w:ind w:left="1134" w:right="1134"/>
        <w:jc w:val="both"/>
      </w:pPr>
      <w:r>
        <w:t>7.</w:t>
      </w:r>
      <w:r>
        <w:tab/>
        <w:t>La Oficina de Estadísticas del Canadá analiza las tendencias de los datos presentados por la policía, que se obtienen por medio del Programa de declaración uniforme de la actividad delictiva, y de la Encuesta sobre los tribunales penales para adultos. El Programa de declaración uniforme de la actividad delictiva constituye una muestra no representativa de los servicios policiales, y solo recopila información sobre los delitos denunciados a la policía que esta investiga. Por lo tanto, los datos de este Programa no incluyen todos los delitos cometidos en el Canadá. La Encuesta sobre los tribunales penales para adultos recopila información sobre los casos examinados por estos tribunales en el Canadá. En 2006-2007, se recopiló información de las diez provincias y los tres territorios, lo que representó aproximadamente el 98% de los casos examinados en los tribunales penales para adultos en todo el país durante ese período.</w:t>
      </w:r>
    </w:p>
    <w:p w:rsidR="00AA5B69" w:rsidRDefault="00AA5B69">
      <w:pPr>
        <w:spacing w:after="120"/>
        <w:ind w:left="1134" w:right="1134"/>
        <w:jc w:val="both"/>
      </w:pPr>
      <w:r>
        <w:t>8.</w:t>
      </w:r>
      <w:r>
        <w:tab/>
        <w:t>Desde 1994-1995, las 13 jurisdicciones han presentado informes regularmente a la Encuesta sobre los tribunales penales para adultos. La unidad básica de análisis es la "causa individual". El concepto de causa ha cambiado con respecto a los informes anteriores para reflejar con más fidelidad el proceso judicial. En la nueva definición se combinan en una sola causa todas las acusaciones realizadas contra una misma persona con fechas de audiencias superpuestas, mientras que en la definición anterior se combinaban en un solo caso todas las acusaciones formuladas contra una misma persona en una fecha de audiencia determinada. Véase más información en http://www.statcan.ca/english/sdds/3312.htm.</w:t>
      </w:r>
    </w:p>
    <w:p w:rsidR="00AA5B69" w:rsidRDefault="00AA5B69">
      <w:pPr>
        <w:spacing w:after="120"/>
        <w:ind w:left="1134" w:right="1134"/>
        <w:jc w:val="both"/>
      </w:pPr>
      <w:r>
        <w:t>9.</w:t>
      </w:r>
      <w:r>
        <w:tab/>
        <w:t>El Proyecto provincial y territorial de evaluación de los resultados de ayuda a la infancia cuenta con el auspicio de los directores de bienestar de la infancia a nivel federal, provincial y territorial. Las 13 jurisdicciones han acordado armonizar sus programas para poder elaborar conjuntos de datos comunes y presentar informes de los indicadores fundamentales seleccionados de la misma forma. Véase más información en http://www.cecw-cepb.ca/files/file/en/AnnualReport0304.pdf</w:t>
      </w:r>
      <w:r>
        <w:rPr>
          <w:rStyle w:val="FootnoteReference"/>
        </w:rPr>
        <w:footnoteReference w:id="2"/>
      </w:r>
      <w:r>
        <w:t>.</w:t>
      </w:r>
    </w:p>
    <w:p w:rsidR="00AA5B69" w:rsidRDefault="00AA5B69">
      <w:pPr>
        <w:spacing w:after="120"/>
        <w:ind w:left="1134" w:right="1134"/>
        <w:jc w:val="both"/>
      </w:pPr>
      <w:r>
        <w:t>10.</w:t>
      </w:r>
      <w:r>
        <w:tab/>
        <w:t>Una red de provincias y territorios está trabajando en la puesta en práctica del modelo de evaluación y planificación del acogimiento de niños, denominado "Cuidar a los niños" (Looking After Children), en el que, para elaborar la información sobre los resultados, se utilizan tanto a nivel de la causa como los datos agregados de la población.</w:t>
      </w:r>
    </w:p>
    <w:p w:rsidR="00AA5B69" w:rsidRDefault="00AA5B69">
      <w:pPr>
        <w:spacing w:after="120"/>
        <w:ind w:left="1134" w:right="1134"/>
        <w:jc w:val="both"/>
      </w:pPr>
      <w:r>
        <w:t>11.</w:t>
      </w:r>
      <w:r>
        <w:tab/>
        <w:t>Todos los gobiernos provinciales y territoriales recopilan los datos de su jurisdicción. Por ejemplo, el gobierno de Alberta realiza el seguimiento de las estadísticas por medio de las organizaciones que se ocupan de los fondos para las víctimas de delitos. Mediante este mecanismo de seguimiento, se recopila la información sobre el delito cometido, previsto en el Código Penal, tanto si la víctima es o no menor de edad, así como sobre el tipo de apoyo, ayuda o indemnización que se le ha proporcionado.</w:t>
      </w:r>
    </w:p>
    <w:p w:rsidR="00AA5B69" w:rsidRDefault="00AA5B69">
      <w:pPr>
        <w:pStyle w:val="H1G"/>
      </w:pPr>
      <w:r>
        <w:tab/>
      </w:r>
      <w:r>
        <w:tab/>
        <w:t>Jóvenes víctimas de la explotación sexual y la prostitución</w:t>
      </w:r>
    </w:p>
    <w:p w:rsidR="00AA5B69" w:rsidRDefault="00AA5B69">
      <w:pPr>
        <w:spacing w:after="120"/>
        <w:ind w:left="1134" w:right="1134"/>
        <w:jc w:val="both"/>
      </w:pPr>
      <w:r>
        <w:t>12.</w:t>
      </w:r>
      <w:r>
        <w:tab/>
        <w:t>Los delitos estipulados en el Código Penal del Canadá que constituyen explotación sexual de niños mediante la prostitución son: vivir de los beneficios derivados de la prostitución de una persona menor de 18 años de edad, y comunicarse con una persona menor de 18 años de edad con fines sexuales o conseguir esos fines.</w:t>
      </w:r>
    </w:p>
    <w:p w:rsidR="00AA5B69" w:rsidRDefault="00AA5B69">
      <w:pPr>
        <w:spacing w:after="120"/>
        <w:ind w:left="1134" w:right="1134"/>
        <w:jc w:val="both"/>
      </w:pPr>
      <w:r>
        <w:t>13.</w:t>
      </w:r>
      <w:r>
        <w:tab/>
        <w:t>Hay muchos otros delitos tipificados en el Código Penal del Canadá que hacen referencia a la explotación sexual de los niños. Entre ellos figuran, por ejemplo, los tocamientos sexuales, la explotación sexual por una persona de confianza o con autoridad, y la invitación a tocamientos sexuales. Los datos presentados por la policía indican que, en 2007, hubo 118 casos de prostitución infantil denunciados ante la policía, en comparación con los 143 casos denunciados en 2006, según los datos proporcionados por 150 servicios policiales en todo el año 2007 y por el Programa de declaración uniforme de la actividad delictiva, que abarcan aproximadamente al 94% de la población canadiense.</w:t>
      </w:r>
    </w:p>
    <w:p w:rsidR="00AA5B69" w:rsidRDefault="00AA5B69">
      <w:pPr>
        <w:spacing w:after="120"/>
        <w:ind w:left="1134" w:right="1134"/>
        <w:jc w:val="both"/>
      </w:pPr>
      <w:r>
        <w:t>14.</w:t>
      </w:r>
      <w:r>
        <w:tab/>
        <w:t>El número de personas acusadas de practicar la prostitución infantil por la policía disminuyó de 58 personas en 2006, a 50 en 2007.</w:t>
      </w:r>
    </w:p>
    <w:p w:rsidR="00AA5B69" w:rsidRDefault="00AA5B69">
      <w:pPr>
        <w:spacing w:after="120"/>
        <w:ind w:left="1134" w:right="1134"/>
        <w:jc w:val="both"/>
      </w:pPr>
      <w:r>
        <w:t>15.</w:t>
      </w:r>
      <w:r>
        <w:tab/>
        <w:t>De acuerdo con la Encuesta sobre los tribunales penales para adultos, en 2006-2007, se presentaron aproximadamente 24 casos de delitos relacionados con la prostitución infantil ante los tribunales penales para adultos del Canadá, y un 58% de ellos dio lugar a una condena.</w:t>
      </w:r>
    </w:p>
    <w:p w:rsidR="00AA5B69" w:rsidRDefault="00AA5B69">
      <w:pPr>
        <w:spacing w:after="120"/>
        <w:ind w:left="1134" w:right="1134"/>
        <w:jc w:val="both"/>
      </w:pPr>
      <w:r>
        <w:t>16.</w:t>
      </w:r>
      <w:r>
        <w:tab/>
        <w:t>Según los datos disponibles, entre 1994-1995 y 2006-2007, hubo 17.420 causas sentenciadas en los tribunales penales para adultos del Canadá, en las que el delito más grave fue uno de los que se incluyen en el Protocolo: casi tres cuartas partes (12.845, que representan el 74%) fueron casos de tocamientos sexuales; el 15% (2.539 casos), casos de explotación sexual por una persona de confianza o con autoridad; y el 12% (2.036 casos), casos de invitación a tocamientos sexuales. En alrededor de la mitad de las causas (8.793) hubo un fallo condenatorio. El 94% de los declarados culpables eran varones, y de ellos, más de la mitad (el 54%) tenían entre 25 y 44 años de edad.</w:t>
      </w:r>
    </w:p>
    <w:p w:rsidR="00AA5B69" w:rsidRDefault="00AA5B69">
      <w:pPr>
        <w:pStyle w:val="H1G"/>
      </w:pPr>
      <w:r>
        <w:tab/>
      </w:r>
      <w:r>
        <w:tab/>
        <w:t>Pornografía</w:t>
      </w:r>
    </w:p>
    <w:p w:rsidR="00AA5B69" w:rsidRDefault="00AA5B69">
      <w:pPr>
        <w:spacing w:after="120"/>
        <w:ind w:left="1134" w:right="1134"/>
        <w:jc w:val="both"/>
      </w:pPr>
      <w:r>
        <w:t>17.</w:t>
      </w:r>
      <w:r>
        <w:tab/>
        <w:t>De acuerdo con la información que figura en los datos presentados por la policía, en 2006 la policía se ocupó de 922 casos de utilización de niños en la pornografía, y de 1.244 casos en 2007. En 2006, en el Canadá se acusó a 328 personas de posesión, acceso, producción o distribución de pornografía infantil, y a 371 personas en 2007. El 97% de los acusados eran varones, y la mayoría tenía entre 25 y 54 años de edad.</w:t>
      </w:r>
    </w:p>
    <w:p w:rsidR="00AA5B69" w:rsidRDefault="00AA5B69">
      <w:pPr>
        <w:spacing w:after="120"/>
        <w:ind w:left="1134" w:right="1134"/>
        <w:jc w:val="both"/>
      </w:pPr>
      <w:r>
        <w:t>18.</w:t>
      </w:r>
      <w:r>
        <w:tab/>
        <w:t>En 2005, los funcionarios responsables del control fronterizo del Canadá realizaron 130 interceptaciones o incautaciones de material de pornografía infantil a viajeros que pretendían entrar en el país, y en 2006 se realizaron 137 actuaciones de ese tipo. La cantidad de objetos interceptados ha aumentado de forma constante desde 2000, y la pornografía infantil ha pasado de utilizar fotografías o medios impresos a un soporte basado en imágenes o videos digitalizados. En 2005 se enmendó el Código Penal para incluir los formatos de audio, así como el material escrito que tenga, como característica predominante, la descripción de actividades sexuales prohibidas con niños. Los funcionarios encargados del control fronterizo del Canadá han realizado numerosas interceptaciones e incautaciones de material escrito de pornografía infantil.</w:t>
      </w:r>
    </w:p>
    <w:p w:rsidR="00AA5B69" w:rsidRDefault="00AA5B69">
      <w:pPr>
        <w:spacing w:after="120"/>
        <w:ind w:left="1134" w:right="1134"/>
        <w:jc w:val="both"/>
      </w:pPr>
      <w:r>
        <w:t>19.</w:t>
      </w:r>
      <w:r>
        <w:tab/>
        <w:t>Los datos sugieren que los avances tecnológicos han permitido aumentar el volumen de las recopilaciones que contienen imágenes de abusos sexuales de niños. Asimismo, los investigadores que se ocupan de la explotación de los niños en el Canadá han informado de un aparente aumento en la cantidad de videos que muestran abusos sexuales a niños. Probablemente esto se debe a factores como la disposición de un ancho de banda mayor, la tecnología digital, una mayor capacidad de almacenamiento y el menor costo de las computadoras personales.</w:t>
      </w:r>
    </w:p>
    <w:p w:rsidR="00AA5B69" w:rsidRDefault="00AA5B69">
      <w:pPr>
        <w:spacing w:after="120"/>
        <w:ind w:left="1134" w:right="1134"/>
        <w:jc w:val="both"/>
      </w:pPr>
      <w:r>
        <w:t>20.</w:t>
      </w:r>
      <w:r>
        <w:tab/>
        <w:t xml:space="preserve">Los datos obtenidos mediante la Encuesta sobre los tribunales penales para adultos indican que, en 2006-2007, se presentaron ante los tribunales penales para adultos del Canadá 219 casos de delitos de utilización de niños en la pornografía (véase el cuadro 1 </w:t>
      </w:r>
      <w:r>
        <w:rPr>
          <w:i/>
        </w:rPr>
        <w:t>infra</w:t>
      </w:r>
      <w:r>
        <w:t>). En 2006 y 2007, la prisión fue la condena más severa impuesta con mayor frecuencia a los acusados de pornografía infantil declarados culpables. Casi las dos terceras partes (el 61%) debían cumplir condena en un centro penitenciario, y algo menos de una quinta parte (el 19%) recibió una condena condicional (que debían cumplir en la comunidad). La libertad condicional fue la condena más severa en aproximadamente el 10% de las causas. El porcentaje de fallos condenatorios en las causas de pornografía infantil aumentó de un 55% en 1999 a un 74% en 2001, y se ha mantenido relativamente estable a partir de entonces.</w:t>
      </w:r>
    </w:p>
    <w:p w:rsidR="00AA5B69" w:rsidRDefault="00AA5B69">
      <w:pPr>
        <w:pStyle w:val="H1G"/>
      </w:pPr>
      <w:r>
        <w:tab/>
      </w:r>
      <w:r>
        <w:tab/>
        <w:t>Casos denunciados</w:t>
      </w:r>
    </w:p>
    <w:p w:rsidR="00AA5B69" w:rsidRDefault="00AA5B69">
      <w:pPr>
        <w:spacing w:after="240"/>
        <w:ind w:left="1134" w:right="1134"/>
        <w:jc w:val="both"/>
      </w:pPr>
      <w:r>
        <w:t>21.</w:t>
      </w:r>
      <w:r>
        <w:tab/>
        <w:t>En el cuadro 1 se describen los casos presentados ante los tribunales penales para adultos del Canadá (procesos penales iniciados).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1708"/>
        <w:gridCol w:w="630"/>
        <w:gridCol w:w="629"/>
        <w:gridCol w:w="629"/>
        <w:gridCol w:w="629"/>
        <w:gridCol w:w="629"/>
        <w:gridCol w:w="629"/>
        <w:gridCol w:w="629"/>
        <w:gridCol w:w="629"/>
        <w:gridCol w:w="629"/>
      </w:tblGrid>
      <w:tr w:rsidR="00AA5B69" w:rsidRPr="002954E0">
        <w:trPr>
          <w:trHeight w:val="284"/>
          <w:tblHeader/>
        </w:trPr>
        <w:tc>
          <w:tcPr>
            <w:tcW w:w="1708" w:type="dxa"/>
            <w:vMerge w:val="restart"/>
            <w:tcBorders>
              <w:top w:val="single" w:sz="4" w:space="0" w:color="auto"/>
            </w:tcBorders>
            <w:shd w:val="clear" w:color="auto" w:fill="auto"/>
            <w:vAlign w:val="bottom"/>
          </w:tcPr>
          <w:p w:rsidR="00AA5B69" w:rsidRPr="002954E0" w:rsidRDefault="00AA5B69">
            <w:pPr>
              <w:keepNext/>
              <w:keepLines/>
              <w:spacing w:before="80" w:after="80" w:line="200" w:lineRule="exact"/>
              <w:rPr>
                <w:i/>
                <w:sz w:val="16"/>
              </w:rPr>
            </w:pPr>
          </w:p>
        </w:tc>
        <w:tc>
          <w:tcPr>
            <w:tcW w:w="5662" w:type="dxa"/>
            <w:gridSpan w:val="9"/>
            <w:tcBorders>
              <w:top w:val="single" w:sz="4" w:space="0" w:color="auto"/>
              <w:bottom w:val="single" w:sz="4" w:space="0" w:color="auto"/>
            </w:tcBorders>
            <w:shd w:val="clear" w:color="auto" w:fill="auto"/>
            <w:vAlign w:val="bottom"/>
          </w:tcPr>
          <w:p w:rsidR="00AA5B69" w:rsidRPr="002954E0" w:rsidRDefault="00AA5B69">
            <w:pPr>
              <w:keepNext/>
              <w:keepLines/>
              <w:spacing w:before="80" w:after="80" w:line="200" w:lineRule="exact"/>
              <w:jc w:val="center"/>
              <w:rPr>
                <w:i/>
                <w:sz w:val="16"/>
              </w:rPr>
            </w:pPr>
            <w:r w:rsidRPr="002954E0">
              <w:rPr>
                <w:i/>
                <w:sz w:val="16"/>
              </w:rPr>
              <w:t>Número de casos</w:t>
            </w:r>
          </w:p>
        </w:tc>
      </w:tr>
      <w:tr w:rsidR="00AA5B69" w:rsidRPr="002954E0">
        <w:trPr>
          <w:trHeight w:val="284"/>
          <w:tblHeader/>
        </w:trPr>
        <w:tc>
          <w:tcPr>
            <w:tcW w:w="1708" w:type="dxa"/>
            <w:vMerge/>
            <w:tcBorders>
              <w:bottom w:val="single" w:sz="12" w:space="0" w:color="auto"/>
            </w:tcBorders>
            <w:shd w:val="clear" w:color="auto" w:fill="auto"/>
            <w:vAlign w:val="bottom"/>
          </w:tcPr>
          <w:p w:rsidR="00AA5B69" w:rsidRPr="002954E0" w:rsidRDefault="00AA5B69">
            <w:pPr>
              <w:keepNext/>
              <w:keepLines/>
              <w:spacing w:before="80" w:after="80" w:line="200" w:lineRule="exact"/>
              <w:rPr>
                <w:i/>
                <w:sz w:val="16"/>
              </w:rPr>
            </w:pPr>
          </w:p>
        </w:tc>
        <w:tc>
          <w:tcPr>
            <w:tcW w:w="630" w:type="dxa"/>
            <w:tcBorders>
              <w:top w:val="single" w:sz="4" w:space="0" w:color="auto"/>
              <w:bottom w:val="single" w:sz="12" w:space="0" w:color="auto"/>
            </w:tcBorders>
            <w:shd w:val="clear" w:color="auto" w:fill="auto"/>
            <w:vAlign w:val="bottom"/>
          </w:tcPr>
          <w:p w:rsidR="00AA5B69" w:rsidRPr="002954E0" w:rsidRDefault="00AA5B69">
            <w:pPr>
              <w:keepNext/>
              <w:keepLines/>
              <w:spacing w:before="80" w:after="80" w:line="200" w:lineRule="exact"/>
              <w:jc w:val="right"/>
              <w:rPr>
                <w:i/>
                <w:sz w:val="16"/>
              </w:rPr>
            </w:pPr>
            <w:r w:rsidRPr="002954E0">
              <w:rPr>
                <w:i/>
                <w:sz w:val="16"/>
              </w:rPr>
              <w:t>1998</w:t>
            </w:r>
            <w:r>
              <w:rPr>
                <w:i/>
                <w:sz w:val="16"/>
              </w:rPr>
              <w:t>-</w:t>
            </w:r>
            <w:r w:rsidRPr="002954E0">
              <w:rPr>
                <w:i/>
                <w:sz w:val="16"/>
              </w:rPr>
              <w:t>1999</w:t>
            </w:r>
          </w:p>
        </w:tc>
        <w:tc>
          <w:tcPr>
            <w:tcW w:w="629" w:type="dxa"/>
            <w:tcBorders>
              <w:top w:val="single" w:sz="4" w:space="0" w:color="auto"/>
              <w:bottom w:val="single" w:sz="12" w:space="0" w:color="auto"/>
            </w:tcBorders>
            <w:shd w:val="clear" w:color="auto" w:fill="auto"/>
            <w:vAlign w:val="bottom"/>
          </w:tcPr>
          <w:p w:rsidR="00AA5B69" w:rsidRPr="002954E0" w:rsidRDefault="00AA5B69">
            <w:pPr>
              <w:keepNext/>
              <w:keepLines/>
              <w:spacing w:before="80" w:after="80" w:line="200" w:lineRule="exact"/>
              <w:jc w:val="right"/>
              <w:rPr>
                <w:i/>
                <w:sz w:val="16"/>
              </w:rPr>
            </w:pPr>
            <w:r w:rsidRPr="002954E0">
              <w:rPr>
                <w:i/>
                <w:sz w:val="16"/>
              </w:rPr>
              <w:t>1999</w:t>
            </w:r>
            <w:r>
              <w:rPr>
                <w:i/>
                <w:sz w:val="16"/>
              </w:rPr>
              <w:t>-</w:t>
            </w:r>
            <w:r w:rsidRPr="002954E0">
              <w:rPr>
                <w:i/>
                <w:sz w:val="16"/>
              </w:rPr>
              <w:t>2000</w:t>
            </w:r>
          </w:p>
        </w:tc>
        <w:tc>
          <w:tcPr>
            <w:tcW w:w="629" w:type="dxa"/>
            <w:tcBorders>
              <w:top w:val="single" w:sz="4" w:space="0" w:color="auto"/>
              <w:bottom w:val="single" w:sz="12" w:space="0" w:color="auto"/>
            </w:tcBorders>
            <w:shd w:val="clear" w:color="auto" w:fill="auto"/>
            <w:vAlign w:val="bottom"/>
          </w:tcPr>
          <w:p w:rsidR="00AA5B69" w:rsidRPr="002954E0" w:rsidRDefault="00AA5B69">
            <w:pPr>
              <w:keepNext/>
              <w:keepLines/>
              <w:spacing w:before="80" w:after="80" w:line="200" w:lineRule="exact"/>
              <w:jc w:val="right"/>
              <w:rPr>
                <w:i/>
                <w:sz w:val="16"/>
              </w:rPr>
            </w:pPr>
            <w:r w:rsidRPr="002954E0">
              <w:rPr>
                <w:i/>
                <w:sz w:val="16"/>
              </w:rPr>
              <w:t>2000</w:t>
            </w:r>
            <w:r>
              <w:rPr>
                <w:i/>
                <w:sz w:val="16"/>
              </w:rPr>
              <w:t>-</w:t>
            </w:r>
            <w:r w:rsidRPr="002954E0">
              <w:rPr>
                <w:i/>
                <w:sz w:val="16"/>
              </w:rPr>
              <w:t>2001</w:t>
            </w:r>
          </w:p>
        </w:tc>
        <w:tc>
          <w:tcPr>
            <w:tcW w:w="629" w:type="dxa"/>
            <w:tcBorders>
              <w:top w:val="single" w:sz="4" w:space="0" w:color="auto"/>
              <w:bottom w:val="single" w:sz="12" w:space="0" w:color="auto"/>
            </w:tcBorders>
            <w:shd w:val="clear" w:color="auto" w:fill="auto"/>
            <w:vAlign w:val="bottom"/>
          </w:tcPr>
          <w:p w:rsidR="00AA5B69" w:rsidRPr="002954E0" w:rsidRDefault="00AA5B69">
            <w:pPr>
              <w:keepNext/>
              <w:keepLines/>
              <w:spacing w:before="80" w:after="80" w:line="200" w:lineRule="exact"/>
              <w:jc w:val="right"/>
              <w:rPr>
                <w:i/>
                <w:sz w:val="16"/>
              </w:rPr>
            </w:pPr>
            <w:r w:rsidRPr="002954E0">
              <w:rPr>
                <w:i/>
                <w:sz w:val="16"/>
              </w:rPr>
              <w:t>2001</w:t>
            </w:r>
            <w:r>
              <w:rPr>
                <w:i/>
                <w:sz w:val="16"/>
              </w:rPr>
              <w:t>-</w:t>
            </w:r>
            <w:r w:rsidRPr="002954E0">
              <w:rPr>
                <w:i/>
                <w:sz w:val="16"/>
              </w:rPr>
              <w:t>2002</w:t>
            </w:r>
          </w:p>
        </w:tc>
        <w:tc>
          <w:tcPr>
            <w:tcW w:w="629" w:type="dxa"/>
            <w:tcBorders>
              <w:top w:val="single" w:sz="4" w:space="0" w:color="auto"/>
              <w:bottom w:val="single" w:sz="12" w:space="0" w:color="auto"/>
            </w:tcBorders>
            <w:shd w:val="clear" w:color="auto" w:fill="auto"/>
            <w:vAlign w:val="bottom"/>
          </w:tcPr>
          <w:p w:rsidR="00AA5B69" w:rsidRPr="002954E0" w:rsidRDefault="00AA5B69">
            <w:pPr>
              <w:keepNext/>
              <w:keepLines/>
              <w:spacing w:before="80" w:after="80" w:line="200" w:lineRule="exact"/>
              <w:jc w:val="right"/>
              <w:rPr>
                <w:i/>
                <w:sz w:val="16"/>
              </w:rPr>
            </w:pPr>
            <w:r w:rsidRPr="002954E0">
              <w:rPr>
                <w:i/>
                <w:sz w:val="16"/>
              </w:rPr>
              <w:t>2002</w:t>
            </w:r>
            <w:r>
              <w:rPr>
                <w:i/>
                <w:sz w:val="16"/>
              </w:rPr>
              <w:t>-</w:t>
            </w:r>
            <w:r w:rsidRPr="002954E0">
              <w:rPr>
                <w:i/>
                <w:sz w:val="16"/>
              </w:rPr>
              <w:t>2003</w:t>
            </w:r>
          </w:p>
        </w:tc>
        <w:tc>
          <w:tcPr>
            <w:tcW w:w="629" w:type="dxa"/>
            <w:tcBorders>
              <w:top w:val="single" w:sz="4" w:space="0" w:color="auto"/>
              <w:bottom w:val="single" w:sz="12" w:space="0" w:color="auto"/>
            </w:tcBorders>
            <w:shd w:val="clear" w:color="auto" w:fill="auto"/>
            <w:vAlign w:val="bottom"/>
          </w:tcPr>
          <w:p w:rsidR="00AA5B69" w:rsidRPr="002954E0" w:rsidRDefault="00AA5B69">
            <w:pPr>
              <w:keepNext/>
              <w:keepLines/>
              <w:spacing w:before="80" w:after="80" w:line="200" w:lineRule="exact"/>
              <w:jc w:val="right"/>
              <w:rPr>
                <w:i/>
                <w:sz w:val="16"/>
              </w:rPr>
            </w:pPr>
            <w:r w:rsidRPr="002954E0">
              <w:rPr>
                <w:i/>
                <w:sz w:val="16"/>
              </w:rPr>
              <w:t>2003</w:t>
            </w:r>
            <w:r>
              <w:rPr>
                <w:i/>
                <w:sz w:val="16"/>
              </w:rPr>
              <w:t>-</w:t>
            </w:r>
            <w:r w:rsidRPr="002954E0">
              <w:rPr>
                <w:i/>
                <w:sz w:val="16"/>
              </w:rPr>
              <w:t>2004</w:t>
            </w:r>
          </w:p>
        </w:tc>
        <w:tc>
          <w:tcPr>
            <w:tcW w:w="629" w:type="dxa"/>
            <w:tcBorders>
              <w:top w:val="single" w:sz="4" w:space="0" w:color="auto"/>
              <w:bottom w:val="single" w:sz="12" w:space="0" w:color="auto"/>
            </w:tcBorders>
            <w:shd w:val="clear" w:color="auto" w:fill="auto"/>
            <w:vAlign w:val="bottom"/>
          </w:tcPr>
          <w:p w:rsidR="00AA5B69" w:rsidRPr="002954E0" w:rsidRDefault="00AA5B69">
            <w:pPr>
              <w:keepNext/>
              <w:keepLines/>
              <w:spacing w:before="80" w:after="80" w:line="200" w:lineRule="exact"/>
              <w:jc w:val="right"/>
              <w:rPr>
                <w:i/>
                <w:sz w:val="16"/>
              </w:rPr>
            </w:pPr>
            <w:r w:rsidRPr="002954E0">
              <w:rPr>
                <w:i/>
                <w:sz w:val="16"/>
              </w:rPr>
              <w:t>2004</w:t>
            </w:r>
            <w:r>
              <w:rPr>
                <w:i/>
                <w:sz w:val="16"/>
              </w:rPr>
              <w:t>-</w:t>
            </w:r>
            <w:r w:rsidRPr="002954E0">
              <w:rPr>
                <w:i/>
                <w:sz w:val="16"/>
              </w:rPr>
              <w:t>2005</w:t>
            </w:r>
          </w:p>
        </w:tc>
        <w:tc>
          <w:tcPr>
            <w:tcW w:w="629" w:type="dxa"/>
            <w:tcBorders>
              <w:top w:val="single" w:sz="4" w:space="0" w:color="auto"/>
              <w:bottom w:val="single" w:sz="12" w:space="0" w:color="auto"/>
            </w:tcBorders>
            <w:shd w:val="clear" w:color="auto" w:fill="auto"/>
            <w:vAlign w:val="bottom"/>
          </w:tcPr>
          <w:p w:rsidR="00AA5B69" w:rsidRPr="002954E0" w:rsidRDefault="00AA5B69">
            <w:pPr>
              <w:keepNext/>
              <w:keepLines/>
              <w:spacing w:before="80" w:after="80" w:line="200" w:lineRule="exact"/>
              <w:jc w:val="right"/>
              <w:rPr>
                <w:i/>
                <w:sz w:val="16"/>
              </w:rPr>
            </w:pPr>
            <w:r w:rsidRPr="002954E0">
              <w:rPr>
                <w:i/>
                <w:sz w:val="16"/>
              </w:rPr>
              <w:t>2005</w:t>
            </w:r>
            <w:r>
              <w:rPr>
                <w:i/>
                <w:sz w:val="16"/>
              </w:rPr>
              <w:t>-</w:t>
            </w:r>
            <w:r w:rsidRPr="002954E0">
              <w:rPr>
                <w:i/>
                <w:sz w:val="16"/>
              </w:rPr>
              <w:t>2006</w:t>
            </w:r>
          </w:p>
        </w:tc>
        <w:tc>
          <w:tcPr>
            <w:tcW w:w="629" w:type="dxa"/>
            <w:tcBorders>
              <w:top w:val="single" w:sz="4" w:space="0" w:color="auto"/>
              <w:bottom w:val="single" w:sz="12" w:space="0" w:color="auto"/>
            </w:tcBorders>
            <w:shd w:val="clear" w:color="auto" w:fill="auto"/>
            <w:vAlign w:val="bottom"/>
          </w:tcPr>
          <w:p w:rsidR="00AA5B69" w:rsidRPr="002954E0" w:rsidRDefault="00AA5B69">
            <w:pPr>
              <w:spacing w:before="80" w:after="80" w:line="200" w:lineRule="exact"/>
              <w:jc w:val="right"/>
              <w:rPr>
                <w:i/>
                <w:sz w:val="16"/>
              </w:rPr>
            </w:pPr>
            <w:r w:rsidRPr="002954E0">
              <w:rPr>
                <w:i/>
                <w:sz w:val="16"/>
              </w:rPr>
              <w:t>2006</w:t>
            </w:r>
            <w:r>
              <w:rPr>
                <w:i/>
                <w:sz w:val="16"/>
              </w:rPr>
              <w:t>-</w:t>
            </w:r>
            <w:r w:rsidRPr="002954E0">
              <w:rPr>
                <w:i/>
                <w:sz w:val="16"/>
              </w:rPr>
              <w:t>2007</w:t>
            </w:r>
          </w:p>
        </w:tc>
      </w:tr>
      <w:tr w:rsidR="00AA5B69" w:rsidRPr="002954E0">
        <w:trPr>
          <w:trHeight w:val="284"/>
        </w:trPr>
        <w:tc>
          <w:tcPr>
            <w:tcW w:w="1708" w:type="dxa"/>
            <w:tcBorders>
              <w:top w:val="single" w:sz="12" w:space="0" w:color="auto"/>
              <w:bottom w:val="nil"/>
            </w:tcBorders>
            <w:shd w:val="clear" w:color="auto" w:fill="auto"/>
          </w:tcPr>
          <w:p w:rsidR="00AA5B69" w:rsidRDefault="00AA5B69">
            <w:pPr>
              <w:keepNext/>
              <w:keepLines/>
              <w:spacing w:before="40" w:after="40" w:line="220" w:lineRule="exact"/>
              <w:rPr>
                <w:sz w:val="18"/>
                <w:szCs w:val="18"/>
              </w:rPr>
            </w:pPr>
            <w:r>
              <w:rPr>
                <w:i/>
                <w:sz w:val="18"/>
                <w:szCs w:val="18"/>
              </w:rPr>
              <w:t>Utilización de niños en la pornografía</w:t>
            </w:r>
          </w:p>
        </w:tc>
        <w:tc>
          <w:tcPr>
            <w:tcW w:w="5662" w:type="dxa"/>
            <w:gridSpan w:val="9"/>
            <w:tcBorders>
              <w:top w:val="single" w:sz="12" w:space="0" w:color="auto"/>
              <w:bottom w:val="nil"/>
            </w:tcBorders>
            <w:shd w:val="clear" w:color="auto" w:fill="auto"/>
            <w:vAlign w:val="bottom"/>
          </w:tcPr>
          <w:p w:rsidR="00AA5B69" w:rsidRDefault="00AA5B69">
            <w:pPr>
              <w:keepNext/>
              <w:keepLines/>
              <w:spacing w:before="40" w:after="40" w:line="220" w:lineRule="exact"/>
              <w:jc w:val="center"/>
              <w:rPr>
                <w:sz w:val="18"/>
                <w:szCs w:val="18"/>
              </w:rPr>
            </w:pPr>
          </w:p>
        </w:tc>
      </w:tr>
      <w:tr w:rsidR="00AA5B69" w:rsidRPr="002954E0">
        <w:trPr>
          <w:trHeight w:val="284"/>
        </w:trPr>
        <w:tc>
          <w:tcPr>
            <w:tcW w:w="1708" w:type="dxa"/>
            <w:tcBorders>
              <w:top w:val="nil"/>
              <w:bottom w:val="nil"/>
            </w:tcBorders>
            <w:shd w:val="clear" w:color="auto" w:fill="auto"/>
          </w:tcPr>
          <w:p w:rsidR="00AA5B69" w:rsidRDefault="00AA5B69">
            <w:pPr>
              <w:keepNext/>
              <w:keepLines/>
              <w:spacing w:before="40" w:after="40" w:line="220" w:lineRule="exact"/>
              <w:rPr>
                <w:sz w:val="18"/>
                <w:szCs w:val="18"/>
              </w:rPr>
            </w:pPr>
            <w:r>
              <w:rPr>
                <w:sz w:val="18"/>
                <w:szCs w:val="18"/>
              </w:rPr>
              <w:t>Producción o posesión con esos fines</w:t>
            </w:r>
          </w:p>
        </w:tc>
        <w:tc>
          <w:tcPr>
            <w:tcW w:w="630" w:type="dxa"/>
            <w:tcBorders>
              <w:top w:val="nil"/>
              <w:bottom w:val="nil"/>
            </w:tcBorders>
            <w:shd w:val="clear" w:color="auto" w:fill="auto"/>
            <w:noWrap/>
            <w:vAlign w:val="bottom"/>
          </w:tcPr>
          <w:p w:rsidR="00AA5B69" w:rsidRDefault="00AA5B69">
            <w:pPr>
              <w:keepNext/>
              <w:keepLines/>
              <w:spacing w:before="40" w:after="40" w:line="220" w:lineRule="exact"/>
              <w:jc w:val="right"/>
              <w:rPr>
                <w:sz w:val="18"/>
                <w:szCs w:val="18"/>
              </w:rPr>
            </w:pPr>
            <w:r>
              <w:rPr>
                <w:sz w:val="18"/>
                <w:szCs w:val="18"/>
              </w:rPr>
              <w:t>4</w:t>
            </w:r>
          </w:p>
        </w:tc>
        <w:tc>
          <w:tcPr>
            <w:tcW w:w="629" w:type="dxa"/>
            <w:tcBorders>
              <w:top w:val="nil"/>
              <w:bottom w:val="nil"/>
            </w:tcBorders>
            <w:shd w:val="clear" w:color="auto" w:fill="auto"/>
            <w:noWrap/>
            <w:vAlign w:val="bottom"/>
          </w:tcPr>
          <w:p w:rsidR="00AA5B69" w:rsidRDefault="00AA5B69">
            <w:pPr>
              <w:keepNext/>
              <w:keepLines/>
              <w:spacing w:before="40" w:after="40" w:line="220" w:lineRule="exact"/>
              <w:jc w:val="right"/>
              <w:rPr>
                <w:sz w:val="18"/>
                <w:szCs w:val="18"/>
              </w:rPr>
            </w:pPr>
            <w:r>
              <w:rPr>
                <w:sz w:val="18"/>
                <w:szCs w:val="18"/>
              </w:rPr>
              <w:t>10</w:t>
            </w:r>
          </w:p>
        </w:tc>
        <w:tc>
          <w:tcPr>
            <w:tcW w:w="629" w:type="dxa"/>
            <w:tcBorders>
              <w:top w:val="nil"/>
              <w:bottom w:val="nil"/>
            </w:tcBorders>
            <w:shd w:val="clear" w:color="auto" w:fill="auto"/>
            <w:noWrap/>
            <w:vAlign w:val="bottom"/>
          </w:tcPr>
          <w:p w:rsidR="00AA5B69" w:rsidRDefault="00AA5B69">
            <w:pPr>
              <w:keepNext/>
              <w:keepLines/>
              <w:spacing w:before="40" w:after="40" w:line="220" w:lineRule="exact"/>
              <w:jc w:val="right"/>
              <w:rPr>
                <w:sz w:val="18"/>
                <w:szCs w:val="18"/>
              </w:rPr>
            </w:pPr>
            <w:r>
              <w:rPr>
                <w:sz w:val="18"/>
                <w:szCs w:val="18"/>
              </w:rPr>
              <w:t>8</w:t>
            </w:r>
          </w:p>
        </w:tc>
        <w:tc>
          <w:tcPr>
            <w:tcW w:w="629" w:type="dxa"/>
            <w:tcBorders>
              <w:top w:val="nil"/>
              <w:bottom w:val="nil"/>
            </w:tcBorders>
            <w:shd w:val="clear" w:color="auto" w:fill="auto"/>
            <w:noWrap/>
            <w:vAlign w:val="bottom"/>
          </w:tcPr>
          <w:p w:rsidR="00AA5B69" w:rsidRDefault="00AA5B69">
            <w:pPr>
              <w:keepNext/>
              <w:keepLines/>
              <w:spacing w:before="40" w:after="40" w:line="220" w:lineRule="exact"/>
              <w:jc w:val="right"/>
              <w:rPr>
                <w:sz w:val="18"/>
                <w:szCs w:val="18"/>
              </w:rPr>
            </w:pPr>
            <w:r>
              <w:rPr>
                <w:sz w:val="18"/>
                <w:szCs w:val="18"/>
              </w:rPr>
              <w:t>11</w:t>
            </w:r>
          </w:p>
        </w:tc>
        <w:tc>
          <w:tcPr>
            <w:tcW w:w="629" w:type="dxa"/>
            <w:tcBorders>
              <w:top w:val="nil"/>
              <w:bottom w:val="nil"/>
            </w:tcBorders>
            <w:shd w:val="clear" w:color="auto" w:fill="auto"/>
            <w:noWrap/>
            <w:vAlign w:val="bottom"/>
          </w:tcPr>
          <w:p w:rsidR="00AA5B69" w:rsidRDefault="00AA5B69">
            <w:pPr>
              <w:keepNext/>
              <w:keepLines/>
              <w:spacing w:before="40" w:after="40" w:line="220" w:lineRule="exact"/>
              <w:jc w:val="right"/>
              <w:rPr>
                <w:sz w:val="18"/>
                <w:szCs w:val="18"/>
              </w:rPr>
            </w:pPr>
            <w:r>
              <w:rPr>
                <w:sz w:val="18"/>
                <w:szCs w:val="18"/>
              </w:rPr>
              <w:t>10</w:t>
            </w:r>
          </w:p>
        </w:tc>
        <w:tc>
          <w:tcPr>
            <w:tcW w:w="629" w:type="dxa"/>
            <w:tcBorders>
              <w:top w:val="nil"/>
              <w:bottom w:val="nil"/>
            </w:tcBorders>
            <w:shd w:val="clear" w:color="auto" w:fill="auto"/>
            <w:noWrap/>
            <w:vAlign w:val="bottom"/>
          </w:tcPr>
          <w:p w:rsidR="00AA5B69" w:rsidRDefault="00AA5B69">
            <w:pPr>
              <w:keepNext/>
              <w:keepLines/>
              <w:spacing w:before="40" w:after="40" w:line="220" w:lineRule="exact"/>
              <w:jc w:val="right"/>
              <w:rPr>
                <w:sz w:val="18"/>
                <w:szCs w:val="18"/>
              </w:rPr>
            </w:pPr>
            <w:r>
              <w:rPr>
                <w:sz w:val="18"/>
                <w:szCs w:val="18"/>
              </w:rPr>
              <w:t>9</w:t>
            </w:r>
          </w:p>
        </w:tc>
        <w:tc>
          <w:tcPr>
            <w:tcW w:w="629" w:type="dxa"/>
            <w:tcBorders>
              <w:top w:val="nil"/>
              <w:bottom w:val="nil"/>
            </w:tcBorders>
            <w:shd w:val="clear" w:color="auto" w:fill="auto"/>
            <w:noWrap/>
            <w:vAlign w:val="bottom"/>
          </w:tcPr>
          <w:p w:rsidR="00AA5B69" w:rsidRDefault="00AA5B69">
            <w:pPr>
              <w:keepNext/>
              <w:keepLines/>
              <w:spacing w:before="40" w:after="40" w:line="220" w:lineRule="exact"/>
              <w:jc w:val="right"/>
              <w:rPr>
                <w:sz w:val="18"/>
                <w:szCs w:val="18"/>
              </w:rPr>
            </w:pPr>
            <w:r>
              <w:rPr>
                <w:sz w:val="18"/>
                <w:szCs w:val="18"/>
              </w:rPr>
              <w:t>8</w:t>
            </w:r>
          </w:p>
        </w:tc>
        <w:tc>
          <w:tcPr>
            <w:tcW w:w="629" w:type="dxa"/>
            <w:tcBorders>
              <w:top w:val="nil"/>
              <w:bottom w:val="nil"/>
            </w:tcBorders>
            <w:shd w:val="clear" w:color="auto" w:fill="auto"/>
            <w:noWrap/>
            <w:vAlign w:val="bottom"/>
          </w:tcPr>
          <w:p w:rsidR="00AA5B69" w:rsidRDefault="00AA5B69">
            <w:pPr>
              <w:keepNext/>
              <w:keepLines/>
              <w:spacing w:before="40" w:after="40" w:line="220" w:lineRule="exact"/>
              <w:jc w:val="right"/>
              <w:rPr>
                <w:sz w:val="18"/>
                <w:szCs w:val="18"/>
              </w:rPr>
            </w:pPr>
            <w:r>
              <w:rPr>
                <w:sz w:val="18"/>
                <w:szCs w:val="18"/>
              </w:rPr>
              <w:t>6</w:t>
            </w:r>
          </w:p>
        </w:tc>
        <w:tc>
          <w:tcPr>
            <w:tcW w:w="629" w:type="dxa"/>
            <w:tcBorders>
              <w:top w:val="nil"/>
              <w:bottom w:val="nil"/>
            </w:tcBorders>
            <w:shd w:val="clear" w:color="auto" w:fill="auto"/>
            <w:noWrap/>
            <w:vAlign w:val="bottom"/>
          </w:tcPr>
          <w:p w:rsidR="00AA5B69" w:rsidRDefault="00AA5B69">
            <w:pPr>
              <w:spacing w:before="40" w:after="40" w:line="220" w:lineRule="exact"/>
              <w:jc w:val="right"/>
              <w:rPr>
                <w:sz w:val="18"/>
                <w:szCs w:val="18"/>
              </w:rPr>
            </w:pPr>
            <w:r>
              <w:rPr>
                <w:sz w:val="18"/>
                <w:szCs w:val="18"/>
              </w:rPr>
              <w:t>11</w:t>
            </w:r>
          </w:p>
        </w:tc>
      </w:tr>
      <w:tr w:rsidR="00AA5B69" w:rsidRPr="002954E0">
        <w:trPr>
          <w:cantSplit/>
          <w:trHeight w:val="284"/>
        </w:trPr>
        <w:tc>
          <w:tcPr>
            <w:tcW w:w="1708" w:type="dxa"/>
            <w:tcBorders>
              <w:top w:val="nil"/>
            </w:tcBorders>
            <w:shd w:val="clear" w:color="auto" w:fill="auto"/>
          </w:tcPr>
          <w:p w:rsidR="00AA5B69" w:rsidRDefault="00AA5B69">
            <w:pPr>
              <w:spacing w:before="40" w:after="40" w:line="220" w:lineRule="exact"/>
              <w:rPr>
                <w:sz w:val="18"/>
                <w:szCs w:val="18"/>
              </w:rPr>
            </w:pPr>
            <w:r>
              <w:rPr>
                <w:sz w:val="18"/>
                <w:szCs w:val="18"/>
              </w:rPr>
              <w:t>Distribución o transmisión</w:t>
            </w:r>
          </w:p>
        </w:tc>
        <w:tc>
          <w:tcPr>
            <w:tcW w:w="630" w:type="dxa"/>
            <w:tcBorders>
              <w:top w:val="nil"/>
            </w:tcBorders>
            <w:shd w:val="clear" w:color="auto" w:fill="auto"/>
            <w:noWrap/>
            <w:vAlign w:val="bottom"/>
          </w:tcPr>
          <w:p w:rsidR="00AA5B69" w:rsidRDefault="00AA5B69">
            <w:pPr>
              <w:spacing w:before="40" w:after="40" w:line="220" w:lineRule="exact"/>
              <w:jc w:val="right"/>
              <w:rPr>
                <w:sz w:val="18"/>
                <w:szCs w:val="18"/>
              </w:rPr>
            </w:pPr>
            <w:r>
              <w:rPr>
                <w:sz w:val="18"/>
                <w:szCs w:val="18"/>
              </w:rPr>
              <w:t>15</w:t>
            </w:r>
          </w:p>
        </w:tc>
        <w:tc>
          <w:tcPr>
            <w:tcW w:w="629" w:type="dxa"/>
            <w:tcBorders>
              <w:top w:val="nil"/>
            </w:tcBorders>
            <w:shd w:val="clear" w:color="auto" w:fill="auto"/>
            <w:noWrap/>
            <w:vAlign w:val="bottom"/>
          </w:tcPr>
          <w:p w:rsidR="00AA5B69" w:rsidRDefault="00AA5B69">
            <w:pPr>
              <w:spacing w:before="40" w:after="40" w:line="220" w:lineRule="exact"/>
              <w:jc w:val="right"/>
              <w:rPr>
                <w:sz w:val="18"/>
                <w:szCs w:val="18"/>
              </w:rPr>
            </w:pPr>
            <w:r>
              <w:rPr>
                <w:sz w:val="18"/>
                <w:szCs w:val="18"/>
              </w:rPr>
              <w:t>12</w:t>
            </w:r>
          </w:p>
        </w:tc>
        <w:tc>
          <w:tcPr>
            <w:tcW w:w="629" w:type="dxa"/>
            <w:tcBorders>
              <w:top w:val="nil"/>
            </w:tcBorders>
            <w:shd w:val="clear" w:color="auto" w:fill="auto"/>
            <w:noWrap/>
            <w:vAlign w:val="bottom"/>
          </w:tcPr>
          <w:p w:rsidR="00AA5B69" w:rsidRDefault="00AA5B69">
            <w:pPr>
              <w:spacing w:before="40" w:after="40" w:line="220" w:lineRule="exact"/>
              <w:jc w:val="right"/>
              <w:rPr>
                <w:sz w:val="18"/>
                <w:szCs w:val="18"/>
              </w:rPr>
            </w:pPr>
            <w:r>
              <w:rPr>
                <w:sz w:val="18"/>
                <w:szCs w:val="18"/>
              </w:rPr>
              <w:t>12</w:t>
            </w:r>
          </w:p>
        </w:tc>
        <w:tc>
          <w:tcPr>
            <w:tcW w:w="629" w:type="dxa"/>
            <w:tcBorders>
              <w:top w:val="nil"/>
            </w:tcBorders>
            <w:shd w:val="clear" w:color="auto" w:fill="auto"/>
            <w:noWrap/>
            <w:vAlign w:val="bottom"/>
          </w:tcPr>
          <w:p w:rsidR="00AA5B69" w:rsidRDefault="00AA5B69">
            <w:pPr>
              <w:spacing w:before="40" w:after="40" w:line="220" w:lineRule="exact"/>
              <w:jc w:val="right"/>
              <w:rPr>
                <w:sz w:val="18"/>
                <w:szCs w:val="18"/>
              </w:rPr>
            </w:pPr>
            <w:r>
              <w:rPr>
                <w:sz w:val="18"/>
                <w:szCs w:val="18"/>
              </w:rPr>
              <w:t>13</w:t>
            </w:r>
          </w:p>
        </w:tc>
        <w:tc>
          <w:tcPr>
            <w:tcW w:w="629" w:type="dxa"/>
            <w:tcBorders>
              <w:top w:val="nil"/>
            </w:tcBorders>
            <w:shd w:val="clear" w:color="auto" w:fill="auto"/>
            <w:noWrap/>
            <w:vAlign w:val="bottom"/>
          </w:tcPr>
          <w:p w:rsidR="00AA5B69" w:rsidRDefault="00AA5B69">
            <w:pPr>
              <w:spacing w:before="40" w:after="40" w:line="220" w:lineRule="exact"/>
              <w:jc w:val="right"/>
              <w:rPr>
                <w:sz w:val="18"/>
                <w:szCs w:val="18"/>
              </w:rPr>
            </w:pPr>
            <w:r>
              <w:rPr>
                <w:sz w:val="18"/>
                <w:szCs w:val="18"/>
              </w:rPr>
              <w:t>15</w:t>
            </w:r>
          </w:p>
        </w:tc>
        <w:tc>
          <w:tcPr>
            <w:tcW w:w="629" w:type="dxa"/>
            <w:tcBorders>
              <w:top w:val="nil"/>
            </w:tcBorders>
            <w:shd w:val="clear" w:color="auto" w:fill="auto"/>
            <w:noWrap/>
            <w:vAlign w:val="bottom"/>
          </w:tcPr>
          <w:p w:rsidR="00AA5B69" w:rsidRDefault="00AA5B69">
            <w:pPr>
              <w:spacing w:before="40" w:after="40" w:line="220" w:lineRule="exact"/>
              <w:jc w:val="right"/>
              <w:rPr>
                <w:sz w:val="18"/>
                <w:szCs w:val="18"/>
              </w:rPr>
            </w:pPr>
            <w:r>
              <w:rPr>
                <w:sz w:val="18"/>
                <w:szCs w:val="18"/>
              </w:rPr>
              <w:t>13</w:t>
            </w:r>
          </w:p>
        </w:tc>
        <w:tc>
          <w:tcPr>
            <w:tcW w:w="629" w:type="dxa"/>
            <w:tcBorders>
              <w:top w:val="nil"/>
            </w:tcBorders>
            <w:shd w:val="clear" w:color="auto" w:fill="auto"/>
            <w:noWrap/>
            <w:vAlign w:val="bottom"/>
          </w:tcPr>
          <w:p w:rsidR="00AA5B69" w:rsidRDefault="00AA5B69">
            <w:pPr>
              <w:spacing w:before="40" w:after="40" w:line="220" w:lineRule="exact"/>
              <w:jc w:val="right"/>
              <w:rPr>
                <w:sz w:val="18"/>
                <w:szCs w:val="18"/>
              </w:rPr>
            </w:pPr>
            <w:r>
              <w:rPr>
                <w:sz w:val="18"/>
                <w:szCs w:val="18"/>
              </w:rPr>
              <w:t>29</w:t>
            </w:r>
          </w:p>
        </w:tc>
        <w:tc>
          <w:tcPr>
            <w:tcW w:w="629" w:type="dxa"/>
            <w:tcBorders>
              <w:top w:val="nil"/>
            </w:tcBorders>
            <w:shd w:val="clear" w:color="auto" w:fill="auto"/>
            <w:noWrap/>
            <w:vAlign w:val="bottom"/>
          </w:tcPr>
          <w:p w:rsidR="00AA5B69" w:rsidRDefault="00AA5B69">
            <w:pPr>
              <w:spacing w:before="40" w:after="40" w:line="220" w:lineRule="exact"/>
              <w:jc w:val="right"/>
              <w:rPr>
                <w:sz w:val="18"/>
                <w:szCs w:val="18"/>
              </w:rPr>
            </w:pPr>
            <w:r>
              <w:rPr>
                <w:sz w:val="18"/>
                <w:szCs w:val="18"/>
              </w:rPr>
              <w:t>23</w:t>
            </w:r>
          </w:p>
        </w:tc>
        <w:tc>
          <w:tcPr>
            <w:tcW w:w="629" w:type="dxa"/>
            <w:tcBorders>
              <w:top w:val="nil"/>
            </w:tcBorders>
            <w:shd w:val="clear" w:color="auto" w:fill="auto"/>
            <w:noWrap/>
            <w:vAlign w:val="bottom"/>
          </w:tcPr>
          <w:p w:rsidR="00AA5B69" w:rsidRDefault="00AA5B69">
            <w:pPr>
              <w:spacing w:before="40" w:after="40" w:line="220" w:lineRule="exact"/>
              <w:jc w:val="right"/>
              <w:rPr>
                <w:sz w:val="18"/>
                <w:szCs w:val="18"/>
              </w:rPr>
            </w:pPr>
            <w:r>
              <w:rPr>
                <w:sz w:val="18"/>
                <w:szCs w:val="18"/>
              </w:rPr>
              <w:t>17</w:t>
            </w:r>
          </w:p>
        </w:tc>
      </w:tr>
      <w:tr w:rsidR="00AA5B69" w:rsidRPr="002954E0">
        <w:trPr>
          <w:trHeight w:val="284"/>
        </w:trPr>
        <w:tc>
          <w:tcPr>
            <w:tcW w:w="1708" w:type="dxa"/>
            <w:tcBorders>
              <w:bottom w:val="single" w:sz="4" w:space="0" w:color="auto"/>
            </w:tcBorders>
            <w:shd w:val="clear" w:color="auto" w:fill="auto"/>
          </w:tcPr>
          <w:p w:rsidR="00AA5B69" w:rsidRDefault="00AA5B69">
            <w:pPr>
              <w:spacing w:before="40" w:after="40" w:line="220" w:lineRule="exact"/>
              <w:rPr>
                <w:sz w:val="18"/>
                <w:szCs w:val="18"/>
              </w:rPr>
            </w:pPr>
            <w:r>
              <w:rPr>
                <w:sz w:val="18"/>
                <w:szCs w:val="18"/>
              </w:rPr>
              <w:t>Posesión o acceso</w:t>
            </w:r>
          </w:p>
        </w:tc>
        <w:tc>
          <w:tcPr>
            <w:tcW w:w="630" w:type="dxa"/>
            <w:tcBorders>
              <w:bottom w:val="single" w:sz="4" w:space="0" w:color="auto"/>
            </w:tcBorders>
            <w:shd w:val="clear" w:color="auto" w:fill="auto"/>
            <w:noWrap/>
            <w:vAlign w:val="bottom"/>
          </w:tcPr>
          <w:p w:rsidR="00AA5B69" w:rsidRDefault="00AA5B69">
            <w:pPr>
              <w:spacing w:before="40" w:after="40" w:line="220" w:lineRule="exact"/>
              <w:jc w:val="right"/>
              <w:rPr>
                <w:sz w:val="18"/>
                <w:szCs w:val="18"/>
              </w:rPr>
            </w:pPr>
            <w:r>
              <w:rPr>
                <w:sz w:val="18"/>
                <w:szCs w:val="18"/>
              </w:rPr>
              <w:t>50</w:t>
            </w:r>
          </w:p>
        </w:tc>
        <w:tc>
          <w:tcPr>
            <w:tcW w:w="629" w:type="dxa"/>
            <w:tcBorders>
              <w:bottom w:val="single" w:sz="4" w:space="0" w:color="auto"/>
            </w:tcBorders>
            <w:shd w:val="clear" w:color="auto" w:fill="auto"/>
            <w:noWrap/>
            <w:vAlign w:val="bottom"/>
          </w:tcPr>
          <w:p w:rsidR="00AA5B69" w:rsidRDefault="00AA5B69">
            <w:pPr>
              <w:spacing w:before="40" w:after="40" w:line="220" w:lineRule="exact"/>
              <w:jc w:val="right"/>
              <w:rPr>
                <w:sz w:val="18"/>
                <w:szCs w:val="18"/>
              </w:rPr>
            </w:pPr>
            <w:r>
              <w:rPr>
                <w:sz w:val="18"/>
                <w:szCs w:val="18"/>
              </w:rPr>
              <w:t>34</w:t>
            </w:r>
          </w:p>
        </w:tc>
        <w:tc>
          <w:tcPr>
            <w:tcW w:w="629" w:type="dxa"/>
            <w:tcBorders>
              <w:bottom w:val="single" w:sz="4" w:space="0" w:color="auto"/>
            </w:tcBorders>
            <w:shd w:val="clear" w:color="auto" w:fill="auto"/>
            <w:noWrap/>
            <w:vAlign w:val="bottom"/>
          </w:tcPr>
          <w:p w:rsidR="00AA5B69" w:rsidRDefault="00AA5B69">
            <w:pPr>
              <w:spacing w:before="40" w:after="40" w:line="220" w:lineRule="exact"/>
              <w:jc w:val="right"/>
              <w:rPr>
                <w:sz w:val="18"/>
                <w:szCs w:val="18"/>
              </w:rPr>
            </w:pPr>
            <w:r>
              <w:rPr>
                <w:sz w:val="18"/>
                <w:szCs w:val="18"/>
              </w:rPr>
              <w:t>23</w:t>
            </w:r>
          </w:p>
        </w:tc>
        <w:tc>
          <w:tcPr>
            <w:tcW w:w="629" w:type="dxa"/>
            <w:tcBorders>
              <w:bottom w:val="single" w:sz="4" w:space="0" w:color="auto"/>
            </w:tcBorders>
            <w:shd w:val="clear" w:color="auto" w:fill="auto"/>
            <w:noWrap/>
            <w:vAlign w:val="bottom"/>
          </w:tcPr>
          <w:p w:rsidR="00AA5B69" w:rsidRDefault="00AA5B69">
            <w:pPr>
              <w:spacing w:before="40" w:after="40" w:line="220" w:lineRule="exact"/>
              <w:jc w:val="right"/>
              <w:rPr>
                <w:sz w:val="18"/>
                <w:szCs w:val="18"/>
              </w:rPr>
            </w:pPr>
            <w:r>
              <w:rPr>
                <w:sz w:val="18"/>
                <w:szCs w:val="18"/>
              </w:rPr>
              <w:t>98</w:t>
            </w:r>
          </w:p>
        </w:tc>
        <w:tc>
          <w:tcPr>
            <w:tcW w:w="629" w:type="dxa"/>
            <w:tcBorders>
              <w:bottom w:val="single" w:sz="4" w:space="0" w:color="auto"/>
            </w:tcBorders>
            <w:shd w:val="clear" w:color="auto" w:fill="auto"/>
            <w:noWrap/>
            <w:vAlign w:val="bottom"/>
          </w:tcPr>
          <w:p w:rsidR="00AA5B69" w:rsidRDefault="00AA5B69">
            <w:pPr>
              <w:spacing w:before="40" w:after="40" w:line="220" w:lineRule="exact"/>
              <w:jc w:val="right"/>
              <w:rPr>
                <w:sz w:val="18"/>
                <w:szCs w:val="18"/>
              </w:rPr>
            </w:pPr>
            <w:r>
              <w:rPr>
                <w:sz w:val="18"/>
                <w:szCs w:val="18"/>
              </w:rPr>
              <w:t>116</w:t>
            </w:r>
          </w:p>
        </w:tc>
        <w:tc>
          <w:tcPr>
            <w:tcW w:w="629" w:type="dxa"/>
            <w:tcBorders>
              <w:bottom w:val="single" w:sz="4" w:space="0" w:color="auto"/>
            </w:tcBorders>
            <w:shd w:val="clear" w:color="auto" w:fill="auto"/>
            <w:noWrap/>
            <w:vAlign w:val="bottom"/>
          </w:tcPr>
          <w:p w:rsidR="00AA5B69" w:rsidRDefault="00AA5B69">
            <w:pPr>
              <w:spacing w:before="40" w:after="40" w:line="220" w:lineRule="exact"/>
              <w:jc w:val="right"/>
              <w:rPr>
                <w:sz w:val="18"/>
                <w:szCs w:val="18"/>
              </w:rPr>
            </w:pPr>
            <w:r>
              <w:rPr>
                <w:sz w:val="18"/>
                <w:szCs w:val="18"/>
              </w:rPr>
              <w:t>120</w:t>
            </w:r>
          </w:p>
        </w:tc>
        <w:tc>
          <w:tcPr>
            <w:tcW w:w="629" w:type="dxa"/>
            <w:tcBorders>
              <w:bottom w:val="single" w:sz="4" w:space="0" w:color="auto"/>
            </w:tcBorders>
            <w:shd w:val="clear" w:color="auto" w:fill="auto"/>
            <w:noWrap/>
            <w:vAlign w:val="bottom"/>
          </w:tcPr>
          <w:p w:rsidR="00AA5B69" w:rsidRDefault="00AA5B69">
            <w:pPr>
              <w:spacing w:before="40" w:after="40" w:line="220" w:lineRule="exact"/>
              <w:jc w:val="right"/>
              <w:rPr>
                <w:sz w:val="18"/>
                <w:szCs w:val="18"/>
              </w:rPr>
            </w:pPr>
            <w:r>
              <w:rPr>
                <w:sz w:val="18"/>
                <w:szCs w:val="18"/>
              </w:rPr>
              <w:t>142</w:t>
            </w:r>
          </w:p>
        </w:tc>
        <w:tc>
          <w:tcPr>
            <w:tcW w:w="629" w:type="dxa"/>
            <w:tcBorders>
              <w:bottom w:val="single" w:sz="4" w:space="0" w:color="auto"/>
            </w:tcBorders>
            <w:shd w:val="clear" w:color="auto" w:fill="auto"/>
            <w:noWrap/>
            <w:vAlign w:val="bottom"/>
          </w:tcPr>
          <w:p w:rsidR="00AA5B69" w:rsidRDefault="00AA5B69">
            <w:pPr>
              <w:spacing w:before="40" w:after="40" w:line="220" w:lineRule="exact"/>
              <w:jc w:val="right"/>
              <w:rPr>
                <w:sz w:val="18"/>
                <w:szCs w:val="18"/>
              </w:rPr>
            </w:pPr>
            <w:r>
              <w:rPr>
                <w:sz w:val="18"/>
                <w:szCs w:val="18"/>
              </w:rPr>
              <w:t>189</w:t>
            </w:r>
          </w:p>
        </w:tc>
        <w:tc>
          <w:tcPr>
            <w:tcW w:w="629" w:type="dxa"/>
            <w:tcBorders>
              <w:bottom w:val="single" w:sz="4" w:space="0" w:color="auto"/>
            </w:tcBorders>
            <w:shd w:val="clear" w:color="auto" w:fill="auto"/>
            <w:noWrap/>
            <w:vAlign w:val="bottom"/>
          </w:tcPr>
          <w:p w:rsidR="00AA5B69" w:rsidRDefault="00AA5B69">
            <w:pPr>
              <w:spacing w:before="40" w:after="40" w:line="220" w:lineRule="exact"/>
              <w:jc w:val="right"/>
              <w:rPr>
                <w:sz w:val="18"/>
                <w:szCs w:val="18"/>
              </w:rPr>
            </w:pPr>
            <w:r>
              <w:rPr>
                <w:sz w:val="18"/>
                <w:szCs w:val="18"/>
              </w:rPr>
              <w:t>191</w:t>
            </w:r>
          </w:p>
        </w:tc>
      </w:tr>
      <w:tr w:rsidR="00AA5B69" w:rsidRPr="002954E0">
        <w:trPr>
          <w:trHeight w:val="284"/>
        </w:trPr>
        <w:tc>
          <w:tcPr>
            <w:tcW w:w="1708" w:type="dxa"/>
            <w:tcBorders>
              <w:top w:val="single" w:sz="4" w:space="0" w:color="auto"/>
              <w:bottom w:val="single" w:sz="4" w:space="0" w:color="auto"/>
            </w:tcBorders>
            <w:shd w:val="clear" w:color="auto" w:fill="auto"/>
          </w:tcPr>
          <w:p w:rsidR="00AA5B69" w:rsidRPr="002954E0" w:rsidRDefault="00AA5B69">
            <w:pPr>
              <w:spacing w:before="80" w:after="80" w:line="220" w:lineRule="exact"/>
              <w:ind w:firstLine="284"/>
              <w:rPr>
                <w:b/>
                <w:sz w:val="18"/>
              </w:rPr>
            </w:pPr>
            <w:r w:rsidRPr="002954E0">
              <w:rPr>
                <w:b/>
                <w:sz w:val="18"/>
              </w:rPr>
              <w:t>Subtotal</w:t>
            </w:r>
          </w:p>
        </w:tc>
        <w:tc>
          <w:tcPr>
            <w:tcW w:w="630" w:type="dxa"/>
            <w:tcBorders>
              <w:top w:val="single" w:sz="4" w:space="0" w:color="auto"/>
              <w:bottom w:val="single" w:sz="4" w:space="0" w:color="auto"/>
            </w:tcBorders>
            <w:shd w:val="clear" w:color="auto" w:fill="auto"/>
            <w:noWrap/>
            <w:vAlign w:val="bottom"/>
          </w:tcPr>
          <w:p w:rsidR="00AA5B69" w:rsidRPr="002954E0" w:rsidRDefault="00AA5B69">
            <w:pPr>
              <w:spacing w:before="80" w:after="80" w:line="220" w:lineRule="exact"/>
              <w:jc w:val="right"/>
              <w:rPr>
                <w:b/>
                <w:sz w:val="18"/>
              </w:rPr>
            </w:pPr>
            <w:r w:rsidRPr="002954E0">
              <w:rPr>
                <w:b/>
                <w:sz w:val="18"/>
              </w:rPr>
              <w:t>69</w:t>
            </w:r>
          </w:p>
        </w:tc>
        <w:tc>
          <w:tcPr>
            <w:tcW w:w="629" w:type="dxa"/>
            <w:tcBorders>
              <w:top w:val="single" w:sz="4" w:space="0" w:color="auto"/>
              <w:bottom w:val="single" w:sz="4" w:space="0" w:color="auto"/>
            </w:tcBorders>
            <w:shd w:val="clear" w:color="auto" w:fill="auto"/>
            <w:noWrap/>
            <w:vAlign w:val="bottom"/>
          </w:tcPr>
          <w:p w:rsidR="00AA5B69" w:rsidRPr="002954E0" w:rsidRDefault="00AA5B69">
            <w:pPr>
              <w:spacing w:before="80" w:after="80" w:line="220" w:lineRule="exact"/>
              <w:jc w:val="right"/>
              <w:rPr>
                <w:b/>
                <w:sz w:val="18"/>
              </w:rPr>
            </w:pPr>
            <w:r w:rsidRPr="002954E0">
              <w:rPr>
                <w:b/>
                <w:sz w:val="18"/>
              </w:rPr>
              <w:t>56</w:t>
            </w:r>
          </w:p>
        </w:tc>
        <w:tc>
          <w:tcPr>
            <w:tcW w:w="629" w:type="dxa"/>
            <w:tcBorders>
              <w:top w:val="single" w:sz="4" w:space="0" w:color="auto"/>
              <w:bottom w:val="single" w:sz="4" w:space="0" w:color="auto"/>
            </w:tcBorders>
            <w:shd w:val="clear" w:color="auto" w:fill="auto"/>
            <w:noWrap/>
            <w:vAlign w:val="bottom"/>
          </w:tcPr>
          <w:p w:rsidR="00AA5B69" w:rsidRPr="002954E0" w:rsidRDefault="00AA5B69">
            <w:pPr>
              <w:spacing w:before="80" w:after="80" w:line="220" w:lineRule="exact"/>
              <w:jc w:val="right"/>
              <w:rPr>
                <w:b/>
                <w:sz w:val="18"/>
              </w:rPr>
            </w:pPr>
            <w:r w:rsidRPr="002954E0">
              <w:rPr>
                <w:b/>
                <w:sz w:val="18"/>
              </w:rPr>
              <w:t>43</w:t>
            </w:r>
          </w:p>
        </w:tc>
        <w:tc>
          <w:tcPr>
            <w:tcW w:w="629" w:type="dxa"/>
            <w:tcBorders>
              <w:top w:val="single" w:sz="4" w:space="0" w:color="auto"/>
              <w:bottom w:val="single" w:sz="4" w:space="0" w:color="auto"/>
            </w:tcBorders>
            <w:shd w:val="clear" w:color="auto" w:fill="auto"/>
            <w:noWrap/>
            <w:vAlign w:val="bottom"/>
          </w:tcPr>
          <w:p w:rsidR="00AA5B69" w:rsidRPr="002954E0" w:rsidRDefault="00AA5B69">
            <w:pPr>
              <w:spacing w:before="80" w:after="80" w:line="220" w:lineRule="exact"/>
              <w:jc w:val="right"/>
              <w:rPr>
                <w:b/>
                <w:sz w:val="18"/>
              </w:rPr>
            </w:pPr>
            <w:r w:rsidRPr="002954E0">
              <w:rPr>
                <w:b/>
                <w:sz w:val="18"/>
              </w:rPr>
              <w:t>122</w:t>
            </w:r>
          </w:p>
        </w:tc>
        <w:tc>
          <w:tcPr>
            <w:tcW w:w="629" w:type="dxa"/>
            <w:tcBorders>
              <w:top w:val="single" w:sz="4" w:space="0" w:color="auto"/>
              <w:bottom w:val="single" w:sz="4" w:space="0" w:color="auto"/>
            </w:tcBorders>
            <w:shd w:val="clear" w:color="auto" w:fill="auto"/>
            <w:noWrap/>
            <w:vAlign w:val="bottom"/>
          </w:tcPr>
          <w:p w:rsidR="00AA5B69" w:rsidRPr="002954E0" w:rsidRDefault="00AA5B69">
            <w:pPr>
              <w:spacing w:before="80" w:after="80" w:line="220" w:lineRule="exact"/>
              <w:jc w:val="right"/>
              <w:rPr>
                <w:b/>
                <w:sz w:val="18"/>
              </w:rPr>
            </w:pPr>
            <w:r w:rsidRPr="002954E0">
              <w:rPr>
                <w:b/>
                <w:sz w:val="18"/>
              </w:rPr>
              <w:t>141</w:t>
            </w:r>
          </w:p>
        </w:tc>
        <w:tc>
          <w:tcPr>
            <w:tcW w:w="629" w:type="dxa"/>
            <w:tcBorders>
              <w:top w:val="single" w:sz="4" w:space="0" w:color="auto"/>
              <w:bottom w:val="single" w:sz="4" w:space="0" w:color="auto"/>
            </w:tcBorders>
            <w:shd w:val="clear" w:color="auto" w:fill="auto"/>
            <w:noWrap/>
            <w:vAlign w:val="bottom"/>
          </w:tcPr>
          <w:p w:rsidR="00AA5B69" w:rsidRPr="002954E0" w:rsidRDefault="00AA5B69">
            <w:pPr>
              <w:spacing w:before="80" w:after="80" w:line="220" w:lineRule="exact"/>
              <w:jc w:val="right"/>
              <w:rPr>
                <w:b/>
                <w:sz w:val="18"/>
              </w:rPr>
            </w:pPr>
            <w:r w:rsidRPr="002954E0">
              <w:rPr>
                <w:b/>
                <w:sz w:val="18"/>
              </w:rPr>
              <w:t>142</w:t>
            </w:r>
          </w:p>
        </w:tc>
        <w:tc>
          <w:tcPr>
            <w:tcW w:w="629" w:type="dxa"/>
            <w:tcBorders>
              <w:top w:val="single" w:sz="4" w:space="0" w:color="auto"/>
              <w:bottom w:val="single" w:sz="4" w:space="0" w:color="auto"/>
            </w:tcBorders>
            <w:shd w:val="clear" w:color="auto" w:fill="auto"/>
            <w:noWrap/>
            <w:vAlign w:val="bottom"/>
          </w:tcPr>
          <w:p w:rsidR="00AA5B69" w:rsidRPr="002954E0" w:rsidRDefault="00AA5B69">
            <w:pPr>
              <w:spacing w:before="80" w:after="80" w:line="220" w:lineRule="exact"/>
              <w:jc w:val="right"/>
              <w:rPr>
                <w:b/>
                <w:sz w:val="18"/>
              </w:rPr>
            </w:pPr>
            <w:r w:rsidRPr="002954E0">
              <w:rPr>
                <w:b/>
                <w:sz w:val="18"/>
              </w:rPr>
              <w:t>179</w:t>
            </w:r>
          </w:p>
        </w:tc>
        <w:tc>
          <w:tcPr>
            <w:tcW w:w="629" w:type="dxa"/>
            <w:tcBorders>
              <w:top w:val="single" w:sz="4" w:space="0" w:color="auto"/>
              <w:bottom w:val="single" w:sz="4" w:space="0" w:color="auto"/>
            </w:tcBorders>
            <w:shd w:val="clear" w:color="auto" w:fill="auto"/>
            <w:noWrap/>
            <w:vAlign w:val="bottom"/>
          </w:tcPr>
          <w:p w:rsidR="00AA5B69" w:rsidRPr="002954E0" w:rsidRDefault="00AA5B69">
            <w:pPr>
              <w:spacing w:before="80" w:after="80" w:line="220" w:lineRule="exact"/>
              <w:jc w:val="right"/>
              <w:rPr>
                <w:b/>
                <w:sz w:val="18"/>
              </w:rPr>
            </w:pPr>
            <w:r w:rsidRPr="002954E0">
              <w:rPr>
                <w:b/>
                <w:sz w:val="18"/>
              </w:rPr>
              <w:t>218</w:t>
            </w:r>
          </w:p>
        </w:tc>
        <w:tc>
          <w:tcPr>
            <w:tcW w:w="629" w:type="dxa"/>
            <w:tcBorders>
              <w:top w:val="single" w:sz="4" w:space="0" w:color="auto"/>
              <w:bottom w:val="single" w:sz="4" w:space="0" w:color="auto"/>
            </w:tcBorders>
            <w:shd w:val="clear" w:color="auto" w:fill="auto"/>
            <w:noWrap/>
            <w:vAlign w:val="bottom"/>
          </w:tcPr>
          <w:p w:rsidR="00AA5B69" w:rsidRPr="002954E0" w:rsidRDefault="00AA5B69">
            <w:pPr>
              <w:spacing w:before="80" w:after="80" w:line="220" w:lineRule="exact"/>
              <w:jc w:val="right"/>
              <w:rPr>
                <w:b/>
                <w:sz w:val="18"/>
              </w:rPr>
            </w:pPr>
            <w:r w:rsidRPr="002954E0">
              <w:rPr>
                <w:b/>
                <w:sz w:val="18"/>
              </w:rPr>
              <w:t>219</w:t>
            </w:r>
          </w:p>
        </w:tc>
      </w:tr>
      <w:tr w:rsidR="00AA5B69" w:rsidRPr="002954E0">
        <w:trPr>
          <w:trHeight w:val="284"/>
        </w:trPr>
        <w:tc>
          <w:tcPr>
            <w:tcW w:w="1708" w:type="dxa"/>
            <w:tcBorders>
              <w:top w:val="single" w:sz="4" w:space="0" w:color="auto"/>
            </w:tcBorders>
            <w:shd w:val="clear" w:color="auto" w:fill="auto"/>
          </w:tcPr>
          <w:p w:rsidR="00AA5B69" w:rsidRDefault="00AA5B69">
            <w:pPr>
              <w:spacing w:before="40" w:after="40" w:line="220" w:lineRule="exact"/>
              <w:rPr>
                <w:sz w:val="18"/>
                <w:szCs w:val="18"/>
              </w:rPr>
            </w:pPr>
            <w:r>
              <w:rPr>
                <w:i/>
                <w:sz w:val="18"/>
                <w:szCs w:val="18"/>
              </w:rPr>
              <w:t>Prostitución infantil</w:t>
            </w:r>
          </w:p>
        </w:tc>
        <w:tc>
          <w:tcPr>
            <w:tcW w:w="5662" w:type="dxa"/>
            <w:gridSpan w:val="9"/>
            <w:tcBorders>
              <w:top w:val="single" w:sz="4" w:space="0" w:color="auto"/>
            </w:tcBorders>
            <w:shd w:val="clear" w:color="auto" w:fill="auto"/>
            <w:noWrap/>
            <w:vAlign w:val="bottom"/>
          </w:tcPr>
          <w:p w:rsidR="00AA5B69" w:rsidRDefault="00AA5B69">
            <w:pPr>
              <w:spacing w:before="40" w:after="40" w:line="220" w:lineRule="exact"/>
              <w:jc w:val="right"/>
              <w:rPr>
                <w:sz w:val="18"/>
                <w:szCs w:val="18"/>
              </w:rPr>
            </w:pPr>
          </w:p>
        </w:tc>
      </w:tr>
      <w:tr w:rsidR="00AA5B69" w:rsidRPr="002954E0">
        <w:trPr>
          <w:trHeight w:val="284"/>
        </w:trPr>
        <w:tc>
          <w:tcPr>
            <w:tcW w:w="1708" w:type="dxa"/>
            <w:shd w:val="clear" w:color="auto" w:fill="auto"/>
          </w:tcPr>
          <w:p w:rsidR="00AA5B69" w:rsidRDefault="00AA5B69">
            <w:pPr>
              <w:spacing w:before="40" w:after="40" w:line="220" w:lineRule="exact"/>
              <w:rPr>
                <w:sz w:val="18"/>
                <w:szCs w:val="18"/>
              </w:rPr>
            </w:pPr>
            <w:r>
              <w:rPr>
                <w:sz w:val="18"/>
                <w:szCs w:val="18"/>
              </w:rPr>
              <w:t>Vivir de los beneficios</w:t>
            </w:r>
          </w:p>
        </w:tc>
        <w:tc>
          <w:tcPr>
            <w:tcW w:w="630" w:type="dxa"/>
            <w:shd w:val="clear" w:color="auto" w:fill="auto"/>
            <w:noWrap/>
            <w:vAlign w:val="bottom"/>
          </w:tcPr>
          <w:p w:rsidR="00AA5B69" w:rsidRDefault="00AA5B69">
            <w:pPr>
              <w:spacing w:before="40" w:after="40" w:line="220" w:lineRule="exact"/>
              <w:jc w:val="right"/>
              <w:rPr>
                <w:sz w:val="18"/>
                <w:szCs w:val="18"/>
              </w:rPr>
            </w:pPr>
            <w:r>
              <w:rPr>
                <w:sz w:val="18"/>
                <w:szCs w:val="18"/>
              </w:rPr>
              <w:t>14</w:t>
            </w:r>
          </w:p>
        </w:tc>
        <w:tc>
          <w:tcPr>
            <w:tcW w:w="629" w:type="dxa"/>
            <w:shd w:val="clear" w:color="auto" w:fill="auto"/>
            <w:noWrap/>
            <w:vAlign w:val="bottom"/>
          </w:tcPr>
          <w:p w:rsidR="00AA5B69" w:rsidRDefault="00AA5B69">
            <w:pPr>
              <w:spacing w:before="40" w:after="40" w:line="220" w:lineRule="exact"/>
              <w:jc w:val="right"/>
              <w:rPr>
                <w:sz w:val="18"/>
                <w:szCs w:val="18"/>
              </w:rPr>
            </w:pPr>
            <w:r>
              <w:rPr>
                <w:sz w:val="18"/>
                <w:szCs w:val="18"/>
              </w:rPr>
              <w:t>21</w:t>
            </w:r>
          </w:p>
        </w:tc>
        <w:tc>
          <w:tcPr>
            <w:tcW w:w="629" w:type="dxa"/>
            <w:shd w:val="clear" w:color="auto" w:fill="auto"/>
            <w:noWrap/>
            <w:vAlign w:val="bottom"/>
          </w:tcPr>
          <w:p w:rsidR="00AA5B69" w:rsidRDefault="00AA5B69">
            <w:pPr>
              <w:spacing w:before="40" w:after="40" w:line="220" w:lineRule="exact"/>
              <w:jc w:val="right"/>
              <w:rPr>
                <w:sz w:val="18"/>
                <w:szCs w:val="18"/>
              </w:rPr>
            </w:pPr>
            <w:r>
              <w:rPr>
                <w:sz w:val="18"/>
                <w:szCs w:val="18"/>
              </w:rPr>
              <w:t>13</w:t>
            </w:r>
          </w:p>
        </w:tc>
        <w:tc>
          <w:tcPr>
            <w:tcW w:w="629" w:type="dxa"/>
            <w:shd w:val="clear" w:color="auto" w:fill="auto"/>
            <w:noWrap/>
            <w:vAlign w:val="bottom"/>
          </w:tcPr>
          <w:p w:rsidR="00AA5B69" w:rsidRDefault="00AA5B69">
            <w:pPr>
              <w:spacing w:before="40" w:after="40" w:line="220" w:lineRule="exact"/>
              <w:jc w:val="right"/>
              <w:rPr>
                <w:sz w:val="18"/>
                <w:szCs w:val="18"/>
              </w:rPr>
            </w:pPr>
            <w:r>
              <w:rPr>
                <w:sz w:val="18"/>
                <w:szCs w:val="18"/>
              </w:rPr>
              <w:t>12</w:t>
            </w:r>
          </w:p>
        </w:tc>
        <w:tc>
          <w:tcPr>
            <w:tcW w:w="629" w:type="dxa"/>
            <w:shd w:val="clear" w:color="auto" w:fill="auto"/>
            <w:noWrap/>
            <w:vAlign w:val="bottom"/>
          </w:tcPr>
          <w:p w:rsidR="00AA5B69" w:rsidRDefault="00AA5B69">
            <w:pPr>
              <w:spacing w:before="40" w:after="40" w:line="220" w:lineRule="exact"/>
              <w:jc w:val="right"/>
              <w:rPr>
                <w:sz w:val="18"/>
                <w:szCs w:val="18"/>
              </w:rPr>
            </w:pPr>
            <w:r>
              <w:rPr>
                <w:sz w:val="18"/>
                <w:szCs w:val="18"/>
              </w:rPr>
              <w:t>11</w:t>
            </w:r>
          </w:p>
        </w:tc>
        <w:tc>
          <w:tcPr>
            <w:tcW w:w="629" w:type="dxa"/>
            <w:shd w:val="clear" w:color="auto" w:fill="auto"/>
            <w:noWrap/>
            <w:vAlign w:val="bottom"/>
          </w:tcPr>
          <w:p w:rsidR="00AA5B69" w:rsidRDefault="00AA5B69">
            <w:pPr>
              <w:spacing w:before="40" w:after="40" w:line="220" w:lineRule="exact"/>
              <w:jc w:val="right"/>
              <w:rPr>
                <w:sz w:val="18"/>
                <w:szCs w:val="18"/>
              </w:rPr>
            </w:pPr>
            <w:r>
              <w:rPr>
                <w:sz w:val="18"/>
                <w:szCs w:val="18"/>
              </w:rPr>
              <w:t>16</w:t>
            </w:r>
          </w:p>
        </w:tc>
        <w:tc>
          <w:tcPr>
            <w:tcW w:w="629" w:type="dxa"/>
            <w:shd w:val="clear" w:color="auto" w:fill="auto"/>
            <w:noWrap/>
            <w:vAlign w:val="bottom"/>
          </w:tcPr>
          <w:p w:rsidR="00AA5B69" w:rsidRDefault="00AA5B69">
            <w:pPr>
              <w:spacing w:before="40" w:after="40" w:line="220" w:lineRule="exact"/>
              <w:jc w:val="right"/>
              <w:rPr>
                <w:sz w:val="18"/>
                <w:szCs w:val="18"/>
              </w:rPr>
            </w:pPr>
            <w:r>
              <w:rPr>
                <w:sz w:val="18"/>
                <w:szCs w:val="18"/>
              </w:rPr>
              <w:t>13</w:t>
            </w:r>
          </w:p>
        </w:tc>
        <w:tc>
          <w:tcPr>
            <w:tcW w:w="629" w:type="dxa"/>
            <w:shd w:val="clear" w:color="auto" w:fill="auto"/>
            <w:noWrap/>
            <w:vAlign w:val="bottom"/>
          </w:tcPr>
          <w:p w:rsidR="00AA5B69" w:rsidRDefault="00AA5B69">
            <w:pPr>
              <w:spacing w:before="40" w:after="40" w:line="220" w:lineRule="exact"/>
              <w:jc w:val="right"/>
              <w:rPr>
                <w:sz w:val="18"/>
                <w:szCs w:val="18"/>
              </w:rPr>
            </w:pPr>
            <w:r>
              <w:rPr>
                <w:sz w:val="18"/>
                <w:szCs w:val="18"/>
              </w:rPr>
              <w:t>7</w:t>
            </w:r>
          </w:p>
        </w:tc>
        <w:tc>
          <w:tcPr>
            <w:tcW w:w="629" w:type="dxa"/>
            <w:shd w:val="clear" w:color="auto" w:fill="auto"/>
            <w:noWrap/>
            <w:vAlign w:val="bottom"/>
          </w:tcPr>
          <w:p w:rsidR="00AA5B69" w:rsidRDefault="00AA5B69">
            <w:pPr>
              <w:spacing w:before="40" w:after="40" w:line="220" w:lineRule="exact"/>
              <w:jc w:val="right"/>
              <w:rPr>
                <w:sz w:val="18"/>
                <w:szCs w:val="18"/>
              </w:rPr>
            </w:pPr>
            <w:r>
              <w:rPr>
                <w:sz w:val="18"/>
                <w:szCs w:val="18"/>
              </w:rPr>
              <w:t>10</w:t>
            </w:r>
          </w:p>
        </w:tc>
      </w:tr>
      <w:tr w:rsidR="00AA5B69" w:rsidRPr="002954E0">
        <w:trPr>
          <w:trHeight w:val="284"/>
        </w:trPr>
        <w:tc>
          <w:tcPr>
            <w:tcW w:w="1708" w:type="dxa"/>
            <w:shd w:val="clear" w:color="auto" w:fill="auto"/>
          </w:tcPr>
          <w:p w:rsidR="00AA5B69" w:rsidRDefault="00AA5B69">
            <w:pPr>
              <w:spacing w:before="40" w:after="40" w:line="220" w:lineRule="exact"/>
              <w:rPr>
                <w:sz w:val="18"/>
                <w:szCs w:val="18"/>
              </w:rPr>
            </w:pPr>
            <w:r>
              <w:rPr>
                <w:sz w:val="18"/>
                <w:szCs w:val="18"/>
              </w:rPr>
              <w:t>Comunicación con esos fines</w:t>
            </w:r>
          </w:p>
        </w:tc>
        <w:tc>
          <w:tcPr>
            <w:tcW w:w="630" w:type="dxa"/>
            <w:shd w:val="clear" w:color="auto" w:fill="auto"/>
            <w:noWrap/>
            <w:vAlign w:val="bottom"/>
          </w:tcPr>
          <w:p w:rsidR="00AA5B69" w:rsidRDefault="00AA5B69">
            <w:pPr>
              <w:spacing w:before="40" w:after="40" w:line="220" w:lineRule="exact"/>
              <w:jc w:val="right"/>
              <w:rPr>
                <w:sz w:val="18"/>
                <w:szCs w:val="18"/>
              </w:rPr>
            </w:pPr>
            <w:r>
              <w:rPr>
                <w:sz w:val="18"/>
                <w:szCs w:val="18"/>
              </w:rPr>
              <w:t>46</w:t>
            </w:r>
          </w:p>
        </w:tc>
        <w:tc>
          <w:tcPr>
            <w:tcW w:w="629" w:type="dxa"/>
            <w:shd w:val="clear" w:color="auto" w:fill="auto"/>
            <w:noWrap/>
            <w:vAlign w:val="bottom"/>
          </w:tcPr>
          <w:p w:rsidR="00AA5B69" w:rsidRDefault="00AA5B69">
            <w:pPr>
              <w:spacing w:before="40" w:after="40" w:line="220" w:lineRule="exact"/>
              <w:jc w:val="right"/>
              <w:rPr>
                <w:sz w:val="18"/>
                <w:szCs w:val="18"/>
              </w:rPr>
            </w:pPr>
            <w:r>
              <w:rPr>
                <w:sz w:val="18"/>
                <w:szCs w:val="18"/>
              </w:rPr>
              <w:t>43</w:t>
            </w:r>
          </w:p>
        </w:tc>
        <w:tc>
          <w:tcPr>
            <w:tcW w:w="629" w:type="dxa"/>
            <w:shd w:val="clear" w:color="auto" w:fill="auto"/>
            <w:noWrap/>
            <w:vAlign w:val="bottom"/>
          </w:tcPr>
          <w:p w:rsidR="00AA5B69" w:rsidRDefault="00AA5B69">
            <w:pPr>
              <w:spacing w:before="40" w:after="40" w:line="220" w:lineRule="exact"/>
              <w:jc w:val="right"/>
              <w:rPr>
                <w:sz w:val="18"/>
                <w:szCs w:val="18"/>
              </w:rPr>
            </w:pPr>
            <w:r>
              <w:rPr>
                <w:sz w:val="18"/>
                <w:szCs w:val="18"/>
              </w:rPr>
              <w:t>33</w:t>
            </w:r>
          </w:p>
        </w:tc>
        <w:tc>
          <w:tcPr>
            <w:tcW w:w="629" w:type="dxa"/>
            <w:shd w:val="clear" w:color="auto" w:fill="auto"/>
            <w:noWrap/>
            <w:vAlign w:val="bottom"/>
          </w:tcPr>
          <w:p w:rsidR="00AA5B69" w:rsidRDefault="00AA5B69">
            <w:pPr>
              <w:spacing w:before="40" w:after="40" w:line="220" w:lineRule="exact"/>
              <w:jc w:val="right"/>
              <w:rPr>
                <w:sz w:val="18"/>
                <w:szCs w:val="18"/>
              </w:rPr>
            </w:pPr>
            <w:r>
              <w:rPr>
                <w:sz w:val="18"/>
                <w:szCs w:val="18"/>
              </w:rPr>
              <w:t>23</w:t>
            </w:r>
          </w:p>
        </w:tc>
        <w:tc>
          <w:tcPr>
            <w:tcW w:w="629" w:type="dxa"/>
            <w:shd w:val="clear" w:color="auto" w:fill="auto"/>
            <w:noWrap/>
            <w:vAlign w:val="bottom"/>
          </w:tcPr>
          <w:p w:rsidR="00AA5B69" w:rsidRDefault="00AA5B69">
            <w:pPr>
              <w:spacing w:before="40" w:after="40" w:line="220" w:lineRule="exact"/>
              <w:jc w:val="right"/>
              <w:rPr>
                <w:sz w:val="18"/>
                <w:szCs w:val="18"/>
              </w:rPr>
            </w:pPr>
            <w:r>
              <w:rPr>
                <w:sz w:val="18"/>
                <w:szCs w:val="18"/>
              </w:rPr>
              <w:t>21</w:t>
            </w:r>
          </w:p>
        </w:tc>
        <w:tc>
          <w:tcPr>
            <w:tcW w:w="629" w:type="dxa"/>
            <w:shd w:val="clear" w:color="auto" w:fill="auto"/>
            <w:noWrap/>
            <w:vAlign w:val="bottom"/>
          </w:tcPr>
          <w:p w:rsidR="00AA5B69" w:rsidRDefault="00AA5B69">
            <w:pPr>
              <w:spacing w:before="40" w:after="40" w:line="220" w:lineRule="exact"/>
              <w:jc w:val="right"/>
              <w:rPr>
                <w:sz w:val="18"/>
                <w:szCs w:val="18"/>
              </w:rPr>
            </w:pPr>
            <w:r>
              <w:rPr>
                <w:sz w:val="18"/>
                <w:szCs w:val="18"/>
              </w:rPr>
              <w:t>43</w:t>
            </w:r>
          </w:p>
        </w:tc>
        <w:tc>
          <w:tcPr>
            <w:tcW w:w="629" w:type="dxa"/>
            <w:shd w:val="clear" w:color="auto" w:fill="auto"/>
            <w:noWrap/>
            <w:vAlign w:val="bottom"/>
          </w:tcPr>
          <w:p w:rsidR="00AA5B69" w:rsidRDefault="00AA5B69">
            <w:pPr>
              <w:spacing w:before="40" w:after="40" w:line="220" w:lineRule="exact"/>
              <w:jc w:val="right"/>
              <w:rPr>
                <w:sz w:val="18"/>
                <w:szCs w:val="18"/>
              </w:rPr>
            </w:pPr>
            <w:r>
              <w:rPr>
                <w:sz w:val="18"/>
                <w:szCs w:val="18"/>
              </w:rPr>
              <w:t>31</w:t>
            </w:r>
          </w:p>
        </w:tc>
        <w:tc>
          <w:tcPr>
            <w:tcW w:w="629" w:type="dxa"/>
            <w:shd w:val="clear" w:color="auto" w:fill="auto"/>
            <w:noWrap/>
            <w:vAlign w:val="bottom"/>
          </w:tcPr>
          <w:p w:rsidR="00AA5B69" w:rsidRDefault="00AA5B69">
            <w:pPr>
              <w:spacing w:before="40" w:after="40" w:line="220" w:lineRule="exact"/>
              <w:jc w:val="right"/>
              <w:rPr>
                <w:sz w:val="18"/>
                <w:szCs w:val="18"/>
              </w:rPr>
            </w:pPr>
            <w:r>
              <w:rPr>
                <w:sz w:val="18"/>
                <w:szCs w:val="18"/>
              </w:rPr>
              <w:t>28</w:t>
            </w:r>
          </w:p>
        </w:tc>
        <w:tc>
          <w:tcPr>
            <w:tcW w:w="629" w:type="dxa"/>
            <w:shd w:val="clear" w:color="auto" w:fill="auto"/>
            <w:noWrap/>
            <w:vAlign w:val="bottom"/>
          </w:tcPr>
          <w:p w:rsidR="00AA5B69" w:rsidRDefault="00AA5B69">
            <w:pPr>
              <w:spacing w:before="40" w:after="40" w:line="220" w:lineRule="exact"/>
              <w:jc w:val="right"/>
              <w:rPr>
                <w:sz w:val="18"/>
                <w:szCs w:val="18"/>
              </w:rPr>
            </w:pPr>
            <w:r>
              <w:rPr>
                <w:sz w:val="18"/>
                <w:szCs w:val="18"/>
              </w:rPr>
              <w:t>13</w:t>
            </w:r>
          </w:p>
        </w:tc>
      </w:tr>
      <w:tr w:rsidR="00AA5B69" w:rsidRPr="002954E0">
        <w:trPr>
          <w:trHeight w:val="284"/>
        </w:trPr>
        <w:tc>
          <w:tcPr>
            <w:tcW w:w="1708" w:type="dxa"/>
            <w:tcBorders>
              <w:bottom w:val="single" w:sz="4" w:space="0" w:color="auto"/>
            </w:tcBorders>
            <w:shd w:val="clear" w:color="auto" w:fill="auto"/>
          </w:tcPr>
          <w:p w:rsidR="00AA5B69" w:rsidRDefault="00AA5B69">
            <w:pPr>
              <w:spacing w:before="40" w:after="40" w:line="220" w:lineRule="exact"/>
              <w:rPr>
                <w:sz w:val="18"/>
                <w:szCs w:val="18"/>
              </w:rPr>
            </w:pPr>
            <w:r>
              <w:rPr>
                <w:sz w:val="18"/>
                <w:szCs w:val="18"/>
              </w:rPr>
              <w:t>Progenitor que ejerce de intermediario</w:t>
            </w:r>
          </w:p>
        </w:tc>
        <w:tc>
          <w:tcPr>
            <w:tcW w:w="630" w:type="dxa"/>
            <w:tcBorders>
              <w:bottom w:val="single" w:sz="4" w:space="0" w:color="auto"/>
            </w:tcBorders>
            <w:shd w:val="clear" w:color="auto" w:fill="auto"/>
            <w:noWrap/>
            <w:vAlign w:val="bottom"/>
          </w:tcPr>
          <w:p w:rsidR="00AA5B69" w:rsidRDefault="00AA5B69">
            <w:pPr>
              <w:spacing w:before="40" w:after="40" w:line="220" w:lineRule="exact"/>
              <w:jc w:val="right"/>
              <w:rPr>
                <w:sz w:val="18"/>
                <w:szCs w:val="18"/>
              </w:rPr>
            </w:pPr>
            <w:r>
              <w:rPr>
                <w:sz w:val="18"/>
                <w:szCs w:val="18"/>
              </w:rPr>
              <w:t>2</w:t>
            </w:r>
          </w:p>
        </w:tc>
        <w:tc>
          <w:tcPr>
            <w:tcW w:w="629" w:type="dxa"/>
            <w:tcBorders>
              <w:bottom w:val="single" w:sz="4" w:space="0" w:color="auto"/>
            </w:tcBorders>
            <w:shd w:val="clear" w:color="auto" w:fill="auto"/>
            <w:noWrap/>
            <w:vAlign w:val="bottom"/>
          </w:tcPr>
          <w:p w:rsidR="00AA5B69" w:rsidRDefault="00AA5B69">
            <w:pPr>
              <w:spacing w:before="40" w:after="40" w:line="220" w:lineRule="exact"/>
              <w:jc w:val="right"/>
              <w:rPr>
                <w:sz w:val="18"/>
                <w:szCs w:val="18"/>
              </w:rPr>
            </w:pPr>
            <w:r>
              <w:rPr>
                <w:sz w:val="18"/>
                <w:szCs w:val="18"/>
              </w:rPr>
              <w:t>0</w:t>
            </w:r>
          </w:p>
        </w:tc>
        <w:tc>
          <w:tcPr>
            <w:tcW w:w="629" w:type="dxa"/>
            <w:tcBorders>
              <w:bottom w:val="single" w:sz="4" w:space="0" w:color="auto"/>
            </w:tcBorders>
            <w:shd w:val="clear" w:color="auto" w:fill="auto"/>
            <w:noWrap/>
            <w:vAlign w:val="bottom"/>
          </w:tcPr>
          <w:p w:rsidR="00AA5B69" w:rsidRDefault="00AA5B69">
            <w:pPr>
              <w:spacing w:before="40" w:after="40" w:line="220" w:lineRule="exact"/>
              <w:jc w:val="right"/>
              <w:rPr>
                <w:sz w:val="18"/>
                <w:szCs w:val="18"/>
              </w:rPr>
            </w:pPr>
            <w:r>
              <w:rPr>
                <w:sz w:val="18"/>
                <w:szCs w:val="18"/>
              </w:rPr>
              <w:t>2</w:t>
            </w:r>
          </w:p>
        </w:tc>
        <w:tc>
          <w:tcPr>
            <w:tcW w:w="629" w:type="dxa"/>
            <w:tcBorders>
              <w:bottom w:val="single" w:sz="4" w:space="0" w:color="auto"/>
            </w:tcBorders>
            <w:shd w:val="clear" w:color="auto" w:fill="auto"/>
            <w:noWrap/>
            <w:vAlign w:val="bottom"/>
          </w:tcPr>
          <w:p w:rsidR="00AA5B69" w:rsidRDefault="00AA5B69">
            <w:pPr>
              <w:spacing w:before="40" w:after="40" w:line="220" w:lineRule="exact"/>
              <w:jc w:val="right"/>
              <w:rPr>
                <w:sz w:val="18"/>
                <w:szCs w:val="18"/>
              </w:rPr>
            </w:pPr>
            <w:r>
              <w:rPr>
                <w:sz w:val="18"/>
                <w:szCs w:val="18"/>
              </w:rPr>
              <w:t>3</w:t>
            </w:r>
          </w:p>
        </w:tc>
        <w:tc>
          <w:tcPr>
            <w:tcW w:w="629" w:type="dxa"/>
            <w:tcBorders>
              <w:bottom w:val="single" w:sz="4" w:space="0" w:color="auto"/>
            </w:tcBorders>
            <w:shd w:val="clear" w:color="auto" w:fill="auto"/>
            <w:noWrap/>
            <w:vAlign w:val="bottom"/>
          </w:tcPr>
          <w:p w:rsidR="00AA5B69" w:rsidRDefault="00AA5B69">
            <w:pPr>
              <w:spacing w:before="40" w:after="40" w:line="220" w:lineRule="exact"/>
              <w:jc w:val="right"/>
              <w:rPr>
                <w:sz w:val="18"/>
                <w:szCs w:val="18"/>
              </w:rPr>
            </w:pPr>
            <w:r>
              <w:rPr>
                <w:sz w:val="18"/>
                <w:szCs w:val="18"/>
              </w:rPr>
              <w:t>0</w:t>
            </w:r>
          </w:p>
        </w:tc>
        <w:tc>
          <w:tcPr>
            <w:tcW w:w="629" w:type="dxa"/>
            <w:tcBorders>
              <w:bottom w:val="single" w:sz="4" w:space="0" w:color="auto"/>
            </w:tcBorders>
            <w:shd w:val="clear" w:color="auto" w:fill="auto"/>
            <w:noWrap/>
            <w:vAlign w:val="bottom"/>
          </w:tcPr>
          <w:p w:rsidR="00AA5B69" w:rsidRDefault="00AA5B69">
            <w:pPr>
              <w:spacing w:before="40" w:after="40" w:line="220" w:lineRule="exact"/>
              <w:jc w:val="right"/>
              <w:rPr>
                <w:sz w:val="18"/>
                <w:szCs w:val="18"/>
              </w:rPr>
            </w:pPr>
            <w:r>
              <w:rPr>
                <w:sz w:val="18"/>
                <w:szCs w:val="18"/>
              </w:rPr>
              <w:t>3</w:t>
            </w:r>
          </w:p>
        </w:tc>
        <w:tc>
          <w:tcPr>
            <w:tcW w:w="629" w:type="dxa"/>
            <w:tcBorders>
              <w:bottom w:val="single" w:sz="4" w:space="0" w:color="auto"/>
            </w:tcBorders>
            <w:shd w:val="clear" w:color="auto" w:fill="auto"/>
            <w:noWrap/>
            <w:vAlign w:val="bottom"/>
          </w:tcPr>
          <w:p w:rsidR="00AA5B69" w:rsidRDefault="00AA5B69">
            <w:pPr>
              <w:spacing w:before="40" w:after="40" w:line="220" w:lineRule="exact"/>
              <w:jc w:val="right"/>
              <w:rPr>
                <w:sz w:val="18"/>
                <w:szCs w:val="18"/>
              </w:rPr>
            </w:pPr>
            <w:r>
              <w:rPr>
                <w:sz w:val="18"/>
                <w:szCs w:val="18"/>
              </w:rPr>
              <w:t>1</w:t>
            </w:r>
          </w:p>
        </w:tc>
        <w:tc>
          <w:tcPr>
            <w:tcW w:w="629" w:type="dxa"/>
            <w:tcBorders>
              <w:bottom w:val="single" w:sz="4" w:space="0" w:color="auto"/>
            </w:tcBorders>
            <w:shd w:val="clear" w:color="auto" w:fill="auto"/>
            <w:noWrap/>
            <w:vAlign w:val="bottom"/>
          </w:tcPr>
          <w:p w:rsidR="00AA5B69" w:rsidRDefault="00AA5B69">
            <w:pPr>
              <w:spacing w:before="40" w:after="40" w:line="220" w:lineRule="exact"/>
              <w:jc w:val="right"/>
              <w:rPr>
                <w:sz w:val="18"/>
                <w:szCs w:val="18"/>
              </w:rPr>
            </w:pPr>
            <w:r>
              <w:rPr>
                <w:sz w:val="18"/>
                <w:szCs w:val="18"/>
              </w:rPr>
              <w:t>2</w:t>
            </w:r>
          </w:p>
        </w:tc>
        <w:tc>
          <w:tcPr>
            <w:tcW w:w="629" w:type="dxa"/>
            <w:tcBorders>
              <w:bottom w:val="single" w:sz="4" w:space="0" w:color="auto"/>
            </w:tcBorders>
            <w:shd w:val="clear" w:color="auto" w:fill="auto"/>
            <w:noWrap/>
            <w:vAlign w:val="bottom"/>
          </w:tcPr>
          <w:p w:rsidR="00AA5B69" w:rsidRDefault="00AA5B69">
            <w:pPr>
              <w:spacing w:before="40" w:after="40" w:line="220" w:lineRule="exact"/>
              <w:jc w:val="right"/>
              <w:rPr>
                <w:sz w:val="18"/>
                <w:szCs w:val="18"/>
              </w:rPr>
            </w:pPr>
            <w:r>
              <w:rPr>
                <w:sz w:val="18"/>
                <w:szCs w:val="18"/>
              </w:rPr>
              <w:t>1</w:t>
            </w:r>
          </w:p>
        </w:tc>
      </w:tr>
      <w:tr w:rsidR="00AA5B69" w:rsidRPr="002954E0">
        <w:trPr>
          <w:trHeight w:val="284"/>
        </w:trPr>
        <w:tc>
          <w:tcPr>
            <w:tcW w:w="1708" w:type="dxa"/>
            <w:tcBorders>
              <w:top w:val="single" w:sz="4" w:space="0" w:color="auto"/>
              <w:bottom w:val="single" w:sz="4" w:space="0" w:color="auto"/>
            </w:tcBorders>
            <w:shd w:val="clear" w:color="auto" w:fill="auto"/>
          </w:tcPr>
          <w:p w:rsidR="00AA5B69" w:rsidRPr="002954E0" w:rsidRDefault="00AA5B69">
            <w:pPr>
              <w:spacing w:before="80" w:after="80" w:line="220" w:lineRule="exact"/>
              <w:ind w:firstLine="284"/>
              <w:rPr>
                <w:b/>
                <w:sz w:val="18"/>
              </w:rPr>
            </w:pPr>
            <w:r w:rsidRPr="002954E0">
              <w:rPr>
                <w:b/>
                <w:sz w:val="18"/>
              </w:rPr>
              <w:t>Subtotal</w:t>
            </w:r>
          </w:p>
        </w:tc>
        <w:tc>
          <w:tcPr>
            <w:tcW w:w="630" w:type="dxa"/>
            <w:tcBorders>
              <w:top w:val="single" w:sz="4" w:space="0" w:color="auto"/>
              <w:bottom w:val="single" w:sz="4" w:space="0" w:color="auto"/>
            </w:tcBorders>
            <w:shd w:val="clear" w:color="auto" w:fill="auto"/>
            <w:noWrap/>
            <w:vAlign w:val="bottom"/>
          </w:tcPr>
          <w:p w:rsidR="00AA5B69" w:rsidRPr="002954E0" w:rsidRDefault="00AA5B69">
            <w:pPr>
              <w:spacing w:before="80" w:after="80" w:line="220" w:lineRule="exact"/>
              <w:jc w:val="right"/>
              <w:rPr>
                <w:b/>
                <w:sz w:val="18"/>
              </w:rPr>
            </w:pPr>
            <w:r w:rsidRPr="002954E0">
              <w:rPr>
                <w:b/>
                <w:sz w:val="18"/>
              </w:rPr>
              <w:t>62</w:t>
            </w:r>
          </w:p>
        </w:tc>
        <w:tc>
          <w:tcPr>
            <w:tcW w:w="629" w:type="dxa"/>
            <w:tcBorders>
              <w:top w:val="single" w:sz="4" w:space="0" w:color="auto"/>
              <w:bottom w:val="single" w:sz="4" w:space="0" w:color="auto"/>
            </w:tcBorders>
            <w:shd w:val="clear" w:color="auto" w:fill="auto"/>
            <w:noWrap/>
            <w:vAlign w:val="bottom"/>
          </w:tcPr>
          <w:p w:rsidR="00AA5B69" w:rsidRPr="002954E0" w:rsidRDefault="00AA5B69">
            <w:pPr>
              <w:spacing w:before="80" w:after="80" w:line="220" w:lineRule="exact"/>
              <w:jc w:val="right"/>
              <w:rPr>
                <w:b/>
                <w:sz w:val="18"/>
              </w:rPr>
            </w:pPr>
            <w:r w:rsidRPr="002954E0">
              <w:rPr>
                <w:b/>
                <w:sz w:val="18"/>
              </w:rPr>
              <w:t>64</w:t>
            </w:r>
          </w:p>
        </w:tc>
        <w:tc>
          <w:tcPr>
            <w:tcW w:w="629" w:type="dxa"/>
            <w:tcBorders>
              <w:top w:val="single" w:sz="4" w:space="0" w:color="auto"/>
              <w:bottom w:val="single" w:sz="4" w:space="0" w:color="auto"/>
            </w:tcBorders>
            <w:shd w:val="clear" w:color="auto" w:fill="auto"/>
            <w:noWrap/>
            <w:vAlign w:val="bottom"/>
          </w:tcPr>
          <w:p w:rsidR="00AA5B69" w:rsidRPr="002954E0" w:rsidRDefault="00AA5B69">
            <w:pPr>
              <w:spacing w:before="80" w:after="80" w:line="220" w:lineRule="exact"/>
              <w:jc w:val="right"/>
              <w:rPr>
                <w:b/>
                <w:sz w:val="18"/>
              </w:rPr>
            </w:pPr>
            <w:r w:rsidRPr="002954E0">
              <w:rPr>
                <w:b/>
                <w:sz w:val="18"/>
              </w:rPr>
              <w:t>48</w:t>
            </w:r>
          </w:p>
        </w:tc>
        <w:tc>
          <w:tcPr>
            <w:tcW w:w="629" w:type="dxa"/>
            <w:tcBorders>
              <w:top w:val="single" w:sz="4" w:space="0" w:color="auto"/>
              <w:bottom w:val="single" w:sz="4" w:space="0" w:color="auto"/>
            </w:tcBorders>
            <w:shd w:val="clear" w:color="auto" w:fill="auto"/>
            <w:noWrap/>
            <w:vAlign w:val="bottom"/>
          </w:tcPr>
          <w:p w:rsidR="00AA5B69" w:rsidRPr="002954E0" w:rsidRDefault="00AA5B69">
            <w:pPr>
              <w:spacing w:before="80" w:after="80" w:line="220" w:lineRule="exact"/>
              <w:jc w:val="right"/>
              <w:rPr>
                <w:b/>
                <w:sz w:val="18"/>
              </w:rPr>
            </w:pPr>
            <w:r w:rsidRPr="002954E0">
              <w:rPr>
                <w:b/>
                <w:sz w:val="18"/>
              </w:rPr>
              <w:t>38</w:t>
            </w:r>
          </w:p>
        </w:tc>
        <w:tc>
          <w:tcPr>
            <w:tcW w:w="629" w:type="dxa"/>
            <w:tcBorders>
              <w:top w:val="single" w:sz="4" w:space="0" w:color="auto"/>
              <w:bottom w:val="single" w:sz="4" w:space="0" w:color="auto"/>
            </w:tcBorders>
            <w:shd w:val="clear" w:color="auto" w:fill="auto"/>
            <w:noWrap/>
            <w:vAlign w:val="bottom"/>
          </w:tcPr>
          <w:p w:rsidR="00AA5B69" w:rsidRPr="002954E0" w:rsidRDefault="00AA5B69">
            <w:pPr>
              <w:spacing w:before="80" w:after="80" w:line="220" w:lineRule="exact"/>
              <w:jc w:val="right"/>
              <w:rPr>
                <w:b/>
                <w:sz w:val="18"/>
              </w:rPr>
            </w:pPr>
            <w:r w:rsidRPr="002954E0">
              <w:rPr>
                <w:b/>
                <w:sz w:val="18"/>
              </w:rPr>
              <w:t>32</w:t>
            </w:r>
          </w:p>
        </w:tc>
        <w:tc>
          <w:tcPr>
            <w:tcW w:w="629" w:type="dxa"/>
            <w:tcBorders>
              <w:top w:val="single" w:sz="4" w:space="0" w:color="auto"/>
              <w:bottom w:val="single" w:sz="4" w:space="0" w:color="auto"/>
            </w:tcBorders>
            <w:shd w:val="clear" w:color="auto" w:fill="auto"/>
            <w:noWrap/>
            <w:vAlign w:val="bottom"/>
          </w:tcPr>
          <w:p w:rsidR="00AA5B69" w:rsidRPr="002954E0" w:rsidRDefault="00AA5B69">
            <w:pPr>
              <w:spacing w:before="80" w:after="80" w:line="220" w:lineRule="exact"/>
              <w:jc w:val="right"/>
              <w:rPr>
                <w:b/>
                <w:sz w:val="18"/>
              </w:rPr>
            </w:pPr>
            <w:r w:rsidRPr="002954E0">
              <w:rPr>
                <w:b/>
                <w:sz w:val="18"/>
              </w:rPr>
              <w:t>62</w:t>
            </w:r>
          </w:p>
        </w:tc>
        <w:tc>
          <w:tcPr>
            <w:tcW w:w="629" w:type="dxa"/>
            <w:tcBorders>
              <w:top w:val="single" w:sz="4" w:space="0" w:color="auto"/>
              <w:bottom w:val="single" w:sz="4" w:space="0" w:color="auto"/>
            </w:tcBorders>
            <w:shd w:val="clear" w:color="auto" w:fill="auto"/>
            <w:noWrap/>
            <w:vAlign w:val="bottom"/>
          </w:tcPr>
          <w:p w:rsidR="00AA5B69" w:rsidRPr="002954E0" w:rsidRDefault="00AA5B69">
            <w:pPr>
              <w:spacing w:before="80" w:after="80" w:line="220" w:lineRule="exact"/>
              <w:jc w:val="right"/>
              <w:rPr>
                <w:b/>
                <w:sz w:val="18"/>
              </w:rPr>
            </w:pPr>
            <w:r w:rsidRPr="002954E0">
              <w:rPr>
                <w:b/>
                <w:sz w:val="18"/>
              </w:rPr>
              <w:t>45</w:t>
            </w:r>
          </w:p>
        </w:tc>
        <w:tc>
          <w:tcPr>
            <w:tcW w:w="629" w:type="dxa"/>
            <w:tcBorders>
              <w:top w:val="single" w:sz="4" w:space="0" w:color="auto"/>
              <w:bottom w:val="single" w:sz="4" w:space="0" w:color="auto"/>
            </w:tcBorders>
            <w:shd w:val="clear" w:color="auto" w:fill="auto"/>
            <w:noWrap/>
            <w:vAlign w:val="bottom"/>
          </w:tcPr>
          <w:p w:rsidR="00AA5B69" w:rsidRPr="002954E0" w:rsidRDefault="00AA5B69">
            <w:pPr>
              <w:spacing w:before="80" w:after="80" w:line="220" w:lineRule="exact"/>
              <w:jc w:val="right"/>
              <w:rPr>
                <w:b/>
                <w:sz w:val="18"/>
              </w:rPr>
            </w:pPr>
            <w:r w:rsidRPr="002954E0">
              <w:rPr>
                <w:b/>
                <w:sz w:val="18"/>
              </w:rPr>
              <w:t>37</w:t>
            </w:r>
          </w:p>
        </w:tc>
        <w:tc>
          <w:tcPr>
            <w:tcW w:w="629" w:type="dxa"/>
            <w:tcBorders>
              <w:top w:val="single" w:sz="4" w:space="0" w:color="auto"/>
              <w:bottom w:val="single" w:sz="4" w:space="0" w:color="auto"/>
            </w:tcBorders>
            <w:shd w:val="clear" w:color="auto" w:fill="auto"/>
            <w:noWrap/>
            <w:vAlign w:val="bottom"/>
          </w:tcPr>
          <w:p w:rsidR="00AA5B69" w:rsidRPr="002954E0" w:rsidRDefault="00AA5B69">
            <w:pPr>
              <w:spacing w:before="80" w:after="80" w:line="220" w:lineRule="exact"/>
              <w:jc w:val="right"/>
              <w:rPr>
                <w:b/>
                <w:sz w:val="18"/>
              </w:rPr>
            </w:pPr>
            <w:r w:rsidRPr="002954E0">
              <w:rPr>
                <w:b/>
                <w:sz w:val="18"/>
              </w:rPr>
              <w:t>24</w:t>
            </w:r>
          </w:p>
        </w:tc>
      </w:tr>
      <w:tr w:rsidR="00AA5B69" w:rsidRPr="002954E0">
        <w:trPr>
          <w:trHeight w:val="284"/>
        </w:trPr>
        <w:tc>
          <w:tcPr>
            <w:tcW w:w="1708" w:type="dxa"/>
            <w:tcBorders>
              <w:top w:val="single" w:sz="4" w:space="0" w:color="auto"/>
            </w:tcBorders>
            <w:shd w:val="clear" w:color="auto" w:fill="auto"/>
          </w:tcPr>
          <w:p w:rsidR="00AA5B69" w:rsidRPr="002954E0" w:rsidRDefault="00AA5B69">
            <w:pPr>
              <w:spacing w:before="80" w:after="80" w:line="220" w:lineRule="exact"/>
              <w:ind w:firstLine="284"/>
              <w:rPr>
                <w:b/>
                <w:sz w:val="18"/>
              </w:rPr>
            </w:pPr>
            <w:r w:rsidRPr="002954E0">
              <w:rPr>
                <w:b/>
                <w:sz w:val="18"/>
              </w:rPr>
              <w:t>Total</w:t>
            </w:r>
          </w:p>
        </w:tc>
        <w:tc>
          <w:tcPr>
            <w:tcW w:w="630" w:type="dxa"/>
            <w:tcBorders>
              <w:top w:val="single" w:sz="4" w:space="0" w:color="auto"/>
            </w:tcBorders>
            <w:shd w:val="clear" w:color="auto" w:fill="auto"/>
            <w:vAlign w:val="bottom"/>
          </w:tcPr>
          <w:p w:rsidR="00AA5B69" w:rsidRPr="002954E0" w:rsidRDefault="00AA5B69">
            <w:pPr>
              <w:spacing w:before="80" w:after="80" w:line="220" w:lineRule="exact"/>
              <w:jc w:val="right"/>
              <w:rPr>
                <w:b/>
                <w:sz w:val="18"/>
              </w:rPr>
            </w:pPr>
            <w:r w:rsidRPr="002954E0">
              <w:rPr>
                <w:b/>
                <w:sz w:val="18"/>
              </w:rPr>
              <w:t>131</w:t>
            </w:r>
          </w:p>
        </w:tc>
        <w:tc>
          <w:tcPr>
            <w:tcW w:w="629" w:type="dxa"/>
            <w:tcBorders>
              <w:top w:val="single" w:sz="4" w:space="0" w:color="auto"/>
            </w:tcBorders>
            <w:shd w:val="clear" w:color="auto" w:fill="auto"/>
            <w:vAlign w:val="bottom"/>
          </w:tcPr>
          <w:p w:rsidR="00AA5B69" w:rsidRPr="002954E0" w:rsidRDefault="00AA5B69">
            <w:pPr>
              <w:spacing w:before="80" w:after="80" w:line="220" w:lineRule="exact"/>
              <w:jc w:val="right"/>
              <w:rPr>
                <w:b/>
                <w:sz w:val="18"/>
              </w:rPr>
            </w:pPr>
            <w:r w:rsidRPr="002954E0">
              <w:rPr>
                <w:b/>
                <w:sz w:val="18"/>
              </w:rPr>
              <w:t>120</w:t>
            </w:r>
          </w:p>
        </w:tc>
        <w:tc>
          <w:tcPr>
            <w:tcW w:w="629" w:type="dxa"/>
            <w:tcBorders>
              <w:top w:val="single" w:sz="4" w:space="0" w:color="auto"/>
            </w:tcBorders>
            <w:shd w:val="clear" w:color="auto" w:fill="auto"/>
            <w:vAlign w:val="bottom"/>
          </w:tcPr>
          <w:p w:rsidR="00AA5B69" w:rsidRPr="002954E0" w:rsidRDefault="00AA5B69">
            <w:pPr>
              <w:spacing w:before="80" w:after="80" w:line="220" w:lineRule="exact"/>
              <w:jc w:val="right"/>
              <w:rPr>
                <w:b/>
                <w:sz w:val="18"/>
              </w:rPr>
            </w:pPr>
            <w:r w:rsidRPr="002954E0">
              <w:rPr>
                <w:b/>
                <w:sz w:val="18"/>
              </w:rPr>
              <w:t>91</w:t>
            </w:r>
          </w:p>
        </w:tc>
        <w:tc>
          <w:tcPr>
            <w:tcW w:w="629" w:type="dxa"/>
            <w:tcBorders>
              <w:top w:val="single" w:sz="4" w:space="0" w:color="auto"/>
            </w:tcBorders>
            <w:shd w:val="clear" w:color="auto" w:fill="auto"/>
            <w:vAlign w:val="bottom"/>
          </w:tcPr>
          <w:p w:rsidR="00AA5B69" w:rsidRPr="002954E0" w:rsidRDefault="00AA5B69">
            <w:pPr>
              <w:spacing w:before="80" w:after="80" w:line="220" w:lineRule="exact"/>
              <w:jc w:val="right"/>
              <w:rPr>
                <w:b/>
                <w:sz w:val="18"/>
              </w:rPr>
            </w:pPr>
            <w:r w:rsidRPr="002954E0">
              <w:rPr>
                <w:b/>
                <w:sz w:val="18"/>
              </w:rPr>
              <w:t>160</w:t>
            </w:r>
          </w:p>
        </w:tc>
        <w:tc>
          <w:tcPr>
            <w:tcW w:w="629" w:type="dxa"/>
            <w:tcBorders>
              <w:top w:val="single" w:sz="4" w:space="0" w:color="auto"/>
            </w:tcBorders>
            <w:shd w:val="clear" w:color="auto" w:fill="auto"/>
            <w:vAlign w:val="bottom"/>
          </w:tcPr>
          <w:p w:rsidR="00AA5B69" w:rsidRPr="002954E0" w:rsidRDefault="00AA5B69">
            <w:pPr>
              <w:spacing w:before="80" w:after="80" w:line="220" w:lineRule="exact"/>
              <w:jc w:val="right"/>
              <w:rPr>
                <w:b/>
                <w:sz w:val="18"/>
              </w:rPr>
            </w:pPr>
            <w:r w:rsidRPr="002954E0">
              <w:rPr>
                <w:b/>
                <w:sz w:val="18"/>
              </w:rPr>
              <w:t>173</w:t>
            </w:r>
          </w:p>
        </w:tc>
        <w:tc>
          <w:tcPr>
            <w:tcW w:w="629" w:type="dxa"/>
            <w:tcBorders>
              <w:top w:val="single" w:sz="4" w:space="0" w:color="auto"/>
            </w:tcBorders>
            <w:shd w:val="clear" w:color="auto" w:fill="auto"/>
            <w:vAlign w:val="bottom"/>
          </w:tcPr>
          <w:p w:rsidR="00AA5B69" w:rsidRPr="002954E0" w:rsidRDefault="00AA5B69">
            <w:pPr>
              <w:spacing w:before="80" w:after="80" w:line="220" w:lineRule="exact"/>
              <w:jc w:val="right"/>
              <w:rPr>
                <w:b/>
                <w:sz w:val="18"/>
              </w:rPr>
            </w:pPr>
            <w:r w:rsidRPr="002954E0">
              <w:rPr>
                <w:b/>
                <w:sz w:val="18"/>
              </w:rPr>
              <w:t>204</w:t>
            </w:r>
          </w:p>
        </w:tc>
        <w:tc>
          <w:tcPr>
            <w:tcW w:w="629" w:type="dxa"/>
            <w:tcBorders>
              <w:top w:val="single" w:sz="4" w:space="0" w:color="auto"/>
            </w:tcBorders>
            <w:shd w:val="clear" w:color="auto" w:fill="auto"/>
            <w:vAlign w:val="bottom"/>
          </w:tcPr>
          <w:p w:rsidR="00AA5B69" w:rsidRPr="002954E0" w:rsidRDefault="00AA5B69">
            <w:pPr>
              <w:spacing w:before="80" w:after="80" w:line="220" w:lineRule="exact"/>
              <w:jc w:val="right"/>
              <w:rPr>
                <w:b/>
                <w:sz w:val="18"/>
              </w:rPr>
            </w:pPr>
            <w:r w:rsidRPr="002954E0">
              <w:rPr>
                <w:b/>
                <w:sz w:val="18"/>
              </w:rPr>
              <w:t>224</w:t>
            </w:r>
          </w:p>
        </w:tc>
        <w:tc>
          <w:tcPr>
            <w:tcW w:w="629" w:type="dxa"/>
            <w:tcBorders>
              <w:top w:val="single" w:sz="4" w:space="0" w:color="auto"/>
            </w:tcBorders>
            <w:shd w:val="clear" w:color="auto" w:fill="auto"/>
            <w:vAlign w:val="bottom"/>
          </w:tcPr>
          <w:p w:rsidR="00AA5B69" w:rsidRPr="002954E0" w:rsidRDefault="00AA5B69">
            <w:pPr>
              <w:spacing w:before="80" w:after="80" w:line="220" w:lineRule="exact"/>
              <w:jc w:val="right"/>
              <w:rPr>
                <w:b/>
                <w:sz w:val="18"/>
              </w:rPr>
            </w:pPr>
            <w:r w:rsidRPr="002954E0">
              <w:rPr>
                <w:b/>
                <w:sz w:val="18"/>
              </w:rPr>
              <w:t>255</w:t>
            </w:r>
          </w:p>
        </w:tc>
        <w:tc>
          <w:tcPr>
            <w:tcW w:w="629" w:type="dxa"/>
            <w:tcBorders>
              <w:top w:val="single" w:sz="4" w:space="0" w:color="auto"/>
            </w:tcBorders>
            <w:shd w:val="clear" w:color="auto" w:fill="auto"/>
            <w:vAlign w:val="bottom"/>
          </w:tcPr>
          <w:p w:rsidR="00AA5B69" w:rsidRPr="002954E0" w:rsidRDefault="00AA5B69">
            <w:pPr>
              <w:spacing w:before="80" w:after="80" w:line="220" w:lineRule="exact"/>
              <w:jc w:val="right"/>
              <w:rPr>
                <w:b/>
                <w:sz w:val="18"/>
              </w:rPr>
            </w:pPr>
            <w:r w:rsidRPr="002954E0">
              <w:rPr>
                <w:b/>
                <w:sz w:val="18"/>
              </w:rPr>
              <w:t>243</w:t>
            </w:r>
          </w:p>
        </w:tc>
      </w:tr>
    </w:tbl>
    <w:p w:rsidR="00AA5B69" w:rsidRPr="002954E0" w:rsidRDefault="00AA5B69">
      <w:pPr>
        <w:spacing w:before="120"/>
        <w:ind w:left="1134" w:right="1134" w:firstLine="170"/>
        <w:rPr>
          <w:sz w:val="18"/>
          <w:szCs w:val="18"/>
        </w:rPr>
      </w:pPr>
      <w:r w:rsidRPr="002954E0">
        <w:rPr>
          <w:i/>
          <w:sz w:val="18"/>
          <w:szCs w:val="18"/>
        </w:rPr>
        <w:t>Fuente</w:t>
      </w:r>
      <w:r>
        <w:rPr>
          <w:sz w:val="18"/>
          <w:szCs w:val="18"/>
        </w:rPr>
        <w:t xml:space="preserve">: </w:t>
      </w:r>
      <w:r w:rsidRPr="002954E0">
        <w:rPr>
          <w:sz w:val="18"/>
          <w:szCs w:val="18"/>
        </w:rPr>
        <w:t>Encuesta sobre los tribunales penales para adultos, Centro Canadiense de Estadísticas de Justicia, Oficina de Estadísticas del Canadá.</w:t>
      </w:r>
    </w:p>
    <w:p w:rsidR="00AA5B69" w:rsidRPr="002954E0" w:rsidRDefault="00AA5B69">
      <w:pPr>
        <w:ind w:left="1134" w:right="1134" w:firstLine="170"/>
        <w:rPr>
          <w:sz w:val="18"/>
        </w:rPr>
      </w:pPr>
      <w:r>
        <w:rPr>
          <w:i/>
          <w:sz w:val="18"/>
          <w:szCs w:val="18"/>
        </w:rPr>
        <w:t>a</w:t>
      </w:r>
      <w:r w:rsidRPr="002954E0">
        <w:rPr>
          <w:sz w:val="18"/>
          <w:szCs w:val="18"/>
        </w:rPr>
        <w:t>)</w:t>
      </w:r>
      <w:r>
        <w:rPr>
          <w:sz w:val="18"/>
          <w:szCs w:val="18"/>
        </w:rPr>
        <w:t xml:space="preserve">  </w:t>
      </w:r>
      <w:r w:rsidRPr="002954E0">
        <w:rPr>
          <w:sz w:val="18"/>
          <w:szCs w:val="18"/>
        </w:rPr>
        <w:t xml:space="preserve">El acceso a la pornografía infantil [art. </w:t>
      </w:r>
      <w:r w:rsidRPr="002954E0">
        <w:rPr>
          <w:sz w:val="18"/>
        </w:rPr>
        <w:t>163.1(4.1)] entró en vigor el 23 de julio de 2002.</w:t>
      </w:r>
    </w:p>
    <w:p w:rsidR="00AA5B69" w:rsidRPr="002954E0" w:rsidRDefault="00AA5B69">
      <w:pPr>
        <w:ind w:left="1134" w:right="1134" w:firstLine="170"/>
        <w:rPr>
          <w:sz w:val="18"/>
          <w:szCs w:val="18"/>
        </w:rPr>
      </w:pPr>
      <w:r>
        <w:rPr>
          <w:i/>
          <w:sz w:val="18"/>
        </w:rPr>
        <w:t>b</w:t>
      </w:r>
      <w:r w:rsidRPr="002954E0">
        <w:rPr>
          <w:sz w:val="18"/>
        </w:rPr>
        <w:t>)</w:t>
      </w:r>
      <w:r>
        <w:rPr>
          <w:sz w:val="18"/>
        </w:rPr>
        <w:t xml:space="preserve">  </w:t>
      </w:r>
      <w:r w:rsidRPr="002954E0">
        <w:rPr>
          <w:sz w:val="18"/>
        </w:rPr>
        <w:t xml:space="preserve">No están incluidos Manitoba, los Territorios del Noroeste, Nunavut </w:t>
      </w:r>
      <w:r w:rsidRPr="002954E0">
        <w:rPr>
          <w:sz w:val="18"/>
          <w:szCs w:val="18"/>
        </w:rPr>
        <w:t>ni Nueva Brunswick.</w:t>
      </w:r>
    </w:p>
    <w:p w:rsidR="00AA5B69" w:rsidRPr="002954E0" w:rsidRDefault="00AA5B69">
      <w:pPr>
        <w:ind w:left="1134" w:right="1134" w:firstLine="170"/>
        <w:rPr>
          <w:sz w:val="18"/>
          <w:szCs w:val="18"/>
        </w:rPr>
      </w:pPr>
      <w:r>
        <w:rPr>
          <w:i/>
          <w:sz w:val="18"/>
          <w:szCs w:val="18"/>
        </w:rPr>
        <w:t>c</w:t>
      </w:r>
      <w:r w:rsidRPr="002954E0">
        <w:rPr>
          <w:sz w:val="18"/>
          <w:szCs w:val="18"/>
        </w:rPr>
        <w:t>)</w:t>
      </w:r>
      <w:r>
        <w:rPr>
          <w:sz w:val="18"/>
          <w:szCs w:val="18"/>
        </w:rPr>
        <w:t xml:space="preserve">  </w:t>
      </w:r>
      <w:r w:rsidRPr="002954E0">
        <w:rPr>
          <w:sz w:val="18"/>
          <w:szCs w:val="18"/>
        </w:rPr>
        <w:t>La unidad básica de análisis es la "causa individual", como se indica en el párrafo 8.</w:t>
      </w:r>
    </w:p>
    <w:p w:rsidR="00AA5B69" w:rsidRPr="002954E0" w:rsidRDefault="00AA5B69">
      <w:pPr>
        <w:spacing w:after="240"/>
        <w:ind w:left="1134" w:right="1134" w:firstLine="170"/>
        <w:rPr>
          <w:sz w:val="18"/>
          <w:szCs w:val="18"/>
        </w:rPr>
      </w:pPr>
      <w:r>
        <w:rPr>
          <w:i/>
          <w:sz w:val="18"/>
          <w:szCs w:val="18"/>
        </w:rPr>
        <w:t>d</w:t>
      </w:r>
      <w:r w:rsidRPr="002954E0">
        <w:rPr>
          <w:sz w:val="18"/>
          <w:szCs w:val="18"/>
        </w:rPr>
        <w:t>)</w:t>
      </w:r>
      <w:r>
        <w:rPr>
          <w:sz w:val="18"/>
          <w:szCs w:val="18"/>
        </w:rPr>
        <w:t xml:space="preserve">  </w:t>
      </w:r>
      <w:r w:rsidRPr="002954E0">
        <w:rPr>
          <w:sz w:val="18"/>
          <w:szCs w:val="18"/>
        </w:rPr>
        <w:t xml:space="preserve">Como todos los datos (desde 1994-1995 hasta 2006-2007) obtenidos a </w:t>
      </w:r>
      <w:r>
        <w:rPr>
          <w:sz w:val="18"/>
          <w:szCs w:val="18"/>
        </w:rPr>
        <w:t>part</w:t>
      </w:r>
      <w:r w:rsidRPr="002954E0">
        <w:rPr>
          <w:sz w:val="18"/>
          <w:szCs w:val="18"/>
        </w:rPr>
        <w:t>ir de la Encuesta integrada sobre los tribunales penales y la Encuesta sobre los tribunales penales para adultos se han elaborado utilizando la nueva definición de causa (véase el párrafo 8), los datos de este informe no se pueden comparar con los datos presentados antes de octubre de 2007.</w:t>
      </w:r>
    </w:p>
    <w:p w:rsidR="00AA5B69" w:rsidRDefault="00AA5B69">
      <w:pPr>
        <w:spacing w:before="240" w:after="240"/>
        <w:ind w:left="1134" w:right="1134"/>
        <w:jc w:val="both"/>
      </w:pPr>
      <w:r>
        <w:t>22.</w:t>
      </w:r>
      <w:r>
        <w:tab/>
        <w:t>En el cuadro 2 figuran las personas condenadas en el Canadá por solicitar servicios basados en la explotación sexual.</w:t>
      </w:r>
    </w:p>
    <w:tbl>
      <w:tblPr>
        <w:tblW w:w="7363" w:type="dxa"/>
        <w:tblInd w:w="1134" w:type="dxa"/>
        <w:tblBorders>
          <w:top w:val="single" w:sz="4" w:space="0" w:color="auto"/>
          <w:bottom w:val="single" w:sz="12" w:space="0" w:color="auto"/>
        </w:tblBorders>
        <w:tblLayout w:type="fixed"/>
        <w:tblCellMar>
          <w:left w:w="0" w:type="dxa"/>
          <w:right w:w="0" w:type="dxa"/>
        </w:tblCellMar>
        <w:tblLook w:val="0000"/>
      </w:tblPr>
      <w:tblGrid>
        <w:gridCol w:w="3166"/>
        <w:gridCol w:w="1100"/>
        <w:gridCol w:w="833"/>
        <w:gridCol w:w="60"/>
        <w:gridCol w:w="1153"/>
        <w:gridCol w:w="47"/>
        <w:gridCol w:w="1004"/>
      </w:tblGrid>
      <w:tr w:rsidR="00AA5B69" w:rsidRPr="002954E0">
        <w:trPr>
          <w:trHeight w:val="284"/>
          <w:tblHeader/>
        </w:trPr>
        <w:tc>
          <w:tcPr>
            <w:tcW w:w="3166" w:type="dxa"/>
            <w:vMerge w:val="restart"/>
            <w:tcBorders>
              <w:top w:val="single" w:sz="4" w:space="0" w:color="auto"/>
            </w:tcBorders>
            <w:shd w:val="clear" w:color="auto" w:fill="auto"/>
            <w:vAlign w:val="bottom"/>
          </w:tcPr>
          <w:p w:rsidR="00AA5B69" w:rsidRPr="002954E0" w:rsidRDefault="00AA5B69">
            <w:pPr>
              <w:spacing w:before="80" w:after="80" w:line="200" w:lineRule="exact"/>
              <w:rPr>
                <w:i/>
                <w:sz w:val="16"/>
                <w:szCs w:val="16"/>
              </w:rPr>
            </w:pPr>
            <w:r w:rsidRPr="002954E0">
              <w:rPr>
                <w:i/>
                <w:sz w:val="16"/>
                <w:szCs w:val="16"/>
              </w:rPr>
              <w:t>2006</w:t>
            </w:r>
            <w:r>
              <w:rPr>
                <w:i/>
                <w:sz w:val="16"/>
                <w:szCs w:val="16"/>
              </w:rPr>
              <w:t>-</w:t>
            </w:r>
            <w:r w:rsidRPr="002954E0">
              <w:rPr>
                <w:i/>
                <w:sz w:val="16"/>
                <w:szCs w:val="16"/>
              </w:rPr>
              <w:t>2007</w:t>
            </w:r>
          </w:p>
        </w:tc>
        <w:tc>
          <w:tcPr>
            <w:tcW w:w="4197" w:type="dxa"/>
            <w:gridSpan w:val="6"/>
            <w:tcBorders>
              <w:top w:val="single" w:sz="4" w:space="0" w:color="auto"/>
              <w:bottom w:val="single" w:sz="4" w:space="0" w:color="auto"/>
            </w:tcBorders>
            <w:shd w:val="clear" w:color="auto" w:fill="auto"/>
            <w:vAlign w:val="bottom"/>
          </w:tcPr>
          <w:p w:rsidR="00AA5B69" w:rsidRPr="002954E0" w:rsidRDefault="00AA5B69">
            <w:pPr>
              <w:spacing w:before="80" w:after="80" w:line="200" w:lineRule="exact"/>
              <w:jc w:val="center"/>
              <w:rPr>
                <w:i/>
                <w:sz w:val="16"/>
                <w:szCs w:val="16"/>
              </w:rPr>
            </w:pPr>
            <w:r w:rsidRPr="002954E0">
              <w:rPr>
                <w:i/>
                <w:sz w:val="16"/>
                <w:szCs w:val="16"/>
              </w:rPr>
              <w:t>Número y porcentaje</w:t>
            </w:r>
          </w:p>
        </w:tc>
      </w:tr>
      <w:tr w:rsidR="00AA5B69" w:rsidRPr="002954E0">
        <w:trPr>
          <w:trHeight w:val="284"/>
          <w:tblHeader/>
        </w:trPr>
        <w:tc>
          <w:tcPr>
            <w:tcW w:w="3166" w:type="dxa"/>
            <w:vMerge/>
            <w:shd w:val="clear" w:color="auto" w:fill="auto"/>
            <w:vAlign w:val="bottom"/>
          </w:tcPr>
          <w:p w:rsidR="00AA5B69" w:rsidRPr="002954E0" w:rsidRDefault="00AA5B69">
            <w:pPr>
              <w:spacing w:before="80" w:after="80" w:line="200" w:lineRule="exact"/>
              <w:rPr>
                <w:i/>
                <w:sz w:val="16"/>
                <w:szCs w:val="16"/>
              </w:rPr>
            </w:pPr>
          </w:p>
        </w:tc>
        <w:tc>
          <w:tcPr>
            <w:tcW w:w="1100" w:type="dxa"/>
            <w:tcBorders>
              <w:top w:val="single" w:sz="4" w:space="0" w:color="auto"/>
              <w:bottom w:val="single" w:sz="4" w:space="0" w:color="auto"/>
            </w:tcBorders>
            <w:shd w:val="clear" w:color="auto" w:fill="auto"/>
            <w:vAlign w:val="bottom"/>
          </w:tcPr>
          <w:p w:rsidR="00AA5B69" w:rsidRPr="002954E0" w:rsidRDefault="00AA5B69">
            <w:pPr>
              <w:spacing w:before="80" w:after="80" w:line="200" w:lineRule="exact"/>
              <w:jc w:val="right"/>
              <w:rPr>
                <w:i/>
                <w:sz w:val="16"/>
                <w:szCs w:val="16"/>
              </w:rPr>
            </w:pPr>
            <w:r w:rsidRPr="002954E0">
              <w:rPr>
                <w:i/>
                <w:sz w:val="16"/>
                <w:szCs w:val="16"/>
              </w:rPr>
              <w:t>Declarados culpables</w:t>
            </w:r>
          </w:p>
        </w:tc>
        <w:tc>
          <w:tcPr>
            <w:tcW w:w="893" w:type="dxa"/>
            <w:gridSpan w:val="2"/>
            <w:tcBorders>
              <w:top w:val="single" w:sz="4" w:space="0" w:color="auto"/>
              <w:bottom w:val="single" w:sz="4" w:space="0" w:color="auto"/>
            </w:tcBorders>
            <w:shd w:val="clear" w:color="auto" w:fill="auto"/>
            <w:vAlign w:val="bottom"/>
          </w:tcPr>
          <w:p w:rsidR="00AA5B69" w:rsidRPr="002954E0" w:rsidRDefault="00AA5B69">
            <w:pPr>
              <w:spacing w:before="80" w:after="80" w:line="200" w:lineRule="exact"/>
              <w:jc w:val="right"/>
              <w:rPr>
                <w:i/>
                <w:sz w:val="16"/>
                <w:szCs w:val="16"/>
              </w:rPr>
            </w:pPr>
            <w:r w:rsidRPr="002954E0">
              <w:rPr>
                <w:i/>
                <w:sz w:val="16"/>
                <w:szCs w:val="16"/>
              </w:rPr>
              <w:t>Absueltos</w:t>
            </w:r>
          </w:p>
        </w:tc>
        <w:tc>
          <w:tcPr>
            <w:tcW w:w="1153" w:type="dxa"/>
            <w:tcBorders>
              <w:top w:val="single" w:sz="4" w:space="0" w:color="auto"/>
              <w:bottom w:val="single" w:sz="4" w:space="0" w:color="auto"/>
            </w:tcBorders>
            <w:shd w:val="clear" w:color="auto" w:fill="auto"/>
            <w:vAlign w:val="bottom"/>
          </w:tcPr>
          <w:p w:rsidR="00AA5B69" w:rsidRPr="002954E0" w:rsidRDefault="00AA5B69">
            <w:pPr>
              <w:spacing w:before="80" w:after="80" w:line="200" w:lineRule="exact"/>
              <w:jc w:val="right"/>
              <w:rPr>
                <w:i/>
                <w:sz w:val="16"/>
                <w:szCs w:val="16"/>
              </w:rPr>
            </w:pPr>
            <w:r w:rsidRPr="002954E0">
              <w:rPr>
                <w:i/>
                <w:sz w:val="16"/>
                <w:szCs w:val="16"/>
              </w:rPr>
              <w:t>Suspensión del proceso o retirada de la acusación</w:t>
            </w:r>
          </w:p>
        </w:tc>
        <w:tc>
          <w:tcPr>
            <w:tcW w:w="1051" w:type="dxa"/>
            <w:gridSpan w:val="2"/>
            <w:tcBorders>
              <w:top w:val="single" w:sz="4" w:space="0" w:color="auto"/>
              <w:bottom w:val="single" w:sz="4" w:space="0" w:color="auto"/>
            </w:tcBorders>
            <w:shd w:val="clear" w:color="auto" w:fill="auto"/>
            <w:vAlign w:val="bottom"/>
          </w:tcPr>
          <w:p w:rsidR="00AA5B69" w:rsidRPr="002954E0" w:rsidRDefault="00AA5B69">
            <w:pPr>
              <w:spacing w:before="80" w:after="80" w:line="200" w:lineRule="exact"/>
              <w:jc w:val="right"/>
              <w:rPr>
                <w:i/>
                <w:sz w:val="16"/>
                <w:szCs w:val="16"/>
              </w:rPr>
            </w:pPr>
            <w:r w:rsidRPr="002954E0">
              <w:rPr>
                <w:i/>
                <w:sz w:val="16"/>
                <w:szCs w:val="16"/>
              </w:rPr>
              <w:t>Otros</w:t>
            </w:r>
          </w:p>
        </w:tc>
      </w:tr>
      <w:tr w:rsidR="00AA5B69" w:rsidRPr="002954E0">
        <w:trPr>
          <w:trHeight w:val="284"/>
        </w:trPr>
        <w:tc>
          <w:tcPr>
            <w:tcW w:w="3166" w:type="dxa"/>
            <w:tcBorders>
              <w:top w:val="single" w:sz="12" w:space="0" w:color="auto"/>
            </w:tcBorders>
            <w:shd w:val="clear" w:color="auto" w:fill="auto"/>
          </w:tcPr>
          <w:p w:rsidR="00AA5B69" w:rsidRPr="002954E0" w:rsidRDefault="00AA5B69">
            <w:pPr>
              <w:spacing w:before="40" w:after="40" w:line="220" w:lineRule="exact"/>
              <w:rPr>
                <w:sz w:val="18"/>
              </w:rPr>
            </w:pPr>
            <w:r w:rsidRPr="002954E0">
              <w:rPr>
                <w:i/>
                <w:sz w:val="16"/>
                <w:szCs w:val="16"/>
              </w:rPr>
              <w:t>Utilización de niños en la pornografía</w:t>
            </w:r>
          </w:p>
        </w:tc>
        <w:tc>
          <w:tcPr>
            <w:tcW w:w="4197" w:type="dxa"/>
            <w:gridSpan w:val="6"/>
            <w:tcBorders>
              <w:top w:val="single" w:sz="12" w:space="0" w:color="auto"/>
            </w:tcBorders>
            <w:shd w:val="clear" w:color="auto" w:fill="auto"/>
            <w:vAlign w:val="bottom"/>
          </w:tcPr>
          <w:p w:rsidR="00AA5B69" w:rsidRPr="002954E0" w:rsidRDefault="00AA5B69">
            <w:pPr>
              <w:spacing w:before="40" w:after="40" w:line="220" w:lineRule="exact"/>
              <w:jc w:val="right"/>
              <w:rPr>
                <w:sz w:val="18"/>
              </w:rPr>
            </w:pPr>
          </w:p>
        </w:tc>
      </w:tr>
      <w:tr w:rsidR="00AA5B69" w:rsidRPr="002954E0">
        <w:trPr>
          <w:trHeight w:val="284"/>
        </w:trPr>
        <w:tc>
          <w:tcPr>
            <w:tcW w:w="3166" w:type="dxa"/>
            <w:shd w:val="clear" w:color="auto" w:fill="auto"/>
          </w:tcPr>
          <w:p w:rsidR="00AA5B69" w:rsidRPr="002954E0" w:rsidRDefault="00AA5B69">
            <w:pPr>
              <w:spacing w:before="40" w:after="40" w:line="220" w:lineRule="exact"/>
              <w:rPr>
                <w:sz w:val="18"/>
              </w:rPr>
            </w:pPr>
            <w:r w:rsidRPr="002954E0">
              <w:rPr>
                <w:sz w:val="18"/>
              </w:rPr>
              <w:t>Producción y posesión con esos fines</w:t>
            </w:r>
          </w:p>
        </w:tc>
        <w:tc>
          <w:tcPr>
            <w:tcW w:w="1100" w:type="dxa"/>
            <w:shd w:val="clear" w:color="auto" w:fill="auto"/>
            <w:vAlign w:val="bottom"/>
          </w:tcPr>
          <w:p w:rsidR="00AA5B69" w:rsidRPr="002954E0" w:rsidRDefault="00AA5B69">
            <w:pPr>
              <w:spacing w:before="40" w:after="40" w:line="220" w:lineRule="exact"/>
              <w:jc w:val="right"/>
              <w:rPr>
                <w:sz w:val="18"/>
              </w:rPr>
            </w:pPr>
            <w:r w:rsidRPr="002954E0">
              <w:rPr>
                <w:sz w:val="18"/>
              </w:rPr>
              <w:t>10 (90,9)</w:t>
            </w:r>
          </w:p>
        </w:tc>
        <w:tc>
          <w:tcPr>
            <w:tcW w:w="833" w:type="dxa"/>
            <w:shd w:val="clear" w:color="auto" w:fill="auto"/>
            <w:vAlign w:val="bottom"/>
          </w:tcPr>
          <w:p w:rsidR="00AA5B69" w:rsidRPr="002954E0" w:rsidRDefault="00AA5B69">
            <w:pPr>
              <w:spacing w:before="40" w:after="40" w:line="220" w:lineRule="exact"/>
              <w:jc w:val="right"/>
              <w:rPr>
                <w:sz w:val="18"/>
              </w:rPr>
            </w:pPr>
            <w:r w:rsidRPr="002954E0">
              <w:rPr>
                <w:sz w:val="18"/>
              </w:rPr>
              <w:t>0 (0,0)</w:t>
            </w:r>
          </w:p>
        </w:tc>
        <w:tc>
          <w:tcPr>
            <w:tcW w:w="1260" w:type="dxa"/>
            <w:gridSpan w:val="3"/>
            <w:shd w:val="clear" w:color="auto" w:fill="auto"/>
            <w:vAlign w:val="bottom"/>
          </w:tcPr>
          <w:p w:rsidR="00AA5B69" w:rsidRPr="002954E0" w:rsidRDefault="00AA5B69">
            <w:pPr>
              <w:spacing w:before="40" w:after="40" w:line="220" w:lineRule="exact"/>
              <w:jc w:val="right"/>
              <w:rPr>
                <w:sz w:val="18"/>
              </w:rPr>
            </w:pPr>
            <w:r w:rsidRPr="002954E0">
              <w:rPr>
                <w:sz w:val="18"/>
              </w:rPr>
              <w:t>0 (0,0)</w:t>
            </w:r>
          </w:p>
        </w:tc>
        <w:tc>
          <w:tcPr>
            <w:tcW w:w="1004" w:type="dxa"/>
            <w:shd w:val="clear" w:color="auto" w:fill="auto"/>
            <w:vAlign w:val="bottom"/>
          </w:tcPr>
          <w:p w:rsidR="00AA5B69" w:rsidRPr="002954E0" w:rsidRDefault="00AA5B69">
            <w:pPr>
              <w:spacing w:before="40" w:after="40" w:line="220" w:lineRule="exact"/>
              <w:jc w:val="right"/>
              <w:rPr>
                <w:sz w:val="18"/>
              </w:rPr>
            </w:pPr>
            <w:r w:rsidRPr="002954E0">
              <w:rPr>
                <w:sz w:val="18"/>
              </w:rPr>
              <w:t>1 (100,0)</w:t>
            </w:r>
          </w:p>
        </w:tc>
      </w:tr>
      <w:tr w:rsidR="00AA5B69" w:rsidRPr="002954E0">
        <w:trPr>
          <w:trHeight w:val="284"/>
        </w:trPr>
        <w:tc>
          <w:tcPr>
            <w:tcW w:w="3166" w:type="dxa"/>
            <w:shd w:val="clear" w:color="auto" w:fill="auto"/>
          </w:tcPr>
          <w:p w:rsidR="00AA5B69" w:rsidRPr="002954E0" w:rsidRDefault="00AA5B69">
            <w:pPr>
              <w:spacing w:before="40" w:after="40" w:line="220" w:lineRule="exact"/>
              <w:rPr>
                <w:sz w:val="18"/>
              </w:rPr>
            </w:pPr>
            <w:r w:rsidRPr="002954E0">
              <w:rPr>
                <w:sz w:val="18"/>
              </w:rPr>
              <w:t>Distribución o transmisión</w:t>
            </w:r>
          </w:p>
        </w:tc>
        <w:tc>
          <w:tcPr>
            <w:tcW w:w="1100" w:type="dxa"/>
            <w:shd w:val="clear" w:color="auto" w:fill="auto"/>
            <w:vAlign w:val="bottom"/>
          </w:tcPr>
          <w:p w:rsidR="00AA5B69" w:rsidRPr="002954E0" w:rsidRDefault="00AA5B69">
            <w:pPr>
              <w:spacing w:before="40" w:after="40" w:line="220" w:lineRule="exact"/>
              <w:jc w:val="right"/>
              <w:rPr>
                <w:sz w:val="18"/>
              </w:rPr>
            </w:pPr>
            <w:r w:rsidRPr="002954E0">
              <w:rPr>
                <w:sz w:val="18"/>
              </w:rPr>
              <w:t>16 (94,1)</w:t>
            </w:r>
          </w:p>
        </w:tc>
        <w:tc>
          <w:tcPr>
            <w:tcW w:w="833" w:type="dxa"/>
            <w:shd w:val="clear" w:color="auto" w:fill="auto"/>
            <w:vAlign w:val="bottom"/>
          </w:tcPr>
          <w:p w:rsidR="00AA5B69" w:rsidRPr="002954E0" w:rsidRDefault="00AA5B69">
            <w:pPr>
              <w:spacing w:before="40" w:after="40" w:line="220" w:lineRule="exact"/>
              <w:jc w:val="right"/>
              <w:rPr>
                <w:sz w:val="18"/>
              </w:rPr>
            </w:pPr>
            <w:r w:rsidRPr="002954E0">
              <w:rPr>
                <w:sz w:val="18"/>
              </w:rPr>
              <w:t>0 (0,0)</w:t>
            </w:r>
          </w:p>
        </w:tc>
        <w:tc>
          <w:tcPr>
            <w:tcW w:w="1260" w:type="dxa"/>
            <w:gridSpan w:val="3"/>
            <w:shd w:val="clear" w:color="auto" w:fill="auto"/>
            <w:vAlign w:val="bottom"/>
          </w:tcPr>
          <w:p w:rsidR="00AA5B69" w:rsidRPr="002954E0" w:rsidRDefault="00AA5B69">
            <w:pPr>
              <w:spacing w:before="40" w:after="40" w:line="220" w:lineRule="exact"/>
              <w:jc w:val="right"/>
              <w:rPr>
                <w:sz w:val="18"/>
              </w:rPr>
            </w:pPr>
            <w:r w:rsidRPr="002954E0">
              <w:rPr>
                <w:sz w:val="18"/>
              </w:rPr>
              <w:t>1 (5,9)</w:t>
            </w:r>
          </w:p>
        </w:tc>
        <w:tc>
          <w:tcPr>
            <w:tcW w:w="1004" w:type="dxa"/>
            <w:shd w:val="clear" w:color="auto" w:fill="auto"/>
            <w:vAlign w:val="bottom"/>
          </w:tcPr>
          <w:p w:rsidR="00AA5B69" w:rsidRPr="002954E0" w:rsidRDefault="00AA5B69">
            <w:pPr>
              <w:spacing w:before="40" w:after="40" w:line="220" w:lineRule="exact"/>
              <w:jc w:val="right"/>
              <w:rPr>
                <w:sz w:val="18"/>
              </w:rPr>
            </w:pPr>
            <w:r w:rsidRPr="002954E0">
              <w:rPr>
                <w:sz w:val="18"/>
              </w:rPr>
              <w:t>0 (00,0)</w:t>
            </w:r>
          </w:p>
        </w:tc>
      </w:tr>
      <w:tr w:rsidR="00AA5B69" w:rsidRPr="002954E0">
        <w:trPr>
          <w:trHeight w:val="284"/>
        </w:trPr>
        <w:tc>
          <w:tcPr>
            <w:tcW w:w="3166" w:type="dxa"/>
            <w:shd w:val="clear" w:color="auto" w:fill="auto"/>
          </w:tcPr>
          <w:p w:rsidR="00AA5B69" w:rsidRPr="002954E0" w:rsidRDefault="00AA5B69">
            <w:pPr>
              <w:spacing w:before="40" w:after="40" w:line="220" w:lineRule="exact"/>
              <w:rPr>
                <w:sz w:val="18"/>
              </w:rPr>
            </w:pPr>
            <w:r w:rsidRPr="002954E0">
              <w:rPr>
                <w:sz w:val="18"/>
              </w:rPr>
              <w:t>Posesión o acceso</w:t>
            </w:r>
          </w:p>
        </w:tc>
        <w:tc>
          <w:tcPr>
            <w:tcW w:w="1100" w:type="dxa"/>
            <w:shd w:val="clear" w:color="auto" w:fill="auto"/>
            <w:vAlign w:val="bottom"/>
          </w:tcPr>
          <w:p w:rsidR="00AA5B69" w:rsidRPr="002954E0" w:rsidRDefault="00AA5B69">
            <w:pPr>
              <w:spacing w:before="40" w:after="40" w:line="220" w:lineRule="exact"/>
              <w:jc w:val="right"/>
              <w:rPr>
                <w:sz w:val="18"/>
              </w:rPr>
            </w:pPr>
            <w:r w:rsidRPr="002954E0">
              <w:rPr>
                <w:sz w:val="18"/>
              </w:rPr>
              <w:t>149 (78,0)</w:t>
            </w:r>
          </w:p>
        </w:tc>
        <w:tc>
          <w:tcPr>
            <w:tcW w:w="833" w:type="dxa"/>
            <w:shd w:val="clear" w:color="auto" w:fill="auto"/>
            <w:vAlign w:val="bottom"/>
          </w:tcPr>
          <w:p w:rsidR="00AA5B69" w:rsidRPr="002954E0" w:rsidRDefault="00AA5B69">
            <w:pPr>
              <w:spacing w:before="40" w:after="40" w:line="220" w:lineRule="exact"/>
              <w:jc w:val="right"/>
              <w:rPr>
                <w:sz w:val="18"/>
              </w:rPr>
            </w:pPr>
            <w:r w:rsidRPr="002954E0">
              <w:rPr>
                <w:sz w:val="18"/>
              </w:rPr>
              <w:t>3 (1,6)</w:t>
            </w:r>
          </w:p>
        </w:tc>
        <w:tc>
          <w:tcPr>
            <w:tcW w:w="1260" w:type="dxa"/>
            <w:gridSpan w:val="3"/>
            <w:shd w:val="clear" w:color="auto" w:fill="auto"/>
            <w:vAlign w:val="bottom"/>
          </w:tcPr>
          <w:p w:rsidR="00AA5B69" w:rsidRPr="002954E0" w:rsidRDefault="00AA5B69">
            <w:pPr>
              <w:spacing w:before="40" w:after="40" w:line="220" w:lineRule="exact"/>
              <w:jc w:val="right"/>
              <w:rPr>
                <w:sz w:val="18"/>
              </w:rPr>
            </w:pPr>
            <w:r w:rsidRPr="002954E0">
              <w:rPr>
                <w:sz w:val="18"/>
              </w:rPr>
              <w:t>34 (17,8)</w:t>
            </w:r>
          </w:p>
        </w:tc>
        <w:tc>
          <w:tcPr>
            <w:tcW w:w="1004" w:type="dxa"/>
            <w:shd w:val="clear" w:color="auto" w:fill="auto"/>
            <w:vAlign w:val="bottom"/>
          </w:tcPr>
          <w:p w:rsidR="00AA5B69" w:rsidRPr="002954E0" w:rsidRDefault="00AA5B69">
            <w:pPr>
              <w:spacing w:before="40" w:after="40" w:line="220" w:lineRule="exact"/>
              <w:jc w:val="right"/>
              <w:rPr>
                <w:sz w:val="18"/>
              </w:rPr>
            </w:pPr>
            <w:r w:rsidRPr="002954E0">
              <w:rPr>
                <w:sz w:val="18"/>
              </w:rPr>
              <w:t>5 (2,6)</w:t>
            </w:r>
          </w:p>
        </w:tc>
      </w:tr>
      <w:tr w:rsidR="00AA5B69" w:rsidRPr="002954E0">
        <w:trPr>
          <w:trHeight w:val="284"/>
        </w:trPr>
        <w:tc>
          <w:tcPr>
            <w:tcW w:w="3166" w:type="dxa"/>
            <w:shd w:val="clear" w:color="auto" w:fill="auto"/>
          </w:tcPr>
          <w:p w:rsidR="00AA5B69" w:rsidRPr="002954E0" w:rsidRDefault="00AA5B69">
            <w:pPr>
              <w:spacing w:before="40" w:after="40" w:line="220" w:lineRule="exact"/>
              <w:rPr>
                <w:sz w:val="18"/>
              </w:rPr>
            </w:pPr>
            <w:r w:rsidRPr="002954E0">
              <w:rPr>
                <w:i/>
                <w:sz w:val="16"/>
                <w:szCs w:val="16"/>
              </w:rPr>
              <w:t>Prostitución infantil</w:t>
            </w:r>
          </w:p>
        </w:tc>
        <w:tc>
          <w:tcPr>
            <w:tcW w:w="1100" w:type="dxa"/>
            <w:shd w:val="clear" w:color="auto" w:fill="auto"/>
            <w:vAlign w:val="bottom"/>
          </w:tcPr>
          <w:p w:rsidR="00AA5B69" w:rsidRPr="002954E0" w:rsidRDefault="00AA5B69">
            <w:pPr>
              <w:spacing w:before="40" w:after="40" w:line="220" w:lineRule="exact"/>
              <w:jc w:val="right"/>
              <w:rPr>
                <w:sz w:val="18"/>
              </w:rPr>
            </w:pPr>
          </w:p>
        </w:tc>
        <w:tc>
          <w:tcPr>
            <w:tcW w:w="833" w:type="dxa"/>
            <w:shd w:val="clear" w:color="auto" w:fill="auto"/>
            <w:vAlign w:val="bottom"/>
          </w:tcPr>
          <w:p w:rsidR="00AA5B69" w:rsidRPr="002954E0" w:rsidRDefault="00AA5B69">
            <w:pPr>
              <w:spacing w:before="40" w:after="40" w:line="220" w:lineRule="exact"/>
              <w:jc w:val="right"/>
              <w:rPr>
                <w:sz w:val="18"/>
              </w:rPr>
            </w:pPr>
          </w:p>
        </w:tc>
        <w:tc>
          <w:tcPr>
            <w:tcW w:w="1260" w:type="dxa"/>
            <w:gridSpan w:val="3"/>
            <w:shd w:val="clear" w:color="auto" w:fill="auto"/>
            <w:vAlign w:val="bottom"/>
          </w:tcPr>
          <w:p w:rsidR="00AA5B69" w:rsidRPr="002954E0" w:rsidRDefault="00AA5B69">
            <w:pPr>
              <w:spacing w:before="40" w:after="40" w:line="220" w:lineRule="exact"/>
              <w:jc w:val="right"/>
              <w:rPr>
                <w:sz w:val="18"/>
              </w:rPr>
            </w:pPr>
          </w:p>
        </w:tc>
        <w:tc>
          <w:tcPr>
            <w:tcW w:w="1004" w:type="dxa"/>
            <w:shd w:val="clear" w:color="auto" w:fill="auto"/>
            <w:vAlign w:val="bottom"/>
          </w:tcPr>
          <w:p w:rsidR="00AA5B69" w:rsidRPr="002954E0" w:rsidRDefault="00AA5B69">
            <w:pPr>
              <w:spacing w:before="40" w:after="40" w:line="220" w:lineRule="exact"/>
              <w:jc w:val="right"/>
              <w:rPr>
                <w:sz w:val="18"/>
              </w:rPr>
            </w:pPr>
          </w:p>
        </w:tc>
      </w:tr>
      <w:tr w:rsidR="00AA5B69" w:rsidRPr="002954E0">
        <w:trPr>
          <w:trHeight w:val="284"/>
        </w:trPr>
        <w:tc>
          <w:tcPr>
            <w:tcW w:w="3166" w:type="dxa"/>
            <w:tcBorders>
              <w:bottom w:val="nil"/>
            </w:tcBorders>
            <w:shd w:val="clear" w:color="auto" w:fill="auto"/>
          </w:tcPr>
          <w:p w:rsidR="00AA5B69" w:rsidRPr="002954E0" w:rsidRDefault="00AA5B69">
            <w:pPr>
              <w:spacing w:before="40" w:after="40" w:line="220" w:lineRule="exact"/>
              <w:rPr>
                <w:sz w:val="18"/>
              </w:rPr>
            </w:pPr>
            <w:r w:rsidRPr="002954E0">
              <w:rPr>
                <w:sz w:val="18"/>
              </w:rPr>
              <w:t>Vivir de los beneficios</w:t>
            </w:r>
          </w:p>
        </w:tc>
        <w:tc>
          <w:tcPr>
            <w:tcW w:w="1100" w:type="dxa"/>
            <w:tcBorders>
              <w:bottom w:val="nil"/>
            </w:tcBorders>
            <w:shd w:val="clear" w:color="auto" w:fill="auto"/>
            <w:vAlign w:val="bottom"/>
          </w:tcPr>
          <w:p w:rsidR="00AA5B69" w:rsidRPr="002954E0" w:rsidRDefault="00AA5B69">
            <w:pPr>
              <w:spacing w:before="40" w:after="40" w:line="220" w:lineRule="exact"/>
              <w:jc w:val="right"/>
              <w:rPr>
                <w:sz w:val="18"/>
              </w:rPr>
            </w:pPr>
            <w:r w:rsidRPr="002954E0">
              <w:rPr>
                <w:sz w:val="18"/>
              </w:rPr>
              <w:t>4 (36,4)</w:t>
            </w:r>
          </w:p>
        </w:tc>
        <w:tc>
          <w:tcPr>
            <w:tcW w:w="833" w:type="dxa"/>
            <w:tcBorders>
              <w:bottom w:val="nil"/>
            </w:tcBorders>
            <w:shd w:val="clear" w:color="auto" w:fill="auto"/>
            <w:vAlign w:val="bottom"/>
          </w:tcPr>
          <w:p w:rsidR="00AA5B69" w:rsidRPr="002954E0" w:rsidRDefault="00AA5B69">
            <w:pPr>
              <w:spacing w:before="40" w:after="40" w:line="220" w:lineRule="exact"/>
              <w:jc w:val="right"/>
              <w:rPr>
                <w:sz w:val="18"/>
              </w:rPr>
            </w:pPr>
            <w:r w:rsidRPr="002954E0">
              <w:rPr>
                <w:sz w:val="18"/>
              </w:rPr>
              <w:t>0 (5,9)</w:t>
            </w:r>
          </w:p>
        </w:tc>
        <w:tc>
          <w:tcPr>
            <w:tcW w:w="1260" w:type="dxa"/>
            <w:gridSpan w:val="3"/>
            <w:tcBorders>
              <w:bottom w:val="nil"/>
            </w:tcBorders>
            <w:shd w:val="clear" w:color="auto" w:fill="auto"/>
            <w:vAlign w:val="bottom"/>
          </w:tcPr>
          <w:p w:rsidR="00AA5B69" w:rsidRPr="002954E0" w:rsidRDefault="00AA5B69">
            <w:pPr>
              <w:spacing w:before="40" w:after="40" w:line="220" w:lineRule="exact"/>
              <w:jc w:val="right"/>
              <w:rPr>
                <w:sz w:val="18"/>
              </w:rPr>
            </w:pPr>
            <w:r w:rsidRPr="002954E0">
              <w:rPr>
                <w:sz w:val="18"/>
              </w:rPr>
              <w:t>5 (35,3)</w:t>
            </w:r>
          </w:p>
        </w:tc>
        <w:tc>
          <w:tcPr>
            <w:tcW w:w="1004" w:type="dxa"/>
            <w:tcBorders>
              <w:bottom w:val="nil"/>
            </w:tcBorders>
            <w:shd w:val="clear" w:color="auto" w:fill="auto"/>
            <w:vAlign w:val="bottom"/>
          </w:tcPr>
          <w:p w:rsidR="00AA5B69" w:rsidRPr="002954E0" w:rsidRDefault="00AA5B69">
            <w:pPr>
              <w:spacing w:before="40" w:after="40" w:line="220" w:lineRule="exact"/>
              <w:jc w:val="right"/>
              <w:rPr>
                <w:sz w:val="18"/>
              </w:rPr>
            </w:pPr>
            <w:r w:rsidRPr="002954E0">
              <w:rPr>
                <w:sz w:val="18"/>
              </w:rPr>
              <w:t>1 (9,1)</w:t>
            </w:r>
          </w:p>
        </w:tc>
      </w:tr>
      <w:tr w:rsidR="00AA5B69" w:rsidRPr="002954E0">
        <w:trPr>
          <w:trHeight w:val="284"/>
        </w:trPr>
        <w:tc>
          <w:tcPr>
            <w:tcW w:w="3166" w:type="dxa"/>
            <w:tcBorders>
              <w:bottom w:val="nil"/>
            </w:tcBorders>
            <w:shd w:val="clear" w:color="auto" w:fill="auto"/>
          </w:tcPr>
          <w:p w:rsidR="00AA5B69" w:rsidRPr="002954E0" w:rsidRDefault="00AA5B69">
            <w:pPr>
              <w:spacing w:before="40" w:after="40" w:line="220" w:lineRule="exact"/>
              <w:rPr>
                <w:sz w:val="18"/>
              </w:rPr>
            </w:pPr>
            <w:r w:rsidRPr="002954E0">
              <w:rPr>
                <w:sz w:val="18"/>
              </w:rPr>
              <w:t>Comunicación con esos fines (art. 212, párr. 4)</w:t>
            </w:r>
          </w:p>
        </w:tc>
        <w:tc>
          <w:tcPr>
            <w:tcW w:w="1100" w:type="dxa"/>
            <w:tcBorders>
              <w:bottom w:val="nil"/>
            </w:tcBorders>
            <w:shd w:val="clear" w:color="auto" w:fill="auto"/>
            <w:vAlign w:val="bottom"/>
          </w:tcPr>
          <w:p w:rsidR="00AA5B69" w:rsidRPr="002954E0" w:rsidRDefault="00AA5B69">
            <w:pPr>
              <w:spacing w:before="40" w:after="40" w:line="220" w:lineRule="exact"/>
              <w:jc w:val="right"/>
              <w:rPr>
                <w:sz w:val="18"/>
              </w:rPr>
            </w:pPr>
            <w:r w:rsidRPr="002954E0">
              <w:rPr>
                <w:sz w:val="18"/>
              </w:rPr>
              <w:t>9 (50,0)</w:t>
            </w:r>
          </w:p>
        </w:tc>
        <w:tc>
          <w:tcPr>
            <w:tcW w:w="833" w:type="dxa"/>
            <w:tcBorders>
              <w:bottom w:val="nil"/>
            </w:tcBorders>
            <w:shd w:val="clear" w:color="auto" w:fill="auto"/>
            <w:vAlign w:val="bottom"/>
          </w:tcPr>
          <w:p w:rsidR="00AA5B69" w:rsidRPr="002954E0" w:rsidRDefault="00AA5B69">
            <w:pPr>
              <w:spacing w:before="40" w:after="40" w:line="220" w:lineRule="exact"/>
              <w:jc w:val="right"/>
              <w:rPr>
                <w:sz w:val="18"/>
              </w:rPr>
            </w:pPr>
            <w:r w:rsidRPr="002954E0">
              <w:rPr>
                <w:sz w:val="18"/>
              </w:rPr>
              <w:t>0 (0)</w:t>
            </w:r>
          </w:p>
        </w:tc>
        <w:tc>
          <w:tcPr>
            <w:tcW w:w="1260" w:type="dxa"/>
            <w:gridSpan w:val="3"/>
            <w:tcBorders>
              <w:bottom w:val="nil"/>
            </w:tcBorders>
            <w:shd w:val="clear" w:color="auto" w:fill="auto"/>
            <w:vAlign w:val="bottom"/>
          </w:tcPr>
          <w:p w:rsidR="00AA5B69" w:rsidRPr="002954E0" w:rsidRDefault="00AA5B69">
            <w:pPr>
              <w:spacing w:before="40" w:after="40" w:line="220" w:lineRule="exact"/>
              <w:jc w:val="right"/>
              <w:rPr>
                <w:sz w:val="18"/>
              </w:rPr>
            </w:pPr>
            <w:r w:rsidRPr="002954E0">
              <w:rPr>
                <w:sz w:val="18"/>
              </w:rPr>
              <w:t>4 (30,8)</w:t>
            </w:r>
          </w:p>
        </w:tc>
        <w:tc>
          <w:tcPr>
            <w:tcW w:w="1004" w:type="dxa"/>
            <w:tcBorders>
              <w:bottom w:val="nil"/>
            </w:tcBorders>
            <w:shd w:val="clear" w:color="auto" w:fill="auto"/>
            <w:vAlign w:val="bottom"/>
          </w:tcPr>
          <w:p w:rsidR="00AA5B69" w:rsidRPr="002954E0" w:rsidRDefault="00AA5B69">
            <w:pPr>
              <w:spacing w:before="40" w:after="40" w:line="220" w:lineRule="exact"/>
              <w:jc w:val="right"/>
              <w:rPr>
                <w:sz w:val="18"/>
              </w:rPr>
            </w:pPr>
            <w:r w:rsidRPr="002954E0">
              <w:rPr>
                <w:sz w:val="18"/>
              </w:rPr>
              <w:t>0 (0,0)</w:t>
            </w:r>
          </w:p>
        </w:tc>
      </w:tr>
      <w:tr w:rsidR="00AA5B69" w:rsidRPr="002954E0">
        <w:trPr>
          <w:trHeight w:val="284"/>
        </w:trPr>
        <w:tc>
          <w:tcPr>
            <w:tcW w:w="3166" w:type="dxa"/>
            <w:tcBorders>
              <w:top w:val="nil"/>
              <w:bottom w:val="single" w:sz="4" w:space="0" w:color="auto"/>
            </w:tcBorders>
            <w:shd w:val="clear" w:color="auto" w:fill="auto"/>
          </w:tcPr>
          <w:p w:rsidR="00AA5B69" w:rsidRPr="002954E0" w:rsidRDefault="00AA5B69">
            <w:pPr>
              <w:keepNext/>
              <w:keepLines/>
              <w:spacing w:before="40" w:after="40" w:line="220" w:lineRule="exact"/>
              <w:rPr>
                <w:sz w:val="18"/>
              </w:rPr>
            </w:pPr>
            <w:r w:rsidRPr="002954E0">
              <w:rPr>
                <w:sz w:val="18"/>
              </w:rPr>
              <w:t>Progenitor que ejerce de intermediario (art.</w:t>
            </w:r>
            <w:r>
              <w:rPr>
                <w:sz w:val="18"/>
              </w:rPr>
              <w:t> </w:t>
            </w:r>
            <w:r w:rsidRPr="002954E0">
              <w:rPr>
                <w:sz w:val="18"/>
              </w:rPr>
              <w:t>170)</w:t>
            </w:r>
          </w:p>
        </w:tc>
        <w:tc>
          <w:tcPr>
            <w:tcW w:w="1100" w:type="dxa"/>
            <w:tcBorders>
              <w:top w:val="nil"/>
              <w:bottom w:val="single" w:sz="4" w:space="0" w:color="auto"/>
            </w:tcBorders>
            <w:shd w:val="clear" w:color="auto" w:fill="auto"/>
            <w:vAlign w:val="bottom"/>
          </w:tcPr>
          <w:p w:rsidR="00AA5B69" w:rsidRPr="002954E0" w:rsidRDefault="00AA5B69">
            <w:pPr>
              <w:keepNext/>
              <w:keepLines/>
              <w:spacing w:before="40" w:after="40" w:line="220" w:lineRule="exact"/>
              <w:jc w:val="right"/>
              <w:rPr>
                <w:sz w:val="18"/>
              </w:rPr>
            </w:pPr>
            <w:r w:rsidRPr="002954E0">
              <w:rPr>
                <w:sz w:val="18"/>
              </w:rPr>
              <w:t>1 (100,0)</w:t>
            </w:r>
          </w:p>
        </w:tc>
        <w:tc>
          <w:tcPr>
            <w:tcW w:w="833" w:type="dxa"/>
            <w:tcBorders>
              <w:top w:val="nil"/>
              <w:bottom w:val="single" w:sz="4" w:space="0" w:color="auto"/>
            </w:tcBorders>
            <w:shd w:val="clear" w:color="auto" w:fill="auto"/>
            <w:vAlign w:val="bottom"/>
          </w:tcPr>
          <w:p w:rsidR="00AA5B69" w:rsidRPr="002954E0" w:rsidRDefault="00AA5B69">
            <w:pPr>
              <w:keepNext/>
              <w:keepLines/>
              <w:spacing w:before="40" w:after="40" w:line="220" w:lineRule="exact"/>
              <w:jc w:val="right"/>
              <w:rPr>
                <w:sz w:val="18"/>
              </w:rPr>
            </w:pPr>
            <w:r w:rsidRPr="002954E0">
              <w:rPr>
                <w:sz w:val="18"/>
              </w:rPr>
              <w:t>0 (0,0)</w:t>
            </w:r>
          </w:p>
        </w:tc>
        <w:tc>
          <w:tcPr>
            <w:tcW w:w="1260" w:type="dxa"/>
            <w:gridSpan w:val="3"/>
            <w:tcBorders>
              <w:top w:val="nil"/>
              <w:bottom w:val="single" w:sz="4" w:space="0" w:color="auto"/>
            </w:tcBorders>
            <w:shd w:val="clear" w:color="auto" w:fill="auto"/>
            <w:vAlign w:val="bottom"/>
          </w:tcPr>
          <w:p w:rsidR="00AA5B69" w:rsidRPr="002954E0" w:rsidRDefault="00AA5B69">
            <w:pPr>
              <w:keepNext/>
              <w:keepLines/>
              <w:spacing w:before="40" w:after="40" w:line="220" w:lineRule="exact"/>
              <w:jc w:val="right"/>
              <w:rPr>
                <w:sz w:val="18"/>
              </w:rPr>
            </w:pPr>
            <w:r w:rsidRPr="002954E0">
              <w:rPr>
                <w:sz w:val="18"/>
              </w:rPr>
              <w:t>0 (0,0)</w:t>
            </w:r>
          </w:p>
        </w:tc>
        <w:tc>
          <w:tcPr>
            <w:tcW w:w="1004" w:type="dxa"/>
            <w:tcBorders>
              <w:top w:val="nil"/>
              <w:bottom w:val="single" w:sz="4" w:space="0" w:color="auto"/>
            </w:tcBorders>
            <w:shd w:val="clear" w:color="auto" w:fill="auto"/>
            <w:vAlign w:val="bottom"/>
          </w:tcPr>
          <w:p w:rsidR="00AA5B69" w:rsidRPr="002954E0" w:rsidRDefault="00AA5B69">
            <w:pPr>
              <w:keepNext/>
              <w:keepLines/>
              <w:spacing w:before="40" w:after="40" w:line="220" w:lineRule="exact"/>
              <w:jc w:val="right"/>
              <w:rPr>
                <w:sz w:val="18"/>
              </w:rPr>
            </w:pPr>
            <w:r w:rsidRPr="002954E0">
              <w:rPr>
                <w:sz w:val="18"/>
              </w:rPr>
              <w:t>0 (0,0)</w:t>
            </w:r>
          </w:p>
        </w:tc>
      </w:tr>
      <w:tr w:rsidR="00AA5B69" w:rsidRPr="002954E0">
        <w:trPr>
          <w:trHeight w:val="284"/>
        </w:trPr>
        <w:tc>
          <w:tcPr>
            <w:tcW w:w="3166" w:type="dxa"/>
            <w:tcBorders>
              <w:top w:val="single" w:sz="4" w:space="0" w:color="auto"/>
              <w:bottom w:val="single" w:sz="12" w:space="0" w:color="auto"/>
            </w:tcBorders>
            <w:shd w:val="clear" w:color="auto" w:fill="auto"/>
          </w:tcPr>
          <w:p w:rsidR="00AA5B69" w:rsidRPr="002954E0" w:rsidRDefault="00AA5B69">
            <w:pPr>
              <w:keepNext/>
              <w:keepLines/>
              <w:spacing w:before="80" w:after="80" w:line="220" w:lineRule="exact"/>
              <w:ind w:firstLine="284"/>
              <w:rPr>
                <w:b/>
                <w:sz w:val="18"/>
              </w:rPr>
            </w:pPr>
            <w:r w:rsidRPr="002954E0">
              <w:rPr>
                <w:b/>
                <w:sz w:val="18"/>
              </w:rPr>
              <w:t>Total</w:t>
            </w:r>
          </w:p>
        </w:tc>
        <w:tc>
          <w:tcPr>
            <w:tcW w:w="1100" w:type="dxa"/>
            <w:tcBorders>
              <w:top w:val="single" w:sz="4" w:space="0" w:color="auto"/>
              <w:bottom w:val="single" w:sz="12" w:space="0" w:color="auto"/>
            </w:tcBorders>
            <w:shd w:val="clear" w:color="auto" w:fill="auto"/>
            <w:vAlign w:val="bottom"/>
          </w:tcPr>
          <w:p w:rsidR="00AA5B69" w:rsidRPr="002954E0" w:rsidRDefault="00AA5B69">
            <w:pPr>
              <w:keepNext/>
              <w:keepLines/>
              <w:spacing w:before="80" w:after="80" w:line="220" w:lineRule="exact"/>
              <w:jc w:val="right"/>
              <w:rPr>
                <w:b/>
                <w:sz w:val="18"/>
              </w:rPr>
            </w:pPr>
            <w:r w:rsidRPr="002954E0">
              <w:rPr>
                <w:b/>
                <w:sz w:val="18"/>
              </w:rPr>
              <w:t>199</w:t>
            </w:r>
          </w:p>
        </w:tc>
        <w:tc>
          <w:tcPr>
            <w:tcW w:w="833" w:type="dxa"/>
            <w:tcBorders>
              <w:top w:val="single" w:sz="4" w:space="0" w:color="auto"/>
              <w:bottom w:val="single" w:sz="12" w:space="0" w:color="auto"/>
            </w:tcBorders>
            <w:shd w:val="clear" w:color="auto" w:fill="auto"/>
            <w:vAlign w:val="bottom"/>
          </w:tcPr>
          <w:p w:rsidR="00AA5B69" w:rsidRPr="002954E0" w:rsidRDefault="00AA5B69">
            <w:pPr>
              <w:keepNext/>
              <w:keepLines/>
              <w:spacing w:before="80" w:after="80" w:line="220" w:lineRule="exact"/>
              <w:jc w:val="right"/>
              <w:rPr>
                <w:b/>
                <w:sz w:val="18"/>
              </w:rPr>
            </w:pPr>
            <w:r w:rsidRPr="002954E0">
              <w:rPr>
                <w:b/>
                <w:sz w:val="18"/>
              </w:rPr>
              <w:t>3</w:t>
            </w:r>
          </w:p>
        </w:tc>
        <w:tc>
          <w:tcPr>
            <w:tcW w:w="1260" w:type="dxa"/>
            <w:gridSpan w:val="3"/>
            <w:tcBorders>
              <w:top w:val="single" w:sz="4" w:space="0" w:color="auto"/>
              <w:bottom w:val="single" w:sz="12" w:space="0" w:color="auto"/>
            </w:tcBorders>
            <w:shd w:val="clear" w:color="auto" w:fill="auto"/>
            <w:vAlign w:val="bottom"/>
          </w:tcPr>
          <w:p w:rsidR="00AA5B69" w:rsidRPr="002954E0" w:rsidRDefault="00AA5B69">
            <w:pPr>
              <w:keepNext/>
              <w:keepLines/>
              <w:spacing w:before="80" w:after="80" w:line="220" w:lineRule="exact"/>
              <w:jc w:val="right"/>
              <w:rPr>
                <w:b/>
                <w:sz w:val="18"/>
              </w:rPr>
            </w:pPr>
            <w:r w:rsidRPr="002954E0">
              <w:rPr>
                <w:b/>
                <w:sz w:val="18"/>
              </w:rPr>
              <w:t>44</w:t>
            </w:r>
          </w:p>
        </w:tc>
        <w:tc>
          <w:tcPr>
            <w:tcW w:w="1004" w:type="dxa"/>
            <w:tcBorders>
              <w:top w:val="single" w:sz="4" w:space="0" w:color="auto"/>
              <w:bottom w:val="single" w:sz="12" w:space="0" w:color="auto"/>
            </w:tcBorders>
            <w:shd w:val="clear" w:color="auto" w:fill="auto"/>
            <w:vAlign w:val="bottom"/>
          </w:tcPr>
          <w:p w:rsidR="00AA5B69" w:rsidRPr="002954E0" w:rsidRDefault="00AA5B69">
            <w:pPr>
              <w:keepNext/>
              <w:keepLines/>
              <w:spacing w:before="80" w:after="80" w:line="220" w:lineRule="exact"/>
              <w:jc w:val="right"/>
              <w:rPr>
                <w:b/>
                <w:sz w:val="18"/>
              </w:rPr>
            </w:pPr>
            <w:r w:rsidRPr="002954E0">
              <w:rPr>
                <w:b/>
                <w:sz w:val="18"/>
              </w:rPr>
              <w:t>7</w:t>
            </w:r>
          </w:p>
        </w:tc>
      </w:tr>
    </w:tbl>
    <w:p w:rsidR="00AA5B69" w:rsidRDefault="00AA5B69">
      <w:pPr>
        <w:tabs>
          <w:tab w:val="left" w:pos="1304"/>
        </w:tabs>
        <w:spacing w:before="120"/>
        <w:ind w:left="1134" w:right="1134"/>
        <w:jc w:val="both"/>
        <w:rPr>
          <w:sz w:val="18"/>
          <w:szCs w:val="18"/>
        </w:rPr>
      </w:pPr>
      <w:r>
        <w:rPr>
          <w:i/>
          <w:sz w:val="18"/>
          <w:szCs w:val="18"/>
        </w:rPr>
        <w:tab/>
        <w:t>Fuente</w:t>
      </w:r>
      <w:r>
        <w:rPr>
          <w:sz w:val="18"/>
          <w:szCs w:val="18"/>
        </w:rPr>
        <w:t>: Encuesta sobre los tribunales penales para adultos, Centro Canadiense de Estadísticas de Justicia, Oficina de Estadísticas del Canadá.</w:t>
      </w:r>
    </w:p>
    <w:p w:rsidR="00AA5B69" w:rsidRDefault="00AA5B69">
      <w:pPr>
        <w:tabs>
          <w:tab w:val="left" w:pos="1304"/>
        </w:tabs>
        <w:ind w:left="1134" w:right="1134"/>
        <w:jc w:val="both"/>
        <w:rPr>
          <w:sz w:val="18"/>
          <w:szCs w:val="18"/>
        </w:rPr>
      </w:pPr>
      <w:r>
        <w:rPr>
          <w:sz w:val="18"/>
          <w:szCs w:val="18"/>
        </w:rPr>
        <w:tab/>
        <w:t>a)  La categoría "Otros" incluye todas las demás decisiones, como las relativas a personas exentas de responsabilidad penal y las no aptas para comparecer en juicio.</w:t>
      </w:r>
    </w:p>
    <w:p w:rsidR="00AA5B69" w:rsidRDefault="00AA5B69">
      <w:pPr>
        <w:tabs>
          <w:tab w:val="left" w:pos="1304"/>
        </w:tabs>
        <w:ind w:left="1134" w:right="1134"/>
        <w:jc w:val="both"/>
        <w:rPr>
          <w:sz w:val="18"/>
          <w:szCs w:val="18"/>
        </w:rPr>
      </w:pPr>
      <w:r>
        <w:rPr>
          <w:sz w:val="18"/>
          <w:szCs w:val="18"/>
        </w:rPr>
        <w:tab/>
        <w:t>b)  Los porcentajes no suman el 100% en algunos casos debido a errores de redondeo.</w:t>
      </w:r>
    </w:p>
    <w:p w:rsidR="00AA5B69" w:rsidRDefault="00AA5B69">
      <w:pPr>
        <w:tabs>
          <w:tab w:val="left" w:pos="1304"/>
        </w:tabs>
        <w:ind w:left="1134" w:right="1134"/>
        <w:jc w:val="both"/>
        <w:rPr>
          <w:sz w:val="18"/>
          <w:szCs w:val="18"/>
        </w:rPr>
      </w:pPr>
      <w:r>
        <w:rPr>
          <w:sz w:val="18"/>
          <w:szCs w:val="18"/>
        </w:rPr>
        <w:tab/>
        <w:t>c)  No están incluidos Manitoba, los Territorios del Noroeste, Nunavut ni Nueva Brunswick</w:t>
      </w:r>
    </w:p>
    <w:p w:rsidR="00AA5B69" w:rsidRDefault="00AA5B69">
      <w:pPr>
        <w:tabs>
          <w:tab w:val="left" w:pos="1304"/>
        </w:tabs>
        <w:ind w:left="1134" w:right="1134"/>
        <w:jc w:val="both"/>
        <w:rPr>
          <w:sz w:val="18"/>
          <w:szCs w:val="18"/>
        </w:rPr>
      </w:pPr>
      <w:r>
        <w:rPr>
          <w:sz w:val="18"/>
          <w:szCs w:val="18"/>
        </w:rPr>
        <w:tab/>
        <w:t>d)  La unidad básica de análisis es la "causa individual", como se indica en el párrafo 8.</w:t>
      </w:r>
    </w:p>
    <w:p w:rsidR="00AA5B69" w:rsidRDefault="00AA5B69">
      <w:pPr>
        <w:tabs>
          <w:tab w:val="left" w:pos="1304"/>
        </w:tabs>
        <w:spacing w:after="240"/>
        <w:ind w:left="1134" w:right="1134"/>
        <w:rPr>
          <w:sz w:val="18"/>
          <w:szCs w:val="18"/>
        </w:rPr>
      </w:pPr>
      <w:r>
        <w:rPr>
          <w:sz w:val="18"/>
          <w:szCs w:val="18"/>
        </w:rPr>
        <w:tab/>
        <w:t>e)  Como todos los datos (desde 1994-1995 hasta 2006-2007) obtenidos a partir de la Encuesta integrada sobre los tribunales penales y la Encuesta sobre los tribunales penales para adultos se han elaborado utilizando la nueva definición de causa (véase el párrafo 8), los datos de este informe no se pueden comparar con los datos presentados antes de octubre de 2007.</w:t>
      </w:r>
    </w:p>
    <w:p w:rsidR="00AA5B69" w:rsidRDefault="00AA5B69">
      <w:pPr>
        <w:pStyle w:val="HChG"/>
        <w:spacing w:after="0"/>
      </w:pPr>
      <w:r>
        <w:tab/>
      </w:r>
      <w:r>
        <w:tab/>
        <w:t>Parte III</w:t>
      </w:r>
    </w:p>
    <w:p w:rsidR="00AA5B69" w:rsidRDefault="00AA5B69">
      <w:pPr>
        <w:pStyle w:val="HChG"/>
        <w:spacing w:before="0"/>
      </w:pPr>
      <w:r>
        <w:tab/>
      </w:r>
      <w:r>
        <w:tab/>
        <w:t>Medidas generales de aplicación</w:t>
      </w:r>
    </w:p>
    <w:p w:rsidR="00AA5B69" w:rsidRDefault="00AA5B69">
      <w:pPr>
        <w:pStyle w:val="H1G"/>
      </w:pPr>
      <w:r>
        <w:tab/>
      </w:r>
      <w:r>
        <w:tab/>
        <w:t>Legislación penal</w:t>
      </w:r>
    </w:p>
    <w:p w:rsidR="00AA5B69" w:rsidRDefault="00AA5B69">
      <w:pPr>
        <w:spacing w:after="120"/>
        <w:ind w:left="1134" w:right="1134"/>
        <w:jc w:val="both"/>
      </w:pPr>
      <w:r>
        <w:t>23.</w:t>
      </w:r>
      <w:r>
        <w:tab/>
        <w:t>El sistema de justicia penal del Canadá refleja la asociación entre el Gobierno federal y los gobiernos provinciales y territoriales. El Gobierno del Canadá es responsable de la formulación de la legislación penal, y los gobiernos provinciales y territoriales son responsables de la administración de justicia. El Código Penal se aplica por igual en todo el país, lo que permite una respuesta uniforme a todas las formas de explotación sexual de los niños.</w:t>
      </w:r>
    </w:p>
    <w:p w:rsidR="00AA5B69" w:rsidRDefault="00AA5B69">
      <w:pPr>
        <w:spacing w:after="120"/>
        <w:ind w:left="1134" w:right="1134"/>
        <w:jc w:val="both"/>
      </w:pPr>
      <w:r>
        <w:t>24.</w:t>
      </w:r>
      <w:r>
        <w:tab/>
        <w:t>El Código Penal del Canadá brinda una amplia protección contra todas las formas de abuso o explotación sexual de los niños. Están protegidos contra los delitos generales como todos los canadienses, por ejemplo, contra todas las formas de agresión sexual, agresión, detención ilegal, secuestro o trata de personas. También están protegidos con respecto a los delitos sexuales cometidos específicamente contra los niños, lo que incluye, por ejemplo, las siguientes prohibiciones:</w:t>
      </w:r>
    </w:p>
    <w:p w:rsidR="00AA5B69" w:rsidRDefault="00AA5B69">
      <w:pPr>
        <w:pStyle w:val="Bullet1G"/>
      </w:pPr>
      <w:r>
        <w:t>Todo contacto o tocamiento sexual con un niño, así como toda invitación a mantener relaciones sexuales con un niño;</w:t>
      </w:r>
    </w:p>
    <w:p w:rsidR="00AA5B69" w:rsidRDefault="00AA5B69">
      <w:pPr>
        <w:pStyle w:val="Bullet1G"/>
      </w:pPr>
      <w:r>
        <w:t>Los viajes al extranjero de un ciudadano canadiense o un residente permanente en el Canadá para participar en actividades sexuales prohibidas con un niño (utilización de niños en el turismo sexual);</w:t>
      </w:r>
    </w:p>
    <w:p w:rsidR="00AA5B69" w:rsidRDefault="00AA5B69">
      <w:pPr>
        <w:pStyle w:val="Bullet1G"/>
      </w:pPr>
      <w:r>
        <w:t>La utilización de Internet para mantener comunicaciones con un niño "utilizando métodos para atraerlo con fines sexuales", o facilitar la comisión de un delito sexual o de secuestro contra un niño;</w:t>
      </w:r>
    </w:p>
    <w:p w:rsidR="00AA5B69" w:rsidRDefault="00AA5B69">
      <w:pPr>
        <w:pStyle w:val="Bullet1G"/>
      </w:pPr>
      <w:r>
        <w:t>El ofrecimiento o la obtención de la participación de un niño en actividades sexuales ilegales mediante, entre otras cosas, la prostitución;</w:t>
      </w:r>
    </w:p>
    <w:p w:rsidR="00AA5B69" w:rsidRDefault="00AA5B69">
      <w:pPr>
        <w:pStyle w:val="Bullet1G"/>
      </w:pPr>
      <w:r>
        <w:t>Todas las formas de pornografía infantil, sea en formato escrito, de video o de audio, lo que incluye la prohibición de la posesión y el acceso, así como todas las formas de realización, distribución, venta, transmisión, puesta a disposición, importación y exportación de materiales que utilicen niños en la pornografía.</w:t>
      </w:r>
    </w:p>
    <w:p w:rsidR="00AA5B69" w:rsidRDefault="00AA5B69">
      <w:pPr>
        <w:spacing w:after="120"/>
        <w:ind w:left="1134" w:right="1134"/>
        <w:jc w:val="both"/>
      </w:pPr>
      <w:r>
        <w:t>25.</w:t>
      </w:r>
      <w:r>
        <w:tab/>
        <w:t>En junio de 2007, se aumentó la pena por el delito de utilizar Internet para comunicarse con un niño utilizando métodos para atraerlo con fines sexuales, o para facilitar la comisión de un delito sexual o de secuestro contra un niño; las penas pasaron de 5 a 10 años en los casos de acusación formal, y de 6 a 18 meses en los juicios sumarios. En 2007 se presentaron otras reformas del Código Penal, que entraron en vigor en 2008, destinadas a mejorar la protección de los niños contra la explotación sexual, entre las que figuran las siguientes:</w:t>
      </w:r>
    </w:p>
    <w:p w:rsidR="00AA5B69" w:rsidRDefault="00AA5B69">
      <w:pPr>
        <w:pStyle w:val="Bullet1G"/>
      </w:pPr>
      <w:r>
        <w:t>Se elevó la edad mínima para el consentimiento sexual a 16 años de edad;</w:t>
      </w:r>
    </w:p>
    <w:p w:rsidR="00AA5B69" w:rsidRDefault="00AA5B69">
      <w:pPr>
        <w:pStyle w:val="Bullet1G"/>
      </w:pPr>
      <w:r>
        <w:t>Se reforzaron las disposiciones relativas a los delincuentes peligrosos;</w:t>
      </w:r>
    </w:p>
    <w:p w:rsidR="00AA5B69" w:rsidRDefault="00AA5B69">
      <w:pPr>
        <w:pStyle w:val="Bullet1G"/>
      </w:pPr>
      <w:r>
        <w:t>Se reforzaron las disposiciones sobre el compromiso de buena conducta (peace bond), que permiten a un tribunal imponer medidas de protección con el objetivo de prevenir la comisión de delitos sexuales contra un niño menor de 16 años de edad.</w:t>
      </w:r>
    </w:p>
    <w:p w:rsidR="00AA5B69" w:rsidRDefault="00AA5B69">
      <w:pPr>
        <w:spacing w:after="120"/>
        <w:ind w:left="1134" w:right="1134"/>
        <w:jc w:val="both"/>
      </w:pPr>
      <w:r>
        <w:t>26.</w:t>
      </w:r>
      <w:r>
        <w:tab/>
        <w:t>El derecho penal del Canadá prohíbe la trata de personas con fines de explotación, del tipo que fuere, independientemente de si esta se produce íntegramente en el país o de si incluye traer personas del extranjero al Canadá. El derecho penal se aplica en todo el país, lo que permite aplicar un enfoque uniforme para combatir la trata de personas y las prácticas conexas.</w:t>
      </w:r>
    </w:p>
    <w:p w:rsidR="00AA5B69" w:rsidRDefault="00AA5B69">
      <w:pPr>
        <w:spacing w:after="120"/>
        <w:ind w:left="1134" w:right="1134"/>
        <w:jc w:val="both"/>
      </w:pPr>
      <w:r>
        <w:t>27.</w:t>
      </w:r>
      <w:r>
        <w:tab/>
        <w:t>En 2005 se tipificaron en el Código Penal del Canadá tres delitos graves específicos contra la trata de personas (proyecto de ley C-49, Ley de enmienda del Código Penal (Trata de personas), S.C. 2005, c. 43), que prohíben: cometer actos con fines de explotar o facilitar la explotación de una persona; percibir beneficios económicos o de otra índole derivados de un delito de trata de personas; y retener o destruir documentos de viaje o de identidad con el propósito de cometer o facilitar un delito de trata de personas.</w:t>
      </w:r>
    </w:p>
    <w:p w:rsidR="00AA5B69" w:rsidRDefault="00AA5B69">
      <w:pPr>
        <w:spacing w:after="120"/>
        <w:ind w:left="1134" w:right="1134"/>
        <w:jc w:val="both"/>
      </w:pPr>
      <w:r>
        <w:t>28.</w:t>
      </w:r>
      <w:r>
        <w:tab/>
        <w:t>Estos delitos específicos sobre la trata de personas complementan los delitos ya tipificados en el Código Penal aplicables a los casos de trata de personas, que incluyen el secuestro, el confinamiento obligatorio, las amenazas, la extorsión, las agresiones, las agresiones sexuales, y los delitos relacionados con la prostitución y con la delincuencia organizada. La Ley de inmigración y protección de los refugiados también incluye el delito de la trata de personas en relación con los casos de trata internacional.</w:t>
      </w:r>
    </w:p>
    <w:p w:rsidR="00AA5B69" w:rsidRDefault="00AA5B69">
      <w:pPr>
        <w:spacing w:after="120"/>
        <w:ind w:left="1134" w:right="1134"/>
        <w:jc w:val="both"/>
      </w:pPr>
      <w:r>
        <w:t>29.</w:t>
      </w:r>
      <w:r>
        <w:tab/>
        <w:t>En caso de que un niño extranjero que se halle en el Canadá esté en una situación vulnerable debido a, entre otras razones, explotación sexual comercial, los funcionarios responsables del control fronterizo tienen la obligación de trasladar al niño al organismo de protección de la infancia provincial o territorial correspondiente, para que este se encargue de su protección. En caso de detectar indicios de trata de personas, los funcionarios acordarán con el organismo de protección de la infancia asignado las medidas necesarias para poder interrogar al niño. En mayo de 2006, el Canadá adoptó una política pública mediante la que se proporcionó a los funcionarios de inmigración directrices para tratar las necesidades específicas de las víctimas de la trata en el Canadá, en forma de permisos de residencia temporales de corto plazo para las víctimas de la trata de personas. Desde junio de 2007, los funcionarios de inmigración pueden emitir permisos de residencia temporales de corto plazo en el Canadá, con una duración máxima de 180 días, a las víctimas de la trata, lo que incluye a las víctimas menores de edad. Las pruebas necesarias para verificar si un ciudadano extranjero es una posible víctima de la trata no son determinantes para conceder un permiso de residencia temporal de corto plazo.</w:t>
      </w:r>
    </w:p>
    <w:p w:rsidR="00AA5B69" w:rsidRDefault="00AA5B69">
      <w:pPr>
        <w:spacing w:after="120"/>
        <w:ind w:left="1134" w:right="1134"/>
        <w:jc w:val="both"/>
      </w:pPr>
      <w:r>
        <w:t>30.</w:t>
      </w:r>
      <w:r>
        <w:tab/>
        <w:t>El Grupo de Trabajo Interministerial sobre la Trata de Personas se encarga de coordinar y supervisar las iniciativas desplegadas para luchar contra la trata de personas a nivel federal. Reúne a 18 ministerios y organismos federales, y centraliza la información práctica a nivel federal. Se ocupa de reforzar las respuestas a nivel federal mediante la elaboración de políticas gubernamentales sobre la trata de personas, el intercambio de información y la facilitación de la cooperación nacional e internacional. También colabora con asociados nacionales, lo que incluye las provincias y los territorios, así como las organizaciones de la sociedad civil.</w:t>
      </w:r>
    </w:p>
    <w:p w:rsidR="00AA5B69" w:rsidRDefault="00AA5B69">
      <w:pPr>
        <w:spacing w:after="240"/>
        <w:ind w:left="1134" w:right="1134"/>
        <w:jc w:val="both"/>
      </w:pPr>
      <w:r>
        <w:t>31.</w:t>
      </w:r>
      <w:r>
        <w:tab/>
        <w:t>En el cuadro que figura a continuación se enumeran los delitos correspondientes imputables en los casos de venta de niños, utilización de niños en la pornografía y prostitución infantil, así como las penas correspondientes: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665"/>
        <w:gridCol w:w="2661"/>
        <w:gridCol w:w="3044"/>
      </w:tblGrid>
      <w:tr w:rsidR="00AA5B69" w:rsidRPr="002954E0">
        <w:trPr>
          <w:cantSplit/>
          <w:tblHeader/>
        </w:trPr>
        <w:tc>
          <w:tcPr>
            <w:tcW w:w="1130" w:type="pct"/>
            <w:tcBorders>
              <w:top w:val="single" w:sz="4" w:space="0" w:color="auto"/>
              <w:bottom w:val="single" w:sz="12" w:space="0" w:color="auto"/>
            </w:tcBorders>
            <w:shd w:val="clear" w:color="auto" w:fill="auto"/>
            <w:vAlign w:val="bottom"/>
          </w:tcPr>
          <w:p w:rsidR="00AA5B69" w:rsidRPr="002954E0" w:rsidRDefault="00AA5B69">
            <w:pPr>
              <w:keepNext/>
              <w:keepLines/>
              <w:spacing w:before="80" w:after="80" w:line="200" w:lineRule="exact"/>
              <w:ind w:right="113"/>
              <w:rPr>
                <w:i/>
                <w:sz w:val="16"/>
                <w:szCs w:val="16"/>
              </w:rPr>
            </w:pPr>
            <w:r w:rsidRPr="002954E0">
              <w:rPr>
                <w:sz w:val="16"/>
                <w:szCs w:val="16"/>
              </w:rPr>
              <w:br w:type="page"/>
            </w:r>
            <w:r w:rsidRPr="002954E0">
              <w:rPr>
                <w:i/>
                <w:sz w:val="16"/>
                <w:szCs w:val="16"/>
              </w:rPr>
              <w:t>Delito tipificado en el Código Penal</w:t>
            </w:r>
          </w:p>
        </w:tc>
        <w:tc>
          <w:tcPr>
            <w:tcW w:w="1805" w:type="pct"/>
            <w:tcBorders>
              <w:top w:val="single" w:sz="4" w:space="0" w:color="auto"/>
              <w:bottom w:val="single" w:sz="12" w:space="0" w:color="auto"/>
            </w:tcBorders>
            <w:shd w:val="clear" w:color="auto" w:fill="auto"/>
            <w:vAlign w:val="bottom"/>
          </w:tcPr>
          <w:p w:rsidR="00AA5B69" w:rsidRPr="002954E0" w:rsidRDefault="00AA5B69">
            <w:pPr>
              <w:keepNext/>
              <w:keepLines/>
              <w:spacing w:before="80" w:after="80" w:line="200" w:lineRule="exact"/>
              <w:ind w:right="113"/>
              <w:rPr>
                <w:i/>
                <w:sz w:val="16"/>
                <w:szCs w:val="16"/>
              </w:rPr>
            </w:pPr>
            <w:r w:rsidRPr="002954E0">
              <w:rPr>
                <w:i/>
                <w:sz w:val="16"/>
                <w:szCs w:val="16"/>
              </w:rPr>
              <w:t>Descripción</w:t>
            </w:r>
          </w:p>
        </w:tc>
        <w:tc>
          <w:tcPr>
            <w:tcW w:w="2065" w:type="pct"/>
            <w:tcBorders>
              <w:top w:val="single" w:sz="4" w:space="0" w:color="auto"/>
              <w:bottom w:val="single" w:sz="12" w:space="0" w:color="auto"/>
            </w:tcBorders>
            <w:shd w:val="clear" w:color="auto" w:fill="auto"/>
            <w:vAlign w:val="bottom"/>
          </w:tcPr>
          <w:p w:rsidR="00AA5B69" w:rsidRPr="002954E0" w:rsidRDefault="00AA5B69">
            <w:pPr>
              <w:keepNext/>
              <w:keepLines/>
              <w:spacing w:before="80" w:after="80" w:line="200" w:lineRule="exact"/>
              <w:ind w:right="113"/>
              <w:rPr>
                <w:i/>
                <w:sz w:val="16"/>
                <w:szCs w:val="16"/>
              </w:rPr>
            </w:pPr>
            <w:r w:rsidRPr="002954E0">
              <w:rPr>
                <w:i/>
                <w:sz w:val="16"/>
                <w:szCs w:val="16"/>
              </w:rPr>
              <w:t>Pena</w:t>
            </w:r>
          </w:p>
        </w:tc>
      </w:tr>
      <w:tr w:rsidR="00AA5B69" w:rsidRPr="002954E0">
        <w:trPr>
          <w:cantSplit/>
          <w:trHeight w:hRule="exact" w:val="113"/>
          <w:tblHeader/>
        </w:trPr>
        <w:tc>
          <w:tcPr>
            <w:tcW w:w="1130" w:type="pct"/>
            <w:tcBorders>
              <w:top w:val="single" w:sz="12" w:space="0" w:color="auto"/>
              <w:bottom w:val="nil"/>
            </w:tcBorders>
            <w:shd w:val="clear" w:color="auto" w:fill="auto"/>
          </w:tcPr>
          <w:p w:rsidR="00AA5B69" w:rsidRPr="002954E0" w:rsidRDefault="00AA5B69">
            <w:pPr>
              <w:keepNext/>
              <w:keepLines/>
              <w:spacing w:before="40" w:after="120" w:line="220" w:lineRule="exact"/>
              <w:ind w:right="113"/>
            </w:pPr>
          </w:p>
        </w:tc>
        <w:tc>
          <w:tcPr>
            <w:tcW w:w="1805" w:type="pct"/>
            <w:tcBorders>
              <w:top w:val="single" w:sz="12" w:space="0" w:color="auto"/>
              <w:bottom w:val="nil"/>
            </w:tcBorders>
            <w:shd w:val="clear" w:color="auto" w:fill="auto"/>
          </w:tcPr>
          <w:p w:rsidR="00AA5B69" w:rsidRPr="002954E0" w:rsidRDefault="00AA5B69">
            <w:pPr>
              <w:keepNext/>
              <w:keepLines/>
              <w:spacing w:before="40" w:after="120" w:line="220" w:lineRule="exact"/>
              <w:ind w:right="113"/>
            </w:pPr>
          </w:p>
        </w:tc>
        <w:tc>
          <w:tcPr>
            <w:tcW w:w="2065" w:type="pct"/>
            <w:tcBorders>
              <w:top w:val="single" w:sz="12" w:space="0" w:color="auto"/>
              <w:bottom w:val="nil"/>
            </w:tcBorders>
            <w:shd w:val="clear" w:color="auto" w:fill="auto"/>
          </w:tcPr>
          <w:p w:rsidR="00AA5B69" w:rsidRPr="002954E0" w:rsidRDefault="00AA5B69">
            <w:pPr>
              <w:pStyle w:val="Bullet1G"/>
              <w:keepNext/>
              <w:keepLines/>
              <w:numPr>
                <w:ilvl w:val="0"/>
                <w:numId w:val="0"/>
              </w:numPr>
              <w:ind w:left="70" w:right="204"/>
              <w:jc w:val="left"/>
            </w:pPr>
          </w:p>
        </w:tc>
      </w:tr>
      <w:tr w:rsidR="00AA5B69" w:rsidRPr="002954E0">
        <w:trPr>
          <w:cantSplit/>
        </w:trPr>
        <w:tc>
          <w:tcPr>
            <w:tcW w:w="1130" w:type="pct"/>
            <w:tcBorders>
              <w:top w:val="nil"/>
              <w:bottom w:val="nil"/>
            </w:tcBorders>
            <w:shd w:val="clear" w:color="auto" w:fill="auto"/>
          </w:tcPr>
          <w:p w:rsidR="00AA5B69" w:rsidRPr="002954E0" w:rsidRDefault="00AA5B69">
            <w:pPr>
              <w:spacing w:before="40" w:after="120"/>
              <w:ind w:right="113"/>
            </w:pPr>
            <w:r w:rsidRPr="002954E0">
              <w:t>Artículo 7, párrafo 4.1:</w:t>
            </w:r>
          </w:p>
        </w:tc>
        <w:tc>
          <w:tcPr>
            <w:tcW w:w="1805" w:type="pct"/>
            <w:tcBorders>
              <w:top w:val="nil"/>
              <w:bottom w:val="nil"/>
            </w:tcBorders>
            <w:shd w:val="clear" w:color="auto" w:fill="auto"/>
          </w:tcPr>
          <w:p w:rsidR="00AA5B69" w:rsidRPr="002954E0" w:rsidRDefault="00AA5B69">
            <w:pPr>
              <w:spacing w:before="40" w:after="120"/>
              <w:ind w:right="113"/>
            </w:pPr>
            <w:r w:rsidRPr="002954E0">
              <w:t>Se prohíbe a todo ciudadano canadiense, o residente permanente en el Canadá, la comisión de cualquiera de los delitos sexuales enumerados contra un niño en el extranjero (utilización de niños en el turismo sexual).</w:t>
            </w:r>
          </w:p>
        </w:tc>
        <w:tc>
          <w:tcPr>
            <w:tcW w:w="2065" w:type="pct"/>
            <w:tcBorders>
              <w:top w:val="nil"/>
              <w:bottom w:val="nil"/>
            </w:tcBorders>
            <w:shd w:val="clear" w:color="auto" w:fill="auto"/>
          </w:tcPr>
          <w:p w:rsidR="00AA5B69" w:rsidRPr="002954E0" w:rsidRDefault="00AA5B69">
            <w:pPr>
              <w:pStyle w:val="Bullet1G"/>
              <w:tabs>
                <w:tab w:val="clear" w:pos="1701"/>
              </w:tabs>
              <w:suppressAutoHyphens/>
              <w:ind w:left="240" w:right="204"/>
              <w:jc w:val="left"/>
            </w:pPr>
            <w:r w:rsidRPr="002954E0">
              <w:t xml:space="preserve">La pena máxima es la misma tanto si el delito se comete en el extranjero como si se comete en el Canadá (véanse </w:t>
            </w:r>
            <w:r w:rsidRPr="002954E0">
              <w:rPr>
                <w:i/>
              </w:rPr>
              <w:t>infra</w:t>
            </w:r>
            <w:r w:rsidRPr="002954E0">
              <w:t xml:space="preserve"> los detalles en cada caso).</w:t>
            </w:r>
          </w:p>
        </w:tc>
      </w:tr>
      <w:tr w:rsidR="00AA5B69" w:rsidRPr="002954E0">
        <w:trPr>
          <w:cantSplit/>
        </w:trPr>
        <w:tc>
          <w:tcPr>
            <w:tcW w:w="1130" w:type="pct"/>
            <w:tcBorders>
              <w:top w:val="nil"/>
              <w:bottom w:val="nil"/>
            </w:tcBorders>
            <w:shd w:val="clear" w:color="auto" w:fill="auto"/>
          </w:tcPr>
          <w:p w:rsidR="00AA5B69" w:rsidRPr="002954E0" w:rsidRDefault="00AA5B69">
            <w:pPr>
              <w:spacing w:before="40" w:after="120"/>
              <w:ind w:right="113"/>
            </w:pPr>
            <w:r w:rsidRPr="002954E0">
              <w:t>Artículo 151: Tocamientos sexuales</w:t>
            </w:r>
          </w:p>
        </w:tc>
        <w:tc>
          <w:tcPr>
            <w:tcW w:w="1805" w:type="pct"/>
            <w:tcBorders>
              <w:top w:val="nil"/>
              <w:bottom w:val="nil"/>
            </w:tcBorders>
            <w:shd w:val="clear" w:color="auto" w:fill="auto"/>
          </w:tcPr>
          <w:p w:rsidR="00AA5B69" w:rsidRPr="002954E0" w:rsidRDefault="00AA5B69">
            <w:pPr>
              <w:spacing w:before="40" w:after="120"/>
              <w:ind w:right="113"/>
            </w:pPr>
            <w:r w:rsidRPr="002954E0">
              <w:t xml:space="preserve">Se prohíben los tocamientos, con fines sexuales, de cualquier </w:t>
            </w:r>
            <w:r>
              <w:t>parte</w:t>
            </w:r>
            <w:r w:rsidRPr="002954E0">
              <w:t xml:space="preserve"> del cuerpo de una persona menor de 16 años de edad.</w:t>
            </w:r>
          </w:p>
        </w:tc>
        <w:tc>
          <w:tcPr>
            <w:tcW w:w="2065" w:type="pct"/>
            <w:tcBorders>
              <w:top w:val="nil"/>
              <w:bottom w:val="nil"/>
            </w:tcBorders>
            <w:shd w:val="clear" w:color="auto" w:fill="auto"/>
          </w:tcPr>
          <w:p w:rsidR="00AA5B69" w:rsidRPr="002954E0" w:rsidRDefault="00AA5B69">
            <w:pPr>
              <w:pStyle w:val="Bullet1G"/>
              <w:tabs>
                <w:tab w:val="clear" w:pos="1701"/>
              </w:tabs>
              <w:suppressAutoHyphens/>
              <w:ind w:left="240" w:right="204"/>
              <w:jc w:val="left"/>
            </w:pPr>
            <w:r w:rsidRPr="002954E0">
              <w:t>Con acusación formal, un máximo de 10 años y un mínimo de 45 días de prisión.</w:t>
            </w:r>
          </w:p>
          <w:p w:rsidR="00AA5B69" w:rsidRPr="002954E0" w:rsidRDefault="00AA5B69">
            <w:pPr>
              <w:pStyle w:val="Bullet1G"/>
              <w:tabs>
                <w:tab w:val="clear" w:pos="1701"/>
              </w:tabs>
              <w:suppressAutoHyphens/>
              <w:ind w:left="240" w:right="204"/>
              <w:jc w:val="left"/>
            </w:pPr>
            <w:r w:rsidRPr="002954E0">
              <w:t>En juicio sumario, un máximo de 18 meses y un mínimo de 14 días de prisión.</w:t>
            </w:r>
          </w:p>
        </w:tc>
      </w:tr>
      <w:tr w:rsidR="00AA5B69" w:rsidRPr="002954E0">
        <w:trPr>
          <w:cantSplit/>
        </w:trPr>
        <w:tc>
          <w:tcPr>
            <w:tcW w:w="1130" w:type="pct"/>
            <w:tcBorders>
              <w:top w:val="nil"/>
              <w:bottom w:val="nil"/>
            </w:tcBorders>
            <w:shd w:val="clear" w:color="auto" w:fill="auto"/>
          </w:tcPr>
          <w:p w:rsidR="00AA5B69" w:rsidRPr="002954E0" w:rsidRDefault="00AA5B69">
            <w:pPr>
              <w:spacing w:before="40" w:after="120"/>
              <w:ind w:right="113"/>
            </w:pPr>
            <w:r w:rsidRPr="002954E0">
              <w:t>Artículo 152: Invitación a tocamientos sexuales</w:t>
            </w:r>
          </w:p>
        </w:tc>
        <w:tc>
          <w:tcPr>
            <w:tcW w:w="1805" w:type="pct"/>
            <w:tcBorders>
              <w:top w:val="nil"/>
              <w:bottom w:val="nil"/>
            </w:tcBorders>
            <w:shd w:val="clear" w:color="auto" w:fill="auto"/>
          </w:tcPr>
          <w:p w:rsidR="00AA5B69" w:rsidRPr="002954E0" w:rsidRDefault="00AA5B69">
            <w:pPr>
              <w:spacing w:before="40" w:after="120"/>
              <w:ind w:right="113"/>
            </w:pPr>
            <w:r w:rsidRPr="002954E0">
              <w:t>Se prohíbe invitar, aconsejar o incitar a una persona menor de 16 años de edad a realizar tocamientos a cualquier otra persona con fines sexuales.</w:t>
            </w:r>
          </w:p>
        </w:tc>
        <w:tc>
          <w:tcPr>
            <w:tcW w:w="2065" w:type="pct"/>
            <w:tcBorders>
              <w:top w:val="nil"/>
              <w:bottom w:val="nil"/>
            </w:tcBorders>
            <w:shd w:val="clear" w:color="auto" w:fill="auto"/>
          </w:tcPr>
          <w:p w:rsidR="00AA5B69" w:rsidRPr="002954E0" w:rsidRDefault="00AA5B69">
            <w:pPr>
              <w:pStyle w:val="Bullet1G"/>
              <w:tabs>
                <w:tab w:val="clear" w:pos="1701"/>
              </w:tabs>
              <w:suppressAutoHyphens/>
              <w:ind w:left="240" w:right="204"/>
              <w:jc w:val="left"/>
            </w:pPr>
            <w:r w:rsidRPr="002954E0">
              <w:t>Con acusación formal, un máximo de 10 años y un mínimo de 45 días de prisión.</w:t>
            </w:r>
          </w:p>
          <w:p w:rsidR="00AA5B69" w:rsidRPr="002954E0" w:rsidRDefault="00AA5B69">
            <w:pPr>
              <w:pStyle w:val="Bullet1G"/>
              <w:tabs>
                <w:tab w:val="clear" w:pos="1701"/>
              </w:tabs>
              <w:suppressAutoHyphens/>
              <w:ind w:left="240" w:right="204"/>
              <w:jc w:val="left"/>
            </w:pPr>
            <w:r w:rsidRPr="002954E0">
              <w:t>En juicio sumario, un máximo de 18 meses y un mínimo de 14 días de prisión.</w:t>
            </w:r>
          </w:p>
        </w:tc>
      </w:tr>
      <w:tr w:rsidR="00AA5B69" w:rsidRPr="002954E0">
        <w:trPr>
          <w:cantSplit/>
        </w:trPr>
        <w:tc>
          <w:tcPr>
            <w:tcW w:w="1130" w:type="pct"/>
            <w:tcBorders>
              <w:top w:val="nil"/>
              <w:bottom w:val="nil"/>
            </w:tcBorders>
            <w:shd w:val="clear" w:color="auto" w:fill="auto"/>
          </w:tcPr>
          <w:p w:rsidR="00AA5B69" w:rsidRPr="002954E0" w:rsidRDefault="00AA5B69">
            <w:pPr>
              <w:spacing w:before="40" w:after="120"/>
              <w:ind w:right="113"/>
            </w:pPr>
            <w:r w:rsidRPr="002954E0">
              <w:t>Artículo 153: Explotación sexual</w:t>
            </w:r>
          </w:p>
        </w:tc>
        <w:tc>
          <w:tcPr>
            <w:tcW w:w="1805" w:type="pct"/>
            <w:tcBorders>
              <w:top w:val="nil"/>
              <w:bottom w:val="nil"/>
            </w:tcBorders>
            <w:shd w:val="clear" w:color="auto" w:fill="auto"/>
          </w:tcPr>
          <w:p w:rsidR="00AA5B69" w:rsidRPr="002954E0" w:rsidRDefault="00AA5B69">
            <w:pPr>
              <w:spacing w:before="40" w:after="120"/>
              <w:ind w:right="113"/>
            </w:pPr>
            <w:r w:rsidRPr="002954E0">
              <w:t xml:space="preserve">Se prohíbe a toda persona de confianza o con autoridad con respecto a una persona de entre 16 y 18 años de edad, o con la que el joven mantiene una relación de dependencia, o a cualquier persona que de otro modo explote a una persona joven (probado por la naturaleza y las circunstancias de la relación, lo que incluye la edad de la persona joven, cualquier diferencia de edad, la evolución de la relación y el grado de control o influencia sobre la persona joven), de </w:t>
            </w:r>
            <w:r>
              <w:t>part</w:t>
            </w:r>
            <w:r w:rsidRPr="002954E0">
              <w:t>icipar en actividades sexuales con esa persona joven.</w:t>
            </w:r>
          </w:p>
        </w:tc>
        <w:tc>
          <w:tcPr>
            <w:tcW w:w="2065" w:type="pct"/>
            <w:tcBorders>
              <w:top w:val="nil"/>
              <w:bottom w:val="nil"/>
            </w:tcBorders>
            <w:shd w:val="clear" w:color="auto" w:fill="auto"/>
          </w:tcPr>
          <w:p w:rsidR="00AA5B69" w:rsidRPr="002954E0" w:rsidRDefault="00AA5B69">
            <w:pPr>
              <w:pStyle w:val="Bullet1G"/>
              <w:tabs>
                <w:tab w:val="clear" w:pos="1701"/>
              </w:tabs>
              <w:suppressAutoHyphens/>
              <w:ind w:left="240" w:right="204"/>
              <w:jc w:val="left"/>
            </w:pPr>
            <w:r w:rsidRPr="002954E0">
              <w:t>Con acusación formal, un máximo de 10 años y un mínimo de 45 días de prisión.</w:t>
            </w:r>
          </w:p>
          <w:p w:rsidR="00AA5B69" w:rsidRPr="002954E0" w:rsidRDefault="00AA5B69">
            <w:pPr>
              <w:pStyle w:val="Bullet1G"/>
              <w:tabs>
                <w:tab w:val="clear" w:pos="1701"/>
              </w:tabs>
              <w:suppressAutoHyphens/>
              <w:ind w:left="240" w:right="204"/>
              <w:jc w:val="left"/>
            </w:pPr>
            <w:r w:rsidRPr="002954E0">
              <w:t>En juicio sumario, un máximo de 18 meses y un mínimo de 14 días de prisión.</w:t>
            </w:r>
          </w:p>
        </w:tc>
      </w:tr>
      <w:tr w:rsidR="00AA5B69" w:rsidRPr="002954E0">
        <w:trPr>
          <w:cantSplit/>
        </w:trPr>
        <w:tc>
          <w:tcPr>
            <w:tcW w:w="1130" w:type="pct"/>
            <w:tcBorders>
              <w:top w:val="nil"/>
              <w:left w:val="nil"/>
              <w:bottom w:val="nil"/>
            </w:tcBorders>
            <w:shd w:val="clear" w:color="auto" w:fill="auto"/>
          </w:tcPr>
          <w:p w:rsidR="00AA5B69" w:rsidRPr="002954E0" w:rsidRDefault="00AA5B69">
            <w:pPr>
              <w:spacing w:before="40" w:after="120"/>
              <w:ind w:right="113"/>
            </w:pPr>
            <w:r w:rsidRPr="002954E0">
              <w:t>Artículo 155: Incesto</w:t>
            </w:r>
          </w:p>
        </w:tc>
        <w:tc>
          <w:tcPr>
            <w:tcW w:w="1805" w:type="pct"/>
            <w:tcBorders>
              <w:top w:val="nil"/>
              <w:bottom w:val="nil"/>
            </w:tcBorders>
            <w:shd w:val="clear" w:color="auto" w:fill="auto"/>
          </w:tcPr>
          <w:p w:rsidR="00AA5B69" w:rsidRPr="002954E0" w:rsidRDefault="00AA5B69">
            <w:pPr>
              <w:spacing w:before="40" w:after="120"/>
              <w:ind w:right="113"/>
            </w:pPr>
            <w:r w:rsidRPr="002954E0">
              <w:t>Se prohíbe a toda persona mantener relaciones sexuales con un pariente consanguíneo, si este es progenitor, hijo, hermano, abuelo o nieto.</w:t>
            </w:r>
          </w:p>
        </w:tc>
        <w:tc>
          <w:tcPr>
            <w:tcW w:w="2065" w:type="pct"/>
            <w:tcBorders>
              <w:top w:val="nil"/>
              <w:bottom w:val="nil"/>
              <w:right w:val="nil"/>
            </w:tcBorders>
            <w:shd w:val="clear" w:color="auto" w:fill="auto"/>
          </w:tcPr>
          <w:p w:rsidR="00AA5B69" w:rsidRPr="002954E0" w:rsidRDefault="00AA5B69">
            <w:pPr>
              <w:pStyle w:val="Bullet1G"/>
              <w:tabs>
                <w:tab w:val="clear" w:pos="1701"/>
              </w:tabs>
              <w:suppressAutoHyphens/>
              <w:ind w:left="240" w:right="204"/>
              <w:jc w:val="left"/>
            </w:pPr>
            <w:r w:rsidRPr="002954E0">
              <w:t>Delito penal punible con una pena máxima de 14 años de prisión.</w:t>
            </w:r>
          </w:p>
        </w:tc>
      </w:tr>
      <w:tr w:rsidR="00AA5B69" w:rsidRPr="002954E0">
        <w:trPr>
          <w:cantSplit/>
        </w:trPr>
        <w:tc>
          <w:tcPr>
            <w:tcW w:w="1130" w:type="pct"/>
            <w:tcBorders>
              <w:top w:val="nil"/>
              <w:bottom w:val="nil"/>
            </w:tcBorders>
            <w:shd w:val="clear" w:color="auto" w:fill="auto"/>
          </w:tcPr>
          <w:p w:rsidR="00AA5B69" w:rsidRPr="002954E0" w:rsidRDefault="00AA5B69">
            <w:pPr>
              <w:spacing w:before="40" w:after="120"/>
              <w:ind w:right="113"/>
            </w:pPr>
            <w:r w:rsidRPr="002954E0">
              <w:t>Artículo 160: Zoofilia</w:t>
            </w:r>
          </w:p>
        </w:tc>
        <w:tc>
          <w:tcPr>
            <w:tcW w:w="1805" w:type="pct"/>
            <w:tcBorders>
              <w:top w:val="nil"/>
              <w:bottom w:val="nil"/>
            </w:tcBorders>
            <w:shd w:val="clear" w:color="auto" w:fill="auto"/>
          </w:tcPr>
          <w:p w:rsidR="00AA5B69" w:rsidRPr="002954E0" w:rsidRDefault="00AA5B69">
            <w:pPr>
              <w:spacing w:before="40" w:after="120"/>
              <w:ind w:right="113"/>
            </w:pPr>
            <w:r w:rsidRPr="002954E0">
              <w:t>Se prohíbe a toda persona practicar la zoofilia en presencia de una persona menor de 16 años de edad, o incitar a una persona menor de 16 años de edad a practicar la zoofilia.</w:t>
            </w:r>
          </w:p>
        </w:tc>
        <w:tc>
          <w:tcPr>
            <w:tcW w:w="2065" w:type="pct"/>
            <w:tcBorders>
              <w:top w:val="nil"/>
              <w:bottom w:val="nil"/>
            </w:tcBorders>
            <w:shd w:val="clear" w:color="auto" w:fill="auto"/>
          </w:tcPr>
          <w:p w:rsidR="00AA5B69" w:rsidRPr="002954E0" w:rsidRDefault="00AA5B69">
            <w:pPr>
              <w:pStyle w:val="Bullet1G"/>
              <w:tabs>
                <w:tab w:val="clear" w:pos="1701"/>
              </w:tabs>
              <w:suppressAutoHyphens/>
              <w:ind w:left="240" w:right="204"/>
              <w:jc w:val="left"/>
            </w:pPr>
            <w:r w:rsidRPr="002954E0">
              <w:t>Delito penal punible con una pena máxima de 10 años de prisión.</w:t>
            </w:r>
          </w:p>
        </w:tc>
      </w:tr>
      <w:tr w:rsidR="00AA5B69" w:rsidRPr="002954E0">
        <w:trPr>
          <w:cantSplit/>
        </w:trPr>
        <w:tc>
          <w:tcPr>
            <w:tcW w:w="1130" w:type="pct"/>
            <w:tcBorders>
              <w:top w:val="nil"/>
              <w:bottom w:val="nil"/>
            </w:tcBorders>
            <w:shd w:val="clear" w:color="auto" w:fill="auto"/>
          </w:tcPr>
          <w:p w:rsidR="00AA5B69" w:rsidRPr="002954E0" w:rsidRDefault="00AA5B69">
            <w:pPr>
              <w:spacing w:before="40" w:after="120"/>
              <w:ind w:right="113"/>
            </w:pPr>
            <w:r w:rsidRPr="002954E0">
              <w:t>Artículo 162: Voyeurismo</w:t>
            </w:r>
          </w:p>
        </w:tc>
        <w:tc>
          <w:tcPr>
            <w:tcW w:w="1805" w:type="pct"/>
            <w:tcBorders>
              <w:top w:val="nil"/>
              <w:bottom w:val="nil"/>
            </w:tcBorders>
            <w:shd w:val="clear" w:color="auto" w:fill="auto"/>
          </w:tcPr>
          <w:p w:rsidR="00AA5B69" w:rsidRPr="002954E0" w:rsidRDefault="00AA5B69">
            <w:pPr>
              <w:spacing w:before="40" w:after="120"/>
              <w:ind w:right="113"/>
            </w:pPr>
            <w:r w:rsidRPr="002954E0">
              <w:t>Se prohíbe la observación o grabación en secreto de otra persona cuando haya expectativas razonables de privacidad en tres situaciones específicas, así como la distribución internacional de materiales basados en el voyeurismo.</w:t>
            </w:r>
          </w:p>
        </w:tc>
        <w:tc>
          <w:tcPr>
            <w:tcW w:w="2065" w:type="pct"/>
            <w:tcBorders>
              <w:top w:val="nil"/>
              <w:bottom w:val="nil"/>
            </w:tcBorders>
            <w:shd w:val="clear" w:color="auto" w:fill="auto"/>
          </w:tcPr>
          <w:p w:rsidR="00AA5B69" w:rsidRPr="002954E0" w:rsidRDefault="00AA5B69">
            <w:pPr>
              <w:pStyle w:val="Bullet1G"/>
              <w:tabs>
                <w:tab w:val="clear" w:pos="1701"/>
              </w:tabs>
              <w:suppressAutoHyphens/>
              <w:ind w:left="240" w:right="204"/>
              <w:jc w:val="left"/>
            </w:pPr>
            <w:r w:rsidRPr="002954E0">
              <w:t>Con acusación formal, un máximo de 10 años de prisión.</w:t>
            </w:r>
          </w:p>
          <w:p w:rsidR="00AA5B69" w:rsidRPr="002954E0" w:rsidRDefault="00AA5B69">
            <w:pPr>
              <w:pStyle w:val="Bullet1G"/>
              <w:tabs>
                <w:tab w:val="clear" w:pos="1701"/>
              </w:tabs>
              <w:suppressAutoHyphens/>
              <w:ind w:left="240" w:right="204"/>
              <w:jc w:val="left"/>
            </w:pPr>
            <w:r w:rsidRPr="002954E0">
              <w:t>En juicio sumario, un máximo de 6 meses de prisión.</w:t>
            </w:r>
          </w:p>
        </w:tc>
      </w:tr>
      <w:tr w:rsidR="00AA5B69" w:rsidRPr="002954E0">
        <w:trPr>
          <w:cantSplit/>
        </w:trPr>
        <w:tc>
          <w:tcPr>
            <w:tcW w:w="1130" w:type="pct"/>
            <w:tcBorders>
              <w:top w:val="nil"/>
              <w:bottom w:val="nil"/>
            </w:tcBorders>
            <w:shd w:val="clear" w:color="auto" w:fill="auto"/>
          </w:tcPr>
          <w:p w:rsidR="00AA5B69" w:rsidRPr="002954E0" w:rsidRDefault="00AA5B69">
            <w:pPr>
              <w:spacing w:before="40" w:after="120"/>
              <w:ind w:right="113"/>
            </w:pPr>
            <w:r w:rsidRPr="002954E0">
              <w:t>Artículo 163, párrafo 1): Utilización de niños en la pornografía</w:t>
            </w:r>
          </w:p>
        </w:tc>
        <w:tc>
          <w:tcPr>
            <w:tcW w:w="1805" w:type="pct"/>
            <w:tcBorders>
              <w:top w:val="nil"/>
              <w:bottom w:val="nil"/>
            </w:tcBorders>
            <w:shd w:val="clear" w:color="auto" w:fill="auto"/>
          </w:tcPr>
          <w:p w:rsidR="00AA5B69" w:rsidRPr="002954E0" w:rsidRDefault="00AA5B69">
            <w:pPr>
              <w:keepNext/>
              <w:spacing w:before="40" w:after="120"/>
              <w:ind w:right="113"/>
            </w:pPr>
            <w:r w:rsidRPr="002954E0">
              <w:t>Se prohíbe la comisión de diversos actos relacionados con la producción, distribución o posesión de material pornográfico infantil. La utilización de niños en la pornografía se define como:</w:t>
            </w:r>
          </w:p>
          <w:p w:rsidR="00AA5B69" w:rsidRPr="002954E0" w:rsidRDefault="00AA5B69">
            <w:pPr>
              <w:keepNext/>
              <w:spacing w:before="40" w:after="120"/>
              <w:ind w:right="113"/>
            </w:pPr>
            <w:r w:rsidRPr="002954E0">
              <w:t xml:space="preserve">Toda fotografía, película de video o cualquier otra representación visual que muestre a una persona menor de 18 años de edad, o que represente esa edad, </w:t>
            </w:r>
            <w:r>
              <w:t>part</w:t>
            </w:r>
            <w:r w:rsidRPr="002954E0">
              <w:t xml:space="preserve">icipando en una actividad sexual explícita, o que represente que </w:t>
            </w:r>
            <w:r>
              <w:t>part</w:t>
            </w:r>
            <w:r w:rsidRPr="002954E0">
              <w:t>icipa, o cuya característica principal sea la representación, con fines sexuales, de un órgano sexual o la región anal de una persona menor de 18 años de edad; o</w:t>
            </w:r>
          </w:p>
          <w:p w:rsidR="00AA5B69" w:rsidRPr="002954E0" w:rsidRDefault="00AA5B69">
            <w:pPr>
              <w:keepNext/>
              <w:spacing w:before="40" w:after="120"/>
              <w:ind w:right="113"/>
            </w:pPr>
            <w:r w:rsidRPr="002954E0">
              <w:t>todo material escrito o representación visual que abogue o aconseje realizar actividades prohibidas con una persona menor de 18 años de edad.</w:t>
            </w:r>
          </w:p>
        </w:tc>
        <w:tc>
          <w:tcPr>
            <w:tcW w:w="2065" w:type="pct"/>
            <w:tcBorders>
              <w:top w:val="nil"/>
              <w:bottom w:val="nil"/>
            </w:tcBorders>
            <w:shd w:val="clear" w:color="auto" w:fill="auto"/>
          </w:tcPr>
          <w:p w:rsidR="00AA5B69" w:rsidRPr="002954E0" w:rsidRDefault="00AA5B69">
            <w:pPr>
              <w:keepNext/>
              <w:spacing w:before="40" w:after="120"/>
              <w:ind w:right="113"/>
            </w:pPr>
            <w:r w:rsidRPr="002954E0">
              <w:t>En el caso de una persona que produzca, imprima, publique o posea material pornográfico infantil con objeto de publicarlos:</w:t>
            </w:r>
          </w:p>
          <w:p w:rsidR="00AA5B69" w:rsidRPr="002954E0" w:rsidRDefault="00AA5B69">
            <w:pPr>
              <w:pStyle w:val="Bullet1G"/>
              <w:keepNext/>
              <w:tabs>
                <w:tab w:val="clear" w:pos="1701"/>
              </w:tabs>
              <w:suppressAutoHyphens/>
              <w:ind w:left="240" w:right="204"/>
              <w:jc w:val="left"/>
            </w:pPr>
            <w:r w:rsidRPr="002954E0">
              <w:t>Con acusación formal, un máximo de 10 años y un mínimo de 1 año de prisión.</w:t>
            </w:r>
          </w:p>
          <w:p w:rsidR="00AA5B69" w:rsidRPr="002954E0" w:rsidRDefault="00AA5B69">
            <w:pPr>
              <w:pStyle w:val="Bullet1G"/>
              <w:keepNext/>
              <w:tabs>
                <w:tab w:val="clear" w:pos="1701"/>
              </w:tabs>
              <w:suppressAutoHyphens/>
              <w:ind w:left="240" w:right="204"/>
              <w:jc w:val="left"/>
            </w:pPr>
            <w:r w:rsidRPr="002954E0">
              <w:t>En juicio sumario, un máximo de 18 meses y un mínimo de 90 días de prisión.</w:t>
            </w:r>
          </w:p>
          <w:p w:rsidR="00AA5B69" w:rsidRPr="002954E0" w:rsidRDefault="00AA5B69">
            <w:pPr>
              <w:pStyle w:val="Bullet1G"/>
              <w:numPr>
                <w:ilvl w:val="0"/>
                <w:numId w:val="0"/>
              </w:numPr>
              <w:ind w:left="70" w:right="204"/>
              <w:jc w:val="left"/>
            </w:pPr>
            <w:r w:rsidRPr="002954E0">
              <w:t xml:space="preserve">En el caso de una persona que transmita, ponga a disposición, distribuya, venda, importe o posea este material con los fines expuestos </w:t>
            </w:r>
            <w:r w:rsidRPr="002954E0">
              <w:rPr>
                <w:i/>
              </w:rPr>
              <w:t>supra</w:t>
            </w:r>
            <w:r w:rsidRPr="002954E0">
              <w:t>:</w:t>
            </w:r>
          </w:p>
          <w:p w:rsidR="00AA5B69" w:rsidRPr="002954E0" w:rsidRDefault="00AA5B69">
            <w:pPr>
              <w:pStyle w:val="Bullet1G"/>
              <w:keepNext/>
              <w:tabs>
                <w:tab w:val="clear" w:pos="1701"/>
              </w:tabs>
              <w:suppressAutoHyphens/>
              <w:ind w:left="240" w:right="204"/>
              <w:jc w:val="left"/>
            </w:pPr>
            <w:r w:rsidRPr="002954E0">
              <w:t>Con acusación formal, un máximo de 10 años y un mínimo de 1 año de prisión.</w:t>
            </w:r>
          </w:p>
          <w:p w:rsidR="00AA5B69" w:rsidRPr="002954E0" w:rsidRDefault="00AA5B69">
            <w:pPr>
              <w:pStyle w:val="Bullet1G"/>
              <w:keepNext/>
              <w:tabs>
                <w:tab w:val="clear" w:pos="1701"/>
              </w:tabs>
              <w:suppressAutoHyphens/>
              <w:ind w:left="240" w:right="204"/>
              <w:jc w:val="left"/>
            </w:pPr>
            <w:r w:rsidRPr="002954E0">
              <w:t>En juicio sumario, un máximo de 18 meses y un mínimo de 90 días de prisión.</w:t>
            </w:r>
          </w:p>
          <w:p w:rsidR="00AA5B69" w:rsidRPr="002954E0" w:rsidRDefault="00AA5B69">
            <w:pPr>
              <w:pStyle w:val="Bullet1G"/>
              <w:numPr>
                <w:ilvl w:val="0"/>
                <w:numId w:val="0"/>
              </w:numPr>
              <w:ind w:left="70" w:right="204"/>
              <w:jc w:val="left"/>
            </w:pPr>
            <w:r w:rsidRPr="002954E0">
              <w:t>En el caso de una persona que posea o tenga acceso a este material:</w:t>
            </w:r>
          </w:p>
          <w:p w:rsidR="00AA5B69" w:rsidRPr="002954E0" w:rsidRDefault="00AA5B69">
            <w:pPr>
              <w:pStyle w:val="Bullet1G"/>
              <w:keepNext/>
              <w:tabs>
                <w:tab w:val="clear" w:pos="1701"/>
              </w:tabs>
              <w:suppressAutoHyphens/>
              <w:ind w:left="240" w:right="204"/>
              <w:jc w:val="left"/>
            </w:pPr>
            <w:r w:rsidRPr="002954E0">
              <w:t>Con acusación formal, un máximo de 5 años y un mínimo de 45 días de prisión.</w:t>
            </w:r>
          </w:p>
          <w:p w:rsidR="00AA5B69" w:rsidRPr="002954E0" w:rsidRDefault="00AA5B69">
            <w:pPr>
              <w:pStyle w:val="Bullet1G"/>
              <w:keepNext/>
              <w:tabs>
                <w:tab w:val="clear" w:pos="1701"/>
              </w:tabs>
              <w:suppressAutoHyphens/>
              <w:ind w:left="240" w:right="204"/>
              <w:jc w:val="left"/>
            </w:pPr>
            <w:r w:rsidRPr="002954E0">
              <w:t>En juicio sumario, un máximo de 18 meses y un mínimo de 14 días de prisión.</w:t>
            </w:r>
          </w:p>
          <w:p w:rsidR="00AA5B69" w:rsidRPr="002954E0" w:rsidRDefault="00AA5B69">
            <w:pPr>
              <w:spacing w:before="40" w:after="120"/>
              <w:ind w:left="120" w:right="113"/>
            </w:pPr>
            <w:r w:rsidRPr="002954E0">
              <w:t>Cabe señalar que, a efectos de dictar sentencia, constituye un agravante.</w:t>
            </w:r>
          </w:p>
        </w:tc>
      </w:tr>
      <w:tr w:rsidR="00AA5B69" w:rsidRPr="002954E0">
        <w:trPr>
          <w:cantSplit/>
        </w:trPr>
        <w:tc>
          <w:tcPr>
            <w:tcW w:w="1130" w:type="pct"/>
            <w:tcBorders>
              <w:top w:val="nil"/>
              <w:bottom w:val="nil"/>
            </w:tcBorders>
            <w:shd w:val="clear" w:color="auto" w:fill="auto"/>
          </w:tcPr>
          <w:p w:rsidR="00AA5B69" w:rsidRPr="002954E0" w:rsidRDefault="00AA5B69">
            <w:pPr>
              <w:spacing w:before="40" w:after="120"/>
              <w:ind w:right="113"/>
            </w:pPr>
            <w:r w:rsidRPr="002954E0">
              <w:t>Artículo 170: Progenitor o tutor que ejerce de intermediario</w:t>
            </w:r>
          </w:p>
        </w:tc>
        <w:tc>
          <w:tcPr>
            <w:tcW w:w="1805" w:type="pct"/>
            <w:tcBorders>
              <w:top w:val="nil"/>
              <w:bottom w:val="nil"/>
            </w:tcBorders>
            <w:shd w:val="clear" w:color="auto" w:fill="auto"/>
          </w:tcPr>
          <w:p w:rsidR="00AA5B69" w:rsidRPr="002954E0" w:rsidRDefault="00AA5B69">
            <w:pPr>
              <w:spacing w:before="40" w:after="120"/>
              <w:ind w:right="113"/>
            </w:pPr>
            <w:r w:rsidRPr="002954E0">
              <w:t xml:space="preserve">Se prohíbe que un progenitor o tutor de una persona menor de 18 años de edad, procure que esa persona </w:t>
            </w:r>
            <w:r>
              <w:t>part</w:t>
            </w:r>
            <w:r w:rsidRPr="002954E0">
              <w:t>icipe en cualquier actividad sexual prohibida.</w:t>
            </w:r>
          </w:p>
        </w:tc>
        <w:tc>
          <w:tcPr>
            <w:tcW w:w="2065" w:type="pct"/>
            <w:tcBorders>
              <w:top w:val="nil"/>
              <w:bottom w:val="nil"/>
            </w:tcBorders>
            <w:shd w:val="clear" w:color="auto" w:fill="auto"/>
          </w:tcPr>
          <w:p w:rsidR="00AA5B69" w:rsidRPr="002954E0" w:rsidRDefault="00AA5B69">
            <w:pPr>
              <w:pStyle w:val="Bullet1G"/>
              <w:tabs>
                <w:tab w:val="clear" w:pos="1701"/>
              </w:tabs>
              <w:suppressAutoHyphens/>
              <w:ind w:left="240" w:right="204"/>
              <w:jc w:val="left"/>
            </w:pPr>
            <w:r w:rsidRPr="002954E0">
              <w:t>Un máximo de 5 años y un mínimo de 6 meses de prisión, si se trata de una persona menor de 16 años de edad.</w:t>
            </w:r>
          </w:p>
          <w:p w:rsidR="00AA5B69" w:rsidRPr="002954E0" w:rsidRDefault="00AA5B69">
            <w:pPr>
              <w:pStyle w:val="Bullet1G"/>
              <w:tabs>
                <w:tab w:val="clear" w:pos="1701"/>
              </w:tabs>
              <w:suppressAutoHyphens/>
              <w:ind w:left="240" w:right="204"/>
              <w:jc w:val="left"/>
            </w:pPr>
            <w:r w:rsidRPr="002954E0">
              <w:t>Un máximo de 2 años y un mínimo de 45 días de prisión, si se trata de una persona mayor de 16 años y menor de 18 años de edad.</w:t>
            </w:r>
          </w:p>
        </w:tc>
      </w:tr>
      <w:tr w:rsidR="00AA5B69" w:rsidRPr="002954E0">
        <w:trPr>
          <w:cantSplit/>
        </w:trPr>
        <w:tc>
          <w:tcPr>
            <w:tcW w:w="1130" w:type="pct"/>
            <w:tcBorders>
              <w:top w:val="nil"/>
            </w:tcBorders>
            <w:shd w:val="clear" w:color="auto" w:fill="auto"/>
          </w:tcPr>
          <w:p w:rsidR="00AA5B69" w:rsidRPr="002954E0" w:rsidRDefault="00AA5B69">
            <w:pPr>
              <w:spacing w:before="40" w:after="120"/>
              <w:ind w:right="113"/>
            </w:pPr>
            <w:r w:rsidRPr="002954E0">
              <w:t>Artículo 171: Dueño de casa que permite una actividad sexual</w:t>
            </w:r>
          </w:p>
        </w:tc>
        <w:tc>
          <w:tcPr>
            <w:tcW w:w="1805" w:type="pct"/>
            <w:tcBorders>
              <w:top w:val="nil"/>
            </w:tcBorders>
            <w:shd w:val="clear" w:color="auto" w:fill="auto"/>
          </w:tcPr>
          <w:p w:rsidR="00AA5B69" w:rsidRPr="002954E0" w:rsidRDefault="00AA5B69">
            <w:pPr>
              <w:spacing w:before="40" w:after="120"/>
              <w:ind w:right="113"/>
            </w:pPr>
            <w:r w:rsidRPr="002954E0">
              <w:t xml:space="preserve">Se prohíbe a toda persona propietaria, que ocupa o gestiona un local o establecimiento, o que </w:t>
            </w:r>
            <w:r>
              <w:t>part</w:t>
            </w:r>
            <w:r w:rsidRPr="002954E0">
              <w:t>icipa en la gestión o el control del mismo, permitir a sabiendas que una persona menor de 18 años de edad se dedique a actividades sexuales prohibidas o esté presente cuando se cometan esas actividades.</w:t>
            </w:r>
          </w:p>
        </w:tc>
        <w:tc>
          <w:tcPr>
            <w:tcW w:w="2065" w:type="pct"/>
            <w:tcBorders>
              <w:top w:val="nil"/>
            </w:tcBorders>
            <w:shd w:val="clear" w:color="auto" w:fill="auto"/>
          </w:tcPr>
          <w:p w:rsidR="00AA5B69" w:rsidRPr="002954E0" w:rsidRDefault="00AA5B69">
            <w:pPr>
              <w:pStyle w:val="Bullet1G"/>
              <w:tabs>
                <w:tab w:val="clear" w:pos="1701"/>
              </w:tabs>
              <w:suppressAutoHyphens/>
              <w:ind w:left="240" w:right="204"/>
              <w:jc w:val="left"/>
            </w:pPr>
            <w:r w:rsidRPr="002954E0">
              <w:t>Un máximo de 5 años y un mínimo de 6 meses de prisión, si se trata de una persona menor de 16 años de edad.</w:t>
            </w:r>
          </w:p>
          <w:p w:rsidR="00AA5B69" w:rsidRPr="002954E0" w:rsidRDefault="00AA5B69">
            <w:pPr>
              <w:pStyle w:val="Bullet1G"/>
              <w:tabs>
                <w:tab w:val="clear" w:pos="1701"/>
              </w:tabs>
              <w:suppressAutoHyphens/>
              <w:ind w:left="238" w:right="204"/>
              <w:jc w:val="left"/>
            </w:pPr>
            <w:r w:rsidRPr="002954E0">
              <w:t>Un máximo de 2 años y un mínimo de 45 días de prisión, si se trata de una persona mayor de 16 años y menor de 18 años de edad.</w:t>
            </w:r>
          </w:p>
        </w:tc>
      </w:tr>
      <w:tr w:rsidR="00AA5B69" w:rsidRPr="002954E0">
        <w:trPr>
          <w:cantSplit/>
        </w:trPr>
        <w:tc>
          <w:tcPr>
            <w:tcW w:w="1130" w:type="pct"/>
            <w:shd w:val="clear" w:color="auto" w:fill="auto"/>
          </w:tcPr>
          <w:p w:rsidR="00AA5B69" w:rsidRPr="002954E0" w:rsidRDefault="00AA5B69">
            <w:pPr>
              <w:spacing w:before="40" w:after="120"/>
              <w:ind w:right="113"/>
            </w:pPr>
            <w:r w:rsidRPr="002954E0">
              <w:t>Artículo 172: Corrupción de niños</w:t>
            </w:r>
          </w:p>
        </w:tc>
        <w:tc>
          <w:tcPr>
            <w:tcW w:w="1805" w:type="pct"/>
            <w:shd w:val="clear" w:color="auto" w:fill="auto"/>
          </w:tcPr>
          <w:p w:rsidR="00AA5B69" w:rsidRPr="002954E0" w:rsidRDefault="00AA5B69">
            <w:pPr>
              <w:spacing w:before="40" w:after="120"/>
              <w:ind w:right="113"/>
            </w:pPr>
            <w:r w:rsidRPr="002954E0">
              <w:t>Se prohíbe a toda persona practicar determinados actos en el hogar de un niño menor de 18 años de edad (adulterio, inmoralidad sexual, alcoholismo habitual u otro vicio), atentando contra la moral del niño o convirtiendo el hogar en un lugar no apto para el niño.</w:t>
            </w:r>
          </w:p>
        </w:tc>
        <w:tc>
          <w:tcPr>
            <w:tcW w:w="2065" w:type="pct"/>
            <w:shd w:val="clear" w:color="auto" w:fill="auto"/>
          </w:tcPr>
          <w:p w:rsidR="00AA5B69" w:rsidRPr="002954E0" w:rsidRDefault="00AA5B69">
            <w:pPr>
              <w:pStyle w:val="Bullet1G"/>
              <w:tabs>
                <w:tab w:val="clear" w:pos="1701"/>
              </w:tabs>
              <w:suppressAutoHyphens/>
              <w:ind w:left="240" w:right="204"/>
              <w:jc w:val="left"/>
            </w:pPr>
            <w:r w:rsidRPr="002954E0">
              <w:t>Delito penal punible con una pena máxima de 2 años de prisión.</w:t>
            </w:r>
          </w:p>
        </w:tc>
      </w:tr>
      <w:tr w:rsidR="00AA5B69" w:rsidRPr="002954E0">
        <w:trPr>
          <w:cantSplit/>
        </w:trPr>
        <w:tc>
          <w:tcPr>
            <w:tcW w:w="1130" w:type="pct"/>
            <w:tcBorders>
              <w:bottom w:val="nil"/>
            </w:tcBorders>
            <w:shd w:val="clear" w:color="auto" w:fill="auto"/>
          </w:tcPr>
          <w:p w:rsidR="00AA5B69" w:rsidRPr="002954E0" w:rsidRDefault="00AA5B69">
            <w:pPr>
              <w:spacing w:before="40" w:after="120"/>
              <w:ind w:right="113"/>
            </w:pPr>
            <w:r w:rsidRPr="002954E0">
              <w:t>Artículo 172, párrafo 1): Utilizar métodos para atraer a un niño con fines sexuales</w:t>
            </w:r>
          </w:p>
        </w:tc>
        <w:tc>
          <w:tcPr>
            <w:tcW w:w="1805" w:type="pct"/>
            <w:tcBorders>
              <w:bottom w:val="nil"/>
            </w:tcBorders>
            <w:shd w:val="clear" w:color="auto" w:fill="auto"/>
          </w:tcPr>
          <w:p w:rsidR="00AA5B69" w:rsidRPr="002954E0" w:rsidRDefault="00AA5B69">
            <w:pPr>
              <w:spacing w:before="40" w:after="120"/>
              <w:ind w:right="113"/>
            </w:pPr>
            <w:r w:rsidRPr="002954E0">
              <w:t>Se prohíbe a toda persona utilizar los sistemas informáticos para comunicarse con niños con fines de practicar actividades sexuales prohibidas.</w:t>
            </w:r>
          </w:p>
        </w:tc>
        <w:tc>
          <w:tcPr>
            <w:tcW w:w="2065" w:type="pct"/>
            <w:tcBorders>
              <w:bottom w:val="nil"/>
            </w:tcBorders>
            <w:shd w:val="clear" w:color="auto" w:fill="auto"/>
          </w:tcPr>
          <w:p w:rsidR="00AA5B69" w:rsidRPr="002954E0" w:rsidRDefault="00AA5B69">
            <w:pPr>
              <w:pStyle w:val="Bullet1G"/>
              <w:tabs>
                <w:tab w:val="clear" w:pos="1701"/>
              </w:tabs>
              <w:suppressAutoHyphens/>
              <w:ind w:left="240" w:right="204"/>
              <w:jc w:val="left"/>
            </w:pPr>
            <w:r w:rsidRPr="002954E0">
              <w:t>Con acusación formal, un máximo de 10 años de prisión.</w:t>
            </w:r>
          </w:p>
          <w:p w:rsidR="00AA5B69" w:rsidRPr="002954E0" w:rsidRDefault="00AA5B69">
            <w:pPr>
              <w:pStyle w:val="Bullet1G"/>
              <w:tabs>
                <w:tab w:val="clear" w:pos="1701"/>
              </w:tabs>
              <w:suppressAutoHyphens/>
              <w:ind w:left="240" w:right="204"/>
              <w:jc w:val="left"/>
            </w:pPr>
            <w:r w:rsidRPr="002954E0">
              <w:t>En juicio sumario, un máximo de 18 meses de prisión, una multa de 2.000 dólares, o ambas penas.</w:t>
            </w:r>
          </w:p>
        </w:tc>
      </w:tr>
      <w:tr w:rsidR="00AA5B69" w:rsidRPr="002954E0">
        <w:trPr>
          <w:cantSplit/>
        </w:trPr>
        <w:tc>
          <w:tcPr>
            <w:tcW w:w="1130" w:type="pct"/>
            <w:tcBorders>
              <w:top w:val="nil"/>
              <w:bottom w:val="nil"/>
            </w:tcBorders>
            <w:shd w:val="clear" w:color="auto" w:fill="auto"/>
          </w:tcPr>
          <w:p w:rsidR="00AA5B69" w:rsidRPr="002954E0" w:rsidRDefault="00AA5B69">
            <w:pPr>
              <w:spacing w:before="40" w:after="120"/>
              <w:ind w:right="113"/>
            </w:pPr>
            <w:r w:rsidRPr="002954E0">
              <w:t>Artículo 173 2): Actos indecentes/exhibicionismo</w:t>
            </w:r>
          </w:p>
        </w:tc>
        <w:tc>
          <w:tcPr>
            <w:tcW w:w="1805" w:type="pct"/>
            <w:tcBorders>
              <w:top w:val="nil"/>
              <w:bottom w:val="nil"/>
            </w:tcBorders>
            <w:shd w:val="clear" w:color="auto" w:fill="auto"/>
          </w:tcPr>
          <w:p w:rsidR="00AA5B69" w:rsidRPr="002954E0" w:rsidRDefault="00AA5B69">
            <w:pPr>
              <w:spacing w:before="40" w:after="120"/>
              <w:ind w:right="113"/>
            </w:pPr>
            <w:r w:rsidRPr="002954E0">
              <w:t>Se prohíbe a toda persona mostrar sus órganos genitales a un niño menor de 16 años de edad.</w:t>
            </w:r>
          </w:p>
        </w:tc>
        <w:tc>
          <w:tcPr>
            <w:tcW w:w="2065" w:type="pct"/>
            <w:tcBorders>
              <w:top w:val="nil"/>
              <w:bottom w:val="nil"/>
            </w:tcBorders>
            <w:shd w:val="clear" w:color="auto" w:fill="auto"/>
          </w:tcPr>
          <w:p w:rsidR="00AA5B69" w:rsidRPr="002954E0" w:rsidRDefault="00AA5B69">
            <w:pPr>
              <w:pStyle w:val="Bullet1G"/>
              <w:tabs>
                <w:tab w:val="clear" w:pos="1701"/>
              </w:tabs>
              <w:suppressAutoHyphens/>
              <w:ind w:left="240" w:right="204"/>
              <w:jc w:val="left"/>
            </w:pPr>
            <w:r w:rsidRPr="002954E0">
              <w:t>En juicio sumario es punible con una pena máxima de 6 meses de prisión.</w:t>
            </w:r>
          </w:p>
        </w:tc>
      </w:tr>
      <w:tr w:rsidR="00AA5B69" w:rsidRPr="002954E0">
        <w:trPr>
          <w:cantSplit/>
        </w:trPr>
        <w:tc>
          <w:tcPr>
            <w:tcW w:w="1130" w:type="pct"/>
            <w:tcBorders>
              <w:top w:val="nil"/>
              <w:bottom w:val="nil"/>
            </w:tcBorders>
            <w:shd w:val="clear" w:color="auto" w:fill="auto"/>
          </w:tcPr>
          <w:p w:rsidR="00AA5B69" w:rsidRPr="002954E0" w:rsidRDefault="00AA5B69">
            <w:pPr>
              <w:spacing w:before="40" w:after="120"/>
              <w:ind w:right="113"/>
            </w:pPr>
            <w:r w:rsidRPr="002954E0">
              <w:t>Artículo 212, párrafos 2) y 2.1): vivir de los beneficios derivados de la prostitución de una persona menor de 18 años</w:t>
            </w:r>
          </w:p>
        </w:tc>
        <w:tc>
          <w:tcPr>
            <w:tcW w:w="1805" w:type="pct"/>
            <w:tcBorders>
              <w:top w:val="nil"/>
              <w:bottom w:val="nil"/>
            </w:tcBorders>
            <w:shd w:val="clear" w:color="auto" w:fill="auto"/>
          </w:tcPr>
          <w:p w:rsidR="00AA5B69" w:rsidRPr="002954E0" w:rsidRDefault="00AA5B69">
            <w:pPr>
              <w:spacing w:before="40" w:after="120"/>
              <w:ind w:right="113"/>
            </w:pPr>
            <w:r w:rsidRPr="002954E0">
              <w:t>Se prohíbe a toda persona vivir de los beneficios derivados de la prostitución de una persona menor de 18 años de edad.</w:t>
            </w:r>
          </w:p>
          <w:p w:rsidR="00AA5B69" w:rsidRPr="002954E0" w:rsidRDefault="00AA5B69">
            <w:pPr>
              <w:spacing w:before="40" w:after="120"/>
              <w:ind w:right="113"/>
            </w:pPr>
            <w:r w:rsidRPr="002954E0">
              <w:t>Se prohíbe a toda persona vivir de los beneficios derivados de la prostitución de una persona menor de 18 años, así como obligar a esa persona a practicar la prostitución utilizando la violencia, la coerción o la intimidación, o amenazando con hacerlo.</w:t>
            </w:r>
          </w:p>
        </w:tc>
        <w:tc>
          <w:tcPr>
            <w:tcW w:w="2065" w:type="pct"/>
            <w:tcBorders>
              <w:top w:val="nil"/>
              <w:bottom w:val="nil"/>
            </w:tcBorders>
            <w:shd w:val="clear" w:color="auto" w:fill="auto"/>
          </w:tcPr>
          <w:p w:rsidR="00AA5B69" w:rsidRPr="002954E0" w:rsidRDefault="00AA5B69">
            <w:pPr>
              <w:pStyle w:val="Bullet1G"/>
              <w:tabs>
                <w:tab w:val="clear" w:pos="1701"/>
              </w:tabs>
              <w:suppressAutoHyphens/>
              <w:ind w:left="240" w:right="204"/>
              <w:jc w:val="left"/>
            </w:pPr>
            <w:r w:rsidRPr="002954E0">
              <w:t>Un máximo de 14 años y un mínimo de 2 años de prisión.</w:t>
            </w:r>
          </w:p>
          <w:p w:rsidR="00AA5B69" w:rsidRPr="002954E0" w:rsidRDefault="00AA5B69">
            <w:pPr>
              <w:pStyle w:val="Bullet1G"/>
              <w:tabs>
                <w:tab w:val="clear" w:pos="1701"/>
              </w:tabs>
              <w:suppressAutoHyphens/>
              <w:ind w:left="240" w:right="204"/>
              <w:jc w:val="left"/>
            </w:pPr>
            <w:r w:rsidRPr="002954E0">
              <w:t>Un máximo de 14 años y un mínimo de 5 años de prisión.</w:t>
            </w:r>
          </w:p>
        </w:tc>
      </w:tr>
      <w:tr w:rsidR="00AA5B69" w:rsidRPr="002954E0">
        <w:trPr>
          <w:cantSplit/>
        </w:trPr>
        <w:tc>
          <w:tcPr>
            <w:tcW w:w="1130" w:type="pct"/>
            <w:tcBorders>
              <w:top w:val="nil"/>
              <w:bottom w:val="nil"/>
            </w:tcBorders>
            <w:shd w:val="clear" w:color="auto" w:fill="auto"/>
          </w:tcPr>
          <w:p w:rsidR="00AA5B69" w:rsidRPr="002954E0" w:rsidRDefault="00AA5B69">
            <w:pPr>
              <w:spacing w:before="40" w:after="120"/>
              <w:ind w:right="113"/>
            </w:pPr>
            <w:r w:rsidRPr="002954E0">
              <w:t>Artículo 212, párrafo 4): Comunicarse con una persona joven para conseguir servicios sexuales</w:t>
            </w:r>
          </w:p>
        </w:tc>
        <w:tc>
          <w:tcPr>
            <w:tcW w:w="1805" w:type="pct"/>
            <w:tcBorders>
              <w:top w:val="nil"/>
              <w:bottom w:val="nil"/>
            </w:tcBorders>
            <w:shd w:val="clear" w:color="auto" w:fill="auto"/>
          </w:tcPr>
          <w:p w:rsidR="00AA5B69" w:rsidRPr="002954E0" w:rsidRDefault="00AA5B69">
            <w:pPr>
              <w:spacing w:before="40" w:after="120"/>
              <w:ind w:right="113"/>
            </w:pPr>
            <w:r w:rsidRPr="002954E0">
              <w:t>Se prohíbe a toda persona conseguir o procurar los servicios sexuales de una persona menor de 18 años de edad, o de comunicarse con cualquier otra persona para conseguir esos servicios.</w:t>
            </w:r>
          </w:p>
        </w:tc>
        <w:tc>
          <w:tcPr>
            <w:tcW w:w="2065" w:type="pct"/>
            <w:tcBorders>
              <w:top w:val="nil"/>
              <w:bottom w:val="nil"/>
            </w:tcBorders>
            <w:shd w:val="clear" w:color="auto" w:fill="auto"/>
          </w:tcPr>
          <w:p w:rsidR="00AA5B69" w:rsidRPr="002954E0" w:rsidRDefault="00AA5B69">
            <w:pPr>
              <w:pStyle w:val="Bullet1G"/>
              <w:tabs>
                <w:tab w:val="clear" w:pos="1701"/>
              </w:tabs>
              <w:suppressAutoHyphens/>
              <w:ind w:left="240" w:right="204"/>
              <w:jc w:val="left"/>
            </w:pPr>
            <w:r w:rsidRPr="002954E0">
              <w:t>Un máximo de 5 años y un mínimo de 6 meses de prisión.</w:t>
            </w:r>
          </w:p>
        </w:tc>
      </w:tr>
      <w:tr w:rsidR="00AA5B69" w:rsidRPr="002954E0">
        <w:trPr>
          <w:cantSplit/>
        </w:trPr>
        <w:tc>
          <w:tcPr>
            <w:tcW w:w="1130" w:type="pct"/>
            <w:tcBorders>
              <w:top w:val="nil"/>
            </w:tcBorders>
            <w:shd w:val="clear" w:color="auto" w:fill="auto"/>
          </w:tcPr>
          <w:p w:rsidR="00AA5B69" w:rsidRPr="002954E0" w:rsidRDefault="00AA5B69">
            <w:pPr>
              <w:spacing w:before="40" w:after="120"/>
              <w:ind w:right="113"/>
            </w:pPr>
            <w:r w:rsidRPr="002954E0">
              <w:t>Artículo 271, párrafo 1): Agresión sexual</w:t>
            </w:r>
          </w:p>
        </w:tc>
        <w:tc>
          <w:tcPr>
            <w:tcW w:w="1805" w:type="pct"/>
            <w:tcBorders>
              <w:top w:val="nil"/>
            </w:tcBorders>
            <w:shd w:val="clear" w:color="auto" w:fill="auto"/>
          </w:tcPr>
          <w:p w:rsidR="00AA5B69" w:rsidRPr="002954E0" w:rsidRDefault="00AA5B69">
            <w:pPr>
              <w:spacing w:before="40" w:after="120"/>
              <w:ind w:right="113"/>
            </w:pPr>
            <w:r w:rsidRPr="002954E0">
              <w:t>Se prohíbe la agresión sexual, esto es, los tocamientos, sin consentimiento, de otra persona en circunstancias de carácter sexual.</w:t>
            </w:r>
          </w:p>
        </w:tc>
        <w:tc>
          <w:tcPr>
            <w:tcW w:w="2065" w:type="pct"/>
            <w:tcBorders>
              <w:top w:val="nil"/>
            </w:tcBorders>
            <w:shd w:val="clear" w:color="auto" w:fill="auto"/>
          </w:tcPr>
          <w:p w:rsidR="00AA5B69" w:rsidRPr="002954E0" w:rsidRDefault="00AA5B69">
            <w:pPr>
              <w:pStyle w:val="Bullet1G"/>
              <w:tabs>
                <w:tab w:val="clear" w:pos="1701"/>
              </w:tabs>
              <w:suppressAutoHyphens/>
              <w:ind w:left="240" w:right="204"/>
              <w:jc w:val="left"/>
            </w:pPr>
            <w:r w:rsidRPr="002954E0">
              <w:t>Con acusación formal, un máximo de 10 años de prisión.</w:t>
            </w:r>
          </w:p>
          <w:p w:rsidR="00AA5B69" w:rsidRPr="002954E0" w:rsidRDefault="00AA5B69">
            <w:pPr>
              <w:pStyle w:val="Bullet1G"/>
              <w:tabs>
                <w:tab w:val="clear" w:pos="1701"/>
              </w:tabs>
              <w:suppressAutoHyphens/>
              <w:ind w:left="240" w:right="204"/>
              <w:jc w:val="left"/>
            </w:pPr>
            <w:r w:rsidRPr="002954E0">
              <w:t>En juicio sumario, un máximo de 18 meses de prisión.</w:t>
            </w:r>
          </w:p>
        </w:tc>
      </w:tr>
      <w:tr w:rsidR="00AA5B69" w:rsidRPr="002954E0">
        <w:trPr>
          <w:cantSplit/>
        </w:trPr>
        <w:tc>
          <w:tcPr>
            <w:tcW w:w="1130" w:type="pct"/>
            <w:shd w:val="clear" w:color="auto" w:fill="auto"/>
          </w:tcPr>
          <w:p w:rsidR="00AA5B69" w:rsidRPr="002954E0" w:rsidRDefault="00AA5B69">
            <w:pPr>
              <w:spacing w:before="40" w:after="120"/>
              <w:ind w:right="113"/>
            </w:pPr>
            <w:r w:rsidRPr="002954E0">
              <w:t>Artículo 272, párrafo 1): Agresión sexual con la utilización de un arma, amenazas, o que cause daños corporales</w:t>
            </w:r>
          </w:p>
        </w:tc>
        <w:tc>
          <w:tcPr>
            <w:tcW w:w="1805" w:type="pct"/>
            <w:shd w:val="clear" w:color="auto" w:fill="auto"/>
          </w:tcPr>
          <w:p w:rsidR="00AA5B69" w:rsidRPr="002954E0" w:rsidRDefault="00AA5B69">
            <w:pPr>
              <w:spacing w:before="40" w:after="120"/>
              <w:ind w:right="113"/>
            </w:pPr>
            <w:r w:rsidRPr="002954E0">
              <w:t xml:space="preserve">Se dispone que comete un delito toda persona que, en un acto de agresión sexual: porte, utilice, o amenace con utilizar, un arma, o un objeto que imite un arma; amenace con causar daños corporales a un tercero distinto de la víctima; cause daños corporales a la víctima; o </w:t>
            </w:r>
            <w:r>
              <w:t>part</w:t>
            </w:r>
            <w:r w:rsidRPr="002954E0">
              <w:t>icipe en la comisión de un delito contra cualquier otra persona.</w:t>
            </w:r>
          </w:p>
        </w:tc>
        <w:tc>
          <w:tcPr>
            <w:tcW w:w="2065" w:type="pct"/>
            <w:shd w:val="clear" w:color="auto" w:fill="auto"/>
          </w:tcPr>
          <w:p w:rsidR="00AA5B69" w:rsidRPr="002954E0" w:rsidRDefault="00AA5B69">
            <w:pPr>
              <w:pStyle w:val="Bullet1G"/>
              <w:tabs>
                <w:tab w:val="clear" w:pos="1701"/>
              </w:tabs>
              <w:suppressAutoHyphens/>
              <w:ind w:left="240" w:right="204"/>
              <w:jc w:val="left"/>
            </w:pPr>
            <w:r w:rsidRPr="002954E0">
              <w:t>Si se utiliza un arma de fuego, un máximo de 14 años y un mínimo de 4 años de prisión.</w:t>
            </w:r>
          </w:p>
          <w:p w:rsidR="00AA5B69" w:rsidRPr="002954E0" w:rsidRDefault="00AA5B69">
            <w:pPr>
              <w:pStyle w:val="Bullet1G"/>
              <w:tabs>
                <w:tab w:val="clear" w:pos="1701"/>
              </w:tabs>
              <w:suppressAutoHyphens/>
              <w:ind w:left="240" w:right="204"/>
              <w:jc w:val="left"/>
            </w:pPr>
            <w:r w:rsidRPr="002954E0">
              <w:t>En cualquier otro caso, un máximo de 14 años de prisión.</w:t>
            </w:r>
          </w:p>
        </w:tc>
      </w:tr>
      <w:tr w:rsidR="00AA5B69" w:rsidRPr="002954E0">
        <w:trPr>
          <w:cantSplit/>
        </w:trPr>
        <w:tc>
          <w:tcPr>
            <w:tcW w:w="1130" w:type="pct"/>
            <w:tcBorders>
              <w:bottom w:val="nil"/>
            </w:tcBorders>
            <w:shd w:val="clear" w:color="auto" w:fill="auto"/>
          </w:tcPr>
          <w:p w:rsidR="00AA5B69" w:rsidRPr="002954E0" w:rsidRDefault="00AA5B69">
            <w:pPr>
              <w:spacing w:before="40" w:after="120"/>
              <w:ind w:right="113"/>
            </w:pPr>
            <w:r w:rsidRPr="002954E0">
              <w:t xml:space="preserve">Artículo 273, párrafo 1): Agresión sexual con agravante </w:t>
            </w:r>
          </w:p>
        </w:tc>
        <w:tc>
          <w:tcPr>
            <w:tcW w:w="1805" w:type="pct"/>
            <w:tcBorders>
              <w:bottom w:val="nil"/>
            </w:tcBorders>
            <w:shd w:val="clear" w:color="auto" w:fill="auto"/>
          </w:tcPr>
          <w:p w:rsidR="00AA5B69" w:rsidRPr="002954E0" w:rsidRDefault="00AA5B69">
            <w:pPr>
              <w:spacing w:before="40" w:after="120"/>
              <w:ind w:right="113"/>
            </w:pPr>
            <w:r w:rsidRPr="002954E0">
              <w:t>Se estipula que una persona comete una agresión sexual con agravante si, al cometer una agresión sexual, hiere, mutila, desfigura o pone en peligro la vida de la víctima.</w:t>
            </w:r>
          </w:p>
        </w:tc>
        <w:tc>
          <w:tcPr>
            <w:tcW w:w="2065" w:type="pct"/>
            <w:tcBorders>
              <w:bottom w:val="nil"/>
            </w:tcBorders>
            <w:shd w:val="clear" w:color="auto" w:fill="auto"/>
          </w:tcPr>
          <w:p w:rsidR="00AA5B69" w:rsidRPr="002954E0" w:rsidRDefault="00AA5B69">
            <w:pPr>
              <w:pStyle w:val="Bullet1G"/>
              <w:tabs>
                <w:tab w:val="clear" w:pos="1701"/>
              </w:tabs>
              <w:suppressAutoHyphens/>
              <w:ind w:left="240" w:right="204"/>
              <w:jc w:val="left"/>
            </w:pPr>
            <w:r w:rsidRPr="002954E0">
              <w:t>Si se utiliza un arma de fuego, la pena máxima es la cadena perpetua y la mínima 4 años de prisión.</w:t>
            </w:r>
          </w:p>
          <w:p w:rsidR="00AA5B69" w:rsidRPr="002954E0" w:rsidRDefault="00AA5B69">
            <w:pPr>
              <w:pStyle w:val="Bullet1G"/>
              <w:tabs>
                <w:tab w:val="clear" w:pos="1701"/>
              </w:tabs>
              <w:suppressAutoHyphens/>
              <w:ind w:left="240" w:right="304"/>
              <w:jc w:val="left"/>
            </w:pPr>
            <w:r w:rsidRPr="002954E0">
              <w:t>En cualquier otro caso, la pena máxima es la cadena perpetua.</w:t>
            </w:r>
          </w:p>
        </w:tc>
      </w:tr>
      <w:tr w:rsidR="00AA5B69" w:rsidRPr="002954E0">
        <w:trPr>
          <w:cantSplit/>
        </w:trPr>
        <w:tc>
          <w:tcPr>
            <w:tcW w:w="1130" w:type="pct"/>
            <w:tcBorders>
              <w:top w:val="nil"/>
              <w:bottom w:val="nil"/>
            </w:tcBorders>
            <w:shd w:val="clear" w:color="auto" w:fill="auto"/>
          </w:tcPr>
          <w:p w:rsidR="00AA5B69" w:rsidRPr="002954E0" w:rsidRDefault="00AA5B69">
            <w:pPr>
              <w:spacing w:before="40" w:after="120"/>
              <w:ind w:right="113"/>
            </w:pPr>
            <w:r w:rsidRPr="002954E0">
              <w:t>Artículo 273, párrafo 3): Sacar a un niño del Canadá</w:t>
            </w:r>
          </w:p>
        </w:tc>
        <w:tc>
          <w:tcPr>
            <w:tcW w:w="1805" w:type="pct"/>
            <w:tcBorders>
              <w:top w:val="nil"/>
              <w:bottom w:val="nil"/>
            </w:tcBorders>
            <w:shd w:val="clear" w:color="auto" w:fill="auto"/>
          </w:tcPr>
          <w:p w:rsidR="00AA5B69" w:rsidRPr="002954E0" w:rsidRDefault="00AA5B69">
            <w:pPr>
              <w:spacing w:before="40" w:after="120"/>
              <w:ind w:right="113"/>
            </w:pPr>
            <w:r w:rsidRPr="002954E0">
              <w:t>Se prohíbe a toda persona cualquier tipo de acción con objeto de sacar a un niño del Canadá con la intención de cometer alguno de los delitos o agresiones sexuales enumerados.</w:t>
            </w:r>
          </w:p>
        </w:tc>
        <w:tc>
          <w:tcPr>
            <w:tcW w:w="2065" w:type="pct"/>
            <w:tcBorders>
              <w:top w:val="nil"/>
              <w:bottom w:val="nil"/>
            </w:tcBorders>
            <w:shd w:val="clear" w:color="auto" w:fill="auto"/>
          </w:tcPr>
          <w:p w:rsidR="00AA5B69" w:rsidRPr="002954E0" w:rsidRDefault="00AA5B69">
            <w:pPr>
              <w:pStyle w:val="Bullet1G"/>
              <w:tabs>
                <w:tab w:val="clear" w:pos="1701"/>
              </w:tabs>
              <w:suppressAutoHyphens/>
              <w:ind w:left="240" w:right="204"/>
              <w:jc w:val="left"/>
            </w:pPr>
            <w:r w:rsidRPr="002954E0">
              <w:t>Con acusación formal, un máximo de 5 años de prisión.</w:t>
            </w:r>
          </w:p>
          <w:p w:rsidR="00AA5B69" w:rsidRPr="002954E0" w:rsidRDefault="00AA5B69">
            <w:pPr>
              <w:pStyle w:val="Bullet1G"/>
              <w:tabs>
                <w:tab w:val="clear" w:pos="1701"/>
              </w:tabs>
              <w:suppressAutoHyphens/>
              <w:ind w:left="240" w:right="204"/>
              <w:jc w:val="left"/>
            </w:pPr>
            <w:r w:rsidRPr="002954E0">
              <w:t>En juicio sumario, un máximo de 6 meses de prisión.</w:t>
            </w:r>
          </w:p>
        </w:tc>
      </w:tr>
      <w:tr w:rsidR="00AA5B69" w:rsidRPr="002954E0">
        <w:trPr>
          <w:cantSplit/>
        </w:trPr>
        <w:tc>
          <w:tcPr>
            <w:tcW w:w="1130" w:type="pct"/>
            <w:tcBorders>
              <w:top w:val="nil"/>
            </w:tcBorders>
            <w:shd w:val="clear" w:color="auto" w:fill="auto"/>
          </w:tcPr>
          <w:p w:rsidR="00AA5B69" w:rsidRPr="002954E0" w:rsidRDefault="00AA5B69">
            <w:pPr>
              <w:spacing w:before="40" w:after="120"/>
              <w:ind w:right="113"/>
            </w:pPr>
            <w:r w:rsidRPr="002954E0">
              <w:t>Artículo 279, párrafo 1): Trata de personas</w:t>
            </w:r>
          </w:p>
        </w:tc>
        <w:tc>
          <w:tcPr>
            <w:tcW w:w="1805" w:type="pct"/>
            <w:tcBorders>
              <w:top w:val="nil"/>
            </w:tcBorders>
            <w:shd w:val="clear" w:color="auto" w:fill="auto"/>
          </w:tcPr>
          <w:p w:rsidR="00AA5B69" w:rsidRPr="002954E0" w:rsidRDefault="00AA5B69">
            <w:pPr>
              <w:spacing w:before="40" w:after="120"/>
              <w:ind w:right="113"/>
            </w:pPr>
            <w:r w:rsidRPr="002954E0">
              <w:t>Se prohíben los actos especificados con objeto de explotar a otra persona o facilitar su explotación (incluida la explotación sexual).</w:t>
            </w:r>
          </w:p>
        </w:tc>
        <w:tc>
          <w:tcPr>
            <w:tcW w:w="2065" w:type="pct"/>
            <w:tcBorders>
              <w:top w:val="nil"/>
            </w:tcBorders>
            <w:shd w:val="clear" w:color="auto" w:fill="auto"/>
          </w:tcPr>
          <w:p w:rsidR="00AA5B69" w:rsidRPr="002954E0" w:rsidRDefault="00AA5B69">
            <w:pPr>
              <w:pStyle w:val="Bullet1G"/>
              <w:tabs>
                <w:tab w:val="clear" w:pos="1701"/>
              </w:tabs>
              <w:suppressAutoHyphens/>
              <w:ind w:left="240" w:right="204"/>
              <w:jc w:val="left"/>
            </w:pPr>
            <w:r w:rsidRPr="002954E0">
              <w:t>Punible con una pena máxima de cadena perpetua cuando incluye secuestro, agresión con agravante o agresión sexual con agravante.</w:t>
            </w:r>
          </w:p>
          <w:p w:rsidR="00AA5B69" w:rsidRPr="002954E0" w:rsidRDefault="00AA5B69">
            <w:pPr>
              <w:pStyle w:val="Bullet1G"/>
              <w:tabs>
                <w:tab w:val="clear" w:pos="1701"/>
              </w:tabs>
              <w:suppressAutoHyphens/>
              <w:ind w:left="240" w:right="204"/>
              <w:jc w:val="left"/>
            </w:pPr>
            <w:r w:rsidRPr="002954E0">
              <w:t>En cualquier otro caso, la pena máxima es de 14 años de prisión.</w:t>
            </w:r>
          </w:p>
        </w:tc>
      </w:tr>
    </w:tbl>
    <w:p w:rsidR="00AA5B69" w:rsidRDefault="00AA5B69">
      <w:pPr>
        <w:spacing w:after="120"/>
        <w:ind w:left="1134" w:right="1134"/>
        <w:jc w:val="both"/>
      </w:pPr>
      <w:r>
        <w:t>32.</w:t>
      </w:r>
      <w:r>
        <w:tab/>
        <w:t>El Gobierno del Canadá tiene competencia para importar o exportar materiales prohibidos. Las disposiciones de la Ley de aduanas relacionadas con la prohibición de los materiales de pornografía infantil son las siguientes: el artículo 12, que exige que se declaren todos los productos importados en el Canadá; el artículo 155, que estipula como delito poseer, comprar, vender, intercambiar, o adquirir o disponer de otro modo cualquier producto importado que esté prohibido, restringido o bajo control en virtud de una ley promulgada por el Parlamento; y el artículo 159, que tipifica como delito el contrabando, o el intento de contrabando, en el Canadá, de cualquier producto que esté prohibido, restringido o bajo control en virtud de una ley promulgada por el Parlamento. En todos los casos, la pena correspondiente cuando hay acusación formal es una multa no superior a los 500.000 dólares, la prisión durante un período no superior a los cinco años, o ambas penas. En juicios sumarios, la pena es una multa no superior a los 50.000 dólares, la prisión durante un período no superior a los seis meses, o ambas penas.</w:t>
      </w:r>
    </w:p>
    <w:p w:rsidR="00AA5B69" w:rsidRDefault="00AA5B69">
      <w:pPr>
        <w:spacing w:after="120"/>
        <w:ind w:left="1134" w:right="1134"/>
        <w:jc w:val="both"/>
      </w:pPr>
      <w:r>
        <w:t>33.</w:t>
      </w:r>
      <w:r>
        <w:tab/>
        <w:t>Los gobiernos provinciales y territoriales también desempeñan una importante función en la lucha contra la explotación sexual de los niños. En todas las jurisdicciones se han promulgado leyes relativas a la protección del niño.</w:t>
      </w:r>
    </w:p>
    <w:p w:rsidR="00AA5B69" w:rsidRDefault="00AA5B69">
      <w:pPr>
        <w:spacing w:after="120"/>
        <w:ind w:left="1134" w:right="1134"/>
        <w:jc w:val="both"/>
      </w:pPr>
      <w:r>
        <w:t>34.</w:t>
      </w:r>
      <w:r>
        <w:tab/>
        <w:t xml:space="preserve">En las leyes de las provincias y los territorios sobre el bienestar de la infancia se reconoce la necesidad de brindar protección a los niños víctimas de la explotación sexual, lo que incluye </w:t>
      </w:r>
      <w:smartTag w:uri="urn:schemas-microsoft-com:office:smarttags" w:element="PersonName">
        <w:smartTagPr>
          <w:attr w:name="ProductID" w:val="la prostituci￳n. Por"/>
        </w:smartTagPr>
        <w:r>
          <w:t>la prostitución. Por</w:t>
        </w:r>
      </w:smartTag>
      <w:r>
        <w:t xml:space="preserve"> ejemplo, en la Ley de protección de los niños implicados en la prostitución de Alberta se reconoce que los niños utilizados en la prostitución son víctimas de abusos sexuales. Mediante las enmiendas que entraron en vigor en octubre de 2007, se modificó el nombre de la ley, que pasó a denominarse Ley de protección de los niños víctimas de explotación sexual, para destacar el hecho de que estos niños son objeto de explotación sexual y para eliminar los obstáculos que encuentran en el acceso a los servicios. Mediante esas enmiendas también se ampliaron los servicios de carácter voluntario hasta los 22 años de edad. En el marco de esa Ley, el gobierno de Alberta ha puesto en marcha programas y servicios para ayudar a los niños a abandonar la prostitución (http://www.qp.gov.ab.ca/documents/Acts/P30P3.cfm?frm_isbn=9780779726332).</w:t>
      </w:r>
    </w:p>
    <w:p w:rsidR="00AA5B69" w:rsidRDefault="00AA5B69">
      <w:pPr>
        <w:spacing w:after="120"/>
        <w:ind w:left="1134" w:right="1134"/>
        <w:jc w:val="both"/>
      </w:pPr>
      <w:r>
        <w:t>35.</w:t>
      </w:r>
      <w:r>
        <w:tab/>
        <w:t>En la Ley de servicios para el niño y la familia de Saskatchewan también se establece que se debe proteger a los niños involucrados en la prostitución.</w:t>
      </w:r>
    </w:p>
    <w:p w:rsidR="00AA5B69" w:rsidRDefault="00AA5B69">
      <w:pPr>
        <w:spacing w:after="120"/>
        <w:ind w:left="1134" w:right="1134"/>
        <w:jc w:val="both"/>
      </w:pPr>
      <w:r>
        <w:t>36.</w:t>
      </w:r>
      <w:r>
        <w:tab/>
        <w:t>En Saskatchewan se ha promulgado legislación para sancionar a quienes explotan a niños con fines sexuales y para impedir que lo hagan, así como para reforzar la protección y los servicios de apoyo a las víctimas. Por ejemplo, en la Ley de emergencia para la protección de las víctimas de abuso sexual infantil y de explotación infantil también se reconoce como víctimas a los niños objeto de explotación en el comercio sexual. El gobierno de Saskatchewan ha aprobado políticas en las que se reconoce que los niños y jóvenes objeto de explotación sexual son víctimas, a fin de asegurar que los que cometen esos delitos contra los niños respondan por ello y, si son condenados, se les impongan penas significativas, y en las que se insta a los fiscales a que, en la medida de lo posible, eviten imputar cargos de prostitución contra niños y jóvenes.</w:t>
      </w:r>
    </w:p>
    <w:p w:rsidR="00AA5B69" w:rsidRDefault="00AA5B69">
      <w:pPr>
        <w:spacing w:after="120"/>
        <w:ind w:left="1134" w:right="1134"/>
        <w:jc w:val="both"/>
      </w:pPr>
      <w:r>
        <w:t>37.</w:t>
      </w:r>
      <w:r>
        <w:tab/>
        <w:t>En la Ley de la infancia del territorio del Yukón se establece que se debe proteger a todo niño cuyo progenitor o persona que está a su cargo lo aliente a participar en actividades sexuales.</w:t>
      </w:r>
    </w:p>
    <w:p w:rsidR="00AA5B69" w:rsidRDefault="00AA5B69">
      <w:pPr>
        <w:spacing w:after="240"/>
        <w:ind w:left="1134" w:right="1134"/>
        <w:jc w:val="both"/>
      </w:pPr>
      <w:r>
        <w:t>38.</w:t>
      </w:r>
      <w:r>
        <w:tab/>
        <w:t>A continuación se enumeran algunos ejemplos de leyes de las provincias y los territorios.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666"/>
        <w:gridCol w:w="1900"/>
        <w:gridCol w:w="3804"/>
      </w:tblGrid>
      <w:tr w:rsidR="00AA5B69" w:rsidRPr="002954E0">
        <w:trPr>
          <w:cantSplit/>
          <w:tblHeader/>
        </w:trPr>
        <w:tc>
          <w:tcPr>
            <w:tcW w:w="1666" w:type="dxa"/>
            <w:tcBorders>
              <w:top w:val="single" w:sz="4" w:space="0" w:color="auto"/>
              <w:bottom w:val="single" w:sz="12" w:space="0" w:color="auto"/>
            </w:tcBorders>
            <w:shd w:val="clear" w:color="auto" w:fill="auto"/>
            <w:vAlign w:val="bottom"/>
          </w:tcPr>
          <w:p w:rsidR="00AA5B69" w:rsidRPr="002954E0" w:rsidRDefault="00AA5B69">
            <w:pPr>
              <w:keepNext/>
              <w:keepLines/>
              <w:spacing w:before="80" w:after="80" w:line="200" w:lineRule="exact"/>
              <w:ind w:right="113"/>
              <w:rPr>
                <w:i/>
                <w:sz w:val="16"/>
                <w:szCs w:val="16"/>
              </w:rPr>
            </w:pPr>
            <w:r w:rsidRPr="002954E0">
              <w:rPr>
                <w:i/>
                <w:sz w:val="16"/>
                <w:szCs w:val="16"/>
              </w:rPr>
              <w:t>Provincia o territorio</w:t>
            </w:r>
          </w:p>
        </w:tc>
        <w:tc>
          <w:tcPr>
            <w:tcW w:w="1900" w:type="dxa"/>
            <w:tcBorders>
              <w:top w:val="single" w:sz="4" w:space="0" w:color="auto"/>
              <w:bottom w:val="single" w:sz="12" w:space="0" w:color="auto"/>
            </w:tcBorders>
            <w:shd w:val="clear" w:color="auto" w:fill="auto"/>
            <w:vAlign w:val="bottom"/>
          </w:tcPr>
          <w:p w:rsidR="00AA5B69" w:rsidRPr="002954E0" w:rsidRDefault="00AA5B69">
            <w:pPr>
              <w:keepNext/>
              <w:keepLines/>
              <w:spacing w:before="80" w:after="80" w:line="200" w:lineRule="exact"/>
              <w:ind w:right="113"/>
              <w:rPr>
                <w:i/>
                <w:sz w:val="16"/>
                <w:szCs w:val="16"/>
              </w:rPr>
            </w:pPr>
            <w:r w:rsidRPr="002954E0">
              <w:rPr>
                <w:i/>
                <w:sz w:val="16"/>
                <w:szCs w:val="16"/>
              </w:rPr>
              <w:t>Ley</w:t>
            </w:r>
          </w:p>
        </w:tc>
        <w:tc>
          <w:tcPr>
            <w:tcW w:w="3804" w:type="dxa"/>
            <w:tcBorders>
              <w:top w:val="single" w:sz="4" w:space="0" w:color="auto"/>
              <w:bottom w:val="single" w:sz="12" w:space="0" w:color="auto"/>
            </w:tcBorders>
            <w:shd w:val="clear" w:color="auto" w:fill="auto"/>
            <w:vAlign w:val="bottom"/>
          </w:tcPr>
          <w:p w:rsidR="00AA5B69" w:rsidRPr="002954E0" w:rsidRDefault="00AA5B69">
            <w:pPr>
              <w:keepNext/>
              <w:keepLines/>
              <w:spacing w:before="80" w:after="80" w:line="200" w:lineRule="exact"/>
              <w:ind w:right="113"/>
              <w:rPr>
                <w:i/>
                <w:sz w:val="16"/>
                <w:szCs w:val="16"/>
              </w:rPr>
            </w:pPr>
            <w:r w:rsidRPr="002954E0">
              <w:rPr>
                <w:i/>
                <w:sz w:val="16"/>
                <w:szCs w:val="16"/>
              </w:rPr>
              <w:t>Descripción</w:t>
            </w:r>
          </w:p>
        </w:tc>
      </w:tr>
      <w:tr w:rsidR="00AA5B69" w:rsidRPr="002954E0">
        <w:trPr>
          <w:cantSplit/>
          <w:trHeight w:hRule="exact" w:val="113"/>
          <w:tblHeader/>
        </w:trPr>
        <w:tc>
          <w:tcPr>
            <w:tcW w:w="1666" w:type="dxa"/>
            <w:tcBorders>
              <w:top w:val="single" w:sz="12" w:space="0" w:color="auto"/>
              <w:bottom w:val="nil"/>
            </w:tcBorders>
            <w:shd w:val="clear" w:color="auto" w:fill="auto"/>
          </w:tcPr>
          <w:p w:rsidR="00AA5B69" w:rsidRPr="002954E0" w:rsidRDefault="00AA5B69">
            <w:pPr>
              <w:keepNext/>
              <w:keepLines/>
              <w:spacing w:before="40" w:after="120" w:line="220" w:lineRule="exact"/>
              <w:ind w:right="113"/>
            </w:pPr>
          </w:p>
        </w:tc>
        <w:tc>
          <w:tcPr>
            <w:tcW w:w="1900" w:type="dxa"/>
            <w:tcBorders>
              <w:top w:val="single" w:sz="12" w:space="0" w:color="auto"/>
              <w:bottom w:val="nil"/>
            </w:tcBorders>
            <w:shd w:val="clear" w:color="auto" w:fill="auto"/>
          </w:tcPr>
          <w:p w:rsidR="00AA5B69" w:rsidRPr="002954E0" w:rsidRDefault="00AA5B69">
            <w:pPr>
              <w:keepNext/>
              <w:keepLines/>
              <w:spacing w:before="40" w:after="120" w:line="220" w:lineRule="exact"/>
              <w:ind w:right="113"/>
            </w:pPr>
          </w:p>
        </w:tc>
        <w:tc>
          <w:tcPr>
            <w:tcW w:w="3804" w:type="dxa"/>
            <w:tcBorders>
              <w:top w:val="single" w:sz="12" w:space="0" w:color="auto"/>
              <w:bottom w:val="nil"/>
            </w:tcBorders>
            <w:shd w:val="clear" w:color="auto" w:fill="auto"/>
          </w:tcPr>
          <w:p w:rsidR="00AA5B69" w:rsidRPr="002954E0" w:rsidRDefault="00AA5B69">
            <w:pPr>
              <w:keepNext/>
              <w:keepLines/>
              <w:spacing w:before="40" w:after="120" w:line="220" w:lineRule="exact"/>
              <w:ind w:right="113"/>
            </w:pPr>
          </w:p>
        </w:tc>
      </w:tr>
      <w:tr w:rsidR="00AA5B69" w:rsidRPr="002954E0">
        <w:trPr>
          <w:trHeight w:val="2832"/>
        </w:trPr>
        <w:tc>
          <w:tcPr>
            <w:tcW w:w="1666" w:type="dxa"/>
            <w:tcBorders>
              <w:top w:val="nil"/>
              <w:bottom w:val="nil"/>
            </w:tcBorders>
            <w:shd w:val="clear" w:color="auto" w:fill="auto"/>
          </w:tcPr>
          <w:p w:rsidR="00AA5B69" w:rsidRPr="002954E0" w:rsidRDefault="00AA5B69">
            <w:pPr>
              <w:keepNext/>
              <w:keepLines/>
              <w:spacing w:before="40" w:after="120" w:line="240" w:lineRule="exact"/>
              <w:ind w:right="113"/>
            </w:pPr>
            <w:r w:rsidRPr="002954E0">
              <w:t>Alberta</w:t>
            </w:r>
          </w:p>
        </w:tc>
        <w:tc>
          <w:tcPr>
            <w:tcW w:w="1900" w:type="dxa"/>
            <w:tcBorders>
              <w:top w:val="nil"/>
              <w:bottom w:val="nil"/>
            </w:tcBorders>
            <w:shd w:val="clear" w:color="auto" w:fill="auto"/>
          </w:tcPr>
          <w:p w:rsidR="00AA5B69" w:rsidRPr="002954E0" w:rsidRDefault="00AA5B69">
            <w:pPr>
              <w:keepNext/>
              <w:keepLines/>
              <w:spacing w:before="40" w:after="120" w:line="240" w:lineRule="exact"/>
              <w:ind w:right="113"/>
            </w:pPr>
            <w:r w:rsidRPr="002954E0">
              <w:t>Ley de protección de los niños víctimas de explotación sexual</w:t>
            </w:r>
          </w:p>
        </w:tc>
        <w:tc>
          <w:tcPr>
            <w:tcW w:w="3804" w:type="dxa"/>
            <w:tcBorders>
              <w:top w:val="nil"/>
              <w:bottom w:val="nil"/>
            </w:tcBorders>
            <w:shd w:val="clear" w:color="auto" w:fill="auto"/>
          </w:tcPr>
          <w:p w:rsidR="00AA5B69" w:rsidRPr="002954E0" w:rsidRDefault="00AA5B69">
            <w:pPr>
              <w:keepNext/>
              <w:keepLines/>
              <w:spacing w:before="40" w:after="120" w:line="240" w:lineRule="exact"/>
              <w:ind w:right="113"/>
            </w:pPr>
            <w:r w:rsidRPr="002954E0">
              <w:t>Se basa en los siguientes principios rectores:</w:t>
            </w:r>
          </w:p>
          <w:p w:rsidR="00AA5B69" w:rsidRPr="002954E0" w:rsidRDefault="00AA5B69">
            <w:pPr>
              <w:pStyle w:val="Bullet1G"/>
              <w:keepNext/>
              <w:keepLines/>
              <w:tabs>
                <w:tab w:val="clear" w:pos="1701"/>
              </w:tabs>
              <w:suppressAutoHyphens/>
              <w:spacing w:line="240" w:lineRule="exact"/>
              <w:ind w:left="218" w:right="204"/>
              <w:jc w:val="left"/>
            </w:pPr>
            <w:r w:rsidRPr="002954E0">
              <w:t>Los niños que ejercen la prostitución son víctimas de abusos sexuales;</w:t>
            </w:r>
          </w:p>
          <w:p w:rsidR="00AA5B69" w:rsidRPr="002954E0" w:rsidRDefault="00AA5B69">
            <w:pPr>
              <w:pStyle w:val="Bullet1G"/>
              <w:keepNext/>
              <w:keepLines/>
              <w:tabs>
                <w:tab w:val="clear" w:pos="1701"/>
              </w:tabs>
              <w:suppressAutoHyphens/>
              <w:spacing w:line="240" w:lineRule="exact"/>
              <w:ind w:left="218" w:right="204"/>
              <w:jc w:val="left"/>
            </w:pPr>
            <w:r w:rsidRPr="002954E0">
              <w:t>Los niños tienen derecho a la integridad física y emocional, la seguridad y el bienestar;</w:t>
            </w:r>
          </w:p>
          <w:p w:rsidR="00AA5B69" w:rsidRPr="002954E0" w:rsidRDefault="00AA5B69">
            <w:pPr>
              <w:pStyle w:val="Bullet1G"/>
              <w:keepNext/>
              <w:keepLines/>
              <w:tabs>
                <w:tab w:val="clear" w:pos="1701"/>
              </w:tabs>
              <w:suppressAutoHyphens/>
              <w:spacing w:line="240" w:lineRule="exact"/>
              <w:ind w:left="218" w:right="204"/>
              <w:jc w:val="left"/>
            </w:pPr>
            <w:r w:rsidRPr="002954E0">
              <w:t>Los niños tienen derecho a recibir protección y seguridad contra los abusos sexuales y la explotación sexual;</w:t>
            </w:r>
          </w:p>
          <w:p w:rsidR="00AA5B69" w:rsidRPr="002954E0" w:rsidRDefault="00AA5B69">
            <w:pPr>
              <w:pStyle w:val="Bullet1G"/>
              <w:keepNext/>
              <w:keepLines/>
              <w:tabs>
                <w:tab w:val="clear" w:pos="1701"/>
              </w:tabs>
              <w:suppressAutoHyphens/>
              <w:spacing w:line="240" w:lineRule="exact"/>
              <w:ind w:left="218" w:right="204"/>
              <w:jc w:val="left"/>
            </w:pPr>
            <w:r w:rsidRPr="002954E0">
              <w:t>Los niños que ejercen la prostitución, o que corren el riesgo de ejercerla, necesitan servicios de protección y apoyo a las víctimas.</w:t>
            </w:r>
          </w:p>
        </w:tc>
      </w:tr>
      <w:tr w:rsidR="00AA5B69" w:rsidRPr="002954E0">
        <w:trPr>
          <w:trHeight w:val="3221"/>
        </w:trPr>
        <w:tc>
          <w:tcPr>
            <w:tcW w:w="1666" w:type="dxa"/>
            <w:tcBorders>
              <w:top w:val="nil"/>
              <w:bottom w:val="nil"/>
            </w:tcBorders>
            <w:shd w:val="clear" w:color="auto" w:fill="auto"/>
          </w:tcPr>
          <w:p w:rsidR="00AA5B69" w:rsidRPr="002954E0" w:rsidRDefault="00AA5B69">
            <w:pPr>
              <w:spacing w:before="40" w:after="120" w:line="240" w:lineRule="exact"/>
              <w:ind w:right="113"/>
            </w:pPr>
            <w:r w:rsidRPr="002954E0">
              <w:t>Saskatchewan</w:t>
            </w:r>
          </w:p>
        </w:tc>
        <w:tc>
          <w:tcPr>
            <w:tcW w:w="1900" w:type="dxa"/>
            <w:tcBorders>
              <w:top w:val="nil"/>
              <w:bottom w:val="nil"/>
            </w:tcBorders>
            <w:shd w:val="clear" w:color="auto" w:fill="auto"/>
          </w:tcPr>
          <w:p w:rsidR="00AA5B69" w:rsidRPr="002954E0" w:rsidRDefault="00AA5B69">
            <w:pPr>
              <w:spacing w:before="40" w:after="120" w:line="240" w:lineRule="exact"/>
              <w:ind w:right="113"/>
            </w:pPr>
            <w:r w:rsidRPr="002954E0">
              <w:t>Ley de seguridad vial</w:t>
            </w:r>
          </w:p>
        </w:tc>
        <w:tc>
          <w:tcPr>
            <w:tcW w:w="3804" w:type="dxa"/>
            <w:tcBorders>
              <w:top w:val="nil"/>
              <w:bottom w:val="nil"/>
            </w:tcBorders>
            <w:shd w:val="clear" w:color="auto" w:fill="auto"/>
          </w:tcPr>
          <w:p w:rsidR="00AA5B69" w:rsidRPr="002954E0" w:rsidRDefault="00AA5B69">
            <w:pPr>
              <w:spacing w:before="40" w:after="120" w:line="240" w:lineRule="exact"/>
              <w:ind w:right="113"/>
            </w:pPr>
            <w:r w:rsidRPr="002954E0">
              <w:t xml:space="preserve">Otorga potestad a la policía para incautar los vehículos utilizados para merodear por las calles con objeto de adquirir servicios sexuales; si el inculpado se matricula pero no completa </w:t>
            </w:r>
            <w:smartTag w:uri="urn:schemas-microsoft-com:office:smarttags" w:element="PersonName">
              <w:smartTagPr>
                <w:attr w:name="ProductID" w:val="la John School"/>
              </w:smartTagPr>
              <w:r w:rsidRPr="002954E0">
                <w:t>la John School</w:t>
              </w:r>
            </w:smartTag>
            <w:r w:rsidRPr="002954E0">
              <w:t xml:space="preserve"> (rehabilitación de clientes de prostitutas), la condena puede suponer la suspensión del permiso de conducir. La posibilidad de asistir a </w:t>
            </w:r>
            <w:smartTag w:uri="urn:schemas-microsoft-com:office:smarttags" w:element="PersonName">
              <w:smartTagPr>
                <w:attr w:name="ProductID" w:val="la John School"/>
              </w:smartTagPr>
              <w:r w:rsidRPr="002954E0">
                <w:t>la John School</w:t>
              </w:r>
            </w:smartTag>
            <w:r w:rsidRPr="002954E0">
              <w:t xml:space="preserve"> no está a disposición de los infractores que solicitan niños. Según esta Ley, también constituye un delito conducir o aparcar un vehículo, de forma reiterada y sin justificación legítima, en una zona frecuentada por trabajadores de la industria del sexo. Este delito puede ser punible con una multa que no supere los 5.000 dólares.</w:t>
            </w:r>
          </w:p>
        </w:tc>
      </w:tr>
      <w:tr w:rsidR="00AA5B69" w:rsidRPr="002954E0">
        <w:trPr>
          <w:trHeight w:val="1388"/>
        </w:trPr>
        <w:tc>
          <w:tcPr>
            <w:tcW w:w="1666" w:type="dxa"/>
            <w:tcBorders>
              <w:top w:val="nil"/>
              <w:bottom w:val="nil"/>
            </w:tcBorders>
            <w:shd w:val="clear" w:color="auto" w:fill="auto"/>
          </w:tcPr>
          <w:p w:rsidR="00AA5B69" w:rsidRPr="002954E0" w:rsidRDefault="00AA5B69">
            <w:pPr>
              <w:spacing w:before="40" w:after="120" w:line="240" w:lineRule="exact"/>
              <w:ind w:right="113"/>
            </w:pPr>
          </w:p>
        </w:tc>
        <w:tc>
          <w:tcPr>
            <w:tcW w:w="1900" w:type="dxa"/>
            <w:tcBorders>
              <w:top w:val="nil"/>
              <w:bottom w:val="nil"/>
            </w:tcBorders>
            <w:shd w:val="clear" w:color="auto" w:fill="auto"/>
          </w:tcPr>
          <w:p w:rsidR="00AA5B69" w:rsidRPr="002954E0" w:rsidRDefault="00AA5B69">
            <w:pPr>
              <w:spacing w:before="40" w:after="120" w:line="240" w:lineRule="exact"/>
              <w:ind w:right="113"/>
            </w:pPr>
            <w:r w:rsidRPr="002954E0">
              <w:t>Ley de emergencia para la protección de las víctimas de abuso sexual infantil y de explotación infantil</w:t>
            </w:r>
          </w:p>
        </w:tc>
        <w:tc>
          <w:tcPr>
            <w:tcW w:w="3804" w:type="dxa"/>
            <w:tcBorders>
              <w:top w:val="nil"/>
              <w:bottom w:val="nil"/>
            </w:tcBorders>
            <w:shd w:val="clear" w:color="auto" w:fill="auto"/>
          </w:tcPr>
          <w:p w:rsidR="00AA5B69" w:rsidRPr="002954E0" w:rsidRDefault="00AA5B69">
            <w:pPr>
              <w:spacing w:before="40" w:after="120" w:line="240" w:lineRule="exact"/>
              <w:ind w:right="113"/>
            </w:pPr>
            <w:r w:rsidRPr="002954E0">
              <w:t>Permite a la policía, así como a los trabajadores y facilitadores sociales designados, obtener órdenes de intervención urgente de protección, con objeto de mantener alejados a los infractores de los jóvenes que han sido objeto de explotación sexual.</w:t>
            </w:r>
          </w:p>
        </w:tc>
      </w:tr>
      <w:tr w:rsidR="00AA5B69" w:rsidRPr="002954E0">
        <w:trPr>
          <w:trHeight w:val="3141"/>
        </w:trPr>
        <w:tc>
          <w:tcPr>
            <w:tcW w:w="1666" w:type="dxa"/>
            <w:tcBorders>
              <w:top w:val="nil"/>
              <w:bottom w:val="nil"/>
            </w:tcBorders>
            <w:shd w:val="clear" w:color="auto" w:fill="auto"/>
          </w:tcPr>
          <w:p w:rsidR="00AA5B69" w:rsidRPr="002954E0" w:rsidRDefault="00AA5B69">
            <w:pPr>
              <w:spacing w:before="40" w:after="120" w:line="240" w:lineRule="exact"/>
              <w:ind w:right="113"/>
            </w:pPr>
            <w:r w:rsidRPr="002954E0">
              <w:t>Nueva Escocia</w:t>
            </w:r>
          </w:p>
        </w:tc>
        <w:tc>
          <w:tcPr>
            <w:tcW w:w="1900" w:type="dxa"/>
            <w:tcBorders>
              <w:top w:val="nil"/>
              <w:bottom w:val="nil"/>
            </w:tcBorders>
            <w:shd w:val="clear" w:color="auto" w:fill="auto"/>
          </w:tcPr>
          <w:p w:rsidR="00AA5B69" w:rsidRPr="002954E0" w:rsidRDefault="00AA5B69">
            <w:pPr>
              <w:spacing w:before="40" w:after="120" w:line="240" w:lineRule="exact"/>
              <w:ind w:right="113"/>
            </w:pPr>
            <w:r w:rsidRPr="002954E0">
              <w:t>Ley sobre la notoriedad de los delitos, de 2006</w:t>
            </w:r>
          </w:p>
        </w:tc>
        <w:tc>
          <w:tcPr>
            <w:tcW w:w="3804" w:type="dxa"/>
            <w:tcBorders>
              <w:top w:val="nil"/>
              <w:bottom w:val="nil"/>
            </w:tcBorders>
            <w:shd w:val="clear" w:color="auto" w:fill="auto"/>
          </w:tcPr>
          <w:p w:rsidR="00AA5B69" w:rsidRPr="002954E0" w:rsidRDefault="00AA5B69">
            <w:pPr>
              <w:spacing w:before="40" w:after="120" w:line="240" w:lineRule="exact"/>
              <w:ind w:right="113"/>
            </w:pPr>
            <w:r w:rsidRPr="002954E0">
              <w:t>Esta Ley tiene por objeto evitar que los delincuentes saquen provecho económico de la notoriedad de sus delitos. Permite confiscar el dinero u otro beneficio económico de las personas condenadas por distintos delitos graves, cuando provenga de un contrato relacionado con la reconstrucción del delito. El pago que esa persona debería recibir por relatar el delito que ha cometido (por ejemplo, los derechos de autor por la venta de un libro) se debe efectuar al Ministerio de Justicia de Nueva Escocia.</w:t>
            </w:r>
          </w:p>
        </w:tc>
      </w:tr>
      <w:tr w:rsidR="00AA5B69" w:rsidRPr="002954E0">
        <w:trPr>
          <w:trHeight w:val="526"/>
        </w:trPr>
        <w:tc>
          <w:tcPr>
            <w:tcW w:w="1666" w:type="dxa"/>
            <w:tcBorders>
              <w:top w:val="nil"/>
              <w:bottom w:val="nil"/>
            </w:tcBorders>
            <w:shd w:val="clear" w:color="auto" w:fill="auto"/>
          </w:tcPr>
          <w:p w:rsidR="00AA5B69" w:rsidRPr="002954E0" w:rsidRDefault="00AA5B69">
            <w:pPr>
              <w:keepNext/>
              <w:keepLines/>
              <w:spacing w:before="40" w:after="120" w:line="240" w:lineRule="exact"/>
              <w:ind w:right="113"/>
            </w:pPr>
          </w:p>
        </w:tc>
        <w:tc>
          <w:tcPr>
            <w:tcW w:w="1900" w:type="dxa"/>
            <w:tcBorders>
              <w:top w:val="nil"/>
              <w:bottom w:val="nil"/>
            </w:tcBorders>
            <w:shd w:val="clear" w:color="auto" w:fill="auto"/>
          </w:tcPr>
          <w:p w:rsidR="00AA5B69" w:rsidRPr="002954E0" w:rsidRDefault="00AA5B69">
            <w:pPr>
              <w:keepNext/>
              <w:keepLines/>
              <w:spacing w:before="40" w:after="120" w:line="240" w:lineRule="exact"/>
              <w:ind w:right="113"/>
            </w:pPr>
            <w:r w:rsidRPr="002954E0">
              <w:t>Ley de vigilancia transfronteriza, de 2005</w:t>
            </w:r>
          </w:p>
        </w:tc>
        <w:tc>
          <w:tcPr>
            <w:tcW w:w="3804" w:type="dxa"/>
            <w:tcBorders>
              <w:top w:val="nil"/>
              <w:bottom w:val="nil"/>
            </w:tcBorders>
            <w:shd w:val="clear" w:color="auto" w:fill="auto"/>
          </w:tcPr>
          <w:p w:rsidR="00AA5B69" w:rsidRPr="002954E0" w:rsidRDefault="00AA5B69">
            <w:pPr>
              <w:keepNext/>
              <w:keepLines/>
              <w:spacing w:before="40" w:after="120" w:line="240" w:lineRule="exact"/>
              <w:ind w:right="113"/>
            </w:pPr>
            <w:r w:rsidRPr="002954E0">
              <w:t>Es una ley que permite la vigilancia interjurisdiccional en determinadas circunstancias.</w:t>
            </w:r>
          </w:p>
        </w:tc>
      </w:tr>
      <w:tr w:rsidR="00AA5B69" w:rsidRPr="002954E0">
        <w:trPr>
          <w:trHeight w:val="2143"/>
        </w:trPr>
        <w:tc>
          <w:tcPr>
            <w:tcW w:w="1666" w:type="dxa"/>
            <w:tcBorders>
              <w:top w:val="nil"/>
            </w:tcBorders>
            <w:shd w:val="clear" w:color="auto" w:fill="auto"/>
          </w:tcPr>
          <w:p w:rsidR="00AA5B69" w:rsidRPr="002954E0" w:rsidRDefault="00AA5B69">
            <w:pPr>
              <w:keepNext/>
              <w:keepLines/>
              <w:spacing w:before="40" w:after="120" w:line="240" w:lineRule="exact"/>
              <w:ind w:right="113"/>
            </w:pPr>
          </w:p>
        </w:tc>
        <w:tc>
          <w:tcPr>
            <w:tcW w:w="1900" w:type="dxa"/>
            <w:tcBorders>
              <w:top w:val="nil"/>
            </w:tcBorders>
            <w:shd w:val="clear" w:color="auto" w:fill="auto"/>
          </w:tcPr>
          <w:p w:rsidR="00AA5B69" w:rsidRPr="002954E0" w:rsidRDefault="00AA5B69">
            <w:pPr>
              <w:keepNext/>
              <w:keepLines/>
              <w:spacing w:before="40" w:after="120" w:line="240" w:lineRule="exact"/>
              <w:ind w:right="113"/>
            </w:pPr>
            <w:r w:rsidRPr="002954E0">
              <w:t>Ley de comunidades y barrios más seguros, de 2006</w:t>
            </w:r>
          </w:p>
        </w:tc>
        <w:tc>
          <w:tcPr>
            <w:tcW w:w="3804" w:type="dxa"/>
            <w:tcBorders>
              <w:top w:val="nil"/>
            </w:tcBorders>
            <w:shd w:val="clear" w:color="auto" w:fill="auto"/>
          </w:tcPr>
          <w:p w:rsidR="00AA5B69" w:rsidRPr="002954E0" w:rsidRDefault="00AA5B69">
            <w:pPr>
              <w:keepNext/>
              <w:keepLines/>
              <w:spacing w:before="40" w:after="120" w:line="240" w:lineRule="exact"/>
              <w:ind w:right="113"/>
            </w:pPr>
            <w:r w:rsidRPr="002954E0">
              <w:t>Tiene por objeto aumentar la seguridad comunitaria, mediante la identificación y, si es necesario, el cierre de edificios o terrenos residenciales o comerciales que se suelen utilizar para actividades ilegales, como la elaboración, venta o consumo de drogas ilegales, la prostitución, el juego ilegal, o la venta o el consumo ilegal de bebidas alcohólicas.</w:t>
            </w:r>
          </w:p>
        </w:tc>
      </w:tr>
    </w:tbl>
    <w:p w:rsidR="00AA5B69" w:rsidRDefault="00AA5B69">
      <w:pPr>
        <w:spacing w:before="240" w:after="240"/>
        <w:ind w:left="1134" w:right="1134"/>
        <w:jc w:val="both"/>
      </w:pPr>
      <w:r>
        <w:t>39.</w:t>
      </w:r>
      <w:r>
        <w:tab/>
        <w:t>En el cuadro que figura a continuación se facilita información sobre la legislación específica de las provincias y los territorios relacionada con la notificación obligatoria de los delitos sexuales cometidos contra niños, así como sobre las penas aplicables en caso de incumplimiento.</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1497"/>
        <w:gridCol w:w="1496"/>
        <w:gridCol w:w="4377"/>
      </w:tblGrid>
      <w:tr w:rsidR="00AA5B69" w:rsidRPr="002954E0">
        <w:tblPrEx>
          <w:tblCellMar>
            <w:top w:w="0" w:type="dxa"/>
            <w:bottom w:w="0" w:type="dxa"/>
          </w:tblCellMar>
        </w:tblPrEx>
        <w:trPr>
          <w:cantSplit/>
          <w:tblHeader/>
        </w:trPr>
        <w:tc>
          <w:tcPr>
            <w:tcW w:w="1497" w:type="dxa"/>
            <w:tcBorders>
              <w:top w:val="single" w:sz="4" w:space="0" w:color="auto"/>
              <w:bottom w:val="single" w:sz="12" w:space="0" w:color="auto"/>
            </w:tcBorders>
            <w:shd w:val="clear" w:color="auto" w:fill="auto"/>
            <w:vAlign w:val="bottom"/>
          </w:tcPr>
          <w:p w:rsidR="00AA5B69" w:rsidRPr="002954E0" w:rsidRDefault="00AA5B69">
            <w:pPr>
              <w:keepNext/>
              <w:keepLines/>
              <w:spacing w:before="80" w:after="80" w:line="200" w:lineRule="exact"/>
              <w:rPr>
                <w:i/>
                <w:sz w:val="16"/>
                <w:szCs w:val="16"/>
              </w:rPr>
            </w:pPr>
            <w:r w:rsidRPr="002954E0">
              <w:rPr>
                <w:i/>
                <w:sz w:val="16"/>
                <w:szCs w:val="16"/>
              </w:rPr>
              <w:t>Provincia o territorio</w:t>
            </w:r>
          </w:p>
        </w:tc>
        <w:tc>
          <w:tcPr>
            <w:tcW w:w="1496" w:type="dxa"/>
            <w:tcBorders>
              <w:top w:val="single" w:sz="4" w:space="0" w:color="auto"/>
              <w:bottom w:val="single" w:sz="12" w:space="0" w:color="auto"/>
            </w:tcBorders>
            <w:shd w:val="clear" w:color="auto" w:fill="auto"/>
            <w:vAlign w:val="bottom"/>
          </w:tcPr>
          <w:p w:rsidR="00AA5B69" w:rsidRDefault="00AA5B69">
            <w:pPr>
              <w:keepNext/>
              <w:keepLines/>
              <w:spacing w:before="80" w:after="80" w:line="200" w:lineRule="exact"/>
              <w:rPr>
                <w:i/>
                <w:sz w:val="16"/>
                <w:szCs w:val="16"/>
              </w:rPr>
            </w:pPr>
            <w:r>
              <w:rPr>
                <w:i/>
                <w:sz w:val="16"/>
                <w:szCs w:val="16"/>
              </w:rPr>
              <w:t>Ley</w:t>
            </w:r>
          </w:p>
        </w:tc>
        <w:tc>
          <w:tcPr>
            <w:tcW w:w="4377" w:type="dxa"/>
            <w:tcBorders>
              <w:top w:val="single" w:sz="4" w:space="0" w:color="auto"/>
              <w:bottom w:val="single" w:sz="12" w:space="0" w:color="auto"/>
            </w:tcBorders>
            <w:shd w:val="clear" w:color="auto" w:fill="auto"/>
            <w:vAlign w:val="bottom"/>
          </w:tcPr>
          <w:p w:rsidR="00AA5B69" w:rsidRPr="002954E0" w:rsidRDefault="00AA5B69">
            <w:pPr>
              <w:keepNext/>
              <w:keepLines/>
              <w:spacing w:before="80" w:after="80" w:line="200" w:lineRule="exact"/>
              <w:rPr>
                <w:i/>
                <w:sz w:val="16"/>
                <w:szCs w:val="16"/>
              </w:rPr>
            </w:pPr>
            <w:r w:rsidRPr="002954E0">
              <w:rPr>
                <w:i/>
                <w:sz w:val="16"/>
                <w:szCs w:val="16"/>
              </w:rPr>
              <w:t>Disposiciones sobre la edad de la protección y ampliación de los servicios de atención; notificación obligatoria y penas por incumplimiento de la notificación</w:t>
            </w:r>
          </w:p>
        </w:tc>
      </w:tr>
      <w:tr w:rsidR="00AA5B69" w:rsidRPr="002954E0">
        <w:tblPrEx>
          <w:tblCellMar>
            <w:top w:w="0" w:type="dxa"/>
            <w:bottom w:w="0" w:type="dxa"/>
          </w:tblCellMar>
        </w:tblPrEx>
        <w:trPr>
          <w:cantSplit/>
          <w:trHeight w:hRule="exact" w:val="113"/>
          <w:tblHeader/>
        </w:trPr>
        <w:tc>
          <w:tcPr>
            <w:tcW w:w="1497" w:type="dxa"/>
            <w:tcBorders>
              <w:top w:val="single" w:sz="12" w:space="0" w:color="auto"/>
              <w:bottom w:val="nil"/>
            </w:tcBorders>
            <w:shd w:val="clear" w:color="auto" w:fill="auto"/>
          </w:tcPr>
          <w:p w:rsidR="00AA5B69" w:rsidRPr="002954E0" w:rsidRDefault="00AA5B69">
            <w:pPr>
              <w:keepNext/>
              <w:keepLines/>
              <w:spacing w:line="360" w:lineRule="auto"/>
              <w:ind w:right="113"/>
            </w:pPr>
          </w:p>
        </w:tc>
        <w:tc>
          <w:tcPr>
            <w:tcW w:w="1496" w:type="dxa"/>
            <w:tcBorders>
              <w:top w:val="single" w:sz="12" w:space="0" w:color="auto"/>
              <w:bottom w:val="nil"/>
            </w:tcBorders>
            <w:shd w:val="clear" w:color="auto" w:fill="auto"/>
          </w:tcPr>
          <w:p w:rsidR="00AA5B69" w:rsidRPr="002954E0" w:rsidRDefault="00AA5B69">
            <w:pPr>
              <w:keepNext/>
              <w:keepLines/>
              <w:spacing w:line="360" w:lineRule="auto"/>
              <w:ind w:right="113"/>
            </w:pPr>
          </w:p>
        </w:tc>
        <w:tc>
          <w:tcPr>
            <w:tcW w:w="4377" w:type="dxa"/>
            <w:tcBorders>
              <w:top w:val="single" w:sz="12" w:space="0" w:color="auto"/>
              <w:bottom w:val="nil"/>
            </w:tcBorders>
            <w:shd w:val="clear" w:color="auto" w:fill="auto"/>
          </w:tcPr>
          <w:p w:rsidR="00AA5B69" w:rsidRPr="002954E0" w:rsidRDefault="00AA5B69">
            <w:pPr>
              <w:keepNext/>
              <w:keepLines/>
              <w:spacing w:line="360" w:lineRule="auto"/>
              <w:ind w:right="113"/>
            </w:pPr>
          </w:p>
        </w:tc>
      </w:tr>
      <w:tr w:rsidR="00AA5B69" w:rsidRPr="002954E0">
        <w:tblPrEx>
          <w:tblCellMar>
            <w:top w:w="0" w:type="dxa"/>
            <w:bottom w:w="0" w:type="dxa"/>
          </w:tblCellMar>
        </w:tblPrEx>
        <w:trPr>
          <w:cantSplit/>
        </w:trPr>
        <w:tc>
          <w:tcPr>
            <w:tcW w:w="1497" w:type="dxa"/>
            <w:tcBorders>
              <w:top w:val="nil"/>
              <w:bottom w:val="nil"/>
            </w:tcBorders>
            <w:shd w:val="clear" w:color="auto" w:fill="auto"/>
          </w:tcPr>
          <w:p w:rsidR="00AA5B69" w:rsidRDefault="00AA5B69">
            <w:pPr>
              <w:spacing w:after="120" w:line="220" w:lineRule="exact"/>
              <w:ind w:right="113"/>
            </w:pPr>
            <w:r>
              <w:t>Columbia Británica</w:t>
            </w:r>
          </w:p>
        </w:tc>
        <w:tc>
          <w:tcPr>
            <w:tcW w:w="1496" w:type="dxa"/>
            <w:tcBorders>
              <w:top w:val="nil"/>
              <w:bottom w:val="nil"/>
            </w:tcBorders>
            <w:shd w:val="clear" w:color="auto" w:fill="auto"/>
          </w:tcPr>
          <w:p w:rsidR="00AA5B69" w:rsidRDefault="00AA5B69">
            <w:pPr>
              <w:spacing w:after="120" w:line="220" w:lineRule="exact"/>
              <w:ind w:right="113"/>
            </w:pPr>
            <w:r>
              <w:t>Ley de servicios para el niño, la familia y la comunidad</w:t>
            </w:r>
          </w:p>
        </w:tc>
        <w:tc>
          <w:tcPr>
            <w:tcW w:w="4377" w:type="dxa"/>
            <w:tcBorders>
              <w:top w:val="nil"/>
              <w:bottom w:val="nil"/>
            </w:tcBorders>
            <w:shd w:val="clear" w:color="auto" w:fill="auto"/>
          </w:tcPr>
          <w:p w:rsidR="00AA5B69" w:rsidRDefault="00AA5B69">
            <w:pPr>
              <w:spacing w:after="120" w:line="220" w:lineRule="exact"/>
              <w:ind w:right="113"/>
            </w:pPr>
            <w:r>
              <w:t>Edad de protección: hasta los 19 años.</w:t>
            </w:r>
          </w:p>
          <w:p w:rsidR="00AA5B69" w:rsidRDefault="00AA5B69">
            <w:pPr>
              <w:spacing w:after="120" w:line="220" w:lineRule="exact"/>
              <w:ind w:right="113"/>
            </w:pPr>
            <w:r>
              <w:t>Si una persona no informa sobre la situación de un niño que necesita protección, o proporciona información falsa a sabiendas, comete un delito punible con una multa de hasta 10.000 dólares, una pena de prisión de hasta seis meses, o ambas penas. En los artículos 28 y 98 se dispone la protección de un niño contra una persona determinada (por ejemplo, una persona violenta).</w:t>
            </w:r>
          </w:p>
        </w:tc>
      </w:tr>
      <w:tr w:rsidR="00AA5B69" w:rsidRPr="002954E0">
        <w:tblPrEx>
          <w:tblCellMar>
            <w:top w:w="0" w:type="dxa"/>
            <w:bottom w:w="0" w:type="dxa"/>
          </w:tblCellMar>
        </w:tblPrEx>
        <w:trPr>
          <w:cantSplit/>
        </w:trPr>
        <w:tc>
          <w:tcPr>
            <w:tcW w:w="1497" w:type="dxa"/>
            <w:tcBorders>
              <w:top w:val="nil"/>
            </w:tcBorders>
            <w:shd w:val="clear" w:color="auto" w:fill="auto"/>
          </w:tcPr>
          <w:p w:rsidR="00AA5B69" w:rsidRDefault="00AA5B69">
            <w:pPr>
              <w:spacing w:after="120" w:line="220" w:lineRule="exact"/>
              <w:ind w:right="113"/>
            </w:pPr>
            <w:r>
              <w:t>Alberta</w:t>
            </w:r>
          </w:p>
        </w:tc>
        <w:tc>
          <w:tcPr>
            <w:tcW w:w="1496" w:type="dxa"/>
            <w:tcBorders>
              <w:top w:val="nil"/>
            </w:tcBorders>
            <w:shd w:val="clear" w:color="auto" w:fill="auto"/>
          </w:tcPr>
          <w:p w:rsidR="00AA5B69" w:rsidRDefault="00AA5B69">
            <w:pPr>
              <w:spacing w:after="120" w:line="220" w:lineRule="exact"/>
              <w:ind w:right="113"/>
            </w:pPr>
            <w:r>
              <w:t>Ley de protección de la infancia, la juventud y la familia, de 2004</w:t>
            </w:r>
          </w:p>
        </w:tc>
        <w:tc>
          <w:tcPr>
            <w:tcW w:w="4377" w:type="dxa"/>
            <w:tcBorders>
              <w:top w:val="nil"/>
            </w:tcBorders>
            <w:shd w:val="clear" w:color="auto" w:fill="auto"/>
          </w:tcPr>
          <w:p w:rsidR="00AA5B69" w:rsidRDefault="00AA5B69">
            <w:pPr>
              <w:spacing w:after="120" w:line="220" w:lineRule="exact"/>
              <w:ind w:right="113"/>
            </w:pPr>
            <w:r>
              <w:t>Edad de protección: hasta los 18 años.</w:t>
            </w:r>
          </w:p>
          <w:p w:rsidR="00AA5B69" w:rsidRDefault="00AA5B69">
            <w:pPr>
              <w:spacing w:after="120" w:line="220" w:lineRule="exact"/>
              <w:ind w:right="113"/>
            </w:pPr>
            <w:r>
              <w:t>Ampliación de los servicios de atención: hasta los 22 años de edad.</w:t>
            </w:r>
          </w:p>
          <w:p w:rsidR="00AA5B69" w:rsidRDefault="00AA5B69">
            <w:pPr>
              <w:spacing w:after="120" w:line="220" w:lineRule="exact"/>
              <w:ind w:right="113"/>
            </w:pPr>
            <w:r>
              <w:t>El incumplimiento de la notificación obligatoria constituye un delito punible con una multa no superior a los 2.000 dólares y, en caso de falta de pago, con una pena de hasta seis meses de prisión.</w:t>
            </w:r>
          </w:p>
        </w:tc>
      </w:tr>
      <w:tr w:rsidR="00AA5B69" w:rsidRPr="002954E0">
        <w:tblPrEx>
          <w:tblCellMar>
            <w:top w:w="0" w:type="dxa"/>
            <w:bottom w:w="0" w:type="dxa"/>
          </w:tblCellMar>
        </w:tblPrEx>
        <w:trPr>
          <w:cantSplit/>
        </w:trPr>
        <w:tc>
          <w:tcPr>
            <w:tcW w:w="1497" w:type="dxa"/>
            <w:tcBorders>
              <w:bottom w:val="nil"/>
            </w:tcBorders>
            <w:shd w:val="clear" w:color="auto" w:fill="auto"/>
          </w:tcPr>
          <w:p w:rsidR="00AA5B69" w:rsidRDefault="00AA5B69">
            <w:pPr>
              <w:spacing w:after="120" w:line="220" w:lineRule="exact"/>
              <w:ind w:right="113"/>
            </w:pPr>
            <w:r>
              <w:t>Saskatchewan</w:t>
            </w:r>
          </w:p>
        </w:tc>
        <w:tc>
          <w:tcPr>
            <w:tcW w:w="1496" w:type="dxa"/>
            <w:tcBorders>
              <w:bottom w:val="nil"/>
            </w:tcBorders>
            <w:shd w:val="clear" w:color="auto" w:fill="auto"/>
          </w:tcPr>
          <w:p w:rsidR="00AA5B69" w:rsidRDefault="00AA5B69">
            <w:pPr>
              <w:spacing w:after="120" w:line="220" w:lineRule="exact"/>
              <w:ind w:right="113"/>
            </w:pPr>
            <w:r>
              <w:t>Ley de servicios para el niño y la familia</w:t>
            </w:r>
          </w:p>
        </w:tc>
        <w:tc>
          <w:tcPr>
            <w:tcW w:w="4377" w:type="dxa"/>
            <w:tcBorders>
              <w:bottom w:val="nil"/>
            </w:tcBorders>
            <w:shd w:val="clear" w:color="auto" w:fill="auto"/>
          </w:tcPr>
          <w:p w:rsidR="00AA5B69" w:rsidRDefault="00AA5B69">
            <w:pPr>
              <w:spacing w:after="120" w:line="220" w:lineRule="exact"/>
              <w:ind w:right="113"/>
            </w:pPr>
            <w:r>
              <w:t>Edad de protección: personas solteras menores de 16 años.</w:t>
            </w:r>
          </w:p>
          <w:p w:rsidR="00AA5B69" w:rsidRDefault="00AA5B69">
            <w:pPr>
              <w:spacing w:after="120" w:line="220" w:lineRule="exact"/>
              <w:ind w:right="113"/>
            </w:pPr>
            <w:r>
              <w:t>Ampliación de los servicios de atención: hasta los 21 años de edad en los casos de acogida permanente o a largo plazo.</w:t>
            </w:r>
          </w:p>
          <w:p w:rsidR="00AA5B69" w:rsidRDefault="00AA5B69">
            <w:pPr>
              <w:spacing w:after="120" w:line="220" w:lineRule="exact"/>
              <w:ind w:right="113"/>
            </w:pPr>
            <w:r>
              <w:t>El incumplimiento de la notificación obligatoria es punible con una pena de prisión de hasta 24 meses, una multa no superior a los 25.000 dólares, o ambas penas.</w:t>
            </w:r>
          </w:p>
        </w:tc>
      </w:tr>
      <w:tr w:rsidR="00AA5B69" w:rsidRPr="002954E0">
        <w:tblPrEx>
          <w:tblCellMar>
            <w:top w:w="0" w:type="dxa"/>
            <w:bottom w:w="0" w:type="dxa"/>
          </w:tblCellMar>
        </w:tblPrEx>
        <w:trPr>
          <w:cantSplit/>
        </w:trPr>
        <w:tc>
          <w:tcPr>
            <w:tcW w:w="1497" w:type="dxa"/>
            <w:tcBorders>
              <w:top w:val="nil"/>
              <w:bottom w:val="nil"/>
            </w:tcBorders>
            <w:shd w:val="clear" w:color="auto" w:fill="auto"/>
          </w:tcPr>
          <w:p w:rsidR="00AA5B69" w:rsidRDefault="00AA5B69">
            <w:pPr>
              <w:spacing w:after="120" w:line="220" w:lineRule="exact"/>
              <w:ind w:right="113"/>
            </w:pPr>
            <w:r>
              <w:t>Manitoba</w:t>
            </w:r>
          </w:p>
        </w:tc>
        <w:tc>
          <w:tcPr>
            <w:tcW w:w="1496" w:type="dxa"/>
            <w:tcBorders>
              <w:top w:val="nil"/>
              <w:bottom w:val="nil"/>
            </w:tcBorders>
            <w:shd w:val="clear" w:color="auto" w:fill="auto"/>
          </w:tcPr>
          <w:p w:rsidR="00AA5B69" w:rsidRDefault="00AA5B69">
            <w:pPr>
              <w:spacing w:after="120" w:line="220" w:lineRule="exact"/>
              <w:ind w:right="113"/>
            </w:pPr>
            <w:r>
              <w:t>Ley de servicios para el niño y la familia</w:t>
            </w:r>
          </w:p>
        </w:tc>
        <w:tc>
          <w:tcPr>
            <w:tcW w:w="4377" w:type="dxa"/>
            <w:tcBorders>
              <w:top w:val="nil"/>
              <w:bottom w:val="nil"/>
            </w:tcBorders>
            <w:shd w:val="clear" w:color="auto" w:fill="auto"/>
          </w:tcPr>
          <w:p w:rsidR="00AA5B69" w:rsidRDefault="00AA5B69">
            <w:pPr>
              <w:spacing w:after="120" w:line="220" w:lineRule="exact"/>
              <w:ind w:right="113"/>
            </w:pPr>
            <w:r>
              <w:t>Edad de protección: hasta los 18 años.</w:t>
            </w:r>
          </w:p>
          <w:p w:rsidR="00AA5B69" w:rsidRDefault="00AA5B69">
            <w:pPr>
              <w:spacing w:after="120" w:line="220" w:lineRule="exact"/>
              <w:ind w:right="113"/>
            </w:pPr>
            <w:r>
              <w:t>Ampliación de los servicios de atención: hasta los 21 años de edad.</w:t>
            </w:r>
          </w:p>
          <w:p w:rsidR="00AA5B69" w:rsidRDefault="00AA5B69">
            <w:pPr>
              <w:spacing w:after="120" w:line="220" w:lineRule="exact"/>
              <w:ind w:right="113"/>
            </w:pPr>
            <w:r>
              <w:t>El incumplimiento de la notificación obligatoria constituye un delito punible, en juicio sumario, con una multa no superior a los 50.000 dólares, una pena de prisión de hasta 24 meses, o a ambas penas.</w:t>
            </w:r>
          </w:p>
        </w:tc>
      </w:tr>
      <w:tr w:rsidR="00AA5B69" w:rsidRPr="002954E0">
        <w:tblPrEx>
          <w:tblCellMar>
            <w:top w:w="0" w:type="dxa"/>
            <w:bottom w:w="0" w:type="dxa"/>
          </w:tblCellMar>
        </w:tblPrEx>
        <w:trPr>
          <w:cantSplit/>
        </w:trPr>
        <w:tc>
          <w:tcPr>
            <w:tcW w:w="1497" w:type="dxa"/>
            <w:tcBorders>
              <w:top w:val="nil"/>
              <w:bottom w:val="nil"/>
            </w:tcBorders>
            <w:shd w:val="clear" w:color="auto" w:fill="auto"/>
          </w:tcPr>
          <w:p w:rsidR="00AA5B69" w:rsidRDefault="00AA5B69">
            <w:pPr>
              <w:spacing w:after="120" w:line="220" w:lineRule="exact"/>
              <w:ind w:right="113"/>
            </w:pPr>
            <w:r>
              <w:t>Ontario</w:t>
            </w:r>
          </w:p>
        </w:tc>
        <w:tc>
          <w:tcPr>
            <w:tcW w:w="1496" w:type="dxa"/>
            <w:tcBorders>
              <w:top w:val="nil"/>
              <w:bottom w:val="nil"/>
            </w:tcBorders>
            <w:shd w:val="clear" w:color="auto" w:fill="auto"/>
          </w:tcPr>
          <w:p w:rsidR="00AA5B69" w:rsidRDefault="00AA5B69">
            <w:pPr>
              <w:spacing w:after="120" w:line="220" w:lineRule="exact"/>
              <w:ind w:right="113"/>
            </w:pPr>
            <w:r>
              <w:t>Ley de servicios para el niño y la familia</w:t>
            </w:r>
          </w:p>
        </w:tc>
        <w:tc>
          <w:tcPr>
            <w:tcW w:w="4377" w:type="dxa"/>
            <w:tcBorders>
              <w:top w:val="nil"/>
              <w:bottom w:val="nil"/>
            </w:tcBorders>
            <w:shd w:val="clear" w:color="auto" w:fill="auto"/>
          </w:tcPr>
          <w:p w:rsidR="00AA5B69" w:rsidRDefault="00AA5B69">
            <w:pPr>
              <w:spacing w:after="120" w:line="220" w:lineRule="exact"/>
              <w:ind w:right="113"/>
            </w:pPr>
            <w:r>
              <w:t>Edad de protección: hasta los 16 años. (Si hay una orden judicial en vigor antes de que el niño cumpla los 18 años, este puede estar a cargo de las sociedades de asistencia a la infancia hasta los 18 años de edad.)</w:t>
            </w:r>
          </w:p>
          <w:p w:rsidR="00AA5B69" w:rsidRDefault="00AA5B69">
            <w:pPr>
              <w:spacing w:after="120" w:line="220" w:lineRule="exact"/>
              <w:ind w:right="113"/>
            </w:pPr>
            <w:r>
              <w:t>Ampliación de los servicios de atención: hasta los 21 años de edad solo para los pupilos de la Corona (Crown wards)</w:t>
            </w:r>
          </w:p>
          <w:p w:rsidR="00AA5B69" w:rsidRDefault="00AA5B69">
            <w:pPr>
              <w:spacing w:after="120" w:line="220" w:lineRule="exact"/>
              <w:ind w:right="113"/>
            </w:pPr>
            <w:r>
              <w:t>La notificación es obligatoria, y todo profesional que se niegue a formularla puede ser condenado a pagar una multa de hasta 1.000 dólares.</w:t>
            </w:r>
          </w:p>
          <w:p w:rsidR="00AA5B69" w:rsidRDefault="00AA5B69">
            <w:pPr>
              <w:spacing w:after="120" w:line="220" w:lineRule="exact"/>
              <w:ind w:right="113"/>
            </w:pPr>
            <w:r>
              <w:t>En el artículo 79 de la Ley se tipifica como delito el hecho de que una persona que esté a cargo de un niño lo maltrate o permita que sufra malos tratos (la definición de malos tratos de este artículo incluye "un estado o una situación en la que se sufren abusos sexuales o explotación sexual").</w:t>
            </w:r>
          </w:p>
        </w:tc>
      </w:tr>
      <w:tr w:rsidR="00AA5B69" w:rsidRPr="002954E0">
        <w:tblPrEx>
          <w:tblCellMar>
            <w:top w:w="0" w:type="dxa"/>
            <w:bottom w:w="0" w:type="dxa"/>
          </w:tblCellMar>
        </w:tblPrEx>
        <w:trPr>
          <w:cantSplit/>
        </w:trPr>
        <w:tc>
          <w:tcPr>
            <w:tcW w:w="1497" w:type="dxa"/>
            <w:tcBorders>
              <w:top w:val="nil"/>
              <w:bottom w:val="nil"/>
            </w:tcBorders>
            <w:shd w:val="clear" w:color="auto" w:fill="auto"/>
          </w:tcPr>
          <w:p w:rsidR="00AA5B69" w:rsidRDefault="00AA5B69">
            <w:pPr>
              <w:spacing w:after="120" w:line="220" w:lineRule="exact"/>
              <w:ind w:right="113"/>
            </w:pPr>
            <w:r>
              <w:t>Quebec</w:t>
            </w:r>
          </w:p>
        </w:tc>
        <w:tc>
          <w:tcPr>
            <w:tcW w:w="1496" w:type="dxa"/>
            <w:tcBorders>
              <w:top w:val="nil"/>
              <w:bottom w:val="nil"/>
            </w:tcBorders>
            <w:shd w:val="clear" w:color="auto" w:fill="auto"/>
          </w:tcPr>
          <w:p w:rsidR="00AA5B69" w:rsidRDefault="00AA5B69">
            <w:pPr>
              <w:spacing w:after="120" w:line="220" w:lineRule="exact"/>
              <w:ind w:right="113"/>
            </w:pPr>
            <w:r>
              <w:t>Ley de protección de la juventud</w:t>
            </w:r>
          </w:p>
        </w:tc>
        <w:tc>
          <w:tcPr>
            <w:tcW w:w="4377" w:type="dxa"/>
            <w:tcBorders>
              <w:top w:val="nil"/>
              <w:bottom w:val="nil"/>
            </w:tcBorders>
            <w:shd w:val="clear" w:color="auto" w:fill="auto"/>
          </w:tcPr>
          <w:p w:rsidR="00AA5B69" w:rsidRDefault="00AA5B69">
            <w:pPr>
              <w:spacing w:after="120" w:line="220" w:lineRule="exact"/>
              <w:ind w:right="113"/>
            </w:pPr>
            <w:r>
              <w:t>Edad de protección: hasta los 18 años.</w:t>
            </w:r>
          </w:p>
          <w:p w:rsidR="00AA5B69" w:rsidRDefault="00AA5B69">
            <w:pPr>
              <w:spacing w:after="120" w:line="220" w:lineRule="exact"/>
              <w:ind w:right="113"/>
            </w:pPr>
            <w:r>
              <w:t>La notificación es obligatoria para los profesionales, los empleados de una institución, los maestros o los funcionarios de policía que, en el desempeño de sus funciones, tengan motivos para informar de casos de malos tratos. La pena por no formular la notificación consiste en una multa de entre 250 y 2.500 dólares.</w:t>
            </w:r>
          </w:p>
        </w:tc>
      </w:tr>
      <w:tr w:rsidR="00AA5B69" w:rsidRPr="002954E0">
        <w:tblPrEx>
          <w:tblCellMar>
            <w:top w:w="0" w:type="dxa"/>
            <w:bottom w:w="0" w:type="dxa"/>
          </w:tblCellMar>
        </w:tblPrEx>
        <w:trPr>
          <w:cantSplit/>
        </w:trPr>
        <w:tc>
          <w:tcPr>
            <w:tcW w:w="1497" w:type="dxa"/>
            <w:tcBorders>
              <w:top w:val="nil"/>
              <w:bottom w:val="nil"/>
            </w:tcBorders>
            <w:shd w:val="clear" w:color="auto" w:fill="auto"/>
          </w:tcPr>
          <w:p w:rsidR="00AA5B69" w:rsidRDefault="00AA5B69">
            <w:pPr>
              <w:spacing w:after="120" w:line="220" w:lineRule="exact"/>
              <w:ind w:right="113"/>
            </w:pPr>
            <w:r>
              <w:t>Nueva Brunswick</w:t>
            </w:r>
          </w:p>
        </w:tc>
        <w:tc>
          <w:tcPr>
            <w:tcW w:w="1496" w:type="dxa"/>
            <w:tcBorders>
              <w:top w:val="nil"/>
              <w:bottom w:val="nil"/>
            </w:tcBorders>
            <w:shd w:val="clear" w:color="auto" w:fill="auto"/>
          </w:tcPr>
          <w:p w:rsidR="00AA5B69" w:rsidRDefault="00AA5B69">
            <w:pPr>
              <w:spacing w:after="120" w:line="220" w:lineRule="exact"/>
              <w:ind w:right="113"/>
            </w:pPr>
            <w:r>
              <w:t>Ley de servicios para la familia</w:t>
            </w:r>
          </w:p>
          <w:p w:rsidR="00AA5B69" w:rsidRDefault="00AA5B69">
            <w:pPr>
              <w:spacing w:after="120" w:line="220" w:lineRule="exact"/>
              <w:ind w:right="113"/>
            </w:pPr>
          </w:p>
          <w:p w:rsidR="00AA5B69" w:rsidRDefault="00AA5B69">
            <w:pPr>
              <w:spacing w:after="120" w:line="220" w:lineRule="exact"/>
              <w:ind w:right="113"/>
            </w:pPr>
          </w:p>
          <w:p w:rsidR="00AA5B69" w:rsidRDefault="00AA5B69">
            <w:pPr>
              <w:spacing w:after="120" w:line="220" w:lineRule="exact"/>
              <w:ind w:right="113"/>
            </w:pPr>
          </w:p>
          <w:p w:rsidR="00AA5B69" w:rsidRDefault="00AA5B69">
            <w:pPr>
              <w:spacing w:after="120" w:line="220" w:lineRule="exact"/>
              <w:ind w:right="113"/>
            </w:pPr>
          </w:p>
          <w:p w:rsidR="00AA5B69" w:rsidRDefault="00AA5B69">
            <w:pPr>
              <w:spacing w:after="120" w:line="220" w:lineRule="exact"/>
              <w:ind w:right="113"/>
            </w:pPr>
          </w:p>
          <w:p w:rsidR="00AA5B69" w:rsidRPr="00CB5080" w:rsidRDefault="00AA5B69" w:rsidP="003636AF">
            <w:pPr>
              <w:spacing w:after="120" w:line="240" w:lineRule="auto"/>
              <w:ind w:right="113"/>
              <w:rPr>
                <w:spacing w:val="-2"/>
                <w:position w:val="-25"/>
              </w:rPr>
            </w:pPr>
            <w:r w:rsidRPr="00CB5080">
              <w:rPr>
                <w:spacing w:val="-2"/>
                <w:position w:val="-25"/>
              </w:rPr>
              <w:t>Ley de educación</w:t>
            </w:r>
          </w:p>
        </w:tc>
        <w:tc>
          <w:tcPr>
            <w:tcW w:w="4377" w:type="dxa"/>
            <w:tcBorders>
              <w:top w:val="nil"/>
              <w:bottom w:val="nil"/>
            </w:tcBorders>
            <w:shd w:val="clear" w:color="auto" w:fill="auto"/>
          </w:tcPr>
          <w:p w:rsidR="00AA5B69" w:rsidRDefault="00AA5B69">
            <w:pPr>
              <w:spacing w:after="120" w:line="220" w:lineRule="exact"/>
              <w:ind w:right="113"/>
            </w:pPr>
            <w:r>
              <w:t>Edad de protección: hasta los 16 años, y hasta los 19 años en el caso de personas con discapacidad.</w:t>
            </w:r>
          </w:p>
          <w:p w:rsidR="00AA5B69" w:rsidRDefault="00AA5B69">
            <w:pPr>
              <w:spacing w:after="120" w:line="220" w:lineRule="exact"/>
              <w:ind w:right="113"/>
            </w:pPr>
            <w:r>
              <w:t>Ampliación de los servicios de atención: personas de más de 19 años de edad.</w:t>
            </w:r>
          </w:p>
          <w:p w:rsidR="00AA5B69" w:rsidRDefault="00AA5B69">
            <w:pPr>
              <w:spacing w:after="120" w:line="220" w:lineRule="exact"/>
              <w:ind w:right="113"/>
            </w:pPr>
            <w:r>
              <w:t>En los casos de malos tratos de niños menores de 16 años de edad, la notificación es obligatoria, y los profesionales que la omitan pueden ser sancionados con multa de hasta 7.500 dólares, o con pena de prisión de hasta 90 días.</w:t>
            </w:r>
          </w:p>
          <w:p w:rsidR="00AA5B69" w:rsidRDefault="00AA5B69">
            <w:pPr>
              <w:spacing w:after="120" w:line="220" w:lineRule="exact"/>
              <w:ind w:right="113"/>
            </w:pPr>
            <w:r>
              <w:t>Edad de protección: todos los alumnos de las escuelas públicas.</w:t>
            </w:r>
          </w:p>
          <w:p w:rsidR="00AA5B69" w:rsidRDefault="00AA5B69">
            <w:pPr>
              <w:spacing w:after="120" w:line="220" w:lineRule="exact"/>
              <w:ind w:right="113"/>
            </w:pPr>
            <w:r>
              <w:t>La notificación es obligatoria para todo el personal escolar y todos los profesionales. Los profesionales que no presenten informes puede ser sancionados con multa de hasta 7.500 dólares o con pena de prisión de hasta 90 días.</w:t>
            </w:r>
          </w:p>
        </w:tc>
      </w:tr>
      <w:tr w:rsidR="00AA5B69" w:rsidRPr="002954E0">
        <w:tblPrEx>
          <w:tblCellMar>
            <w:top w:w="0" w:type="dxa"/>
            <w:bottom w:w="0" w:type="dxa"/>
          </w:tblCellMar>
        </w:tblPrEx>
        <w:trPr>
          <w:cantSplit/>
        </w:trPr>
        <w:tc>
          <w:tcPr>
            <w:tcW w:w="1497" w:type="dxa"/>
            <w:tcBorders>
              <w:top w:val="nil"/>
              <w:bottom w:val="nil"/>
            </w:tcBorders>
            <w:shd w:val="clear" w:color="auto" w:fill="auto"/>
          </w:tcPr>
          <w:p w:rsidR="00AA5B69" w:rsidRDefault="00AA5B69">
            <w:pPr>
              <w:spacing w:after="120" w:line="220" w:lineRule="exact"/>
              <w:ind w:right="113"/>
            </w:pPr>
            <w:r>
              <w:t>Nueva Escocia</w:t>
            </w:r>
          </w:p>
        </w:tc>
        <w:tc>
          <w:tcPr>
            <w:tcW w:w="1496" w:type="dxa"/>
            <w:tcBorders>
              <w:top w:val="nil"/>
              <w:bottom w:val="nil"/>
            </w:tcBorders>
            <w:shd w:val="clear" w:color="auto" w:fill="auto"/>
          </w:tcPr>
          <w:p w:rsidR="00AA5B69" w:rsidRDefault="00AA5B69">
            <w:pPr>
              <w:spacing w:after="120" w:line="220" w:lineRule="exact"/>
              <w:ind w:right="113"/>
            </w:pPr>
            <w:r>
              <w:t>Ley de servicios para el niño y la familia</w:t>
            </w:r>
          </w:p>
        </w:tc>
        <w:tc>
          <w:tcPr>
            <w:tcW w:w="4377" w:type="dxa"/>
            <w:tcBorders>
              <w:top w:val="nil"/>
              <w:bottom w:val="nil"/>
            </w:tcBorders>
            <w:shd w:val="clear" w:color="auto" w:fill="auto"/>
          </w:tcPr>
          <w:p w:rsidR="00AA5B69" w:rsidRDefault="00AA5B69">
            <w:pPr>
              <w:spacing w:after="120" w:line="220" w:lineRule="exact"/>
              <w:ind w:right="113"/>
            </w:pPr>
            <w:r>
              <w:t>Edad de protección: hasta los 16 años.</w:t>
            </w:r>
          </w:p>
          <w:p w:rsidR="00AA5B69" w:rsidRDefault="00AA5B69">
            <w:pPr>
              <w:spacing w:after="120" w:line="220" w:lineRule="exact"/>
              <w:ind w:right="113"/>
            </w:pPr>
            <w:r>
              <w:t>Ampliación de los servicios de atención: hasta los 21 años de edad.</w:t>
            </w:r>
          </w:p>
          <w:p w:rsidR="00AA5B69" w:rsidRDefault="00AA5B69">
            <w:pPr>
              <w:spacing w:after="120" w:line="220" w:lineRule="exact"/>
              <w:ind w:right="113"/>
            </w:pPr>
            <w:r>
              <w:t>La notificación es obligatoria, y su omisión es punible con multa no superior a los 2.000 dólares, con prisión de hasta seis meses, o con ambas penas. Todo profesional o funcionario que haya tenido relación con el niño y no haya informado de los malos tratos puede ser sancionado con multa de hasta 5.000 dólares, con prisión no superior a un año, o con ambas penas.</w:t>
            </w:r>
          </w:p>
        </w:tc>
      </w:tr>
      <w:tr w:rsidR="00AA5B69" w:rsidRPr="002954E0">
        <w:tblPrEx>
          <w:tblCellMar>
            <w:top w:w="0" w:type="dxa"/>
            <w:bottom w:w="0" w:type="dxa"/>
          </w:tblCellMar>
        </w:tblPrEx>
        <w:trPr>
          <w:cantSplit/>
        </w:trPr>
        <w:tc>
          <w:tcPr>
            <w:tcW w:w="1497" w:type="dxa"/>
            <w:tcBorders>
              <w:top w:val="nil"/>
            </w:tcBorders>
            <w:shd w:val="clear" w:color="auto" w:fill="auto"/>
          </w:tcPr>
          <w:p w:rsidR="00AA5B69" w:rsidRDefault="00AA5B69">
            <w:pPr>
              <w:keepNext/>
              <w:keepLines/>
              <w:spacing w:after="120" w:line="220" w:lineRule="exact"/>
              <w:ind w:right="113"/>
            </w:pPr>
            <w:r>
              <w:t>Isla del Príncipe Eduardo</w:t>
            </w:r>
          </w:p>
        </w:tc>
        <w:tc>
          <w:tcPr>
            <w:tcW w:w="1496" w:type="dxa"/>
            <w:tcBorders>
              <w:top w:val="nil"/>
            </w:tcBorders>
            <w:shd w:val="clear" w:color="auto" w:fill="auto"/>
          </w:tcPr>
          <w:p w:rsidR="00AA5B69" w:rsidRDefault="00AA5B69">
            <w:pPr>
              <w:keepNext/>
              <w:keepLines/>
              <w:spacing w:after="120" w:line="220" w:lineRule="exact"/>
              <w:ind w:right="113"/>
            </w:pPr>
            <w:r>
              <w:t>Ley de protección del niño, de 2003</w:t>
            </w:r>
          </w:p>
          <w:p w:rsidR="00AA5B69" w:rsidRDefault="00AA5B69">
            <w:pPr>
              <w:keepNext/>
              <w:keepLines/>
              <w:spacing w:after="120" w:line="220" w:lineRule="exact"/>
              <w:ind w:right="113"/>
            </w:pPr>
          </w:p>
          <w:p w:rsidR="00AA5B69" w:rsidRDefault="00AA5B69">
            <w:pPr>
              <w:keepNext/>
              <w:keepLines/>
              <w:spacing w:after="120" w:line="220" w:lineRule="exact"/>
              <w:ind w:right="113"/>
            </w:pPr>
          </w:p>
          <w:p w:rsidR="00AA5B69" w:rsidRDefault="00AA5B69" w:rsidP="007A0A29">
            <w:pPr>
              <w:keepNext/>
              <w:keepLines/>
              <w:spacing w:line="220" w:lineRule="exact"/>
              <w:ind w:right="113"/>
            </w:pPr>
          </w:p>
          <w:p w:rsidR="007A0A29" w:rsidRDefault="007A0A29" w:rsidP="007A0A29">
            <w:pPr>
              <w:keepNext/>
              <w:keepLines/>
              <w:spacing w:line="220" w:lineRule="exact"/>
              <w:ind w:right="113"/>
            </w:pPr>
          </w:p>
          <w:p w:rsidR="00AA5B69" w:rsidRDefault="00AA5B69">
            <w:pPr>
              <w:keepNext/>
              <w:keepLines/>
              <w:spacing w:after="120" w:line="220" w:lineRule="exact"/>
              <w:ind w:right="113"/>
            </w:pPr>
            <w:r>
              <w:t>Ley del sistema escolar</w:t>
            </w:r>
          </w:p>
        </w:tc>
        <w:tc>
          <w:tcPr>
            <w:tcW w:w="4377" w:type="dxa"/>
            <w:tcBorders>
              <w:top w:val="nil"/>
            </w:tcBorders>
            <w:shd w:val="clear" w:color="auto" w:fill="auto"/>
          </w:tcPr>
          <w:p w:rsidR="00AA5B69" w:rsidRDefault="00AA5B69">
            <w:pPr>
              <w:spacing w:after="120" w:line="220" w:lineRule="exact"/>
              <w:ind w:right="113"/>
            </w:pPr>
            <w:r>
              <w:t>Edad de protección: hasta los 16 años.</w:t>
            </w:r>
          </w:p>
          <w:p w:rsidR="00AA5B69" w:rsidRDefault="00AA5B69">
            <w:pPr>
              <w:keepNext/>
              <w:keepLines/>
              <w:spacing w:after="120" w:line="220" w:lineRule="exact"/>
              <w:ind w:right="113"/>
            </w:pPr>
            <w:r>
              <w:t>Ampliación de los servicios de atención: hasta los 18 años de edad.</w:t>
            </w:r>
          </w:p>
          <w:p w:rsidR="00AA5B69" w:rsidRDefault="00AA5B69">
            <w:pPr>
              <w:keepNext/>
              <w:keepLines/>
              <w:spacing w:after="120" w:line="220" w:lineRule="exact"/>
              <w:ind w:right="113"/>
            </w:pPr>
            <w:r>
              <w:t>La notificación es obligatoria, con una pena de hasta 2.000 dólares por la omisión de informar de los casos de malos tratos o descuido. La única excepción permitida es el secreto profesional de los abogados.</w:t>
            </w:r>
          </w:p>
          <w:p w:rsidR="00AA5B69" w:rsidRDefault="00AA5B69">
            <w:pPr>
              <w:keepNext/>
              <w:keepLines/>
              <w:spacing w:after="120" w:line="220" w:lineRule="exact"/>
              <w:ind w:right="113"/>
            </w:pPr>
            <w:r>
              <w:t>La notificación obligatoria en el caso de los maestros y el personal escolar es punible con multa no superior a los 1.000 dólares, con prisión de hasta seis meses, o con ambas penas.</w:t>
            </w:r>
          </w:p>
        </w:tc>
      </w:tr>
      <w:tr w:rsidR="00AA5B69" w:rsidRPr="002954E0">
        <w:tblPrEx>
          <w:tblCellMar>
            <w:top w:w="0" w:type="dxa"/>
            <w:bottom w:w="0" w:type="dxa"/>
          </w:tblCellMar>
        </w:tblPrEx>
        <w:trPr>
          <w:cantSplit/>
        </w:trPr>
        <w:tc>
          <w:tcPr>
            <w:tcW w:w="1497" w:type="dxa"/>
            <w:shd w:val="clear" w:color="auto" w:fill="auto"/>
          </w:tcPr>
          <w:p w:rsidR="00AA5B69" w:rsidRDefault="00AA5B69">
            <w:pPr>
              <w:spacing w:after="120" w:line="220" w:lineRule="exact"/>
              <w:ind w:right="113"/>
            </w:pPr>
            <w:r>
              <w:t>Terranova y Labrador</w:t>
            </w:r>
          </w:p>
        </w:tc>
        <w:tc>
          <w:tcPr>
            <w:tcW w:w="1496" w:type="dxa"/>
            <w:shd w:val="clear" w:color="auto" w:fill="auto"/>
          </w:tcPr>
          <w:p w:rsidR="00AA5B69" w:rsidRDefault="00AA5B69">
            <w:pPr>
              <w:spacing w:after="120" w:line="220" w:lineRule="exact"/>
              <w:ind w:right="113"/>
            </w:pPr>
            <w:r>
              <w:t>Ley sobre los servicios a los niños, los jóvenes y a la familia</w:t>
            </w:r>
          </w:p>
        </w:tc>
        <w:tc>
          <w:tcPr>
            <w:tcW w:w="4377" w:type="dxa"/>
            <w:shd w:val="clear" w:color="auto" w:fill="auto"/>
          </w:tcPr>
          <w:p w:rsidR="00AA5B69" w:rsidRDefault="00AA5B69">
            <w:pPr>
              <w:spacing w:after="120" w:line="220" w:lineRule="exact"/>
              <w:ind w:right="113"/>
            </w:pPr>
            <w:r>
              <w:t>Edad de protección: hasta los 16 años.</w:t>
            </w:r>
          </w:p>
          <w:p w:rsidR="00AA5B69" w:rsidRDefault="00AA5B69">
            <w:pPr>
              <w:spacing w:after="120" w:line="220" w:lineRule="exact"/>
              <w:ind w:right="113"/>
            </w:pPr>
            <w:r>
              <w:t>Ampliación de los servicios de atención: hasta los 21 años de edad.</w:t>
            </w:r>
          </w:p>
          <w:p w:rsidR="00AA5B69" w:rsidRDefault="00AA5B69">
            <w:pPr>
              <w:spacing w:after="120" w:line="220" w:lineRule="exact"/>
              <w:ind w:right="113"/>
            </w:pPr>
            <w:r>
              <w:t>La notificación es obligatoria, y la omisión de informar de un caso de malos tratos o descuido de un niño puede dar lugar a una multa de hasta 10.000 dólares, a una pena de prisión no superior a los seis meses, o a ambas penas.</w:t>
            </w:r>
          </w:p>
        </w:tc>
      </w:tr>
      <w:tr w:rsidR="00AA5B69" w:rsidRPr="002954E0">
        <w:tblPrEx>
          <w:tblCellMar>
            <w:top w:w="0" w:type="dxa"/>
            <w:bottom w:w="0" w:type="dxa"/>
          </w:tblCellMar>
        </w:tblPrEx>
        <w:trPr>
          <w:cantSplit/>
        </w:trPr>
        <w:tc>
          <w:tcPr>
            <w:tcW w:w="1497" w:type="dxa"/>
            <w:tcBorders>
              <w:bottom w:val="nil"/>
            </w:tcBorders>
            <w:shd w:val="clear" w:color="auto" w:fill="auto"/>
          </w:tcPr>
          <w:p w:rsidR="00AA5B69" w:rsidRDefault="00AA5B69">
            <w:pPr>
              <w:spacing w:after="120" w:line="220" w:lineRule="exact"/>
              <w:ind w:right="113"/>
            </w:pPr>
            <w:r>
              <w:t>Yukón</w:t>
            </w:r>
          </w:p>
        </w:tc>
        <w:tc>
          <w:tcPr>
            <w:tcW w:w="1496" w:type="dxa"/>
            <w:tcBorders>
              <w:bottom w:val="nil"/>
            </w:tcBorders>
            <w:shd w:val="clear" w:color="auto" w:fill="auto"/>
          </w:tcPr>
          <w:p w:rsidR="00AA5B69" w:rsidRDefault="00AA5B69">
            <w:pPr>
              <w:spacing w:after="120" w:line="220" w:lineRule="exact"/>
              <w:ind w:right="113"/>
            </w:pPr>
            <w:r>
              <w:t>Ley de la infancia</w:t>
            </w:r>
          </w:p>
        </w:tc>
        <w:tc>
          <w:tcPr>
            <w:tcW w:w="4377" w:type="dxa"/>
            <w:tcBorders>
              <w:bottom w:val="nil"/>
            </w:tcBorders>
            <w:shd w:val="clear" w:color="auto" w:fill="auto"/>
          </w:tcPr>
          <w:p w:rsidR="00AA5B69" w:rsidRDefault="00AA5B69">
            <w:pPr>
              <w:spacing w:after="120" w:line="220" w:lineRule="exact"/>
              <w:ind w:right="113"/>
            </w:pPr>
            <w:r>
              <w:t>Edad de protección: hasta los 18 años.</w:t>
            </w:r>
          </w:p>
          <w:p w:rsidR="00AA5B69" w:rsidRDefault="00AA5B69">
            <w:pPr>
              <w:spacing w:after="120" w:line="220" w:lineRule="exact"/>
              <w:ind w:right="113"/>
            </w:pPr>
            <w:r>
              <w:t>Ampliación de los servicios de atención: hasta los 19 años de edad.</w:t>
            </w:r>
          </w:p>
          <w:p w:rsidR="00AA5B69" w:rsidRDefault="00AA5B69">
            <w:pPr>
              <w:spacing w:after="120" w:line="220" w:lineRule="exact"/>
              <w:ind w:right="113"/>
            </w:pPr>
            <w:r>
              <w:t>La presentación de información falsa o malintencionada puede dar lugar a la imposición de una multa de hasta 5.000 dólares, de una pena de hasta seis meses de prisión, o a ambas penas.</w:t>
            </w:r>
          </w:p>
        </w:tc>
      </w:tr>
      <w:tr w:rsidR="00AA5B69" w:rsidRPr="002954E0">
        <w:tblPrEx>
          <w:tblCellMar>
            <w:top w:w="0" w:type="dxa"/>
            <w:bottom w:w="0" w:type="dxa"/>
          </w:tblCellMar>
        </w:tblPrEx>
        <w:trPr>
          <w:cantSplit/>
        </w:trPr>
        <w:tc>
          <w:tcPr>
            <w:tcW w:w="1497" w:type="dxa"/>
            <w:tcBorders>
              <w:top w:val="nil"/>
              <w:bottom w:val="nil"/>
            </w:tcBorders>
            <w:shd w:val="clear" w:color="auto" w:fill="auto"/>
          </w:tcPr>
          <w:p w:rsidR="00AA5B69" w:rsidRDefault="00AA5B69">
            <w:pPr>
              <w:spacing w:after="120" w:line="220" w:lineRule="exact"/>
              <w:ind w:right="113"/>
            </w:pPr>
            <w:r>
              <w:t>Territorios del Noroeste</w:t>
            </w:r>
          </w:p>
        </w:tc>
        <w:tc>
          <w:tcPr>
            <w:tcW w:w="1496" w:type="dxa"/>
            <w:tcBorders>
              <w:top w:val="nil"/>
              <w:bottom w:val="nil"/>
            </w:tcBorders>
            <w:shd w:val="clear" w:color="auto" w:fill="auto"/>
          </w:tcPr>
          <w:p w:rsidR="00AA5B69" w:rsidRDefault="00AA5B69">
            <w:pPr>
              <w:spacing w:after="120" w:line="220" w:lineRule="exact"/>
              <w:ind w:right="113"/>
            </w:pPr>
            <w:r>
              <w:t>Ley de servicios para el niño y la familia</w:t>
            </w:r>
          </w:p>
        </w:tc>
        <w:tc>
          <w:tcPr>
            <w:tcW w:w="4377" w:type="dxa"/>
            <w:tcBorders>
              <w:top w:val="nil"/>
              <w:bottom w:val="nil"/>
            </w:tcBorders>
            <w:shd w:val="clear" w:color="auto" w:fill="auto"/>
          </w:tcPr>
          <w:p w:rsidR="00AA5B69" w:rsidRDefault="00AA5B69">
            <w:pPr>
              <w:spacing w:after="120" w:line="220" w:lineRule="exact"/>
              <w:ind w:right="113"/>
            </w:pPr>
            <w:r>
              <w:t>Edad de protección: hasta los 16 años.</w:t>
            </w:r>
          </w:p>
          <w:p w:rsidR="00AA5B69" w:rsidRDefault="00AA5B69">
            <w:pPr>
              <w:spacing w:after="120" w:line="220" w:lineRule="exact"/>
              <w:ind w:right="113"/>
            </w:pPr>
            <w:r>
              <w:t>Ampliación de los servicios de atención: hasta los 19 años de edad.</w:t>
            </w:r>
          </w:p>
          <w:p w:rsidR="00AA5B69" w:rsidRDefault="00AA5B69">
            <w:pPr>
              <w:spacing w:after="120" w:line="220" w:lineRule="exact"/>
              <w:ind w:right="113"/>
            </w:pPr>
            <w:r>
              <w:t>Una persona que no informe puede ser sancionada, en juicio sumario, con multa no superior a los 5.000 dólares, con prisión de hasta seis meses, o con ambas penas.</w:t>
            </w:r>
          </w:p>
        </w:tc>
      </w:tr>
      <w:tr w:rsidR="00AA5B69" w:rsidRPr="002954E0">
        <w:tblPrEx>
          <w:tblCellMar>
            <w:top w:w="0" w:type="dxa"/>
            <w:bottom w:w="0" w:type="dxa"/>
          </w:tblCellMar>
        </w:tblPrEx>
        <w:trPr>
          <w:cantSplit/>
        </w:trPr>
        <w:tc>
          <w:tcPr>
            <w:tcW w:w="1497" w:type="dxa"/>
            <w:tcBorders>
              <w:top w:val="nil"/>
            </w:tcBorders>
            <w:shd w:val="clear" w:color="auto" w:fill="auto"/>
          </w:tcPr>
          <w:p w:rsidR="00AA5B69" w:rsidRDefault="00AA5B69">
            <w:pPr>
              <w:spacing w:after="120" w:line="220" w:lineRule="exact"/>
              <w:ind w:right="113"/>
            </w:pPr>
            <w:r>
              <w:t>Nunavut</w:t>
            </w:r>
          </w:p>
        </w:tc>
        <w:tc>
          <w:tcPr>
            <w:tcW w:w="1496" w:type="dxa"/>
            <w:tcBorders>
              <w:top w:val="nil"/>
            </w:tcBorders>
            <w:shd w:val="clear" w:color="auto" w:fill="auto"/>
          </w:tcPr>
          <w:p w:rsidR="00AA5B69" w:rsidRDefault="00AA5B69">
            <w:pPr>
              <w:spacing w:after="120" w:line="220" w:lineRule="exact"/>
              <w:ind w:right="113"/>
            </w:pPr>
            <w:r>
              <w:t>Ley de servicios para el niño y la familia</w:t>
            </w:r>
          </w:p>
        </w:tc>
        <w:tc>
          <w:tcPr>
            <w:tcW w:w="4377" w:type="dxa"/>
            <w:tcBorders>
              <w:top w:val="nil"/>
            </w:tcBorders>
            <w:shd w:val="clear" w:color="auto" w:fill="auto"/>
          </w:tcPr>
          <w:p w:rsidR="00AA5B69" w:rsidRDefault="00AA5B69">
            <w:pPr>
              <w:spacing w:after="120" w:line="220" w:lineRule="exact"/>
              <w:ind w:right="113"/>
            </w:pPr>
            <w:r>
              <w:t>Edad de protección: hasta los 16 años.</w:t>
            </w:r>
          </w:p>
          <w:p w:rsidR="00AA5B69" w:rsidRDefault="00AA5B69">
            <w:pPr>
              <w:spacing w:after="120" w:line="220" w:lineRule="exact"/>
              <w:ind w:right="113"/>
            </w:pPr>
            <w:r>
              <w:t>Ampliación de los servicios de atención: hasta los 19 años de edad.</w:t>
            </w:r>
          </w:p>
          <w:p w:rsidR="00AA5B69" w:rsidRDefault="00AA5B69">
            <w:pPr>
              <w:spacing w:after="120" w:line="220" w:lineRule="exact"/>
              <w:ind w:right="113"/>
            </w:pPr>
            <w:r>
              <w:t>Una persona que no informe puede ser sancionada, en juicio sumario, con multa no superior a los 5.000 dólares, con prisión de hasta seis meses, o con ambas penas.</w:t>
            </w:r>
          </w:p>
        </w:tc>
      </w:tr>
    </w:tbl>
    <w:p w:rsidR="00AA5B69" w:rsidRDefault="00AA5B69">
      <w:pPr>
        <w:pStyle w:val="H1G"/>
      </w:pPr>
      <w:r>
        <w:tab/>
      </w:r>
      <w:r>
        <w:tab/>
        <w:t>Medidas administrativas</w:t>
      </w:r>
    </w:p>
    <w:p w:rsidR="00AA5B69" w:rsidRDefault="00AA5B69">
      <w:pPr>
        <w:spacing w:after="120"/>
        <w:ind w:left="1134" w:right="1134"/>
        <w:jc w:val="both"/>
      </w:pPr>
      <w:r>
        <w:t>40.</w:t>
      </w:r>
      <w:r>
        <w:tab/>
        <w:t>El Sistema de alerta nacional es una medida adoptada por el Gobierno del Canadá para reducir al mínimo la amenaza que suponen los delincuentes que manifiestan una tendencia demostrada a cometer delitos violentos o sexuales. El objetivo es identificar a los delincuentes susceptibles de ser declarados delincuentes peligrosos o sometidos a un control prolongado. Según la legislación canadiense, tras una condena por lesiones graves, la fiscalía puede solicitar que se declare al infractor como delincuente peligroso. Si se acepta la petición, la persona es designada como delincuente peligroso para toda su vida, lo que puede representar una sentencia de duración indeterminada. Por otra parte, se puede someter a un delincuente peligroso, o a una persona que entrañe un alto riesgo, a un control a largo plazo, lo que significa que, tras una pena de prisión, se le aplica un período de vigilancia comunitaria de hasta diez años de duración. Al "marcar" a esas personas en el sistema de identificación nacional de la policía, los policías y los fiscales pueden saber que se trata de delincuentes que presentan un alto riesgo o son violentos o agresores sexuales, y se debe considerar la posibilidad de solicitar su designación como delincuentes peligrosos o sometidos a un control prolongado en los procesos subsiguientes, a efectos de dictar sentencia.</w:t>
      </w:r>
    </w:p>
    <w:p w:rsidR="00AA5B69" w:rsidRDefault="00AA5B69">
      <w:pPr>
        <w:spacing w:after="120"/>
        <w:ind w:left="1134" w:right="1134"/>
        <w:jc w:val="both"/>
      </w:pPr>
      <w:r>
        <w:t>41.</w:t>
      </w:r>
      <w:r>
        <w:tab/>
        <w:t xml:space="preserve">En 2008, el Canadá modificó las disposiciones relativas a los delincuentes peligrosos, a fin de permitir que un tribunal pueda reconsiderar la posibilidad de imponer una sentencia de prisión de duración indeterminada a un delincuente peligroso declarado, en caso de que infrinja alguna condición impuesta en una orden de vigilancia a largo plazo cuando ya está en libertad en </w:t>
      </w:r>
      <w:smartTag w:uri="urn:schemas-microsoft-com:office:smarttags" w:element="PersonName">
        <w:smartTagPr>
          <w:attr w:name="ProductID" w:val="la comunidad. En"/>
        </w:smartTagPr>
        <w:r>
          <w:t>la comunidad. En</w:t>
        </w:r>
      </w:smartTag>
      <w:r>
        <w:t xml:space="preserve"> las audiencias pertinentes, recae en el delincuente la carga de demostrar que ya no representa una amenaza para la seguridad pública de la comunidad.</w:t>
      </w:r>
    </w:p>
    <w:p w:rsidR="00AA5B69" w:rsidRDefault="00AA5B69">
      <w:pPr>
        <w:spacing w:after="120"/>
        <w:ind w:left="1134" w:right="1134"/>
        <w:jc w:val="both"/>
      </w:pPr>
      <w:r>
        <w:t>42.</w:t>
      </w:r>
      <w:r>
        <w:tab/>
        <w:t>El Canadá cuenta asimismo con un Registro nacional de delincuentes sexuales, concebido para ayudar a la policía en la investigación de los delitos sexuales, ya que permite acceder a una amplia base de datos de delincuentes condenados por ese tipo de delitos. El tribunal puede ordenar a toda persona declarada culpable de un delito de carácter sexual, entre los que figuran los cometidos contra niños, que cumpla los requisitos de registro de la legislación federal durante un período determinado, que puede oscilar entre los diez años y toda la vida, lo que incluye registrarse en la policía local en un plazo de 15 días tras su puesta en libertad, una vez al año, y cada vez que cambia de domicilio. El acceso a ese registro está limitado a los policías canadienses que participen en una investigación en curso sobre un delito de carácter sexual. En enero de 2007, había más de 14.300 delincuentes inscritos en el Registro de delincuentes sexuales.</w:t>
      </w:r>
    </w:p>
    <w:p w:rsidR="00AA5B69" w:rsidRDefault="00AA5B69">
      <w:pPr>
        <w:spacing w:after="120"/>
        <w:ind w:left="1134" w:right="1134"/>
        <w:jc w:val="both"/>
      </w:pPr>
      <w:r>
        <w:t>43.</w:t>
      </w:r>
      <w:r>
        <w:tab/>
        <w:t>Algunos territorios y provincias han adoptado protocolos de notificación con objeto de informar al público sobre la presencia de delincuentes de alto riesgo. La mayoría de provincias y territorios han formalizado los mecanismos de notificación al público mediante la creación de comités consultivos y procedimientos de divulgación a la comunidad de la información sobre esos delincuentes. Los criterios que deben cumplirse antes de la notificación pública, así como la definición de "delincuente de alto riesgo" varían en los distintos territorios y provincias. Algunos protocolos provinciales y territoriales hacen referencia a los delincuentes sexuales, mientras que otros incluyen a todos los autores de delitos violentos graves.</w:t>
      </w:r>
    </w:p>
    <w:p w:rsidR="00AA5B69" w:rsidRDefault="00AA5B69">
      <w:pPr>
        <w:spacing w:after="120"/>
        <w:ind w:left="1134" w:right="1134"/>
        <w:jc w:val="both"/>
      </w:pPr>
      <w:r>
        <w:t>44.</w:t>
      </w:r>
      <w:r>
        <w:tab/>
        <w:t>En muchos territorios y provincias se exige la verificación de los antecedentes penales de los educadores y de los voluntarios que trabajan con niños.</w:t>
      </w:r>
    </w:p>
    <w:p w:rsidR="00AA5B69" w:rsidRDefault="00AA5B69">
      <w:pPr>
        <w:spacing w:after="120"/>
        <w:ind w:left="1134" w:right="1134"/>
        <w:jc w:val="both"/>
      </w:pPr>
      <w:r>
        <w:t>45.</w:t>
      </w:r>
      <w:r>
        <w:tab/>
        <w:t>En Quebec, por ejemplo, las disposiciones legislativas sobre la verificación de antecedentes penales en la red educativa entraron en vigor en 2006. Mediante diversas enmiendas a la Ley de educación y la Ley sobre la enseñanza privada, se otorgaron al Ministro algunas facultades discrecionales, como la de negarse a expedir o renovar la autorización para impartir enseñanza a aquellas personas declaradas culpables de delitos penales relacionados con la profesión docente, si no han sido indultados; en esos casos el Ministro puede suspender o revocar el permiso. Desde la aplicación de las disposiciones legislativas sobre la verificación de los antecedentes penales, toda persona que solicite una autorización para impartir enseñanza, o su renovación, debe adjuntar en su solicitud un certificado de antecedentes penales. Además, se ha establecido un proceso uniforme para la verificación de los antecedentes penales de las personas afectadas por estas disposiciones.</w:t>
      </w:r>
    </w:p>
    <w:p w:rsidR="00AA5B69" w:rsidRDefault="00AA5B69">
      <w:pPr>
        <w:spacing w:after="120"/>
        <w:ind w:left="1134" w:right="1134"/>
        <w:jc w:val="both"/>
      </w:pPr>
      <w:r>
        <w:t>46.</w:t>
      </w:r>
      <w:r>
        <w:tab/>
        <w:t>El gobierno de Manitoba dispone de un Registro sobre el maltrato de niños que permite conocer, en determinadas circunstancias, el nombre de las personas que han cometido malos tratos contra algún niño. Véase más información en http://www.gov.mb.ca/ fs/childfam/child_abuse_registry.html.</w:t>
      </w:r>
    </w:p>
    <w:p w:rsidR="00AA5B69" w:rsidRDefault="00AA5B69">
      <w:pPr>
        <w:spacing w:after="120"/>
        <w:ind w:left="1134" w:right="1134"/>
        <w:jc w:val="both"/>
      </w:pPr>
      <w:r>
        <w:t>47.</w:t>
      </w:r>
      <w:r>
        <w:tab/>
        <w:t>Entre otras iniciativas concretas relacionadas con la explotación sexual de los niños figura la creación, en 2003, del Centro nacional de coordinación contra la explotación de niños, cuya función es actuar como portal y centro de coordinación de toda la información recibida a nivel internacional sobre la explotación sexual de niños en Internet. El Centro tiene asimismo el mandato de:</w:t>
      </w:r>
    </w:p>
    <w:p w:rsidR="00AA5B69" w:rsidRDefault="00AA5B69">
      <w:pPr>
        <w:pStyle w:val="Bullet1G"/>
      </w:pPr>
      <w:r>
        <w:t>Crear dos bases de datos que facilitarán las investigaciones de los servicios policiales;</w:t>
      </w:r>
    </w:p>
    <w:p w:rsidR="00AA5B69" w:rsidRDefault="00AA5B69">
      <w:pPr>
        <w:pStyle w:val="Bullet1G"/>
      </w:pPr>
      <w:r>
        <w:t>Establecer las normas nacionales en materia de formación y de funcionamiento, con objeto de asegurar la uniformidad en las investigaciones;</w:t>
      </w:r>
    </w:p>
    <w:p w:rsidR="00AA5B69" w:rsidRDefault="00AA5B69">
      <w:pPr>
        <w:pStyle w:val="Bullet1G"/>
      </w:pPr>
      <w:r>
        <w:t>Coordinar las operaciones internacionales de gran alcance sobre la utilización de imágenes sexuales de niños en Internet;</w:t>
      </w:r>
    </w:p>
    <w:p w:rsidR="00AA5B69" w:rsidRDefault="00AA5B69">
      <w:pPr>
        <w:pStyle w:val="Bullet1G"/>
      </w:pPr>
      <w:r>
        <w:t>Establecer asociaciones con el sector privado y con organizaciones no gubernamentales.</w:t>
      </w:r>
    </w:p>
    <w:p w:rsidR="00AA5B69" w:rsidRDefault="00AA5B69">
      <w:pPr>
        <w:spacing w:after="120"/>
        <w:ind w:left="1134" w:right="1134"/>
        <w:jc w:val="both"/>
      </w:pPr>
      <w:r>
        <w:t>48.</w:t>
      </w:r>
      <w:r>
        <w:tab/>
        <w:t>El Canadá se ha comprometido a aplicar íntegramente la política de la Organización del Tratado del Atlántico Norte (OTAN) para combatir la trata de seres humanos (adoptada por los Jefes de Estado y de Gobierno de la OTAN en la Cumbre de Estambul, celebrada en junio de 2004). Esta política incluye el compromiso de prohibir a las fuerzas y al personal civil desplegado bajo el mando de la OTAN la participación en actividades de trata de seres humanos o su facilitación. Establece asimismo que el personal bajo el mandato de la OTAN, apoyará, en el marco de sus competencias y su mandato, los esfuerzos desplegados por las autoridades responsables del país anfitrión para combatir la trata de personas. Se están tomando medidas para dotar de los conocimientos, valores y aptitudes necesarios a todos los miembros de las Fuerzas Canadienses y a los contratistas civiles que intervienen en misiones internacionales.</w:t>
      </w:r>
    </w:p>
    <w:p w:rsidR="00AA5B69" w:rsidRDefault="00AA5B69">
      <w:pPr>
        <w:spacing w:after="120"/>
        <w:ind w:left="1134" w:right="1134"/>
        <w:jc w:val="both"/>
      </w:pPr>
      <w:r>
        <w:t>49.</w:t>
      </w:r>
      <w:r>
        <w:tab/>
        <w:t xml:space="preserve">Con respecto a la venta de niños, los funcionarios responsables del control fronterizo y de los visados verifican la relación de los niños con sus progenitores o tutores cuando viajan. Dicha verificación se efectúa mediante el examen de la documentación antes de expedir los visados y cuando los niños atraviesan la frontera canadiense en el puesto fronterizo. Se utilizan, por ejemplo, los certificados de nacimiento y otros documentos locales que acreditan </w:t>
      </w:r>
      <w:smartTag w:uri="urn:schemas-microsoft-com:office:smarttags" w:element="PersonName">
        <w:smartTagPr>
          <w:attr w:name="ProductID" w:val="la relaci￳n. En"/>
        </w:smartTagPr>
        <w:r>
          <w:t>la relación. En</w:t>
        </w:r>
      </w:smartTag>
      <w:r>
        <w:t xml:space="preserve"> muchos casos se realizan entrevistas personales que ayudan a determinar </w:t>
      </w:r>
      <w:smartTag w:uri="urn:schemas-microsoft-com:office:smarttags" w:element="PersonName">
        <w:smartTagPr>
          <w:attr w:name="ProductID" w:val="la relaci￳n. Adem￡s"/>
        </w:smartTagPr>
        <w:r>
          <w:t>la relación. Además</w:t>
        </w:r>
      </w:smartTag>
      <w:r>
        <w:t>, en las solicitudes de residencia permanente en el Canadá, cuando no se dispone de información fiable para comprobar la relación con los niños, los funcionarios pueden solicitar un análisis del ADN que permita verificar la relación existente. Cuando los niños viajan con solo uno de los progenitores puede ser necesario aportar los documentos que acrediten el derecho de la guarda o una autorización de ambos progenitores. Además, los funcionarios responsables pueden acceder a varias bases de datos informatizadas en las que figura la información aportada por otros organismos policiales, con objeto de transmitirles cualquier motivo de preocupación.</w:t>
      </w:r>
    </w:p>
    <w:p w:rsidR="00AA5B69" w:rsidRDefault="00AA5B69">
      <w:pPr>
        <w:spacing w:after="120"/>
        <w:ind w:left="1134" w:right="1134"/>
        <w:jc w:val="both"/>
      </w:pPr>
      <w:r>
        <w:t>50.</w:t>
      </w:r>
      <w:r>
        <w:tab/>
        <w:t>El Canadá dispone de un programa nacional para la recuperación de niños desaparecidos, secuestrados o introducidos clandestinamente. El programa "Nuestros niños desaparecidos" (Our Missing Children) se basa en una asociación entre varios ministerios federales, en cooperación con sus homólogos a nivel provincial y territorial, organismos de los Estados Unidos, y fuerzas policiales de más de 40 países. Esos organismos intercambian información y se ayudan mutuamente en la tarea de encontrar a los niños desaparecidos y de reunirlos con sus progenitores o sus tutores legales.</w:t>
      </w:r>
    </w:p>
    <w:p w:rsidR="00AA5B69" w:rsidRDefault="00AA5B69">
      <w:pPr>
        <w:spacing w:after="120"/>
        <w:ind w:left="1134" w:right="1134"/>
        <w:jc w:val="both"/>
      </w:pPr>
      <w:r>
        <w:t>51.</w:t>
      </w:r>
      <w:r>
        <w:tab/>
        <w:t xml:space="preserve">Desde la creación del programa "Nuestros niños desaparecidos" en 1986, el Gobierno del Canadá ha recuperado a más de 1.500 niños, que se reunieron con sus familias o sus tutores legales. En noviembre de 1999, el programa recibió el </w:t>
      </w:r>
      <w:r>
        <w:rPr>
          <w:i/>
        </w:rPr>
        <w:t>Webber Seavey Award for Quality in Law Enforcement</w:t>
      </w:r>
      <w:r>
        <w:t xml:space="preserve">, un premio patrocinado conjuntamente por </w:t>
      </w:r>
      <w:smartTag w:uri="urn:schemas-microsoft-com:office:smarttags" w:element="PersonName">
        <w:smartTagPr>
          <w:attr w:name="ProductID" w:val="la Asociaci￳n Internacional"/>
        </w:smartTagPr>
        <w:r>
          <w:t>la Asociación Internacional</w:t>
        </w:r>
      </w:smartTag>
      <w:r>
        <w:t xml:space="preserve"> de Jefes de Policía y Motorola, que se otorga anualmente a organismos de todo el mundo en reconocimiento de la promoción de un nivel de excelencia en el compromiso y el papel desempeñado por la policía en la calidad de vida de las comunidades locales.</w:t>
      </w:r>
    </w:p>
    <w:p w:rsidR="00AA5B69" w:rsidRDefault="00AA5B69">
      <w:pPr>
        <w:pStyle w:val="H1G"/>
      </w:pPr>
      <w:r>
        <w:tab/>
      </w:r>
      <w:r>
        <w:tab/>
        <w:t>Responsabilidades jurisdiccionales</w:t>
      </w:r>
    </w:p>
    <w:p w:rsidR="00AA5B69" w:rsidRDefault="00AA5B69">
      <w:pPr>
        <w:spacing w:after="120"/>
        <w:ind w:left="1134" w:right="1134"/>
        <w:jc w:val="both"/>
      </w:pPr>
      <w:r>
        <w:t>52.</w:t>
      </w:r>
      <w:r>
        <w:tab/>
        <w:t>El Canadá es un Estado federal cuyas competencias legislativas están repartidas entre el Parlamento federal y las cámaras legislativas provinciales y territoriales. Los ministerios responsables de las cuestiones abarcadas en el Protocolo varían en los diferentes gobiernos.</w:t>
      </w:r>
    </w:p>
    <w:p w:rsidR="00AA5B69" w:rsidRDefault="00AA5B69">
      <w:pPr>
        <w:spacing w:after="120"/>
        <w:ind w:left="1134" w:right="1134"/>
        <w:jc w:val="both"/>
      </w:pPr>
      <w:r>
        <w:t>53.</w:t>
      </w:r>
      <w:r>
        <w:tab/>
        <w:t>En las reservas de las Primeras Naciones, los organismos de los Servicios para el niño y la familia de las Primeras Naciones garantizan la seguridad y el bienestar de los niños de las Primeras Naciones, y promueven un ambiente familiar más seguro y estable para los niños, mediante el apoyo a servicios de prevención y protección culturalmente adecuados para los niños y las familias de las Primeras Naciones, de conformidad con la legislación y las normas de la provincia o el territorio de residencia.</w:t>
      </w:r>
    </w:p>
    <w:p w:rsidR="00AA5B69" w:rsidRDefault="00AA5B69">
      <w:pPr>
        <w:spacing w:after="240"/>
        <w:ind w:left="1134" w:right="1134"/>
        <w:jc w:val="both"/>
      </w:pPr>
      <w:r>
        <w:t>54.</w:t>
      </w:r>
      <w:r>
        <w:tab/>
        <w:t>En el cuadro que figura a continuación se ofrece información sobre los organismos gubernamentales responsables de hacer efectivas las disposiciones del Protocolo, y sobre los mecanismos internos de coordinación.</w:t>
      </w:r>
    </w:p>
    <w:tbl>
      <w:tblPr>
        <w:tblW w:w="7370" w:type="dxa"/>
        <w:tblInd w:w="1134" w:type="dxa"/>
        <w:tblBorders>
          <w:top w:val="single" w:sz="4" w:space="0" w:color="auto"/>
          <w:bottom w:val="single" w:sz="12" w:space="0" w:color="auto"/>
        </w:tblBorders>
        <w:tblLayout w:type="fixed"/>
        <w:tblCellMar>
          <w:left w:w="0" w:type="dxa"/>
          <w:right w:w="0" w:type="dxa"/>
        </w:tblCellMar>
        <w:tblLook w:val="00BF"/>
      </w:tblPr>
      <w:tblGrid>
        <w:gridCol w:w="1366"/>
        <w:gridCol w:w="4257"/>
        <w:gridCol w:w="1747"/>
      </w:tblGrid>
      <w:tr w:rsidR="00AA5B69" w:rsidRPr="002954E0">
        <w:trPr>
          <w:cantSplit/>
          <w:tblHeader/>
        </w:trPr>
        <w:tc>
          <w:tcPr>
            <w:tcW w:w="1366" w:type="dxa"/>
            <w:tcBorders>
              <w:top w:val="single" w:sz="4" w:space="0" w:color="auto"/>
              <w:bottom w:val="single" w:sz="12" w:space="0" w:color="auto"/>
            </w:tcBorders>
            <w:shd w:val="clear" w:color="auto" w:fill="auto"/>
            <w:vAlign w:val="bottom"/>
          </w:tcPr>
          <w:p w:rsidR="00AA5B69" w:rsidRPr="002954E0" w:rsidRDefault="00AA5B69">
            <w:pPr>
              <w:keepNext/>
              <w:keepLines/>
              <w:spacing w:before="80" w:after="80" w:line="200" w:lineRule="exact"/>
              <w:rPr>
                <w:i/>
                <w:sz w:val="16"/>
                <w:szCs w:val="16"/>
              </w:rPr>
            </w:pPr>
            <w:r w:rsidRPr="002954E0">
              <w:rPr>
                <w:i/>
                <w:sz w:val="16"/>
                <w:szCs w:val="16"/>
              </w:rPr>
              <w:t>Gobierno</w:t>
            </w:r>
          </w:p>
        </w:tc>
        <w:tc>
          <w:tcPr>
            <w:tcW w:w="4257" w:type="dxa"/>
            <w:tcBorders>
              <w:top w:val="single" w:sz="4" w:space="0" w:color="auto"/>
              <w:bottom w:val="single" w:sz="12" w:space="0" w:color="auto"/>
            </w:tcBorders>
            <w:shd w:val="clear" w:color="auto" w:fill="auto"/>
            <w:vAlign w:val="bottom"/>
          </w:tcPr>
          <w:p w:rsidR="00AA5B69" w:rsidRPr="002954E0" w:rsidRDefault="00AA5B69">
            <w:pPr>
              <w:keepNext/>
              <w:keepLines/>
              <w:spacing w:before="80" w:after="80" w:line="200" w:lineRule="exact"/>
              <w:ind w:right="113"/>
              <w:rPr>
                <w:i/>
                <w:sz w:val="16"/>
                <w:szCs w:val="16"/>
              </w:rPr>
            </w:pPr>
            <w:r w:rsidRPr="002954E0">
              <w:rPr>
                <w:i/>
                <w:sz w:val="16"/>
                <w:szCs w:val="16"/>
              </w:rPr>
              <w:t>Ministerio</w:t>
            </w:r>
          </w:p>
        </w:tc>
        <w:tc>
          <w:tcPr>
            <w:tcW w:w="1747" w:type="dxa"/>
            <w:tcBorders>
              <w:top w:val="single" w:sz="4" w:space="0" w:color="auto"/>
              <w:bottom w:val="single" w:sz="12" w:space="0" w:color="auto"/>
            </w:tcBorders>
            <w:shd w:val="clear" w:color="auto" w:fill="auto"/>
            <w:vAlign w:val="bottom"/>
          </w:tcPr>
          <w:p w:rsidR="00AA5B69" w:rsidRPr="002954E0" w:rsidRDefault="00AA5B69">
            <w:pPr>
              <w:keepNext/>
              <w:keepLines/>
              <w:spacing w:before="80" w:after="80" w:line="200" w:lineRule="exact"/>
              <w:ind w:right="113"/>
              <w:rPr>
                <w:i/>
                <w:sz w:val="16"/>
                <w:szCs w:val="16"/>
              </w:rPr>
            </w:pPr>
            <w:r w:rsidRPr="002954E0">
              <w:rPr>
                <w:i/>
                <w:sz w:val="16"/>
                <w:szCs w:val="16"/>
              </w:rPr>
              <w:t>Coordinación</w:t>
            </w:r>
          </w:p>
        </w:tc>
      </w:tr>
      <w:tr w:rsidR="00AA5B69" w:rsidRPr="002954E0">
        <w:trPr>
          <w:cantSplit/>
          <w:trHeight w:hRule="exact" w:val="113"/>
          <w:tblHeader/>
        </w:trPr>
        <w:tc>
          <w:tcPr>
            <w:tcW w:w="1366" w:type="dxa"/>
            <w:tcBorders>
              <w:top w:val="single" w:sz="12" w:space="0" w:color="auto"/>
              <w:bottom w:val="nil"/>
            </w:tcBorders>
            <w:shd w:val="clear" w:color="auto" w:fill="auto"/>
          </w:tcPr>
          <w:p w:rsidR="00AA5B69" w:rsidRPr="002954E0" w:rsidRDefault="00AA5B69">
            <w:pPr>
              <w:keepNext/>
              <w:keepLines/>
              <w:spacing w:before="40" w:after="120" w:line="220" w:lineRule="exact"/>
              <w:ind w:right="113"/>
            </w:pPr>
          </w:p>
        </w:tc>
        <w:tc>
          <w:tcPr>
            <w:tcW w:w="4257" w:type="dxa"/>
            <w:tcBorders>
              <w:top w:val="single" w:sz="12" w:space="0" w:color="auto"/>
              <w:bottom w:val="nil"/>
            </w:tcBorders>
            <w:shd w:val="clear" w:color="auto" w:fill="auto"/>
          </w:tcPr>
          <w:p w:rsidR="00AA5B69" w:rsidRPr="002954E0" w:rsidRDefault="00AA5B69">
            <w:pPr>
              <w:keepNext/>
              <w:keepLines/>
              <w:spacing w:before="40" w:after="120" w:line="220" w:lineRule="exact"/>
              <w:ind w:right="113"/>
            </w:pPr>
          </w:p>
        </w:tc>
        <w:tc>
          <w:tcPr>
            <w:tcW w:w="1747" w:type="dxa"/>
            <w:tcBorders>
              <w:top w:val="single" w:sz="12" w:space="0" w:color="auto"/>
              <w:bottom w:val="nil"/>
            </w:tcBorders>
            <w:shd w:val="clear" w:color="auto" w:fill="auto"/>
          </w:tcPr>
          <w:p w:rsidR="00AA5B69" w:rsidRPr="002954E0" w:rsidRDefault="00AA5B69">
            <w:pPr>
              <w:keepNext/>
              <w:keepLines/>
              <w:spacing w:before="40" w:after="120" w:line="220" w:lineRule="exact"/>
              <w:ind w:right="113"/>
            </w:pPr>
          </w:p>
        </w:tc>
      </w:tr>
      <w:tr w:rsidR="00AA5B69" w:rsidRPr="002954E0">
        <w:trPr>
          <w:cantSplit/>
        </w:trPr>
        <w:tc>
          <w:tcPr>
            <w:tcW w:w="1366" w:type="dxa"/>
            <w:tcBorders>
              <w:top w:val="nil"/>
              <w:bottom w:val="nil"/>
            </w:tcBorders>
            <w:shd w:val="clear" w:color="auto" w:fill="auto"/>
          </w:tcPr>
          <w:p w:rsidR="00AA5B69" w:rsidRPr="002954E0" w:rsidRDefault="00AA5B69">
            <w:pPr>
              <w:keepNext/>
              <w:keepLines/>
              <w:spacing w:before="40" w:after="120"/>
              <w:ind w:right="113"/>
            </w:pPr>
            <w:r w:rsidRPr="002954E0">
              <w:t>Gobierno federal</w:t>
            </w:r>
          </w:p>
        </w:tc>
        <w:tc>
          <w:tcPr>
            <w:tcW w:w="4257" w:type="dxa"/>
            <w:tcBorders>
              <w:top w:val="nil"/>
              <w:bottom w:val="nil"/>
            </w:tcBorders>
            <w:shd w:val="clear" w:color="auto" w:fill="auto"/>
          </w:tcPr>
          <w:p w:rsidR="00AA5B69" w:rsidRPr="002954E0" w:rsidRDefault="00AA5B69">
            <w:pPr>
              <w:keepNext/>
              <w:keepLines/>
              <w:spacing w:before="40" w:after="120"/>
              <w:ind w:right="113"/>
            </w:pPr>
            <w:r w:rsidRPr="002954E0">
              <w:t>Ministerio de Justicia, Ministerio de Seguridad Pública, Real Policía Montada del Canadá, Agencia de Servicios de Fronteras del Canadá, De</w:t>
            </w:r>
            <w:r>
              <w:t>part</w:t>
            </w:r>
            <w:r w:rsidRPr="002954E0">
              <w:t xml:space="preserve">amento de Ciudadanía e Inmigración del Canadá, Oficina de la </w:t>
            </w:r>
            <w:r>
              <w:t xml:space="preserve">Mujer del Canadá, </w:t>
            </w:r>
            <w:r>
              <w:rPr>
                <w:bCs/>
              </w:rPr>
              <w:t>Ministerio de Recursos Humanos y Desarrollo de Competencias</w:t>
            </w:r>
            <w:r>
              <w:t>, Ministerio de Asuntos Indígenas y del Norte del Canadá, Agencia de Salud Pública del Canadá, Ministerio de Defensa</w:t>
            </w:r>
            <w:r w:rsidRPr="002954E0">
              <w:t xml:space="preserve"> Nacional, Ministerio de Asuntos Exteriores y Comercio Internacional, Agencia Canadiense de Desarrollo Internacional, Ministerio de Patrimonio Cultural, Servicio Canadiense de Investigación Criminal, Oficina del Consejo Privado, Oficina de Pasaportes, Oficina de Estadísticas del Canadá, y Ministerio Público del Canadá.</w:t>
            </w:r>
          </w:p>
        </w:tc>
        <w:tc>
          <w:tcPr>
            <w:tcW w:w="1747" w:type="dxa"/>
            <w:tcBorders>
              <w:top w:val="nil"/>
              <w:bottom w:val="nil"/>
            </w:tcBorders>
            <w:shd w:val="clear" w:color="auto" w:fill="auto"/>
          </w:tcPr>
          <w:p w:rsidR="00AA5B69" w:rsidRPr="002954E0" w:rsidRDefault="00AA5B69">
            <w:pPr>
              <w:keepNext/>
              <w:keepLines/>
              <w:spacing w:before="40" w:after="120"/>
              <w:ind w:right="113"/>
            </w:pPr>
            <w:r w:rsidRPr="002954E0">
              <w:t>Dirección conjunta a cargo del Ministerio de Seguridad Pública y el Ministerio de Justicia.</w:t>
            </w:r>
          </w:p>
        </w:tc>
      </w:tr>
      <w:tr w:rsidR="00AA5B69" w:rsidRPr="002954E0">
        <w:trPr>
          <w:cantSplit/>
        </w:trPr>
        <w:tc>
          <w:tcPr>
            <w:tcW w:w="1366" w:type="dxa"/>
            <w:tcBorders>
              <w:top w:val="nil"/>
              <w:bottom w:val="nil"/>
            </w:tcBorders>
            <w:shd w:val="clear" w:color="auto" w:fill="auto"/>
          </w:tcPr>
          <w:p w:rsidR="00AA5B69" w:rsidRPr="002954E0" w:rsidRDefault="00AA5B69">
            <w:pPr>
              <w:spacing w:before="40" w:after="120"/>
              <w:ind w:right="113"/>
            </w:pPr>
            <w:r w:rsidRPr="002954E0">
              <w:t>Columbia Británica</w:t>
            </w:r>
          </w:p>
        </w:tc>
        <w:tc>
          <w:tcPr>
            <w:tcW w:w="4257" w:type="dxa"/>
            <w:tcBorders>
              <w:top w:val="nil"/>
              <w:bottom w:val="nil"/>
            </w:tcBorders>
            <w:shd w:val="clear" w:color="auto" w:fill="auto"/>
          </w:tcPr>
          <w:p w:rsidR="00AA5B69" w:rsidRPr="002954E0" w:rsidRDefault="00AA5B69">
            <w:pPr>
              <w:spacing w:before="40" w:after="120"/>
              <w:ind w:right="113"/>
            </w:pPr>
            <w:r w:rsidRPr="002954E0">
              <w:t>Seguridad Pública y Procurador General; Desarrollo del Niño y la Familia; Salud; Educación; Fiscal General; y Relaciones Aborígenes y Reconciliación.</w:t>
            </w:r>
          </w:p>
        </w:tc>
        <w:tc>
          <w:tcPr>
            <w:tcW w:w="1747" w:type="dxa"/>
            <w:tcBorders>
              <w:top w:val="nil"/>
              <w:bottom w:val="nil"/>
            </w:tcBorders>
            <w:shd w:val="clear" w:color="auto" w:fill="auto"/>
          </w:tcPr>
          <w:p w:rsidR="00AA5B69" w:rsidRPr="002954E0" w:rsidRDefault="00AA5B69">
            <w:pPr>
              <w:spacing w:before="40" w:after="120"/>
              <w:ind w:right="113"/>
            </w:pPr>
            <w:r w:rsidRPr="002954E0">
              <w:t>Comité de viceministros adjuntos de lucha contra la prostitución y la explotación sexual de los jóvenes</w:t>
            </w:r>
          </w:p>
        </w:tc>
      </w:tr>
      <w:tr w:rsidR="00AA5B69" w:rsidRPr="002954E0">
        <w:trPr>
          <w:cantSplit/>
        </w:trPr>
        <w:tc>
          <w:tcPr>
            <w:tcW w:w="1366" w:type="dxa"/>
            <w:tcBorders>
              <w:top w:val="nil"/>
              <w:bottom w:val="nil"/>
            </w:tcBorders>
            <w:shd w:val="clear" w:color="auto" w:fill="auto"/>
          </w:tcPr>
          <w:p w:rsidR="00AA5B69" w:rsidRPr="002954E0" w:rsidRDefault="00AA5B69">
            <w:pPr>
              <w:spacing w:before="40" w:after="120"/>
              <w:ind w:right="113"/>
            </w:pPr>
            <w:r w:rsidRPr="002954E0">
              <w:t>Alberta</w:t>
            </w:r>
          </w:p>
        </w:tc>
        <w:tc>
          <w:tcPr>
            <w:tcW w:w="4257" w:type="dxa"/>
            <w:tcBorders>
              <w:top w:val="nil"/>
              <w:bottom w:val="nil"/>
            </w:tcBorders>
            <w:shd w:val="clear" w:color="auto" w:fill="auto"/>
          </w:tcPr>
          <w:p w:rsidR="00AA5B69" w:rsidRPr="002954E0" w:rsidRDefault="00AA5B69">
            <w:pPr>
              <w:spacing w:before="40" w:after="120"/>
              <w:ind w:right="113"/>
            </w:pPr>
            <w:r w:rsidRPr="002954E0">
              <w:t>Servicios para la infancia, Fiscal General, Justicia, Educación y Salud.</w:t>
            </w:r>
          </w:p>
        </w:tc>
        <w:tc>
          <w:tcPr>
            <w:tcW w:w="1747" w:type="dxa"/>
            <w:tcBorders>
              <w:top w:val="nil"/>
              <w:bottom w:val="nil"/>
            </w:tcBorders>
            <w:shd w:val="clear" w:color="auto" w:fill="auto"/>
          </w:tcPr>
          <w:p w:rsidR="00AA5B69" w:rsidRPr="002954E0" w:rsidRDefault="00AA5B69">
            <w:pPr>
              <w:spacing w:before="40" w:after="120"/>
              <w:ind w:right="113"/>
            </w:pPr>
            <w:r w:rsidRPr="002954E0">
              <w:t>Grupo de trabajo de prevención de la explotación de los niños y los jóvenes.</w:t>
            </w:r>
          </w:p>
        </w:tc>
      </w:tr>
      <w:tr w:rsidR="00AA5B69" w:rsidRPr="002954E0">
        <w:trPr>
          <w:cantSplit/>
        </w:trPr>
        <w:tc>
          <w:tcPr>
            <w:tcW w:w="1366" w:type="dxa"/>
            <w:tcBorders>
              <w:top w:val="nil"/>
              <w:bottom w:val="nil"/>
            </w:tcBorders>
            <w:shd w:val="clear" w:color="auto" w:fill="auto"/>
          </w:tcPr>
          <w:p w:rsidR="00AA5B69" w:rsidRPr="002954E0" w:rsidRDefault="00AA5B69">
            <w:pPr>
              <w:spacing w:before="40" w:after="120"/>
              <w:ind w:right="113"/>
            </w:pPr>
            <w:r w:rsidRPr="002954E0">
              <w:t>Saskatchewan</w:t>
            </w:r>
          </w:p>
        </w:tc>
        <w:tc>
          <w:tcPr>
            <w:tcW w:w="4257" w:type="dxa"/>
            <w:tcBorders>
              <w:top w:val="nil"/>
              <w:bottom w:val="nil"/>
            </w:tcBorders>
            <w:shd w:val="clear" w:color="auto" w:fill="auto"/>
          </w:tcPr>
          <w:p w:rsidR="00AA5B69" w:rsidRPr="002954E0" w:rsidRDefault="00AA5B69">
            <w:pPr>
              <w:spacing w:before="40" w:after="120"/>
              <w:ind w:right="113"/>
            </w:pPr>
            <w:r w:rsidRPr="002954E0">
              <w:t>Ministerios de: Educación, Salud, Establecimientos Penitenciarios, Seguridad Pública y Policía, Relaciones con las Primeras Naciones y los Métis, Servicios Sociales, Justicia, y Enseñanza Superior, Empleo y Trabajo</w:t>
            </w:r>
          </w:p>
        </w:tc>
        <w:tc>
          <w:tcPr>
            <w:tcW w:w="1747" w:type="dxa"/>
            <w:tcBorders>
              <w:top w:val="nil"/>
              <w:bottom w:val="nil"/>
            </w:tcBorders>
            <w:shd w:val="clear" w:color="auto" w:fill="auto"/>
          </w:tcPr>
          <w:p w:rsidR="00AA5B69" w:rsidRPr="002954E0" w:rsidRDefault="00AA5B69">
            <w:pPr>
              <w:spacing w:before="40" w:after="120"/>
              <w:ind w:right="113"/>
            </w:pPr>
            <w:r w:rsidRPr="002954E0">
              <w:t>Comité interministerial provincial copresidido por los Ministerios de Servicios Sociales y de Justicia.</w:t>
            </w:r>
          </w:p>
        </w:tc>
      </w:tr>
      <w:tr w:rsidR="00AA5B69" w:rsidRPr="002954E0">
        <w:trPr>
          <w:cantSplit/>
        </w:trPr>
        <w:tc>
          <w:tcPr>
            <w:tcW w:w="1366" w:type="dxa"/>
            <w:tcBorders>
              <w:top w:val="nil"/>
              <w:bottom w:val="nil"/>
            </w:tcBorders>
            <w:shd w:val="clear" w:color="auto" w:fill="auto"/>
          </w:tcPr>
          <w:p w:rsidR="00AA5B69" w:rsidRPr="002954E0" w:rsidRDefault="00AA5B69">
            <w:pPr>
              <w:spacing w:before="40" w:after="120"/>
              <w:ind w:right="113"/>
            </w:pPr>
            <w:r w:rsidRPr="002954E0">
              <w:t>Manitoba</w:t>
            </w:r>
          </w:p>
        </w:tc>
        <w:tc>
          <w:tcPr>
            <w:tcW w:w="4257" w:type="dxa"/>
            <w:tcBorders>
              <w:top w:val="nil"/>
              <w:bottom w:val="nil"/>
            </w:tcBorders>
            <w:shd w:val="clear" w:color="auto" w:fill="auto"/>
          </w:tcPr>
          <w:p w:rsidR="00AA5B69" w:rsidRPr="002954E0" w:rsidRDefault="00AA5B69">
            <w:pPr>
              <w:spacing w:before="40" w:after="120"/>
              <w:ind w:right="113"/>
            </w:pPr>
            <w:r w:rsidRPr="002954E0">
              <w:t>Servicios Familiares y Vivienda; Salud y Vida Saludable; Justicia; Asuntos Autóctonos y del Norte; Trabajo e Inmigración; Situación de la Mujer; Educación, Ciudadanía y Juventud; y Cultura, Patrimonio y Turismo.</w:t>
            </w:r>
          </w:p>
        </w:tc>
        <w:tc>
          <w:tcPr>
            <w:tcW w:w="1747" w:type="dxa"/>
            <w:tcBorders>
              <w:top w:val="nil"/>
              <w:bottom w:val="nil"/>
            </w:tcBorders>
            <w:shd w:val="clear" w:color="auto" w:fill="auto"/>
          </w:tcPr>
          <w:p w:rsidR="00AA5B69" w:rsidRPr="002954E0" w:rsidRDefault="00AA5B69">
            <w:pPr>
              <w:spacing w:before="40" w:after="120"/>
              <w:ind w:right="113"/>
            </w:pPr>
            <w:r w:rsidRPr="002954E0">
              <w:t>Comité ministerial para la salud de la infancia del gobierno de Manitoba, apoyado por el Comité viceministerial para la salud de la infancia y la Oficina para la salud de la infancia de Manitoba.</w:t>
            </w:r>
          </w:p>
        </w:tc>
      </w:tr>
      <w:tr w:rsidR="00AA5B69" w:rsidRPr="002954E0">
        <w:trPr>
          <w:cantSplit/>
        </w:trPr>
        <w:tc>
          <w:tcPr>
            <w:tcW w:w="1366" w:type="dxa"/>
            <w:tcBorders>
              <w:top w:val="nil"/>
              <w:bottom w:val="nil"/>
            </w:tcBorders>
            <w:shd w:val="clear" w:color="auto" w:fill="auto"/>
          </w:tcPr>
          <w:p w:rsidR="00AA5B69" w:rsidRPr="002954E0" w:rsidRDefault="00AA5B69">
            <w:pPr>
              <w:spacing w:before="40" w:after="120"/>
              <w:ind w:right="113"/>
            </w:pPr>
            <w:r w:rsidRPr="002954E0">
              <w:t>Ontario</w:t>
            </w:r>
          </w:p>
        </w:tc>
        <w:tc>
          <w:tcPr>
            <w:tcW w:w="4257" w:type="dxa"/>
            <w:tcBorders>
              <w:top w:val="nil"/>
              <w:bottom w:val="nil"/>
            </w:tcBorders>
            <w:shd w:val="clear" w:color="auto" w:fill="auto"/>
          </w:tcPr>
          <w:p w:rsidR="00AA5B69" w:rsidRPr="002954E0" w:rsidRDefault="00AA5B69">
            <w:pPr>
              <w:spacing w:before="40" w:after="120"/>
              <w:ind w:right="113"/>
            </w:pPr>
            <w:r w:rsidRPr="002954E0">
              <w:t>Servicios Comunitarios y Sociales, Servicios para la Infancia y la Juventud, Seguridad Comunitaria y Servicios Penitenciarios, y Fiscal General.</w:t>
            </w:r>
          </w:p>
        </w:tc>
        <w:tc>
          <w:tcPr>
            <w:tcW w:w="1747" w:type="dxa"/>
            <w:tcBorders>
              <w:top w:val="nil"/>
              <w:bottom w:val="nil"/>
            </w:tcBorders>
            <w:shd w:val="clear" w:color="auto" w:fill="auto"/>
          </w:tcPr>
          <w:p w:rsidR="00AA5B69" w:rsidRPr="002954E0" w:rsidRDefault="00AA5B69">
            <w:pPr>
              <w:spacing w:before="40" w:after="120"/>
              <w:ind w:right="113"/>
            </w:pPr>
            <w:r w:rsidRPr="002954E0">
              <w:t>n.d.</w:t>
            </w:r>
          </w:p>
        </w:tc>
      </w:tr>
      <w:tr w:rsidR="00AA5B69" w:rsidRPr="002954E0">
        <w:trPr>
          <w:cantSplit/>
        </w:trPr>
        <w:tc>
          <w:tcPr>
            <w:tcW w:w="1366" w:type="dxa"/>
            <w:tcBorders>
              <w:top w:val="nil"/>
              <w:bottom w:val="nil"/>
            </w:tcBorders>
            <w:shd w:val="clear" w:color="auto" w:fill="auto"/>
          </w:tcPr>
          <w:p w:rsidR="00AA5B69" w:rsidRPr="002954E0" w:rsidRDefault="00AA5B69">
            <w:pPr>
              <w:spacing w:before="40" w:after="120"/>
              <w:ind w:right="113"/>
            </w:pPr>
            <w:r w:rsidRPr="002954E0">
              <w:t>Quebec</w:t>
            </w:r>
          </w:p>
        </w:tc>
        <w:tc>
          <w:tcPr>
            <w:tcW w:w="4257" w:type="dxa"/>
            <w:tcBorders>
              <w:top w:val="nil"/>
              <w:bottom w:val="nil"/>
            </w:tcBorders>
            <w:shd w:val="clear" w:color="auto" w:fill="auto"/>
          </w:tcPr>
          <w:p w:rsidR="00AA5B69" w:rsidRPr="002954E0" w:rsidRDefault="00AA5B69">
            <w:pPr>
              <w:spacing w:before="40" w:after="120"/>
              <w:ind w:right="113"/>
            </w:pPr>
            <w:r w:rsidRPr="002954E0">
              <w:t>Ministerios de: Justicia, Seguridad Pública, Educación, y Salud y Servicios Sociales.</w:t>
            </w:r>
          </w:p>
        </w:tc>
        <w:tc>
          <w:tcPr>
            <w:tcW w:w="1747" w:type="dxa"/>
            <w:tcBorders>
              <w:top w:val="nil"/>
              <w:bottom w:val="nil"/>
            </w:tcBorders>
            <w:shd w:val="clear" w:color="auto" w:fill="auto"/>
          </w:tcPr>
          <w:p w:rsidR="00AA5B69" w:rsidRPr="002954E0" w:rsidRDefault="00AA5B69">
            <w:pPr>
              <w:spacing w:before="40" w:after="120"/>
              <w:ind w:right="113"/>
            </w:pPr>
            <w:r w:rsidRPr="002954E0">
              <w:t>n.d.</w:t>
            </w:r>
          </w:p>
        </w:tc>
      </w:tr>
      <w:tr w:rsidR="00AA5B69" w:rsidRPr="002954E0">
        <w:trPr>
          <w:cantSplit/>
        </w:trPr>
        <w:tc>
          <w:tcPr>
            <w:tcW w:w="1366" w:type="dxa"/>
            <w:tcBorders>
              <w:top w:val="nil"/>
            </w:tcBorders>
            <w:shd w:val="clear" w:color="auto" w:fill="auto"/>
          </w:tcPr>
          <w:p w:rsidR="00AA5B69" w:rsidRPr="002954E0" w:rsidRDefault="00AA5B69">
            <w:pPr>
              <w:keepNext/>
              <w:keepLines/>
              <w:spacing w:before="40" w:after="120"/>
              <w:ind w:right="113"/>
            </w:pPr>
            <w:r w:rsidRPr="002954E0">
              <w:t>Nueva Brunswick</w:t>
            </w:r>
          </w:p>
        </w:tc>
        <w:tc>
          <w:tcPr>
            <w:tcW w:w="4257" w:type="dxa"/>
            <w:tcBorders>
              <w:top w:val="nil"/>
            </w:tcBorders>
            <w:shd w:val="clear" w:color="auto" w:fill="auto"/>
          </w:tcPr>
          <w:p w:rsidR="00AA5B69" w:rsidRPr="002954E0" w:rsidRDefault="00AA5B69">
            <w:pPr>
              <w:keepNext/>
              <w:keepLines/>
              <w:spacing w:before="40" w:after="120"/>
              <w:ind w:right="113"/>
            </w:pPr>
            <w:r w:rsidRPr="002954E0">
              <w:t>Ministerio de Justicia y Asuntos del Consumidor, Oficina del Fiscal General, Ministerio de Seguridad Pública y Ministerio de Desarrollo Social.</w:t>
            </w:r>
          </w:p>
        </w:tc>
        <w:tc>
          <w:tcPr>
            <w:tcW w:w="1747" w:type="dxa"/>
            <w:tcBorders>
              <w:top w:val="nil"/>
            </w:tcBorders>
            <w:shd w:val="clear" w:color="auto" w:fill="auto"/>
          </w:tcPr>
          <w:p w:rsidR="00AA5B69" w:rsidRPr="002954E0" w:rsidRDefault="00AA5B69">
            <w:pPr>
              <w:keepNext/>
              <w:keepLines/>
              <w:spacing w:before="40" w:after="120"/>
              <w:ind w:right="113"/>
            </w:pPr>
            <w:r w:rsidRPr="002954E0">
              <w:t>n.d.</w:t>
            </w:r>
          </w:p>
        </w:tc>
      </w:tr>
      <w:tr w:rsidR="00AA5B69" w:rsidRPr="002954E0">
        <w:trPr>
          <w:cantSplit/>
        </w:trPr>
        <w:tc>
          <w:tcPr>
            <w:tcW w:w="1366" w:type="dxa"/>
            <w:tcBorders>
              <w:bottom w:val="nil"/>
            </w:tcBorders>
            <w:shd w:val="clear" w:color="auto" w:fill="auto"/>
          </w:tcPr>
          <w:p w:rsidR="00AA5B69" w:rsidRPr="002954E0" w:rsidRDefault="00AA5B69">
            <w:pPr>
              <w:spacing w:before="40" w:after="120"/>
              <w:ind w:right="113"/>
            </w:pPr>
            <w:r w:rsidRPr="002954E0">
              <w:t>Nueva Escocia</w:t>
            </w:r>
          </w:p>
        </w:tc>
        <w:tc>
          <w:tcPr>
            <w:tcW w:w="4257" w:type="dxa"/>
            <w:tcBorders>
              <w:bottom w:val="nil"/>
            </w:tcBorders>
            <w:shd w:val="clear" w:color="auto" w:fill="auto"/>
          </w:tcPr>
          <w:p w:rsidR="00AA5B69" w:rsidRPr="002954E0" w:rsidRDefault="00AA5B69">
            <w:pPr>
              <w:spacing w:before="40" w:after="120"/>
              <w:ind w:right="113"/>
            </w:pPr>
            <w:r w:rsidRPr="002954E0">
              <w:t>Ministerios de Servicios Comunitarios, Salud, y Justicia.</w:t>
            </w:r>
          </w:p>
        </w:tc>
        <w:tc>
          <w:tcPr>
            <w:tcW w:w="1747" w:type="dxa"/>
            <w:tcBorders>
              <w:bottom w:val="nil"/>
            </w:tcBorders>
            <w:shd w:val="clear" w:color="auto" w:fill="auto"/>
          </w:tcPr>
          <w:p w:rsidR="00AA5B69" w:rsidRPr="002954E0" w:rsidRDefault="00AA5B69">
            <w:pPr>
              <w:spacing w:before="40" w:after="120"/>
              <w:ind w:right="113"/>
            </w:pPr>
            <w:r w:rsidRPr="002954E0">
              <w:t>Estrategia para los niños y los jóvenes de Nueva Escocia.</w:t>
            </w:r>
          </w:p>
        </w:tc>
      </w:tr>
      <w:tr w:rsidR="00AA5B69" w:rsidRPr="002954E0">
        <w:trPr>
          <w:cantSplit/>
        </w:trPr>
        <w:tc>
          <w:tcPr>
            <w:tcW w:w="1366" w:type="dxa"/>
            <w:tcBorders>
              <w:top w:val="nil"/>
              <w:bottom w:val="nil"/>
            </w:tcBorders>
            <w:shd w:val="clear" w:color="auto" w:fill="auto"/>
          </w:tcPr>
          <w:p w:rsidR="00AA5B69" w:rsidRPr="002954E0" w:rsidRDefault="00AA5B69">
            <w:pPr>
              <w:spacing w:before="40" w:after="120"/>
              <w:ind w:right="113"/>
            </w:pPr>
            <w:r w:rsidRPr="002954E0">
              <w:t>Isla del Príncipe Eduardo</w:t>
            </w:r>
          </w:p>
        </w:tc>
        <w:tc>
          <w:tcPr>
            <w:tcW w:w="4257" w:type="dxa"/>
            <w:tcBorders>
              <w:top w:val="nil"/>
              <w:bottom w:val="nil"/>
            </w:tcBorders>
            <w:shd w:val="clear" w:color="auto" w:fill="auto"/>
          </w:tcPr>
          <w:p w:rsidR="00AA5B69" w:rsidRPr="002954E0" w:rsidRDefault="00AA5B69">
            <w:pPr>
              <w:spacing w:before="40" w:after="120"/>
              <w:ind w:right="113"/>
            </w:pPr>
            <w:r w:rsidRPr="002954E0">
              <w:t>Servicios Sociales y Servicios para las Personas de Edad, Fiscal General, Salud, y Educación.</w:t>
            </w:r>
          </w:p>
        </w:tc>
        <w:tc>
          <w:tcPr>
            <w:tcW w:w="1747" w:type="dxa"/>
            <w:tcBorders>
              <w:top w:val="nil"/>
              <w:bottom w:val="nil"/>
            </w:tcBorders>
            <w:shd w:val="clear" w:color="auto" w:fill="auto"/>
          </w:tcPr>
          <w:p w:rsidR="00AA5B69" w:rsidRPr="002954E0" w:rsidRDefault="00AA5B69">
            <w:pPr>
              <w:spacing w:before="40" w:after="120"/>
              <w:ind w:right="113"/>
            </w:pPr>
            <w:r w:rsidRPr="002954E0">
              <w:t>n.d.</w:t>
            </w:r>
          </w:p>
        </w:tc>
      </w:tr>
      <w:tr w:rsidR="00AA5B69" w:rsidRPr="002954E0">
        <w:trPr>
          <w:cantSplit/>
        </w:trPr>
        <w:tc>
          <w:tcPr>
            <w:tcW w:w="1366" w:type="dxa"/>
            <w:tcBorders>
              <w:top w:val="nil"/>
            </w:tcBorders>
            <w:shd w:val="clear" w:color="auto" w:fill="auto"/>
          </w:tcPr>
          <w:p w:rsidR="00AA5B69" w:rsidRPr="002954E0" w:rsidRDefault="00AA5B69">
            <w:pPr>
              <w:spacing w:before="40" w:after="120"/>
              <w:ind w:right="113"/>
            </w:pPr>
            <w:r w:rsidRPr="002954E0">
              <w:t>Terranova y Labrador</w:t>
            </w:r>
          </w:p>
        </w:tc>
        <w:tc>
          <w:tcPr>
            <w:tcW w:w="4257" w:type="dxa"/>
            <w:tcBorders>
              <w:top w:val="nil"/>
            </w:tcBorders>
            <w:shd w:val="clear" w:color="auto" w:fill="auto"/>
          </w:tcPr>
          <w:p w:rsidR="00AA5B69" w:rsidRPr="002954E0" w:rsidRDefault="00AA5B69">
            <w:pPr>
              <w:spacing w:before="40" w:after="120"/>
              <w:ind w:right="113"/>
            </w:pPr>
            <w:r w:rsidRPr="002954E0">
              <w:t>Ministerios de: Salud y Servicios Comunitarios, y Justicia.</w:t>
            </w:r>
          </w:p>
        </w:tc>
        <w:tc>
          <w:tcPr>
            <w:tcW w:w="1747" w:type="dxa"/>
            <w:tcBorders>
              <w:top w:val="nil"/>
            </w:tcBorders>
            <w:shd w:val="clear" w:color="auto" w:fill="auto"/>
          </w:tcPr>
          <w:p w:rsidR="00AA5B69" w:rsidRPr="002954E0" w:rsidRDefault="00AA5B69">
            <w:pPr>
              <w:spacing w:before="40" w:after="120"/>
              <w:ind w:right="113"/>
            </w:pPr>
            <w:r w:rsidRPr="002954E0">
              <w:t>n.d.</w:t>
            </w:r>
          </w:p>
        </w:tc>
      </w:tr>
      <w:tr w:rsidR="00AA5B69" w:rsidRPr="002954E0">
        <w:trPr>
          <w:cantSplit/>
        </w:trPr>
        <w:tc>
          <w:tcPr>
            <w:tcW w:w="1366" w:type="dxa"/>
            <w:shd w:val="clear" w:color="auto" w:fill="auto"/>
          </w:tcPr>
          <w:p w:rsidR="00AA5B69" w:rsidRPr="002954E0" w:rsidRDefault="00AA5B69">
            <w:pPr>
              <w:spacing w:before="40" w:after="120"/>
              <w:ind w:right="113"/>
            </w:pPr>
            <w:r w:rsidRPr="002954E0">
              <w:t>Yukón</w:t>
            </w:r>
          </w:p>
        </w:tc>
        <w:tc>
          <w:tcPr>
            <w:tcW w:w="4257" w:type="dxa"/>
            <w:shd w:val="clear" w:color="auto" w:fill="auto"/>
          </w:tcPr>
          <w:p w:rsidR="00AA5B69" w:rsidRPr="002954E0" w:rsidRDefault="00AA5B69">
            <w:pPr>
              <w:spacing w:before="40" w:after="120"/>
              <w:ind w:right="113"/>
            </w:pPr>
            <w:r w:rsidRPr="002954E0">
              <w:t>Ministerios de: Salud y Servicios Sociales, y Justicia.</w:t>
            </w:r>
          </w:p>
        </w:tc>
        <w:tc>
          <w:tcPr>
            <w:tcW w:w="1747" w:type="dxa"/>
            <w:shd w:val="clear" w:color="auto" w:fill="auto"/>
          </w:tcPr>
          <w:p w:rsidR="00AA5B69" w:rsidRPr="002954E0" w:rsidRDefault="00AA5B69">
            <w:pPr>
              <w:spacing w:before="40" w:after="120"/>
              <w:ind w:right="113"/>
            </w:pPr>
            <w:r w:rsidRPr="002954E0">
              <w:t>n.d.</w:t>
            </w:r>
          </w:p>
        </w:tc>
      </w:tr>
      <w:tr w:rsidR="00AA5B69" w:rsidRPr="002954E0">
        <w:trPr>
          <w:cantSplit/>
        </w:trPr>
        <w:tc>
          <w:tcPr>
            <w:tcW w:w="1366" w:type="dxa"/>
            <w:shd w:val="clear" w:color="auto" w:fill="auto"/>
          </w:tcPr>
          <w:p w:rsidR="00AA5B69" w:rsidRPr="002954E0" w:rsidRDefault="00AA5B69">
            <w:pPr>
              <w:spacing w:before="40" w:after="120"/>
              <w:ind w:right="113"/>
            </w:pPr>
            <w:r w:rsidRPr="002954E0">
              <w:t>Territorios del Noroeste</w:t>
            </w:r>
          </w:p>
        </w:tc>
        <w:tc>
          <w:tcPr>
            <w:tcW w:w="4257" w:type="dxa"/>
            <w:shd w:val="clear" w:color="auto" w:fill="auto"/>
          </w:tcPr>
          <w:p w:rsidR="00AA5B69" w:rsidRPr="002954E0" w:rsidRDefault="00AA5B69">
            <w:pPr>
              <w:spacing w:before="40" w:after="120"/>
              <w:ind w:right="113"/>
            </w:pPr>
            <w:r w:rsidRPr="002954E0">
              <w:t>Ministerios de: Justicia, y Salud y Servicios Sociales.</w:t>
            </w:r>
          </w:p>
        </w:tc>
        <w:tc>
          <w:tcPr>
            <w:tcW w:w="1747" w:type="dxa"/>
            <w:shd w:val="clear" w:color="auto" w:fill="auto"/>
          </w:tcPr>
          <w:p w:rsidR="00AA5B69" w:rsidRPr="002954E0" w:rsidRDefault="00AA5B69">
            <w:pPr>
              <w:spacing w:before="40" w:after="120"/>
              <w:ind w:right="113"/>
            </w:pPr>
            <w:r w:rsidRPr="002954E0">
              <w:t>n.d.</w:t>
            </w:r>
          </w:p>
        </w:tc>
      </w:tr>
      <w:tr w:rsidR="00AA5B69" w:rsidRPr="002954E0">
        <w:trPr>
          <w:cantSplit/>
        </w:trPr>
        <w:tc>
          <w:tcPr>
            <w:tcW w:w="1366" w:type="dxa"/>
            <w:shd w:val="clear" w:color="auto" w:fill="auto"/>
          </w:tcPr>
          <w:p w:rsidR="00AA5B69" w:rsidRPr="002954E0" w:rsidRDefault="00AA5B69">
            <w:pPr>
              <w:spacing w:before="40" w:after="120"/>
              <w:ind w:right="113"/>
            </w:pPr>
            <w:r w:rsidRPr="002954E0">
              <w:t>Nunavut</w:t>
            </w:r>
          </w:p>
        </w:tc>
        <w:tc>
          <w:tcPr>
            <w:tcW w:w="4257" w:type="dxa"/>
            <w:shd w:val="clear" w:color="auto" w:fill="auto"/>
          </w:tcPr>
          <w:p w:rsidR="00AA5B69" w:rsidRPr="002954E0" w:rsidRDefault="00AA5B69">
            <w:pPr>
              <w:spacing w:before="40" w:after="120"/>
              <w:ind w:right="113"/>
            </w:pPr>
            <w:r w:rsidRPr="002954E0">
              <w:t>Ministerios de: Justicia, Servicios Comunitarios y Gubernamentales, y Salud y Servicios Sociales.</w:t>
            </w:r>
          </w:p>
        </w:tc>
        <w:tc>
          <w:tcPr>
            <w:tcW w:w="1747" w:type="dxa"/>
            <w:shd w:val="clear" w:color="auto" w:fill="auto"/>
          </w:tcPr>
          <w:p w:rsidR="00AA5B69" w:rsidRPr="002954E0" w:rsidRDefault="00AA5B69">
            <w:pPr>
              <w:spacing w:before="40" w:after="120"/>
              <w:ind w:right="113"/>
            </w:pPr>
            <w:r w:rsidRPr="002954E0">
              <w:t>n.d.</w:t>
            </w:r>
          </w:p>
        </w:tc>
      </w:tr>
    </w:tbl>
    <w:p w:rsidR="00AA5B69" w:rsidRDefault="00AA5B69">
      <w:pPr>
        <w:pStyle w:val="H1G"/>
      </w:pPr>
      <w:r>
        <w:tab/>
      </w:r>
      <w:r>
        <w:tab/>
        <w:t>Cooperación federal, provincial y territorial</w:t>
      </w:r>
    </w:p>
    <w:p w:rsidR="00AA5B69" w:rsidRDefault="00AA5B69">
      <w:pPr>
        <w:spacing w:after="120"/>
        <w:ind w:left="1134" w:right="1134"/>
        <w:jc w:val="both"/>
      </w:pPr>
      <w:r>
        <w:t>55.</w:t>
      </w:r>
      <w:r>
        <w:tab/>
        <w:t>Existen diversos foros que aseguran la colaboración en los planos federal, provincial y territorial sobre las cuestiones abarcadas en el Protocolo.</w:t>
      </w:r>
    </w:p>
    <w:p w:rsidR="00AA5B69" w:rsidRDefault="00AA5B69">
      <w:pPr>
        <w:spacing w:after="120"/>
        <w:ind w:left="1134" w:right="1134"/>
        <w:jc w:val="both"/>
      </w:pPr>
      <w:r>
        <w:t>56.</w:t>
      </w:r>
      <w:r>
        <w:tab/>
        <w:t>Por ejemplo, los Servicios de adopción internacional comparten la información recopilada por los altos comisionados del Canadá sobre las cuestiones relacionadas con el Protocolo, tanto de los países signatarios del Convenio de La Haya como de aquellos países que no se han adherido. Esta información ayuda a las provincias y los territorios a determinar si aceptan a los niños que provienen de un país dado.</w:t>
      </w:r>
    </w:p>
    <w:p w:rsidR="00AA5B69" w:rsidRDefault="00AA5B69">
      <w:pPr>
        <w:spacing w:after="120"/>
        <w:ind w:left="1134" w:right="1134"/>
        <w:jc w:val="both"/>
      </w:pPr>
      <w:r>
        <w:t>57.</w:t>
      </w:r>
      <w:r>
        <w:tab/>
        <w:t>Las estrategias intergubernamentales incluyen debates oficiales sobre la prevención de la trata de niños en el contexto de la adopción internacional, mediante la celebración de reuniones periódicas en las que participan representantes del gobierno federal y de los gobiernos provinciales y territoriales. Se tratan temas como las posibles irregularidades y las prácticas inapropiadas en la adopción internacional, así como las estrategias encaminadas a prevenir la trata de niños. Esas estrategias pueden incluir la imposición de una moratoria a las adopciones cuando existen pruebas de trata de niños o de corrupción.</w:t>
      </w:r>
    </w:p>
    <w:p w:rsidR="00AA5B69" w:rsidRDefault="00AA5B69">
      <w:pPr>
        <w:spacing w:after="120"/>
        <w:ind w:left="1134" w:right="1134"/>
        <w:jc w:val="both"/>
      </w:pPr>
      <w:r>
        <w:t>58.</w:t>
      </w:r>
      <w:r>
        <w:tab/>
        <w:t>El Foro de los directores provinciales y territoriales de bienestar de la infancia proporciona información a los gobiernos para la planificación estratégica, ya que facilita el intercambio de información sobre las iniciativas, la legislación y la investigación correspondientes, y promueve la sensibilización del público sobre la explotación sexual de los niños y los jóvenes.</w:t>
      </w:r>
    </w:p>
    <w:p w:rsidR="00AA5B69" w:rsidRDefault="00AA5B69">
      <w:pPr>
        <w:spacing w:after="120"/>
        <w:ind w:left="1134" w:right="1134"/>
        <w:jc w:val="both"/>
      </w:pPr>
      <w:r>
        <w:t>59.</w:t>
      </w:r>
      <w:r>
        <w:tab/>
        <w:t>El Grupo de trabajo federal, provincial y territorial sobre las víctimas del delito, compuesto por los directores de los servicios destinados a las víctimas de todas las provincias y territorios, así como por representantes del Gobierno federal, es un foro que facilita el intercambio de experiencias y de información. Esta red permite poner en marcha iniciativas conjuntas, identificar los nuevos problemas, realizar una evaluación oficiosa de los programas, debatir sobre las nuevas disposiciones legislativas y su aplicación, así como determinar las necesidades en materia de investigación.</w:t>
      </w:r>
    </w:p>
    <w:p w:rsidR="00AA5B69" w:rsidRDefault="00AA5B69">
      <w:pPr>
        <w:spacing w:after="120"/>
        <w:ind w:left="1134" w:right="1134"/>
        <w:jc w:val="both"/>
      </w:pPr>
      <w:r>
        <w:t>60.</w:t>
      </w:r>
      <w:r>
        <w:tab/>
        <w:t>El Comité de coordinación federal, provincial y territorial de altos funcionarios, en la esfera de la justicia penal, es el principal mecanismo de colaboración entre los funcionarios en relación con las cuestiones relativas a la justicia penal. Este Comité tiene la responsabilidad de analizar y formular recomendaciones sobre las cuestiones de justicia penal que incumben conjuntamente al Gobierno federal y a los gobiernos provinciales y territoriales. Es un foro fundamental para debatir y analizar esas cuestiones de forma que se incorporen los intereses y las responsabilidades de las distintas jurisdicciones, así como para elaborar recomendaciones que incluyan esos intereses y responsabilidades.</w:t>
      </w:r>
    </w:p>
    <w:p w:rsidR="00AA5B69" w:rsidRDefault="00AA5B69">
      <w:pPr>
        <w:spacing w:after="120"/>
        <w:ind w:left="1134" w:right="1134"/>
        <w:jc w:val="both"/>
      </w:pPr>
      <w:r>
        <w:t>61.</w:t>
      </w:r>
      <w:r>
        <w:tab/>
        <w:t>El Servicio Canadiense de Inteligencia Criminal es una asociación de organismos policiales, cuyo mandato consiste en asegurar la recopilación oportuna de información, y la elaboración e intercambio de información útil sobre la delincuencia organizada y los delitos graves. Las oficinas provinciales del Servicio desempeñan una importante función en la actividad policial basada en los servicios de inteligencia. Entre sus prioridades figuran el fraude electrónico, las bandas callejeras, la explotación sexual de los niños y la seguridad de las fronteras.</w:t>
      </w:r>
    </w:p>
    <w:p w:rsidR="00AA5B69" w:rsidRDefault="00AA5B69">
      <w:pPr>
        <w:spacing w:after="120"/>
        <w:ind w:left="1134" w:right="1134"/>
        <w:jc w:val="both"/>
      </w:pPr>
      <w:r>
        <w:t>62.</w:t>
      </w:r>
      <w:r>
        <w:tab/>
        <w:t>El Comité de coordinación del Atlántico sobre la delincuencia organizada es un foro en el que participan el Gobierno y la policía, que coordina la actividad de todos los departamentos policiales y gubernamentales que se ocupan de la delincuencia organizada. El Comité formula recomendaciones sobre las medidas destinadas a modificar las condiciones que alientan, apoyan o mantienen la delincuencia organizada.</w:t>
      </w:r>
    </w:p>
    <w:p w:rsidR="00AA5B69" w:rsidRDefault="00AA5B69">
      <w:pPr>
        <w:spacing w:after="120"/>
        <w:ind w:left="1134" w:right="1134"/>
        <w:jc w:val="both"/>
      </w:pPr>
      <w:r>
        <w:t>63.</w:t>
      </w:r>
      <w:r>
        <w:tab/>
        <w:t>Todas las provincias y los territorios son signatarios del Protocolo provincial/ territorial sobre el desplazamiento de niños y familias entre los distintos territorios y provincias, o lo aplican. Este Protocolo provincial y territorial es una política sobre los servicios de protección de la infancia, que establece directrices para la colaboración intergubernamental con respecto a las cuestiones relacionadas con la protección de los niños. En el Protocolo se establece un procedimiento para:</w:t>
      </w:r>
    </w:p>
    <w:p w:rsidR="00AA5B69" w:rsidRDefault="00AA5B69">
      <w:pPr>
        <w:pStyle w:val="Bullet1G"/>
      </w:pPr>
      <w:r>
        <w:t>Alertar a las autoridades sobre cuestiones de protección de los niños en relación con familias o niños en situación de riesgo que se trasladan de una jurisdicción provincial o territorial a otra;</w:t>
      </w:r>
    </w:p>
    <w:p w:rsidR="00AA5B69" w:rsidRDefault="00AA5B69">
      <w:pPr>
        <w:pStyle w:val="Bullet1G"/>
      </w:pPr>
      <w:r>
        <w:t>Devolver a los niños a la jurisdicción provincial o territorial de origen cuando sea apropiado;</w:t>
      </w:r>
    </w:p>
    <w:p w:rsidR="00AA5B69" w:rsidRDefault="00AA5B69">
      <w:pPr>
        <w:pStyle w:val="Bullet1G"/>
      </w:pPr>
      <w:r>
        <w:t>Informar, por parte de un organismo de protección de la infancia, sobre posibles casos de malos tratos contra un niño, lo que incluye los abusos sexuales, a otro organismo provincial o territorial, sobre hechos descubiertos en el curso de su labor, cuando el niño reside en una zona que no pertenece a su jurisdicción.</w:t>
      </w:r>
    </w:p>
    <w:p w:rsidR="00AA5B69" w:rsidRDefault="00AA5B69">
      <w:pPr>
        <w:spacing w:after="120"/>
        <w:ind w:left="1134" w:right="1134"/>
        <w:jc w:val="both"/>
      </w:pPr>
      <w:r>
        <w:t>64.</w:t>
      </w:r>
      <w:r>
        <w:tab/>
        <w:t xml:space="preserve">El Protocolo interinstitucional para la investigación de los malos tratos y el descuido de niños, firmado en 1998 por </w:t>
      </w:r>
      <w:smartTag w:uri="urn:schemas-microsoft-com:office:smarttags" w:element="PersonName">
        <w:smartTagPr>
          <w:attr w:name="ProductID" w:val="ミ㹼ヸʸʷꗜヘ배៰̴°  ƔЌ㺬ヸ佈ミ㹼ヸʸʷꗜヘ켨ᇼᨊ ƝЈ佴ミʸʷ&#10;资ᇥ霈ሇ ƦЌ㺬ヸ佈ミ㹼ヸʸʷꗜヘ靐ሇ ƯЈ霬ሇ韰ሇ켰ᇼ﷿ƨЈ佴ミʸʷ&#10;켄ᇼ鞠ሇ ƵЌ㺬ヸ佈ミ㹼ヸʸʷꗜヘ韨ሇ탈Ô ƺЈ韄ሇ颈ሇ靘ሇ탈Ô탈ÔŇЈ佴ミʸʷ挜ለ頸ሇ ŀЌ㺬ヸ佈ミ㹼ヸʸʷꗜヘ颀ሇ탈Ô ŉЈ顜ሇ餠ሇ韰ሇ탈Ô탈ÔŒЈ佴ミʸʷ䫬ለ飐ሇ şЌ㺬ヸ佈ミ㹼ヸʸʷꗜヘ餘ሇ탈Ô ŤЈ飴ሇ馸ሇ颈ሇ탈Ô탈ÔšЈ佴ミʸʷ捌ለ饨ሇ ŪЌ㺬ヸ佈ミ㹼ヸʸʷꗜヘ馰ሇ탈Ô ųЈ馌ሇ驐ሇ餠ሇ탈Ô탈ÔżЈ佴ミʸʷ&#10;驴ሇ騀ሇ ŹЌ㺬ヸ佈ミ㹼ヸʸʷꗜヘ驈ሇ탈Ô ĎЈ騤ሇ鬐ሇ馸ሇ탈Ô탈ÔċЈMinisterioÔ탈ÔĔЈ佴ミʸʷ$䪼ለ髀ሇ đЌ㺬ヸ佈ミ㹼ヸʸʷꗜヘ鬈ሇ탈Ô ĦЈ髤ሇ鮨ሇ驐ሇ탈Ô탈ÔģЈ佴ミʸʷ' 鋼ሊ魘ሇ ĬЌ㺬ヸ佈ミ㹼ヸʸʷꗜヘ鮠ሇ탈Ô ĵЈ魼ሇ鎘ሊ鬐ሇ͜°ľЈ佴ミʸʷ趴ᇥ鯰ሇ ĻЌ㺬ヸ佈ミ㹼ヸʸʷꗜヘ鰸ሇ뀀ࡰ ǀЈ鰔ሇ鳘ሇ臀ᇥ攈r胀 ǍЈ佴ミʸʷ跤ᇥ鲈ሇ ǖЌ㺬ヸ佈ミ㹼ヸʸʷꗜヘ鳐ሇૂ쀀 ǟЈ鲬ሇ鵰ሇ鱀ሇ摡௠ऀǘЈ佴ミʸʷ鶔ሇ鴠ሇ ǥЌ㺬ヸ佈ミ㹼ヸʸʷꗜヘ鵨ሇ愀 ǪЈ鵄ሇ鸰ሇ鳘ሇ湡cǷЈPrimeras耀琉牥쀀ரǰЈ佴ミʸʷ%鹔ሇ鷠ሇ ǽЌ㺬ヸ佈ミ㹼ヸʸʷꗜヘ鸨ሇ뀀ీ ƂЈ鸄ሇ黰ሇ鵰ሇd氐ƏЈNaciones档i挋ƈЈ佴ミʸʷ-跼ᇥ麠ሇ ƕЌ㺬ヸ佈ミ㹼ヸʸʷꗜヘ黨ሇ耀Ĕ ƚЈ黄ሇ龈ሇ鸰ሇ牣獩楴湡ƧЈ佴ミʸʷ/跌ᇥ鼸ሇ ƠЌ㺬ヸ佈ミ㹼ヸʸʷꗜヘ龀ሇரЀ ƩЈ齜ሇꀠሇ黰ሇĖ来ƲЈ佴ミʸʷ3&#10;ꁄሇ鿐ሇ ƿЌ㺬ヸ佈ミ㹼ヸʸʷꗜヘꀘሇကސ ńЈ鿴ሇꃠሇ龈ሇ散쀀ৰༀŁЈorganismos뀀ీ਀ŊЈ佴ミʸʷ&gt;鉴ሇꂐሇ ŗЌ㺬ヸ佈ミ㹼ヸʸʷꗜヘꃘሇe洄 ŜЈꂴሇꅸሇꀠሇ氀e瀐eřЈ佴ミʸʷA쾄ሆꄨሇ ŢЌ㺬ヸ佈ミ㹼ヸʸʷꗜヘꅰሇ 琍 ūЈꅌሇꈐሇꃠሇঀఀ畱牥ŴЈ佴ミʸʷE ꈴሇꇀሇ űЌ㺬ヸ佈ミ㹼ヸʸʷꗜヘꈈሇĚᚕ ĆЈꇤሇꋐሇꅸሇ퀐ăЈServiciosௐࠀ牯ČЈ佴ミʸʷOᇴꊀሇ ĉЌ㺬ヸ佈ミ㹼ヸʸʷꗜヘꋈሇr ĞЈꊤሇꍨሇꈐሇ慲d攈ěЈ佴ミʸʷT포ᇼꌘሇ ĤЌ㺬ヸ佈ミ㹼ヸʸʷꗜヘꍠሇ牯i ĭЈꌼሇꐀሇꋐሇ杲؀湩ĶЈ佴ミʸʷW謔ᇥꎰሇ ĳЌ㺬ヸ佈ミ㹼ヸʸʷꗜヘꏸሇ甉牥 ĸЈꏔሇ꒘ሇꍨሇb胀 洉ǅЈ佴ミʸʷ\ᇴꑈሇ ǎЌ㺬ヸ佈ミ㹼ヸʸʷꗜヘ꒐ሇ냀 ǗЈꑬሇꔰሇꐀሇ楦慣dǐЈ佴ミʸʷ^ꕔሇꓠሇ ǝЌ㺬ヸ佈ミ㹼ヸʸʷꗜヘꔨሇđ냀 ǢЈꔄሇꗠሇ꒘ሇ௠᐀灩ǯЈla琀܀íǪЈ佴ミʸʷaꘄሇꖐሇ ǷЌ㺬ヸ佈ミ㹼ヸʸʷꗜヘꗘሇ湵潤 ǼЈꖴሇꚠሇꔰሇ̌°ǹЈfamiliaƂЈ佴ミʸʷiꛄሇꙐሇ ƏЌ㺬ヸ佈ミ㹼ヸʸʷꗜヘꚘሇ ƔЈꙴሇꝐሇꗠሇƑЈdeƜЈ佴ミʸʷlꝴሇ꜀ሇ ƙЌ㺬ヸ佈ミ㹼ヸʸʷꗜヘꝈሇ ƮЈꜤሇꠀሇꚠሇƫЈlasƶЈ佴ミʸʷpꠤሇꞰሇ ƳЌ㺬ヸ佈ミ㹼ヸʸʷꗜヘꟸሇ ƸЈ꟔ሇꣀሇꝐሇŅЈPrimerasŎЈ佴ミʸʷy꣤ሇꡰሇ ŋЌ㺬ヸ佈ミ㹼ヸʸʷꗜヘꢸሇ ŐЈꢔሇꦀሇꠀሇŝЈNacionesŦЈ佴ミʸʷ&#10;ꦤሇꤰሇ ţЌ㺬ヸ佈ミ㹼ヸʸʷꗜヘꥸሇ ŨЈ꥔ሇꩀሇꣀሇŵЈgarantizanžЈ佴ミʸʷꩤሇ꧰ሇ ŻЌ㺬ヸ佈ミ㹼ヸʸʷꗜヘ꨸ሇ ĀЈꨔሇ꫰ሇꦀሇčЈlaĈЈ佴ミʸʷ ꬔሇꪠሇ ĕЌ㺬ヸ佈ミ㹼ヸʸʷꗜヘꫨሇ ĚЈ꫄ሇꮰሇꩀሇħЈseguridadĠЈ佴ミʸʷꯔሇꭠሇ ĭЌ㺬ヸ佈ミ㹼ヸʸʷꗜヘꮨሇ ĲЈꮄሇ걠ሇ꫰ሇĿЈyĺЈ佴ミʸʷ겄ሇ감ሇ ǇЌ㺬ヸ佈ミ㹼ヸʸʷꗜヘ걘ሇ ǌЈ갴ሇ괐ሇꮰሇǉЈelǔЈ佴ミʸʷ  괴ሇ곀ሇ ǑЌ㺬ヸ佈ミ㹼ヸʸʷꗜヘ괈ሇ ǦЈ곤ሇ귐ሇ걠ሇǣЈbienestarǬЈ佴ミʸʷª귴ሇ궀ሇ ǩЌ㺬ヸ佈ミ㹼ヸʸʷꗜヘ귈ሇ ǾЈ궤ሇ꺀ሇ괐ሇǻЈdeƆЈ佴ミʸʷ­꺤ሇ기ሇ ƃЌ㺬ヸ佈ミ㹼ヸʸʷꗜヘ깸ሇ ƈЈ깔ሇ꼰ሇ귐ሇƕЈlosƐЈ佴ミʸʷ±꽔ሇ껠ሇ ƝЌ㺬ヸ佈ミ㹼ヸʸʷꗜヘ꼨ሇ ƢЈ꼄ሇ꿠ሇ꺀ሇƯЈ&#10;niñosƪЈ佴ミʸʷ·뀌ሇ꾐ሇ ƷЌ㺬ヸ佈ミ㹼ヸʸʷꗜヘ꿘ሇ ƼА꾴ሇ나ሇ꼰ሇņЈdeŅЈ佴ミʸʷº낼ሇ끈ሇ ŎЌ㺬ヸ佈ミ㹼ヸʸʷꗜヘ낐ሇ ŗЈ끬ሇ녈ሇ꿠ሇŐЈlasşЈ佴ミʸʷ¾녬ሇ냸ሇ ŘЌ㺬ヸ佈ミ㹼ヸʸʷꗜヘ녀ሇ šЈ넜ሇ눈ሇ나ሇŪЈPrimerasŷЈ佴ミʸʷÇ눬ሇ놸ሇ ŰЌ㺬ヸ佈ミ㹼ヸʸʷꗜヘ눀ሇ ŹЈ뇜ሇ니ሇ녈ሇĂЈNacionesďЈ佴ミʸʷÏ달ሇ뉸ሇ ĈЌ㺬ヸ佈ミ㹼ヸʸʷꗜヘ닀ሇ đЈ늜ሇ델ሇ눈ሇĚЈ,ęЈ佴ミʸʷÑ뎜ሇ댨ሇ ĢЌ㺬ヸ佈ミ㹼ヸʸʷꗜヘ데ሇ īЈ덌ሇ됨ሇ니ሇĴЈyĳЈ佴ミʸʷÓ 둌ሇ돘ሇ ļЌ㺬ヸ佈ミ㹼ヸʸʷꗜヘ될ሇ ǅЈ돼ሇ듨ሇ델ሇǎЈpromuevenǋЈ佴ミʸʷÝ딌ሇ뒘ሇ ǔЌ㺬ヸ佈ミ㹼ヸʸʷꗜヘ든ሇ ǝЈ뒼ሇ떘ሇ됨ሇǦЈunǥЈ佴ミʸʷà떼ሇ땈ሇ ǮЌ㺬ヸ佈ミ㹼ヸʸʷꗜヘ떐ሇ ǷЈ땬ሇ뙘ሇ듨ሇǰЈambienteǽЈ佴ミʸʷé뙼ሇ똈ሇ ƆЌ㺬ヸ佈ミ㹼ヸʸʷꗜヘ뙐ሇ ƏЈ똬ሇ뜘ሇ떘ሇƈЈfamiliarƕЈ佴ミʸʷò뜼ሇ뛈ሇ ƞЌ㺬ヸ佈ミ㹼ヸʸʷꗜヘ뜐ሇ ƧЈ뛬ሇ럈ሇ뙘ሇƠЈmásƯЈ佴ミʸʷö러ሇ띸ሇ ƨЌ㺬ヸ佈ミ㹼ヸʸʷꗜヘ럀ሇ ƱЈ랜ሇ뢈ሇ뜘ሇƺЈseguroŇЈ佴ミʸʷý뢬ሇ렸ሇ ŀЌ㺬ヸ佈ミ㹼ヸʸʷꗜヘ뢀ሇ ŉЈ로ሇ뤸ሇ럈ሇŒЈyőЈ佴ミʸʷÿ륜ሇ루ሇ ŚЌ㺬ヸ佈ミ㹼ヸʸʷꗜヘ뤰ሇ ţЈ뤌ሇ맸ሇ뢈ሇŬЈestableũЈ佴ミʸʷć먜ሇ릨ሇ ŲЌ㺬ヸ佈ミ㹼ヸʸʷꗜヘ맰ሇ ŻЈ만ሇ모ሇ뤸ሇĄЈparaăЈ佴ミʸʷČ뫌ሇ멘ሇ ČЌ㺬ヸ佈ミ㹼ヸʸʷꗜヘ몠ሇ ĕЈ멼ሇ뭘ሇ맸ሇĞЈlosĝЈ佴ミʸʷĐ뭼ሇ묈ሇ ĦЌ㺬ヸ佈ミ㹼ヸʸʷꗜヘ뭐ሇ įЈ묬ሇ밈ሇ모ሇĨЈ&#10;niñosķЈ佴ミʸʷĕ밬ሇ뮸ሇ İЌ㺬ヸ佈ミ㹼ヸʸʷꗜヘ밀ሇ ĹЈ믜ሇ벸ሇ뭘ሇǂЈ,ǁЈ佴ミʸʷė볜ሇ뱨ሇ ǊЌ㺬ヸ佈ミ㹼ヸʸʷꗜヘ벰ሇ ǓЈ벌ሇ뵸ሇ밈ሇǜЈmedianteǙЈ佴ミʸʷĠ붜ሇ봨ሇ ǢЌ㺬ヸ佈ミ㹼ヸʸʷꗜヘ뵰ሇ ǫЈ뵌ሇ븨ሇ벸ሇǴЈelǳЈ佴ミʸʷģ빌ሇ뷘ሇ ǼЌ㺬ヸ佈ミ㹼ヸʸʷꗜヘ븠ሇ ƅЈ뷼ሇ뻘ሇ뵸ሇƎЈ&#10;apoyoƍЈ佴ミʸʷĩ뻼ሇ뺈ሇ ƖЌ㺬ヸ佈ミ㹼ヸʸʷꗜヘ뻐ሇ ƟЈ뺬ሇ뾈ሇ븨ሇƘЈaƧЈ佴ミʸʷī 뾬ሇ뼸ሇ ƠЌ㺬ヸ佈ミ㹼ヸʸʷꗜヘ뾀ሇ ƩЈ뽜ሇ쁈ሇ뻘ሇƲЈserviciosƿЈ佴ミʸʷĵ쁬ሇ뿸ሇ ƸЌ㺬ヸ佈ミ㹼ヸʸʷꗜヘ쁀ሇ ŁЈ쀜ሇ샸ሇ뾈ሇŊЈdeŉЈ佴ミʸʷĸ&#10;서ሇ삨ሇ ŒЌ㺬ヸ佈ミ㹼ヸʸʷꗜヘ샰ሇ śЈ샌ሇ솸ሇ쁈ሇŤЈprevenciónšЈ佴ミʸʷŃ쇜ሇ셨ሇ ŪЌ㺬ヸ佈ミ㹼ヸʸʷꗜヘ솰ሇ ųЈ소ሇ쉨ሇ샸ሇżЈyŻЈ佴ミʸʷŅ&#10;슌ሇ수ሇ ĄЌ㺬ヸ佈ミ㹼ヸʸʷꗜヘ쉠ሇ čЈ숼ሇ쌨ሇ솸ሇĖЈprotecciónēЈ佴ミʸʷŐ&#10;썌ሇ싘ሇ ĜЌ㺬ヸ佈ミ㹼ヸʸʷꗜヘ쌠ሇ ĥЈ싼ሇ쏨ሇ쉨ሇĮЈculturalmenteīЈ佴ミʸʷŞ 쐌ሇ쎘ሇ ĴЌ㺬ヸ佈ミ㹼ヸʸʷꗜヘ쏠ሇ ĽЈ쎼ሇ쒨ሇ쌨ሇǆЈadecuadosǃЈ佴ミʸʷŨ쓌ሇ쑘ሇ ǌЌ㺬ヸ佈ミ㹼ヸʸʷꗜヘ쒠ሇ ǕЈ쑼ሇ았ሇ쏨ሇǞЈparaǝЈ佴ミʸʷŭ야ሇ씈ሇ ǦЌ㺬ヸ佈ミ㹼ヸʸʷꗜヘ앐ሇ ǯЈ씬ሇ예ሇ쒨ሇǨЈlosǷЈ佴ミʸʷű올ሇ언ሇ ǰЌ㺬ヸ佈ミ㹼ヸʸʷꗜヘ였ሇ ǹЈ엜ሇ울ሇ았ሇƂЈ&#10;niñosƁЈ佴ミʸʷŷ웜ሇ왨ሇ ƊЌ㺬ヸ佈ミ㹼ヸʸʷꗜヘ우ሇ ƓЈ욌ሇ읨ሇ예ሇƜЈyƛЈ佴ミʸʷŹ잌ሇ윘ሇ ƤЌ㺬ヸ佈ミ㹼ヸʸʷꗜヘ읠ሇ ƭЈ으ሇ젘ሇ울ሇƶЈlasƵЈ佴ミʸʷŽ젼ሇ쟈ሇ ƾЌ㺬ヸ佈ミ㹼ヸʸʷꗜヘ점ሇ ŇЈ쟬ሇ죘ሇ읨ሇŀЈfamiliasōЈ佴ミʸʷƆ주ሇ좈ሇ ŖЌ㺬ヸ佈ミ㹼ヸʸʷꗜヘ죐ሇ şЈ좬ሇ즈ሇ젘ሇŘЈdeŧЈ佴ミʸʷƉ즬ሇ줸ሇ ŠЌ㺬ヸ佈ミ㹼ヸʸʷꗜヘ즀ሇ ũЈ쥜ሇ쨸ሇ죘ሇŲЈlasűЈ佴ミʸʷƍ쩜ሇ짨ሇ źЌ㺬ヸ佈ミ㹼ヸʸʷꗜヘ쨰ሇ ăЈ쨌ሇ쫸ሇ즈ሇČЈPrimerasĉЈ佴ミʸʷƖ쬜ሇ쪨ሇ ĒЌ㺬ヸ佈ミ㹼ヸʸʷꗜヘ쫰ሇ ěЈ쫌ሇ쮸ሇ쨸ሇĤЈNacionesġЈ佴ミʸʷƞ쯜ሇ쭨ሇ ĪЌ㺬ヸ佈ミ㹼ヸʸʷꗜヘ쮰ሇ ĳЈ쮌ሇ챨ሇ쫸ሇļЈ,ĻЈ佴ミʸʷƠ첌ሇ찘ሇ ǄЌ㺬ヸ佈ミ㹼ヸʸʷꗜヘ챠ሇ ǍЈ찼ሇ촘ሇ쮸ሇǖЈdeǕЈ佴ミʸʷƣ촼ሇ쳈ሇ ǞЌ㺬ヸ佈ミ㹼ヸʸʷꗜヘ촐ሇ ǧЈ쳬ሇ췘ሇ챨ሇǠЈconformidadǭЈ佴ミʸʷƯ췼ሇ춈ሇ ǶЌ㺬ヸ佈ミ㹼ヸʸʷꗜヘ췐ሇ ǿЈ춬ሇ캈ሇ촘ሇǸЈconƇЈ佴ミʸʷƳ캬ሇ츸ሇ ƀЌ㺬ヸ佈ミ㹼ヸʸʷꗜヘ캀ሇ ƉЈ친ሇ켸ሇ췘ሇƒЈlaƑЈ佴ミʸʷƶ콜ሇ컨ሇ ƚЌ㺬ヸ佈ミ㹼ヸʸʷꗜヘ켰ሇ ƣЈ켌ሇ쿸ሇ캈ሇƬЈlegislaciónƩЈ佴ミʸʷǂ퀜ሇ쾨ሇ ƲЌ㺬ヸ佈ミ㹼ヸʸʷꗜヘ쿰ሇ ƻЈ쿌ሇ킨ሇ켸ሇńЈyŃЈ佴ミʸʷǄ탌ሇ큘ሇ ŌЌ㺬ヸ佈ミ㹼ヸʸʷꗜヘ킠ሇ ŕЈ큼ሇ텘ሇ쿸ሇŞЈlasŝЈ佴ミʸʷǈ텼ሇ턈ሇ ŦЌ㺬ヸ佈ミ㹼ヸʸʷꗜヘ텐ሇ ůЈ턬ሇ툘ሇ킨ሇŨЈnormasŵЈ佴ミʸʷǏ툼ሇ퇈ሇ žЌ㺬ヸ佈ミ㹼ヸʸʷꗜヘ툐ሇ ćЈ퇬ሇ틈ሇ텘ሇĀЈdeďЈ佴ミʸʷǒ틬ሇ퉸ሇ ĈЌ㺬ヸ佈ミ㹼ヸʸʷꗜヘ틀ሇ đЈ튜ሇ퍸ሇ툘ሇĚЈlaęЈ佴ミʸʷǕ 펜ሇ패ሇ ĢЌ㺬ヸ佈ミ㹼ヸʸʷꗜヘ퍰ሇ īЈ퍌ሇ퐸ሇ틈ሇĴЈprovinciaıЈ佴ミʸʷǟ표ሇ폨ሇ ĺЌ㺬ヸ佈ミ㹼ヸʸʷꗜヘ퐰ሇ ǃЈ퐌ሇ퓨ሇ퍸ሇǌЈoǋЈ佴ミʸʷǡ플ሇ풘ሇ ǔЌ㺬ヸ佈ミ㹼ヸʸʷꗜヘ퓠ሇ ǝЈ풼ሇ햘ሇ퐸ሇǦЈelǥЈ佴ミʸʷǤ&#10;햼ሇ핈ሇ ǮЌ㺬ヸ佈ミ㹼ヸʸʷꗜヘ햐ሇ ǷЈ핬ሇ환ሇ퓨ሇǰЈterritorioǽЈ佴ミʸʷǯ홼ሇ혈ሇ ƆЌ㺬ヸ佈ミ㹼ヸʸʷꗜヘ홐ሇ ƏЈ혬ሇ휈ሇ햘ሇƈЈdeƗЈ佴ミʸʷǲ&#10;휬ሇ횸ሇ ƐЌ㺬ヸ佈ミ㹼ヸʸʷꗜヘ휀ሇ ƙЈ훜ሇ퟈ሇ환ሇƢЈresidenciaƯЈ佴ミʸʷǼퟬሇ흸ሇ ƨЌ㺬ヸ佈ミ㹼ヸʸʷꗜヘퟀሇ ƱЈ힜ሇሇ휈ሇƺЈ.ƹЈ佴ミʸʷǽሇሇ łЌ㺬ヸ佈ミ㹼ヸʸʷꗜヘሇ ŋЈሇ쿀ᇼ퟈ሇŔЈ&#10;œЈCRCŞЈ831ŝЈ/ ŘЈ/idencia.ťЈCsidencia.ŮЈ53en ListoūЈ佴ミʸʷ銌ሇ콰ᇼŴЈ/ųЈ佴ミʸʷሇሇ żЌ㺬ヸ佈ミ㹼ヸʸʷꗜヘሇ ąЈሇሇ퍐ᇼĎЈAddčЈ佴ミʸʷሇሇ ĖЌ㺬ヸ佈ミ㹼ヸʸʷꗜヘሇ ğЈሇሇሇĘЈ.ħЈ佴ミʸʷሇሇ ĠЌ㺬ヸ佈ミ㹼ヸʸʷꗜヘሇ ĩЈሇሇሇĲЈ6ıЈ佴ミʸʷሇሇ ĺЌ㺬ヸ佈ミ㹼ヸʸʷꗜヘሇ ǃЈሇሇሇǌЈ,ǋЈ佴ミʸʷሇሇ ǔЌ㺬ヸ佈ミ㹼ヸʸʷꗜヘሇ ǝЈሇሇሇǦЈpárrǥЈ佴ミʸʷሇሇ ǮЌ㺬ヸ佈ミ㹼ヸʸʷꗜヘሇ ǷЈሇሇሇǰЈ.ǿЈ佴ミʸʷሇሇ ǸЌ㺬ヸ佈ミ㹼ヸʸʷꗜヘሇ ƁЈሇሇሇƊЈ83ƉЈ佴ミʸʷሇሇ ƒЌ㺬ヸ佈ミ㹼ヸʸʷꗜヘሇ ƛЈሇሇሇƤЈ,ƣЈ佴ミʸʷሇሇ ƬЌ㺬ヸ佈ミ㹼ヸʸʷꗜヘሇ ƵЈሇሇሇƾЈponeƽЈ佴ミʸʷ$ሇሇ ņЌ㺬ヸ佈ミ㹼ヸʸʷꗜヘሇ ŏЈሇሇሇňЈServicioŕЈ佴ミʸʷ-ሇሇ ŞЌ㺬ヸ佈ミ㹼ヸʸʷꗜヘሇ ŧЈሇሇሇŠЈparaůЈ佴ミʸʷ2ሇሇ ŨЌ㺬ヸ佈ミ㹼ヸʸʷꗜヘሇ űЈሇሇሇźЈelŹЈ佴ミʸʷ5ሇሇ ĂЌ㺬ヸ佈ミ㹼ヸʸʷꗜヘሇ ċЈሇሇሇĔЈNiñoēЈ佴ミʸʷ:ሇሇ ĜЌ㺬ヸ佈ミ㹼ヸʸʷꗜヘሇ ĥЈሇሇሇĮЈyĭЈ佴ミʸʷ&lt;ሇሇ ĶЌ㺬ヸ佈ミ㹼ヸʸʷꗜヘሇ ĿЈሇሇሇĸЈlaǇЈ佴ミʸʷ?ሇሇ ǀЌ㺬ヸ佈ミ㹼ヸʸʷꗜヘሇ ǉЈሇሇሇǒЈFamiliaǟЈ佴ミʸʷGሇሇ ǘЌ㺬ヸ佈ミ㹼ヸʸʷꗜヘሇ ǡЈሇሇሇǪЈdeǩЈ佴ミʸʷJሇሇ ǲЌ㺬ヸ佈ミ㹼ヸʸʷꗜヘሇ ǻЈሇሇሇƄЈlasƃЈ佴ミʸʷNሇሇ ƌЌ㺬ヸ佈ミ㹼ヸʸʷꗜヘሇ ƕЈሇሇሇƞЈPrimerasƛЈ佴ミʸʷWሇሇ ƤЌ㺬ヸ佈ミ㹼ヸʸʷꗜヘሇ ƭЈሇሇሇƶЈNacionesƳЈ佴ミʸʷ_ሇሇ ƼЌ㺬ヸ佈ミ㹼ヸʸʷꗜヘሇ ŅЈሇሇሇŎЈ.ōЈ佴ミʸʷaሇሇ ŖЌ㺬ヸ佈ミ㹼ヸʸʷꗜヘሇ şЈሇሇሇŘЈEnŧЈ佴ミʸʷdሇሇ ŠЌ㺬ヸ佈ミ㹼ヸʸʷꗜヘሇ ũЈሇሇሇŲЈ&#10;otrosűЈ佴ミʸʷj&#10;ሇሇ źЌ㺬ヸ佈ミ㹼ヸʸʷꗜヘሇ ăЈሇሇሇČЈdocumentosĉЈ佴ミʸʷuሇሇ ĒЌ㺬ヸ佈ミ㹼ヸʸʷꗜヘሇ ěЈሇሇሇĤЈponeģЈ佴ミʸʷzሇሇ ĬЌ㺬ヸ佈ミ㹼ヸʸʷꗜヘሇ ĵЈሇሇሇľЈ&#10;otrasĽЈ佴ミʸʷሇሇ ǆЌ㺬ヸ佈ミ㹼ヸʸʷꗜヘሇ ǏЈሇሇሇǈЈ&#10;cosasǗЈ佴ミʸʷሇሇ ǐЌ㺬ヸ佈ミ㹼ヸʸʷꗜヘሇ ǙЈሇሇሇǢЈ,ǡЈ佴ミʸʷሇሇ ǪЌ㺬ヸ佈ミ㹼ヸʸʷꗜヘሇ ǳЈሇሇሇǼЈnoǻЈ佴ミʸʷሇሇ ƄЌ㺬ヸ佈ミ㹼ヸʸʷꗜヘሇ ƍЈሇሇሇƖЈestáƕЈ佴ミʸʷ ሇሇ ƞЌ㺬ヸ佈ミ㹼ヸʸʷꗜヘሇ ƧЈሇሇሇƠЈunificadoƭЈ佴ミʸʷሇሇ ƶЌ㺬ヸ佈ミ㹼ヸʸʷꗜヘሇ ƿЈሇሇሇƸЈ.ȀကЀŇЈ佴ミʸʷሇሇ ŀЌ㺬ヸ佈ミ㹼ヸʸʷꗜヘሇ ŉЈሇሇሇŒЈ&#10;őЈ.rr.ŜЈ.śЈdeŦЈdeťЈEn.6ŠЈlascado.ŭЈ54en ListŶЈreservas.ųЈ佴ミʸʷሇሇżЈlasŻЈlosЌ떐ᇃ뙀ᇃĄЈሇሇሇāЈ,ČЈlosċЈparaĖЈaĕЈqueĐЈ&#10;sobreğЌ腘᠏⸈ᠵĝЈሇሇ㘠ለ ĦЌ㺬ヸ佈ミ㹼ヸʸʷꗜヘሇa  įЈ佴ミʸʷ㙜ለሇ ĨЌ㺬ヸ佈ミ㹼ヸʸʷꗜヘሇad ıЈሇሇሇde lĺЈ佴ミʸʷ㚌ለሇ ǇЌ㺬ヸ佈ミ㹼ヸʸʷꗜヘሇen ǌЈሇሇሇseguǉЈ佴ミʸʷ㛌ለሇ ǒЌ㺬ヸ佈ミ㹼ヸʸʷꗜヘሇci ǛЈሇሇሇ y pǤЈ佴ミʸʷ㚤ለሇ ǡЌ㺬ヸ佈ミ㹼ヸʸʷꗜヘሇ f ǶЈሇሇሇrimeǳЈ佴ミʸʷሇሇ ǼЌ㺬ヸ佈ミ㹼ヸʸʷꗜヘሇno ƅЈሇ㞐ለሇnciaƎЈ佴ミʸʷ㞴ለ㝀ለƋЈlos.&#10; ƖЌ㺬ヸ佈ミ㹼ヸʸʷꗜヘሇ ƟЈ佴ミʸʷሇሇ ƘЌ㺬ヸ佈ミ㹼ヸʸʷꗜヘሇ ơЈሇሇሇƪЈ佴ミʸʷሇሇ ƷЌ㺬ヸ佈ミ㹼ヸʸʷꗜヘሇ ƼЈሇሇሇƹЈ佴ミʸʷሇሇ łЌ㺬ヸ佈ミ㹼ヸʸʷꗜヘሇ ŋЈሇ蘿ሇሇŔЈ佴ミʸʷሇሇ őЌ㺬ヸ佈ミ㹼ヸʸʷꗜヘ龜ሇ ŦЈሇ令ሇሇţЈ佴ミʸʷሇ菱ሇ ŬЌ㺬ヸ佈ミ㹼ヸʸʷꗜヘ裂ሇ ŵЈ良ሇ懲ሇ蘿ሇžЈ佴ミʸʷሇ藺ሇ ŻЌ㺬ヸ佈ミ㹼ヸʸʷꗜヘ器ሇ ĀЈ﨔ሇ齃ሇ令ሇčЈ佴ミʸʷ﫼ሇ愈ሇ ĖЌ㺬ヸ佈ミ㹼ヸʸʷꗜヘ𢡄ሇ ğЈ窱ሇﮘሇ懲ሇĘЈPrimerasĥЈ佴ミʸʷ%﮼ሇרּሇ ĮЌ㺬ヸ佈ミ㹼ヸʸʷꗜヘﮐሇ ķЈﭬሇﱘሇ齃ሇİЈNacionesĽЈ佴ミʸʷ-ሇﰈሇ ǆЌ㺬ヸ佈ミ㹼ヸʸʷꗜヘﱐሇ ǏЈﰬሇﳰሇﮘሇǈЈ佴ミʸʷ/ሇﲠሇ ǕЌ㺬ヸ佈ミ㹼ヸʸʷꗜヘﳨሇ ǚЈﳄሇﶈሇﱘሇǧЈ佴ミʸʷ3&#10;ﶬሇﴸሇ ǠЌ㺬ヸ佈ミ㹼ヸʸʷꗜヘﶀሇ ǩЈﵜሇ﹈ሇﳰሇǲЈorganismosǿЈ佴ミʸʷ&gt;ሇﷸሇ ǸЌ㺬ヸ佈ミ㹼ヸʸʷꗜヘ﹀ሇ ƁЈ︜ሇﻠሇﶈሇƊЈ佴ミʸʷAሇﺐሇ ƗЌ㺬ヸ佈ミ㹼ヸʸʷꗜヘﻘሇ ƜЈﺴሇｸሇ﹈ሇƙЈ佴ミʸʷE ﾜሇＨሇ ƢЌ㺬ヸ佈ミ㹼ヸʸʷꗜヘｰሇ ƫЈｌሇ8ለﻠሇƴЈServiciosƱЈ佴ミʸʷOሇ￨ሇ ƺЌ㺬ヸ佈ミ㹼ヸʸʷꗜヘ0ለ ŃЈለÐለｸሇŌЈ佴ミʸʷTôለለ ŉЌ㺬ヸ佈ミ㹼ヸʸʷꗜヘÈለ ŞЈ¤ለƀለ8ለśЈelŦЈ佴ミʸʷWƤለİለ ţЌ㺬ヸ佈ミ㹼ヸʸʷꗜヘŸለ ŨЈŔለȰለÐለŵЈniñoŰЈ佴ミʸʷ\ɔለǠለ ŽЌ㺬ヸ佈ミ㹼ヸʸʷꗜヘȨለ ĂЈȄለˠለƀለďЈyĊЈ佴ミʸʷ^̄ለʐለ ėЌ㺬ヸ佈ミ㹼ヸʸʷꗜヘ˘ለ ĜЈʴለΐለȰለęЈlaĤЈ佴ミʸʷaδለ̀ለ ġЌ㺬ヸ佈ミ㹼ヸʸʷꗜヘΈለ ĶЈͤለѐለˠለĳЈfamiliaļЈ佴ミʸʷiѴለЀለ ĹЌ㺬ヸ佈ミ㹼ヸʸʷꗜヘшለ ǎЈФለԀለΐለǋЈdeǖЈ佴ミʸʷlԤለҰለ ǓЌ㺬ヸ佈ミ㹼ヸʸʷꗜヘӸለ ǘЈӔለְለѐለǥЈlasǠЈ佴ミʸʷpהለՠለ ǭЌ㺬ヸ佈ミ㹼ヸʸʷꗜヘ֨ለ ǲЈքለٰለԀለǿЈPrimerasǸЈ佴ミʸʷyڔለؠለ ƅЌ㺬ヸ佈ミ㹼ヸʸʷꗜヘ٨ለ ƊЈلለܰለְለƗЈNacionesƐЈ佴ミʸʷ&#10;ݔለ۠ለ ƝЌ㺬ヸ佈ミ㹼ヸʸʷꗜヘܨለ ƢЈ܄ለ߰ለٰለƯЈgarantizanƨЈ佴ミʸʷࠔለޠለ ƵЌ㺬ヸ佈ミ㹼ヸʸʷꗜヘߨለ ƺЈ߄ለࢠለܰለŇЈlałЈ佴ミʸʷ ࣄለࡐለ ŏЌ㺬ヸ佈ミ㹼ヸʸʷꗜヘ࢘ለ ŔЈࡴለॠለ߰ለőЈseguridadŚЈ佴ミʸʷ঄ለऐለ ŧЌ㺬ヸ佈ミ㹼ヸʸʷꗜヘक़ለ ŬЈऴለਐለࢠለũЈyŴЈ佴ミʸʷ਴ለীለ űЌ㺬ヸ佈ミ㹼ヸʸʷꗜヘਈለ ĆЈ৤ለીለॠለăЈelĎЈ佴ミʸʷ ૤ለੰለ ċЌ㺬ヸ佈ミ㹼ヸʸʷꗜヘસለ ĐЈઔለ஀ለਐለĝЈbienestarĦЈ佴ミʸʷ©தለରለ ģЌ㺬ヸ佈ミ㹼ヸʸʷꗜヘ୸ለ ĨЈ୔ለరለીለĵЈdeİЈ佴ミʸʷ¬౔ለ௠ለ ĽЌ㺬ヸ佈ミ㹼ヸʸʷꗜヘనለ ǂЈఄለೠለ஀ለǏЈlosǊЈ佴ミʸʷ°ഄለಐለ ǗЌ㺬ヸ佈ミ㹼ヸʸʷꗜヘ೘ለ ǜЈ಴ለඐለరለǙЈ&#10;niñosǤЈ佴ミʸʷ¶පለീለ ǡЌ㺬ヸ佈ミ㹼ヸʸʷꗜヘඈለ ǶЈ൤ለเለೠለǳЈdeǾЈ佴ミʸʷ¹๤ለ෰ለ ǻЌ㺬ヸ佈ミ㹼ヸʸʷꗜヘุለ ƀЈดለ໰ለඐለƍЈlasƈЈ佴ミʸʷ½༔ለຠለ ƕЌ㺬ヸ佈ミ㹼ヸʸʷꗜヘ໨ለ ƚЈໄለྰለเለƧЈPrimerasƠЈ佴ミʸʷÆ࿔ለའለ ƭЌ㺬ヸ佈ミ㹼ヸʸʷꗜヘྨለ ƲЈ྄ለၰለ໰ለƿЈNacionesƸЈ佴ミʸʷÎ႔ለဠለ ŅЌ㺬ヸ佈ミ㹼ヸʸʷꗜヘၨለ ŊЈ၄ለᄠለྰለŗЈ,ŒЈ佴ミʸʷÐᅄለაለ şЌ㺬ヸ佈ミ㹼ヸʸʷꗜヘᄘለ ŤЈჴለᇐለၰለšЈyŬЈ佴ミʸʷÒ ᇴለᆀለ ũЌ㺬ヸ佈ミ㹼ヸʸʷꗜヘᇈለ žЈᆤለነለᄠለŻЈpromuevenĄЈ佴ミʸʷÜኴለቀለ āЌ㺬ヸ佈ミ㹼ヸʸʷꗜヘኈለ ĖЈቤለፀለᇐለēЈunĞЈ佴ミʸʷß፤ለደለ ěЌ㺬ヸ佈ミ㹼ヸʸʷꗜヘጸለ ĠЈጔለ᐀ለነለĭЈambienteĶЈ佴ミʸʷèᐤለᎰለ ĳЌ㺬ヸ佈ミ㹼ヸʸʷꗜヘᏸለ ĸЈᏔለᓀለፀለǅЈfamiliarǎЈ佴ミʸʷñᓤለᑰለ ǋЌ㺬ヸ佈ミ㹼ヸʸʷꗜヘᒸለ ǐЈᒔለᕰለ᐀ለǝЈmásǘЈ佴ミʸʷõᖔለᔠለ ǥЌ㺬ヸ佈ミ㹼ヸʸʷꗜヘᕨለ ǪЈᕄለᘰለᓀለǷЈseguroǰЈ佴ミʸʷüᙔለᗠለ ǽЌ㺬ヸ佈ミ㹼ヸʸʷꗜヘᘨለ ƂЈᘄለᛠለᕰለƏЈyƊЈ佴ミʸʷþᜄለᚐለ ƗЌ㺬ヸ佈ミ㹼ヸʸʷꗜヘᛘለ ƜЈᚴለហለᘰለƙЈestableƢЈ佴ミʸʷĆោለᝐለ ƯЌ㺬ヸ佈ミ㹼ヸʸʷꗜヘមለ ƴЈ᝴ለᡐለᛠለƱЈparaƼЈ佴ミʸʷċᡴለ᠀ለ ƹЌ㺬ヸ佈ミ㹼ヸʸʷꗜヘᡈለ ŎЈᠤለᤀለហለŋЈlosŖЈ佴ミʸʷďᤤለᢰለ œЌ㺬ヸ佈ミ㹼ヸʸʷꗜヘ᣸ለ ŘЈᣔለᦰለᡐለťЈ&#10;niñosŠЈ佴ミʸʷĔ᧔ለᥠለ ŭЌ㺬ヸ佈ミ㹼ヸʸʷꗜヘᦨለ ŲЈᦄለ᩠ለᤀለſЈ,źЈ佴ミʸʷĖ᪄ለᨐለ ćЌ㺬ヸ佈ミ㹼ヸʸʷꗜヘᩘለ ČЈᨴለᬠለᦰለĉЈmedianteĒЈ佴ミʸʷğ᭄ለ᫐ለ ğЌ㺬ヸ佈ミ㹼ヸʸʷꗜヘᬘለ ĤЈ᫴ለᯐለ᩠ለġЈelĬЈ佴ミʸʷĢ᯴ለᮀለ ĩЌ㺬ヸ佈ミ㹼ヸʸʷꗜヘᯈለ ľЈᮤለᲀለᬠለĻЈ&#10;apoyoǆЈ佴ミʸʷĨᲤለᰰለ ǃЌ㺬ヸ佈ミ㹼ヸʸʷꗜヘᱸለ ǈЈ᱔ለᴰለᯐለǕЈaǐЈ佴ミʸʷĪ ᵔለ᳠ለ ǝЌ㺬ヸ佈ミ㹼ヸʸʷꗜヘᴨለ ǢЈᴄለᷰለᲀለǯЈserviciosǨЈ佴ミʸʷĴḔለᶠለ ǵЌ㺬ヸ佈ミ㹼ヸʸʷꗜヘᷨለ ǺЈ᷄ለẠለᴰለƇЈdeƂЈ佴ミʸʷķ&#10;ỄለṐለ ƏЌ㺬ヸ佈ミ㹼ヸʸʷꗜヘẘለ ƔЈṴለὠለᷰለƑЈprevenciónƚЈ佴ミʸʷłᾄለἐለ ƧЌ㺬ヸ佈ミ㹼ヸʸʷꗜヘ὘ለ ƬЈἴለ‐ለẠለƩЈyƴЈ佴ミʸʷń&#10;‴ለ῀ለ ƱЌ㺬ヸ佈ミ㹼ヸʸʷꗜヘ ለ ņЈῤለ⃐ለὠለŃЈprotecciónŌЈ佴ミʸʷŏ&#10;⃴ለ₀ለ ŉЌ㺬ヸ佈ミ㹼ヸʸʷꗜヘ⃈ለ ŞЈ₤ለ←ለ‐ለśЈculturalmenteŤЈ佴ミʸʷŝ ↴ለ⅀ለ šЌ㺬ヸ佈ミ㹼ヸʸʷꗜヘↈለ ŶЈⅤለ≐ለ⃐ለųЈadecuadosżЈ佴ミʸʷŧ≴ለ∀ለ ŹЌ㺬ヸ佈ミ㹼ヸʸʷꗜヘ≈ለ ĎЈ∤ለ⌀ለ←ለċЈparaĖЈ佴ミʸʷŬ⌤ለ⊰ለ ēЌ㺬ヸ佈ミ㹼ヸʸʷꗜヘ⋸ለ ĘЈ⋔ለ⎰ለ≐ለĥЈlosĠЈ佴ミʸʷŰ⏔ለ⍠ለ ĭЌ㺬ヸ佈ミ㹼ヸʸʷꗜヘ⎨ለ ĲЈ⎄ለ①ለ⌀ለĿЈ&#10;niñosĺЈ佴ミʸʷŶ⒄ለ␐ለ ǇЌ㺬ヸ佈ミ㹼ヸʸʷꗜヘ⑘ለ ǌЈ␴ለ┐ለ⎰ለǉЈyǔЈ佴ミʸʷŸ┴ለⓀለ ǑЌ㺬ヸ佈ミ㹼ヸʸʷꗜヘ┈ለ ǦЈⓤለ◀ለ①ለǣЈlasǮЈ佴ミʸʷż◤ለ╰ለ ǫЌ㺬ヸ佈ミ㹼ヸʸʷꗜヘ▸ለ ǰЈ▔ለ⚀ለ┐ለǽЈfamiliasƆЈ佴ミʸʷƅ⚤ለ☰ለ ƃЌ㺬ヸ佈ミ㹼ヸʸʷꗜヘ♸ለ ƈЈ♔ለ✰ለ◀ለƕЈdeƐЈ佴ミʸʷƈ❔ለ⛠ለ ƝЌ㺬ヸ佈ミ㹼ヸʸʷꗜヘ✨ለ ƢЈ✄ለ⟠ለ⚀ለƯЈlasƪЈ佴ミʸʷƌ⠄ለ➐ለ ƷЌ㺬ヸ佈ミ㹼ヸʸʷꗜヘ⟘ለ ƼЈ➴ለ⢠ለ✰ለƹЈPrimerasłЈ佴ミʸʷƕ⣄ለ⡐ለ ŏЌ㺬ヸ佈ミ㹼ヸʸʷꗜヘ⢘ለ ŔЈ⡴ለ⥠ለ⟠ለőЈNacionesŚЈ佴ミʸʷƝ⦄ለ⤐ለ ŧЌ㺬ヸ佈ミ㹼ヸʸʷꗜヘ⥘ለ ŬЈ⤴ለ⨐ለ⢠ለũЈ,ŴЈ佴ミʸʷƟ⨴ለ⧀ለ űЌ㺬ヸ佈ミ㹼ヸʸʷꗜヘ⨈ለ ĆЈ⧤ለ⫀ለ⥠ለăЈdeĎЈ佴ミʸʷƢ⫤ለ⩰ለ ċЌ㺬ヸ佈ミ㹼ヸʸʷꗜヘ⪸ለ ĐЈ⪔ለ⮀ለ⨐ለĝЈconformidadĦЈ佴ミʸʷƮ⮤ለ⬰ለ ģЌ㺬ヸ佈ミ㹼ヸʸʷꗜヘ⭸ለ ĨЈ⭔ለⰰለ⫀ለĵЈconİЈ佴ミʸʷƲⱔለ⯠ለ ĽЌ㺬ヸ佈ミ㹼ヸʸʷꗜヘⰨለ ǂЈⰄለⳠለ⮀ለǏЈlaǊЈ佴ミʸʷƵⴄለⲐለ ǗЌ㺬ヸ佈ミ㹼ヸʸʷꗜヘⳘለ ǜЈⲴለⶠለⰰለǙЈlegislaciónǢЈ佴ミʸʷǁⷄለⵐለ ǯЌ㺬ヸ佈ミ㹼ヸʸʷꗜヘ⶘ለ ǴЈ⵴ለ⹐ለⳠለǱЈyǼЈ佴ミʸʷǃ⹴ለ⸀ለ ǹЌ㺬ヸ佈ミ㹼ヸʸʷꗜヘ⹈ለ ƎЈ⸤ለ⼀ለⶠለƋЈlasƖЈ佴ミʸʷǇ⼤ለ⺰ለ ƓЌ㺬ヸ佈ミ㹼ヸʸʷꗜヘ⻸ለ ƘЈ⻔ለ⿀ለ⹐ለƥЈnormasƮЈ佴ミʸʷǎ⿤ለ⽰ለ ƫЌ㺬ヸ佈ミ㹼ヸʸʷꗜヘ⾸ለ ưЈ⾔ለばለ⼀ለƽЈdeƸЈ佴ミʸʷǑゔለ〠ለ ŅЌ㺬ヸ佈ミ㹼ヸʸʷꗜヘとለ ŊЈいለㄠለ⿀ለŗЈlaŒЈ佴ミʸʷǔ ㅄለバለ şЌ㺬ヸ佈ミ㹼ヸʸʷꗜヘㄘለ ŤЈヴለ㇠ለばለšЈprovinciaŪЈ佴ミʸʷǞ㈄ለ㆐ለ ŷЌ㺬ヸ佈ミ㹼ヸʸʷꗜヘ㇘ለ żЈㆴለ㊐ለㄠለŹЈoĄЈ佴ミʸʷǠ㊴ለ㉀ለ āЌ㺬ヸ佈ミ㹼ヸʸʷꗜヘ㊈ለ ĖЈ㉤ለ㍀ለ㇠ለēЈelĞЈ佴ミʸʷǣ&#10;㍤ለ㋰ለ ěЌ㺬ヸ佈ミ㹼ヸʸʷꗜヘ㌸ለ ĠЈ㌔ለ㐀ለ㊐ለĭЈterritorioĶЈ佴ミʸʷǮ㐤ለ㎰ለ ĳЌ㺬ヸ佈ミ㹼ヸʸʷꗜヘ㏸ለ ĸЈ㏔ለ㒰ለ㍀ለǅЈdeǀЈ佴ミʸʷǱ&#10;㓔ለ㑠ለ ǍЌ㺬ヸ佈ミ㹼ヸʸʷꗜヘ㒨ለ ǒЈ㒄ለ㕰ለ㐀ለǟЈresidencia"/>
        </w:smartTagPr>
        <w:r>
          <w:t>la Real Policía Montada</w:t>
        </w:r>
      </w:smartTag>
      <w:r>
        <w:t xml:space="preserve"> del Canadá, el Ministerio de Justicia del Canadá, y los ministerios del Yukón de Salud Pública y Servicios Sociales, de Educación, y de Justicia, permite dar una respuesta coordinada y basada en la investigación a las notificaciones y revelaciones de malos tratos padecidos por niños.</w:t>
      </w:r>
    </w:p>
    <w:p w:rsidR="00AA5B69" w:rsidRDefault="00AA5B69">
      <w:pPr>
        <w:spacing w:after="120"/>
        <w:ind w:left="1134" w:right="1134"/>
        <w:jc w:val="both"/>
      </w:pPr>
      <w:r>
        <w:t>65.</w:t>
      </w:r>
      <w:r>
        <w:tab/>
        <w:t>Entre otros mecanismos intergubernamentales de colaboración sobre cuestiones relacionadas con el Protocolo figuran los siguientes:</w:t>
      </w:r>
    </w:p>
    <w:p w:rsidR="00AA5B69" w:rsidRDefault="00AA5B69">
      <w:pPr>
        <w:pStyle w:val="Bullet1G"/>
      </w:pPr>
      <w:r>
        <w:t>El Comité de coordinación federal, provincial y territorial de altos funcionarios, en la esfera del derecho de familia;</w:t>
      </w:r>
    </w:p>
    <w:p w:rsidR="00AA5B69" w:rsidRDefault="00AA5B69">
      <w:pPr>
        <w:pStyle w:val="Bullet1G"/>
      </w:pPr>
      <w:r>
        <w:t>El Grupo de trabajo federal, provincial y territorial sobre la explotación sexual de niños y jóvenes;</w:t>
      </w:r>
    </w:p>
    <w:p w:rsidR="00AA5B69" w:rsidRDefault="00AA5B69">
      <w:pPr>
        <w:pStyle w:val="Bullet1G"/>
      </w:pPr>
      <w:r>
        <w:t>El Comité de directores de bienestar de la infancia a nivel federal, provincial y territorial;</w:t>
      </w:r>
    </w:p>
    <w:p w:rsidR="00AA5B69" w:rsidRDefault="00AA5B69">
      <w:pPr>
        <w:pStyle w:val="Bullet1G"/>
      </w:pPr>
      <w:r>
        <w:t>El Grupo de trabajo sobre ciberdelincuencia del Comité de coordinación federal, provincial y territorial de altos funcionarios, en la esfera de la justicia penal;</w:t>
      </w:r>
    </w:p>
    <w:p w:rsidR="00AA5B69" w:rsidRDefault="00AA5B69">
      <w:pPr>
        <w:pStyle w:val="Bullet1G"/>
      </w:pPr>
      <w:r>
        <w:t>Los ministros de servicios sociales a nivel federal, provincial y territorial;</w:t>
      </w:r>
    </w:p>
    <w:p w:rsidR="00AA5B69" w:rsidRDefault="00AA5B69">
      <w:pPr>
        <w:pStyle w:val="Bullet1G"/>
      </w:pPr>
      <w:r>
        <w:t>El Comité sobre trata de personas del Comité de coordinación federal, provincial y territorial de altos funcionarios.</w:t>
      </w:r>
    </w:p>
    <w:p w:rsidR="00AA5B69" w:rsidRDefault="00AA5B69">
      <w:pPr>
        <w:pStyle w:val="H1G"/>
      </w:pPr>
      <w:r>
        <w:tab/>
      </w:r>
      <w:r>
        <w:tab/>
        <w:t>La difusión del Protocolo y las actividades educativas y de promoción</w:t>
      </w:r>
    </w:p>
    <w:p w:rsidR="00AA5B69" w:rsidRDefault="00AA5B69">
      <w:pPr>
        <w:spacing w:after="120"/>
        <w:ind w:left="1134" w:right="1134"/>
        <w:jc w:val="both"/>
      </w:pPr>
      <w:r>
        <w:t>66.</w:t>
      </w:r>
      <w:r>
        <w:tab/>
        <w:t>El Gobierno federal y los gobiernos provinciales y territoriales del Canadá ejecutan y apoyan diversas iniciativas destinadas a promover una mayor comprensión de los derechos humanos y los derechos del niño.</w:t>
      </w:r>
    </w:p>
    <w:p w:rsidR="00AA5B69" w:rsidRDefault="00AA5B69">
      <w:pPr>
        <w:spacing w:after="120"/>
        <w:ind w:left="1134" w:right="1134"/>
        <w:jc w:val="both"/>
      </w:pPr>
      <w:r>
        <w:t>67.</w:t>
      </w:r>
      <w:r>
        <w:tab/>
        <w:t>Por ejemplo, el Gobierno del Canadá promueve una mayor comprensión de los derechos humanos, las libertades fundamentales y los valores conexos mediante la asistencia financiera y técnica a organizaciones no gubernamentales y grupos comunitarios, a fin de que realicen actividades educativas sobre los derechos humanos. Se distribuyen gratuitamente diversos materiales sobre derechos humanos, entre los que figuran la Carta de Derechos y Libertades del Canadá, que es el principal instrumento internacional sobre derechos humanos, y los informes periódicos del Canadá presentados en virtud de los tratados internacionales de derechos humanos de las Naciones Unidas en los que el país es parte. En un sitio web se ofrece información sobre los derechos humanos en el Canadá; en él se pueden consultar en línea los instrumentos de derechos humanos, los informes periódicos presentados por el Canadá ante las Naciones Unidas y las observaciones finales de los comités de las Naciones Unidas (http://www.pch.gc.ca/ddp-hrd/index-eng.cfm).</w:t>
      </w:r>
    </w:p>
    <w:p w:rsidR="00AA5B69" w:rsidRDefault="00AA5B69">
      <w:pPr>
        <w:spacing w:after="120"/>
        <w:ind w:left="1134" w:right="1134"/>
        <w:jc w:val="both"/>
      </w:pPr>
      <w:r>
        <w:t>68.</w:t>
      </w:r>
      <w:r>
        <w:tab/>
        <w:t>El gobierno de Manitoba ha puesto en marcha una iniciativa para aumentar los conocimientos y la comprensión de los jóvenes de Manitoba acerca de sus derechos, tanto en general como en relación con los instrumentos de derechos humanos de las Naciones Unidas, que pone a su disposición en Internet diversas "publicaciones sobre derechos": http://www.childrensadvocate.mb.ca/English/what_is_new.html#publications. Entre los distintos folletos figuran los titulados "Los derechos de los jóvenes: los malos tratos y el descuido" y "Los derechos de los jóvenes: la justicia penal", que tratan cuestiones abarcadas en el Protocolo. Además, los responsables de Manitoba se han puesto en contacto con los organismos pertinentes para difundir más información sobre el Protocolo.</w:t>
      </w:r>
    </w:p>
    <w:p w:rsidR="00AA5B69" w:rsidRDefault="00AA5B69">
      <w:pPr>
        <w:spacing w:after="120"/>
        <w:ind w:left="1134" w:right="1134"/>
        <w:jc w:val="both"/>
      </w:pPr>
      <w:r>
        <w:t>69.</w:t>
      </w:r>
      <w:r>
        <w:tab/>
        <w:t>El Gobierno de Ontario organizó una conferencia interdisciplinar en marzo de 2007, en la que se debatió la Estrategia provincial de lucha contra los delitos cometidos contra los niños en Internet. Asimismo, en septiembre de 2007, Ontario auspició una conferencia titulada "Atender a los niños y jóvenes víctimas de la explotación sexual en Internet".</w:t>
      </w:r>
    </w:p>
    <w:p w:rsidR="00AA5B69" w:rsidRDefault="00AA5B69">
      <w:pPr>
        <w:spacing w:after="120"/>
        <w:ind w:left="1134" w:right="1134"/>
        <w:jc w:val="both"/>
      </w:pPr>
      <w:r>
        <w:t>70.</w:t>
      </w:r>
      <w:r>
        <w:tab/>
        <w:t xml:space="preserve">En noviembre de 1999, la Comisión de Derechos Humanos y Derechos de la Juventud de Quebec celebró el 10º aniversario de la Convención sobre los Derechos del Niño mediante la organización, junto con sus asociados, de un foro sobre los derechos de los niños de </w:t>
      </w:r>
      <w:smartTag w:uri="urn:schemas-microsoft-com:office:smarttags" w:element="PersonName">
        <w:smartTagPr>
          <w:attr w:name="ProductID" w:val="la calle. En"/>
        </w:smartTagPr>
        <w:r>
          <w:t>la calle. En</w:t>
        </w:r>
      </w:smartTag>
      <w:r>
        <w:t xml:space="preserve"> diversos debates y conferencias se trató el problema de la prostitución infantil. En 2004, </w:t>
      </w:r>
      <w:smartTag w:uri="urn:schemas-microsoft-com:office:smarttags" w:element="PersonName">
        <w:smartTagPr>
          <w:attr w:name="ProductID" w:val="la Oficina Internacional"/>
        </w:smartTagPr>
        <w:r>
          <w:t>la Oficina Internacional</w:t>
        </w:r>
      </w:smartTag>
      <w:r>
        <w:t xml:space="preserve"> de los Derechos del Niño organizó una conferencia internacional relativa a la aplicación de la Convención sobre los Derechos del Niño. El problema de la explotación sexual de los niños se abordó específicamente en dos reuniones plenarias: en una de ellas se trató la cuestión de la trata de niños, y en la otra, la justicia para los niños víctimas y testigos de actos delictivos.</w:t>
      </w:r>
    </w:p>
    <w:p w:rsidR="00AA5B69" w:rsidRDefault="00AA5B69">
      <w:pPr>
        <w:spacing w:after="120"/>
        <w:ind w:left="1134" w:right="1134"/>
        <w:jc w:val="both"/>
      </w:pPr>
      <w:r>
        <w:t>71.</w:t>
      </w:r>
      <w:r>
        <w:tab/>
        <w:t>El Gobierno federal y los gobiernos provinciales y territoriales garantizan asimismo la distribución del Protocolo a los ministerios pertinentes. Por ejemplo, se ha distribuido el Protocolo a los ministerios del gobierno de Saskatchewan, por conducto del Comité interministerial sobre derechos humanos y del Comité interministerial contra la explotación sexual de los niños y los jóvenes, que se encargan de supervisar los programas y servicios provinciales relacionados con la explotación de los niños y los jóvenes.</w:t>
      </w:r>
    </w:p>
    <w:p w:rsidR="00AA5B69" w:rsidRDefault="00AA5B69">
      <w:pPr>
        <w:pStyle w:val="H1G"/>
      </w:pPr>
      <w:r>
        <w:tab/>
      </w:r>
      <w:r>
        <w:tab/>
        <w:t>La capacitación de los grupos profesionales y paraprofesionales</w:t>
      </w:r>
    </w:p>
    <w:p w:rsidR="00AA5B69" w:rsidRDefault="00AA5B69">
      <w:pPr>
        <w:spacing w:after="120"/>
        <w:ind w:left="1134" w:right="1134"/>
        <w:jc w:val="both"/>
      </w:pPr>
      <w:r>
        <w:t>72.</w:t>
      </w:r>
      <w:r>
        <w:tab/>
        <w:t>En todas las jurisdicciones se han elaborado instrumentos y estrategias para hacer cumplir la ley y de concienciación destinados a combatir la explotación de los niños.</w:t>
      </w:r>
    </w:p>
    <w:p w:rsidR="00AA5B69" w:rsidRDefault="00AA5B69">
      <w:pPr>
        <w:spacing w:after="120"/>
        <w:ind w:left="1134" w:right="1134"/>
        <w:jc w:val="both"/>
      </w:pPr>
      <w:r>
        <w:t>73.</w:t>
      </w:r>
      <w:r>
        <w:tab/>
        <w:t>El Gobierno del Canadá continúa la labor de dirigir, apoyar y poner en práctica numerosas iniciativas, tanto a nivel nacional como internacional, destinadas a evitar la trata, sensibilizar sobre la trata de personas, capacitar a los funcionarios que pueden estar en contacto con las personas víctimas de este fenómeno, y aumentar la concienciación pública sobre este problema. El Gobierno del Canadá ha financiado o dirigido la elaboración de diversos instrumentos de concienciación pública sobre la trata de personas (carteles, folletos y videos). Los funcionarios federales imparten capacitación multidisciplinar sobre este delito a los policías de todo el país. Por ejemplo, en 2005, el Gobierno del Canadá publicó un instrumento de capacitación destinado a los policías titulado "La trata de personas: guía de referencia para las fuerzas del orden del Canadá", que se puede consultar en: http://www.icclr.law.ubc.ca/Publications/Reports/human_trafficking_2005.pdf.</w:t>
      </w:r>
    </w:p>
    <w:p w:rsidR="00AA5B69" w:rsidRDefault="00AA5B69">
      <w:pPr>
        <w:spacing w:after="120"/>
        <w:ind w:left="1134" w:right="1134"/>
        <w:jc w:val="both"/>
      </w:pPr>
      <w:r>
        <w:t>74.</w:t>
      </w:r>
      <w:r>
        <w:tab/>
        <w:t xml:space="preserve">El Canadá también ha apoyado los esfuerzos desplegados por la Oficina de las Naciones Unidas contra la Droga y el Delito, la Organización de los Estados Americanos (OEA) y </w:t>
      </w:r>
      <w:smartTag w:uri="urn:schemas-microsoft-com:office:smarttags" w:element="PersonName">
        <w:smartTagPr>
          <w:attr w:name="ProductID" w:val="la Organizaci￳n Internacional"/>
        </w:smartTagPr>
        <w:r>
          <w:t>la Organización Internacional</w:t>
        </w:r>
      </w:smartTag>
      <w:r>
        <w:t xml:space="preserve"> para las Migraciones (OIM) destinados a formular y mejorar las respuestas de lucha contra la trata en todo el mundo, incluida la trata de niños.</w:t>
      </w:r>
    </w:p>
    <w:p w:rsidR="00AA5B69" w:rsidRDefault="00AA5B69">
      <w:pPr>
        <w:spacing w:after="120"/>
        <w:ind w:left="1134" w:right="1134"/>
        <w:jc w:val="both"/>
      </w:pPr>
      <w:r>
        <w:t>75.</w:t>
      </w:r>
      <w:r>
        <w:tab/>
        <w:t>En 2004, el Canadá, junto con la OIM, organizó un seminario de capacitación sobre la trata de personas para fiscales, funcionarios de policía, de inmigración y de aduanas, y consulares. En mayo de 2005, el Gobierno del Canadá, en colaboración con diversas organizaciones no gubernamentales y el gobierno de Columbia Británica, organizó un seminario de capacitación similar, destinado a las fuerzas del orden, los funcionarios gubernamentales y miembros de la sociedad civil.</w:t>
      </w:r>
    </w:p>
    <w:p w:rsidR="00AA5B69" w:rsidRDefault="00AA5B69">
      <w:pPr>
        <w:spacing w:after="120"/>
        <w:ind w:left="1134" w:right="1134"/>
        <w:jc w:val="both"/>
      </w:pPr>
      <w:r>
        <w:t>76.</w:t>
      </w:r>
      <w:r>
        <w:tab/>
        <w:t>En noviembre de 2006, el Gobierno del Canadá organizó el Taller regional del Atlántico sobre la trata de personas, con objeto de contribuir a la sensibilización de las autoridades encargadas de hacer cumplir la ley y las organizaciones comunitarias de primera línea. Además, cada año se organizan talleres nacionales para las fuerzas del orden, destinados a los encargados de la investigación de la explotación sexual de niños en Internet.</w:t>
      </w:r>
    </w:p>
    <w:p w:rsidR="00AA5B69" w:rsidRDefault="00AA5B69">
      <w:pPr>
        <w:spacing w:after="120"/>
        <w:ind w:left="1134" w:right="1134"/>
        <w:jc w:val="both"/>
      </w:pPr>
      <w:r>
        <w:t>77.</w:t>
      </w:r>
      <w:r>
        <w:tab/>
        <w:t>En 2005, se creó el curso del Canadá sobre la explotación de los niños en Internet. Se trata de un curso de diez días de duración, impartido por la Academia de Policía del Canadá, destinado a expertos especializados en la esfera de la explotación de los niños en Internet (es decir, para ayudar a los investigadores en sus investigaciones y acusaciones de los delitos cometidos en línea). Véase más información en: http://www.cpc.gc.ca/courses/ descript/cice_e.htm.</w:t>
      </w:r>
    </w:p>
    <w:p w:rsidR="00AA5B69" w:rsidRDefault="00AA5B69">
      <w:pPr>
        <w:spacing w:after="120"/>
        <w:ind w:left="1134" w:right="1134"/>
        <w:jc w:val="both"/>
      </w:pPr>
      <w:r>
        <w:t>78.</w:t>
      </w:r>
      <w:r>
        <w:tab/>
        <w:t>Tanto en el Canadá como en el extranjero, los funcionarios canadienses, incluidos los de los puertos de entrada al país, reciben información y capacitación sobre los métodos utilizados para trasladar ilegalmente a los niños, la forma de encontrar y ayudar a los niños desaparecidos y secuestrados, y la detección e identificación de las víctimas de la trata y el traslado clandestino. Se los instruye sobre la solicitud de cartas certificadas de autorización en los casos de niños que viajan solos o con un tutor, así como sobre la manera de reconocer los indicios que podrían suscitar sospechas sobre la relación existente entre un niño y un adulto acompañante, o un progenitor o un tutor. También se sensibiliza a los funcionarios de los puestos fronterizos acerca de que, en toda situación que afecte a un niño, el funcionario debe atenerse al interés superior del niño. Además, se les imparte capacitación sobre la detección de material obsceno y de pornografía infantil.</w:t>
      </w:r>
    </w:p>
    <w:p w:rsidR="00AA5B69" w:rsidRDefault="00AA5B69">
      <w:pPr>
        <w:spacing w:after="120"/>
        <w:ind w:left="1134" w:right="1134"/>
        <w:jc w:val="both"/>
      </w:pPr>
      <w:r>
        <w:t>79.</w:t>
      </w:r>
      <w:r>
        <w:tab/>
        <w:t>El gobierno de Columbia Británica ha publicado o ha financiado la publicación de material de información sobre distintas cuestiones abarcadas en el Protocolo. Algunos ejemplos son las Directrices para la prestación de servicios a los jóvenes, destinadas a ayudar a diseñar y prestar servicios basados en la comunidad, y el documento publicado por el Instituto de Justicia de Columbia Británica titulado "Explotación sexual comercial: ideas innovadoras para trabajar con los niños y los jóvenes", de 2002 (se pueden consultar en línea en: http://www.mcf.gov.bc.ca/youth/publications.htm). Asimismo, en la Guía de actuación en los casos de malos tratos y descuido de niños de Columbia Británica se establece que los responsables de la protección infantil, los trabajadores de la salud y de la educación, y la policía deben colaborar para evitar que se realicen múltiples entrevistas a los niños y adoptar medidas para protegerlos (http://www.mcf.gov.bc.ca/child_protection/ pdf/handbook_action_child_abuse.pdf). Estas directrices se refuerzan en los protocolos locales.</w:t>
      </w:r>
    </w:p>
    <w:p w:rsidR="00AA5B69" w:rsidRDefault="00AA5B69">
      <w:pPr>
        <w:spacing w:after="120"/>
        <w:ind w:left="1134" w:right="1134"/>
        <w:jc w:val="both"/>
      </w:pPr>
      <w:r>
        <w:t>80.</w:t>
      </w:r>
      <w:r>
        <w:tab/>
        <w:t xml:space="preserve">En Alberta se imparte formación especializada, a todos los asistentes sociales designados en la legislación, sobre la intervención en los casos de niños víctimas de explotación sexual mediante </w:t>
      </w:r>
      <w:smartTag w:uri="urn:schemas-microsoft-com:office:smarttags" w:element="PersonName">
        <w:smartTagPr>
          <w:attr w:name="ProductID" w:val="睌ޞ 짠秪뫹ᇎ芌ꨀ䬀ன릨ᩔ쨀ᆊ᪘៊ᡶCLSID\{79EAC9E0-BAF9-11CE-8C82-00AA004BA90B}᭗節ᢨà᩠ģԈ(ቯ 䃰ʸࠉᡝ ǇԌ㺬ヸ佈ミ㹼ヸʸʷꗜヘ㷘ʻ낀ŋ  ǌԌ㺬ヸ佈ミ㹼ヸʸʷꗜヘꏸ៨&#10; ǕԌ滈瑫溴瑫.蜄ᡱ撄瑫ᖜ瑫 &#10;ǛԌ㺬ヸ佈ミ㹼ヸʸʷꗜヘ០៊&#10; ǠԌ滈瑫溴瑫.琜᠊撄瑫ᖜ瑫0&#10;ǶԈ佴ミʸʷ鷼៊齸៊ǳԈ佴ミʸʷᕬ៦Ṹ៊ǼԈẜ៊Ḱ៊៨៊ǹԈ佴ミʸʷᔼ៦ሰ៊ƂԈᑜ៊Ỉ៊ᷠ៊ƏԈ佴ミʸʷ ᖄ៦ᐸ៊ ƈԌ㺬ヸ佈ミ㹼ヸʸʷꗜヘᷘ៊ ƑԈቔ៊愈ោḰ៊ƚԈ佴ミʸʷ&#10;ᗔ៦ඈ៊ƧԈ뿔៭Ῐ៊뽐៭LƠԈ3047088爢ǌ戰ꢒǌƭԈ佴ミʸʷıῼ៊ᾈ៊ ƶԌ㺬ヸ佈ミ㹼ヸʸʷꗜヘῐ៊ꖾ ƿԈᾬ៊₈៊Ἐ៊᠀刀㄀ƸԈ&amp;繊2㨀̀ŇԈ佴ミʸʷĲ€៊‸៊ ŀԌ㺬ヸ佈ミ㹼ヸʸʷꗜヘ₀៊樀漀 ŉԈ⁜៊ⅈ៊Ῐ៊ᰀ㈀ŒԈLanguage獯䐀尺乏⁕şԈ佴ミʸʷĺⅬ៊⃸៊ ŘԌ㺬ヸ佈ミ㹼ヸʸʷꗜヘ⅀៊㴦 šԈℜ៊⇸៊₈៊ŪԈ=ũԈ佴ミʸʷĻ∜៊↨៊ ŲԌ㺬ヸ佈ミ㹼ヸʸʷꗜヘ⇰៊ ŻԈ⇌៊⊨៊ⅈ៊ĄԈEăԈ佴ミʸʷļ⋌៊≘៊ ČԌ㺬ヸ佈ミ㹼ヸʸʷꗜヘ⊠៊ ĕԈ≼៊⍘៊⇸៊ĞԈ&amp;ĝԈ佴ミʸʷĽ⍼៊⌈៊ ĦԌ㺬ヸ佈ミ㹼ヸʸʷꗜヘ⍐៊ įԈ⌬៊␈៊⊨៊ĨԈModeķԈ佴ミʸʷŁ␬៊⎸៊ İԌ㺬ヸ佈ミ㹼ヸʸʷꗜヘ␀៊ ĹԈ⏜៊Ⓒ៊⍘៊ǂԈ=ǁԈ佴ミʸʷłⓜ៊⑨៊ ǊԌ㺬ヸ佈ミ㹼ヸʸʷꗜヘ⒰៊ ǓԈ⒌៊╨៊␈៊ǜԈ1ǛԈ佴ミʸʷŃ▌៊┘៊ ǤԌ㺬ヸ佈ミ㹼ヸʸʷꗜヘ╠៊ ǭԈ┼៊☘៊Ⓒ៊ǶԈ&amp;ǵԈ佴ミʸʷń☼៊◈៊ ǾԌ㺬ヸ佈ミ㹼ヸʸʷꗜヘ☐៊ ƇԈ◬៊⛈៊╨៊ƀԈParlƏԈ佴ミʸʷň⛬៊♸៊ ƈԌ㺬ヸ佈ミ㹼ヸʸʷꗜヘ⛀៊ ƑԈ⚜៊❸៊☘៊ƚԈ=ƙԈ佴ミʸʷŉ➜៊✨៊ ƢԌ㺬ヸ佈ミ㹼ヸʸʷꗜヘ❰៊ ƫԈ❌៊⠨៊⛈៊ƴԈ39ƳԈ佴ミʸʷŋ⡌៊⟘៊ ƼԌ㺬ヸ佈ミ㹼ヸʸʷꗜヘ⠠៊ ŅԈ⟼៊⣘៊❸៊ŎԈ&amp;ōԈ佴ミʸʷŌ⣼៊⢈៊ ŖԌ㺬ヸ佈ミ㹼ヸʸʷꗜヘ⣐៊ şԈ⢬៊⦈៊⠨៊ŘԈSesŧԈ佴ミʸʷŏ⦬៊⤸៊ ŠԌ㺬ヸ佈ミ㹼ヸʸʷꗜヘ⦀៊ ũԈ⥜៊⨸៊⣘៊ŲԈ=űԈ佴ミʸʷŐ⩜៊⧨៊ źԌ㺬ヸ佈ミ㹼ヸʸʷꗜヘ⨰៊ ăԈ⨌៊⫨៊⦈៊ČԈ1ċԈ佴ミʸʷő⬌៊⪘៊ ĔԌ㺬ヸ佈ミ㹼ヸʸʷꗜヘ⫠៊ ĝԈ⪼៊⮘៊⨸៊ĦԈ.ĥԈ佴ミʸʷŒ⮼៊⭈៊ ĮԌ㺬ヸ佈ミ㹼ヸʸʷꗜヘ⮐៊ ķԈ⭬៊ⵀ៊⫨៊İԈ&#10;ĿԈ.caĺԈ. eĹԈ.ǄԈ121agensǁԈ.parlssǊԈElǉԈ.useǔԈGobiernoonǑԈElen List.ǚԈ佴ミʸʷⰜ៊㒈៊ǧԈenâԌന៴쮸᠇ǠԈ㒬៊㕈៊⮘៊ǭԈhaǨԈunǷԈaǲԈlaǱԈde ǼԌ㺬ヸ佈ミ㹼ヸʸʷꗜヘ⸠៊ a ƅԈⷼ៊⻀៊黈៊ue mƎԈ佴ミʸʷⳄ៊⹰៊ ƋԌ㺬ヸ佈ミ㹼ヸʸʷꗜヘ⺸៊lo ƐԈ⺔៊⽘៊⸨៊cadoƝԈ佴ミʸʷ 鹌៊⼈៊ ƦԌ㺬ヸ佈ミ㹼ヸʸʷꗜヘ⽐៊ít ƯԈ⼬៊⿰៊⻀៊a coƨԈ佴ミʸʷ〔៊⾠៊ ƵԌ㺬ヸ佈ミ㹼ヸʸʷꗜヘ⿨៊al ƺԈ⿄៊グ៊⽘៊, siŇԈfederal se peŀԈ佴ミʸʷピ៊だ៊ ōԌ㺬ヸ佈ミ㹼ヸʸʷꗜヘエ៊os ŒԈや៊ㅰ៊⿰៊s coşԈcontrancia. LŘԈ佴ミʸʷ鶴៊ㄠ៊ ťԌ㺬ヸ佈ミ㹼ヸʸʷꗜヘㅨ៊ic ŪԈㅄ៊㈈៊グ៊ paíŷԈ佴ミʸʷ&quot;㈬៊ㆸ៊ ŰԌ㺬ヸ佈ミ㹼ヸʸʷꗜヘ㈀៊el ŹԈ㇜៊㋈៊ㅰ៊rateĂԈexplotacións ďԈ佴ミʸʷ.㋬៊㉸៊ ĈԌ㺬ヸ佈ミ㹼ヸʸʷꗜヘ㋀៊tr đԈ㊜៊㎈៊㈈៊ién ĚԈsexual en marħԈ佴ミʸʷ5 ㎬៊㌸៊ ĠԌ㺬ヸ佈ミ㹼ヸʸʷꗜヘ㎀៊r  ĩԈ㍜៊㑈៊㋈៊a laĲԈcomerciallas ĿԈ佴ミʸʷ?黬៊㏸៊ ĸԌ㺬ヸ佈ミ㹼ヸʸʷꗜヘ㑀៊la ǁԈ㐜៊ꁠ៊㎈៊ual ǊԐelños.&#10; ǖԌ㺬ヸ佈ミ㹼ヸʸʷꗜヘⴸ៊ ǟԈ佴ミʸʷ⯔៊㓸៊ ǘԌ㺬ヸ佈ミ㹼ヸʸʷꗜヘ㕀៊ ǡԈ㔜៊㗠៊ⵀ៊ǪԈ佴ミʸʷⱬ៊㖐៊ ǷԌ㺬ヸ佈ミ㹼ヸʸʷꗜヘ㗘៊ ǼԈ㖴៊㙸៊㕈៊ǹԈ佴ミʸʷ Ⲝ៊㘨៊ ƂԌ㺬ヸ佈ミ㹼ヸʸʷꗜヘ㙰៊ ƋԈ㙌៊㜐៊㗠៊ƔԈ佴ミʸʷ⸔៦㛀៊ ƑԌ㺬ヸ佈ミ㹼ヸʸʷꗜヘ㜈៊ ƦԈ㛤៊㞨៊㙸៊ƣԈ佴ミʸʷ㟌៊㝘៊ ƬԌ㺬ヸ佈ミ㹼ヸʸʷꗜヘ㞠៊ ƵԈ㝼៊㡨៊㜐៊ƾԈCanadáƻԈ佴ミʸʷⵤ៊㠘៊ ńԌ㺬ヸ佈ミ㹼ヸʸʷꗜヘ㡠៊ ōԈ㠼៊㤀៊㞨៊ŖԈ佴ミʸʷ 㤤៊㢰៊ œԌ㺬ヸ佈ミ㹼ヸʸʷꗜヘ㣸៊ ŘԈ㣔៊㧀៊㡨៊ťԈadoptadoŮԈ佴ミʸʷ)⵼៊㥰៊ ūԌ㺬ヸ佈ミ㹼ヸʸʷꗜヘ㦸៊ ŰԈ㦔៊㩘៊㤀៊ŽԈ佴ミʸʷ,㩼៊㨈៊ ĆԌ㺬ヸ佈ミ㹼ヸʸʷꗜヘ㩐៊ ďԈ㨬៊㬘៊㧀៊ĈԈenfoqueĕԈ佴ミʸʷ4㬼៊㫈៊ ĞԌ㺬ヸ佈ミ㹼ヸʸʷꗜヘ㬐៊ ħԈ㫬៊㯘៊㩘៊ĠԈmúltipleĭԈ佴ミʸʷ=ⴔ៊㮈៊ ĶԌ㺬ヸ佈ミ㹼ヸʸʷꗜヘ㯐៊ ĿԈ㮬៊㱰៊㬘៊ĸԈ佴ミʸʷ@㲔៊㰠៊ ǅԌ㺬ヸ佈ミ㹼ヸʸʷꗜヘ㱨៊ ǊԈ㱄៊㴰៊㯘៊ǗԈcuantoǐԈ佴ミʸʷGⶔ៊㳠៊ ǝԌ㺬ヸ佈ミ㹼ヸʸʷꗜヘ㴨៊ ǢԈ㴄៊㷈៊㱰៊ǯԈ佴ミʸʷIⶬ៊㵸៊ ǨԌ㺬ヸ佈ミ㹼ヸʸʷꗜヘ㷀៊ ǱԈ㶜៊㹠៊㴰៊ǺԈ佴ミʸʷL&#10;㺄៊㸐៊ ƇԌ㺬ヸ佈ミ㹼ヸʸʷꗜヘ㹘៊ ƌԈ㸴៊㼠៊㷈៊ƉԈprotecciónƒԈ佴ミʸʷWⷄ៊㻐៊ ƟԌ㺬ヸ佈ミ㹼ヸʸʷꗜヘ㼘៊ ƤԈ㻴៊㾸៊㹠៊ơԈ佴ミʸʷZ㿜៊㽨៊ ƪԌ㺬ヸ佈ミ㹼ヸʸʷꗜヘ㾰៊ ƳԈ㾌៊䁨៊㼠៊ƼԈlosƻԈ佴ミʸʷ^䂌៊䀘៊ ńԌ㺬ヸ佈ミ㹼ヸʸʷꗜヘ䁠៊ ōԈ䀼៊䄘៊㾸៊ŖԈ&#10;niñosŕԈ佴ミʸʷd䄼៊䃈៊ ŞԌ㺬ヸ佈ミ㹼ヸʸʷꗜヘ䄐៊ ŧԈ䃬៊䇘៊䁨៊ŠԈcontraŭԈ佴ミʸʷk䇼៊䆈៊ ŶԌ㺬ヸ佈ミ㹼ヸʸʷꗜヘ䇐៊ ſԈ䆬៊䊈៊䄘៊ŸԈlosćԈ佴ミʸʷo䊬៊䈸៊ ĀԌ㺬ヸ佈ミ㹼ヸʸʷꗜヘ䊀៊ ĉԈ䉜៊䍈៊䇘៊ĒԈdelitosğԈ佴ミʸʷw䍬៊䋸៊ ĘԌ㺬ヸ佈ミ㹼ヸʸʷꗜヘ䍀៊ ġԈ䌜៊䐈៊䊈៊ĪԈtipificadosķԈ佴ミʸʷ䐬៊䎸៊ İԌ㺬ヸ佈ミ㹼ヸʸʷꗜヘ䐀៊ ĹԈ䏜៊䒸៊䍈៊ǂԈenǁԈ佴ミʸʷ䓜៊䑨៊ ǊԌ㺬ヸ佈ミ㹼ヸʸʷꗜヘ䒰៊ ǓԈ䒌៊䕨៊䐈៊ǜԈelǛԈ佴ミʸʷ 䖌៊䔘៊ ǤԌ㺬ヸ佈ミ㹼ヸʸʷꗜヘ䕠៊ ǭԈ䔼៊䘨៊䒸៊ǶԈProtocoloǳԈ佴ミʸʷ䙌៊䗘៊ ǼԌ㺬ヸ佈ミ㹼ヸʸʷꗜヘ䘠៊ ƅԈ䗼៊䛘៊䕨៊ƎԈ.ƍԈ佴ミʸʷ䛼៊䚈៊ ƖԌ㺬ヸ佈ミ㹼ヸʸʷꗜヘ䛐៊ ƟԈ䚬៊䞈៊䘨៊ƘԈLosƧԈ佴ミʸʷ䞬៊䜸៊ ƠԌ㺬ヸ佈ミ㹼ヸʸʷꗜヘ䞀៊ ƩԈ䝜៊䡈៊䛘៊ƲԈdiversosƿԈ佴ミʸʷ¡ 䡬៊䟸៊ ƸԌ㺬ヸ佈ミ㹼ヸʸʷꗜヘ䡀៊ ŁԈ䠜៊䤈៊䞈៊ŊԈprogramasŗԈ佴ミʸʷª䤬៊䢸៊ ŐԌ㺬ヸ佈ミ㹼ヸʸʷꗜヘ䤀៊ řԈ䣜៊䦸៊䡈៊ŢԈ,šԈ佴ミʸʷ¬䧜៊䥨៊ ŪԌ㺬ヸ佈ミ㹼ヸʸʷꗜヘ䦰៊ ųԈ䦌៊䩨៊䤈៊żԈ&#10;leyesŻԈ佴ミʸʷ²䪌៊䨘៊ ĄԌ㺬ヸ佈ミ㹼ヸʸʷꗜヘ䩠៊ čԈ䨼៊䬘៊䦸៊ĖԈyĕԈ佴ミʸʷ´ 䬼៊䫈៊ ĞԌ㺬ヸ佈ミ㹼ヸʸʷꗜヘ䬐៊ ħԈ䫬៊䯘៊䩨៊ĠԈpolíticasĭԈ佴ミʸʷ¾&#10;䯼៊䮈៊ ĶԌ㺬ヸ佈ミ㹼ヸʸʷꗜヘ䯐៊ ĿԈ䮬៊䲘៊䬘៊ĸԈdestinadosǅԈ佴ミʸʷÉ䲼៊䱈៊ ǎԌ㺬ヸ佈ミ㹼ヸʸʷꗜヘ䲐៊ ǗԈ䱬៊䵈៊䯘៊ǐԈaǟԈ佴ミʸʷË䵬៊䳸៊ ǘԌ㺬ヸ佈ミ㹼ヸʸʷꗜヘ䵀៊ ǡԈ䴜៊丈៊䲘៊ǪԈcombatirǷԈ佴ミʸʷÔ丬៊䶸៊ ǰԌ㺬ヸ佈ミ㹼ヸʸʷꗜヘ一៊ ǹԈ䷜៊亸៊䵈៊ƂԈdeƁԈ佴ミʸʷ×仜៊乨៊ ƊԌ㺬ヸ佈ミ㹼ヸʸʷꗜヘ亰៊ ƓԈ二៊佨៊丈៊ƜԈ&#10;formaƛԈ佴ミʸʷÝ侌៊优៊ ƤԌ㺬ヸ佈ミ㹼ヸʸʷꗜヘ你៊ ƭԈ似៊倨៊亸៊ƶԈdirectaƳԈ佴ミʸʷå偌៊俘៊ ƼԌ㺬ヸ佈ミ㹼ヸʸʷꗜヘ倠៊ ŅԈ俼៊僘៊佨៊ŎԈlaōԈ佴ミʸʷè僼៊傈៊ ŖԌ㺬ヸ佈ミ㹼ヸʸʷꗜヘ僐៊ şԈ催៊冈៊倨៊ŘԈ&#10;trataŧԈ佴ミʸʷî冬៊儸៊ ŠԌ㺬ヸ佈ミ㹼ヸʸʷꗜヘ冀៊ ũԈ兜៊券៊僘៊ŲԈyűԈ佴ミʸʷð剜៊凨៊ źԌ㺬ヸ佈ミ㹼ヸʸʷꗜヘ到៊ ăԈ刌៊勨៊冈៊ČԈlaċԈ佴ミʸʷó匌៊劘៊ ĔԌ㺬ヸ佈ミ㹼ヸʸʷꗜヘ勠៊ ĝԈ劼៊厨៊券៊ĦԈexplotaciónģԈ佴ミʸʷÿ双៊単៊ ĬԌ㺬ヸ佈ミ㹼ヸʸʷꗜヘ厠៊ ĵԈ卼៊周៊勨៊ľԈsexualĻԈ佴ミʸʷĆ和៊吘៊ ǄԌ㺬ヸ佈ミ㹼ヸʸʷꗜヘ呠៊ ǍԈ吼៊唘៊厨៊ǖԈseǕԈ佴ミʸʷĉ&#10;唼៊哈៊ ǞԌ㺬ヸ佈ミ㹼ヸʸʷꗜヘ唐៊ ǧԈ哬៊嗘៊周៊ǠԈsupervisanǭԈ佴ミʸʷĔ嗼៊喈៊ ǶԌ㺬ヸ佈ミ㹼ヸʸʷꗜヘ嗐៊ ǿԈ喬៊嚈៊唘៊ǸԈyƇԈ佴ミʸʷĕ嚬៊嘸៊ ƀԌ㺬ヸ佈ミ㹼ヸʸʷꗜヘ嚀៊ ƉԈ噜៊圸៊嗘៊ƒԈ,ƑԈ佴ミʸʷė坜៊囨៊ ƚԌ㺬ヸ佈ミ㹼ヸʸʷꗜヘ地៊ ƣԈ圌៊埨៊嚈៊ƬԈsiƫԈ佴ミʸʷĚ堌៊垘៊ ƴԌ㺬ヸ佈ミ㹼ヸʸʷꗜヘ埠៊ ƽԈ垼៊墘៊圸៊ņԈesŅԈ佴ミʸʷĝ 墼៊塈៊ ŎԌ㺬ヸ佈ミ㹼ヸʸʷꗜヘ墐៊ ŗԈ塬៊奘៊埨៊ŐԈnecesarioŝԈ佴ミʸʷĦ奼៊夈៊ ŦԌ㺬ヸ佈ミ㹼ヸʸʷꗜヘ奐៊ ůԈ夬៊娈៊墘៊ŨԈ,ŷԈ佴ミʸʷĨ娬៊妸៊ ŰԌ㺬ヸ佈ミ㹼ヸʸʷꗜヘ娀៊ ŹԈ姜៊媸៊奘៊ĂԈseāԈ佴ミʸʷī嫜៊婨៊ ĊԌ㺬ヸ佈ミ㹼ヸʸʷꗜヘ媰៊ ēԈ媌៊學៊娈៊ĜԈperfeccionanęԈ佴ミʸʷķ宜៊嬨៊ ĢԌ㺬ヸ佈ミ㹼ヸʸʷꗜヘ孰៊ īԈ孌៊尨៊媸៊ĴԈ,ĳԈ佴ミʸʷĹ屌៊寘៊ ļԌ㺬ヸ佈ミ㹼ヸʸʷꗜヘ尠៊ ǅԈ导៊峘៊學៊ǎԈaǍԈ佴ミʸʷĻ峼៊岈៊ ǖԌ㺬ヸ佈ミ㹼ヸʸʷꗜヘ峐៊ ǟԈ岬៊嶈៊尨៊ǘԈfinǧԈ佴ミʸʷĿ嶬៊崸៊ ǠԌ㺬ヸ佈ミ㹼ヸʸʷꗜヘ嶀៊ ǩԈ嵜៊常៊峘៊ǲԈdeǱԈ佴ミʸʷł幜៊巨៊ ǺԌ㺬ヸ佈ミ㹼ヸʸʷꗜヘ帰៊ ƃԈ希៊廸៊嶈៊ƌԈaumentarƉԈ佴ミʸʷŋ弜៊庨៊ ƒԌ㺬ヸ佈ミ㹼ヸʸʷꗜヘ廰៊ ƛԈ廌៊徨៊常៊ƤԈlaƣԈ佴ミʸʷŎ&#10;忌៊彘៊ ƬԌ㺬ヸ佈ミ㹼ヸʸʷꗜヘ徠៊ ƵԈ彼៊恨៊廸៊ƾԈprotecciónƻԈ佴ミʸʷř悌៊怘៊ ńԌ㺬ヸ佈ミ㹼ヸʸʷꗜヘ恠៊ ōԈ怼៊愘៊徨៊ŖԈdeŕԈ佴ミʸʷŜ愼៊惈៊ ŞԌ㺬ヸ佈ミ㹼ヸʸʷꗜヘ愐៊ ŧԈ惬៊懈៊恨៊ŠԈlosůԈ佴ミʸʷŠ懬៊慸៊ ŨԌ㺬ヸ佈ミ㹼ヸʸʷꗜヘ懀៊ űԈ憜៊扸៊愘៊źԈ&#10;niñosŹԈ佴ミʸʷŦ抜៊戨៊ ĂԌ㺬ヸ佈ミ㹼ヸʸʷꗜヘ扰៊ ċԈ扌៊挨៊懈៊ĔԈyēԈ佴ミʸʷŨ捌៊拘៊ ĜԌ㺬ヸ佈ミ㹼ヸʸʷꗜヘ挠៊ ĥԈ拼៊揘៊扸៊ĮԈ&#10;otrasĭԈ佴ミʸʷŮ揼៊授៊ ĶԌ㺬ヸ佈ミ㹼ヸʸʷꗜヘ提៊ ĿԈ掬៊撘៊挨៊ĸԈpersonasǅԈ佴ミʸʷŷ撼៊摈៊ ǎԌ㺬ヸ佈ミ㹼ヸʸʷꗜヘ撐៊ ǗԈ摬៊敘៊揘៊ǐԈcontraǝԈ佴ミʸʷž敼៊攈៊ ǦԌ㺬ヸ佈ミ㹼ヸʸʷꗜヘ敐៊ ǯԈ攬៊昈៊撘៊ǨԈlaǷԈ佴ミʸʷƁ 昬៊斸៊ ǰԌ㺬ヸ佈ミ㹼ヸʸʷꗜヘ昀៊ ǹԈ旜៊曈៊敘៊ƂԈviolenciaƏԈ佴ミʸʷƊ曬៊晸៊ ƈԌ㺬ヸ佈ミ㹼ヸʸʷꗜヘ曀៊ ƑԈ暜៊杸៊昈៊ƚԈ.ƙԈ佴ミʸʷƌ果៊木៊ ƢԌ㺬ヸ佈ミ㹼ヸʸʷꗜヘ杰៊ ƫԈ杌៊栨៊曈៊ƴԈLaƳԈ佴ミʸʷƏ桌៊柘៊ ƼԌ㺬ヸ佈ミ㹼ヸʸʷꗜヘ栠៊ ŅԈ柼៊棨៊杸៊ŎԈpolicíaŋԈ佴ミʸʷƗ椌៊梘៊ ŔԌ㺬ヸ佈ミ㹼ヸʸʷꗜヘ棠៊ ŝԈ梼៊榨៊栨៊ŦԈfederalţԈ佴ミʸʷƞ槌៊楘៊ ŬԌ㺬ヸ佈ミ㹼ヸʸʷꗜヘ榠៊ ŵԈ楼៊橘៊棨៊žԈ,ŽԈ佴ミʸʷƠ橼៊樈៊ ĆԌ㺬ヸ佈ミ㹼ヸʸʷꗜヘ橐៊ ďԈ樬៊欈៊榨៊ĈԈenėԈ佴ミʸʷƣ欬៊檸៊ ĐԌ㺬ヸ佈ミ㹼ヸʸʷꗜヘ欀៊ ęԈ櫜៊毈៊橘៊ĢԈcolaboraciónįԈ佴ミʸʷư毬៊歸៊ ĨԌ㺬ヸ佈ミ㹼ヸʸʷꗜヘ毀៊ ıԈ殜៊汸៊欈៊ĺԈconĹԈ佴ミʸʷƴ沜៊氨៊ ǂԌ㺬ヸ佈ミ㹼ヸʸʷꗜヘ汰៊ ǋԈ汌៊洨៊毈៊ǔԈlasǓԈ佴ミʸʷƸ浌៊泘៊ ǜԌ㺬ヸ佈ミ㹼ヸʸʷꗜヘ洠៊ ǥԈ泼៊淨៊汸៊ǮԈfuerzasǫԈ佴ミʸʷǀ&#10;渌៊涘៊ ǴԌ㺬ヸ佈ミ㹼ヸʸʷꗜヘ淠៊ ǽԈ涼៊溨៊洨៊ƆԈpolicialesƃԈ佴ミʸʷǋ滌៊湘៊ ƌԌ㺬ヸ佈ミ㹼ヸʸʷꗜヘ溠៊ ƕԈ湼៊潘៊淨៊ƞԈdeƝԈ佴ミʸʷǎ潼៊漈៊ ƦԌ㺬ヸ佈ミ㹼ヸʸʷꗜヘ潐៊ ƯԈ漬៊瀐៊溨៊ƨԈtodoƷԈ佴ミʸʷǓ瀴៊澸៊&#10;ưԔ㺬ヸ佈ミ㹼ヸʸʷꗜヘ瀈៊&#10;ņԈ濜៊烀៊潘៊ŃԈelŎԈ佴ミʸʷǖ烤៊灰៊ ŋԌ㺬ヸ佈ミ㹼ヸʸʷꗜヘ炸៊ ŐԈ炔៊煰៊瀐៊ŝԈpaísŘԈ佴ミʸʷǚ熔៊焠៊ ťԌ㺬ヸ佈ミ㹼ヸʸʷꗜヘ煨៊ ŪԈ煄៊爠៊烀៊ŷԈ,ŲԈ佴ミʸʷǜ牄៊燐៊ ſԌ㺬ヸ佈ミ㹼ヸʸʷꗜヘ爘៊ ĄԈ燴៊狠៊煰៊āԈapoyanĊԈ佴ミʸʷǣ猄៊犐៊ ėԌ㺬ヸ佈ミ㹼ヸʸʷꗜヘ狘៊ ĜԈ犴៊玐៊爠៊ęԈelĤԈ佴ミʸʷǦ&#10;玴៊獀៊ ġԌ㺬ヸ佈ミ㹼ヸʸʷꗜヘ玈៊ ĶԈ獤៊瑐៊狠៊ĳԈdesarrolloļԈ佴ミʸʷǱ瑴៊琀៊ ĹԌ㺬ヸ佈ミ㹼ヸʸʷꗜヘ瑈៊ ǎԈ琤៊甀៊玐៊ǋԈdeǖԈ佴ミʸʷǴ甤៊環៊ ǓԌ㺬ヸ佈ミ㹼ヸʸʷꗜヘ瓸៊ ǘԈ瓔៊疰៊瑐៊ǥԈlasǠԈ佴ミʸʷǸ痔៊畠៊ ǭԌ㺬ヸ佈ミ㹼ヸʸʷꗜヘ疨៊ ǲԈ疄៊癰៊甀៊ǿԈmejoresǸԈ佴ミʸʷȀ 皔៊瘠៊ ƅԌ㺬ヸ佈ミ㹼ヸʸʷꗜヘ癨៊ ƊԈ癄៊眰៊疰៊ƗԈprácticasƐԈ佴ミʸʷȊ睔៊盠៊ ƝԌ㺬ヸ佈ミ㹼ヸʸʷꗜヘ眨៊ ƢԈ眄៊矠៊癰៊ƯԈyƪԈ佴ミʸʷȌ砄៊瞐៊ ƷԌ㺬ヸ佈ミ㹼ヸʸʷꗜヘ矘៊ ƼԈ瞴៊碐៊眰៊ƹԈlańԈ佴ミʸʷȏ碴៊础៊ ŁԌ㺬ヸ佈ミ㹼ヸʸʷꗜヘ碈៊ ŖԈ硤៊祐៊矠៊œԈelaboraciónŜԈ佴ミʸʷț祴៊礀៊ řԌ㺬ヸ佈ミ㹼ヸʸʷꗜヘ祈៊ ŮԈ礤៊稀៊碐៊ūԈdeŶԈ佴ミʸʷȞ稤៊禰៊ ųԌ㺬ヸ佈ミ㹼ヸʸʷꗜヘ秸៊ ŸԈ秔៊竀៊祐៊ąԈestrategiasĎԈ佴ミʸʷȪ竤៊穰៊ ċԌ㺬ヸ佈ミ㹼ヸʸʷꗜヘ窸៊ ĐԈ窔៊筰៊稀៊ĝԈeĘԈ佴ミʸʷȬ箔៊笠៊ ĥԌ㺬ヸ佈ミ㹼ヸʸʷꗜヘ筨៊ ĪԈ筄៊簰៊竀៊ķԈinstrumentosİԈ佴ミʸʷȹ籔៊篠៊ ĽԌ㺬ヸ佈ミ㹼ヸʸʷꗜヘ簨៊ ǂԈ簄៊糠៊筰៊ǏԈparaǊԈ佴ミʸʷȾ約៊粐៊ ǗԌ㺬ヸ佈ミ㹼ヸʸʷꗜヘ糘៊ ǜԈ粴៊綠៊簰៊ǙԈcombatirǢԈ佴ミʸʷɇ緄៊結៊ ǯԌ㺬ヸ佈ミ㹼ヸʸʷꗜヘ綘៊ ǴԈ絴៊繐៊糠៊ǱԈlaǼԈ佴ミʸʷɊ繴៊縀៊ ǹԌ㺬ヸ佈ミ㹼ヸʸʷꗜヘ繈៊ ƎԈ縤៊缐៊綠៊ƋԈexplotaciónƔԈ佴ミʸʷɖ缴៊绀៊ ƑԌ㺬ヸ佈ミ㹼ヸʸʷꗜヘ缈៊ ƦԈ绤៊翐៊繐៊ƣԈsexualƬԈ佴ミʸʷɝ翴៊羀៊ ƩԌ㺬ヸ佈ミ㹼ヸʸʷꗜヘ翈៊ ƾԈ群៊肀៊缐៊ƻԈenņԈ佴ミʸʷɠ肤៊耰៊ ŃԌ㺬ヸ佈ミ㹼ヸʸʷꗜヘ聸៊ ňԈ联៊腀៊翐៊ŕԈInternetŞԈ佴ミʸʷɩ腤៊胰៊ śԌ㺬ヸ佈ミ㹼ヸʸʷꗜヘ脸៊ ŠԈ脔៊臰៊肀៊ŭԈyŨԈ佴ミʸʷɫ舔៊膠៊ ŵԌ㺬ヸ佈ミ㹼ヸʸʷꗜヘ臨៊ źԈ臄៊芠៊腀៊ćԈenĂԈ佴ミʸʷɮ苄៊艐៊ ďԌ㺬ヸ佈ミ㹼ヸʸʷꗜヘ芘៊ ĔԈ艴៊荐៊臰៊đԈ&#10;otrosĜԈ佴ミʸʷɴ荴៊茀៊ ęԌ㺬ヸ佈ミ㹼ヸʸʷꗜヘ荈៊ ĮԈ茤៊萐៊芠៊īԈámbitosĴԈ佴ミʸʷɻ萴៊菀៊ ıԌ㺬ヸ佈ミ㹼ヸʸʷꗜヘ萈៊ ǆԈ菤៊蓀៊荐៊ǃԈ.ǎԈ佴ミʸʷɽ蓤៊葰៊ ǋԌ㺬ヸ佈ミ㹼ヸʸʷꗜヘ蒸៊ ǐԈ蒔៊薀៊萐៊ǝԈTambiénǦԈ佴ミʸʷʅ薤៊蔰៊ ǣԌ㺬ヸ佈ミ㹼ヸʸʷꗜヘ蕸៊ ǨԈ蕔៊蘰៊蓀៊ǵԈseǰԈ佴ミʸʷʈ虔៊藠៊ ǽԌ㺬ヸ佈ミ㹼ヸʸʷꗜヘ蘨៊ ƂԈ蘄៊蛠៊薀៊ƏԈhanƊԈ佴ミʸʷʌ蜄៊蚐៊ ƗԌ㺬ヸ佈ミ㹼ヸʸʷꗜヘ蛘៊ ƜԈ蚴៊螠៊蘰៊ƙԈpuestoƢԈ佴ミʸʷʓ蟄៊蝐៊ ƯԌ㺬ヸ佈ミ㹼ヸʸʷꗜヘ螘៊ ƴԈ蝴៊衐៊蛠៊ƱԈenƼԈ佴ミʸʷʖ衴៊蠀៊ ƹԌ㺬ヸ佈ミ㹼ヸʸʷꗜヘ衈៊ ŎԈ蠤៊褐៊螠៊ŋԈmarchaŔԈ佴ミʸʷʝ褴៊裀៊ őԌ㺬ヸ佈ミ㹼ヸʸʷꗜヘ褈៊ ŦԈ裤៊觐៊衐៊ţԈvariosŬԈ佴ミʸʷʤ 觴៊覀៊ ũԌ㺬ヸ佈ミ㹼ヸʸʷꗜヘ览៊ žԈ覤៊誐៊褐៊ŻԈprogramasĄԈ佴ミʸʷʮ誴៊詀៊ āԌ㺬ヸ佈ミ㹼ヸʸʷꗜヘ誈៊ ĖԈ詤៊譀៊觐៊ēԈeĞԈ佴ミʸʷʰ譤៊諰៊ ěԌ㺬ヸ佈ミ㹼ヸʸʷꗜヘ謸៊ ĠԈ謔៊谀៊誐៊ĭԈiniciativasĶԈ佴ミʸʷʼ&#10;谤៊记៊ ĳԌ㺬ヸ佈ミ㹼ヸʸʷꗜヘ诸៊ ĸԈ诔៊賀៊譀៊ǅԈdestinadosǎԈ佴ミʸʷˇ賤៊豰៊ ǋԌ㺬ヸ佈ミ㹼ヸʸʷꗜヘ貸៊ ǐԈ貔៊走៊谀៊ǝԈaǘԈ佴ミʸʷˉ趔៊贠៊ ǥԌ㺬ヸ佈ミ㹼ヸʸʷꗜヘ赨៊ ǪԈ资៊踰៊賀៊ǷԈalentarǰԈ佴ミʸʷˑ蹔៊跠៊ ǽԌ㺬ヸ佈ミ㹼ヸʸʷꗜヘ踨៊ ƂԈ踄៊軠៊走៊ƏԈyƊԈ佴ミʸʷ˓輄៊躐៊ ƗԌ㺬ヸ佈ミ㹼ヸʸʷꗜヘ軘៊ ƜԈ躴៊辠៊踰៊ƙԈprestarƢԈ佴ミʸʷ˛迄៊轐៊ ƯԌ㺬ヸ佈ミ㹼ヸʸʷꗜヘ辘៊ ƴԈ轴៊遘៊軠៊ƱԈ&#10;apoyoƼԐ佴ミʸʷˡ遼៊逈៊ ņԌ㺬ヸ佈ミ㹼ヸʸʷꗜヘ遐៊ ŏԈ逬៊鄈៊辠៊ňԈaŗԈ佴ミʸʷˣ鄬៊邸៊ ŐԌ㺬ヸ佈ミ㹼ヸʸʷꗜヘ鄀៊ řԈ郜៊醸៊遘៊ŢԈlasšԈ佴ミʸʷ˧釜៊酨៊ ŪԌ㺬ヸ佈ミ㹼ヸʸʷꗜヘ醰៊ ųԈ醌៊鉸៊鄈៊żԈcomunidadesŹԈ佴ミʸʷ˳銜៊鈨៊ ĂԌ㺬ヸ佈ミ㹼ヸʸʷꗜヘ鉰៊ ċԈ鉌៊錨៊醸៊ĔԈyēԈ佴ミʸʷ˵鍌៊鋘៊ ĜԌ㺬ヸ佈ミ㹼ヸʸʷꗜヘ錠៊ ĥԈ鋼៊鏘៊鉸៊ĮԈlasĭԈ佴ミʸʷ˹៥鎈៊ ĶԌ㺬ヸ佈ミ㹼ヸʸʷꗜヘ鏐៊ ĿԈ鎬៊鑰៊錨៊ĸԈ佴ミʸʷ̈钔៊鐠៊ ǅԌ㺬ヸ佈ミ㹼ヸʸʷꗜヘ鑨៊ ǊԈ鑄៊锠៊鏘៊ǗԈnoǒԈ佴ミʸʷ̋៥铐៊ ǟԌ㺬ヸ佈ミ㹼ヸʸʷꗜヘ锘៊ ǤԈ铴៊閸៊鑰៊ǡԈ佴ミʸʷ̛關៊镨៊ ǪԌ㺬ヸ佈ミ㹼ヸʸʷꗜヘ閰៊ ǳԈ閌៊陨៊锠៊ǼԈenǻԈ佴ミʸʷ̞隌៊阘៊ ƄԌ㺬ヸ佈ミ㹼ヸʸʷꗜヘ陠៊ ƍԈ阼៊霘៊閸៊ƖԈlaƕԈ佴ミʸʷ̡&#10;霼៊雈៊ ƞԌ㺬ヸ佈ミ㹼ヸʸʷꗜヘ霐៊ ƧԈ雬៊韘៊陨៊ƠԈprevenciónƭԈ佴ミʸʷ̬韼៊鞈៊ ƶԌ㺬ヸ佈ミ㹼ヸʸʷꗜヘ韐៊ ƿԈ鞬៊颈៊霘៊ƸԈdeŇԈ佴ミʸʷ̯颬៊頸៊ ŀԌ㺬ヸ佈ミ㹼ヸʸʷꗜヘ颀៊ ŉԈ顜៊餸៊韘៊ŒԈlaőԈ佴ミʸʷ̲饜៊飨៊ ŚԌ㺬ヸ佈ミ㹼ヸʸʷꗜヘ餰៊ ţԈ餌៊駸៊颈៊ŬԈexplotaciónũԈ佴ミʸʷ̾騜៊馨៊ ŲԌ㺬ヸ佈ミ㹼ヸʸʷꗜヘ駰៊ ŻԈ駌៊骸៊餸៊ĄԈsexualāԈ佴ミʸʷͅ髜៊驨៊ ĊԌ㺬ヸ佈ミ㹼ヸʸʷꗜヘ骰៊ ēԈ验៊魨៊駸៊ĜԈdeěԈ佴ミʸʷ͈鮌៊鬘៊ ĤԌ㺬ヸ佈ミ㹼ヸʸʷꗜヘ魠៊ ĭԈ鬼៊鰘៊骸៊ĶԈlosĵԈ佴ミʸʷ͌鰼៊鯈៊ ľԌ㺬ヸ佈ミ㹼ヸʸʷꗜヘ鰐៊ ǇԈ鯬៊鳈៊魨៊ǀԈ&#10;niñosǏԈ佴ミʸʷ͑鳬៊鱸៊ ǈԌ㺬ヸ佈ミ㹼ヸʸʷꗜヘ鳀៊ ǑԈ鲜៊鵸៊鰘៊ǚԈ.ǙԈ佴ミʸʷ͒鶜៊鴨៊ ǢԌ㺬ヸ佈ミ㹼ヸʸʷꗜヘ鵰៊ ǫԈ鵌៊黈៊鳈៊ǴԈ&#10;ǳԈlaǾԈqueǽԈmesaǸԈ122taciónƅԈ.ños.snƎԈComitéiónƋԈ123n ListƔԈ佴ミʸʷ쭄៭់ƑԈ龜៊⸨៊鵸៊ƚԈdeƙԈ&#10;niñosƤԈlosƣԈunaƮԈenƭԈ&#10;trata ƨԌ㺬ヸ佈ミ㹼ヸʸʷꗜヘ黀៊ ƱԈ佴ミʸʷ鸤៊ⷘ៊ƺԈ佴ミʸʷB鼜៊ꀐ៊ ŇԌ㺬ヸ佈ミ㹼ヸʸʷꗜヘꁘ៊ ŌԈꀴ៊ꃸ៊㑈៊ŉԈ佴ミʸʷF鼄៊ꂨ៊ ŒԌ㺬ヸ佈ミ㹼ヸʸʷꗜヘꃰ៊ śԈꃌ៊ꆐ៊ꁠ៊ŤԈ佴ミʸʷL ꆴ៊ꅀ៊ šԌ㺬ヸ佈ミ㹼ヸʸʷꗜヘꆈ៊ ŶԈꅤ៊ꉐ៊ꃸ៊ųԈparticipażԈ佴ミʸʷV齌៊ꈀ៊ ŹԌ㺬ヸ佈ミ㹼ヸʸʷꗜヘꉈ៊ ĎԈꈤ៊ꋨ៊ꆐ៊ċԈ佴ミʸʷY鼴៊ꊘ៊ ĔԌ㺬ヸ佈ミ㹼ヸʸʷꗜヘꋠ៊ ĝԈꊼ៊ꎀ៊ꉐ៊ĦԈ佴ミʸʷ]鷤៊ꌰ៊ ģԌ㺬ヸ佈ミ㹼ヸʸʷꗜヘꍸ៊ ĨԈꍔ៊ꐘ៊ꋨ៊ĵԈ佴ミʸʷbꐼ៊ꏈ៊ ľԌ㺬ヸ佈ミ㹼ヸʸʷꗜヘꐐ៊ ǇԈꏬ៊ꓘ៊ꎀ៊ǀԈredondaǍԈ佴ミʸʷj鷌៊ꒈ៊ ǖԌ㺬ヸ佈ミ㹼ヸʸʷꗜヘꓐ៊ ǟԈ꒬៊ꕰ៊ꐘ៊ǘԈ佴ミʸʷn齤៊ꔠ៊ ǥԌ㺬ヸ佈ミ㹼ヸʸʷꗜヘꕨ៊ ǪԈꕄ៊ꘈ៊ꓘ៊ǷԈ佴ミʸʷt㑬៊ꖸ៊ ǰԌ㺬ヸ佈ミ㹼ヸʸʷꗜヘꘀ៊ ǹԈꗜ៊ꚠ៊ꕰ៊ƂԈ佴ミʸʷwꛄ៊Ꙑ៊ ƏԌ㺬ヸ佈ミ㹼ヸʸʷꗜヘꚘ៊ ƔԈꙴ៊Ꝡ៊ꘈ៊ƑԈproblemaƚԈ佴ミʸʷꞄ៊꜐៊ ƧԌ㺬ヸ佈ミ㹼ヸʸʷꗜヘꝘ៊ ƬԈꜴ៊ꠐ៊ꚠ៊ƩԈdeƴԈ佴ミʸʷ꠴៊Ꟁ៊ ƱԌ㺬ヸ佈ミ㹼ヸʸʷꗜヘꠈ៊ ņԈ꟤៊ꣀ៊Ꝡ៊ŃԈlaŎԈ佴ミʸʷ꣤៊ꡰ៊ ŋԌ㺬ヸ佈ミ㹼ヸʸʷꗜヘꢸ៊ ŐԈꢔ៊ꦀ៊ꠐ៊ŝԈexplotaciónŦԈ佴ミʸʷꦤ៊ꤰ៊ ţԌ㺬ヸ佈ミ㹼ヸʸʷꗜヘꥸ៊ ŨԈ꥔៊ꩀ៊ꣀ៊ŵԈsexualžԈ佴ミʸʷ ꩤ៊꧰៊ ŻԌ㺬ヸ佈ミ㹼ヸʸʷꗜヘ꨸៊ ĀԈꨔ៊꬀៊ꦀ៊čԈcomercialĖԈ佴ミʸʷ£ꬤ៊ꪰ៊ ēԌ㺬ヸ佈ミ㹼ヸʸʷꗜヘ꫸៊ ĘԈ꫔៊ꮰ៊ꩀ៊ĥԈdeĠԈ佴ミʸʷ¦ꯔ៊ꭠ៊ ĭԌ㺬ヸ佈ミ㹼ヸʸʷꗜヘꮨ៊ ĲԈꮄ៊걠៊꬀៊ĿԈlosĺԈ佴ミʸʷª겄៊감៊ ǇԌ㺬ヸ佈ミ㹼ヸʸʷꗜヘ걘៊ ǌԈ갴៊괐៊ꮰ៊ǉԈ&#10;niñosǔԈ佴ミʸʷ°괴៊곀៊ ǑԌ㺬ヸ佈ミ㹼ヸʸʷꗜヘ괈៊ ǦԈ곤៊귀៊걠៊ǣԈyǮԈ佴ミʸʷ²귤៊군៊ ǫԌ㺬ヸ佈ミ㹼ヸʸʷꗜヘ궸៊ ǰԈ궔៊깰៊괐៊ǽԈlaǸԈ佴ミʸʷµ꺔៊긠៊ ƅԌ㺬ヸ佈ミ㹼ヸʸʷꗜヘ깨៊ ƊԈ깄៊꼠៊귀៊ƗԈ&#10;trataƒԈ佴ミʸʷ»꽄៊껐៊ ƟԌ㺬ヸ佈ミ㹼ヸʸʷꗜヘ꼘៊ ƤԈ껴៊꿐៊깰៊ơԈdeƬԈ佴ミʸʷ¾꿴៊꾀៊ ƩԌ㺬ヸ佈ミ㹼ヸʸʷꗜヘ꿈៊ ƾԈ꾤៊낀៊꼠៊ƻԈ&#10;niñosņԈ佴ミʸʷÄ낤៊뀰៊ ŃԌ㺬ヸ佈ミ㹼ヸʸʷꗜヘ끸៊ ňԈ끔៊넰៊꿐៊ŕԈconŐԈ佴ミʸʷÈ녔៊냠៊ ŝԌ㺬ヸ佈ミ㹼ヸʸʷꗜヘ넨៊ ŢԈ넄៊뇠៊낀៊ůԈ&#10;finesŪԈ佴ミʸʷÎ누៊놐៊ ŷԌ㺬ヸ佈ミ㹼ヸʸʷꗜヘ뇘៊ żԈ놴៊늠៊넰៊ŹԈsexualesĂԈ佴ミʸʷÖ닄៊뉐៊ ďԌ㺬ヸ佈ミ㹼ヸʸʷꗜヘ늘៊ ĔԈ뉴៊덐៊뇠៊đԈ.ĜԈ佴ミʸʷØ덴៊대៊ ęԌ㺬ヸ佈ミ㹼ヸʸʷꗜヘ덈៊ ĮԈ댤៊됀៊늠៊īԈElĶԈ佴ミʸʷÛ됤៊뎰៊ ĳԌ㺬ヸ佈ミ㹼ヸʸʷꗜヘ돸៊ ĸԈ돔៊듀៊덐៊ǅԈComitéǎԈ佴ミʸʷâ들៊둰៊ ǋԌ㺬ヸ佈ミ㹼ヸʸʷꗜヘ뒸៊ ǐԈ뒔៊떀៊됀៊ǝԈprestaǦԈ佴ミʸʷé떤៊따៊ ǣԌ㺬ヸ佈ミ㹼ヸʸʷꗜヘ땸៊ ǨԈ땔៊뙀៊듀៊ǵԈespecialǾԈ佴ミʸʷò뙤៊뗰៊ ǻԌ㺬ヸ佈ミ㹼ヸʸʷꗜヘ똸៊ ƀԈ똔៊뜀៊떀៊ƍԈatenciónƖԈ佴ミʸʷû뜤៊뚰៊ ƓԌ㺬ヸ佈ミ㹼ヸʸʷꗜヘ뛸៊ ƘԈ뛔៊랰៊뙀៊ƥԈaƠԈ佴ミʸʷý럔៊띠៊ ƭԌ㺬ヸ佈ミ㹼ヸʸʷꗜヘ램៊ ƲԈ랄៊론៊뜀៊ƿԈlaƺԈ佴ミʸʷĀ뢄៊렐៊ ŇԌ㺬ヸ佈ミ㹼ヸʸʷꗜヘ롘៊ ŌԈ렴៊뤠៊랰៊ŉԈexplotaciónŒԈ佴ミʸʷČ륄៊룐៊ şԌ㺬ヸ佈ミ㹼ヸʸʷꗜヘ뤘៊ ŤԈ룴៊맠៊론៊šԈsexualŪԈ佴ミʸʷē 먄៊릐៊ ŷԌ㺬ヸ佈ミ㹼ヸʸʷꗜヘ맘៊ żԈ릴៊몠៊뤠៊ŹԈcomercialĂԈ佴ミʸʷĝ뫄៊멐៊ ďԌ㺬ヸ佈ミ㹼ヸʸʷꗜヘ몘៊ ĔԈ면៊뭐៊맠៊đԈdeĜԈ佴ミʸʷĠ뭴៊묀៊ ęԌ㺬ヸ佈ミ㹼ヸʸʷꗜヘ뭈៊ ĮԈ묤៊밀៊몠៊īԈlosĶԈ佴ミʸʷĤ밤៊뮰៊ ĳԌ㺬ヸ佈ミ㹼ヸʸʷꗜヘ미៊ ĸԈ믔៊벰៊뭐៊ǅԈ&#10;niñosǀԈ佴ミʸʷĪ볔៊뱠៊ ǍԌ㺬ヸ佈ミ㹼ヸʸʷꗜヘ벨៊ ǒԈ버៊뵠៊밀៊ǟԈyǚԈ佴ミʸʷĬ분៊봐៊ ǧԌ㺬ヸ佈ミ㹼ヸʸʷꗜヘ뵘៊ ǬԈ봴៊븐៊벰៊ǩԈlosǴԈ佴ミʸʷİ븴៊뷀៊ ǱԌ㺬ヸ佈ミ㹼ヸʸʷꗜヘ븈៊ ƆԈ뷤៊뻐៊뵠៊ƃԈjóvenesƌԈ佴ミʸʷĸ&#10;뻴៊뺀៊ ƉԌ㺬ヸ佈ミ㹼ヸʸʷꗜヘ뻈៊ ƞԈ뺤៊뾐៊븐៊ƛԈaborígenesƤԈ佴ミʸʷŃ뾴៊뽀៊ ơԌ㺬ヸ佈ミ㹼ヸʸʷꗜヘ뾈៊ ƶԈ뽤៊쁀៊뻐៊ƳԈdelƾԈ佴ミʸʷŇ쁤៊뿰៊ ƻԌ㺬ヸ佈ミ㹼ヸʸʷꗜヘ쀸៊ ŀԈ쀔៊섀៊뾐៊ōԈCanadáŖԈ佴ミʸʷō설៊산៊ œԌ㺬ヸ佈ミ㹼ヸʸʷꗜヘ샸៊ ŘԈ샔៊솰៊쁀៊ťԈ.ŠԈ佴ミʸʷŏ쇔៊셠៊ ŭԌ㺬ヸ佈ミ㹼ヸʸʷꗜヘ솨៊ ŲԈ솄៊쉰៊섀៊ſԈAunqueŸԈ佴ミʸʷŖ슔៊술៊ ąԌ㺬ヸ佈ミ㹼ヸʸʷꗜヘ쉨៊ ĊԈ쉄៊쌠៊솰៊ėԈelĒԈ佴ミʸʷř썄៊싐៊ ğԌ㺬ヸ佈ミ㹼ヸʸʷꗜヘ쌘៊ ĤԈ싴៊쏠៊쉰៊ġԈComitéĪԈ佴ミʸʷŠ쐄៊쎐៊ ķԌ㺬ヸ佈ミ㹼ヸʸʷꗜヘ쏘៊ ļԈ쎴៊쒐៊쌠៊ĹԈnoǄԈ佴ミʸʷţ쒴៊쑀៊ ǁԌ㺬ヸ佈ミ㹼ヸʸʷꗜヘ쒈៊ ǖԈ쑤៊앀៊쏠៊ǓԈ&#10;tieneǞԈ佴ミʸʷũ앤៊쓰៊ ǛԌ㺬ヸ佈ミ㹼ヸʸʷꗜヘ씸៊ ǠԈ씔៊연៊쒐៊ǭԈunǨԈ佴ミʸʷŬ옔៊얠៊ ǵԌ㺬ヸ佈ミ㹼ヸʸʷꗜヘ엨៊ ǺԈ엄៊우៊앀៊ƇԈmandatoƀԈ佴ミʸʷŴ월៊왠៊ ƍԌ㺬ヸ佈ミ㹼ヸʸʷꗜヘ욨៊ ƒԈ욄៊읰៊연៊ƟԈoficialƘԈ佴ミʸʷż잔៊유៊ ƥԌ㺬ヸ佈ミ㹼ヸʸʷꗜヘ읨៊ ƪԈ을៊젠៊우៊ƷԈdeƲԈ佴ミʸʷſ졄៊쟐៊ ƿԌ㺬ヸ佈ミ㹼ヸʸʷꗜヘ젘៊ ńԈ쟴៊죠៊읰៊ŁԈasesorarŊԈ佴ミʸʷƈ줄៊좐៊ ŗԌ㺬ヸ佈ミ㹼ヸʸʷꗜヘ죘៊ ŜԈ좴៊즐៊젠៊řԈalŤԈ佴ミʸʷƋ즴៊쥀៊ šԌ㺬ヸ佈ミ㹼ヸʸʷꗜヘ즈៊ ŶԈ쥤៊쩐៊죠៊ųԈGobiernożԈ佴ミʸʷƓ쩴៊쨀៊ ŹԌ㺬ヸ佈ミ㹼ヸʸʷꗜヘ쩈៊ ĎԈ쨤៊쬀៊즐៊ċԈ,ĖԈ佴ミʸʷƕ쬤៊쪰៊ ēԌ㺬ヸ佈ミ㹼ヸʸʷꗜヘ쫸៊ ĘԈ쫔៊쮰៊쩐៊ĥԈhaĠԈ佴ミʸʷƘ쯔៊쭠៊ ĭԌ㺬ヸ佈ミ㹼ヸʸʷꗜヘ쮨៊ ĲԈ쮄៊챠៊쬀៊ĿԈsidoĺԈ佴ミʸʷƜ첄៊찐៊ ǇԌ㺬ヸ佈ミ㹼ヸʸʷꗜヘ챘៊ ǌԈ찴៊촐៊쮰៊ǉԈ,ǔԈ佴ミʸʷƞ촴៊쳀៊ ǑԌ㺬ヸ佈ミ㹼ヸʸʷꗜヘ초៊ ǦԈ쳤៊췀៊챠៊ǣԈ&#10;desdeǮԈ佴ミʸʷƤ췤៊쵰៊ ǫԌ㺬ヸ佈ミ㹼ヸʸʷꗜヘ춸៊ ǰԈ추៊칰៊촐៊ǽԈ1996ǸԈ佴ミʸʷƨ캔៊츠៊ ƅԌ㺬ヸ佈ミ㹼ヸʸʷꗜヘ침៊ ƊԈ칄៊켠៊췀៊ƗԈ,ƒԈ佴ミʸʷƪ콄៊컐៊ ƟԌ㺬ヸ佈ミ㹼ヸʸʷꗜヘ켘៊ ƤԈ컴៊쿐៊칰៊ơԈunƬԈ佴ミʸʷƭ 쿴៊쾀៊ ƩԌ㺬ヸ佈ミ㹼ヸʸʷꗜヘ쿈៊ ƾԈ쾤៊킐៊켠៊ƻԈexcelenteńԈ佴ミʸʷƷ 킴៊큀៊ ŁԌ㺬ヸ佈ミ㹼ヸʸʷꗜヘ킈៊ ŖԈ큤៊텐៊쿐៊œԈmecanismoŜԈ佴ミʸʷǁ텴៊턀៊ řԌ㺬ヸ佈ミ㹼ヸʸʷꗜヘ텈៊ ŮԈ턤៊툀៊킐៊ūԈparaŶԈ佴ミʸʷǆ툤៊톰៊ ųԌ㺬ヸ佈ミ㹼ヸʸʷꗜヘ퇸៊ ŸԈ퇔៊튰៊텐៊ąԈelĀԈ佴ミʸʷǉ틔៊퉠៊ čԌ㺬ヸ佈ミ㹼ヸʸʷꗜヘ튨៊ ĒԈ튄៊퍰៊툀៊ğԈintercambioĘԈ佴ミʸʷǕ펔៊팠៊ ĥԌ㺬ヸ佈ミ㹼ヸʸʷꗜヘ퍨៊ ĪԈ퍄៊퐠៊튰៊ķԈdeĲԈ佴ミʸʷǘ푄៊폐៊ ĿԌ㺬ヸ佈ミ㹼ヸʸʷꗜヘ퐘៊ ǄԈ폴៊퓠៊퍰៊ǁԈinformaciónǊԈ佴ミʸʷǣ프៊풐៊ ǗԌ㺬ヸ佈ミ㹼ヸʸʷꗜヘ퓘៊ ǜԈ풴៊햐៊퐠៊ǙԈ.ǤԈ佴ミʸʷǤ햴៊핀៊ ǡԌ㺬ヸ佈ミ㹼ヸʸʷꗜヘ했៊ ǶԈ핤៊훠៊퓠៊ǳԈ&#10;ǾԈ. ǽԈ,ǸԈ. ƇԈCybertipón.ƀԈterritoriosƍԈcaormación.ƖԈ佴ミʸʷ鹴៊៊ƓԈesරԌ櫠឵឴ƜԈ៊៊햐៊ƙԈunƤԈqueƣԈparaƮԈpara­Ԏ퀠ʶ䎰ᆿƫԈ៊៊䂘់ƴԈyƳԈ&#10;puedaƾԈqueƽԈdeƸԈ&#10;casos ŇԌ㺬ヸ佈ミ㹼ヸʸʷꗜヘ흰៊ q ŌԈ佴ミʸʷ䈤់៊ ŉԌ㺬ヸ佈ミ㹼ヸʸʷꗜヘ៊,  ŞԈ៊៊흸៊portśԈ佴ミʸʷ䃔់៊ ŤԌ㺬ヸ佈ミ㹼ヸʸʷꗜヘ៊la ŭԈ៊៊៊ual ŶԈ佴ミʸʷ䇔់៊ ųԌ㺬ヸ佈ミ㹼ヸʸʷꗜヘ៊ci ŸԈ៊៊៊teccąԈ佴ミʸʷ혼៊៊ ĎԌ㺬ヸ佈ミ㹼ヸʸʷꗜヘ៊ne ėԈ៊៊៊a reĐԈ佴ミʸʷ힜៊៊ ĝԌ㺬ヸ佈ミ㹼ヸʸʷꗜヘ៊ha ĢԈ៊៊៊erraįԈ佴ミʸʷ&#10;៊៊ ĨԌ㺬ヸ佈ミ㹼ヸʸʷꗜヘ៊ma ıԈ៊៊៊ión ĺԈprovinciaslotǇԈ佴ミʸʷ)៊៊ ǀԌ㺬ヸ佈ミ㹼ヸʸʷꗜヘ៊bo ǉԈ៊៊៊que ǒԈdisponenlas eǟԈ佴ミʸʷ2ퟤ៊៊ ǘԌ㺬ヸ佈ミ㹼ヸʸʷꗜヘ៊￼￼ ǡԈ៊䋨់៊.cybǪԈde).&#10; ǩԌ㺬ヸ佈ミ㹼ヸʸʷꗜヘ훘៊ ǾԈ佴ミʸʷ헼៊៊ ǻԌ㺬ヸ佈ミ㹼ヸʸʷꗜヘ៊ ƀԈ៊៊훠៊ƍԈ佴ミʸʷ혔៊៊ ƖԌ㺬ヸ佈ミ㹼ヸʸʷꗜヘ៊ ƟԈ៊៊៊ƘԈ佴ミʸʷ헌៊៊ ƥԌ㺬ヸ佈ミ㹼ヸʸʷꗜヘ៊ ƪԈ៊៊៊ƷԈ佴ミʸʷ홤៊៊&#10;ưԔ㺬ヸ佈ミ㹼ヸʸʷꗜヘ៊&#10;ņԈ៊៊៊ŃԈ佴ミʸʷ헤៊៊ ŌԌ㺬ヸ佈ミ㹼ヸʸʷꗜヘ៊ ŕԈ៊៊៊ŞԈ佴ミʸʷ휜៊៊ śԌ㺬ヸ佈ミ㹼ヸʸʷꗜヘ៊ ŠԈ៊៊៊ŭԈ佴ミʸʷ횴៊៊ ŶԌ㺬ヸ佈ミ㹼ヸʸʷꗜヘ៊ ſԈ៊៊៊ŸԈ佴ミʸʷ휄៊៊ ąԌ㺬ヸ佈ミ㹼ヸʸʷꗜヘ៊ ĊԈ៊៊៊ėԈ佴ミʸʷ៊៊ ĐԌ㺬ヸ佈ミ㹼ヸʸʷꗜヘ៊ ęԈ៊៊៊ĢԈservicioįԈ佴ミʸʷ&amp;&#10;៊៊ ĨԌ㺬ヸ佈ミ㹼ヸʸʷꗜヘ៊ ıԈ៊៊៊ĺԈtelefónicoǇԈ佴ミʸʷ1៊៊ ǀԌ㺬ヸ佈ミ㹼ヸʸʷꗜヘ៊ ǉԈ៊៊៊ǒԈnacionalǟԈ佴ミʸʷ:휴៊៊ ǘԌ㺬ヸ佈ミ㹼ヸʸʷꗜヘ៊ ǡԈ៊៊៊ǪԈ佴ミʸʷ? ៊៊ ǷԌ㺬ヸ佈ミ㹼ヸʸʷꗜヘ៊ ǼԈ៊៊៊ǹԈdenunciarƂԈ佴ミʸʷI៊៊ ƏԌ㺬ヸ佈ミ㹼ヸʸʷꗜヘ៊ ƔԈ៊៊៊ƑԈposiblesƚԈ佴ミʸʷR៊៊ ƧԌ㺬ヸ佈ミ㹼ヸʸʷꗜヘ៊ ƬԈ៊៊៊ƩԈ&#10;casosƴԈ佴ミʸʷX៊៊ ƱԌ㺬ヸ佈ミ㹼ヸʸʷꗜヘ៊ ņԈ៊៊៊ŃԈdeŎԈ佴ミʸʷ[៊៊ ŋԌ㺬ヸ佈ミ㹼ヸʸʷꗜヘ៊ ŐԈ៊៊៊ŝԈexplotaciónŦԈ佴ミʸʷg៊៊ ţԌ㺬ヸ佈ミ㹼ヸʸʷꗜヘ៊ ŨԈ៊៊៊ŵԈsexualžԈ佴ミʸʷn៊៊ ŻԌ㺬ヸ佈ミ㹼ヸʸʷꗜヘ៊ ĀԈ៊៊៊čԈdeĈԈ佴ミʸʷq៊៊ ĕԌ㺬ヸ佈ミ㹼ヸʸʷꗜヘ៊ ĚԈ៊៊៊ħԈ&#10;niñosĢԈ佴ミʸʷw៊៊ įԌ㺬ヸ佈ミ㹼ヸʸʷꗜヘ៊ ĴԈ៊៊៊ıԈenļԈ佴ミʸʷz៊៊ ĹԌ㺬ヸ佈ミ㹼ヸʸʷꗜヘ៊ ǎԈ៊៊៊ǋԈInternetǔԈ佴ミʸʷ៊៊ ǑԌ㺬ヸ佈ミ㹼ヸʸʷꗜヘ៊ ǦԈ៊៊៊ǣԈ,ǮԈ佴ミʸʷ៊៊ ǫԌ㺬ヸ佈ミ㹼ヸʸʷꗜヘ៊ ǰԈ៊៊៊ǽԈqueǸԈ佴ミʸʷ៊៊ ƅԌ㺬ヸ佈ミ㹼ヸʸʷꗜヘ៊ ƊԈ៊៊៊ƗԈestáƒԈ佴ミʸʷ&#10;៊៊ ƟԌ㺬ヸ佈ミ㹼ヸʸʷꗜヘ៊ ƤԈ៊៊៊ơԈdisponibleƪԈ佴ミʸʷ៊៊ ƷԌ㺬ヸ佈ミ㹼ヸʸʷꗜヘ៊ ƼԐ៊៊៊ņԈlasŅԈ佴ミʸʷ៊៊ ŎԌ㺬ヸ佈ミ㹼ヸʸʷꗜヘ៊ ŗԈ៊៊៊ŐԈ24şԈ佴ミʸʷ៊៊ ŘԌ㺬ヸ佈ミ㹼ヸʸʷꗜヘ៊ šԈ៊៊៊ŪԈ&#10;horasũԈ佴ミʸʷ¥៊៊ ŲԌ㺬ヸ佈ミ㹼ヸʸʷꗜヘ៊ ŻԈ៊៊៊ĄԈ&#10;todosăԈ佴ミʸʷ«៊៊ ČԌ㺬ヸ佈ミ㹼ヸʸʷꗜヘ៊ ĕԈ៊៊៊ĞԈlosĝԈ佴ミʸʷ¯៊៊ ĦԌ㺬ヸ佈ミ㹼ヸʸʷꗜヘ៊ įԈ៊៊៊ĨԈdíasķԈ佴ミʸʷ´៊៊ İԌ㺬ヸ佈ミ㹼ヸʸʷꗜヘ៊ ĹԈ៊៊៊ǂԈdelǁԈ佴ミʸʷ¸៊៊ ǊԌ㺬ヸ佈ミ㹼ヸʸʷꗜヘ៊ ǓԈ៊៊៊ǜԈañoǛԈ佴ミʸʷ»៊៊ ǤԌ㺬ヸ佈ミ㹼ヸʸʷꗜヘ៊ ǭԈ៊៊៊ǶԈ,ǵԈ佴ミʸʷ½ ៊៊ ǾԌ㺬ヸ佈ミ㹼ヸʸʷꗜヘ៊ ƇԈ៊៊៊ƀԈdesempeñaƍԈ佴ミʸʷÇ៊៊ ƖԌ㺬ヸ佈ミ㹼ヸʸʷꗜヘ៊ ƟԈ៊៊៊ƘԈunaƧԈ佴ミʸʷË&#10;៊៊ ƠԌ㺬ヸ佈ミ㹼ヸʸʷꗜヘ៊ ƩԈ៊៊៊ƲԈimportanteƿԈ佴ミʸʷÖ៊៊ ƸԌ㺬ヸ佈ミ㹼ヸʸʷꗜヘ៊ ŁԈ៊龜៊៊ŊԈfunciónŗԈ佴ミʸʷÞ郎៊៊ ŐԌ㺬ヸ佈ミ㹼ヸʸʷꗜヘ豈៊ řԈ៊隸៊៊ŢԈenšԈ佴ミʸʷá隆៊泌៊ ŪԌ㺬ヸ佈ミ㹼ヸʸʷꗜヘ聆៊ ųԈ歷៊難៊龜៊żԈlaŻԈ佴ミʸʷä 戴៊礼៊ ĄԌ㺬ヸ佈ミ㹼ヸʸʷꗜヘ褐៊ čԈ屮៊ﬨ៊隸៊ĖԈeducaciónēԈ佴ミʸʷîבֿ៊齃៊ ĜԌ㺬ヸ佈ミ㹼ヸʸʷꗜヘﬠ៊ ĥԈ﫼៊ﯘ៊難៊ĮԈyĭԈ佴ミʸʷðޤ៊ﮈ៊ ĶԌ㺬ヸ佈ミ㹼ヸʸʷꗜヘ﯐៊ ĿԈﮬ៊ﱰ៊ﬨ៊ĸԈ佴ミʸʷĀﲔ៊ﰠ៊ ǅԌ㺬ヸ佈ミ㹼ヸʸʷꗜヘﱨ៊ ǊԈﱄ៊ﴰ៊ﯘ៊ǗԈcontraǐԈ佴ミʸʷćﵔ៊ﳠ៊ ǝԌ㺬ヸ佈ミ㹼ヸʸʷꗜヘﴨ៊ ǢԈﴄ៊﷠៊ﱰ៊ǯԈlaǪԈ佴ミʸʷĊ︄៊﶐៊ ǷԌ㺬ヸ佈ミ㹼ヸʸʷꗜヘ﷘៊ ǼԈﶴ៊ﺠ៊ﴰ៊ǹԈexplotaciónƂԈ佴ミʸʷĖﻄ៊﹐៊ ƏԌ㺬ヸ佈ミ㹼ヸʸʷꗜヘﺘ៊ ƔԈﹴ៊｠៊﷠៊ƑԈsexualƚԈ佴ミʸʷĝﾄ៊０៊ ƧԌ㺬ヸ佈ミ㹼ヸʸʷꗜヘｘ៊ ƬԈＴ៊់ﺠ៊ƩԈdeƴԈ佴ミʸʷĠ4់￀៊ ƱԌ㺬ヸ佈ミ㹼ヸʸʷꗜヘ់ ņԈ￤៊À់｠៊ŃԈlosŎԈ佴ミʸʷĤä់p់ ŋԌ㺬ヸ佈ミ㹼ヸʸʷꗜヘ¸់ ŐԈ់Ű់់ŝԈ&#10;niñosŘԈ佴ミʸʷĩƔ់Ġ់ ťԌ㺬ヸ佈ミ㹼ヸʸʷꗜヘŨ់ ŪԈń់Ƞ់À់ŷԈ.ŲԈ佴ミʸʷī&#10;Ʉ់ǐ់ ſԌ㺬ヸ佈ミ㹼ヸʸʷꗜヘȘ់ ĄԈǴ់ˠ់Ű់āԈFinanciadoĊԈ佴ミʸʷĶ̄់ʐ់ ėԌ㺬ヸ佈ミ㹼ヸʸʷꗜヘ˘់ ĜԈʴ់ΐ់Ƞ់ęԈporĤԈ佴ミʸʷĺδ់̀់ ġԌ㺬ヸ佈ミ㹼ヸʸʷꗜヘΈ់ ĶԈͤ់р់ˠ់ĳԈ&#10;medioľԈ佴ミʸʷŀѤ់ϰ់ ĻԌ㺬ヸ佈ミ㹼ヸʸʷꗜヘи់ ǀԈД់Ӱ់ΐ់ǍԈdeǈԈ佴ミʸʷŃԔ់Ҡ់ ǕԌ㺬ヸ佈ミ㹼ヸʸʷꗜヘӨ់ ǚԈӄ់֠់р់ǧԈlaǢԈ佴ミʸʷņ&#10;ׄ់Ր់ ǯԌ㺬ヸ佈ミ㹼ヸʸʷꗜヘ֘់ ǴԈմ់٠់Ӱ់ǱԈEstrategiaǺԈ佴ミʸʷőڄ់ؐ់ ƇԌ㺬ヸ佈ミ㹼ヸʸʷꗜヘ٘់ ƌԈش់ܠ់֠់ƉԈnacionalƒԈ佴ミʸʷŚ݄់ې់ ƟԌ㺬ヸ佈ミ㹼ヸʸʷꗜヘܘ់ ƤԈ۴់ߐ់٠់ơԈparaƬԈ佴ミʸʷşߴ់ހ់ ƩԌ㺬ヸ佈ミ㹼ヸʸʷꗜヘ߈់ ƾԈޤ់ࢀ់ܠ់ƻԈlaņԈ佴ミʸʷŢ&#10;ࢤ់࠰់ ŃԌ㺬ヸ佈ミ㹼ヸʸʷꗜヘࡸ់ ňԈࡔ់ी់ߐ់ŕԈprotecciónŞԈ佴ミʸʷŭ।់ࣰ់ śԌ㺬ヸ佈ミ㹼ヸʸʷꗜヘस់ ŠԈऔ់ৰ់ࢀ់ŭԈdeŨԈ佴ミʸʷŰਔ់ঠ់ ŵԌ㺬ヸ佈ミ㹼ヸʸʷꗜヘ২់ źԈৄ់ઠ់ी់ćԈlosĂԈ佴ミʸʷŴૄ់੐់ ďԌ㺬ヸ佈ミ㹼ヸʸʷꗜヘઘ់ ĔԈੴ់୐់ৰ់đԈ&#10;niñosĜԈ佴ミʸʷź୴់଀់ ęԌ㺬ヸ佈ミ㹼ヸʸʷꗜヘୈ់ ĮԈତ់ఐ់ઠ់īԈcontraĴԈ佴ミʸʷƁఴ់ீ់ ıԌ㺬ヸ佈ミ㹼ヸʸʷꗜヘఈ់ ǆԈ௤់ೀ់୐់ǃԈlaǎԈ佴ミʸʷƄ೤់౰់ ǋԌ㺬ヸ佈ミ㹼ヸʸʷꗜヘಸ់ ǐԈಔ់඀់ఐ់ǝԈexplotaciónǦԈ佴ミʸʷƐඤ់ര់ ǣԌ㺬ヸ佈ミ㹼ヸʸʷꗜヘ൸់ ǨԈൔ់เ់ೀ់ǵԈsexualǾԈ佴ミʸʷƗ๤់෰់ ǻԌ㺬ヸ佈ミ㹼ヸʸʷꗜヘุ់ ƀԈด់໰់඀់ƍԈenƈԈ佴ミʸʷƚ༔់ຠ់ ƕԌ㺬ヸ佈ミ㹼ヸʸʷꗜヘ໨់ ƚԈໄ់ྰ់เ់ƧԈInternetƠԈ佴ミʸʷƢ࿔់འ់ ƭԌ㺬ヸ佈ミ㹼ヸʸʷꗜヘྨ់ ƲԈ྄់ၠ់໰់ƿԈ,ƺԈ佴ミʸʷƤႄ់တ់ ŇԌ㺬ヸ佈ミ㹼ヸʸʷꗜヘၘ់ ŌԈဴ់ᄠ់ྰ់ŉԈCybertipŒԈ佴ミʸʷƬᅄ់ა់ şԌ㺬ヸ佈ミ㹼ヸʸʷꗜヘᄘ់ ŤԈჴ់ᇐ់ၠ់šԈ.ŬԈ佴ミʸʷƭᇴ់ᆀ់ ũԌ㺬ヸ佈ミ㹼ヸʸʷꗜヘᇈ់ žԈᆤ់ኀ់ᄠ់ŻԈca"/>
        </w:smartTagPr>
        <w:r>
          <w:t>la prostitución. También</w:t>
        </w:r>
      </w:smartTag>
      <w:r>
        <w:t xml:space="preserve"> se ha impartido capacitación sobre la explotación sexual mediante la prostitución a otros proveedores de servicios, organismos comunitarios, servicios policiales y organismos encargados de aplicar la ley que trabajan con niños y jóvenes.</w:t>
      </w:r>
    </w:p>
    <w:p w:rsidR="00AA5B69" w:rsidRDefault="00AA5B69">
      <w:pPr>
        <w:spacing w:after="120"/>
        <w:ind w:left="1134" w:right="1134"/>
        <w:jc w:val="both"/>
      </w:pPr>
      <w:r>
        <w:t>81.</w:t>
      </w:r>
      <w:r>
        <w:tab/>
        <w:t>El gobierno de Manitoba, en colaboración con el Gobierno del Canadá, organizó cuatro simposios sobre la trata de personas, a los que asistieron agentes del orden, funcionarios judiciales y representantes de organizaciones comunitarias. Además, el gobierno ha publicado folletos educativos destinados a sensibilizar al público sobre la explotación de los niños y a ayudar a los profesionales en su labor con los niños víctimas de esos delitos. En Manitoba se imparte un programa de formación especializada acerca de la explotación infantil, de seis días de duración, al que pueden asistir las personas interesadas de distintos sectores.</w:t>
      </w:r>
    </w:p>
    <w:p w:rsidR="00AA5B69" w:rsidRDefault="00AA5B69">
      <w:pPr>
        <w:spacing w:after="120"/>
        <w:ind w:left="1134" w:right="1134"/>
        <w:jc w:val="both"/>
      </w:pPr>
      <w:r>
        <w:t>82.</w:t>
      </w:r>
      <w:r>
        <w:tab/>
        <w:t>En Ontario, el Abogado de la Corona imparte regularmente cursos de capacitación y educación sobre la explotación de niños en Internet, así como cursos avanzados, destinados a los agentes del orden provinciales y federales.</w:t>
      </w:r>
    </w:p>
    <w:p w:rsidR="00AA5B69" w:rsidRDefault="00AA5B69">
      <w:pPr>
        <w:spacing w:after="120"/>
        <w:ind w:left="1134" w:right="1134"/>
        <w:jc w:val="both"/>
      </w:pPr>
      <w:r>
        <w:t>83.</w:t>
      </w:r>
      <w:r>
        <w:tab/>
        <w:t>En la Isla del Príncipe Eduardo, se organizó en abril de 2006 un taller de un día de duración, titulado "El cibersexo: los peligros de la adicción a la pornografía en Internet y la delincuencia sexual en línea", al que asistieron profesionales de la salud, los servicios sociales, la educación y el sistema judicial. En marzo de 2007, la conferencia impartida al personal del sector judicial, los servicios sociales y la educación, titulada "Reducir el riesgo: fomentar la resiliencia", incluyó una sesión dedicada a la seguridad en Internet, en la que se brindó información sobre la explotación sexual y el ciberacoso. En septiembre de 2007, se organizó un taller sobre la trata de personas destinado a funcionarios de organismos gubernamentales, policiales y comunitarios.</w:t>
      </w:r>
    </w:p>
    <w:p w:rsidR="00AA5B69" w:rsidRDefault="00AA5B69">
      <w:pPr>
        <w:spacing w:after="120"/>
        <w:ind w:left="1134" w:right="1134"/>
        <w:jc w:val="both"/>
      </w:pPr>
      <w:r>
        <w:t>84.</w:t>
      </w:r>
      <w:r>
        <w:tab/>
        <w:t>Los maestros del territorio de Yukón reciben anualmente un manual de recursos que contiene información sobre su responsabilidad cuando existen sospechas de que algún niño es víctima de malos tratos; la forma de reaccionar ante las revelaciones; el descuido; y un ejemplo de informe inicial. Además, en el marco de la orientación anual a los nuevos maestros, los psicólogos escolares se reúnen con los maestros para repasar esa sección del manual de recursos y abordar cualquier otra cuestión relativa concretamente a la protección de los niños.</w:t>
      </w:r>
    </w:p>
    <w:p w:rsidR="00AA5B69" w:rsidRDefault="00AA5B69">
      <w:pPr>
        <w:pStyle w:val="H1G"/>
      </w:pPr>
      <w:r>
        <w:tab/>
      </w:r>
      <w:r>
        <w:tab/>
        <w:t>Asignaciones presupuestarias</w:t>
      </w:r>
    </w:p>
    <w:p w:rsidR="00AA5B69" w:rsidRDefault="00AA5B69">
      <w:pPr>
        <w:spacing w:after="120"/>
        <w:ind w:left="1134" w:right="1134"/>
        <w:jc w:val="both"/>
      </w:pPr>
      <w:r>
        <w:t>85.</w:t>
      </w:r>
      <w:r>
        <w:tab/>
        <w:t>El Gobierno del Canadá no realiza un seguimiento particular de las asignaciones presupuestarias para gastos relacionados con las disposiciones del Protocolo, sino que apoya varias iniciativas, en colaboración con todos los niveles de gobierno y con la sociedad civil, dirigidas a reducir las situaciones de riesgo padecidas por los niños y a alejarlos de esas situaciones de explotación.</w:t>
      </w:r>
    </w:p>
    <w:p w:rsidR="00AA5B69" w:rsidRDefault="00AA5B69">
      <w:pPr>
        <w:spacing w:after="120"/>
        <w:ind w:left="1134" w:right="1134"/>
        <w:jc w:val="both"/>
      </w:pPr>
      <w:r>
        <w:t>86.</w:t>
      </w:r>
      <w:r>
        <w:tab/>
        <w:t>En 2004, el Gobierno del Canadá proporcionó 42,1 millones de dólares a fin de poner en marcha la Estrategia nacional para la protección de los niños contra la explotación sexual en Internet, cuyo objeto era formular un enfoque integrado y coordinado para mejorar el nivel de protección de los niños en Internet, así como perseguir a los que utilizan la tecnología para aprovecharse de ellos. La estrategia tiene tres objetivos principales: mejorar la capacidad de ejecución; proporcionar al público información y sensibilización a fin de prevenir la victimización; y establecer asociaciones con el sector de la enseñanza en línea, el sector privado y otros niveles de gobierno para fomentar estrategias eficaces de sensibilización, educación y prevención del delito.</w:t>
      </w:r>
    </w:p>
    <w:p w:rsidR="00AA5B69" w:rsidRDefault="00AA5B69">
      <w:pPr>
        <w:spacing w:after="120"/>
        <w:ind w:left="1134" w:right="1134"/>
        <w:jc w:val="both"/>
      </w:pPr>
      <w:r>
        <w:t>87.</w:t>
      </w:r>
      <w:r>
        <w:tab/>
        <w:t>En 2007, el Canadá asignó 6 millones de dólares por año al fortalecimiento de las actividades destinadas a proteger a los niños contra la trata y la explotación sexual, entre las que figuraban las siguientes:</w:t>
      </w:r>
    </w:p>
    <w:p w:rsidR="00AA5B69" w:rsidRDefault="00AA5B69">
      <w:pPr>
        <w:pStyle w:val="Bullet1G"/>
      </w:pPr>
      <w:r>
        <w:t>Reforzar la capacidad de hacer cumplir la ley a fin de combatir la explotación sexual de los niños y los abusos padecidos por los niños en Internet, y crear un Sistema de seguimiento contra la explotación de niños en el Canadá, con una base de datos de imágenes, en el que se otorgue prioridad a la identificación y el rescate de los niños víctimas;</w:t>
      </w:r>
    </w:p>
    <w:p w:rsidR="00AA5B69" w:rsidRDefault="00AA5B69">
      <w:pPr>
        <w:pStyle w:val="Bullet1G"/>
      </w:pPr>
      <w:r>
        <w:t xml:space="preserve">Sensibilizar y educar al público acerca de la trata de personas, con inclusión de la trata de niños, y establecer un centro principal de información sobre los posibles casos de trata de personas, por medio de </w:t>
      </w:r>
      <w:smartTag w:uri="urn:schemas-microsoft-com:office:smarttags" w:element="PersonName">
        <w:smartTagPr>
          <w:attr w:name="ProductID" w:val="la organizaci￳n Canadian Crime"/>
        </w:smartTagPr>
        <w:r>
          <w:t>la organización Canadian Crime</w:t>
        </w:r>
      </w:smartTag>
      <w:r>
        <w:t xml:space="preserve"> Stoppers Association.</w:t>
      </w:r>
    </w:p>
    <w:p w:rsidR="00AA5B69" w:rsidRDefault="00AA5B69">
      <w:pPr>
        <w:spacing w:after="120"/>
        <w:ind w:left="1134" w:right="1134"/>
        <w:jc w:val="both"/>
      </w:pPr>
      <w:r>
        <w:t>88.</w:t>
      </w:r>
      <w:r>
        <w:tab/>
        <w:t>Por otra parte, algunos gobiernos provinciales y territoriales realizan el seguimiento de sus presupuestos en el contexto de un plan de acción global. Por ejemplo, Ontario invirtió 5 millones de dólares en el marco de la Estrategia provincial para combatir los delitos contra los niños en Internet.</w:t>
      </w:r>
    </w:p>
    <w:p w:rsidR="00AA5B69" w:rsidRDefault="00AA5B69">
      <w:pPr>
        <w:spacing w:after="120"/>
        <w:ind w:left="1134" w:right="1134"/>
        <w:jc w:val="both"/>
      </w:pPr>
      <w:r>
        <w:t>89.</w:t>
      </w:r>
      <w:r>
        <w:tab/>
        <w:t>En otros territorios y provincias el seguimiento del presupuesto se realiza de forma análoga. Por ejemplo, el presupuesto de Columbia Británica de 2007-2008 asignado a los servicios para la juventud permite apoyar una amplia gama de servicios, entre los que figuran: centros de acogida, con inclusión de los casos de urgencia; actividades de divulgación; mediación entre padres e hijos adolescentes; trabajadores sociales que prestan apoyo a los jóvenes; y servicios de apoyo a los jóvenes víctimas de explotación sexual.</w:t>
      </w:r>
    </w:p>
    <w:p w:rsidR="00AA5B69" w:rsidRDefault="00AA5B69">
      <w:pPr>
        <w:spacing w:after="120"/>
        <w:ind w:left="1134" w:right="1134"/>
        <w:jc w:val="both"/>
      </w:pPr>
      <w:r>
        <w:t>90.</w:t>
      </w:r>
      <w:r>
        <w:tab/>
        <w:t>Algunos gobiernos provinciales y territoriales recopilan información sobre las asignaciones presupuestarias solo mediante la supervisión de los programas que financian. Por ejemplo, Alberta recopila información sobre los presupuestos y estados financieros de todas las organizaciones que solicitan una subvención al Fondo para las Víctimas de Delitos. En el ejercicio económico 2006-2007, el Fondo asignó cerca de 4,5 millones de dólares a 96 programas de servicios de asistencia a las víctimas, lo que representó un aumento de más de 800.000 dólares en comparación con la financiación del ejercicio anterior</w:t>
      </w:r>
      <w:r>
        <w:rPr>
          <w:rStyle w:val="FootnoteReference"/>
        </w:rPr>
        <w:footnoteReference w:id="3"/>
      </w:r>
      <w:r>
        <w:t>.</w:t>
      </w:r>
    </w:p>
    <w:p w:rsidR="00AA5B69" w:rsidRDefault="00AA5B69">
      <w:pPr>
        <w:pStyle w:val="H1G"/>
      </w:pPr>
      <w:r>
        <w:tab/>
      </w:r>
      <w:r>
        <w:tab/>
        <w:t>Organismos oficiales</w:t>
      </w:r>
    </w:p>
    <w:p w:rsidR="00AA5B69" w:rsidRDefault="00AA5B69">
      <w:pPr>
        <w:spacing w:after="120"/>
        <w:ind w:left="1134" w:right="1134"/>
        <w:jc w:val="both"/>
      </w:pPr>
      <w:r>
        <w:t>91.</w:t>
      </w:r>
      <w:r>
        <w:tab/>
        <w:t>Los organismos oficiales, entre los que figuran las comisiones de derechos humanos, los defensores del niño y los ombudsman, desempeñan una importante función en la protección de los derechos de los niños y los jóvenes.</w:t>
      </w:r>
    </w:p>
    <w:p w:rsidR="00AA5B69" w:rsidRDefault="00AA5B69">
      <w:pPr>
        <w:spacing w:after="120"/>
        <w:ind w:left="1134" w:right="1134"/>
        <w:jc w:val="both"/>
      </w:pPr>
      <w:r>
        <w:t>92.</w:t>
      </w:r>
      <w:r>
        <w:tab/>
        <w:t>Casi todas las provincias disponen de un Defensor del Niño o un ombudsman independiente que se encarga de representar los derechos, intereses y opiniones de los niños. Muchas de esas oficinas tienen mandatos particulares relacionados con la Convención sobre los Derechos del Niño y los dos Protocolos facultativos, en los que el Canadá es parte.</w:t>
      </w:r>
    </w:p>
    <w:p w:rsidR="00AA5B69" w:rsidRDefault="00AA5B69">
      <w:pPr>
        <w:spacing w:after="120"/>
        <w:ind w:left="1134" w:right="1134"/>
        <w:jc w:val="both"/>
      </w:pPr>
      <w:r>
        <w:t>93.</w:t>
      </w:r>
      <w:r>
        <w:tab/>
        <w:t xml:space="preserve">Columbia Británica cuenta con un mecanismo externo y otro interno. El Representante de los niños y los jóvenes, como delegado del poder legislativo, es independiente del gobierno. Su mandato consiste en mejorar los servicios y resultados de los niños en la provincia, mediante la promoción, la rendición de cuentas y </w:t>
      </w:r>
      <w:smartTag w:uri="urn:schemas-microsoft-com:office:smarttags" w:element="PersonName">
        <w:smartTagPr>
          <w:attr w:name="ProductID" w:val="la supervisi￳n. Sus"/>
        </w:smartTagPr>
        <w:r>
          <w:t>la supervisión. Sus</w:t>
        </w:r>
      </w:smartTag>
      <w:r>
        <w:t xml:space="preserve"> actividades se rigen por la legislación pertinente, que se puede consultar en: http://www.leg.bc.ca/38th2nd/3rd_read/gov34-3.htm. El Ombudsman independiente de Columbia Británica recibe consultas y quejas sobre los servicios que prestan los organismos públicos. Puede realizar una investigación imparcial y confidencial para determinar si un organismo público trata a las personas de forma equitativa (www.ombud.gov.bc.ca/). Por otra parte, en el seno del gobierno, existe un mecanismo para la presentación de quejas sobre las solicitudes y la prestación de servicios públicos, a disposición de los niños y jóvenes (o de sus tutores), en el caso de que no estén conformes con una decisión que los afecte. Se dispone de un servicio de asistencia en distintos idiomas. Las oficinas locales proporcionan la información pertinente, que también está disponible en línea (http://www.mcf.gov.bc.ca/complaints/index.htm).</w:t>
      </w:r>
    </w:p>
    <w:p w:rsidR="00AA5B69" w:rsidRDefault="00AA5B69">
      <w:pPr>
        <w:spacing w:after="120"/>
        <w:ind w:left="1134" w:right="1134"/>
        <w:jc w:val="both"/>
      </w:pPr>
      <w:r>
        <w:t>94.</w:t>
      </w:r>
      <w:r>
        <w:tab/>
        <w:t>El Defensor del Niño y el Joven de Alberta representa a los jóvenes a los que se presta servicios en virtud de la Ley de protección de la infancia, la juventud y la familia, así como de la Ley de protección de los niños víctimas de explotación sexual.</w:t>
      </w:r>
    </w:p>
    <w:p w:rsidR="00AA5B69" w:rsidRDefault="00AA5B69">
      <w:pPr>
        <w:spacing w:after="120"/>
        <w:ind w:left="1134" w:right="1134"/>
        <w:jc w:val="both"/>
      </w:pPr>
      <w:r>
        <w:t>95.</w:t>
      </w:r>
      <w:r>
        <w:tab/>
        <w:t>La Oficina del Defensor del Niño de Saskatchewan participa en actividades de educación pública y promueve que se respeten y valoren los derechos del niño, como se señala en la Convención sobre los Derechos del Niño (http://www.saskcao.ca). La oficina puede investigar cualquier asunto relacionado con los servicios prestados a los niños y los jóvenes, lo que incluye las cuestiones abarcadas en el Protocolo, y puede formular recomendaciones para mejorar los programas del gobierno de Saskatchewan destinados a los niños.</w:t>
      </w:r>
    </w:p>
    <w:p w:rsidR="00AA5B69" w:rsidRDefault="00AA5B69">
      <w:pPr>
        <w:spacing w:after="120"/>
        <w:ind w:left="1134" w:right="1134"/>
        <w:jc w:val="both"/>
      </w:pPr>
      <w:r>
        <w:t>96.</w:t>
      </w:r>
      <w:r>
        <w:tab/>
        <w:t xml:space="preserve">La Oficina del Defensor del Niño de Manitoba depende de </w:t>
      </w:r>
      <w:smartTag w:uri="urn:schemas-microsoft-com:office:smarttags" w:element="PersonName">
        <w:smartTagPr>
          <w:attr w:name="ProductID" w:val="la Asamblea Legislativa"/>
        </w:smartTagPr>
        <w:r>
          <w:t>la Asamblea Legislativa</w:t>
        </w:r>
      </w:smartTag>
      <w:r>
        <w:t xml:space="preserve"> de Manitoba, y representa a los niños y los jóvenes que reúnen las condiciones necesarias para recibir los servicios, según lo dispuesto en la Ley de servicios para el niño y la familia y la Ley sobre </w:t>
      </w:r>
      <w:smartTag w:uri="urn:schemas-microsoft-com:office:smarttags" w:element="PersonName">
        <w:smartTagPr>
          <w:attr w:name="ProductID" w:val="la adopci￳n. El"/>
        </w:smartTagPr>
        <w:r>
          <w:t>la adopción. El</w:t>
        </w:r>
      </w:smartTag>
      <w:r>
        <w:t xml:space="preserve"> papel del Defensor del Niño consiste en apoyar a los niños y jóvenes que están incluidos, o que deberían estar incluidos, en el sistema de servicios para el niño y </w:t>
      </w:r>
      <w:smartTag w:uri="urn:schemas-microsoft-com:office:smarttags" w:element="PersonName">
        <w:smartTagPr>
          <w:attr w:name="ProductID" w:val="la familia. Adem￡s"/>
        </w:smartTagPr>
        <w:r>
          <w:t>la familia. Además</w:t>
        </w:r>
      </w:smartTag>
      <w:r>
        <w:t>, la Comisión de Derechos Humanos de Manitoba tiene jurisdicción en los casos de acoso sexual cometidos contra niños, que hayan tenido lugar en el trabajo o en el curso de la prestación de algún servicio.</w:t>
      </w:r>
    </w:p>
    <w:p w:rsidR="00AA5B69" w:rsidRDefault="00AA5B69">
      <w:pPr>
        <w:spacing w:after="120"/>
        <w:ind w:left="1134" w:right="1134"/>
        <w:jc w:val="both"/>
      </w:pPr>
      <w:r>
        <w:t>97.</w:t>
      </w:r>
      <w:r>
        <w:tab/>
        <w:t xml:space="preserve">En Ontario, el Defensor del Niño y el Joven, que es un funcionario independiente de </w:t>
      </w:r>
      <w:smartTag w:uri="urn:schemas-microsoft-com:office:smarttags" w:element="PersonName">
        <w:smartTagPr>
          <w:attr w:name="ProductID" w:val="la Asamblea Legislativa"/>
        </w:smartTagPr>
        <w:r>
          <w:t>la Asamblea Legislativa</w:t>
        </w:r>
      </w:smartTag>
      <w:r>
        <w:t xml:space="preserve"> de Ontario, tiene la facultad de defender los derechos, intereses y puntos de vista de los niños y jóvenes. Esta oficina se estableció en virtud de la Ley sobre el defensor provincial del niño y el joven, de 2007. En la interpretación y aplicación de la ley se tuvieron en cuenta los principios enunciados en la Convención sobre los Derechos del Niño (http://www.e-laws.gov.on.ca/html/statutes/english/elaws_statutes_07p09_e.htm).</w:t>
      </w:r>
    </w:p>
    <w:p w:rsidR="00AA5B69" w:rsidRDefault="00AA5B69">
      <w:pPr>
        <w:spacing w:after="120"/>
        <w:ind w:left="1134" w:right="1134"/>
        <w:jc w:val="both"/>
      </w:pPr>
      <w:r>
        <w:t>98.</w:t>
      </w:r>
      <w:r>
        <w:tab/>
        <w:t>En noviembre de 1995 se creó la Comisión de Derechos Humanos y Derechos de la Juventud, de conformidad con la Carta de Derechos Humanos y Libertades de Quebec. La Comisión tiene la responsabilidad de proteger los intereses de los niños y garantizar el respeto de los derechos que les confieren la Ley de protección de la juventud y la Ley de justicia penal de menores. Tiene la facultad de recibir denuncias o, por iniciativa propia, investigar las situaciones de discriminación o de violación de los derechos reconocidos en las dos leyes citadas; facilitar un acuerdo entre las partes; remitir un asunto al tribunal competente en caso de que sea necesario; elaborar y poner en práctica programas de información y educación en materia de derechos, incluidos los derechos del niño; analizar las leyes de Quebec para garantizar que estén en conformidad con la Carta; organizar consultas públicas; formular recomendaciones al poder legislativo o al gobierno; promover o realizar investigaciones, incluso sobre el alcance de los derechos del niño; y cooperar con cualquier organización dedicada a los derechos humanos.</w:t>
      </w:r>
    </w:p>
    <w:p w:rsidR="00AA5B69" w:rsidRDefault="00AA5B69">
      <w:pPr>
        <w:spacing w:after="120"/>
        <w:ind w:left="1134" w:right="1134"/>
        <w:jc w:val="both"/>
      </w:pPr>
      <w:r>
        <w:t>99.</w:t>
      </w:r>
      <w:r>
        <w:tab/>
        <w:t>La Oficina del Defensor del Niño y el Joven de Nueva Brunswick brinda una protección adicional necesaria en aquellos casos que no se podrían abordar de otra manera, lo que permite tratarlos e investigarlos más a fondo. El Defensor debe asegurar que se protejan los derechos e intereses de los niños y jóvenes; que se escuchen y consideren las opiniones de los niños y jóvenes en los foros apropiados cuando, sin su intervención, ello no sería posible; que los niños y jóvenes accedan a los servicios; y que las quejas que los niños y jóvenes puedan tener sobre esos servicios reciban la atención apropiada. El Defensor también brinda información y asesoramiento al gobierno, los organismos gubernamentales y las comunidades sobre la disponibilidad, la eficacia, la capacidad de respuesta y la pertinencia de los servicios prestados a los niños y los jóvenes, y actúa como defensor de los derechos e intereses de los niños y los jóvenes en general.</w:t>
      </w:r>
    </w:p>
    <w:p w:rsidR="00AA5B69" w:rsidRDefault="00AA5B69">
      <w:pPr>
        <w:spacing w:after="120"/>
        <w:ind w:left="1134" w:right="1134"/>
        <w:jc w:val="both"/>
      </w:pPr>
      <w:r>
        <w:t>100.</w:t>
      </w:r>
      <w:r>
        <w:tab/>
        <w:t xml:space="preserve">La Oficina del Ombudsman de Nueva Escocia tiene un departamento especializado en los servicios destinados a los niños y los jóvenes, que cuenta con un mecanismo independiente para investigar y resolver las quejas de los niños y los jóvenes en relación con el sistema de guarda y protección. Los representantes del Ombudsman permiten que se tengan en cuenta las opiniones de los niños y los jóvenes al supervisar las condiciones de las instalaciones y formular recomendaciones para mejorar los diversos sistemas que prestan servicios a los niños. La Oficina ofrece servicios de supervisión e información independientes a los jóvenes que se hallan en servicios correccionales, centros de atención segura y establecimientos residenciales de guarda de niños, y vela por que los jóvenes detenidos en celdas de </w:t>
      </w:r>
      <w:smartTag w:uri="urn:schemas-microsoft-com:office:smarttags" w:element="PersonName">
        <w:smartTagPr>
          <w:attr w:name="ProductID" w:val="la Real Polic￭a Montada"/>
        </w:smartTagPr>
        <w:r>
          <w:t>la Real Policía Montada</w:t>
        </w:r>
      </w:smartTag>
      <w:r>
        <w:t xml:space="preserve"> del Canadá o de la policía municipal conozcan los servicios disponibles. Los carteles y folletos dirigidos particularmente a los niños y los jóvenes se publican en francés, inglés y mi'kmaq (http://www.gov.ns.ca/ombu/ Child_Ombud/default.asp).</w:t>
      </w:r>
    </w:p>
    <w:p w:rsidR="00AA5B69" w:rsidRDefault="00AA5B69">
      <w:pPr>
        <w:spacing w:after="120"/>
        <w:ind w:left="1134" w:right="1134"/>
        <w:jc w:val="both"/>
      </w:pPr>
      <w:r>
        <w:t>101.</w:t>
      </w:r>
      <w:r>
        <w:tab/>
        <w:t>Aunque en la Isla del Príncipe Eduardo no hay un organismo oficial encargado específicamente de la protección de los niños, de conformidad con la Ley de protección del niño, el Ministerio de Servicios Sociales y Servicios para las Personas de Edad, por conducto del Director de Bienestar de la Infancia, tiene a su cargo la prestación de servicios a los niños, a fin de protegerlos de los perjuicios provocados por los malos tratos o el descuido.</w:t>
      </w:r>
    </w:p>
    <w:p w:rsidR="00AA5B69" w:rsidRDefault="00AA5B69">
      <w:pPr>
        <w:spacing w:after="120"/>
        <w:ind w:left="1134" w:right="1134"/>
        <w:jc w:val="both"/>
      </w:pPr>
      <w:r>
        <w:t>102.</w:t>
      </w:r>
      <w:r>
        <w:tab/>
        <w:t>El mandato del Defensor del Niño y el Joven de Terranova y Labrador incluye: proteger y promover los derechos de los niños y los jóvenes, así como asegurar que se tengan en cuenta sus opiniones; garantizar que los niños y los jóvenes accedan a los servicios que les presta el gobierno; proporcionar información y asesoramiento al gobierno, las comisiones y los organismos gubernamentales, así como a la comunidad, sobre la disponibilidad, la eficacia, la capacidad de respuesta y la pertinencia de los servicios que prestan a los niños y los jóvenes; y actuar, en general, como defensor de los derechos e intereses de los niños y los jóvenes de la provincia.</w:t>
      </w:r>
    </w:p>
    <w:p w:rsidR="00AA5B69" w:rsidRDefault="00AA5B69">
      <w:pPr>
        <w:pStyle w:val="H1G"/>
      </w:pPr>
      <w:r>
        <w:tab/>
      </w:r>
      <w:r>
        <w:tab/>
        <w:t>Mecanismos de consulta pública</w:t>
      </w:r>
    </w:p>
    <w:p w:rsidR="00AA5B69" w:rsidRDefault="00AA5B69">
      <w:pPr>
        <w:spacing w:after="120"/>
        <w:ind w:left="1134" w:right="1134"/>
        <w:jc w:val="both"/>
      </w:pPr>
      <w:r>
        <w:t>103.</w:t>
      </w:r>
      <w:r>
        <w:tab/>
        <w:t>El Gobierno federal y los gobiernos provinciales y territoriales consultan regularmente a la sociedad civil sobre la elaboración de las leyes, las medidas y los programas relacionados con los tratados en los que el Canadá es parte. Los distintos gobiernos han establecido numerosos mecanismos de consulta.</w:t>
      </w:r>
    </w:p>
    <w:p w:rsidR="00AA5B69" w:rsidRDefault="00AA5B69">
      <w:pPr>
        <w:spacing w:after="120"/>
        <w:ind w:left="1134" w:right="1134"/>
        <w:jc w:val="both"/>
      </w:pPr>
      <w:r>
        <w:t>104.</w:t>
      </w:r>
      <w:r>
        <w:tab/>
        <w:t>Por ejemplo, el gobierno de Columbia Británica ha proporcionado financiación a algunos grupos comunitarios y organizaciones sin fines de lucro para apoyar los debates en el seno de la sociedad civil, entre los que cabe citar los siguientes:</w:t>
      </w:r>
    </w:p>
    <w:p w:rsidR="00AA5B69" w:rsidRDefault="00AA5B69">
      <w:pPr>
        <w:pStyle w:val="Bullet1G"/>
      </w:pPr>
      <w:r>
        <w:t>El Fondo de lucha contra la explotación sexual y la prostitución ayuda a las comunidades a desarrollar iniciativas locales y a mejorar las iniciativas coordinadas para hacer frente a este problema;</w:t>
      </w:r>
    </w:p>
    <w:p w:rsidR="00AA5B69" w:rsidRDefault="00AA5B69">
      <w:pPr>
        <w:pStyle w:val="Bullet1G"/>
      </w:pPr>
      <w:r>
        <w:t>Algunas comunidades de Columbia Británica han creado grupos de acción comunitaria, que reúnen a los distintos proveedores de servicios, como los policías, los trabajadores sociales y los profesionales de la salud, junto con representantes de las administraciones municipales, los educadores, los directores de escuelas, los padres, los jóvenes y los representantes de organizaciones sin fines de lucro, para que trabajen conjuntamente a fin de eliminar la explotación de los niños y los jóvenes en la prostitución.</w:t>
      </w:r>
    </w:p>
    <w:p w:rsidR="00AA5B69" w:rsidRDefault="00AA5B69">
      <w:pPr>
        <w:spacing w:after="120"/>
        <w:ind w:left="1134" w:right="1134"/>
        <w:jc w:val="both"/>
      </w:pPr>
      <w:r>
        <w:t>105.</w:t>
      </w:r>
      <w:r>
        <w:tab/>
        <w:t>En Alberta, se ha creado el Comité Consultivo sobre Políticas de Justicia, que cuenta con un comité directivo y diversos grupos de trabajo, con objeto de facilitar los debates y la formulación de recomendaciones sobre diversos temas relacionados con el acceso a la justicia y la confianza de la población en el sistema judicial. Forman parte del Comité y de sus grupos de trabajo representantes de los diversos niveles de la administración, de organizaciones comunitarias y del ámbito académico.</w:t>
      </w:r>
    </w:p>
    <w:p w:rsidR="00AA5B69" w:rsidRDefault="00AA5B69">
      <w:pPr>
        <w:spacing w:after="120"/>
        <w:ind w:left="1134" w:right="1134"/>
        <w:jc w:val="both"/>
      </w:pPr>
      <w:r>
        <w:t>106.</w:t>
      </w:r>
      <w:r>
        <w:tab/>
        <w:t>El gobierno de Manitoba dispone de varios mecanismos de coordinación:</w:t>
      </w:r>
    </w:p>
    <w:p w:rsidR="00AA5B69" w:rsidRDefault="00AA5B69">
      <w:pPr>
        <w:pStyle w:val="Bullet1G"/>
      </w:pPr>
      <w:r>
        <w:t>El Comité ministerial para la salud de la infancia del gobierno de Manitoba está compuesto por representantes de varios ministerios y organismos gubernamentales, así como de organizaciones comunitarias, con el fin de poder adoptar un enfoque integrado que permita satisfacer las necesidades de los niños a medida que crecen y se desarrollan. El Comité establece periódicamente las prioridades de la labor interministerial y designa a los ministerios responsables.</w:t>
      </w:r>
    </w:p>
    <w:p w:rsidR="00AA5B69" w:rsidRDefault="00AA5B69">
      <w:pPr>
        <w:pStyle w:val="Bullet1G"/>
      </w:pPr>
      <w:r>
        <w:t>Los responsables de la Estrategia de Desarrollo Sano del Niño de Manitoba colaboran con los asociados comunitarios, por medio de asociaciones de padres e hijos, el consejo de asociaciones y el Comité Consultivo Provincial sobre el Desarrollo Sano del Niño. Este Comité Consultivo agrupa a los distintos sectores, lo que permite que las personas que trabajan con los niños y para ellos (como los educadores y los cuidadores) y las familias puedan participar en la formulación de las políticas, los programas y los servicios gubernamentales. El presidente del Comité se reúne con los responsables de la Estrategia de Desarrollo Sano del Niño al menos una vez al año.</w:t>
      </w:r>
    </w:p>
    <w:p w:rsidR="00AA5B69" w:rsidRDefault="00AA5B69">
      <w:pPr>
        <w:pStyle w:val="Bullet1G"/>
      </w:pPr>
      <w:r>
        <w:t xml:space="preserve">El Consejo Consultivo de Protección de la Infancia, organizado y dirigido por Child Find Manitoba, tiene la responsabilidad de asegurar el desarrollo y la ejecución de un programa de prevención, destinado a crear organizaciones de protección de </w:t>
      </w:r>
      <w:smartTag w:uri="urn:schemas-microsoft-com:office:smarttags" w:element="PersonName">
        <w:smartTagPr>
          <w:attr w:name="ProductID" w:val="la infancia. Adem￡s"/>
        </w:smartTagPr>
        <w:r>
          <w:t>la infancia. Además</w:t>
        </w:r>
      </w:smartTag>
      <w:r>
        <w:t>, el Consejo proporcionará asesoramiento y formulará recomendaciones al ministerio sobre la verificación de los registros de personas que han cometido delitos o malos tratos contra niños, así como sobre otras cuestiones pertinentes relacionadas con la explotación sexual de los niños.</w:t>
      </w:r>
    </w:p>
    <w:p w:rsidR="00AA5B69" w:rsidRDefault="00AA5B69">
      <w:pPr>
        <w:spacing w:after="120"/>
        <w:ind w:left="1134" w:right="1134"/>
        <w:jc w:val="both"/>
      </w:pPr>
      <w:r>
        <w:t>107.</w:t>
      </w:r>
      <w:r>
        <w:tab/>
        <w:t>En la Isla del Príncipe Eduardo existen diversos comités de consulta intersectoriales, entre los que figuran los siguientes:</w:t>
      </w:r>
    </w:p>
    <w:p w:rsidR="00AA5B69" w:rsidRDefault="00AA5B69">
      <w:pPr>
        <w:pStyle w:val="Bullet1G"/>
      </w:pPr>
      <w:r>
        <w:t>Un comité provincial que se ocupa de elaborar una respuesta a nivel provincial ante los posibles casos de trata de personas;</w:t>
      </w:r>
    </w:p>
    <w:p w:rsidR="00AA5B69" w:rsidRDefault="00AA5B69">
      <w:pPr>
        <w:pStyle w:val="Bullet1G"/>
      </w:pPr>
      <w:r>
        <w:t>El Comité Consultivo Provincial sobre el abuso sexual de los niños, creado en 1991, que está compuesto por representantes de la justicia, la policía, el sector educativo, el de la protección de la infancia, el de la salud mental y organismos comunitarios. Este Comité promueve una respuesta coordinada y basada en la colaboración, en los casos de agresiones sexuales a niños, así como en materia de sensibilización del público sobre este problema, y se centra en las estrategias de prevención.</w:t>
      </w:r>
    </w:p>
    <w:p w:rsidR="00AA5B69" w:rsidRDefault="00AA5B69">
      <w:pPr>
        <w:pStyle w:val="Bullet1G"/>
      </w:pPr>
      <w:r>
        <w:t>La Estrategia para el desarrollo infantil sano, que se inició en 2000, tiene por objeto promover la salud y el bienestar de los niños de hasta 8 años de edad. La Secretaria de la infancia, compuesta por representantes de siete ministerios y de la comunidad, centra su labor en aquellas esferas de actuación que son fundamentales para un desarrollo sano de los niños;</w:t>
      </w:r>
    </w:p>
    <w:p w:rsidR="00AA5B69" w:rsidRDefault="00AA5B69">
      <w:pPr>
        <w:pStyle w:val="Bullet1G"/>
      </w:pPr>
      <w:r>
        <w:t xml:space="preserve">El Comité del Primer Ministro para la Prevención de la Violencia en la Familia está integrado por representantes de organismos gubernamentales y de </w:t>
      </w:r>
      <w:smartTag w:uri="urn:schemas-microsoft-com:office:smarttags" w:element="PersonName">
        <w:smartTagPr>
          <w:attr w:name="ProductID" w:val="la comunidad. Sus"/>
        </w:smartTagPr>
        <w:r>
          <w:t>la comunidad. Sus</w:t>
        </w:r>
      </w:smartTag>
      <w:r>
        <w:t xml:space="preserve"> objetivos y estrategias se basan en los siguientes temas: sensibilización, educación y capacitación, colaboración y coordinación, prestación de servicios, y políticas, legislación y asuntos jurídicos. El problema de los abusos sexuales contra los niños está incluido en la estrategia como una forma de violencia en la familia.</w:t>
      </w:r>
    </w:p>
    <w:p w:rsidR="00AA5B69" w:rsidRDefault="00AA5B69">
      <w:pPr>
        <w:spacing w:after="120"/>
        <w:ind w:left="1134" w:right="1134"/>
        <w:jc w:val="both"/>
      </w:pPr>
      <w:r>
        <w:t>108.</w:t>
      </w:r>
      <w:r>
        <w:tab/>
        <w:t>Se puede consultar más información sobre la Estrategia para el desarrollo infantil sano y el Comité del Primer Ministro para la Prevención de la Violencia en la Familia en www.gov.pe.ca/sss/index.php3.</w:t>
      </w:r>
    </w:p>
    <w:p w:rsidR="00AA5B69" w:rsidRDefault="00AA5B69">
      <w:pPr>
        <w:spacing w:after="120"/>
        <w:ind w:left="1134" w:right="1134"/>
        <w:jc w:val="both"/>
      </w:pPr>
      <w:r>
        <w:t>109.</w:t>
      </w:r>
      <w:r>
        <w:tab/>
        <w:t>Debido al reducido ámbito de la jurisdicción de los Territorios del Noroeste, los ministerios, las organizaciones no gubernamentales (ONG), el sector privado, los miembros del público en general, los medios de comunicación, el ámbito académico, y otros interesados, colaboran con facilidad y eficacia en las diversas cuestiones abarcadas en el Protocolo.</w:t>
      </w:r>
    </w:p>
    <w:p w:rsidR="00AA5B69" w:rsidRDefault="00AA5B69">
      <w:pPr>
        <w:pStyle w:val="HChG"/>
        <w:spacing w:after="0"/>
      </w:pPr>
      <w:r>
        <w:tab/>
      </w:r>
      <w:r>
        <w:tab/>
        <w:t>Parte IV</w:t>
      </w:r>
    </w:p>
    <w:p w:rsidR="00AA5B69" w:rsidRDefault="00AA5B69">
      <w:pPr>
        <w:pStyle w:val="HChG"/>
        <w:spacing w:before="0"/>
      </w:pPr>
      <w:r>
        <w:tab/>
      </w:r>
      <w:r>
        <w:tab/>
        <w:t>Prevención</w:t>
      </w:r>
    </w:p>
    <w:p w:rsidR="00AA5B69" w:rsidRDefault="00AA5B69">
      <w:pPr>
        <w:pStyle w:val="H1G"/>
      </w:pPr>
      <w:r>
        <w:tab/>
      </w:r>
      <w:r>
        <w:tab/>
        <w:t>Identificación de los niños vulnerables</w:t>
      </w:r>
    </w:p>
    <w:p w:rsidR="00AA5B69" w:rsidRDefault="00AA5B69">
      <w:pPr>
        <w:spacing w:after="120"/>
        <w:ind w:left="1134" w:right="1134"/>
        <w:jc w:val="both"/>
      </w:pPr>
      <w:r>
        <w:t>110.</w:t>
      </w:r>
      <w:r>
        <w:tab/>
        <w:t>El principal mecanismo que utilizan los distintos gobiernos del Canadá para identificar a los niños o grupos particularmente vulnerables a las prácticas que se tratan en el Protocolo es el apoyo a la investigación a nivel comunitario. Por ejemplo, mediante la iniciativa denominada Sisters in Spirit, el Gobierno del Canadá ha apoyado la elaboración de diversos materiales, entre los que figura un modelo de investigación adecuado desde el punto de vista cultural, destinado a recopilar datos sobre la violencia racial y sexual que sufren las mujeres y las niñas aborígenes.</w:t>
      </w:r>
    </w:p>
    <w:p w:rsidR="00AA5B69" w:rsidRDefault="00AA5B69">
      <w:pPr>
        <w:spacing w:after="120"/>
        <w:ind w:left="1134" w:right="1134"/>
        <w:jc w:val="both"/>
      </w:pPr>
      <w:r>
        <w:t>111.</w:t>
      </w:r>
      <w:r>
        <w:tab/>
        <w:t>Entre marzo de 2005 y noviembre de 2007, el Gobierno del Canadá financió un análisis ambiental exhaustivo sobre la situación de las mujeres y las niñas en relación con la trata de personas en Alberta y Manitoba. El informe final servirá de base para elaborar una estrategia coordinada de la zona occidental que permita actuar con más eficacia contra la trata de mujeres y niñas.</w:t>
      </w:r>
    </w:p>
    <w:p w:rsidR="00AA5B69" w:rsidRDefault="00AA5B69">
      <w:pPr>
        <w:spacing w:after="120"/>
        <w:ind w:left="1134" w:right="1134"/>
        <w:jc w:val="both"/>
      </w:pPr>
      <w:r>
        <w:t>112.</w:t>
      </w:r>
      <w:r>
        <w:tab/>
        <w:t>Con respecto a los niños vulnerables que viven en las reservas, el Gobierno del Canadá brinda financiación a las Primeras Naciones, las provincias y los territorios, para que presten los servicios provinciales establecidos para el niño y la familia, incluidos los servicios de protección y prevención en las reservas. En virtud de la legislación provincial sobre el bienestar de la infancia, la venta de niños, la prostitución infantil o la utilización de niños en la pornografía constituyen motivos para que el organismo encargado de los servicios para el niño y la familia de las Primeras Naciones intervenga y se haga cargo del niño para protegerlo de esos malos tratos.</w:t>
      </w:r>
    </w:p>
    <w:p w:rsidR="00AA5B69" w:rsidRDefault="00AA5B69">
      <w:pPr>
        <w:spacing w:after="120"/>
        <w:ind w:left="1134" w:right="1134"/>
        <w:jc w:val="both"/>
      </w:pPr>
      <w:r>
        <w:t>113.</w:t>
      </w:r>
      <w:r>
        <w:tab/>
        <w:t>Todos los gobiernos provinciales y muchos organismos comunitarios dedican esfuerzos a identificar y ayudar a los niños vulnerables.</w:t>
      </w:r>
    </w:p>
    <w:p w:rsidR="00AA5B69" w:rsidRDefault="00AA5B69">
      <w:pPr>
        <w:spacing w:after="120"/>
        <w:ind w:left="1134" w:right="1134"/>
        <w:jc w:val="both"/>
      </w:pPr>
      <w:r>
        <w:t>114.</w:t>
      </w:r>
      <w:r>
        <w:tab/>
        <w:t>El gobierno de Columbia Británica financia proyectos de investigación que se ocupan principalmente de identificar a los grupos vulnerables. El gobierno otorga subvenciones y otras formas de apoyo para ayudar a las comunidades locales a identificar y asistir a los grupos vulnerables.</w:t>
      </w:r>
    </w:p>
    <w:p w:rsidR="00AA5B69" w:rsidRDefault="00AA5B69">
      <w:pPr>
        <w:spacing w:after="120"/>
        <w:ind w:left="1134" w:right="1134"/>
        <w:jc w:val="both"/>
      </w:pPr>
      <w:r>
        <w:t>115.</w:t>
      </w:r>
      <w:r>
        <w:tab/>
        <w:t>En Alberta, las autoridades gubernamentales competentes están al corriente de las publicaciones especializadas recientes relacionadas con las cuestiones abarcadas en el Protocolo, y se mantienen en contacto con los miembros de la comunidad y las organizaciones que prestan servicios de primera línea a las víctimas.</w:t>
      </w:r>
    </w:p>
    <w:p w:rsidR="00AA5B69" w:rsidRDefault="00AA5B69">
      <w:pPr>
        <w:spacing w:after="120"/>
        <w:ind w:left="1134" w:right="1134"/>
        <w:jc w:val="both"/>
      </w:pPr>
      <w:r>
        <w:t>116.</w:t>
      </w:r>
      <w:r>
        <w:tab/>
        <w:t xml:space="preserve">En Manitoba, los organismos comunitarios reciben financiación para que los facilitadores sociales establezcan vínculos con los niños y jóvenes de </w:t>
      </w:r>
      <w:smartTag w:uri="urn:schemas-microsoft-com:office:smarttags" w:element="PersonName">
        <w:smartTagPr>
          <w:attr w:name="ProductID" w:val="la calle. Muchos"/>
        </w:smartTagPr>
        <w:r>
          <w:t>la calle. Muchos</w:t>
        </w:r>
      </w:smartTag>
      <w:r>
        <w:t xml:space="preserve"> organismos comunitarios están en los barrios pobres de Winnipeg, que hacen frente a importantes problemas sociales, económicos y ambientales, con elevadas tasas de pobreza, desempleo y delincuencia, y que carecen de condiciones adecuadas en materia de esparcimiento, apoyo a las familias, viviendas asequibles y oportunidades económicas. Con objeto de hallar soluciones para los niños en situación de alto riesgo de todas las regiones de la provincia, incluidas las zonas septentrionales y apartadas, se están estableciendo equipos regionales. Además, Manitoba ha establecido un grupo de trabajo encargado de elaborar un modelo que permita prestar servicios integrados a las familias con bajos ingresos.</w:t>
      </w:r>
    </w:p>
    <w:p w:rsidR="00AA5B69" w:rsidRDefault="00AA5B69">
      <w:pPr>
        <w:spacing w:after="120"/>
        <w:ind w:left="1134" w:right="1134"/>
        <w:jc w:val="both"/>
      </w:pPr>
      <w:r>
        <w:t>117.</w:t>
      </w:r>
      <w:r>
        <w:tab/>
        <w:t>En Nueva Brunswick, el gobierno colabora con el público y otros profesionales con el objetivo de identificar a las víctimas o posibles víctimas.</w:t>
      </w:r>
    </w:p>
    <w:p w:rsidR="00AA5B69" w:rsidRDefault="00AA5B69">
      <w:pPr>
        <w:spacing w:after="120"/>
        <w:ind w:left="1134" w:right="1134"/>
        <w:jc w:val="both"/>
      </w:pPr>
      <w:r>
        <w:t>118.</w:t>
      </w:r>
      <w:r>
        <w:tab/>
        <w:t xml:space="preserve">El Gobierno de los Territorios del Noroeste mantiene una comunicación constante con </w:t>
      </w:r>
      <w:smartTag w:uri="urn:schemas-microsoft-com:office:smarttags" w:element="PersonName">
        <w:smartTagPr>
          <w:attr w:name="ProductID" w:val="⣇ᇒက❚떙쌘Ë╾âೄೀ¤ĔԈ㳄ヸ烰ឯ㰔ヸ买ミ앐្塘៌쑈数ʶĜԈ佴ミʸʷō界ለ腰ᡄęԈ.ĤԎ@la violencia. LaÕÖ×įԈ㳄ヸ쨠ඵ㰔ヸ买ミ얐្ᵈ៌쑈数ʶķԈ덀භ᱐៌ĿԈ4la provincia. El Comit￩ǇԈ덀භ玈ለǏԌla Condici￳n Jur￭dicaǗԎla prostituci￳n. PorǟԈ뉘භᩘ៌ǧԈ=la toxicoman￭a. UnoǮԈ㳄ヸ៰㰔ヸ买ミ᭐៌앐្쑈数ʶǶԈ뵔ᩜ뷰ᩜ穀ᩝǳԈseǾԊ&lt;la toxicoman￭a. ElǹԈ야៟ո៊⹰៝ƂԈexaminados៣᫘៌ƏԐ佴ミʸʷʤؼ៣Ԩ៊ƉԎla estrategia. V￩aseƑԈ덀භ缰ለƙԈ㳄ヸ迠ᆥ㰔ヸ买ミᦘ៌얰៟绐ය数ʶơԈ佴ミʸʷŕⱔ浀ᡂƪԈlosƩԈ뉘භᯐ៌ ƱԌ㺬ヸ佈ミ㹼ヸʸʷꗜヘ៘ ņԈ㳄ヸ笈៨㰔ヸ买ミꬰᢤ墨᡿쑈数ʶŎԈ펌ᡞߠ៊ᨨឯŋԈ&#10;casosŖԈ㳄ヸ瘀᠊㰔ヸ买ミ쓈៟ሂ绐ය数ʶŞԈ汄ᡂ㨘ឯۀ៣śԈ&#10;datosŦԈ㳄ヸ笨ለ㰔ヸ买ミᲘឯ⇀៌绐ය数ʶŮԈ덀භↈ៌ŶԎŸla calle. MuchosűԈ㳄ヸ櫈ሂ㰔ヸ买ミ℈៌≀៌绐ය数ʶŹԈ덀භ篰ለāԈ㳄ヸ䙨ᇜ㰔ヸ买ミ⇀៌⋸៌绐ය数ʶĉԈ덀භ⋀៌đԎŸla violencia. LaĘԈ㳄ヸⳐᇜ㰔ヸ买ミ≀៌⎸៌绐ය数ʶĠԈ덀භ⍸៌ĨԈŸla provincia. El ComitéİԈ㳄ヸᜈᇴ㰔ヸ买ミ⋸៌␸៌绐ය数ʶĸԈ덀භ篰ለǀԈ㳄ヸ庐ᇶ㰔ヸ买ミ⎸៌⓰៌绐ය数ʶǈԈ덀භⒸ៌ǐԈŸla toxicomanía. UnoǛԈ㳄ヸ놠ሀ㰔ヸ买ミ␸៌▨៌绐ය数ʶǣԈ덀භ╰៌ǫԊŸla toxicomanía. ElǲԈ㳄ヸ礀ᇟ㰔ヸ买ミ⓰៌♨៌绐ය数ʶǺԈ덀භ☨៌ƂԎŸla estrategia. VéaseƊԈ㳄ヸ⚰ᇟ㰔ヸ买ミ▨៌⛨៌绐ය数ʶƒԈ덀භ軨ƚԈ㳄ヸ萠ᇛ㰔ヸ买ミ♨៌❨៌绐ය数ʶƢԈ덀භẀƪԈ㳄ヸ㷘ሃ㰔ヸ买ミ⛨៌⠠៌绐ය数ʶƲԈ덀භ⟨៌ƺԈŸLa nueva EstrategiaŅԈ㳄ヸ鐰㰔ヸ买ミ❨៌⢠៌绐ය数ʶōԈ덀භ봨භŕԈ㳄ヸ鞰ᇍ㰔ヸ买ミ⠠៌⥠៌绐ය数ʶŝԈ덀භ⤠៌ťԌŸla Condición JurídicaŭԈ㳄ヸ飠ᇺ㰔ヸ买ミ⢠៌⨠៌绐ය数ʶŵԈ덀භ⧠៌ŽԎŸla provincia. AdemásąԈ㳄ヸ䠠භ㰔ヸ买ミ⥠៌⫠៌绐ය数ʶčԈ덀භ⪠៌ĕԊŸla familia. La OficinaĝԈ㳄ヸ暨ˁ㰔ヸ买ミ⨠៌⭠៌绐ය数ʶĥԈ덀භ៉ĭԈ㳄ヸ㜸ሐ㰔ヸ买ミ⫠៌Ⱈ៌绐ය数ʶĵԈ덀භ⯠៌ĽԈŸla prostitución. SeǄԈ㳄ヸꊰᇫ㰔ヸ买ミ⭠៌Ⲙ៌绐ය数ʶǌԈ덀භ醈ᇕǔԈ㳄ヸ⽠ᇐ㰔ヸ买ミⰘ៌ⴘ៌绐ය数ʶǜԈ덀භ憈ǤԈ㳄ヸ鹀ᇞ㰔ヸ买ミⲘ៌⶘៌绐ය数ʶǬԈ덀භ煰ለǴԈ㳄ヸ罸ᆿ㰔ヸ买ミⴘ៌⸘៌绐ය数ʶǼԈ덀භ㮐ឯƄԈ㳄ヸህ㰔ヸ买ミ⶘៌⺘៌绐ය数ʶƌԈ덀භ㮐ឯƔԈ㳄ヸ䪘ᇚ㰔ヸ买ミ⸘៌眈ለ绐ය数ʶƜԈ덀භ쨀៉ƤԈ佴ミʸʷ趌៉៉ơԈ៉⾘៌澀ለ쀀ᄠ᠁杮ƪԈ佴ミʸʷ졤៉៉ƷԈ៉⿨៌⽈៌ர฀椀ưԈ佴ミʸʷ 짜៉៉ƽԈ៉〸៌⾘៌洀捡ऀ慩ņԈ佴ミʸʷ&#10;좼៉៉ŃԈ៉よ៌⿨៌ကஐఀ档ŌԈ佴ミʸʷガ៌៉ŉԈ៉㄀៌〸៌ᄀ湩敦捣ŒԈcomunidades뀀ᬰşԈ佴ミʸʷ៉៉ŘԈ៉ㅐ៌よ៌뀀᫠锁dťԈ佴ミʸʷㅴ៌៉ŮԈ៉㇈៌㄀៌ഀ灩慩潤ūԈbarrios௠쀀ঀऀ浡ŴԈ佴ミʸʷ&amp;졼៉៉űԈ៉㈘៌ㅐ៌慴楲௠źԈ佴ミʸʷ*㈼៌៉ćԈ៉㊐៌㇈៌稈g쀐ĀԈseguros/捳؀汩ačԈ佴ミʸʷ2៉៉ĖԈ៉㋠៌㈘៌攈l냀ēԈ佴ミʸʷ5៉ĜԈ㌰៌㊐៌ૐက楴慶ęԈ佴ミʸʷ;㍔៌៉ĢԈ៉㎨៌㋠៌敬楧ݰįԈpermite整뀀ᬰ锁氎来ĨԈ佴ミʸʷC㏌៌៉ĵԈ៉㐠៌㌰៌ľԈadoptarĻԈ佴ミʸʷK㑄៌ǄԈ㒘៌㎨៌ǁԈmedidasǊԈ佴ミʸʷS៉ǗԈ㓨៌㐠៌ǐԈ佴ミʸʷW㔌៌ǝԈ㕠៌㒘៌ǦԈrespectoǣԈ佴ミʸʷ`៉ǬԈ㖰៌㓨៌ǩԈ佴ミʸʷb៉ǲԈ㘀៌㕠៌ǿԈ佴ミʸʷf㘤៌ǸԈ㙸៌㖰៌ƅԈbienesƎԈ佴ミʸʷm 㚜៌㳀ᇽƋԈ㳤ᇽ㛰៌㘀៌ƔԈinmueblesƑԈ佴ミʸʷw&#10;㜔៌㴈ᇽƚԈ㴬ᇽ㝨៌㙸៌ƧԈutilizadosƠԈ佴ミʸʷ៉㵐ᇽƭԈ㵴ᇽ㞸៌㛰៌ƶԈ佴ミʸʷ៉㮸ᇽƳԈ㯜ᇽ㠈៌㝨៌ƼԈ佴ミʸʷ㠬៌㰀ᇽƹԈ㰤ᇽ㢀៌㞸៌łԈprostituciónŏԈ佴ミʸʷ៉㱈ᇽňԈ㱬ᇽ㣐៌㠈៌ŕԈ佴ミʸʷ㣴៌㫸ᇽŞԈ㬜ᇽ㥈៌㢀៌śԈactividadesŤԈ佴ミʸʷ£㥬៌㭀ᇽšԈ㭤ᇽ㧀៌㣐៌ŪԈconexasŷԈ佴ミʸʷª៉䚸ᇢŰԈ䛜ᇢ㨐៌㥈៌ŽԈ佴ミʸʷ¬៉䜀ᇢĆԈ䜤ᇢ㩠៌㧀៌ăԈ佴ミʸʷ²៉䝈ᇢČԈ䝬ᇢ㪰៌㨐៌ĉԈ佴ミʸʷ¸㫔៌䕸ᇢĒԈ䖜ᇢ㬨៌㩠៌ğԈfiguraĘԈ佴ミʸʷ¿៉䗀ᇢĥԈ䗤ᇢ㭸៌㪰៌ĮԈ佴ミʸʷÂ 㮜៌䙰ᇢīԈ䚔ᇢ㯰៌㬨៌ĴԈrescisiónıԈ佴ミʸʷÌ៉洘ለĺԈ洼ለ㱀៌㭸៌ǇԈ佴ミʸʷÐ㱤៌浠ለǀԈ涄ለ㲸៌㯰៌ǍԈcontratoǖԈ佴ミʸʷÙ៉쨨ឳǓԈ쩌ឳ㵐៌㱀៌ǜԈ佴ミʸʷÜ&#10;㵴៌㴀៌ ǙԌ㺬ヸ佈ミ㹼ヸʸʷꗜヘ㵈៌ ǮԈ㴤៌㸐៌㲸៌ǫԈarrendamientoǴԈ佴ミʸʷê㷀៌ ǱԌ㺬ヸ佈ミ㹼ヸʸʷꗜヘ㸈៌ ƆԈ㷤៌㺨៌㵐៌ƃԈ佴ミʸʷí㹘៌ ƌԌ㺬ヸ佈ミ㹼ヸʸʷꗜヘ㺠៌ ƕԈ㹼៌㽀៌㸐៌ƞԈ佴ミʸʷñ 㽤៌㻰៌ ƛԌ㺬ヸ佈ミ㹼ヸʸʷꗜヘ㼸៌ ƠԈ㼔៌䀀៌㺨៌ƭԈpropiedadƶԈ佴ミʸʷú㾰៌ ƳԌ㺬ヸ佈ミ㹼ヸʸʷꗜヘ㿸៌ ƸԈ㿔៌䂘៌㽀៌ŅԈ佴ミʸʷü䁈៌ ŎԌ㺬ヸ佈ミ㹼ヸʸʷꗜヘ䂐៌ ŗԈ䁬៌䄰៌䀀៌ŐԈ佴ミʸʷĀ䃠៌ ŝԌ㺬ヸ佈ミ㹼ヸʸʷꗜヘ䄨៌ ŢԈ䄄៌䇈៌䂘៌ůԈ佴ミʸʷą䅸៌ ŨԌ㺬ヸ佈ミ㹼ヸʸʷꗜヘ䇀៌ űԈ䆜៌䉠៌䄰៌źԈ佴ミʸʷĈ&#10;䊄៌䈐៌ ćԌ㺬ヸ佈ミ㹼ヸʸʷꗜヘ䉘៌ ČԈ䈴៌䌠៌䇈៌ĉԈexpediciónĒԈ佴ミʸʷē៉䋐៌ ğԌ㺬ヸ佈ミ㹼ヸʸʷꗜヘ䌘៌ ĤԈ䋴៌䎸៌䉠៌ġԈ佴ミʸʷĖ䍨៌ ĪԌ㺬ヸ佈ミ㹼ヸʸʷꗜヘ䎰៌ ĳԈ䎌៌䑐៌䌠៌ļԈ佴ミʸʷĚ 䑴៌䐀៌ ĹԌ㺬ヸ佈ミ㹼ヸʸʷꗜヘ䑈៌ ǎԈ䐤៌䔐៌䎸៌ǋԈordenanzaǔԈ佴ミʸʷĤ㲬ᇽ䓀៌ ǑԌ㺬ヸ佈ミ㹼ヸʸʷꗜヘ䔈៌ ǦԈ䓤៌䖨៌䑐៌ǣԈ佴ミʸʷħ 䗌៌䕘៌ ǬԌ㺬ヸ佈ミ㹼ヸʸʷꗜヘ䖠៌ ǵԈ䕼៌䙨៌䔐៌ǾԈseguridadǻԈ佴ミʸʷı䚌៌䘘៌ ƄԌ㺬ヸ佈ミ㹼ヸʸʷꗜヘ䙠៌ ƍԈ䘼៌䜨៌䖨៌ƖԈcomunitariaƓԈ佴ミʸʷĽ៉䛘៌ ƜԌ㺬ヸ佈ミ㹼ヸʸʷꗜヘ䜠៌ ƥԈ䛼៌䟀៌䙨៌ƮԈ佴ミʸʷŁ㲔ᇽ䝰៌ ƫԌ㺬ヸ佈ミ㹼ヸʸʷꗜヘ䞸៌ ưԈ䞔៌䡘៌䜨៌ƽԈ佴ミʸʷń䡼៌䠈៌ ņԌ㺬ヸ佈ミ㹼ヸʸʷꗜヘ䡐៌ ŏԈ䠬៌䤘៌䟀៌ňԈTribunalŕԈ佴ミʸʷō䤼៌䣈៌ ŞԌ㺬ヸ佈ミ㹼ヸʸʷꗜヘ䤐៌ ŧԈ䣬៌䧘៌䡘៌ŠԈSupremoŭԈ佴ミʸʷŕ㮤ᇽ䦈៌ ŶԌ㺬ヸ佈ミ㹼ヸʸʷꗜヘ䧐៌ ſԈ䦬៌䩰៌䤘៌ŸԈ佴ミʸʷŘ៉䨠៌ ąԌ㺬ヸ佈ミ㹼ヸʸʷꗜヘ䩨៌ ĊԈ䩄៌䬈៌䧘៌ėԈ佴ミʸʷŝ㮌ᇽ䪸៌ ĐԌ㺬ヸ佈ミ㹼ヸʸʷꗜヘ䬀៌ ęԈ䫜៌䮠៌䩰៌ĢԈ佴ミʸʷş떼ᆀ䭐៌ įԌ㺬ヸ佈ミ㹼ヸʸʷꗜヘ䮘៌ ĴԈ䭴៌䰸៌䬈៌ıԈ佴ミʸʷţ떤ᆀ䯨៌ ĺԌ㺬ヸ佈ミ㹼ヸʸʷꗜヘ䰰៌ ǃԈ䰌៌䳐៌䮠៌ǌԈ佴ミʸʷũ䳴៌䲀៌ ǉԌ㺬ヸ佈ミ㹼ヸʸʷꗜヘ䳈៌ ǞԈ䲤៌䶐៌䰸៌ǛԈobligarǤԈ佴ミʸʷű៉䵀៌ ǡԌ㺬ヸ佈ミ㹼ヸʸʷꗜヘ䶈៌ ǶԈ䵤៌丨៌䳐៌ǳԈ佴ミʸʷŴ乌៌䷘៌ ǼԌ㺬ヸ佈ミ㹼ヸʸʷꗜヘ丠៌ ƅԈ䷼៌仨៌䶐៌ƎԈpropietarioƋԈ佴ミʸʷƀ៉亘៌ ƔԌ㺬ヸ佈ミ㹼ヸʸʷꗜヘ仠៌ ƝԈ亼៌侀៌丨៌ƦԈ佴ミʸʷƂ 侤៌估៌ ƣԌ㺬ヸ佈ミ㹼ヸʸʷꗜヘ佸៌ ƨԈ佔៌偀៌仨៌ƵԈabandonarƾԈ佴ミʸʷƌ䘌ᇢ俰៌ ƻԌ㺬ヸ佈ミ㹼ヸʸʷꗜヘ倸៌ ŀԈ倔៌僘៌侀៌ōԈ佴ミʸʷƏ 僼៌傈៌ ŖԌ㺬ヸ佈ミ㹼ヸʸʷꗜヘ僐៌ şԈ催៌冘៌偀៌ŘԈpropiedadťԈ佴ミʸʷƙ冼៌先៌ ŮԌ㺬ヸ佈ミ㹼ヸʸʷꗜヘ冐៌ ŷԈ公៌剘៌僘៌ŰԈduranteŽԈ佴ミʸʷơ쨬៉刈៌ ĆԌ㺬ヸ佈ミ㹼ヸʸʷꗜヘ剐៌ ďԈ刬៌勰៌冘៌ĈԈ佴ミʸʷƤ匔៌加៌ ĕԌ㺬ヸ佈ミ㹼ヸʸʷꗜヘ勨៌ ĚԈ勄៌厰៌剘៌ħԈperíodoĠԈ佴ミʸʷƬ叔៌占៌ ĭԌ㺬ヸ佈ミ㹼ヸʸʷꗜヘ厨៌ ĲԈ厄៌呰៌勰៌ĿԈmáximoĸԈ佴ミʸʷƳ៉吠៌ ǅԌ㺬ヸ佈ミ㹼ヸʸʷꗜヘ周៌ ǊԈ呄៌唈៌厰៌ǗԈ佴ミʸʷƶ៉咸៌ ǐԌ㺬ヸ佈ミ㹼ヸʸʷꗜヘ唀៌ ǙԈ哜៌喠៌呰៌ǢԈ佴ミʸʷƹ졌៉啐៌ ǯԌ㺬ヸ佈ミ㹼ヸʸʷꗜヘ喘៌ ǴԈ啴៌嘸៌唈៌ǱԈ佴ミʸʷƽ៉嗨៌ ǺԌ㺬ヸ佈ミ㹼ヸʸʷꗜヘ嘰៌ ƃԈ嘌៌囐៌喠៌ƌԈ佴ミʸʷƾ៉嚀៌ ƉԌ㺬ヸ佈ミ㹼ヸʸʷꗜヘ囈៌ ƞԈ嚤៌奨៌嘸៌ƛԈgubernamentales.11ƢԈorganizacionesn.11ƭԈLa1ƨԈ&#10;niñosdoƵԈadopcióntdƾԈLasn ListdƻԈ佴ミʸʷĪ 稄ለ팠ᡞńԈelŃԈ佴ミʸʷ៉夘៌ŌԈ㳄ヸ҈ሏ㰔ヸ买ミ᪘៌礀ለ쑈数ʶŔԈ浤ᡂۀ៣痐ለőԈ&#10;todosŜԈ뉘භ㊠ᇐ ŤԌ㺬ヸ佈ミ㹼ヸʸʷꗜヘ奠៌ ŭԈ夼៌娀៌囐៌ŶԈ佴ミʸʷ坤៌妰៌ ųԌ㺬ヸ佈ミ㹼ヸʸʷꗜヘ姸៌ ŸԈ委៌媘៌奨៌ąԈ佴ミʸʷ垤៌婈៌ ĎԌ㺬ヸ佈ミ㹼ヸʸʷꗜヘ媐៌ ėԈ婬៌嬰៌娀៌ĐԈ佴ミʸʷ&#10;좔៉嫠៌ ĝԌ㺬ヸ佈ミ㹼ヸʸʷꗜヘ嬨៌ ĢԈ嬄៌寈៌媘៌įԈ佴ミʸʷ坼៌學៌ ĨԌ㺬ヸ佈ミ㹼ヸʸʷꗜヘ寀៌ ıԈ宜៌屠៌嬰៌ĺԈ佴ミʸʷ軜៉尐៌ ǇԌ㺬ヸ佈ミ㹼ヸʸʷꗜヘ屘៌ ǌԈ尴៌峸៌寈៌ǉԈ佴ミʸʷ崜៌岨៌ ǒԌ㺬ヸ佈ミ㹼ヸʸʷꗜヘ峰៌ ǛԈ峌៌嶨៌屠៌ǤԈlaǣԈ佴ミʸʷ&#10;巌៌嵘៌ ǬԌ㺬ヸ佈ミ㹼ヸʸʷꗜヘ嶠៌ ǵԈ嵼៌幨៌峸៌ǾԈprevenciónǻԈ佴ミʸʷ&amp;庌៌帘៌ ƄԌ㺬ヸ佈ミ㹼ヸʸʷꗜヘ幠៌ ƍԈ帼៌弘៌嶨៌ƖԈdeƕԈ佴ミʸʷ)弼៌廈៌ ƞԌ㺬ヸ佈ミ㹼ヸʸʷꗜヘ弐៌ ƧԈ廬៌忈៌幨៌ƠԈlaƯԈ佴ミʸʷ,忬៌彸៌ ƨԌ㺬ヸ佈ミ㹼ヸʸʷꗜヘ忀៌ ƱԈ徜៌悀៌弘៌ƺԐ&#10;trataņԈ佴ミʸʷ2悤៌怰៌ ŃԌ㺬ヸ佈ミ㹼ヸʸʷꗜヘ恸៌ ňԈ恔៌愰៌忈៌ŕԈdeŐԈ佴ミʸʷ5慔៌惠៌ ŝԌ㺬ヸ佈ミ㹼ヸʸʷꗜヘ愨៌ ŢԈ愄៌懠៌悀៌ůԈ&#10;niñosŪԈ佴ミʸʷ:戄៌憐៌ ŷԌ㺬ヸ佈ミ㹼ヸʸʷꗜヘ懘៌ żԈ憴៌捐៌愰៌ŹԈ&#10;ĄԈ175ăԈenĎԈ&#10; čԈ.ken ListnĖԈ&#10;leyesaēԈ108n ListĜԈ佴ミʸʷ扌៌挀៌ ęԌ㺬ヸ佈ミ㹼ヸʸʷꗜヘ捈៌ ĮԈ挤៌检៌懠៌īԈ佴ミʸʷ戜៌桰៌ĴԈEstrategias eıԈ佴ミʸʷ=摜៌揨៌ ĺԌ㺬ヸ佈ミ㹼ヸʸʷꗜヘ搰៌ua ǃԈ搌៌擨៌쌘៌ conǌԈparacǋԈ佴ミʸʷB攌៌撘៌ ǔԌ㺬ヸ佈ミ㹼ヸʸʷꗜヘ擠៌te ǝԈ撼៌斘៌搸៌dos ǦԈel leǥԈ佴ミʸʷE&#10;於៌效៌ ǮԌ㺬ヸ佈ミ㹼ヸʸʷꗜヘ斐៌ l ǷԈ敬៌晘៌擨៌l ofǰԈdesarrolloo aǽԈ佴ミʸʷP晼៌昈៌ ƆԌ㺬ヸ佈ミ㹼ヸʸʷꗜヘ晐៌cc ƏԈ昬៌朘៌斘៌bidaƈԈinfantilde laƕԈ佴ミʸʷY朼៌曈៌ ƞԌ㺬ヸ佈ミ㹼ヸʸʷꗜヘ朐៌ q ƧԈ曬៌柈៌晘៌ en ƠԈsanosƯԈ佴ミʸʷ^柬៌杸៌ ƨԌ㺬ヸ佈ミ㹼ヸʸʷꗜヘ柀៌de ƱԈ果៌썀៌朘៌progƺԈy, o ƹԈ佴ミʸʷ`썤៌栨៌ łԌ㺬ヸ佈ミ㹼ヸʸʷꗜヘ쌸៌  ŋԌ㺬ヸ佈ミ㹼ヸʸʷꗜヘ梸៌ ŐԈ梔៌楘៌捐៌ŝԈ佴ミʸʷ扤៌椈៌ ŦԌ㺬ヸ佈ミ㹼ヸʸʷꗜヘ楐៌ ůԈ椬៌槰៌检៌ŨԈ佴ミʸʷ埌៌榠៌ ŵԌ㺬ヸ佈ミ㹼ヸʸʷꗜヘ槨៌ źԈ槄៌檈៌楘៌ćԈ佴ミʸʷ&#10;抌៌樸៌ ĀԌ㺬ヸ佈ミ㹼ヸʸʷꗜヘ檀៌ ĉԈ橜៌欠៌槰៌ĒԈ佴ミʸʷ戴៌櫐៌ ğԌ㺬ヸ佈ミ㹼ヸʸʷꗜヘ欘៌ ĤԈ櫴៌殸៌檈៌ġԈ佴ミʸʷ毜៌歨៌ ĪԌ㺬ヸ佈ミ㹼ヸʸʷꗜヘ殰៌ ĳԈ殌៌汸៌欠៌ļԈmateriaĹԈ佴ミʸʷ沜៌氨៌ ǂԌ㺬ヸ佈ミ㹼ヸʸʷꗜヘ汰៌ ǋԈ汌៌洨៌殸៌ǔԈdeǓԈ佴ミʸʷ浌៌泘៌ ǜԌ㺬ヸ佈ミ㹼ヸʸʷꗜヘ洠៌ ǥԈ泼៌淨៌汸៌ǮԈadopciónǫԈ佴ミʸʷ'渌៌涘៌ ǴԌ㺬ヸ佈ミ㹼ヸʸʷꗜヘ淠៌ ǽԈ涼៌溘៌洨៌ƆԈdeƅԈ佴ミʸʷ*溼៌湈៌ ƎԌ㺬ヸ佈ミ㹼ヸʸʷꗜヘ源៌ ƗԈ湬៌潈៌淨៌ƐԈ&#10;niñosƟԈ佴ミʸʷ/潬៌滸៌ ƘԌ㺬ヸ佈ミ㹼ヸʸʷꗜヘ潀៌ ơԈ漜៌濸៌溘៌ƪԈ,ƩԈ佴ミʸʷ1瀜៌澨៌ ƲԌ㺬ヸ佈ミ㹼ヸʸʷꗜヘ濰៌ ƻԈ濌៌炨៌潈៌ńԈqueŃԈ佴ミʸʷ5烌៌灘៌ ŌԌ㺬ヸ佈ミ㹼ヸʸʷꗜヘ炠៌ ŕԈ灼៌煘៌濸៌ŞԈseŝԈ佴ミʸʷ8煼៌焈៌ ŦԌ㺬ヸ佈ミ㹼ヸʸʷꗜヘ煐៌ ůԈ焬៌爘៌炨៌ŨԈresumenŵԈ佴ミʸʷ@爼៌燈៌ žԌ㺬ヸ佈ミ㹼ヸʸʷꗜヘ爐៌ ćԈ燬៌狈៌煘៌ĀԈenďԈ佴ミʸʷC独៌牸៌ ĈԌ㺬ヸ佈ミ㹼ヸʸʷꗜヘ狀៌ đԈ犜៌獸៌爘៌ĚԈelęԈ佴ミʸʷF玜៌猨៌ ĢԌ㺬ヸ佈ミ㹼ヸʸʷꗜヘ獰៌ īԈ獌៌琸៌狈៌ĴԈcuadroıԈ佴ミʸʷM瑜៌珨៌ ĺԌ㺬ヸ佈ミ㹼ヸʸʷꗜヘ琰៌ ǃԈ琌៌瓨៌獸៌ǌԈqueǋԈ佴ミʸʷQ甌៌璘៌ ǔԌ㺬ヸ佈ミ㹼ヸʸʷꗜヘ瓠៌ ǝԈ璼៌疨៌琸៌ǦԈfiguraǣԈ佴ミʸʷX痌៌畘៌ ǬԌ㺬ヸ佈ミ㹼ヸʸʷꗜヘ疠៌ ǵԈ畼៌癘៌瓨៌ǾԈaǽԈ佴ミʸʷZ發៌瘈៌ ƆԌ㺬ヸ佈ミ㹼ヸʸʷꗜヘ癐៌ ƏԈ瘬៌眘៌疨៌ƈԈcontinuaciónƕԈ佴ミʸʷf眼៌盈៌ ƞԌ㺬ヸ佈ミ㹼ヸʸʷꗜヘ眐៌ ƧԈ盬៌矈៌癘៌ƠԈ,ƯԈ佴ミʸʷh矬៌睸៌ ƨԌ㺬ヸ佈ミ㹼ヸʸʷꗜヘ矀៌ ƱԈ瞜៌碈៌眘៌ƺԈcorrespondenŇԈ佴ミʸʷu碬៌砸៌ ŀԌ㺬ヸ佈ミ㹼ヸʸʷꗜヘ碀៌ ŉԈ硜៌礸៌矈៌ŒԈaőԈ佴ミʸʷw祜៌磨៌ ŚԌ㺬ヸ佈ミ㹼ヸʸʷꗜヘ礰៌ ţԈ礌៌秨៌碈៌ŬԈlaūԈ佴ミʸʷz稌៌禘៌ ŴԌ㺬ヸ佈ミ㹼ヸʸʷꗜヘ秠៌ ŽԈ禼៌窨៌礸៌ĆԈjurisdicciónăԈ佴ミʸʷ竌៌穘៌ ČԌ㺬ヸ佈ミ㹼ヸʸʷꗜヘ窠៌ ĕԈ穼៌筘៌秨៌ĞԈdeĝԈ佴ミʸʷ筼៌笈៌ ĦԌ㺬ヸ佈ミ㹼ヸʸʷꗜヘ筐៌ įԈ第៌簈៌窨៌ĨԈlasķԈ佴ミʸʷ&#10;簬៌箸៌ İԌ㺬ヸ佈ミ㹼ヸʸʷꗜヘ簀៌ ĹԈ篜៌糈៌筘៌ǂԈprovinciasǏԈ佴ミʸʷ糬៌籸៌ ǈԌ㺬ヸ佈ミ㹼ヸʸʷꗜヘ糀៌ ǑԈ粜៌絸៌簈៌ǚԈyǙԈ佴ミʸʷ綜៌紨៌ ǢԌ㺬ヸ佈ミ㹼ヸʸʷꗜヘ絰៌ ǫԈ経៌縨៌糈៌ǴԈlosǳԈ佴ミʸʷ繌៌緘៌ ǼԌ㺬ヸ佈ミ㹼ヸʸʷꗜヘ縠៌ ƅԈ緼៌绨៌絸៌ƎԈterritoriosƋԈ佴ミʸʷª缌៌纘៌ ƔԌ㺬ヸ佈ミ㹼ヸʸʷꗜヘ绠៌ ƝԈ纼៌羘៌縨៌ƦԈ.ƥԈ佴ミʸʷ¬羼៌罈៌ ƮԌ㺬ヸ佈ミ㹼ヸʸʷꗜヘ羐៌ ƷԈ罬៌聈៌绨៌ưԈEnƿԈ佴ミʸʷ¯聬៌翸៌ ƸԌ㺬ヸ佈ミ㹼ヸʸʷꗜヘ聀៌ ŁԈ耜៌胸៌羘៌ŊԈ&#10;todosŉԈ佴ミʸʷµ脜៌肨៌ ŒԌ㺬ヸ佈ミ㹼ヸʸʷꗜヘ胰៌ śԈ背៌膨៌聈៌ŤԈ&#10;ellosţԈ佴ミʸʷ»臌៌腘៌ ŬԌ㺬ヸ佈ミ㹼ヸʸʷꗜヘ膠៌ ŵԈ腼៌艘៌胸៌žԈhayŽԈ佴ミʸʷ¿艼៌興៌ ĆԌ㺬ヸ佈ミ㹼ヸʸʷꗜヘ艐៌ ďԈ般៌茈៌膨៌ĈԈ&#10;leyesėԈ佴ミʸʷÅ茬៌芸៌ ĐԌ㺬ヸ佈ミ㹼ヸʸʷꗜヘ茀៌ ęԈ苜៌莸៌艘៌ĢԈ&#10;sobreġԈ佴ミʸʷË菜៌荨៌ ĪԌ㺬ヸ佈ミ㹼ヸʸʷꗜヘ莰៌ ĳԈ莌៌葨៌茈៌ļԈlaĻԈ佴ミʸʷÎ蒌៌萘៌ ǄԌ㺬ヸ佈ミ㹼ヸʸʷꗜヘ葠៌ ǍԈ萼៌蔨៌莸៌ǖԈadopciónǓԈ佴ミʸʷ×蕌៌蓘៌ ǜԌ㺬ヸ佈ミ㹼ヸʸʷꗜヘ蔠៌ ǥԈ蓼៌藘៌葨៌ǮԈqueǭԈ佴ミʸʷÛ藼៌薈៌ ǶԌ㺬ヸ佈ミ㹼ヸʸʷꗜヘ藐៌ ǿԈ薬៌蚘៌蔨៌ǸԈprohíbenƅԈ佴ミʸʷä蚼៌虈៌ ƎԌ㺬ヸ佈ミ㹼ヸʸʷꗜヘ蚐៌ ƗԈ虬៌蝈៌藘៌ƐԈlaƟԈ佴ミʸʷç蝬៌蛸៌ ƘԌ㺬ヸ佈ミ㹼ヸʸʷꗜヘ蝀៌ ơԈ蜜៌蟸៌蚘៌ƪԈ&#10;ventaƩԈ佴ミʸʷí蠜៌螨៌ ƲԌ㺬ヸ佈ミ㹼ヸʸʷꗜヘ蟰៌ ƻԈ蟌៌袨៌蝈៌ńԈdeŃԈ佴ミʸʷð裌៌衘៌ ŌԌ㺬ヸ佈ミ㹼ヸʸʷꗜヘ袠៌ ŕԈ衼៌襘៌蟸៌ŞԈ&#10;niñosŝԈ佴ミʸʷö襼៌褈៌ ŦԌ㺬ヸ佈ミ㹼ヸʸʷꗜヘ襐៌ ůԈ褬៌計៌袨៌ŨԈyŷԈ佴ミʸʷø訬៌覸៌ ŰԌ㺬ヸ佈ミ㹼ヸʸʷꗜヘ言៌ ŹԈ觜៌誸៌襘៌ĂԈlaāԈ佴ミʸʷû&#10;諜៌詨៌ ĊԌ㺬ヸ佈ミ㹼ヸʸʷꗜヘ誰៌ ēԈ誌៌譸៌計៌ĜԈaceptaciónęԈ佴ミʸʷĆ讜៌謨៌ ĢԌ㺬ヸ佈ミ㹼ヸʸʷꗜヘ議៌ īԈ譌៌谨៌誸៌ĴԈoĳԈ佴ミʸʷĈ豌៌诘៌ ļԌ㺬ヸ佈ミ㹼ヸʸʷꗜヘ谠៌ ǅԈ诼៌賘៌譸៌ǎԈelǍԈ佴ミʸʷċ購៌貈៌ ǖԌ㺬ヸ佈ミ㹼ヸʸʷꗜヘ賐៌ ǟԈ責៌趘៌谨៌ǘԈofrecimientoǥԈ佴ミʸʷĘ趼៌赈៌ ǮԌ㺬ヸ佈ミ㹼ヸʸʷꗜヘ趐៌ ǷԈ赬៌蹈៌賘៌ǰԈdeǿԈ佴ミʸʷě蹬៌跸៌ ǸԌ㺬ヸ佈ミ㹼ヸʸʷꗜヘ蹀៌ ƁԈ踜៌軸៌趘៌ƊԈpagoƉԈ佴ミʸʷĠ輜៌躨៌ ƒԌ㺬ヸ佈ミ㹼ヸʸʷꗜヘ軰៌ ƛԈ軌៌辸៌蹈៌ƤԈalgunoơԈ佴ミʸʷħ远៌轨៌ ƪԌ㺬ヸ佈ミ㹼ヸʸʷꗜヘ辰៌ ƳԈ辌៌遨៌軸៌ƼԈporƻԈ佴ミʸʷī邌៌逘៌ ńԌ㺬ヸ佈ミ㹼ヸʸʷꗜヘ遠៌ ōԈ逼៌鄘៌辸៌ŖԈlosŕԈ佴ミʸʷį鄼៌郈៌ ŞԌ㺬ヸ佈ミ㹼ヸʸʷꗜヘ鄐៌ ŧԈ郬៌釈៌遨៌ŠԈ&#10;niñosůԈ佴ミʸʷĴ釬៌酸៌ ŨԌ㺬ヸ佈ミ㹼ヸʸʷꗜヘ釀៌ űԈ醜៌鉸៌鄘៌źԈ.ŹԈ佴ミʸʷĶ銜៌鈨៌ ĂԌ㺬ヸ佈ミ㹼ヸʸʷꗜヘ鉰៌ ċԈ鉌៌錨៌釈៌ĔԈEnēԈ佴ミʸʷĹ鍌៌鋘៌ ĜԌ㺬ヸ佈ミ㹼ヸʸʷꗜヘ錠៌ ĥԈ鋼៌鏘៌鉸៌ĮԈlasĭԈ佴ミʸʷĽ鏼៌鎈៌ ĶԌ㺬ヸ佈ミ㹼ヸʸʷꗜヘ鏐៌ ĿԈ鎬៌针៌錨៌ĸԈ&#10;leyesǇԈ佴ミʸʷŃ钬៌鐸៌ ǀԌ㺬ヸ佈ミ㹼ヸʸʷꗜヘ钀៌ ǉԈ鑜៌锸៌鏘៌ǒԈdeǑԈ佴ミʸʷņ镜៌铨៌ ǚԌ㺬ヸ佈ミ㹼ヸʸʷꗜヘ锰៌ ǣԈ锌៌门៌针៌ǬԈ&#10;todasǫԈ佴ミʸʷŌ阌៌閘៌ ǴԌ㺬ヸ佈ミ㹼ヸʸʷꗜヘ闠៌ ǽԈ閼៌隘៌锸៌ƆԈlasƅԈ佴ミʸʷŐ肌ៈ陈៌ ƎԌ㺬ヸ佈ミ㹼ヸʸʷꗜヘ隐៌ ƗԈ陬៌霰៌门៌ƐԈ佴ミʸʷş靔៌雠៌ ƝԌ㺬ヸ佈ミ㹼ヸʸʷꗜヘ霨៌ ƢԈ霄៌韠៌隘៌ƯԈestáƪԈ佴ミʸʷŤ 頄៌鞐៌ ƷԌ㺬ヸ佈ミ㹼ヸʸʷꗜヘ韘៌ ƼԈ鞴៌颠៌霰៌ƹԈprohibidałԈ佴ミʸʷŮ飄៌顐៌ ŏԌ㺬ヸ佈ミ㹼ヸʸʷꗜヘ题៌ ŔԈ顴៌饐៌韠៌őԈlaŜԈ佴ミʸʷű&#10;饴៌餀៌ řԌ㺬ヸ佈ミ㹼ヸʸʷꗜヘ饈៌ ŮԈ餤៌騐៌颠៌ūԈpublicidadŴԈ佴ミʸʷż騴៌駀៌ űԌ㺬ヸ佈ミ㹼ヸʸʷꗜヘ騈៌ ĆԈ駤៌髀៌饐៌ăԈdeĎԈ佴ミʸʷſ髤៌驰៌ ċԌ㺬ヸ佈ミ㹼ヸʸʷꗜヘ骸៌ ĐԈ骔៌魰៌騐៌ĝԈlaĘԈ佴ミʸʷƂ鮔៌鬠៌ ĥԌ㺬ヸ佈ミ㹼ヸʸʷꗜヘ魨៌ ĪԈ魄៌鰰៌髀៌ķԈadopciónİԈ佴ミʸʷƋ鱔៌鯠៌ ĽԌ㺬ヸ佈ミ㹼ヸʸʷꗜヘ鰨៌ ǂԈ鰄៌鳠៌魰៌ǏԈyǊԈ佴ミʸʷƍ鴄៌鲐៌ ǗԌ㺬ヸ佈ミ㹼ヸʸʷꗜヘ鳘៌ ǜԈ鲴៌鶐៌鰰៌ǙԈlaǤԈ佴ミʸʷƐ鶴៌鵀៌ ǡԌ㺬ヸ佈ミ㹼ヸʸʷꗜヘ鶈៌ ǶԈ鵤៌鹐៌鳠៌ǳԈcoacciónǼԈ佴ミʸʷƙ鹴៌鸀៌ ǹԌ㺬ヸ佈ミ㹼ヸʸʷꗜヘ鹈៌ ƎԈ鸤៌鼀៌鶐៌ƋԈaƖԈ佴ミʸʷƛ鼤៌麰៌ ƓԌ㺬ヸ佈ミ㹼ヸʸʷꗜヘ黸៌ ƘԈ黔៌龰៌鹐៌ƥԈlasƠԈ佴ミʸʷƟ鿔៌齠៌ ƭԌ㺬ヸ佈ミ㹼ヸʸʷꗜヘ龨៌ ƲԈ龄៌ꁰ៌鼀៌ƿԈmujeresƸԈ佴ミʸʷƧꂔ៌ꀠ៌ ŅԌ㺬ヸ佈ミ㹼ヸʸʷꗜヘꁨ៌ ŊԈꁄ៌ꄰ៌龰៌ŗԈembarazadasŐԈ佴ミʸʷƳꅔ៌ꃠ៌ ŝԌ㺬ヸ佈ミ㹼ヸʸʷꗜヘꄨ៌ ŢԈꄄ៌ꇠ៌ꁰ៌ůԈparaŪԈ佴ミʸʷƸꈄ៌ꆐ៌ ŷԌ㺬ヸ佈ミ㹼ヸʸʷꗜヘꇘ៌ żԈꆴ៌ꊐ៌ꄰ៌ŹԈqueĄԈ佴ミʸʷƼꊴ៌ꉀ៌ āԌ㺬ヸ佈ミ㹼ヸʸʷꗜヘꊈ៌ ĖԈꉤ៌ꍀ៌ꇠ៌ēԈdenĞԈ佴ミʸʷǀꍤ៌ꋰ៌ ěԌ㺬ヸ佈ミ㹼ヸʸʷꗜヘꌸ៌ ĠԈꌔ៌ꏰ៌ꊐ៌ĭԈsusĨԈ佴ミʸʷǄꐔ៌ꎠ៌ ĵԌ㺬ヸ佈ミ㹼ヸʸʷꗜヘꏨ៌ ĺԈꏄ៌꒠៌ꍀ៌ǇԈ&#10;hijosǂԈ佴ミʸʷǊ꓄៌ꑐ៌ ǏԌ㺬ヸ佈ミ㹼ヸʸʷꗜヘ꒘៌ ǔԈꑴ៌ꕐ៌ꏰ៌ǑԈenǜԈ佴ミʸʷǍꕴ៌ꔀ៌ ǙԌ㺬ヸ佈ミ㹼ヸʸʷꗜヘꕈ៌ ǮԈꔤ៌ꘐ៌꒠៌ǫԈadopciónǴԈ佴ミʸʷǕ꘴៌ꗀ៌ ǱԌ㺬ヸ佈ミ㹼ヸʸʷꗜヘꘈ៌ ƆԈꗤ៌ꛀ៌ꕐ៌ƃԈ.ƎԈ佴ミʸʷǗꛤ៌꙰៌ ƋԌ㺬ヸ佈ミ㹼ヸʸʷꗜヘꚸ៌ ƐԈꚔ៌Ꞁ៌ꘐ៌ƝԈAsimismoƦԈ佴ミʸʷǟꞤ៌ꜰ៌ ƣԌ㺬ヸ佈ミ㹼ヸʸʷꗜヘꝸ៌ ƨԈꝔ៌꠰៌ꛀ៌ƵԈ,ưԈ佴ミʸʷǡꡔ៌꟠៌ ƽԌ㺬ヸ佈ミ㹼ヸʸʷꗜヘ꠨៌ łԈꠄ៌꣠៌Ꞁ៌ŏԈenŊԈ佴ミʸʷǤ꤄៌ꢐ៌ ŗԌ㺬ヸ佈ミ㹼ヸʸʷꗜヘ꣘៌ ŜԈꢴ៌ꦐ៌꠰៌řԈlasŤԈ佴ミʸʷǨꦴ៌ꥀ៌ šԌ㺬ヸ佈ミ㹼ヸʸʷꗜヘꦈ៌ ŶԈꥤ៌ꩀ៌꣠៌ųԈ&#10;leyesžԈ佴ミʸʷǮꩤ៌꧰៌ ŻԌ㺬ヸ佈ミ㹼ヸʸʷꗜヘ꨸៌ ĀԈꨔ៌꫰៌ꦐ៌čԈseĈԈ佴ミʸʷǱꬔ៌ꪠ៌ ĕԌ㺬ヸ佈ミ㹼ヸʸʷꗜヘꫨ៌ ĚԈ꫄៌ꮰ៌ꩀ៌ħԈrequiereĠԈ佴ミʸʷǺꯔ៌ꭠ៌ ĭԌ㺬ヸ佈ミ㹼ヸʸʷꗜヘꮨ៌ ĲԈꮄ៌걠៌꫰៌ĿԈelĺԈ佴ミʸʷǽ겄៌감៌ ǇԌ㺬ヸ佈ミ㹼ヸʸʷꗜヘ걘៌ ǌԈ갴៌괠៌ꮰ៌ǉԈpermisoǒԈ佴ミʸʷȅ 굄៌곐៌ ǟԌ㺬ヸ佈ミ㹼ヸʸʷꗜヘ괘៌ ǤԈ곴៌균៌걠៌ǡԈexplícitoǪԈ佴ミʸʷȏ긄៌궐៌ ǷԌ㺬ヸ佈ミ㹼ヸʸʷꗜヘ귘៌ ǼԈ궴៌꺐៌괠៌ǹԈdeƄԈ佴ミʸʷȒ꺴៌김៌ ƁԌ㺬ヸ佈ミ㹼ヸʸʷꗜヘ꺈៌ ƖԈ깤៌꽀៌균៌ƓԈunoƞԈ佴ミʸʷȖ꽤៌껰៌ ƛԌ㺬ヸ佈ミ㹼ヸʸʷꗜヘ꼸៌ ƠԈ꼔៌꿰៌꺐៌ƭԈoƨԈ佴ミʸʷȘ뀔៌꾠៌ ƵԌ㺬ヸ佈ミ㹼ヸʸʷꗜヘ꿨៌ ƺԈ꿄៌날៌꽀៌ȀကԀŇԈdełԈ佴ミʸʷț냄៌끐៌ ŏԌ㺬ヸ佈ミ㹼ヸʸʷꗜヘ나៌ ŔԈ끴៌념៌꿰៌őԈ&#10;ambosŜԈ佴ミʸʷȡ녴៌넀៌ řԌ㺬ヸ佈ミ㹼ヸʸʷꗜヘ녈៌ ŮԈ네៌눐៌날៌ūԈprogenitoresŴԈ佴ミʸʷȭ눴៌뇀៌ űԌ㺬ヸ佈ミ㹼ヸʸʷꗜヘ눈៌ ĆԈ뇤៌닀៌념៌ăԈ,ĎԈ佴ミʸʷȯ다៌뉰៌ ċԌ㺬ヸ佈ミ㹼ヸʸʷꗜヘ늸៌ ĐԈ는៌데៌눐៌ĝԈoĘԈ佴ミʸʷȱ뎔៌댠៌ ĥԌ㺬ヸ佈ミ㹼ヸʸʷꗜヘ덨៌ ĪԈ덄៌될៌닀៌ķԈdelĲԈ佴ミʸʷȵ둄៌돐៌ ĿԌ㺬ヸ佈ミ㹼ヸʸʷꗜヘ되៌ ǄԈ돴៌듐៌데៌ǁԈ&#10;tutorǌԈ佴ミʸʷȻ듴៌뒀៌ ǉԌ㺬ヸ佈ミ㹼ヸʸʷꗜヘ듈៌ ǞԈ뒤៌떀៌될៌ǛԈ&#10;legalǦԈ佴ミʸʷɀ떤៌따៌ ǣԌ㺬ヸ佈ミ㹼ヸʸʷꗜヘ땸៌ ǨԈ땔៌똰៌듐៌ǵԈ,ǰԈ佴ミʸʷɂ뙔៌뗠៌ ǽԌ㺬ヸ佈ミ㹼ヸʸʷꗜヘ똨៌ ƂԈ똄៌뛠៌떀៌ƏԈparaƊԈ佴ミʸʷɇ뜄៌뚐៌ ƗԌ㺬ヸ佈ミ㹼ヸʸʷꗜヘ뛘៌ ƜԈ뚴៌랐៌똰៌ƙԈqueƤԈ佴ミʸʷɋ랴៌띀៌ ơԌ㺬ヸ佈ミ㹼ヸʸʷꗜヘ랈៌ ƶԈ띤៌례៌뛠៌ƳԈunƾԈ佴ミʸʷɎ롤៌런៌ ƻԌ㺬ヸ佈ミ㹼ヸʸʷꗜヘ렸៌ ŀԈ렔៌룰៌랐៌ōԈniñoňԈ佴ミʸʷɓ뤔៌뢠៌ ŕԌ㺬ヸ佈ミ㹼ヸʸʷꗜヘ루៌ ŚԈ룄៌릠៌례៌ŧԈ&#10;puedaŢԈ佴ミʸʷə맄៌륐៌ ůԌ㺬ヸ佈ミ㹼ヸʸʷꗜヘ릘៌ ŴԈ르៌멐៌룰៌űԈserżԈ佴ミʸʷɝ면៌먀៌ ŹԌ㺬ヸ佈ミ㹼ヸʸʷꗜヘ멈៌ ĎԈ먤៌묐៌릠៌ċԈadoptadoĔԈ佴ミʸʷɥ무៌뫀៌ đԌ㺬ヸ佈ミ㹼ヸʸʷꗜヘ묈៌ ĦԈ뫤៌므៌멐៌ģԈ.ĮԈ佴ミʸʷɦ믤៌뭰៌ īԌ㺬ヸ佈ミ㹼ヸʸʷꗜヘ뮸៌ İԈ뮔៌뵨៌묐៌ĽԈ&#10;ĸԈmásǇԈ.yesǂԈSeǁԈ&#10;puededo.esǊԈ&#10;niñosListǗԈorganizacionesn.11ǞԈconsultarsǛԈ佴ミʸʷ抴៌봘៌ ǤԌ㺬ヸ佈ミ㹼ヸʸʷꗜヘ뵠៌ ǭԈ봼៌븀៌므៌ǶԈ佴ミʸʷ바៌붰៌ ǳԌ㺬ヸ佈ミ㹼ヸʸʷꗜヘ뷸៌ ǸԈ뷔៌뺘៌뵨៌ƅԈ佴ミʸʷ밬៌빈៌ ƎԌ㺬ヸ佈ミ㹼ヸʸʷꗜヘ뺐៌ ƗԈ빬៌뼰៌븀៌ƐԈ佴ミʸʷ 뱄៌뻠៌ ƝԌ㺬ヸ佈ミ㹼ヸʸʷꗜヘ뼨៌ ƢԈ뼄៌뿈៌뺘៌ƯԈ佴ミʸʷ 볌៌뽸៌ ƨԌ㺬ヸ佈ミ㹼ヸʸʷꗜヘ뿀៌ ƱԈ뾜៌쁠៌뼰៌ƺԈ佴ミʸʷ민៌쀐៌ ŇԌ㺬ヸ佈ミ㹼ヸʸʷꗜヘ쁘៌ ŌԈ쀴៌샸៌뿈៌ŉԈ佴ミʸʷ서៌삨៌ ŒԌ㺬ヸ佈ミ㹼ヸʸʷꗜヘ샰៌ śԈ샌៌솸៌쁠៌ŤԈinformaciónšԈ佴ミʸʷ)쇜៌셨៌ ŪԌ㺬ヸ佈ミ㹼ヸʸʷꗜヘ솰៌ ųԈ소៌쉨៌샸៌żԈ&#10;sobreŻԈ佴ミʸʷ/슌៌수៌ ĄԌ㺬ヸ佈ミ㹼ヸʸʷꗜヘ쉠៌ čԈ숼៌쌘៌솸៌ĖԈlaĕԈ佴ミʸʷ2&#10;掜៌싈៌ ĞԌ㺬ヸ佈ミ㹼ヸʸʷꗜヘ쌐៌ ħԈ심៌搸៌쉨៌ĠԈ桌៌쏰៌柈៌ĭԈelĨԈ佴ミʸʷc쐔៌쎠៌ ĵԌ㺬ヸ佈ミ㹼ヸʸʷꗜヘ쏨៌ ĺԈ쏄៌쒰៌썀៌ǇԈComitéǀԈ佴ミʸʷj쓔៌쑠៌ ǍԌ㺬ヸ佈ミ㹼ヸʸʷꗜヘ쒨៌ ǒԈ쒄៌애៌쏰៌ǟԈdelǚԈ佴ミʸʷn얄៌씐៌ ǧԌ㺬ヸ佈ミ㹼ヸʸʷꗜヘ았៌ ǬԈ씴៌옠៌쒰៌ǩԈPrimerǲԈ佴ミʸʷu완៌에៌ ǿԌ㺬ヸ佈ミ㹼ヸʸʷꗜヘ옘៌ ƄԈ열៌웠៌애៌ƁԈMinistroƊԈ佴ミʸʷ~위៌욐៌ ƗԌ㺬ヸ佈ミ㹼ヸʸʷꗜヘ웘៌ ƜԈ운៌자៌옠៌ƙԈparaƤԈ佴ミʸʷ잴៌은៌ ơԌ㺬ヸ佈ミ㹼ヸʸʷꗜヘ있៌ ƶԈ읤៌졀៌웠៌ƳԈlaƾԈ佴ミʸʷ&#10;졤៌쟰៌ ƻԌ㺬ヸ佈ミ㹼ヸʸʷꗜヘ져៌ ŀԈ젔៌준៌자៌ōԈPrevenciónŖԈ佴ミʸʷ줤៌좰៌ œԌ㺬ヸ佈ミ㹼ヸʸʷꗜヘ죸៌ ŘԈ죔៌즰៌졀៌ťԈdeŠԈ佴ミʸʷ짔៌쥠៌ ŭԌ㺬ヸ佈ミ㹼ヸʸʷꗜヘ즨៌ ŲԈ즄៌쩠៌준៌ſԈlaźԈ佴ミʸʷ 쪄៌쨐៌ ćԌ㺬ヸ佈ミ㹼ヸʸʷꗜヘ쩘៌ ČԈ쨴៌쬠៌즰៌ĉԈViolenciaĒԈ佴ミʸʷ¡쭄៌쫐៌ ğԌ㺬ヸ佈ミ㹼ヸʸʷꗜヘ쬘៌ ĤԈ쫴៌쯐៌쩠៌ġԈenĬԈ佴ミʸʷ¤쯴៌쮀៌ ĩԌ㺬ヸ佈ミ㹼ヸʸʷꗜヘ쯈៌ ľԈ쮤៌첀៌쬠៌ĻԈlaǆԈ佴ミʸʷ§첤៌찰៌ ǃԌ㺬ヸ佈ミ㹼ヸʸʷꗜヘ챸៌ ǈԈ챔៌쵀៌쯐៌ǕԈFamiliaǞԈ佴ミʸʷ¯쵤៌쳰៌ ǛԌ㺬ヸ佈ミ㹼ヸʸʷꗜヘ촸៌ ǠԈ촔៌췰៌첀៌ǭԈenǨԈ佴ミʸʷ²츔៌춠៌ ǵԌ㺬ヸ佈ミ㹼ヸʸʷꗜヘ취៌ ǺԈ췄៌캠៌쵀៌ƇԈwwwƂԈ佴ミʸʷµ컄៌칐៌ ƏԌ㺬ヸ佈ミ㹼ヸʸʷꗜヘ캘៌ ƔԈ카៌콐៌췰៌ƑԈ.ƜԈ佴ミʸʷ¶콴៌케៌ ƙԌ㺬ヸ佈ミ㹼ヸʸʷꗜヘ콈៌ ƮԈ켤៌퀀៌캠៌ƫԈgovƶԈ佴ミʸʷ¹퀤៌쾰៌ ƳԌ㺬ヸ佈ミ㹼ヸʸʷꗜヘ쿸៌ ƸԈ쿔៌킰៌콐៌ŅԈ.ŀԈ佴ミʸʷº탔៌큠៌ ōԌ㺬ヸ佈ミ㹼ヸʸʷꗜヘ킨៌ ŒԈ킄៌텠៌퀀៌şԈpeŚԈ佴ミʸʷ¼톄៌턐៌ ŧԌ㺬ヸ佈ミ㹼ヸʸʷꗜヘ텘៌ ŬԈ턴៌툐៌킰៌ũԈ.ŴԈ佴ミʸʷ½툴៌퇀៌ űԌ㺬ヸ佈ミ㹼ヸʸʷꗜヘ툈៌ ĆԈ퇤៌틀៌텠៌ăԈcaĎԈ佴ミʸʷ¿틤៌퉰៌ ċԌ㺬ヸ佈ミ㹼ヸʸʷꗜヘ트៌ ĐԈ튔៌퍰៌툐៌ĝԈ/ĘԈ佴ミʸʷÀ펔៌팠៌ ĥԌ㺬ヸ佈ミ㹼ヸʸʷꗜヘ퍨៌ ĪԈ퍄៌퐠៌틀៌ķԈsssĲԈ佴ミʸʷÃ푄៌폐៌ ĿԌ㺬ヸ佈ミ㹼ヸʸʷꗜヘ퐘៌ ǄԈ폴៌퓐៌퍰៌ǁԈ/ǌԈ佴ミʸʷÄ퓴៌풀៌ ǉԌ㺬ヸ佈ミ㹼ヸʸʷꗜヘ퓈៌ ǞԈ풤៌햀៌퐠៌ǛԈ&#10;indexǦԈ佴ミʸʷÉ햤៌픰៌ ǣԌ㺬ヸ佈ミ㹼ヸʸʷꗜヘ핸៌ ǨԈ핔៌혰៌퓐៌ǵԈ.ǰԈ佴ミʸʷÊ화៌헠៌ ǽԌ㺬ヸ佈ミ㹼ヸʸʷꗜヘ혨៌ ƂԈ현៌훠៌햀៌ƏԈphpƊԈ佴ミʸʷÍ휄៌횐៌ ƗԌ㺬ヸ佈ミ㹼ヸʸʷꗜヘ훘៌ ƜԈ횴៌힐៌혰៌ƙԈ3ƤԈ佴ミʸʷÎힴ៌흀៌ ơԌ㺬ヸ佈ミ㹼ヸʸʷꗜヘ히៌ ƶԈ흤៌៌훠៌ƳԈ.ƾԈ佴ミʸʷÏ៌ퟰ៌ ƻԌ㺬ヸ佈ミ㹼ヸʸʷꗜヘ៌ ŀԈ៌៌힐៌ōԈ&#10;ňԈ&#10;caŗԈ.eŒԈ..őԈ.miliaianŚԈ.w.govaŧԈDebidoaaŠԈ109ůԈalue1hpŨԈ.ken ListŵԈ佴ミʸʷ៌៌ žԌ㺬ヸ佈ミ㹼ヸʸʷꗜヘ៌ ćԈ៌៌៌ĀԈ佴ミʸʷ៌៌ čԌ㺬ヸ佈ミ㹼ヸʸʷꗜヘ៌ ĒԈ៌៌៌ğԈ佴ミʸʷ៌៌ ĘԌ㺬ヸ佈ミ㹼ヸʸʷꗜヘ៌ ġԈ៌៌៌ĪԈ佴ミʸʷ៌៌ ķԌ㺬ヸ佈ミ㹼ヸʸʷꗜヘ៌ ļԈ៌៌៌ĹԈ佴ミʸʷ&#10;៌៌ ǂԌ㺬ヸ佈ミ㹼ヸʸʷꗜヘ៌ ǋԈ៌៌៌ǔԈ佴ミʸʷ៌៌ ǑԌ㺬ヸ佈ミ㹼ヸʸʷꗜヘ៌ ǦԈ៌៌៌ǣԈreducidoǬԈ佴ミʸʷ៌៌ ǩԌ㺬ヸ佈ミ㹼ヸʸʷꗜヘ៌ ǾԈ៌៌៌ǻԈámbitoƄԈ佴ミʸʷ ៌៌ ƁԌ㺬ヸ佈ミ㹼ヸʸʷꗜヘ៌ ƖԈ៌៌៌ƓԈdeƞԈ佴ミʸʷ#៌៌ ƛԌ㺬ヸ佈ミ㹼ヸʸʷꗜヘ៌ ƠԈ៌៌៌ƭԈlaƨԈ佴ミʸʷ&amp;៌៌ ƵԌ㺬ヸ佈ミ㹼ヸʸʷꗜヘ៌ ƺԈ៌៌៌ȀကԀŇԈjurisdicciónŀԈ佴ミʸʷ3៌៌ ōԌ㺬ヸ佈ミ㹼ヸʸʷꗜヘ៌ ŒԈ៌៌៌şԈdeŚԈ佴ミʸʷ6៌៌ ŧԌ㺬ヸ佈ミ㹼ヸʸʷꗜヘ៌ ŬԈ៌៌៌ũԈlosŴԈ佴ミʸʷ:៌៌ űԌ㺬ヸ佈ミ㹼ヸʸʷꗜヘ៌ ĆԈ៌៌៌ăԈTerritoriosČԈ佴ミʸʷF៌៌ ĉԌ㺬ヸ佈ミ㹼ヸʸʷꗜヘ៌ ĞԈ៌៌៌ěԈdelĦԈ佴ミʸʷJ៌៌ ģԌ㺬ヸ佈ミ㹼ヸʸʷꗜヘ៌ ĨԈ៌៌៌ĵԈNoroesteľԈ佴ミʸʷR៌៌ ĻԌ㺬ヸ佈ミ㹼ヸʸʷꗜヘ៌ ǀԈ៌៌៌ǍԈ,ǈԈ佴ミʸʷT៌៌ ǕԌ㺬ヸ佈ミ㹼ヸʸʷꗜヘ៌ ǚԈ៌៌៌ǧԈlosǢԈ佴ミʸʷX៌៌ ǯԌ㺬ヸ佈ミ㹼ヸʸʷꗜヘ៌ ǴԈ៌៌៌ǱԈministeriosǺԈ佴ミʸʷc៌៌ ƇԌ㺬ヸ佈ミ㹼ヸʸʷꗜヘ៌ ƌԈ៌៌៌ƉԈ,ƔԈ佴ミʸʷe៌៌ ƑԌ㺬ヸ佈ミ㹼ヸʸʷꗜヘ៌ ƦԈ៌៌៌ƣԈlasƮԈ佴ミʸʷi범៌៌ ƫԌ㺬ヸ佈ミ㹼ヸʸʷꗜヘ៌ ưԈ៌៌៌ƽԈ佴ミʸʷx៌៌ ņԌ㺬ヸ佈ミ㹼ヸʸʷꗜヘ៌ ŏԈ៌៌៌ňԈnoŗԈ佴ミʸʷ{죤៉៌ ŐԌ㺬ヸ佈ミ㹼ヸʸʷꗜヘ៌ řԈ៌៌៌ŢԈ佴ミʸʷ៌៌ ůԌ㺬ヸ佈ミ㹼ヸʸʷꗜヘ៌ ŴԈ៌៌៌űԈ,żԈ佴ミʸʷ៌៌ ŹԌ㺬ヸ佈ミ㹼ヸʸʷꗜヘ៌ ĎԈ៌៌៌ċԈelĖԈ佴ミʸʷ៌៌ ēԌ㺬ヸ佈ミ㹼ヸʸʷꗜヘ៌ ĘԈ៌៌៌ĥԈsectorĮԈ佴ミʸʷ៌៌ īԌ㺬ヸ佈ミ㹼ヸʸʷꗜヘ៌ İԈ៌៌៌ĽԈprivadoǆԈ佴ミʸʷ៌៌ ǃԌ㺬ヸ佈ミ㹼ヸʸʷꗜヘ៌ ǈԈ៌៌៌ǕԈ,ǐԈ佴ミʸʷ៌៌ ǝԌ㺬ヸ佈ミ㹼ヸʸʷꗜヘ៌ ǢԈ៌៌៌ǯԈlosǪԈ佴ミʸʷ£៌៌ ǷԌ㺬ヸ佈ミ㹼ヸʸʷꗜヘ៌ ǼԈ៌៌៌ǹԈmiembrosƂԈ佴ミʸʷ¬៌៌ ƏԌ㺬ヸ佈ミ㹼ヸʸʷꗜヘ៌ ƔԈ៌៌៌ƑԈdelƜԈ佴ミʸʷ°៌៌ ƙԌ㺬ヸ佈ミ㹼ヸʸʷꗜヘ៌ ƮԈ៌៌៌ƫԈpúblicoƴԈ佴ミʸʷ¸៌៌ ƱԌ㺬ヸ佈ミ㹼ヸʸʷꗜヘ៌ ņԈ៌៌៌ŃԈenŎԈ佴ミʸʷ»៌៌ ŋԌ㺬ヸ佈ミ㹼ヸʸʷꗜヘ៌ ŐԈ៌៌៌ŝԈgeneralŦԈ佴ミʸʷÂ៌៌ ţԌ㺬ヸ佈ミ㹼ヸʸʷꗜヘ៌ ŨԈ៌៌៌ŵԈ,ŰԈ佴ミʸʷÄ៌៌ ŽԌ㺬ヸ佈ミ㹼ヸʸʷꗜヘ៌ ĂԈ៌៌៌ďԈlosĊԈ佴ミʸʷÈ៌៌ ėԌ㺬ヸ佈ミ㹼ヸʸʷꗜヘ៌ ĜԈ៌៌៌ęԈmediosĢԈ佴ミʸʷÏ៌៌ įԌ㺬ヸ佈ミ㹼ヸʸʷꗜヘ៌ ĴԈ៌៌៌ıԈdeļԈ佴ミʸʷÒ៌៌ ĹԌ㺬ヸ佈ミ㹼ヸʸʷꗜヘ៌ ǎԈ៌៌៌ǋԈcomunicaciónǔԈ佴ミʸʷÞ៌៌ ǑԌ㺬ヸ佈ミ㹼ヸʸʷꗜヘ៌ ǦԈ៌៌៌ǣԈ,ǮԈ佴ミʸʷà៌៌ ǫԌ㺬ヸ佈ミ㹼ヸʸʷꗜヘ៌ ǰԈ៌៌៌ǽԈelǸԈ佴ミʸʷã៌៌ ƅԌ㺬ヸ佈ミ㹼ヸʸʷꗜヘ៌ ƊԈ៌៌៌ƗԈámbitoƐԈ佴ミʸʷê ៌៌ ƝԌ㺬ヸ佈ミ㹼ヸʸʷꗜヘ៌ ƢԈ៌៌៌ƯԈacadémicoƨԈ佴ミʸʷó៌៌ ƵԌ㺬ヸ佈ミ㹼ヸʸʷꗜヘ៌ ƺԈ៌៌៌ŇԈ,łԈ佴ミʸʷõ៌៌ ŏԌ㺬ヸ佈ミ㹼ヸʸʷꗜヘ៌ ŔԈ៌縷៌៌őԈyŜԈ佴ミʸʷ÷若៌豈៌ řԌ㺬ヸ佈ミ㹼ヸʸʷꗜヘ賂៌ ŮԈ襤៌切៌៌ūԈ&#10;otrosŶԈ佴ミʸʷý﨤៌聆៌ ųԌ㺬ヸ佈ミ㹼ヸʸʷꗜヘ笠៌ ŸԈ倫៌變៌縷៌ąԈinteresadosĎԈ佴ミʸʷĈ﫤៌並៌ ċԌ㺬ヸ佈ミ㹼ヸʸʷꗜヘ視៌ ĐԈ杖៌ﭰ៌切៌ĝԈ,ĘԈ佴ミʸʷĊ ﮔ៌ﬠ៌ ĥԌ㺬ヸ佈ミ㹼ヸʸʷꗜヘﭨ៌ ĪԈפּ៌ﰰ៌變៌ķԈcolaboranİԈ佴ミʸʷĔﱔ៌ﯠ៌ ĽԌ㺬ヸ佈ミ㹼ヸʸʷꗜヘﰨ៌ ǂԈﰄ៌ﳠ៌ﭰ៌ǏԈconǊԈ佴ミʸʷĘ ﴄ៌ﲐ៌ ǗԌ㺬ヸ佈ミ㹼ヸʸʷꗜヘﳘ៌ ǜԈﲴ៌ﶠ៌ﰰ៌ǙԈfacilidadǢԈ佴ミʸʷĢﷄ៌ﵐ៌ ǯԌ㺬ヸ佈ミ㹼ヸʸʷꗜヘﶘ៌ ǴԈﵴ៌﹐៌ﳠ៌ǱԈyǼԈ佴ミʸʷĤﹴ៌︀៌ ǹԌ㺬"/>
        </w:smartTagPr>
        <w:r>
          <w:t>la Real Policía Montada</w:t>
        </w:r>
      </w:smartTag>
      <w:r>
        <w:t xml:space="preserve"> del Canadá, los ministerios y organismos de servicios sociales, y las ONG, así como con los trabajadores de los centros de acogida, los trabajadores sociales, y otros, con objeto de identificar a los niños y grupos vulnerables. Estos grupos colaboran con la Coalición contra la violencia en el hogar (formada por representantes de los organismos que prestan servicios, los ministerios, el sector educativo, la tercera edad y la policía, que se ocupan de temas relacionados con la violencia en la familia o que se derivan de esta) con objeto de reducir la incidencia y las repercusiones de la violencia en la familia en los Territorios del Noroeste.</w:t>
      </w:r>
    </w:p>
    <w:p w:rsidR="00AA5B69" w:rsidRDefault="00AA5B69">
      <w:pPr>
        <w:pStyle w:val="H1G"/>
      </w:pPr>
      <w:r>
        <w:tab/>
      </w:r>
      <w:r>
        <w:tab/>
        <w:t>Estrategias y programas de protección y de prevención</w:t>
      </w:r>
    </w:p>
    <w:p w:rsidR="00AA5B69" w:rsidRDefault="00AA5B69">
      <w:pPr>
        <w:spacing w:after="120"/>
        <w:ind w:left="1134" w:right="1134"/>
        <w:jc w:val="both"/>
      </w:pPr>
      <w:r>
        <w:t>119.</w:t>
      </w:r>
      <w:r>
        <w:tab/>
        <w:t xml:space="preserve">El Gobierno federal y los gobiernos provinciales y territoriales del Canadá tienen la firme voluntad de combatir la explotación sexual en todas sus formas y de proteger a las víctimas. Como se ha indicado </w:t>
      </w:r>
      <w:r>
        <w:rPr>
          <w:i/>
        </w:rPr>
        <w:t>supra</w:t>
      </w:r>
      <w:r>
        <w:t>, todos los gobiernos cuentan con leyes de protección de la infancia y con programas que se basan en el principio del interés superior del niño.</w:t>
      </w:r>
    </w:p>
    <w:p w:rsidR="00AA5B69" w:rsidRDefault="00AA5B69">
      <w:pPr>
        <w:spacing w:after="120"/>
        <w:ind w:left="1134" w:right="1134"/>
        <w:jc w:val="both"/>
      </w:pPr>
      <w:r>
        <w:t>120.</w:t>
      </w:r>
      <w:r>
        <w:tab/>
        <w:t>Se puede consultar más información sobre las iniciativas desplegadas a nivel federal para mejorar la lucha contra la trata de personas en http://www2.parl.gc.ca/House</w:t>
      </w:r>
      <w:r>
        <w:br/>
        <w:t>Publications/Publication.aspx?DocId=3047088&amp;Language=E&amp;Mode=1&amp;Parl=39&amp;Ses=1.</w:t>
      </w:r>
    </w:p>
    <w:p w:rsidR="00AA5B69" w:rsidRDefault="00AA5B69">
      <w:pPr>
        <w:spacing w:after="120"/>
        <w:ind w:left="1134" w:right="1134"/>
        <w:jc w:val="both"/>
      </w:pPr>
      <w:r>
        <w:t>121.</w:t>
      </w:r>
      <w:r>
        <w:tab/>
        <w:t xml:space="preserve">El Gobierno del Canadá ha adoptado un enfoque múltiple en cuanto a la protección de los niños contra los delitos tipificados en el Protocolo. Los diversos programas, leyes y políticas destinados a combatir de forma directa la trata y la explotación sexual se supervisan y, si es necesario, se perfeccionan, a fin de aumentar la protección de los niños y otras personas contra </w:t>
      </w:r>
      <w:smartTag w:uri="urn:schemas-microsoft-com:office:smarttags" w:element="PersonName">
        <w:smartTagPr>
          <w:attr w:name="ProductID" w:val="la violencia. La"/>
        </w:smartTagPr>
        <w:r>
          <w:t>la violencia. La</w:t>
        </w:r>
      </w:smartTag>
      <w:r>
        <w:t xml:space="preserve"> policía federal, en colaboración con las fuerzas policiales de todo el país, apoyan el desarrollo de las mejores prácticas y la elaboración de estrategias e instrumentos para combatir la explotación sexual en Internet y en otros ámbitos. También se han puesto en marcha varios programas e iniciativas destinados a alentar y prestar apoyo a las comunidades y las ONG en la prevención de la explotación sexual de los niños.</w:t>
      </w:r>
    </w:p>
    <w:p w:rsidR="00AA5B69" w:rsidRDefault="00AA5B69">
      <w:pPr>
        <w:spacing w:after="120"/>
        <w:ind w:left="1134" w:right="1134"/>
        <w:jc w:val="both"/>
      </w:pPr>
      <w:r>
        <w:t>122.</w:t>
      </w:r>
      <w:r>
        <w:tab/>
        <w:t>El Comité federal contra la explotación sexual comercial de los niños participa en una mesa redonda que trata el problema de la explotación sexual comercial de los niños y la trata de niños con fines sexuales. El Comité presta especial atención a la explotación sexual comercial de los niños y los jóvenes aborígenes del Canadá. Aunque el Comité no tiene un mandato oficial de asesorar al Gobierno, ha sido, desde 1996, un excelente mecanismo para el intercambio de información.</w:t>
      </w:r>
    </w:p>
    <w:p w:rsidR="00AA5B69" w:rsidRDefault="00AA5B69">
      <w:pPr>
        <w:spacing w:after="120"/>
        <w:ind w:left="1134" w:right="1134"/>
        <w:jc w:val="both"/>
      </w:pPr>
      <w:r>
        <w:t>123.</w:t>
      </w:r>
      <w:bookmarkStart w:id="0" w:name="hit2"/>
      <w:bookmarkEnd w:id="0"/>
      <w:r>
        <w:tab/>
      </w:r>
      <w:r>
        <w:rPr>
          <w:i/>
        </w:rPr>
        <w:t>Cybertip.ca</w:t>
      </w:r>
      <w:r>
        <w:t xml:space="preserve">, que es un servicio telefónico nacional para denunciar posibles casos de explotación sexual de niños en Internet, que está disponible las 24 horas todos los días del año, desempeña una importante función en la educación y sensibilización contra la explotación sexual de los niños. Financiado por medio de la Estrategia nacional para la protección de los niños contra la explotación sexual en Internet, </w:t>
      </w:r>
      <w:r>
        <w:rPr>
          <w:i/>
        </w:rPr>
        <w:t>Cybertip.ca</w:t>
      </w:r>
      <w:r>
        <w:t xml:space="preserve"> ha recibido y evaluado cerca de 25.000 casos desde 2002, y ha contribuido a cerrar 3.500 sitios web. </w:t>
      </w:r>
      <w:r>
        <w:rPr>
          <w:i/>
        </w:rPr>
        <w:t>Cybertip.ca</w:t>
      </w:r>
      <w:r>
        <w:t xml:space="preserve"> también centraliza el material de educación pública sobre explotación sexual de niños en Internet del Canadá, y ha elaborado materiales que se utilizan en las escuelas de algunas provincias (www.cybertip.ca).</w:t>
      </w:r>
    </w:p>
    <w:p w:rsidR="00AA5B69" w:rsidRDefault="00AA5B69">
      <w:pPr>
        <w:spacing w:after="120"/>
        <w:ind w:left="1134" w:right="1134"/>
        <w:jc w:val="both"/>
      </w:pPr>
      <w:r>
        <w:t>124.</w:t>
      </w:r>
      <w:r>
        <w:tab/>
        <w:t>Todos los territorios y provincias disponen de líneas telefónicas gratuitas para que cualquier persona pueda denunciar casos de malos tratos.</w:t>
      </w:r>
    </w:p>
    <w:p w:rsidR="00AA5B69" w:rsidRDefault="00AA5B69">
      <w:pPr>
        <w:spacing w:after="120"/>
        <w:ind w:left="1134" w:right="1134"/>
        <w:jc w:val="both"/>
      </w:pPr>
      <w:r>
        <w:t>125.</w:t>
      </w:r>
      <w:r>
        <w:tab/>
        <w:t>Las provincias y los territorios han participado en el Estudio de la incidencia de las denuncias de malos tratos o descuido de niños en el Canadá, publicado en 2003. Ese estudio contiene un análisis agregado a nivel nacional de los informes y la investigación sobre los malos tratos padecidos por niños en todas las jurisdicciones del Canadá, así como un análisis separado de cada provincia o territorio (http://www.phac-aspc.gc.ca/publicat/ cissr-ecirc/pdf/cmic_e.pdf).</w:t>
      </w:r>
    </w:p>
    <w:p w:rsidR="00AA5B69" w:rsidRDefault="00AA5B69">
      <w:pPr>
        <w:spacing w:after="120"/>
        <w:ind w:left="1134" w:right="1134"/>
        <w:jc w:val="both"/>
      </w:pPr>
      <w:r>
        <w:t>126.</w:t>
      </w:r>
      <w:r>
        <w:tab/>
        <w:t>En 2007, Columbia Británica estableció la Oficina de lucha contra la trata de personas. La Oficina fomenta relaciones de colaboración entre las diversas jurisdicciones y organismos, en particular otros ministerios provinciales, los ministerios federales, los cuerpos de seguridad del Estado y las ONG, lo que incluye a los hogares transitorios y los centros de acogida.</w:t>
      </w:r>
    </w:p>
    <w:p w:rsidR="00AA5B69" w:rsidRDefault="00AA5B69">
      <w:pPr>
        <w:spacing w:after="120"/>
        <w:ind w:left="1134" w:right="1134"/>
        <w:jc w:val="both"/>
      </w:pPr>
      <w:r>
        <w:t>127.</w:t>
      </w:r>
      <w:r>
        <w:tab/>
        <w:t>El Gobierno de Columbia Británica financia diversos programas que apoyan la aplicación del Protocolo:</w:t>
      </w:r>
    </w:p>
    <w:p w:rsidR="00AA5B69" w:rsidRDefault="00AA5B69">
      <w:pPr>
        <w:pStyle w:val="Bullet1G"/>
      </w:pPr>
      <w:r>
        <w:t>Proporciona financiación a 155 programas de asistencia a las víctimas en toda la provincia, que prestan servicios directos a las víctimas y a otras personas afectadas por delitos, entre las que figuran los jóvenes víctimas de explotación sexual.</w:t>
      </w:r>
    </w:p>
    <w:p w:rsidR="00AA5B69" w:rsidRDefault="00AA5B69">
      <w:pPr>
        <w:pStyle w:val="Bullet1G"/>
      </w:pPr>
      <w:r>
        <w:t>Los servicios de información de Vancouver cuentan con financiación del Gobierno provincial y, en colaboración con el Gobierno federal, tienen a su cargo el servicio "Los jóvenes contra la violencia" (</w:t>
      </w:r>
      <w:r>
        <w:rPr>
          <w:i/>
        </w:rPr>
        <w:t>The Youth Against Violence Line</w:t>
      </w:r>
      <w:r>
        <w:t>) (1-800-680-4264), que dispone de una línea telefónica automatizada y un servicio de correo electrónico que permiten, de manera segura y confidencial, evitar y denunciar incidentes violentos o delitos cometidos contra los jóvenes, así como solicitar ayuda a la policía local.</w:t>
      </w:r>
    </w:p>
    <w:p w:rsidR="00AA5B69" w:rsidRDefault="00AA5B69">
      <w:pPr>
        <w:pStyle w:val="Bullet1G"/>
      </w:pPr>
      <w:r>
        <w:t>El Programa de acuerdos para jóvenes (</w:t>
      </w:r>
      <w:r>
        <w:rPr>
          <w:i/>
        </w:rPr>
        <w:t>Youth Agreement Program</w:t>
      </w:r>
      <w:r>
        <w:t>) está destinado a jóvenes de entre 16 y 18 años que carecen de hogar y no pueden vivir con sus familias, y para quienes la alternativa de ser acogidos por los servicios del Ministerio no es una solución adecuada. La evaluación de esta iniciativa puso de relieve que mediante estos acuerdos se han logrado notables mejoras entre los jóvenes en situación de alto riesgo, tales como una reducción de las conductas de riesgo, un cambio positivo en las asociaciones entre pares, y la participación en programas educativos y de capacitación laboral. Entre los ejercicios económicos 2001-2002 y 2006-2007, el número de nuevos acuerdos para jóvenes aumentó en un 140% (http://www.mcf.gov.bc.ca/youth/publications.htm).</w:t>
      </w:r>
    </w:p>
    <w:p w:rsidR="00AA5B69" w:rsidRDefault="00AA5B69">
      <w:pPr>
        <w:spacing w:after="120"/>
        <w:ind w:left="1134" w:right="1134"/>
        <w:jc w:val="both"/>
      </w:pPr>
      <w:r>
        <w:t>128.</w:t>
      </w:r>
      <w:r>
        <w:tab/>
        <w:t xml:space="preserve">El Gobierno de Alberta ha aprobado la Ley de protección de los niños víctimas de explotación sexual, mencionada </w:t>
      </w:r>
      <w:r>
        <w:rPr>
          <w:i/>
        </w:rPr>
        <w:t>supra</w:t>
      </w:r>
      <w:r>
        <w:t>, y ha establecido un Equipo integrado de lucha contra la explotación infantil. Además, el Gobierno ha diseñado, apoyado y ampliado una red de programas de asistencia para todas las víctimas de delitos en la provincia, que incluye servicios especializados para los niños víctimas de malos tratos. Forman parte de esos servicios determinados tribunales, fiscales y servicios policiales, que tienen en cuenta las necesidades específicas de los niños víctimas de malos tratos (http://justsolgen.gov. ab.ca/criminal_pros/downloads/DV_Handbook_FamilyViolenceInitiativesInAlberta.pdf).</w:t>
      </w:r>
    </w:p>
    <w:p w:rsidR="00AA5B69" w:rsidRDefault="00AA5B69">
      <w:pPr>
        <w:spacing w:after="120"/>
        <w:ind w:left="1134" w:right="1134"/>
        <w:jc w:val="both"/>
      </w:pPr>
      <w:r>
        <w:t>129.</w:t>
      </w:r>
      <w:r>
        <w:tab/>
        <w:t xml:space="preserve">En Alberta se ha establecido un Comité de lucha contra la trata de personas, que elaborará un protocolo para toda </w:t>
      </w:r>
      <w:smartTag w:uri="urn:schemas-microsoft-com:office:smarttags" w:element="PersonName">
        <w:smartTagPr>
          <w:attr w:name="ProductID" w:val="la provincia. El Comit￩"/>
        </w:smartTagPr>
        <w:r>
          <w:t>la provincia. El Comité</w:t>
        </w:r>
      </w:smartTag>
      <w:r>
        <w:t xml:space="preserve"> está compuesto por representantes de la Dirección general de asistencia a las víctimas, </w:t>
      </w:r>
      <w:smartTag w:uri="urn:schemas-microsoft-com:office:smarttags" w:element="PersonName">
        <w:smartTagPr>
          <w:attr w:name="ProductID" w:val="⣇ᇒက❚떙쌘Ë╾âೄೀ¤ĔԈ㳄ヸ烰ឯ㰔ヸ买ミ앐្塘៌쑈数ʶĜԈ佴ミʸʷō界ለ腰ᡄęԈ.ĤԎ@la violencia. LaÕÖ×įԈ㳄ヸ쨠ඵ㰔ヸ买ミ얐្ᵈ៌쑈数ʶķԈ덀භ᱐៌ĿԈ4la provincia. El Comit￩ǇԈ덀භ玈ለǏԌla Condici￳n Jur￭dicaǗԎla prostituci￳n. PorǟԈ뉘භᩘ៌ǧԈ=la toxicoman￭a. UnoǮԈ㳄ヸ៰㰔ヸ买ミ᭐៌앐្쑈数ʶǶԈ뵔ᩜ뷰ᩜ穀ᩝǳԈseǾԊ&lt;la toxicoman￭a. ElǹԈ야៟ո៊⹰៝ƂԈexaminados៣᫘៌ƏԐ佴ミʸʷʤؼ៣Ԩ៊ƉԎla estrategia. V￩aseƑԈ덀භ缰ለƙԈ㳄ヸ迠ᆥ㰔ヸ买ミᦘ៌얰៟绐ය数ʶơԈ佴ミʸʷŕⱔ浀ᡂƪԈlosƩԈ뉘භᯐ៌ ƱԌ㺬ヸ佈ミ㹼ヸʸʷꗜヘ៘ ņԈ㳄ヸ笈៨㰔ヸ买ミꬰᢤ墨᡿쑈数ʶŎԈ펌ᡞߠ៊ᨨឯŋԈ&#10;casosŖԈ㳄ヸ瘀᠊㰔ヸ买ミ쓈៟ሂ绐ය数ʶŞԈ汄ᡂ㨘ឯۀ៣śԈ&#10;datosŦԈ㳄ヸ笨ለ㰔ヸ买ミᲘឯ⇀៌绐ය数ʶŮԈ덀භↈ៌ŶԎŸla calle. MuchosűԈ㳄ヸ櫈ሂ㰔ヸ买ミ℈៌≀៌绐ය数ʶŹԈ덀භ篰ለāԈ㳄ヸ䙨ᇜ㰔ヸ买ミ⇀៌⋸៌绐ය数ʶĉԈ덀භ⋀៌đԎŸla violencia. LaĘԈ㳄ヸⳐᇜ㰔ヸ买ミ≀៌⎸៌绐ය数ʶĠԈ덀භ⍸៌ĨԈŸla provincia. El ComitéİԈ㳄ヸᜈᇴ㰔ヸ买ミ⋸៌␸៌绐ය数ʶĸԈ덀භ篰ለǀԈ㳄ヸ庐ᇶ㰔ヸ买ミ⎸៌⓰៌绐ය数ʶǈԈ덀භⒸ៌ǐԈŸla toxicomanía. UnoǛԈ㳄ヸ놠ሀ㰔ヸ买ミ␸៌▨៌绐ය数ʶǣԈ덀භ╰៌ǫԊŸla toxicomanía. ElǲԈ㳄ヸ礀ᇟ㰔ヸ买ミ⓰៌♨៌绐ය数ʶǺԈ덀භ☨៌ƂԎŸla estrategia. VéaseƊԈ㳄ヸ⚰ᇟ㰔ヸ买ミ▨៌⛨៌绐ය数ʶƒԈ덀භ軨ƚԈ㳄ヸ萠ᇛ㰔ヸ买ミ♨៌❨៌绐ය数ʶƢԈ덀භẀƪԈ㳄ヸ㷘ሃ㰔ヸ买ミ⛨៌⠠៌绐ය数ʶƲԈ덀භ⟨៌ƺԈŸLa nueva EstrategiaŅԈ㳄ヸ鐰㰔ヸ买ミ❨៌⢠៌绐ය数ʶōԈ덀භ봨භŕԈ㳄ヸ鞰ᇍ㰔ヸ买ミ⠠៌⥠៌绐ය数ʶŝԈ덀භ⤠៌ťԌŸla Condición JurídicaŭԈ㳄ヸ飠ᇺ㰔ヸ买ミ⢠៌⨠៌绐ය数ʶŵԈ덀භ⧠៌ŽԎŸla provincia. AdemásąԈ㳄ヸ䠠භ㰔ヸ买ミ⥠៌⫠៌绐ය数ʶčԈ덀භ⪠៌ĕԊŸla familia. La OficinaĝԈ㳄ヸ暨ˁ㰔ヸ买ミ⨠៌⭠៌绐ය数ʶĥԈ덀භ៉ĭԈ㳄ヸ㜸ሐ㰔ヸ买ミ⫠៌Ⱈ៌绐ය数ʶĵԈ덀භ⯠៌ĽԈŸla prostitución. SeǄԈ㳄ヸꊰᇫ㰔ヸ买ミ⭠៌Ⲙ៌绐ය数ʶǌԈ덀භ醈ᇕǔԈ㳄ヸ⽠ᇐ㰔ヸ买ミⰘ៌ⴘ៌绐ය数ʶǜԈ덀භ憈ǤԈ㳄ヸ鹀ᇞ㰔ヸ买ミⲘ៌⶘៌绐ය数ʶǬԈ덀භ煰ለǴԈ㳄ヸ罸ᆿ㰔ヸ买ミⴘ៌⸘៌绐ය数ʶǼԈ덀භ㮐ឯƄԈ㳄ヸህ㰔ヸ买ミ⶘៌⺘៌绐ය数ʶƌԈ덀භ㮐ឯƔԈ㳄ヸ䪘ᇚ㰔ヸ买ミ⸘៌眈ለ绐ය数ʶƜԈ덀භ쨀៉ƤԈ佴ミʸʷ趌៉៉ơԈ៉⾘៌澀ለ쀀ᄠ᠁杮ƪԈ佴ミʸʷ졤៉៉ƷԈ៉⿨៌⽈៌ர฀椀ưԈ佴ミʸʷ 짜៉៉ƽԈ៉〸៌⾘៌洀捡ऀ慩ņԈ佴ミʸʷ&#10;좼៉៉ŃԈ៉よ៌⿨៌ကஐఀ档ŌԈ佴ミʸʷガ៌៉ŉԈ៉㄀៌〸៌ᄀ湩敦捣ŒԈcomunidades뀀ᬰşԈ佴ミʸʷ៉៉ŘԈ៉ㅐ៌よ៌뀀᫠锁dťԈ佴ミʸʷㅴ៌៉ŮԈ៉㇈៌㄀៌ഀ灩慩潤ūԈbarrios௠쀀ঀऀ浡ŴԈ佴ミʸʷ&amp;졼៉៉űԈ៉㈘៌ㅐ៌慴楲௠źԈ佴ミʸʷ*㈼៌៉ćԈ៉㊐៌㇈៌稈g쀐ĀԈseguros/捳؀汩ačԈ佴ミʸʷ2៉៉ĖԈ៉㋠៌㈘៌攈l냀ēԈ佴ミʸʷ5៉ĜԈ㌰៌㊐៌ૐက楴慶ęԈ佴ミʸʷ;㍔៌៉ĢԈ៉㎨៌㋠៌敬楧ݰįԈpermite整뀀ᬰ锁氎来ĨԈ佴ミʸʷC㏌៌៉ĵԈ៉㐠៌㌰៌ľԈadoptarĻԈ佴ミʸʷK㑄៌ǄԈ㒘៌㎨៌ǁԈmedidasǊԈ佴ミʸʷS៉ǗԈ㓨៌㐠៌ǐԈ佴ミʸʷW㔌៌ǝԈ㕠៌㒘៌ǦԈrespectoǣԈ佴ミʸʷ`៉ǬԈ㖰៌㓨៌ǩԈ佴ミʸʷb៉ǲԈ㘀៌㕠៌ǿԈ佴ミʸʷf㘤៌ǸԈ㙸៌㖰៌ƅԈbienesƎԈ佴ミʸʷm 㚜៌㳀ᇽƋԈ㳤ᇽ㛰៌㘀៌ƔԈinmueblesƑԈ佴ミʸʷw&#10;㜔៌㴈ᇽƚԈ㴬ᇽ㝨៌㙸៌ƧԈutilizadosƠԈ佴ミʸʷ៉㵐ᇽƭԈ㵴ᇽ㞸៌㛰៌ƶԈ佴ミʸʷ៉㮸ᇽƳԈ㯜ᇽ㠈៌㝨៌ƼԈ佴ミʸʷ㠬៌㰀ᇽƹԈ㰤ᇽ㢀៌㞸៌łԈprostituciónŏԈ佴ミʸʷ៉㱈ᇽňԈ㱬ᇽ㣐៌㠈៌ŕԈ佴ミʸʷ㣴៌㫸ᇽŞԈ㬜ᇽ㥈៌㢀៌śԈactividadesŤԈ佴ミʸʷ£㥬៌㭀ᇽšԈ㭤ᇽ㧀៌㣐៌ŪԈconexasŷԈ佴ミʸʷª៉䚸ᇢŰԈ䛜ᇢ㨐៌㥈៌ŽԈ佴ミʸʷ¬៉䜀ᇢĆԈ䜤ᇢ㩠៌㧀៌ăԈ佴ミʸʷ²៉䝈ᇢČԈ䝬ᇢ㪰៌㨐៌ĉԈ佴ミʸʷ¸㫔៌䕸ᇢĒԈ䖜ᇢ㬨៌㩠៌ğԈfiguraĘԈ佴ミʸʷ¿៉䗀ᇢĥԈ䗤ᇢ㭸៌㪰៌ĮԈ佴ミʸʷÂ 㮜៌䙰ᇢīԈ䚔ᇢ㯰៌㬨៌ĴԈrescisiónıԈ佴ミʸʷÌ៉洘ለĺԈ洼ለ㱀៌㭸៌ǇԈ佴ミʸʷÐ㱤៌浠ለǀԈ涄ለ㲸៌㯰៌ǍԈcontratoǖԈ佴ミʸʷÙ៉쨨ឳǓԈ쩌ឳ㵐៌㱀៌ǜԈ佴ミʸʷÜ&#10;㵴៌㴀៌ ǙԌ㺬ヸ佈ミ㹼ヸʸʷꗜヘ㵈៌ ǮԈ㴤៌㸐៌㲸៌ǫԈarrendamientoǴԈ佴ミʸʷê㷀៌ ǱԌ㺬ヸ佈ミ㹼ヸʸʷꗜヘ㸈៌ ƆԈ㷤៌㺨៌㵐៌ƃԈ佴ミʸʷí㹘៌ ƌԌ㺬ヸ佈ミ㹼ヸʸʷꗜヘ㺠៌ ƕԈ㹼៌㽀៌㸐៌ƞԈ佴ミʸʷñ 㽤៌㻰៌ ƛԌ㺬ヸ佈ミ㹼ヸʸʷꗜヘ㼸៌ ƠԈ㼔៌䀀៌㺨៌ƭԈpropiedadƶԈ佴ミʸʷú㾰៌ ƳԌ㺬ヸ佈ミ㹼ヸʸʷꗜヘ㿸៌ ƸԈ㿔៌䂘៌㽀៌ŅԈ佴ミʸʷü䁈៌ ŎԌ㺬ヸ佈ミ㹼ヸʸʷꗜヘ䂐៌ ŗԈ䁬៌䄰៌䀀៌ŐԈ佴ミʸʷĀ䃠៌ ŝԌ㺬ヸ佈ミ㹼ヸʸʷꗜヘ䄨៌ ŢԈ䄄៌䇈៌䂘៌ůԈ佴ミʸʷą䅸៌ ŨԌ㺬ヸ佈ミ㹼ヸʸʷꗜヘ䇀៌ űԈ䆜៌䉠៌䄰៌źԈ佴ミʸʷĈ&#10;䊄៌䈐៌ ćԌ㺬ヸ佈ミ㹼ヸʸʷꗜヘ䉘៌ ČԈ䈴៌䌠៌䇈៌ĉԈexpediciónĒԈ佴ミʸʷē៉䋐៌ ğԌ㺬ヸ佈ミ㹼ヸʸʷꗜヘ䌘៌ ĤԈ䋴៌䎸៌䉠៌ġԈ佴ミʸʷĖ䍨៌ ĪԌ㺬ヸ佈ミ㹼ヸʸʷꗜヘ䎰៌ ĳԈ䎌៌䑐៌䌠៌ļԈ佴ミʸʷĚ 䑴៌䐀៌ ĹԌ㺬ヸ佈ミ㹼ヸʸʷꗜヘ䑈៌ ǎԈ䐤៌䔐៌䎸៌ǋԈordenanzaǔԈ佴ミʸʷĤ㲬ᇽ䓀៌ ǑԌ㺬ヸ佈ミ㹼ヸʸʷꗜヘ䔈៌ ǦԈ䓤៌䖨៌䑐៌ǣԈ佴ミʸʷħ 䗌៌䕘៌ ǬԌ㺬ヸ佈ミ㹼ヸʸʷꗜヘ䖠៌ ǵԈ䕼៌䙨៌䔐៌ǾԈseguridadǻԈ佴ミʸʷı䚌៌䘘៌ ƄԌ㺬ヸ佈ミ㹼ヸʸʷꗜヘ䙠៌ ƍԈ䘼៌䜨៌䖨៌ƖԈcomunitariaƓԈ佴ミʸʷĽ៉䛘៌ ƜԌ㺬ヸ佈ミ㹼ヸʸʷꗜヘ䜠៌ ƥԈ䛼៌䟀៌䙨៌ƮԈ佴ミʸʷŁ㲔ᇽ䝰៌ ƫԌ㺬ヸ佈ミ㹼ヸʸʷꗜヘ䞸៌ ưԈ䞔៌䡘៌䜨៌ƽԈ佴ミʸʷń䡼៌䠈៌ ņԌ㺬ヸ佈ミ㹼ヸʸʷꗜヘ䡐៌ ŏԈ䠬៌䤘៌䟀៌ňԈTribunalŕԈ佴ミʸʷō䤼៌䣈៌ ŞԌ㺬ヸ佈ミ㹼ヸʸʷꗜヘ䤐៌ ŧԈ䣬៌䧘៌䡘៌ŠԈSupremoŭԈ佴ミʸʷŕ㮤ᇽ䦈៌ ŶԌ㺬ヸ佈ミ㹼ヸʸʷꗜヘ䧐៌ ſԈ䦬៌䩰៌䤘៌ŸԈ佴ミʸʷŘ៉䨠៌ ąԌ㺬ヸ佈ミ㹼ヸʸʷꗜヘ䩨៌ ĊԈ䩄៌䬈៌䧘៌ėԈ佴ミʸʷŝ㮌ᇽ䪸៌ ĐԌ㺬ヸ佈ミ㹼ヸʸʷꗜヘ䬀៌ ęԈ䫜៌䮠៌䩰៌ĢԈ佴ミʸʷş떼ᆀ䭐៌ įԌ㺬ヸ佈ミ㹼ヸʸʷꗜヘ䮘៌ ĴԈ䭴៌䰸៌䬈៌ıԈ佴ミʸʷţ떤ᆀ䯨៌ ĺԌ㺬ヸ佈ミ㹼ヸʸʷꗜヘ䰰៌ ǃԈ䰌៌䳐៌䮠៌ǌԈ佴ミʸʷũ䳴៌䲀៌ ǉԌ㺬ヸ佈ミ㹼ヸʸʷꗜヘ䳈៌ ǞԈ䲤៌䶐៌䰸៌ǛԈobligarǤԈ佴ミʸʷű៉䵀៌ ǡԌ㺬ヸ佈ミ㹼ヸʸʷꗜヘ䶈៌ ǶԈ䵤៌丨៌䳐៌ǳԈ佴ミʸʷŴ乌៌䷘៌ ǼԌ㺬ヸ佈ミ㹼ヸʸʷꗜヘ丠៌ ƅԈ䷼៌仨៌䶐៌ƎԈpropietarioƋԈ佴ミʸʷƀ៉亘៌ ƔԌ㺬ヸ佈ミ㹼ヸʸʷꗜヘ仠៌ ƝԈ亼៌侀៌丨៌ƦԈ佴ミʸʷƂ 侤៌估៌ ƣԌ㺬ヸ佈ミ㹼ヸʸʷꗜヘ佸៌ ƨԈ佔៌偀៌仨៌ƵԈabandonarƾԈ佴ミʸʷƌ䘌ᇢ俰៌ ƻԌ㺬ヸ佈ミ㹼ヸʸʷꗜヘ倸៌ ŀԈ倔៌僘៌侀៌ōԈ佴ミʸʷƏ 僼៌傈៌ ŖԌ㺬ヸ佈ミ㹼ヸʸʷꗜヘ僐៌ şԈ催៌冘៌偀៌ŘԈpropiedadťԈ佴ミʸʷƙ冼៌先៌ ŮԌ㺬ヸ佈ミ㹼ヸʸʷꗜヘ冐៌ ŷԈ公៌剘៌僘៌ŰԈduranteŽԈ佴ミʸʷơ쨬៉刈៌ ĆԌ㺬ヸ佈ミ㹼ヸʸʷꗜヘ剐៌ ďԈ刬៌勰៌冘៌ĈԈ佴ミʸʷƤ匔៌加៌ ĕԌ㺬ヸ佈ミ㹼ヸʸʷꗜヘ勨៌ ĚԈ勄៌厰៌剘៌ħԈperíodoĠԈ佴ミʸʷƬ叔៌占៌ ĭԌ㺬ヸ佈ミ㹼ヸʸʷꗜヘ厨៌ ĲԈ厄៌呰៌勰៌ĿԈmáximoĸԈ佴ミʸʷƳ៉吠៌ ǅԌ㺬ヸ佈ミ㹼ヸʸʷꗜヘ周៌ ǊԈ呄៌唈៌厰៌ǗԈ佴ミʸʷƶ៉咸៌ ǐԌ㺬ヸ佈ミ㹼ヸʸʷꗜヘ唀៌ ǙԈ哜៌喠៌呰៌ǢԈ佴ミʸʷƹ졌៉啐៌ ǯԌ㺬ヸ佈ミ㹼ヸʸʷꗜヘ喘៌ ǴԈ啴៌嘸៌唈៌ǱԈ佴ミʸʷƽ៉嗨៌ ǺԌ㺬ヸ佈ミ㹼ヸʸʷꗜヘ嘰៌ ƃԈ嘌៌囐៌喠៌ƌԈ佴ミʸʷƾ៉嚀៌ ƉԌ㺬ヸ佈ミ㹼ヸʸʷꗜヘ囈៌ ƞԈ嚤៌奨៌嘸៌ƛԈgubernamentales.11ƢԈorganizacionesn.11ƭԈLa1ƨԈ&#10;niñosdoƵԈadopcióntdƾԈLasn ListdƻԈ佴ミʸʷĪ 稄ለ팠ᡞńԈelŃԈ佴ミʸʷ៉夘៌ŌԈ㳄ヸ҈ሏ㰔ヸ买ミ᪘៌礀ለ쑈数ʶŔԈ浤ᡂۀ៣痐ለőԈ&#10;todosŜԈ뉘භ㊠ᇐ ŤԌ㺬ヸ佈ミ㹼ヸʸʷꗜヘ奠៌ ŭԈ夼៌娀៌囐៌ŶԈ佴ミʸʷ坤៌妰៌ ųԌ㺬ヸ佈ミ㹼ヸʸʷꗜヘ姸៌ ŸԈ委៌媘៌奨៌ąԈ佴ミʸʷ垤៌婈៌ ĎԌ㺬ヸ佈ミ㹼ヸʸʷꗜヘ媐៌ ėԈ婬៌嬰៌娀៌ĐԈ佴ミʸʷ&#10;좔៉嫠៌ ĝԌ㺬ヸ佈ミ㹼ヸʸʷꗜヘ嬨៌ ĢԈ嬄៌寈៌媘៌įԈ佴ミʸʷ坼៌學៌ ĨԌ㺬ヸ佈ミ㹼ヸʸʷꗜヘ寀៌ ıԈ宜៌屠៌嬰៌ĺԈ佴ミʸʷ軜៉尐៌ ǇԌ㺬ヸ佈ミ㹼ヸʸʷꗜヘ屘៌ ǌԈ尴៌峸៌寈៌ǉԈ佴ミʸʷ崜៌岨៌ ǒԌ㺬ヸ佈ミ㹼ヸʸʷꗜヘ峰៌ ǛԈ峌៌嶨៌屠៌ǤԈlaǣԈ佴ミʸʷ&#10;巌៌嵘៌ ǬԌ㺬ヸ佈ミ㹼ヸʸʷꗜヘ嶠៌ ǵԈ嵼៌幨៌峸៌ǾԈprevenciónǻԈ佴ミʸʷ&amp;庌៌帘៌ ƄԌ㺬ヸ佈ミ㹼ヸʸʷꗜヘ幠៌ ƍԈ帼៌弘៌嶨៌ƖԈdeƕԈ佴ミʸʷ)弼៌廈៌ ƞԌ㺬ヸ佈ミ㹼ヸʸʷꗜヘ弐៌ ƧԈ廬៌忈៌幨៌ƠԈlaƯԈ佴ミʸʷ,忬៌彸៌ ƨԌ㺬ヸ佈ミ㹼ヸʸʷꗜヘ忀៌ ƱԈ徜៌悀៌弘៌ƺԐ&#10;trataņԈ佴ミʸʷ2悤៌怰៌ ŃԌ㺬ヸ佈ミ㹼ヸʸʷꗜヘ恸៌ ňԈ恔៌愰៌忈៌ŕԈdeŐԈ佴ミʸʷ5慔៌惠៌ ŝԌ㺬ヸ佈ミ㹼ヸʸʷꗜヘ愨៌ ŢԈ愄៌懠៌悀៌ůԈ&#10;niñosŪԈ佴ミʸʷ:戄៌憐៌ ŷԌ㺬ヸ佈ミ㹼ヸʸʷꗜヘ懘៌ żԈ憴៌捐៌愰៌ŹԈ&#10;ĄԈ175ăԈenĎԈ&#10; čԈ.ken ListnĖԈ&#10;leyesaēԈ108n ListĜԈ佴ミʸʷ扌៌挀៌ ęԌ㺬ヸ佈ミ㹼ヸʸʷꗜヘ捈៌ ĮԈ挤៌检៌懠៌īԈ佴ミʸʷ戜៌桰៌ĴԈEstrategias eıԈ佴ミʸʷ=摜៌揨៌ ĺԌ㺬ヸ佈ミ㹼ヸʸʷꗜヘ搰៌ua ǃԈ搌៌擨៌쌘៌ conǌԈparacǋԈ佴ミʸʷB攌៌撘៌ ǔԌ㺬ヸ佈ミ㹼ヸʸʷꗜヘ擠៌te ǝԈ撼៌斘៌搸៌dos ǦԈel leǥԈ佴ミʸʷE&#10;於៌效៌ ǮԌ㺬ヸ佈ミ㹼ヸʸʷꗜヘ斐៌ l ǷԈ敬៌晘៌擨៌l ofǰԈdesarrolloo aǽԈ佴ミʸʷP晼៌昈៌ ƆԌ㺬ヸ佈ミ㹼ヸʸʷꗜヘ晐៌cc ƏԈ昬៌朘៌斘៌bidaƈԈinfantilde laƕԈ佴ミʸʷY朼៌曈៌ ƞԌ㺬ヸ佈ミ㹼ヸʸʷꗜヘ朐៌ q ƧԈ曬៌柈៌晘៌ en ƠԈsanosƯԈ佴ミʸʷ^柬៌杸៌ ƨԌ㺬ヸ佈ミ㹼ヸʸʷꗜヘ柀៌de ƱԈ果៌썀៌朘៌progƺԈy, o ƹԈ佴ミʸʷ`썤៌栨៌ łԌ㺬ヸ佈ミ㹼ヸʸʷꗜヘ쌸៌  ŋԌ㺬ヸ佈ミ㹼ヸʸʷꗜヘ梸៌ ŐԈ梔៌楘៌捐៌ŝԈ佴ミʸʷ扤៌椈៌ ŦԌ㺬ヸ佈ミ㹼ヸʸʷꗜヘ楐៌ ůԈ椬៌槰៌检៌ŨԈ佴ミʸʷ埌៌榠៌ ŵԌ㺬ヸ佈ミ㹼ヸʸʷꗜヘ槨៌ źԈ槄៌檈៌楘៌ćԈ佴ミʸʷ&#10;抌៌樸៌ ĀԌ㺬ヸ佈ミ㹼ヸʸʷꗜヘ檀៌ ĉԈ橜៌欠៌槰៌ĒԈ佴ミʸʷ戴៌櫐៌ ğԌ㺬ヸ佈ミ㹼ヸʸʷꗜヘ欘៌ ĤԈ櫴៌殸៌檈៌ġԈ佴ミʸʷ毜៌歨៌ ĪԌ㺬ヸ佈ミ㹼ヸʸʷꗜヘ殰៌ ĳԈ殌៌汸៌欠៌ļԈmateriaĹԈ佴ミʸʷ沜៌氨៌ ǂԌ㺬ヸ佈ミ㹼ヸʸʷꗜヘ汰៌ ǋԈ汌៌洨៌殸៌ǔԈdeǓԈ佴ミʸʷ浌៌泘៌ ǜԌ㺬ヸ佈ミ㹼ヸʸʷꗜヘ洠៌ ǥԈ泼៌淨៌汸៌ǮԈadopciónǫԈ佴ミʸʷ'渌៌涘៌ ǴԌ㺬ヸ佈ミ㹼ヸʸʷꗜヘ淠៌ ǽԈ涼៌溘៌洨៌ƆԈdeƅԈ佴ミʸʷ*溼៌湈៌ ƎԌ㺬ヸ佈ミ㹼ヸʸʷꗜヘ源៌ ƗԈ湬៌潈៌淨៌ƐԈ&#10;niñosƟԈ佴ミʸʷ/潬៌滸៌ ƘԌ㺬ヸ佈ミ㹼ヸʸʷꗜヘ潀៌ ơԈ漜៌濸៌溘៌ƪԈ,ƩԈ佴ミʸʷ1瀜៌澨៌ ƲԌ㺬ヸ佈ミ㹼ヸʸʷꗜヘ濰៌ ƻԈ濌៌炨៌潈៌ńԈqueŃԈ佴ミʸʷ5烌៌灘៌ ŌԌ㺬ヸ佈ミ㹼ヸʸʷꗜヘ炠៌ ŕԈ灼៌煘៌濸៌ŞԈseŝԈ佴ミʸʷ8煼៌焈៌ ŦԌ㺬ヸ佈ミ㹼ヸʸʷꗜヘ煐៌ ůԈ焬៌爘៌炨៌ŨԈresumenŵԈ佴ミʸʷ@爼៌燈៌ žԌ㺬ヸ佈ミ㹼ヸʸʷꗜヘ爐៌ ćԈ燬៌狈៌煘៌ĀԈenďԈ佴ミʸʷC独៌牸៌ ĈԌ㺬ヸ佈ミ㹼ヸʸʷꗜヘ狀៌ đԈ犜៌獸៌爘៌ĚԈelęԈ佴ミʸʷF玜៌猨៌ ĢԌ㺬ヸ佈ミ㹼ヸʸʷꗜヘ獰៌ īԈ獌៌琸៌狈៌ĴԈcuadroıԈ佴ミʸʷM瑜៌珨៌ ĺԌ㺬ヸ佈ミ㹼ヸʸʷꗜヘ琰៌ ǃԈ琌៌瓨៌獸៌ǌԈqueǋԈ佴ミʸʷQ甌៌璘៌ ǔԌ㺬ヸ佈ミ㹼ヸʸʷꗜヘ瓠៌ ǝԈ璼៌疨៌琸៌ǦԈfiguraǣԈ佴ミʸʷX痌៌畘៌ ǬԌ㺬ヸ佈ミ㹼ヸʸʷꗜヘ疠៌ ǵԈ畼៌癘៌瓨៌ǾԈaǽԈ佴ミʸʷZ發៌瘈៌ ƆԌ㺬ヸ佈ミ㹼ヸʸʷꗜヘ癐៌ ƏԈ瘬៌眘៌疨៌ƈԈcontinuaciónƕԈ佴ミʸʷf眼៌盈៌ ƞԌ㺬ヸ佈ミ㹼ヸʸʷꗜヘ眐៌ ƧԈ盬៌矈៌癘៌ƠԈ,ƯԈ佴ミʸʷh矬៌睸៌ ƨԌ㺬ヸ佈ミ㹼ヸʸʷꗜヘ矀៌ ƱԈ瞜៌碈៌眘៌ƺԈcorrespondenŇԈ佴ミʸʷu碬៌砸៌ ŀԌ㺬ヸ佈ミ㹼ヸʸʷꗜヘ碀៌ ŉԈ硜៌礸៌矈៌ŒԈaőԈ佴ミʸʷw祜៌磨៌ ŚԌ㺬ヸ佈ミ㹼ヸʸʷꗜヘ礰៌ ţԈ礌៌秨៌碈៌ŬԈlaūԈ佴ミʸʷz稌៌禘៌ ŴԌ㺬ヸ佈ミ㹼ヸʸʷꗜヘ秠៌ ŽԈ禼៌窨៌礸៌ĆԈjurisdicciónăԈ佴ミʸʷ竌៌穘៌ ČԌ㺬ヸ佈ミ㹼ヸʸʷꗜヘ窠៌ ĕԈ穼៌筘៌秨៌ĞԈdeĝԈ佴ミʸʷ筼៌笈៌ ĦԌ㺬ヸ佈ミ㹼ヸʸʷꗜヘ筐៌ įԈ第៌簈៌窨៌ĨԈlasķԈ佴ミʸʷ&#10;簬៌箸៌ İԌ㺬ヸ佈ミ㹼ヸʸʷꗜヘ簀៌ ĹԈ篜៌糈៌筘៌ǂԈprovinciasǏԈ佴ミʸʷ糬៌籸៌ ǈԌ㺬ヸ佈ミ㹼ヸʸʷꗜヘ糀៌ ǑԈ粜៌絸៌簈៌ǚԈyǙԈ佴ミʸʷ綜៌紨៌ ǢԌ㺬ヸ佈ミ㹼ヸʸʷꗜヘ絰៌ ǫԈ経៌縨៌糈៌ǴԈlosǳԈ佴ミʸʷ繌៌緘៌ ǼԌ㺬ヸ佈ミ㹼ヸʸʷꗜヘ縠៌ ƅԈ緼៌绨៌絸៌ƎԈterritoriosƋԈ佴ミʸʷª缌៌纘៌ ƔԌ㺬ヸ佈ミ㹼ヸʸʷꗜヘ绠៌ ƝԈ纼៌羘៌縨៌ƦԈ.ƥԈ佴ミʸʷ¬羼៌罈៌ ƮԌ㺬ヸ佈ミ㹼ヸʸʷꗜヘ羐៌ ƷԈ罬៌聈៌绨៌ưԈEnƿԈ佴ミʸʷ¯聬៌翸៌ ƸԌ㺬ヸ佈ミ㹼ヸʸʷꗜヘ聀៌ ŁԈ耜៌胸៌羘៌ŊԈ&#10;todosŉԈ佴ミʸʷµ脜៌肨៌ ŒԌ㺬ヸ佈ミ㹼ヸʸʷꗜヘ胰៌ śԈ背៌膨៌聈៌ŤԈ&#10;ellosţԈ佴ミʸʷ»臌៌腘៌ ŬԌ㺬ヸ佈ミ㹼ヸʸʷꗜヘ膠៌ ŵԈ腼៌艘៌胸៌žԈhayŽԈ佴ミʸʷ¿艼៌興៌ ĆԌ㺬ヸ佈ミ㹼ヸʸʷꗜヘ艐៌ ďԈ般៌茈៌膨៌ĈԈ&#10;leyesėԈ佴ミʸʷÅ茬៌芸៌ ĐԌ㺬ヸ佈ミ㹼ヸʸʷꗜヘ茀៌ ęԈ苜៌莸៌艘៌ĢԈ&#10;sobreġԈ佴ミʸʷË菜៌荨៌ ĪԌ㺬ヸ佈ミ㹼ヸʸʷꗜヘ莰៌ ĳԈ莌៌葨៌茈៌ļԈlaĻԈ佴ミʸʷÎ蒌៌萘៌ ǄԌ㺬ヸ佈ミ㹼ヸʸʷꗜヘ葠៌ ǍԈ萼៌蔨៌莸៌ǖԈadopciónǓԈ佴ミʸʷ×蕌៌蓘៌ ǜԌ㺬ヸ佈ミ㹼ヸʸʷꗜヘ蔠៌ ǥԈ蓼៌藘៌葨៌ǮԈqueǭԈ佴ミʸʷÛ藼៌薈៌ ǶԌ㺬ヸ佈ミ㹼ヸʸʷꗜヘ藐៌ ǿԈ薬៌蚘៌蔨៌ǸԈprohíbenƅԈ佴ミʸʷä蚼៌虈៌ ƎԌ㺬ヸ佈ミ㹼ヸʸʷꗜヘ蚐៌ ƗԈ虬៌蝈៌藘៌ƐԈlaƟԈ佴ミʸʷç蝬៌蛸៌ ƘԌ㺬ヸ佈ミ㹼ヸʸʷꗜヘ蝀៌ ơԈ蜜៌蟸៌蚘៌ƪԈ&#10;ventaƩԈ佴ミʸʷí蠜៌螨៌ ƲԌ㺬ヸ佈ミ㹼ヸʸʷꗜヘ蟰៌ ƻԈ蟌៌袨៌蝈៌ńԈdeŃԈ佴ミʸʷð裌៌衘៌ ŌԌ㺬ヸ佈ミ㹼ヸʸʷꗜヘ袠៌ ŕԈ衼៌襘៌蟸៌ŞԈ&#10;niñosŝԈ佴ミʸʷö襼៌褈៌ ŦԌ㺬ヸ佈ミ㹼ヸʸʷꗜヘ襐៌ ůԈ褬៌計៌袨៌ŨԈyŷԈ佴ミʸʷø訬៌覸៌ ŰԌ㺬ヸ佈ミ㹼ヸʸʷꗜヘ言៌ ŹԈ觜៌誸៌襘៌ĂԈlaāԈ佴ミʸʷû&#10;諜៌詨៌ ĊԌ㺬ヸ佈ミ㹼ヸʸʷꗜヘ誰៌ ēԈ誌៌譸៌計៌ĜԈaceptaciónęԈ佴ミʸʷĆ讜៌謨៌ ĢԌ㺬ヸ佈ミ㹼ヸʸʷꗜヘ議៌ īԈ譌៌谨៌誸៌ĴԈoĳԈ佴ミʸʷĈ豌៌诘៌ ļԌ㺬ヸ佈ミ㹼ヸʸʷꗜヘ谠៌ ǅԈ诼៌賘៌譸៌ǎԈelǍԈ佴ミʸʷċ購៌貈៌ ǖԌ㺬ヸ佈ミ㹼ヸʸʷꗜヘ賐៌ ǟԈ責៌趘៌谨៌ǘԈofrecimientoǥԈ佴ミʸʷĘ趼៌赈៌ ǮԌ㺬ヸ佈ミ㹼ヸʸʷꗜヘ趐៌ ǷԈ赬៌蹈៌賘៌ǰԈdeǿԈ佴ミʸʷě蹬៌跸៌ ǸԌ㺬ヸ佈ミ㹼ヸʸʷꗜヘ蹀៌ ƁԈ踜៌軸៌趘៌ƊԈpagoƉԈ佴ミʸʷĠ輜៌躨៌ ƒԌ㺬ヸ佈ミ㹼ヸʸʷꗜヘ軰៌ ƛԈ軌៌辸៌蹈៌ƤԈalgunoơԈ佴ミʸʷħ远៌轨៌ ƪԌ㺬ヸ佈ミ㹼ヸʸʷꗜヘ辰៌ ƳԈ辌៌遨៌軸៌ƼԈporƻԈ佴ミʸʷī邌៌逘៌ ńԌ㺬ヸ佈ミ㹼ヸʸʷꗜヘ遠៌ ōԈ逼៌鄘៌辸៌ŖԈlosŕԈ佴ミʸʷį鄼៌郈៌ ŞԌ㺬ヸ佈ミ㹼ヸʸʷꗜヘ鄐៌ ŧԈ郬៌釈៌遨៌ŠԈ&#10;niñosůԈ佴ミʸʷĴ釬៌酸៌ ŨԌ㺬ヸ佈ミ㹼ヸʸʷꗜヘ釀៌ űԈ醜៌鉸៌鄘៌źԈ.ŹԈ佴ミʸʷĶ銜៌鈨៌ ĂԌ㺬ヸ佈ミ㹼ヸʸʷꗜヘ鉰៌ ċԈ鉌៌錨៌釈៌ĔԈEnēԈ佴ミʸʷĹ鍌៌鋘៌ ĜԌ㺬ヸ佈ミ㹼ヸʸʷꗜヘ錠៌ ĥԈ鋼៌鏘៌鉸៌ĮԈlasĭԈ佴ミʸʷĽ鏼៌鎈៌ ĶԌ㺬ヸ佈ミ㹼ヸʸʷꗜヘ鏐៌ ĿԈ鎬៌针៌錨៌ĸԈ&#10;leyesǇԈ佴ミʸʷŃ钬៌鐸៌ ǀԌ㺬ヸ佈ミ㹼ヸʸʷꗜヘ钀៌ ǉԈ鑜៌锸៌鏘៌ǒԈdeǑԈ佴ミʸʷņ镜៌铨៌ ǚԌ㺬ヸ佈ミ㹼ヸʸʷꗜヘ锰៌ ǣԈ锌៌门៌针៌ǬԈ&#10;todasǫԈ佴ミʸʷŌ阌៌閘៌ ǴԌ㺬ヸ佈ミ㹼ヸʸʷꗜヘ闠៌ ǽԈ閼៌隘៌锸៌ƆԈlasƅԈ佴ミʸʷŐ肌ៈ陈៌ ƎԌ㺬ヸ佈ミ㹼ヸʸʷꗜヘ隐៌ ƗԈ陬៌霰៌门៌ƐԈ佴ミʸʷş靔៌雠៌ ƝԌ㺬ヸ佈ミ㹼ヸʸʷꗜヘ霨៌ ƢԈ霄៌韠៌隘៌ƯԈestáƪԈ佴ミʸʷŤ 頄៌鞐៌ ƷԌ㺬ヸ佈ミ㹼ヸʸʷꗜヘ韘៌ ƼԈ鞴៌颠៌霰៌ƹԈprohibidałԈ佴ミʸʷŮ飄៌顐៌ ŏԌ㺬ヸ佈ミ㹼ヸʸʷꗜヘ题៌ ŔԈ顴៌饐៌韠៌őԈlaŜԈ佴ミʸʷű&#10;饴៌餀៌ řԌ㺬ヸ佈ミ㹼ヸʸʷꗜヘ饈៌ ŮԈ餤៌騐៌颠៌ūԈpublicidadŴԈ佴ミʸʷż騴៌駀៌ űԌ㺬ヸ佈ミ㹼ヸʸʷꗜヘ騈៌ ĆԈ駤៌髀៌饐៌ăԈdeĎԈ佴ミʸʷſ髤៌驰៌ ċԌ㺬ヸ佈ミ㹼ヸʸʷꗜヘ骸៌ ĐԈ骔៌魰៌騐៌ĝԈlaĘԈ佴ミʸʷƂ鮔៌鬠៌ ĥԌ㺬ヸ佈ミ㹼ヸʸʷꗜヘ魨៌ ĪԈ魄៌鰰៌髀៌ķԈadopciónİԈ佴ミʸʷƋ鱔៌鯠៌ ĽԌ㺬ヸ佈ミ㹼ヸʸʷꗜヘ鰨៌ ǂԈ鰄៌鳠៌魰៌ǏԈyǊԈ佴ミʸʷƍ鴄៌鲐៌ ǗԌ㺬ヸ佈ミ㹼ヸʸʷꗜヘ鳘៌ ǜԈ鲴៌鶐៌鰰៌ǙԈlaǤԈ佴ミʸʷƐ鶴៌鵀៌ ǡԌ㺬ヸ佈ミ㹼ヸʸʷꗜヘ鶈៌ ǶԈ鵤៌鹐៌鳠៌ǳԈcoacciónǼԈ佴ミʸʷƙ鹴៌鸀៌ ǹԌ㺬ヸ佈ミ㹼ヸʸʷꗜヘ鹈៌ ƎԈ鸤៌鼀៌鶐៌ƋԈaƖԈ佴ミʸʷƛ鼤៌麰៌ ƓԌ㺬ヸ佈ミ㹼ヸʸʷꗜヘ黸៌ ƘԈ黔៌龰៌鹐៌ƥԈlasƠԈ佴ミʸʷƟ鿔៌齠៌ ƭԌ㺬ヸ佈ミ㹼ヸʸʷꗜヘ龨៌ ƲԈ龄៌ꁰ៌鼀៌ƿԈmujeresƸԈ佴ミʸʷƧꂔ៌ꀠ៌ ŅԌ㺬ヸ佈ミ㹼ヸʸʷꗜヘꁨ៌ ŊԈꁄ៌ꄰ៌龰៌ŗԈembarazadasŐԈ佴ミʸʷƳꅔ៌ꃠ៌ ŝԌ㺬ヸ佈ミ㹼ヸʸʷꗜヘꄨ៌ ŢԈꄄ៌ꇠ៌ꁰ៌ůԈparaŪԈ佴ミʸʷƸꈄ៌ꆐ៌ ŷԌ㺬ヸ佈ミ㹼ヸʸʷꗜヘꇘ៌ żԈꆴ៌ꊐ៌ꄰ៌ŹԈqueĄԈ佴ミʸʷƼꊴ៌ꉀ៌ āԌ㺬ヸ佈ミ㹼ヸʸʷꗜヘꊈ៌ ĖԈꉤ៌ꍀ៌ꇠ៌ēԈdenĞԈ佴ミʸʷǀꍤ៌ꋰ៌ ěԌ㺬ヸ佈ミ㹼ヸʸʷꗜヘꌸ៌ ĠԈꌔ៌ꏰ៌ꊐ៌ĭԈsusĨԈ佴ミʸʷǄꐔ៌ꎠ៌ ĵԌ㺬ヸ佈ミ㹼ヸʸʷꗜヘꏨ៌ ĺԈꏄ៌꒠៌ꍀ៌ǇԈ&#10;hijosǂԈ佴ミʸʷǊ꓄៌ꑐ៌ ǏԌ㺬ヸ佈ミ㹼ヸʸʷꗜヘ꒘៌ ǔԈꑴ៌ꕐ៌ꏰ៌ǑԈenǜԈ佴ミʸʷǍꕴ៌ꔀ៌ ǙԌ㺬ヸ佈ミ㹼ヸʸʷꗜヘꕈ៌ ǮԈꔤ៌ꘐ៌꒠៌ǫԈadopciónǴԈ佴ミʸʷǕ꘴៌ꗀ៌ ǱԌ㺬ヸ佈ミ㹼ヸʸʷꗜヘꘈ៌ ƆԈꗤ៌ꛀ៌ꕐ៌ƃԈ.ƎԈ佴ミʸʷǗꛤ៌꙰៌ ƋԌ㺬ヸ佈ミ㹼ヸʸʷꗜヘꚸ៌ ƐԈꚔ៌Ꞁ៌ꘐ៌ƝԈAsimismoƦԈ佴ミʸʷǟꞤ៌ꜰ៌ ƣԌ㺬ヸ佈ミ㹼ヸʸʷꗜヘꝸ៌ ƨԈꝔ៌꠰៌ꛀ៌ƵԈ,ưԈ佴ミʸʷǡꡔ៌꟠៌ ƽԌ㺬ヸ佈ミ㹼ヸʸʷꗜヘ꠨៌ łԈꠄ៌꣠៌Ꞁ៌ŏԈenŊԈ佴ミʸʷǤ꤄៌ꢐ៌ ŗԌ㺬ヸ佈ミ㹼ヸʸʷꗜヘ꣘៌ ŜԈꢴ៌ꦐ៌꠰៌řԈlasŤԈ佴ミʸʷǨꦴ៌ꥀ៌ šԌ㺬ヸ佈ミ㹼ヸʸʷꗜヘꦈ៌ ŶԈꥤ៌ꩀ៌꣠៌ųԈ&#10;leyesžԈ佴ミʸʷǮꩤ៌꧰៌ ŻԌ㺬ヸ佈ミ㹼ヸʸʷꗜヘ꨸៌ ĀԈꨔ៌꫰៌ꦐ៌čԈseĈԈ佴ミʸʷǱꬔ៌ꪠ៌ ĕԌ㺬ヸ佈ミ㹼ヸʸʷꗜヘꫨ៌ ĚԈ꫄៌ꮰ៌ꩀ៌ħԈrequiereĠԈ佴ミʸʷǺꯔ៌ꭠ៌ ĭԌ㺬ヸ佈ミ㹼ヸʸʷꗜヘꮨ៌ ĲԈꮄ៌걠៌꫰៌ĿԈelĺԈ佴ミʸʷǽ겄៌감៌ ǇԌ㺬ヸ佈ミ㹼ヸʸʷꗜヘ걘៌ ǌԈ갴៌괠៌ꮰ៌ǉԈpermisoǒԈ佴ミʸʷȅ 굄៌곐៌ ǟԌ㺬ヸ佈ミ㹼ヸʸʷꗜヘ괘៌ ǤԈ곴៌균៌걠៌ǡԈexplícitoǪԈ佴ミʸʷȏ긄៌궐៌ ǷԌ㺬ヸ佈ミ㹼ヸʸʷꗜヘ귘៌ ǼԈ궴៌꺐៌괠៌ǹԈdeƄԈ佴ミʸʷȒ꺴៌김៌ ƁԌ㺬ヸ佈ミ㹼ヸʸʷꗜヘ꺈៌ ƖԈ깤៌꽀៌균៌ƓԈunoƞԈ佴ミʸʷȖ꽤៌껰៌ ƛԌ㺬ヸ佈ミ㹼ヸʸʷꗜヘ꼸៌ ƠԈ꼔៌꿰៌꺐៌ƭԈoƨԈ佴ミʸʷȘ뀔៌꾠៌ ƵԌ㺬ヸ佈ミ㹼ヸʸʷꗜヘ꿨៌ ƺԈ꿄៌날៌꽀៌ȀကԀŇԈdełԈ佴ミʸʷț냄៌끐៌ ŏԌ㺬ヸ佈ミ㹼ヸʸʷꗜヘ나៌ ŔԈ끴៌념៌꿰៌őԈ&#10;ambosŜԈ佴ミʸʷȡ녴៌넀៌ řԌ㺬ヸ佈ミ㹼ヸʸʷꗜヘ녈៌ ŮԈ네៌눐៌날៌ūԈprogenitoresŴԈ佴ミʸʷȭ눴៌뇀៌ űԌ㺬ヸ佈ミ㹼ヸʸʷꗜヘ눈៌ ĆԈ뇤៌닀៌념៌ăԈ,ĎԈ佴ミʸʷȯ다៌뉰៌ ċԌ㺬ヸ佈ミ㹼ヸʸʷꗜヘ늸៌ ĐԈ는៌데៌눐៌ĝԈoĘԈ佴ミʸʷȱ뎔៌댠៌ ĥԌ㺬ヸ佈ミ㹼ヸʸʷꗜヘ덨៌ ĪԈ덄៌될៌닀៌ķԈdelĲԈ佴ミʸʷȵ둄៌돐៌ ĿԌ㺬ヸ佈ミ㹼ヸʸʷꗜヘ되៌ ǄԈ돴៌듐៌데៌ǁԈ&#10;tutorǌԈ佴ミʸʷȻ듴៌뒀៌ ǉԌ㺬ヸ佈ミ㹼ヸʸʷꗜヘ듈៌ ǞԈ뒤៌떀៌될៌ǛԈ&#10;legalǦԈ佴ミʸʷɀ떤៌따៌ ǣԌ㺬ヸ佈ミ㹼ヸʸʷꗜヘ땸៌ ǨԈ땔៌똰៌듐៌ǵԈ,ǰԈ佴ミʸʷɂ뙔៌뗠៌ ǽԌ㺬ヸ佈ミ㹼ヸʸʷꗜヘ똨៌ ƂԈ똄៌뛠៌떀៌ƏԈparaƊԈ佴ミʸʷɇ뜄៌뚐៌ ƗԌ㺬ヸ佈ミ㹼ヸʸʷꗜヘ뛘៌ ƜԈ뚴៌랐៌똰៌ƙԈqueƤԈ佴ミʸʷɋ랴៌띀៌ ơԌ㺬ヸ佈ミ㹼ヸʸʷꗜヘ랈៌ ƶԈ띤៌례៌뛠៌ƳԈunƾԈ佴ミʸʷɎ롤៌런៌ ƻԌ㺬ヸ佈ミ㹼ヸʸʷꗜヘ렸៌ ŀԈ렔៌룰៌랐៌ōԈniñoňԈ佴ミʸʷɓ뤔៌뢠៌ ŕԌ㺬ヸ佈ミ㹼ヸʸʷꗜヘ루៌ ŚԈ룄៌릠៌례៌ŧԈ&#10;puedaŢԈ佴ミʸʷə맄៌륐៌ ůԌ㺬ヸ佈ミ㹼ヸʸʷꗜヘ릘៌ ŴԈ르៌멐៌룰៌űԈserżԈ佴ミʸʷɝ면៌먀៌ ŹԌ㺬ヸ佈ミ㹼ヸʸʷꗜヘ멈៌ ĎԈ먤៌묐៌릠៌ċԈadoptadoĔԈ佴ミʸʷɥ무៌뫀៌ đԌ㺬ヸ佈ミ㹼ヸʸʷꗜヘ묈៌ ĦԈ뫤៌므៌멐៌ģԈ.ĮԈ佴ミʸʷɦ믤៌뭰៌ īԌ㺬ヸ佈ミ㹼ヸʸʷꗜヘ뮸៌ İԈ뮔៌뵨៌묐៌ĽԈ&#10;ĸԈmásǇԈ.yesǂԈSeǁԈ&#10;puededo.esǊԈ&#10;niñosListǗԈorganizacionesn.11ǞԈconsultarsǛԈ佴ミʸʷ抴៌봘៌ ǤԌ㺬ヸ佈ミ㹼ヸʸʷꗜヘ뵠៌ ǭԈ봼៌븀៌므៌ǶԈ佴ミʸʷ바៌붰៌ ǳԌ㺬ヸ佈ミ㹼ヸʸʷꗜヘ뷸៌ ǸԈ뷔៌뺘៌뵨៌ƅԈ佴ミʸʷ밬៌빈៌ ƎԌ㺬ヸ佈ミ㹼ヸʸʷꗜヘ뺐៌ ƗԈ빬៌뼰៌븀៌ƐԈ佴ミʸʷ 뱄៌뻠៌ ƝԌ㺬ヸ佈ミ㹼ヸʸʷꗜヘ뼨៌ ƢԈ뼄៌뿈៌뺘៌ƯԈ佴ミʸʷ 볌៌뽸៌ ƨԌ㺬ヸ佈ミ㹼ヸʸʷꗜヘ뿀៌ ƱԈ뾜៌쁠៌뼰៌ƺԈ佴ミʸʷ민៌쀐៌ ŇԌ㺬ヸ佈ミ㹼ヸʸʷꗜヘ쁘៌ ŌԈ쀴៌샸៌뿈៌ŉԈ佴ミʸʷ서៌삨៌ ŒԌ㺬ヸ佈ミ㹼ヸʸʷꗜヘ샰៌ śԈ샌៌솸៌쁠៌ŤԈinformaciónšԈ佴ミʸʷ)쇜៌셨៌ ŪԌ㺬ヸ佈ミ㹼ヸʸʷꗜヘ솰៌ ųԈ소៌쉨៌샸៌żԈ&#10;sobreŻԈ佴ミʸʷ/슌៌수៌ ĄԌ㺬ヸ佈ミ㹼ヸʸʷꗜヘ쉠៌ čԈ숼៌쌘៌솸៌ĖԈlaĕԈ佴ミʸʷ2&#10;掜៌싈៌ ĞԌ㺬ヸ佈ミ㹼ヸʸʷꗜヘ쌐៌ ħԈ심៌搸៌쉨៌ĠԈ桌៌쏰៌柈៌ĭԈelĨԈ佴ミʸʷc쐔៌쎠៌ ĵԌ㺬ヸ佈ミ㹼ヸʸʷꗜヘ쏨៌ ĺԈ쏄៌쒰៌썀៌ǇԈComitéǀԈ佴ミʸʷj쓔៌쑠៌ ǍԌ㺬ヸ佈ミ㹼ヸʸʷꗜヘ쒨៌ ǒԈ쒄៌애៌쏰៌ǟԈdelǚԈ佴ミʸʷn얄៌씐៌ ǧԌ㺬ヸ佈ミ㹼ヸʸʷꗜヘ았៌ ǬԈ씴៌옠៌쒰៌ǩԈPrimerǲԈ佴ミʸʷu완៌에៌ ǿԌ㺬ヸ佈ミ㹼ヸʸʷꗜヘ옘៌ ƄԈ열៌웠៌애៌ƁԈMinistroƊԈ佴ミʸʷ~위៌욐៌ ƗԌ㺬ヸ佈ミ㹼ヸʸʷꗜヘ웘៌ ƜԈ운៌자៌옠៌ƙԈparaƤԈ佴ミʸʷ잴៌은៌ ơԌ㺬ヸ佈ミ㹼ヸʸʷꗜヘ있៌ ƶԈ읤៌졀៌웠៌ƳԈlaƾԈ佴ミʸʷ&#10;졤៌쟰៌ ƻԌ㺬ヸ佈ミ㹼ヸʸʷꗜヘ져៌ ŀԈ젔៌준៌자៌ōԈPrevenciónŖԈ佴ミʸʷ줤៌좰៌ œԌ㺬ヸ佈ミ㹼ヸʸʷꗜヘ죸៌ ŘԈ죔៌즰៌졀៌ťԈdeŠԈ佴ミʸʷ짔៌쥠៌ ŭԌ㺬ヸ佈ミ㹼ヸʸʷꗜヘ즨៌ ŲԈ즄៌쩠៌준៌ſԈlaźԈ佴ミʸʷ 쪄៌쨐៌ ćԌ㺬ヸ佈ミ㹼ヸʸʷꗜヘ쩘៌ ČԈ쨴៌쬠៌즰៌ĉԈViolenciaĒԈ佴ミʸʷ¡쭄៌쫐៌ ğԌ㺬ヸ佈ミ㹼ヸʸʷꗜヘ쬘៌ ĤԈ쫴៌쯐៌쩠៌ġԈenĬԈ佴ミʸʷ¤쯴៌쮀៌ ĩԌ㺬ヸ佈ミ㹼ヸʸʷꗜヘ쯈៌ ľԈ쮤៌첀៌쬠៌ĻԈlaǆԈ佴ミʸʷ§첤៌찰៌ ǃԌ㺬ヸ佈ミ㹼ヸʸʷꗜヘ챸៌ ǈԈ챔៌쵀៌쯐៌ǕԈFamiliaǞԈ佴ミʸʷ¯쵤៌쳰៌ ǛԌ㺬ヸ佈ミ㹼ヸʸʷꗜヘ촸៌ ǠԈ촔៌췰៌첀៌ǭԈenǨԈ佴ミʸʷ²츔៌춠៌ ǵԌ㺬ヸ佈ミ㹼ヸʸʷꗜヘ취៌ ǺԈ췄៌캠៌쵀៌ƇԈwwwƂԈ佴ミʸʷµ컄៌칐៌ ƏԌ㺬ヸ佈ミ㹼ヸʸʷꗜヘ캘៌ ƔԈ카៌콐៌췰៌ƑԈ.ƜԈ佴ミʸʷ¶콴៌케៌ ƙԌ㺬ヸ佈ミ㹼ヸʸʷꗜヘ콈៌ ƮԈ켤៌퀀៌캠៌ƫԈgovƶԈ佴ミʸʷ¹퀤៌쾰៌ ƳԌ㺬ヸ佈ミ㹼ヸʸʷꗜヘ쿸៌ ƸԈ쿔៌킰៌콐៌ŅԈ.ŀԈ佴ミʸʷº탔៌큠៌ ōԌ㺬ヸ佈ミ㹼ヸʸʷꗜヘ킨៌ ŒԈ킄៌텠៌퀀៌şԈpeŚԈ佴ミʸʷ¼톄៌턐៌ ŧԌ㺬ヸ佈ミ㹼ヸʸʷꗜヘ텘៌ ŬԈ턴៌툐៌킰៌ũԈ.ŴԈ佴ミʸʷ½툴៌퇀៌ űԌ㺬ヸ佈ミ㹼ヸʸʷꗜヘ툈៌ ĆԈ퇤៌틀៌텠៌ăԈcaĎԈ佴ミʸʷ¿틤៌퉰៌ ċԌ㺬ヸ佈ミ㹼ヸʸʷꗜヘ트៌ ĐԈ튔៌퍰៌툐៌ĝԈ/ĘԈ佴ミʸʷÀ펔៌팠៌ ĥԌ㺬ヸ佈ミ㹼ヸʸʷꗜヘ퍨៌ ĪԈ퍄៌퐠៌틀៌ķԈsssĲԈ佴ミʸʷÃ푄៌폐៌ ĿԌ㺬ヸ佈ミ㹼ヸʸʷꗜヘ퐘៌ ǄԈ폴៌퓐៌퍰៌ǁԈ/ǌԈ佴ミʸʷÄ퓴៌풀៌ ǉԌ㺬ヸ佈ミ㹼ヸʸʷꗜヘ퓈៌ ǞԈ풤៌햀៌퐠៌ǛԈ&#10;indexǦԈ佴ミʸʷÉ햤៌픰៌ ǣԌ㺬ヸ佈ミ㹼ヸʸʷꗜヘ핸៌ ǨԈ핔៌혰៌퓐៌ǵԈ.ǰԈ佴ミʸʷÊ화៌헠៌ ǽԌ㺬ヸ佈ミ㹼ヸʸʷꗜヘ혨៌ ƂԈ현៌훠៌햀៌ƏԈphpƊԈ佴ミʸʷÍ휄៌횐៌ ƗԌ㺬ヸ佈ミ㹼ヸʸʷꗜヘ훘៌ ƜԈ횴៌힐៌혰៌ƙԈ3ƤԈ佴ミʸʷÎힴ៌흀៌ ơԌ㺬ヸ佈ミ㹼ヸʸʷꗜヘ히៌ ƶԈ흤៌៌훠៌ƳԈ.ƾԈ佴ミʸʷÏ៌ퟰ៌ ƻԌ㺬ヸ佈ミ㹼ヸʸʷꗜヘ៌ ŀԈ៌៌힐៌ōԈ&#10;ňԈ&#10;caŗԈ.eŒԈ..őԈ.miliaianŚԈ.w.govaŧԈDebidoaaŠԈ109ůԈalue1hpŨԈ.ken ListŵԈ佴ミʸʷ៌៌ žԌ㺬ヸ佈ミ㹼ヸʸʷꗜヘ៌ ćԈ៌៌៌ĀԈ佴ミʸʷ៌៌ čԌ㺬ヸ佈ミ㹼ヸʸʷꗜヘ៌ ĒԈ៌៌៌ğԈ佴ミʸʷ៌៌ ĘԌ㺬ヸ佈ミ㹼ヸʸʷꗜヘ៌ ġԈ៌៌៌ĪԈ佴ミʸʷ៌៌ ķԌ㺬ヸ佈ミ㹼ヸʸʷꗜヘ៌ ļԈ៌៌៌ĹԈ佴ミʸʷ&#10;៌៌ ǂԌ㺬ヸ佈ミ㹼ヸʸʷꗜヘ៌ ǋԈ៌៌៌ǔԈ佴ミʸʷ៌៌ ǑԌ㺬ヸ佈ミ㹼ヸʸʷꗜヘ៌ ǦԈ៌៌៌ǣԈreducidoǬԈ佴ミʸʷ៌៌ ǩԌ㺬ヸ佈ミ㹼ヸʸʷꗜヘ៌ ǾԈ៌៌៌ǻԈámbitoƄԈ佴ミʸʷ ៌៌ ƁԌ㺬ヸ佈ミ㹼ヸʸʷꗜヘ៌ ƖԈ៌៌៌ƓԈdeƞԈ佴ミʸʷ#៌៌ ƛԌ㺬ヸ佈ミ㹼ヸʸʷꗜヘ៌ ƠԈ៌៌៌ƭԈlaƨԈ佴ミʸʷ&amp;៌៌ ƵԌ㺬ヸ佈ミ㹼ヸʸʷꗜヘ៌ ƺԈ៌៌៌ȀကԀŇԈjurisdicciónŀԈ佴ミʸʷ3៌៌ ōԌ㺬ヸ佈ミ㹼ヸʸʷꗜヘ៌ ŒԈ៌៌៌şԈdeŚԈ佴ミʸʷ6៌៌ ŧԌ㺬ヸ佈ミ㹼ヸʸʷꗜヘ៌ ŬԈ៌៌៌ũԈlosŴԈ佴ミʸʷ:៌៌ űԌ㺬ヸ佈ミ㹼ヸʸʷꗜヘ៌ ĆԈ៌៌៌ăԈTerritoriosČԈ佴ミʸʷF៌៌ ĉԌ㺬ヸ佈ミ㹼ヸʸʷꗜヘ៌ ĞԈ៌៌៌ěԈdelĦԈ佴ミʸʷJ៌៌ ģԌ㺬ヸ佈ミ㹼ヸʸʷꗜヘ៌ ĨԈ៌៌៌ĵԈNoroesteľԈ佴ミʸʷR៌៌ ĻԌ㺬ヸ佈ミ㹼ヸʸʷꗜヘ៌ ǀԈ៌៌៌ǍԈ,ǈԈ佴ミʸʷT៌៌ ǕԌ㺬ヸ佈ミ㹼ヸʸʷꗜヘ៌ ǚԈ៌៌៌ǧԈlosǢԈ佴ミʸʷX៌៌ ǯԌ㺬ヸ佈ミ㹼ヸʸʷꗜヘ៌ ǴԈ៌៌៌ǱԈministeriosǺԈ佴ミʸʷc៌៌ ƇԌ㺬ヸ佈ミ㹼ヸʸʷꗜヘ៌ ƌԈ៌៌៌ƉԈ,ƔԈ佴ミʸʷe៌៌ ƑԌ㺬ヸ佈ミ㹼ヸʸʷꗜヘ៌ ƦԈ៌៌៌ƣԈlasƮԈ佴ミʸʷi범៌៌ ƫԌ㺬ヸ佈ミ㹼ヸʸʷꗜヘ៌ ưԈ៌៌៌ƽԈ佴ミʸʷx៌៌ ņԌ㺬ヸ佈ミ㹼ヸʸʷꗜヘ៌ ŏԈ៌៌៌ňԈnoŗԈ佴ミʸʷ{죤៉៌ ŐԌ㺬ヸ佈ミ㹼ヸʸʷꗜヘ៌ řԈ៌៌៌ŢԈ佴ミʸʷ៌៌ ůԌ㺬ヸ佈ミ㹼ヸʸʷꗜヘ៌ ŴԈ៌៌៌űԈ,żԈ佴ミʸʷ៌៌ ŹԌ㺬ヸ佈ミ㹼ヸʸʷꗜヘ៌ ĎԈ៌៌៌ċԈelĖԈ佴ミʸʷ៌៌ ēԌ㺬ヸ佈ミ㹼ヸʸʷꗜヘ៌ ĘԈ៌៌៌ĥԈsectorĮԈ佴ミʸʷ៌៌ īԌ㺬ヸ佈ミ㹼ヸʸʷꗜヘ៌ İԈ៌៌៌ĽԈprivadoǆԈ佴ミʸʷ៌៌ ǃԌ㺬ヸ佈ミ㹼ヸʸʷꗜヘ៌ ǈԈ៌៌៌ǕԈ,ǐԈ佴ミʸʷ៌៌ ǝԌ㺬ヸ佈ミ㹼ヸʸʷꗜヘ៌ ǢԈ៌៌៌ǯԈlosǪԈ佴ミʸʷ£៌៌ ǷԌ㺬ヸ佈ミ㹼ヸʸʷꗜヘ៌ ǼԈ៌៌៌ǹԈmiembrosƂԈ佴ミʸʷ¬៌៌ ƏԌ㺬ヸ佈ミ㹼ヸʸʷꗜヘ៌ ƔԈ៌៌៌ƑԈdelƜԈ佴ミʸʷ°៌៌ ƙԌ㺬ヸ佈ミ㹼ヸʸʷꗜヘ៌ ƮԈ៌៌៌ƫԈpúblicoƴԈ佴ミʸʷ¸៌៌ ƱԌ㺬ヸ佈ミ㹼ヸʸʷꗜヘ៌ ņԈ៌៌៌ŃԈenŎԈ佴ミʸʷ»៌៌ ŋԌ㺬ヸ佈ミ㹼ヸʸʷꗜヘ៌ ŐԈ៌៌៌ŝԈgeneralŦԈ佴ミʸʷÂ៌៌ ţԌ㺬ヸ佈ミ㹼ヸʸʷꗜヘ៌ ŨԈ៌៌៌ŵԈ,ŰԈ佴ミʸʷÄ៌៌ ŽԌ㺬ヸ佈ミ㹼ヸʸʷꗜヘ៌ ĂԈ៌៌៌ďԈlosĊԈ佴ミʸʷÈ៌៌ ėԌ㺬ヸ佈ミ㹼ヸʸʷꗜヘ៌ ĜԈ៌៌៌ęԈmediosĢԈ佴ミʸʷÏ៌៌ įԌ㺬ヸ佈ミ㹼ヸʸʷꗜヘ៌ ĴԈ៌៌៌ıԈdeļԈ佴ミʸʷÒ៌៌ ĹԌ㺬ヸ佈ミ㹼ヸʸʷꗜヘ៌ ǎԈ៌៌៌ǋԈcomunicaciónǔԈ佴ミʸʷÞ៌៌ ǑԌ㺬ヸ佈ミ㹼ヸʸʷꗜヘ៌ ǦԈ៌៌៌ǣԈ,ǮԈ佴ミʸʷà៌៌ ǫԌ㺬ヸ佈ミ㹼ヸʸʷꗜヘ៌ ǰԈ៌៌៌ǽԈelǸԈ佴ミʸʷã៌៌ ƅԌ㺬ヸ佈ミ㹼ヸʸʷꗜヘ៌ ƊԈ៌៌៌ƗԈámbitoƐԈ佴ミʸʷê ៌៌ ƝԌ㺬ヸ佈ミ㹼ヸʸʷꗜヘ៌ ƢԈ៌៌៌ƯԈacadémicoƨԈ佴ミʸʷó៌៌ ƵԌ㺬ヸ佈ミ㹼ヸʸʷꗜヘ៌ ƺԈ៌៌៌ŇԈ,łԈ佴ミʸʷõ៌៌ ŏԌ㺬ヸ佈ミ㹼ヸʸʷꗜヘ៌ ŔԈ៌縷៌៌őԈyŜԈ佴ミʸʷ÷若៌豈៌ řԌ㺬ヸ佈ミ㹼ヸʸʷꗜヘ賂៌ ŮԈ襤៌切៌៌ūԈ&#10;otrosŶԈ佴ミʸʷý﨤៌聆៌ ųԌ㺬ヸ佈ミ㹼ヸʸʷꗜヘ笠៌ ŸԈ倫៌變៌縷៌ąԈinteresadosĎԈ佴ミʸʷĈ﫤៌並៌ ċԌ㺬ヸ佈ミ㹼ヸʸʷꗜヘ視៌ ĐԈ杖៌ﭰ៌切៌ĝԈ,ĘԈ佴ミʸʷĊ ﮔ៌ﬠ៌ ĥԌ㺬ヸ佈ミ㹼ヸʸʷꗜヘﭨ៌ ĪԈפּ៌ﰰ៌變៌ķԈcolaboranİԈ佴ミʸʷĔﱔ៌ﯠ៌ ĽԌ㺬ヸ佈ミ㹼ヸʸʷꗜヘﰨ៌ ǂԈﰄ៌ﳠ៌ﭰ៌ǏԈconǊԈ佴ミʸʷĘ ﴄ៌ﲐ៌ ǗԌ㺬ヸ佈ミ㹼ヸʸʷꗜヘﳘ៌ ǜԈﲴ៌ﶠ៌ﰰ៌ǙԈfacilidadǢԈ佴ミʸʷĢﷄ៌ﵐ៌ ǯԌ㺬ヸ佈ミ㹼ヸʸʷꗜヘﶘ៌ ǴԈﵴ៌﹐៌ﳠ៌ǱԈyǼԈ佴ミʸʷĤﹴ៌︀៌ ǹԌ㺬"/>
        </w:smartTagPr>
        <w:r>
          <w:t>la Real Policía Montada</w:t>
        </w:r>
      </w:smartTag>
      <w:r>
        <w:t xml:space="preserve"> del Canadá, los servicios policiales municipales, el Gobierno federal, el gobierno provincial y organizaciones no gubernamentales.</w:t>
      </w:r>
    </w:p>
    <w:p w:rsidR="00AA5B69" w:rsidRDefault="00AA5B69">
      <w:pPr>
        <w:spacing w:after="120"/>
        <w:ind w:left="1134" w:right="1134"/>
        <w:jc w:val="both"/>
      </w:pPr>
      <w:r>
        <w:t>130.</w:t>
      </w:r>
      <w:r>
        <w:tab/>
        <w:t>La estrategia del gobierno de Saskatchewan con respecto a los niños y los jóvenes víctimas de la explotación sexual combina distintas medidas de prevención, mitigación de daños, tratamiento y cumplimiento de la ley, entre las que figuran las siguientes:</w:t>
      </w:r>
    </w:p>
    <w:p w:rsidR="00AA5B69" w:rsidRDefault="00AA5B69">
      <w:pPr>
        <w:pStyle w:val="Bullet1G"/>
      </w:pPr>
      <w:r>
        <w:t>La financiación de servicios de divulgación dirigidos a los niños involucrados en la prostitución y a los niños de la calle;</w:t>
      </w:r>
    </w:p>
    <w:p w:rsidR="00AA5B69" w:rsidRDefault="00AA5B69">
      <w:pPr>
        <w:pStyle w:val="Bullet1G"/>
      </w:pPr>
      <w:r>
        <w:t>Una política de aplicación estricta de la ley contra los proxenetas, las personas que mantienen relaciones sexuales con niños y toda otra persona que explote a los niños mediante la prostitución;</w:t>
      </w:r>
    </w:p>
    <w:p w:rsidR="00AA5B69" w:rsidRDefault="00AA5B69">
      <w:pPr>
        <w:pStyle w:val="Bullet1G"/>
      </w:pPr>
      <w:r>
        <w:t>Una campaña de sensibilización pública en la que se hace hincapié en que inducir a un niño a ejercer la prostitución constituye una práctica de malos tratos;</w:t>
      </w:r>
    </w:p>
    <w:p w:rsidR="00AA5B69" w:rsidRDefault="00AA5B69">
      <w:pPr>
        <w:pStyle w:val="Bullet1G"/>
      </w:pPr>
      <w:r>
        <w:t>Un sistema de seguimiento y control de los culpables, y la mejora de los servicios de asistencia a las víctimas;</w:t>
      </w:r>
    </w:p>
    <w:p w:rsidR="00AA5B69" w:rsidRDefault="00AA5B69">
      <w:pPr>
        <w:pStyle w:val="Bullet1G"/>
      </w:pPr>
      <w:r>
        <w:t>Una directiva para los procuradores de la Corona en la que se les exige que: a) reconozcan la victimización de esos niños; b) se les conceda la misma protección que a las demás víctimas vulnerables; c) cuando proceda, eviten imputar cargos de prostitución contra los niños; y d) procuren la imposición de penas severas contra las personas condenadas por haberlos explotado;</w:t>
      </w:r>
    </w:p>
    <w:p w:rsidR="00AA5B69" w:rsidRDefault="00AA5B69">
      <w:pPr>
        <w:pStyle w:val="Bullet1G"/>
      </w:pPr>
      <w:r>
        <w:t>La creación de equipos encargados de la cuestión del maltrato infantil en las oficinas regionales de los principales centros urbanos, integrados por los fiscales que intervienen en estos asuntos. Los fiscales, policías, trabajadores sociales y encargados de los servicios a las víctimas colaboran estrechamente para prestar apoyo a los niños;</w:t>
      </w:r>
    </w:p>
    <w:p w:rsidR="00AA5B69" w:rsidRDefault="00AA5B69">
      <w:pPr>
        <w:pStyle w:val="Bullet1G"/>
      </w:pPr>
      <w:r>
        <w:t>El establecimiento de comités regionales de intervención, para apoyar y coordinar la prestación de servicios a los niños y los jóvenes que intentan abandonar la vida de la calle en los principales centros urbanos;</w:t>
      </w:r>
    </w:p>
    <w:p w:rsidR="00AA5B69" w:rsidRDefault="00AA5B69">
      <w:pPr>
        <w:pStyle w:val="Bullet1G"/>
      </w:pPr>
      <w:r>
        <w:t>Mecanismos para disuadir a los clientes y mejorar la respuesta policial con respecto a los casos de niños que son objeto de explotación sexual;</w:t>
      </w:r>
    </w:p>
    <w:p w:rsidR="00AA5B69" w:rsidRDefault="00AA5B69">
      <w:pPr>
        <w:pStyle w:val="Bullet1G"/>
      </w:pPr>
      <w:r>
        <w:t>Servicios adicionales de protección a los jóvenes involucrados en el comercio sexual para obtener dinero u otros beneficios;</w:t>
      </w:r>
    </w:p>
    <w:p w:rsidR="00AA5B69" w:rsidRDefault="00AA5B69">
      <w:pPr>
        <w:pStyle w:val="Bullet1G"/>
      </w:pPr>
      <w:r>
        <w:t>La financiación de la iniciativa policial Tech Crimes.</w:t>
      </w:r>
    </w:p>
    <w:p w:rsidR="00AA5B69" w:rsidRDefault="00AA5B69">
      <w:pPr>
        <w:spacing w:after="120"/>
        <w:ind w:left="1134" w:right="1134"/>
        <w:jc w:val="both"/>
      </w:pPr>
      <w:r>
        <w:t>131.</w:t>
      </w:r>
      <w:r>
        <w:tab/>
        <w:t>El gobierno de Saskatchewan ha establecido un conjunto de servicios de medicina general, salud pública, tratamiento de la toxicomanía y el alcoholismo, y salud mental para los jóvenes en situación de riesgo. Se puede acceder a esos servicios en las regiones sanitarias de la provincia:</w:t>
      </w:r>
    </w:p>
    <w:p w:rsidR="00AA5B69" w:rsidRDefault="00AA5B69">
      <w:pPr>
        <w:pStyle w:val="Bullet1G"/>
      </w:pPr>
      <w:r>
        <w:t xml:space="preserve">El proyecto </w:t>
      </w:r>
      <w:r>
        <w:rPr>
          <w:i/>
        </w:rPr>
        <w:t>Hope</w:t>
      </w:r>
      <w:r>
        <w:t xml:space="preserve"> es un plan de tres años de duración para la prevención y el tratamiento de </w:t>
      </w:r>
      <w:smartTag w:uri="urn:schemas-microsoft-com:office:smarttags" w:element="PersonName">
        <w:smartTagPr>
          <w:attr w:name="ProductID" w:val="la toxicoman￭a. Uno"/>
        </w:smartTagPr>
        <w:r>
          <w:t>la toxicomanía. Uno</w:t>
        </w:r>
      </w:smartTag>
      <w:r>
        <w:t xml:space="preserve"> de los objetivos principales es triplicar la capacidad de estabilización y tratamiento de los jóvenes en tres años.</w:t>
      </w:r>
    </w:p>
    <w:p w:rsidR="00AA5B69" w:rsidRDefault="00AA5B69">
      <w:pPr>
        <w:pStyle w:val="Bullet1G"/>
      </w:pPr>
      <w:bookmarkStart w:id="1" w:name="hit_last"/>
      <w:bookmarkEnd w:id="1"/>
      <w:r>
        <w:t xml:space="preserve">El proyecto </w:t>
      </w:r>
      <w:r>
        <w:rPr>
          <w:i/>
        </w:rPr>
        <w:t>KidsFirst</w:t>
      </w:r>
      <w:r>
        <w:t xml:space="preserve"> ofrece apoyo a las familias vulnerables, en particular a las mujeres embarazadas y los progenitores jóvenes. El apoyo que se brinda incluye servicios de orientación, capacitación, alfabetización y educación, ayuda para obtener servicios sociales adecuados, y asesoría en materia de salud mental y tratamiento de </w:t>
      </w:r>
      <w:smartTag w:uri="urn:schemas-microsoft-com:office:smarttags" w:element="PersonName">
        <w:smartTagPr>
          <w:attr w:name="ProductID" w:val="la toxicoman￭a. El"/>
        </w:smartTagPr>
        <w:r>
          <w:t>la toxicomanía. El</w:t>
        </w:r>
      </w:smartTag>
      <w:r>
        <w:t xml:space="preserve"> personal participa en iniciativas de desarrollo comunitario y de salud pública de ámbito local, destinadas a sensibilizar acerca de la explotación sexual que sufren los niños y los jóvenes.</w:t>
      </w:r>
    </w:p>
    <w:p w:rsidR="00AA5B69" w:rsidRDefault="00AA5B69">
      <w:pPr>
        <w:pStyle w:val="Bullet1G"/>
      </w:pPr>
      <w:r>
        <w:t>Los asistentes sociales que se ocupan de los jóvenes y los que se desempeñan en los centros para jóvenes infractores promueven la participación de los jóvenes en programas que tratan los factores que obstaculizan la rehabilitación, como el comercio sexual o los trastornos del espectro alcohólico fetal. Las intervenciones incluyen la remisión del joven a un centro de acogida, el tratamiento, la orientación o la participación en programas educativos especiales.</w:t>
      </w:r>
    </w:p>
    <w:p w:rsidR="00AA5B69" w:rsidRDefault="00AA5B69">
      <w:pPr>
        <w:spacing w:after="120"/>
        <w:ind w:left="1134" w:right="1134"/>
        <w:jc w:val="both"/>
      </w:pPr>
      <w:r>
        <w:t>132.</w:t>
      </w:r>
      <w:r>
        <w:tab/>
        <w:t xml:space="preserve">La estrategia del gobierno de Manitoba abarca leyes, políticas, programas e investigaciones cuyo objeto es complementar los servicios ofrecidos por las ONG. La estrategia se centra en la prevención, mediante el aumento de la sensibilización general ante el problema en todos los segmentos de la población de Manitoba, y la ejecución de programas de prevención para jóvenes en situación de riesgo. La estrategia incluye iniciativas de sensibilización de la comunidad, centros de acogida, la elaboración y distribución de recursos educativos, una política procesal penal en la que se reconoce a los niños explotados como víctimas, y la coordinación provincial de los comités de supervisión. Los programas de intervención del Gobierno son adecuados desde el punto de vista de la edad, el grado de desarrollo y la cultura; no presuponen juicios de valor; se centran en los niños y jóvenes; son innovadores; tienen en cuenta las necesidades individuales; no son coercitivos; y son ejecutados por personas que adoptan un compromiso individual y que pueden haber tenido que superar circunstancias similares. El Equipo intergubernamental de ejecución es el órgano responsable de asegurar los avances en </w:t>
      </w:r>
      <w:smartTag w:uri="urn:schemas-microsoft-com:office:smarttags" w:element="PersonName">
        <w:smartTagPr>
          <w:attr w:name="ProductID" w:val="la estrategia. V￩ase"/>
        </w:smartTagPr>
        <w:r>
          <w:t>la estrategia. Véase</w:t>
        </w:r>
      </w:smartTag>
      <w:r>
        <w:t xml:space="preserve"> más información en http://www.gov.mb.ca/fs/childfam/strategy_on_ sexual_exploitation.html.</w:t>
      </w:r>
    </w:p>
    <w:p w:rsidR="00AA5B69" w:rsidRDefault="00AA5B69">
      <w:pPr>
        <w:spacing w:after="120"/>
        <w:ind w:left="1134" w:right="1134"/>
        <w:jc w:val="both"/>
      </w:pPr>
      <w:r>
        <w:t>133.</w:t>
      </w:r>
      <w:r>
        <w:tab/>
        <w:t>Además, el gobierno de Manitoba coordina y financia varios programas de prevención e intervención temprana que pueden prevenir indirectamente los problemas que se tratan en el Protocolo, mediante el apoyo a los niños y las familias vulnerables (por ejemplo, el programa de visitas a domicilio a familias con niños pequeños, la prestación prenatal para mujeres de bajos ingresos embarazadas, los programas comunitarios para progenitores y niños lactantes, y el Programa de ejercicio positivo de la función parental). La Estrategia de desarrollo saludable de los adolescentes se centra en la salud sexual y reproductiva (por ejemplo, mediante la financiación de clínicas para adolescentes, escolares o comunitarias en las comunidades vulnerables). El objetivo de los programas es promover que los niños y jóvenes obtengan resultados satisfactorios.</w:t>
      </w:r>
    </w:p>
    <w:p w:rsidR="00AA5B69" w:rsidRDefault="00AA5B69">
      <w:pPr>
        <w:spacing w:after="120"/>
        <w:ind w:left="1134" w:right="1134"/>
        <w:jc w:val="both"/>
      </w:pPr>
      <w:r>
        <w:t>134.</w:t>
      </w:r>
      <w:r>
        <w:tab/>
        <w:t>El gobierno de Ontario financia una serie de programas, entre los que figuran las sociedades de asistencia a la infancia, los programas de salud mental para niños y jóvenes, los centros de ayuda a las víctimas de agresión sexual, los programas de asistencia a las víctimas y los testigos, y los centros juveniles. Además, el gobierno ha elaborado una estrategia provincial para combatir los delitos contra los niños en Internet, cuyo objetivo es identificar y localizar a los niños que aparecen en las imágenes de pornografía infantil, así como ayudarlos a salir de esa situación de maltrato y ponerlos en contacto con los servicios que les permitan superar la situación que han padecido. La estrategia contiene, entre otros, los siguientes elementos:</w:t>
      </w:r>
    </w:p>
    <w:p w:rsidR="00AA5B69" w:rsidRDefault="00AA5B69">
      <w:pPr>
        <w:pStyle w:val="Bullet1G"/>
      </w:pPr>
      <w:r>
        <w:t>Una línea telefónica de denuncia y un servicio de remisión para los niños víctimas, gestionados por el programa Crime Stoppers ya existente, a fin de apoyar a las víctimas y evitar que vuelvan a ser víctimas de un delito;</w:t>
      </w:r>
    </w:p>
    <w:p w:rsidR="00AA5B69" w:rsidRDefault="00AA5B69">
      <w:pPr>
        <w:pStyle w:val="Bullet1G"/>
      </w:pPr>
      <w:r>
        <w:t>Un equipo de infiltración en línea, integrado por policías municipales, que investiga la utilización en Internet de métodos para atraer a los niños con fines sexuales, mediante la vigilancia de los grupos de debate y los foros de conversación en línea, a fin de detectar a los sospechosos y a las posibles víctimas y evitar la comisión de delitos;</w:t>
      </w:r>
    </w:p>
    <w:p w:rsidR="00AA5B69" w:rsidRDefault="00AA5B69">
      <w:pPr>
        <w:pStyle w:val="Bullet1G"/>
      </w:pPr>
      <w:r>
        <w:t>El apoyo emocional a los niños víctimas y a sus familias, y la derivación a los servicios comunitarios y de asistencia práctica más adecuados;</w:t>
      </w:r>
    </w:p>
    <w:p w:rsidR="00AA5B69" w:rsidRDefault="00AA5B69">
      <w:pPr>
        <w:pStyle w:val="Bullet1G"/>
      </w:pPr>
      <w:r>
        <w:t>La coordinación, la formación y el apoyo a los fiscales que se ocupan de estos temas, a fin de asegurar un nivel uniforme de excelencia en materia de apoyo a las víctimas y de enjuiciamiento de los delitos de explotación infantil en Internet en toda la provincia;</w:t>
      </w:r>
    </w:p>
    <w:p w:rsidR="00AA5B69" w:rsidRDefault="00AA5B69">
      <w:pPr>
        <w:pStyle w:val="Bullet1G"/>
      </w:pPr>
      <w:r>
        <w:t xml:space="preserve">Una mayor colaboración con otras instituciones y jurisdicciones, con inclusión de otros organismos encargados de hacer cumplir la ley, como </w:t>
      </w:r>
      <w:r>
        <w:rPr>
          <w:i/>
        </w:rPr>
        <w:t>Child Find Ontario</w:t>
      </w:r>
      <w:r>
        <w:t>, lo que facilitará la detención de los infractores y el apoyo a las víctimas.</w:t>
      </w:r>
    </w:p>
    <w:p w:rsidR="00AA5B69" w:rsidRDefault="00AA5B69">
      <w:pPr>
        <w:spacing w:after="120"/>
        <w:ind w:left="1134" w:right="1134"/>
        <w:jc w:val="both"/>
      </w:pPr>
      <w:r>
        <w:t>135.</w:t>
      </w:r>
      <w:r>
        <w:tab/>
        <w:t>Las directivas gubernamentales sobre agresiones sexuales han estado en vigor en Quebec desde marzo de 2001. Tienen por objeto reconocer el carácter socialmente inaceptable y criminal de las agresiones sexuales, responder adecuadamente a las necesidades de las víctimas, y eliminar las relaciones de poder y de dominación que padecen las mujeres y los niños. Ese mismo año se estableció un procedimiento de intervención social y judicial para garantizar una respuesta adecuada, continua y coordinada a las necesidades de asistencia y protección de los niños, de conformidad con los derechos de todas las Partes afectadas, en el marco del Acuerdo multisectorial sobre los niños víctimas de abusos sexuales, malos tratos físicos o descuido que ponen en peligro su salud física. El Acuerdo implica una estrecha colaboración entre el Director de protección de la juventud, el Fiscal General Adjunto, los servicios policiales y, de ser necesario, representantes de otras entidades designadas, esto es, los centros y organizaciones que se dedican a la enseñanza, las guarderías y otros servicios de cuidado infantil, los centros y organizaciones que prestan servicios sociales y de salud, así como las entidades deportivas y recreativas.</w:t>
      </w:r>
    </w:p>
    <w:p w:rsidR="00AA5B69" w:rsidRDefault="00AA5B69">
      <w:pPr>
        <w:spacing w:after="120"/>
        <w:ind w:left="1134" w:right="1134"/>
        <w:jc w:val="both"/>
      </w:pPr>
      <w:r>
        <w:t>136.</w:t>
      </w:r>
      <w:r>
        <w:tab/>
        <w:t xml:space="preserve">En 2002 entró en vigor la Estrategia de acción para los jóvenes con problemas y sus familias, que tiene por objeto asegurar una aplicación más adecuada de la Ley de protección de </w:t>
      </w:r>
      <w:smartTag w:uri="urn:schemas-microsoft-com:office:smarttags" w:element="PersonName">
        <w:smartTagPr>
          <w:attr w:name="ProductID" w:val="la juventud. El"/>
        </w:smartTagPr>
        <w:r>
          <w:t>la juventud. El</w:t>
        </w:r>
      </w:smartTag>
      <w:r>
        <w:t xml:space="preserve"> objetivo de </w:t>
      </w:r>
      <w:smartTag w:uri="urn:schemas-microsoft-com:office:smarttags" w:element="PersonName">
        <w:smartTagPr>
          <w:attr w:name="ProductID" w:val="la &quot;Estrategia"/>
        </w:smartTagPr>
        <w:r>
          <w:t>la "Estrategia</w:t>
        </w:r>
      </w:smartTag>
      <w:r>
        <w:t xml:space="preserve"> de acción para los jóvenes 2006-2009: jóvenes que participan plenamente en su propio éxito" es mejorar la salud y el bienestar de los jóvenes, fomentando la mejora de los servicios disponibles para los niños y sus familias, de conformidad con la Ley de protección de la juventud.</w:t>
      </w:r>
    </w:p>
    <w:p w:rsidR="00AA5B69" w:rsidRDefault="00AA5B69">
      <w:pPr>
        <w:spacing w:after="120"/>
        <w:ind w:left="1134" w:right="1134"/>
        <w:jc w:val="both"/>
      </w:pPr>
      <w:r>
        <w:t>137.</w:t>
      </w:r>
      <w:r>
        <w:tab/>
        <w:t>El Gobierno de Nueva Brunswick elaboró los protocolos para los niños víctimas de malos tratos o descuido, que se pueden consultar en http://www.gnb.ca/-0017/protection/</w:t>
      </w:r>
      <w:r>
        <w:br/>
        <w:t>Child/index-e.asp. En ellos se describe la forma en que los organismos gubernamentales deben responder en los casos de denuncias de malos tratos o descuido de niños. En muchos casos, los protocolos abordan, directa e indirectamente, las prácticas que figuran en el Protocolo.</w:t>
      </w:r>
    </w:p>
    <w:p w:rsidR="00AA5B69" w:rsidRDefault="00AA5B69">
      <w:pPr>
        <w:spacing w:after="120"/>
        <w:ind w:left="1134" w:right="1134"/>
        <w:jc w:val="both"/>
      </w:pPr>
      <w:r>
        <w:t>138.</w:t>
      </w:r>
      <w:r>
        <w:tab/>
        <w:t>Asimismo, el gobierno de Nueva Brunswick ha adoptado una Directiva para la protección de los alumnos, destinada a proteger a los alumnos contra posibles casos de conducta no profesional de los adultos, lo que incluye los malos tratos físicos, sexuales o psíquicos, y la discriminación; la garantía de que los adultos que participan en el sistema de enseñanza pública comprenden la magnitud de la responsabilidad que se les confiere, en la medida en que los progenitores y la comunidad confían sus hijos al sistema de enseñanza pública; y la eliminación de las conductas no profesionales mediante la definición de normas de comportamiento aceptables y medidas de intervención preventivas y eficaces.</w:t>
      </w:r>
    </w:p>
    <w:p w:rsidR="00AA5B69" w:rsidRDefault="00AA5B69">
      <w:pPr>
        <w:spacing w:after="120"/>
        <w:ind w:left="1134" w:right="1134"/>
        <w:jc w:val="both"/>
      </w:pPr>
      <w:r>
        <w:t>139.</w:t>
      </w:r>
      <w:r>
        <w:tab/>
        <w:t xml:space="preserve">En Nueva Escocia se han establecido diversos programas y servicios destinados a apoyar a los jóvenes y a las familias, entre los que figuran los centros de salud para jóvenes, el Marco de salud sexual de los jóvenes, la Estrategia contra la violencia en la familia, y los programas Healthy Beginnings para las familias y los niños lactantes. </w:t>
      </w:r>
      <w:smartTag w:uri="urn:schemas-microsoft-com:office:smarttags" w:element="PersonName">
        <w:smartTagPr>
          <w:attr w:name="ProductID" w:val="La nueva Estrategia"/>
        </w:smartTagPr>
        <w:r>
          <w:t>La nueva Estrategia</w:t>
        </w:r>
      </w:smartTag>
      <w:r>
        <w:t xml:space="preserve"> para los niños y los jóvenes, establecida en 2007, permitirá coordinar las medidas de apoyo a las familias en situación de riesgo en todo el ámbito gubernamental y facilitará la identificación temprana de los problemas, así como la puesta en práctica de las medidas de apoyo y las estrategias (http://www.gov.ns.ca/coms/noteworthy/OurKidsAreWorthIt.html).</w:t>
      </w:r>
    </w:p>
    <w:p w:rsidR="00AA5B69" w:rsidRDefault="00AA5B69">
      <w:pPr>
        <w:spacing w:after="120"/>
        <w:ind w:left="1134" w:right="1134"/>
        <w:jc w:val="both"/>
      </w:pPr>
      <w:r>
        <w:t>140.</w:t>
      </w:r>
      <w:r>
        <w:tab/>
        <w:t>El gobierno de la Isla del Príncipe Eduardo ha puesto en marcha la iniciativa denominada "Aprovechar los logros: programa 'Optimizar el comienzo'", que promueve el desarrollo de factores de protección, como el apoyo familiar positivo, el acceso a la información en materia de atención parental, las posibilidades de capacitación y empleo, la derivación a otros programas y servicios disponibles, y el fortalecimiento de la red de apoyo con la que cuentan los progenitores y los niños. El programa ofrece servicios integrados y universales de detección temprana y evaluación, en colaboración con los servicios de enfermería de la sanidad pública. Los enfermeros que han recibido la formación "Optimizar el comienzo" evalúan a todos los recién nacidos y a sus familias, y si determinan que existe una situación de riesgo remiten el caso al componente de visitas domiciliarias del programa. Las visitas domiciliarias brindan ayuda a las familias en su propio entorno, lo que permite que el trabajador social conozca directamente las condiciones de vida de los progenitores y los niños y pueda dar una respuesta eficaz y apropiada. Una evaluación del programa de intervención y apoyo tempranos "Optimizar el comienzo" en la Isla del Príncipe Eduardo constató que el programa, combinado con los servicios de protección de la infancia, está teniendo un efecto positivo en la intervención temprana contra el maltrato infantil.</w:t>
      </w:r>
    </w:p>
    <w:p w:rsidR="00AA5B69" w:rsidRDefault="00AA5B69">
      <w:pPr>
        <w:spacing w:after="120"/>
        <w:ind w:left="1134" w:right="1134"/>
        <w:jc w:val="both"/>
      </w:pPr>
      <w:r>
        <w:t>141.</w:t>
      </w:r>
      <w:r>
        <w:tab/>
        <w:t>El gobierno de Terranova y Labrador ha puesto en práctica una iniciativa de prevención de la violencia, destinada a los niños y los jóvenes, ya que se trata de una población vulnerable que requiere una atención especial. Las intervenciones realizadas en el marco de la Ley sobre los servicios a los niños, los jóvenes y la familia están dirigidas a los niños que puedan estar padeciendo los problemas abarcados en el Protocolo, y los servicios de asistencia para los niños víctimas permitirán prestar los servicios necesarios en el marco de su mandato.</w:t>
      </w:r>
    </w:p>
    <w:p w:rsidR="00AA5B69" w:rsidRDefault="00AA5B69">
      <w:pPr>
        <w:spacing w:after="120"/>
        <w:ind w:left="1134" w:right="1134"/>
        <w:jc w:val="both"/>
        <w:rPr>
          <w:rStyle w:val="s1"/>
          <w:color w:val="auto"/>
        </w:rPr>
      </w:pPr>
      <w:r>
        <w:t>142.</w:t>
      </w:r>
      <w:r>
        <w:tab/>
        <w:t xml:space="preserve">Los programas y las políticas del gobierno de los Territorios del Noroeste destinados a proteger a los niños se centran en la prevención de problemas tales como el abuso sexual y el </w:t>
      </w:r>
      <w:r>
        <w:rPr>
          <w:rStyle w:val="s1"/>
          <w:color w:val="auto"/>
        </w:rPr>
        <w:t>uso indebido de sustancias psicotrópicas y de bebidas alcohólicas por los niños. Tienen por objeto advertir a los niños de los peligros que entraña el consumo de drogas y de bebidas alcohólicas, lo que incluye la posibilidad de ser víctimas de explotación sexual. El marco de acción abarca actividades que aumentarán la sensibilización y la educación, perfeccionarán las actividades y los servicios de prevención, mejorarán la capacitación, y desarrollarán las asociaciones y la labor educativa, cuyo objeto es abordar las "causas profundas" que suelen dar lugar a la explotación de los niños.</w:t>
      </w:r>
    </w:p>
    <w:p w:rsidR="00AA5B69" w:rsidRDefault="00AA5B69">
      <w:pPr>
        <w:spacing w:after="120"/>
        <w:ind w:left="1134" w:right="1134"/>
        <w:jc w:val="both"/>
        <w:rPr>
          <w:rStyle w:val="s1"/>
          <w:color w:val="auto"/>
        </w:rPr>
      </w:pPr>
      <w:r>
        <w:rPr>
          <w:rStyle w:val="s1"/>
          <w:color w:val="auto"/>
        </w:rPr>
        <w:t>143.</w:t>
      </w:r>
      <w:r>
        <w:rPr>
          <w:rStyle w:val="s1"/>
          <w:color w:val="auto"/>
        </w:rPr>
        <w:tab/>
        <w:t>El gobierno de Yukón dispone de diversos programas y servicios destinados a evitar la explotación sexual de los niños, protegerlos y brindar tratamiento a los niños que han sido víctimas de abusos sexuales. Por ejemplo:</w:t>
      </w:r>
    </w:p>
    <w:p w:rsidR="00AA5B69" w:rsidRDefault="00AA5B69">
      <w:pPr>
        <w:pStyle w:val="Bullet1G"/>
      </w:pPr>
      <w:r>
        <w:t>Un organismo financiado por el gobierno ofrece orientación a las familias y a los jóvenes, y los servicios de salud mental brindan orientación a los jóvenes que padecen trastornos mentales;</w:t>
      </w:r>
    </w:p>
    <w:p w:rsidR="00AA5B69" w:rsidRDefault="00AA5B69">
      <w:pPr>
        <w:pStyle w:val="Bullet1G"/>
      </w:pPr>
      <w:r>
        <w:t>Una furgoneta móvil permite a los trabajadores sociales proporcionar apoyo y educación a personas carecen de vivienda o tienen estilos de vida que presentan riesgos;</w:t>
      </w:r>
    </w:p>
    <w:p w:rsidR="00AA5B69" w:rsidRDefault="00AA5B69">
      <w:pPr>
        <w:pStyle w:val="Bullet1G"/>
      </w:pPr>
      <w:r>
        <w:t>Los servicios de tratamiento de los niños víctimas de malos tratos brindan tratamiento terapéutico a los niños que han sido víctimas de malos tratos;</w:t>
      </w:r>
    </w:p>
    <w:p w:rsidR="00AA5B69" w:rsidRDefault="00AA5B69">
      <w:pPr>
        <w:pStyle w:val="Bullet1G"/>
      </w:pPr>
      <w:r>
        <w:t>La Dependencia de servicios de asistencia a las víctimas y prevención de la violencia en la familia colabora con la comunidad en la labor de educar respecto de los derechos de no ser objeto de malos tratos y de vivir en condiciones de seguridad, así como de la obligación de no infligir malos tratos a otras personas. Promueve relaciones y límites saludables mediante diversas iniciativas educativas;</w:t>
      </w:r>
    </w:p>
    <w:p w:rsidR="00AA5B69" w:rsidRDefault="00AA5B69">
      <w:pPr>
        <w:pStyle w:val="Bullet1G"/>
      </w:pPr>
      <w:r>
        <w:t>El programa "Nuestra manera de protegernos" (Our Way of Living Safely) se dirige a aquellos niños que han padecido actos de violencia y cuyos progenitores están encausados ante el tribunal competente para enjuiciar los casos de violencia doméstica.</w:t>
      </w:r>
    </w:p>
    <w:p w:rsidR="00AA5B69" w:rsidRDefault="00AA5B69">
      <w:pPr>
        <w:pStyle w:val="H1G"/>
      </w:pPr>
      <w:r>
        <w:tab/>
      </w:r>
      <w:r>
        <w:tab/>
        <w:t>Campañas de concienciación pública</w:t>
      </w:r>
    </w:p>
    <w:p w:rsidR="00AA5B69" w:rsidRDefault="00AA5B69">
      <w:pPr>
        <w:spacing w:after="120"/>
        <w:ind w:left="1134" w:right="1134"/>
        <w:jc w:val="both"/>
      </w:pPr>
      <w:r>
        <w:t>144.</w:t>
      </w:r>
      <w:r>
        <w:tab/>
        <w:t>En cuanto a la lucha contra el turismo sexual que afecta a niños, en la publicación en línea titulada "La utilización de niños en el turismo sexual es un delito" (http://canada.justice.gc.ca/en/fs/ht/index.html), se destaca que el abuso sexual de niños es ilegal, tanto si se comete en el Canadá como en otro país, y se brinda información sobre las disposiciones del Código Penal que permiten el enjuiciamiento en el Canadá de todo ciudadano canadiense, o residente permanente, por la comisión de un delito sexual contra un niño en un país extranjero. Además, en varios folletos de consejos para viajeros se recuerda a los canadienses y a los posibles viajeros al extranjero que el abuso sexual de niños constituye un delito en el Canadá, independientemente del lugar en el que se cometa.</w:t>
      </w:r>
    </w:p>
    <w:p w:rsidR="00AA5B69" w:rsidRDefault="00AA5B69">
      <w:pPr>
        <w:spacing w:after="120"/>
        <w:ind w:left="1134" w:right="1134"/>
        <w:jc w:val="both"/>
      </w:pPr>
      <w:r>
        <w:t>145.</w:t>
      </w:r>
      <w:r>
        <w:tab/>
        <w:t>El 30 de marzo de 2004, el Consejo Etnocultural del Canadá, en colaboración con el Gobierno del Canadá, organizó un Foro sobre la trata de personas, en particular de jóvenes, niños y mujeres, que reunió a organizaciones no gubernamentales y profesionales de todo el país. Los objetivos eran educar y sensibilizar al público sobre la situación de la trata de personas, en particular de jóvenes, niños y mujeres, y analizar las estrategias para poner en marcha iniciativas comunitarias de prevención y lucha contra la trata de personas.</w:t>
      </w:r>
    </w:p>
    <w:p w:rsidR="00AA5B69" w:rsidRDefault="00AA5B69">
      <w:pPr>
        <w:spacing w:after="120"/>
        <w:ind w:left="1134" w:right="1134"/>
        <w:jc w:val="both"/>
      </w:pPr>
      <w:r>
        <w:t>146.</w:t>
      </w:r>
      <w:r>
        <w:tab/>
        <w:t>El Plan nacional de acción del Gobierno del Canadá en favor de los niños, titulado "Un Canadá adaptado a los niños", se ocupa de muchos de los delitos descritos en el Protocolo. En el Plan se proponen medios eficaces que los canadienses pueden poner en práctica para mejorar la vida de los niños, en el Canadá y en todo el mundo, así como estrategias para combatir la explotación sexual de los niños, lo que incluye la pornografía y la prostitución infantil y la utilización de niños en el turismo sexual. Entre las actividades concretas figuran las siguientes:</w:t>
      </w:r>
    </w:p>
    <w:p w:rsidR="00AA5B69" w:rsidRDefault="00AA5B69">
      <w:pPr>
        <w:pStyle w:val="Bullet1G"/>
      </w:pPr>
      <w:r>
        <w:t>El apoyo a la investigación sobre la explotación sexual de niños en el Canadá, sus consecuencias en el plano nacional e internacional, y los factores de riesgo subyacentes, como la pobreza, la exclusión social y la desigualdad entre los géneros;</w:t>
      </w:r>
    </w:p>
    <w:p w:rsidR="00AA5B69" w:rsidRDefault="00AA5B69">
      <w:pPr>
        <w:pStyle w:val="Bullet1G"/>
      </w:pPr>
      <w:r>
        <w:t>La promoción de estrategias de prevención mejoradas, que tengan en cuenta la vulnerabilidad específica de los niños, la demanda de servicios sexuales o basados en la explotación de niños, y el carácter abusivo de quienes explotan a los niños;</w:t>
      </w:r>
    </w:p>
    <w:p w:rsidR="00AA5B69" w:rsidRDefault="00AA5B69">
      <w:pPr>
        <w:pStyle w:val="Bullet1G"/>
      </w:pPr>
      <w:r>
        <w:t>La difusión del carácter ilegal de la explotación sexual de los niños;</w:t>
      </w:r>
    </w:p>
    <w:p w:rsidR="00AA5B69" w:rsidRDefault="00AA5B69">
      <w:pPr>
        <w:pStyle w:val="Bullet1G"/>
      </w:pPr>
      <w:r>
        <w:t>El apoyo a las iniciativas internacionales para combatir la explotación sexual de los niños, también en los países en desarrollo o en transición, y en aquellas zonas donde se producen conflictos armados o disturbios civiles.</w:t>
      </w:r>
    </w:p>
    <w:p w:rsidR="00AA5B69" w:rsidRDefault="00AA5B69">
      <w:pPr>
        <w:spacing w:after="120"/>
        <w:ind w:left="1134" w:right="1134"/>
        <w:jc w:val="both"/>
      </w:pPr>
      <w:r>
        <w:t>147.</w:t>
      </w:r>
      <w:r>
        <w:tab/>
        <w:t xml:space="preserve">El 27 de febrero de 2007, </w:t>
      </w:r>
      <w:smartTag w:uri="urn:schemas-microsoft-com:office:smarttags" w:element="PersonName">
        <w:smartTagPr>
          <w:attr w:name="ProductID" w:val="la Comisi￳n Parlamentaria Permanente"/>
        </w:smartTagPr>
        <w:r>
          <w:t>la Comisión Parlamentaria Permanente</w:t>
        </w:r>
      </w:smartTag>
      <w:r>
        <w:t xml:space="preserve"> sobre </w:t>
      </w:r>
      <w:smartTag w:uri="urn:schemas-microsoft-com:office:smarttags" w:element="PersonName">
        <w:smartTagPr>
          <w:attr w:name="ProductID" w:val="la Condici￳n Jur￭dica"/>
        </w:smartTagPr>
        <w:r>
          <w:t>la Condición Jurídica</w:t>
        </w:r>
      </w:smartTag>
      <w:r>
        <w:t xml:space="preserve"> y Social de la Mujer publicó su 12º informe, titulado "Convertir la indignación en acción para combatir la trata con fines de explotación sexual en el Canadá", que contiene recomendaciones sobre una amplia gama de esferas, que se agrupan en tres temas generales: prevenir la trata; proteger a las víctimas; y juzgar a los delincuentes.</w:t>
      </w:r>
    </w:p>
    <w:p w:rsidR="00AA5B69" w:rsidRDefault="00AA5B69">
      <w:pPr>
        <w:spacing w:after="120"/>
        <w:ind w:left="1134" w:right="1134"/>
        <w:jc w:val="both"/>
      </w:pPr>
      <w:r>
        <w:t>148.</w:t>
      </w:r>
      <w:r>
        <w:tab/>
        <w:t>Los gobiernos provinciales y territoriales también llevan a cabo campañas de educación y sensibilización contra la explotación sexual.</w:t>
      </w:r>
    </w:p>
    <w:p w:rsidR="00AA5B69" w:rsidRDefault="00AA5B69">
      <w:pPr>
        <w:spacing w:after="120"/>
        <w:ind w:left="1134" w:right="1134"/>
        <w:jc w:val="both"/>
      </w:pPr>
      <w:r>
        <w:t>149.</w:t>
      </w:r>
      <w:r>
        <w:tab/>
        <w:t xml:space="preserve">Por ejemplo, el gobierno de Columbia Británica organiza, desde 1998, una semana de sensibilización contra la explotación sexual de los niños y los jóvenes, que se caracteriza por la distribución de cintas de color fucsia para simbolizar las iniciativas desplegadas contra la explotación sexual. Comunidades de toda la provincia organizan talleres, obras de teatro, actividades de artes plásticas y otros actos con objeto de dar a conocer las iniciativas locales para abordar el problema. En 2007, se puso en marcha un amplio servicio en línea contra la explotación sexual, que pone en contacto tanto a los jóvenes como a los adultos con los organismos encargados de prestar servicios, proporcionar recursos y ejecutar programas en </w:t>
      </w:r>
      <w:smartTag w:uri="urn:schemas-microsoft-com:office:smarttags" w:element="PersonName">
        <w:smartTagPr>
          <w:attr w:name="ProductID" w:val="la provincia. Adem￡s"/>
        </w:smartTagPr>
        <w:r>
          <w:t>la provincia. Además</w:t>
        </w:r>
      </w:smartTag>
      <w:r>
        <w:t>, las personas o los grupos que deseen realizar acciones a nivel local disponen de información sobre la manera de crear una red comunitaria, elaborar un plan de acción, conseguir financiación y sensibilizar a la población en el sitio web http://jibc.ca/seytoolkit.</w:t>
      </w:r>
    </w:p>
    <w:p w:rsidR="00AA5B69" w:rsidRDefault="00AA5B69">
      <w:pPr>
        <w:spacing w:after="120"/>
        <w:ind w:left="1134" w:right="1134"/>
        <w:jc w:val="both"/>
      </w:pPr>
      <w:r>
        <w:t>150.</w:t>
      </w:r>
      <w:r>
        <w:tab/>
        <w:t xml:space="preserve">Las oficinas de los defensores del niño también difunden información. Por ejemplo, el Defensor del Niño y el Joven de Alberta dispone de dos líneas gratuitas de atención telefónica: una destinada a los servicios de promoción y la otra correspondiente a la representación jurídica de los niños y los jóvenes, mediante la cual se designan abogados para los niños y los jóvenes en el marco de la Ley de protección de los niños víctimas de explotación sexual y la Ley de protección de la infancia, la juventud y </w:t>
      </w:r>
      <w:smartTag w:uri="urn:schemas-microsoft-com:office:smarttags" w:element="PersonName">
        <w:smartTagPr>
          <w:attr w:name="ProductID" w:val="la familia. La Oficina"/>
        </w:smartTagPr>
        <w:r>
          <w:t>la familia. La Oficina</w:t>
        </w:r>
      </w:smartTag>
      <w:r>
        <w:t xml:space="preserve"> del Representante de los niños y los jóvenes de Columbia Británica también dispone de una línea de atención telefónica gratuita para los niños que necesitan ayuda.</w:t>
      </w:r>
    </w:p>
    <w:p w:rsidR="00AA5B69" w:rsidRDefault="00AA5B69">
      <w:pPr>
        <w:spacing w:after="120"/>
        <w:ind w:left="1134" w:right="1134"/>
        <w:jc w:val="both"/>
      </w:pPr>
      <w:r>
        <w:t>151.</w:t>
      </w:r>
      <w:r>
        <w:tab/>
        <w:t>El gobierno de Alberta puso en marcha en 2006 una campaña dirigida a los adolescentes, mediante carteles y anuncios publicitarios en los cines y en las marquesinas. También creó varios sitios web destinados a concienciar sobre los peligros que Internet puede entrañar para los jóvenes. Esos sitios web contienen información dirigida específicamente a los progenitores, a los jóvenes y a los niños, y se puede acceder a ellos desde las siguientes direcciones: www.getwebwise.ca, www.badguypatrol.ca, y www.weron2u.ca. Además, está disponible en línea el documento "Protección de los niños y los jóvenes víctimas de explotación sexual", que presenta un panorama general sobre la protección jurídica de los niños contra la explotación sexual, describe distintas maneras de detectar si un joven puede estar siendo víctima de explotación sexual, así como diversas formas de protección contra la explotación sexual, e informa sobre los lugares donde se puede obtener ayuda (http://www.child.gov.ab.ca/whatwedo/pcse/pdf/Sexually_exploited_ report_dec04.pdf).</w:t>
      </w:r>
    </w:p>
    <w:p w:rsidR="00AA5B69" w:rsidRDefault="00AA5B69">
      <w:pPr>
        <w:spacing w:after="120"/>
        <w:ind w:left="1134" w:right="1134"/>
        <w:jc w:val="both"/>
      </w:pPr>
      <w:r>
        <w:t>152.</w:t>
      </w:r>
      <w:r>
        <w:tab/>
        <w:t>Uno de los elementos iniciales de la estrategia de Saskatchewan para combatir el problema de la explotación sexual de los niños y los jóvenes fue una campaña de sensibilización pública que apuntaba a transmitir el mensaje de que ofrecer servicios de prostitución infantil constituye maltrato de niños.</w:t>
      </w:r>
    </w:p>
    <w:p w:rsidR="00AA5B69" w:rsidRDefault="00AA5B69">
      <w:pPr>
        <w:spacing w:after="120"/>
        <w:ind w:left="1134" w:right="1134"/>
        <w:jc w:val="both"/>
      </w:pPr>
      <w:r>
        <w:t>153.</w:t>
      </w:r>
      <w:r>
        <w:tab/>
        <w:t xml:space="preserve">El gobierno de Manitoba ha apoyado la preparación de varias publicaciones dirigidas a los progenitores, los maestros y los niños, que contienen información sobre la seguridad en Internet y la explotación sexual. En 2006 y 2007 se distribuyó a todos los alumnos de 4º grado el cómic titulado "Zoe and Molly Online", preparado por </w:t>
      </w:r>
      <w:r>
        <w:rPr>
          <w:i/>
        </w:rPr>
        <w:t>Child Find Manitoba</w:t>
      </w:r>
      <w:r>
        <w:t>, que enseña a los niños la importancia de proteger la información personal en línea y también puede ser utilizado por los maestros para tratar este tema. También se han publicado dos folletos, "No significa no: comprender el consentimiento de una actividad sexual" y "Los malos tratos contra los niños: reconocerlos, denunciarlos y prevenirlos", que contienen información sobre: la definición del "consentimiento" en el contexto de las actividades sexuales; información sobre la explotación sexual; y los peligros de los malos tratos relacionados con Internet (utilización en Internet de métodos para atraer a un niño con fines sexuales), así como consejos prácticos para los progenitores sobre la forma de prevenir ese tipo de malos tratos. El folleto sobre los malos tratos contra los niños se dirige a los progenitores, los maestros y los prestadores de servicios de primera línea. El folleto sobre la comprensión del consentimiento de una actividad sexual está destinado a todos los grupos de edad.</w:t>
      </w:r>
    </w:p>
    <w:p w:rsidR="00AA5B69" w:rsidRDefault="00AA5B69">
      <w:pPr>
        <w:spacing w:after="120"/>
        <w:ind w:left="1134" w:right="1134"/>
        <w:jc w:val="both"/>
      </w:pPr>
      <w:r>
        <w:t>154.</w:t>
      </w:r>
      <w:r>
        <w:tab/>
        <w:t xml:space="preserve">En Nueva Brunswick, diversos grupos, como la Oficina del Ombudsman y el Defensor del Niño y el Joven, el Muriel McQueen Fergusson Centre for Family Violence Research, Coalition Against Abusive Relationships, el Colegio de Abogados de Nueva Brunswick, y el </w:t>
      </w:r>
      <w:r>
        <w:rPr>
          <w:i/>
        </w:rPr>
        <w:t>Fredericton Sexual Assault Crisis Centre</w:t>
      </w:r>
      <w:r>
        <w:t>, que cuentan con una amplia experiencia en materia de asistencia, colaboran con el gobierno en la elaboración de folletos y publicaciones sobre el particular.</w:t>
      </w:r>
    </w:p>
    <w:p w:rsidR="00AA5B69" w:rsidRDefault="00AA5B69">
      <w:pPr>
        <w:spacing w:after="120"/>
        <w:ind w:left="1134" w:right="1134"/>
        <w:jc w:val="both"/>
      </w:pPr>
      <w:r>
        <w:t>155.</w:t>
      </w:r>
      <w:r>
        <w:tab/>
        <w:t>En Yukón existe un comité denominado Círculos de respeto e igualdad, integrado por 19 organismos gubernamentales y comunitarios (entre otros, grupos de jóvenes), que se ocupa del problema de la violencia contra las mujeres y los niños. Este comité dirige una campaña de educación pública contra la violencia sexual y familiar que se ejerce contra las mujeres y los niños.</w:t>
      </w:r>
    </w:p>
    <w:p w:rsidR="00AA5B69" w:rsidRDefault="00AA5B69">
      <w:pPr>
        <w:pStyle w:val="H1G"/>
      </w:pPr>
      <w:r>
        <w:tab/>
      </w:r>
      <w:r>
        <w:tab/>
        <w:t>La sociedad civil</w:t>
      </w:r>
    </w:p>
    <w:p w:rsidR="00AA5B69" w:rsidRDefault="00AA5B69">
      <w:pPr>
        <w:spacing w:after="120"/>
        <w:ind w:left="1134" w:right="1134"/>
        <w:jc w:val="both"/>
      </w:pPr>
      <w:r>
        <w:t>156.</w:t>
      </w:r>
      <w:r>
        <w:tab/>
        <w:t>La sociedad civil desempeña una importante función en los esfuerzos desplegados por el Canadá para prevenir la venta de niños, la prostitución infantil y la utilización de niños en la pornografía.</w:t>
      </w:r>
    </w:p>
    <w:p w:rsidR="00AA5B69" w:rsidRDefault="00AA5B69">
      <w:pPr>
        <w:spacing w:after="120"/>
        <w:ind w:left="1134" w:right="1134"/>
        <w:jc w:val="both"/>
      </w:pPr>
      <w:r>
        <w:t>157.</w:t>
      </w:r>
      <w:r>
        <w:tab/>
        <w:t xml:space="preserve">El Gobierno del Canadá financia diversas iniciativas a nivel comunitario cuyo objeto es proteger a los niños de los delitos previstos en el Protocolo, tanto directa como indirectamente. Por ejemplo, </w:t>
      </w:r>
      <w:smartTag w:uri="urn:schemas-microsoft-com:office:smarttags" w:element="PersonName">
        <w:smartTagPr>
          <w:attr w:name="ProductID" w:val="la Prostitution Awareness"/>
        </w:smartTagPr>
        <w:r>
          <w:t xml:space="preserve">la </w:t>
        </w:r>
        <w:r>
          <w:rPr>
            <w:i/>
          </w:rPr>
          <w:t>Prostitution Awareness</w:t>
        </w:r>
      </w:smartTag>
      <w:r>
        <w:rPr>
          <w:i/>
        </w:rPr>
        <w:t xml:space="preserve"> and Action Foundation de Edmonton</w:t>
      </w:r>
      <w:r>
        <w:t xml:space="preserve"> recibió financiación para realizar actividades en materia de recursos educativos, capacitación y apoyo, a fin de ayudar a las víctimas a abandonar </w:t>
      </w:r>
      <w:smartTag w:uri="urn:schemas-microsoft-com:office:smarttags" w:element="PersonName">
        <w:smartTagPr>
          <w:attr w:name="ProductID" w:val="ponsabilidad.11SeǳԈindirectamenten.11ǺԈgubernamentales.11ƅԈsensibilización Se ƌԌ㺬ヸ佈ミ㹼ヸ"/>
        </w:smartTagPr>
        <w:r>
          <w:t>la prostitución. Se</w:t>
        </w:r>
      </w:smartTag>
      <w:r>
        <w:t xml:space="preserve"> puede consultar más información sobre esta iniciativa en http://www.paafe.org.</w:t>
      </w:r>
    </w:p>
    <w:p w:rsidR="00AA5B69" w:rsidRDefault="00AA5B69">
      <w:pPr>
        <w:spacing w:after="120"/>
        <w:ind w:left="1134" w:right="1134"/>
        <w:jc w:val="both"/>
        <w:rPr>
          <w:rStyle w:val="s1"/>
          <w:color w:val="auto"/>
        </w:rPr>
      </w:pPr>
      <w:r>
        <w:t>158.</w:t>
      </w:r>
      <w:r>
        <w:tab/>
        <w:t xml:space="preserve">El Canadian Centre for Child Protection es una ONG que se ocupa de elaborar programas y hallar soluciones innovadoras para combatir activamente la explotación sexual de los niños. Se encarga de gestionar </w:t>
      </w:r>
      <w:r>
        <w:rPr>
          <w:i/>
        </w:rPr>
        <w:t>Cybertip.ca</w:t>
      </w:r>
      <w:r>
        <w:t xml:space="preserve"> y promueve actividades de educación pública y sensibilización sobre la explotación sexual de los niños. Por ejemplo, </w:t>
      </w:r>
      <w:r>
        <w:rPr>
          <w:i/>
        </w:rPr>
        <w:t>CleanFeed</w:t>
      </w:r>
      <w:r>
        <w:t xml:space="preserve"> es una iniciativa promovida por </w:t>
      </w:r>
      <w:r>
        <w:rPr>
          <w:i/>
        </w:rPr>
        <w:t>Cybertip.ca</w:t>
      </w:r>
      <w:r>
        <w:t xml:space="preserve">, destinada a bloquear el acceso de todos los usuarios a los sitios web que contienen pornografía infantil. Los </w:t>
      </w:r>
      <w:r>
        <w:rPr>
          <w:rStyle w:val="s1"/>
          <w:color w:val="auto"/>
        </w:rPr>
        <w:t>proveedores de servicios de Internet que participan en la iniciativa tienen acceso a la lista de usuarios y pueden conocer el tiempo que dedican los usuarios a esos sitios web.</w:t>
      </w:r>
    </w:p>
    <w:p w:rsidR="00AA5B69" w:rsidRDefault="00AA5B69">
      <w:pPr>
        <w:spacing w:after="120"/>
        <w:ind w:left="1134" w:right="1134"/>
        <w:jc w:val="both"/>
      </w:pPr>
      <w:r>
        <w:rPr>
          <w:rStyle w:val="s1"/>
          <w:color w:val="auto"/>
        </w:rPr>
        <w:t>159.</w:t>
      </w:r>
      <w:r>
        <w:rPr>
          <w:rStyle w:val="s1"/>
          <w:color w:val="auto"/>
        </w:rPr>
        <w:tab/>
      </w:r>
      <w:smartTag w:uri="urn:schemas-microsoft-com:office:smarttags" w:element="PersonName">
        <w:smartTagPr>
          <w:attr w:name="ProductID" w:val="La Canadian Coalition Against"/>
        </w:smartTagPr>
        <w:r>
          <w:rPr>
            <w:rStyle w:val="s1"/>
            <w:color w:val="auto"/>
          </w:rPr>
          <w:t xml:space="preserve">La Canadian </w:t>
        </w:r>
        <w:r>
          <w:t>Coalition Against</w:t>
        </w:r>
      </w:smartTag>
      <w:r>
        <w:t xml:space="preserve"> Internet Child Exploitation constituye un ejemplo de asociación entre el Gobierno y la sociedad civil. Este grupo pretende eliminar la pornografía infantil en Internet mediante la ejecución de una estrategia nacional eficaz. Se constituyó en 2004 y es un foro multisectorial voluntario, compuesto por representantes de sectores empresariales (sobre todo proveedores de servicios de Internet) y partes interesadas gubernamentales y no gubernamentales, y de organismos encargados de hacer cumplir la ley.</w:t>
      </w:r>
    </w:p>
    <w:p w:rsidR="00AA5B69" w:rsidRDefault="00AA5B69">
      <w:pPr>
        <w:spacing w:after="120"/>
        <w:ind w:left="1134" w:right="1134"/>
        <w:jc w:val="both"/>
      </w:pPr>
      <w:r>
        <w:t>160.</w:t>
      </w:r>
      <w:r>
        <w:tab/>
        <w:t>Todos los gobiernos provinciales y territoriales colaboran con la sociedad civil a fin de hacer efectivas las disposiciones del Protocolo. En Saskatchewan, por ejemplo, la sociedad civil desempeña una importante función en la denuncia de la explotación sexual de niños ante las autoridades competentes. Los niños que han sido víctimas de abusos sexuales o de explotación sexual son remitidos a los servicios sociales por la comunidad, la policía, otros profesionales, así como diversos organismos y servicios que prestan servicios a los niños. Las organizaciones aborígenes y comunitarias también son importantes en la labor de divulgación comunitaria y en la prestación de servicios de prevención e intervención de urgencia.</w:t>
      </w:r>
    </w:p>
    <w:p w:rsidR="00AA5B69" w:rsidRDefault="00AA5B69">
      <w:pPr>
        <w:spacing w:after="120"/>
        <w:ind w:left="1134" w:right="1134"/>
        <w:jc w:val="both"/>
      </w:pPr>
      <w:r>
        <w:t>161.</w:t>
      </w:r>
      <w:r>
        <w:tab/>
        <w:t>En Manitoba, los organismos comunitarios, como miembros del Equipo intergubernamental de ejecución, tienen la responsabilidad de llevar a cabo las iniciativas en el marco de la estrategia provincial.</w:t>
      </w:r>
    </w:p>
    <w:p w:rsidR="00AA5B69" w:rsidRDefault="00AA5B69">
      <w:pPr>
        <w:spacing w:after="120"/>
        <w:ind w:left="1134" w:right="1134"/>
        <w:jc w:val="both"/>
      </w:pPr>
      <w:r>
        <w:t>162.</w:t>
      </w:r>
      <w:r>
        <w:tab/>
        <w:t xml:space="preserve">En Ontario, algunos grupos interesados han adoptado acciones colectivas para sensibilizar a la población y contribuir a eliminar la explotación sexual comercial. Por ejemplo, en septiembre de 2006, los miembros de </w:t>
      </w:r>
      <w:smartTag w:uri="urn:schemas-microsoft-com:office:smarttags" w:element="PersonName">
        <w:smartTagPr>
          <w:attr w:name="ProductID" w:val="la Sexual Exploitation Education"/>
        </w:smartTagPr>
        <w:r>
          <w:t xml:space="preserve">la </w:t>
        </w:r>
        <w:r>
          <w:rPr>
            <w:i/>
          </w:rPr>
          <w:t>Sexual Exploitation Education</w:t>
        </w:r>
      </w:smartTag>
      <w:r>
        <w:rPr>
          <w:i/>
        </w:rPr>
        <w:t xml:space="preserve"> and Awareness Coalition</w:t>
      </w:r>
      <w:r>
        <w:t xml:space="preserve"> de Toronto iniciaron una campaña con carteles para sensibilizar sobre la prostitución infantil y prestar ayuda a las víctimas.</w:t>
      </w:r>
    </w:p>
    <w:p w:rsidR="00AA5B69" w:rsidRDefault="00AA5B69">
      <w:pPr>
        <w:spacing w:after="120"/>
        <w:ind w:left="1134" w:right="1134"/>
        <w:jc w:val="both"/>
      </w:pPr>
      <w:r>
        <w:t>163.</w:t>
      </w:r>
      <w:r>
        <w:tab/>
        <w:t>En Quebec, varias organizaciones comunitarias se ocupan, en el marco de su labor general, de cuestiones abarcadas en el Protocolo, en particular en la esfera de la prevención, la intervención y la defensa de los derechos:</w:t>
      </w:r>
    </w:p>
    <w:p w:rsidR="00AA5B69" w:rsidRDefault="00AA5B69">
      <w:pPr>
        <w:pStyle w:val="Bullet1G"/>
      </w:pPr>
      <w:r>
        <w:t>Uno de los proveedores de servicios de Internet más importantes, Vidéotron, puso en marcha el 20 de junio de 2007 una campaña de sensibilización y educación pública en la red, titulada "Vigilancia", que proporciona herramientas a los usuarios jóvenes de Internet y a sus progenitores.</w:t>
      </w:r>
    </w:p>
    <w:p w:rsidR="00AA5B69" w:rsidRDefault="00AA5B69">
      <w:pPr>
        <w:pStyle w:val="Bullet1G"/>
      </w:pPr>
      <w:r>
        <w:t>Los 35 Centros de ayuda y de lucha contra las agresiones de carácter sexual y las organizaciones ESPACE tienen la misión de prevenir todo tipo de agresiones contra los niños.</w:t>
      </w:r>
    </w:p>
    <w:p w:rsidR="00AA5B69" w:rsidRDefault="00AA5B69">
      <w:pPr>
        <w:pStyle w:val="Bullet1G"/>
      </w:pPr>
      <w:smartTag w:uri="urn:schemas-microsoft-com:office:smarttags" w:element="PersonName">
        <w:smartTagPr>
          <w:attr w:name="ProductID" w:val="la Oficina Internacional"/>
        </w:smartTagPr>
        <w:r>
          <w:t>La Oficina Internacional</w:t>
        </w:r>
      </w:smartTag>
      <w:r>
        <w:t xml:space="preserve"> de los Derechos del Niño, una ONG de carácter internacional, está elaborando un plan de acción estratégico para la protección de los niños víctimas de la trata, y el gobierno de Quebec participa en ese proyecto.</w:t>
      </w:r>
    </w:p>
    <w:p w:rsidR="00AA5B69" w:rsidRDefault="00AA5B69">
      <w:pPr>
        <w:spacing w:after="120"/>
        <w:ind w:left="1134" w:right="1134"/>
        <w:jc w:val="both"/>
      </w:pPr>
      <w:r>
        <w:t>164.</w:t>
      </w:r>
      <w:r>
        <w:tab/>
        <w:t>Diversas organizaciones no gubernamentales de la Isla del Príncipe Eduardo realizan actividades de sensibilización e información y, en algunas ocasiones, de orientación, entre las que figuran los ejemplos siguientes:</w:t>
      </w:r>
    </w:p>
    <w:p w:rsidR="00AA5B69" w:rsidRDefault="00AA5B69">
      <w:pPr>
        <w:pStyle w:val="Bullet1G"/>
      </w:pPr>
      <w:r>
        <w:t>La Red de mujeres de la Isla del Príncipe Eduardo llevó a cabo diversos proyectos sobre salud sexual de los jóvenes, haciendo hincapié en la sexualidad saludable y en la prevención de la explotación y la victimización sexual. Se puede consultar más información y varios informes en www.wnpei.org.</w:t>
      </w:r>
    </w:p>
    <w:p w:rsidR="00AA5B69" w:rsidRDefault="00AA5B69">
      <w:pPr>
        <w:pStyle w:val="Bullet1G"/>
      </w:pPr>
      <w:r>
        <w:rPr>
          <w:i/>
        </w:rPr>
        <w:t>Child Find PEI Inc</w:t>
      </w:r>
      <w:r>
        <w:t>. ha publicado una guía titulada "Hablemos antes de que te vayas" (</w:t>
      </w:r>
      <w:r>
        <w:rPr>
          <w:i/>
        </w:rPr>
        <w:t>Talk Before You Run</w:t>
      </w:r>
      <w:r>
        <w:t>) destinada a los casos de adolescentes que abandonan sus hogares.</w:t>
      </w:r>
    </w:p>
    <w:p w:rsidR="00AA5B69" w:rsidRDefault="00AA5B69">
      <w:pPr>
        <w:pStyle w:val="Bullet1G"/>
      </w:pPr>
      <w:r>
        <w:t xml:space="preserve">El </w:t>
      </w:r>
      <w:r>
        <w:rPr>
          <w:i/>
        </w:rPr>
        <w:t>Survivor Advocacy Group for Empowerment</w:t>
      </w:r>
      <w:r>
        <w:t xml:space="preserve"> se basa en los conocimientos de los adultos que han pasado por esa experiencia para elaborar estrategias de prevención del abuso sexual de los niños.</w:t>
      </w:r>
    </w:p>
    <w:p w:rsidR="00AA5B69" w:rsidRDefault="00AA5B69">
      <w:pPr>
        <w:pStyle w:val="Bullet1G"/>
      </w:pPr>
      <w:r>
        <w:t xml:space="preserve">El </w:t>
      </w:r>
      <w:r>
        <w:rPr>
          <w:i/>
        </w:rPr>
        <w:t>PEI Rape and Sexual Assault Crisis Centre</w:t>
      </w:r>
      <w:r>
        <w:t xml:space="preserve"> de la Isla del Príncipe Eduardo proporciona orientación y servicios jurídicos a las víctimas de agresiones sexuales y de abuso sexual de niños.</w:t>
      </w:r>
    </w:p>
    <w:p w:rsidR="00AA5B69" w:rsidRDefault="00AA5B69">
      <w:pPr>
        <w:spacing w:after="120"/>
        <w:ind w:left="1134" w:right="1134"/>
        <w:jc w:val="both"/>
      </w:pPr>
      <w:r>
        <w:t>165.</w:t>
      </w:r>
      <w:r>
        <w:tab/>
        <w:t>En todos los territorios y provincias se alienta al público en general a informar sobre cualquier incidente que haga suponer que un niño es, o ha sido, víctima de explotación sexual. Tanto el Gobierno federal como los gobiernos de las provincias y los territorios disponen de legislación para proteger a aquellas personas que denuncien de buena fe casos de malos tratos contra un niño.</w:t>
      </w:r>
    </w:p>
    <w:p w:rsidR="00AA5B69" w:rsidRDefault="00AA5B69">
      <w:pPr>
        <w:pStyle w:val="HChG"/>
        <w:spacing w:after="0"/>
      </w:pPr>
      <w:r>
        <w:tab/>
      </w:r>
      <w:r>
        <w:tab/>
        <w:t>Parte V</w:t>
      </w:r>
    </w:p>
    <w:p w:rsidR="00AA5B69" w:rsidRDefault="00AA5B69">
      <w:pPr>
        <w:pStyle w:val="HChG"/>
        <w:spacing w:before="0"/>
      </w:pPr>
      <w:r>
        <w:tab/>
      </w:r>
      <w:r>
        <w:tab/>
        <w:t>Prohibición y asuntos conexos</w:t>
      </w:r>
    </w:p>
    <w:p w:rsidR="00AA5B69" w:rsidRDefault="00AA5B69">
      <w:pPr>
        <w:pStyle w:val="H1G"/>
      </w:pPr>
      <w:r>
        <w:tab/>
      </w:r>
      <w:r>
        <w:tab/>
        <w:t>Medidas punitivas</w:t>
      </w:r>
    </w:p>
    <w:p w:rsidR="00AA5B69" w:rsidRDefault="00AA5B69">
      <w:pPr>
        <w:spacing w:after="120"/>
        <w:ind w:left="1134" w:right="1134"/>
        <w:jc w:val="both"/>
      </w:pPr>
      <w:r>
        <w:t>166.</w:t>
      </w:r>
      <w:r>
        <w:tab/>
        <w:t>Además de las prohibiciones penales que se han señalado en la sección correspondiente a las medidas generales de aplicación, en el Código Penal del Canadá también se prevén amplios regímenes de decomiso penal, que hacen referencia tanto al producto del delito, que incluye una disposición de inversión de la carga de la prueba, como al decomiso de los bienes relacionados con el delito (por ejemplo, los bienes utilizados para cometer un delito).</w:t>
      </w:r>
    </w:p>
    <w:p w:rsidR="00AA5B69" w:rsidRDefault="00AA5B69">
      <w:pPr>
        <w:spacing w:after="120"/>
        <w:ind w:left="1134" w:right="1134"/>
        <w:jc w:val="both"/>
      </w:pPr>
      <w:r>
        <w:t>167.</w:t>
      </w:r>
      <w:r>
        <w:tab/>
        <w:t xml:space="preserve">En </w:t>
      </w:r>
      <w:smartTag w:uri="urn:schemas-microsoft-com:office:smarttags" w:element="PersonName">
        <w:smartTagPr>
          <w:attr w:name="ProductID" w:val="la Parte XII.2"/>
        </w:smartTagPr>
        <w:r>
          <w:t>la parte XII.2</w:t>
        </w:r>
      </w:smartTag>
      <w:r>
        <w:t xml:space="preserve"> del Código Penal se prevé el decomiso del "producto del delito" como parte de la condena, a petición de la Corona y tras la condena por un delito tipificado (entre los que figuran los delitos de utilización de niños en la pornografía, la prostitución infantil y la trata de personas). Por "producto del delito" se entiende, en términos generales, "todo bien, beneficio o ventaja, dentro o fuera del Canadá, obtenido o derivado directa o indirectamente de la comisión en el Canadá de un delito tipificado, o de la comisión u omisión de un acto que, de haber ocurrido en el Canadá, habría constituido un delito tipificado. Las amplias disposiciones de </w:t>
      </w:r>
      <w:smartTag w:uri="urn:schemas-microsoft-com:office:smarttags" w:element="PersonName">
        <w:smartTagPr>
          <w:attr w:name="ProductID" w:val="la Parte XII.2"/>
        </w:smartTagPr>
        <w:r>
          <w:t>la parte XII.2</w:t>
        </w:r>
      </w:smartTag>
      <w:r>
        <w:t xml:space="preserve"> permiten asimismo el decomiso o el embargo preventivo de los bienes mientras se sustancia el proceso penal. En los procedimientos y facultades especiales que figuran en </w:t>
      </w:r>
      <w:smartTag w:uri="urn:schemas-microsoft-com:office:smarttags" w:element="PersonName">
        <w:smartTagPr>
          <w:attr w:name="ProductID" w:val="la parte XV"/>
        </w:smartTagPr>
        <w:r>
          <w:t>la parte XV</w:t>
        </w:r>
      </w:smartTag>
      <w:r>
        <w:t xml:space="preserve"> del Código Penal se estipula el decomiso de los bienes utilizados para cometer delitos y otros bienes relacionados con el delito.</w:t>
      </w:r>
    </w:p>
    <w:p w:rsidR="00AA5B69" w:rsidRDefault="00AA5B69">
      <w:pPr>
        <w:spacing w:after="120"/>
        <w:ind w:left="1134" w:right="1134"/>
        <w:jc w:val="both"/>
      </w:pPr>
      <w:r>
        <w:t>168.</w:t>
      </w:r>
      <w:r>
        <w:tab/>
        <w:t>En el Canadá, algunos territorios y provincias han promulgado leyes civiles sobre el decomiso, que permiten confiscar los bienes obtenidos mediante actividades ilícitas e iniciar procedimientos para decomisar esos bienes en esas jurisdicciones. La definición de "bienes obtenidos mediante actividades ilícitas" puede ser amplia, con objeto de incluir los bienes adquiridos, directa o indirectamente, en todo o en parte, como resultado de una actividad ilícita.</w:t>
      </w:r>
    </w:p>
    <w:p w:rsidR="00AA5B69" w:rsidRDefault="00AA5B69">
      <w:pPr>
        <w:spacing w:after="120"/>
        <w:ind w:left="1134" w:right="1134"/>
        <w:jc w:val="both"/>
      </w:pPr>
      <w:r>
        <w:t>169.</w:t>
      </w:r>
      <w:r>
        <w:tab/>
        <w:t>Por ejemplo, en Columbia Británica, los bienes obtenidos mediante actividades ilícitas son objeto de decomiso por la provincia en virtud de las disposiciones de la Ley de confiscación civil, que puede abarcar las tierras y los locales utilizados para cometer el delito. La definición de "actividad ilícita" es amplia e incluye los delitos cometidos fuera de la provincia si la actividad es ilícita en Columbia Británica.</w:t>
      </w:r>
    </w:p>
    <w:p w:rsidR="00AA5B69" w:rsidRDefault="00AA5B69">
      <w:pPr>
        <w:spacing w:after="120"/>
        <w:ind w:left="1134" w:right="1134"/>
        <w:jc w:val="both"/>
      </w:pPr>
      <w:r>
        <w:t>170.</w:t>
      </w:r>
      <w:r>
        <w:tab/>
        <w:t>La Ley de seguridad vial de Saskatchewan contiene una disposición similar y, además, tipifica como delito el hecho de conducir o aparcar un vehículo, de forma reiterada y sin justificación legítima, en una zona frecuentada por trabajadores de la industria del sexo. Se ha proporcionado apoyo financiero para obtener un programa de identificación y disuasión de consumidores de la industria del sexo, que consiste en una base de datos que recopila investigaciones, permite reunir información sobre las personas que tienen ese comportamiento, y hacer un seguimiento de los trabajadores de la industria del sexo. Como ejemplo de la eficacia de esta política en Saskatchewan, cabe mencionar que, desde el inicio del programa hasta el 13 de agosto de 2007, se confiscaron 455 vehículos, y 15 de ellos estaban relacionados con niños víctimas.</w:t>
      </w:r>
    </w:p>
    <w:p w:rsidR="00AA5B69" w:rsidRDefault="00AA5B69">
      <w:pPr>
        <w:spacing w:after="120"/>
        <w:ind w:left="1134" w:right="1134"/>
        <w:jc w:val="both"/>
      </w:pPr>
      <w:r>
        <w:t>171.</w:t>
      </w:r>
      <w:r>
        <w:tab/>
        <w:t>En la Ley de tránsito vial de Manitoba se estipula que los vehículos utilizados para la práctica de la prostitución o delitos conexos pueden ser decomisados por la policía, e incautados o confiscados por el gobierno en caso de declaración de culpabilidad.</w:t>
      </w:r>
    </w:p>
    <w:p w:rsidR="00AA5B69" w:rsidRDefault="00AA5B69">
      <w:pPr>
        <w:spacing w:after="120"/>
        <w:ind w:left="1134" w:right="1134"/>
        <w:jc w:val="both"/>
      </w:pPr>
      <w:r>
        <w:t>172.</w:t>
      </w:r>
      <w:r>
        <w:tab/>
        <w:t>Además, en algunos territorios y provincias se han promulgado leyes sobre la seguridad en las comunidades, en las que se concede a las autoridades, entre otras cosas, la facultad de clausurar establecimientos comerciales o residenciales, impidiendo su utilización u ocupación, en virtud de ordenanzas de seguridad comunitaria, lo que abarca los casos de prostitución.</w:t>
      </w:r>
    </w:p>
    <w:p w:rsidR="00AA5B69" w:rsidRDefault="00AA5B69">
      <w:pPr>
        <w:spacing w:after="120"/>
        <w:ind w:left="1134" w:right="1134"/>
        <w:jc w:val="both"/>
      </w:pPr>
      <w:r>
        <w:t>173.</w:t>
      </w:r>
      <w:r>
        <w:tab/>
        <w:t>En Manitoba, la Ley de comunidades y barrios más seguros contiene medidas específicas sobre los bienes inmuebles que afectan negativamente a la seguridad de los barrios, debido a que en ellos se realizan actividades relacionadas con las drogas, la prostitución, la inhalación de sustancias solventes o la venta ilegal de bebidas alcohólicas. También contiene disposiciones sobre los bienes inmuebles en los que los niños son víctimas de abusos sexuales, explotación sexual o prácticas conexas. En virtud de esta Ley, el propietario es responsable de asegurar que esas actividades se interrumpan y de que los residentes en la zona dejen de estar expuestos a los peligros que acarrean.</w:t>
      </w:r>
    </w:p>
    <w:p w:rsidR="00AA5B69" w:rsidRDefault="00AA5B69">
      <w:pPr>
        <w:spacing w:after="120"/>
        <w:ind w:left="1134" w:right="1134"/>
        <w:jc w:val="both"/>
      </w:pPr>
      <w:r>
        <w:t>174.</w:t>
      </w:r>
      <w:r>
        <w:tab/>
        <w:t>La Ley de comunidades y barrios más seguros de Yukón permite adoptar medidas con respecto a los bienes inmuebles utilizados en la prostitución y actividades conexas. Entre ellas figura la rescisión del contrato de arrendamiento de esa propiedad, así como la expedición de una ordenanza de seguridad comunitaria por el Tribunal Supremo de Yukón, que puede obligar al propietario a abandonar la propiedad durante un período máximo de 90 días.</w:t>
      </w:r>
    </w:p>
    <w:p w:rsidR="00AA5B69" w:rsidRDefault="00AA5B69">
      <w:pPr>
        <w:pStyle w:val="H1G"/>
      </w:pPr>
      <w:r>
        <w:tab/>
      </w:r>
      <w:r>
        <w:tab/>
        <w:t>La adopción de niños y la prevención de la trata de niños</w:t>
      </w:r>
    </w:p>
    <w:p w:rsidR="00AA5B69" w:rsidRDefault="00AA5B69">
      <w:pPr>
        <w:spacing w:after="240"/>
        <w:ind w:left="1134" w:right="1134"/>
        <w:jc w:val="both"/>
      </w:pPr>
      <w:r>
        <w:t>175.</w:t>
      </w:r>
      <w:r>
        <w:tab/>
        <w:t>Las leyes en materia de adopción de niños, que se resumen en el cuadro que figura a continuación, corresponden a la jurisdicción de las provincias y los territorios. En todos ellos hay leyes sobre la adopción que prohíben la venta de niños y la aceptación o el ofrecimiento de pago alguno por los niños. En las leyes de todas las jurisdicciones está prohibida la publicidad de la adopción y la coacción a las mujeres embarazadas para que den sus hijos en adopción. Asimismo, en las leyes se requiere el permiso explícito de uno o de ambos progenitores, o del tutor legal, para que un niño pueda ser adoptado.</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1325"/>
        <w:gridCol w:w="1608"/>
        <w:gridCol w:w="4437"/>
      </w:tblGrid>
      <w:tr w:rsidR="00AA5B69" w:rsidRPr="002954E0">
        <w:tblPrEx>
          <w:tblCellMar>
            <w:top w:w="0" w:type="dxa"/>
            <w:bottom w:w="0" w:type="dxa"/>
          </w:tblCellMar>
        </w:tblPrEx>
        <w:trPr>
          <w:cantSplit/>
          <w:tblHeader/>
        </w:trPr>
        <w:tc>
          <w:tcPr>
            <w:tcW w:w="1325" w:type="dxa"/>
            <w:tcBorders>
              <w:top w:val="single" w:sz="4" w:space="0" w:color="auto"/>
              <w:bottom w:val="single" w:sz="12" w:space="0" w:color="auto"/>
            </w:tcBorders>
            <w:shd w:val="clear" w:color="auto" w:fill="auto"/>
            <w:vAlign w:val="bottom"/>
          </w:tcPr>
          <w:p w:rsidR="00AA5B69" w:rsidRPr="002954E0" w:rsidRDefault="00AA5B69">
            <w:pPr>
              <w:spacing w:before="80" w:after="80" w:line="200" w:lineRule="exact"/>
              <w:ind w:right="113"/>
              <w:rPr>
                <w:i/>
                <w:sz w:val="16"/>
                <w:szCs w:val="16"/>
              </w:rPr>
            </w:pPr>
            <w:r w:rsidRPr="002954E0">
              <w:rPr>
                <w:i/>
                <w:sz w:val="16"/>
                <w:szCs w:val="16"/>
              </w:rPr>
              <w:t>Provincia o territorio</w:t>
            </w:r>
          </w:p>
        </w:tc>
        <w:tc>
          <w:tcPr>
            <w:tcW w:w="1608" w:type="dxa"/>
            <w:tcBorders>
              <w:top w:val="single" w:sz="4" w:space="0" w:color="auto"/>
              <w:bottom w:val="single" w:sz="12" w:space="0" w:color="auto"/>
            </w:tcBorders>
            <w:shd w:val="clear" w:color="auto" w:fill="auto"/>
            <w:vAlign w:val="bottom"/>
          </w:tcPr>
          <w:p w:rsidR="00AA5B69" w:rsidRPr="002954E0" w:rsidRDefault="00AA5B69">
            <w:pPr>
              <w:spacing w:before="80" w:after="80" w:line="200" w:lineRule="exact"/>
              <w:ind w:right="113"/>
              <w:rPr>
                <w:i/>
                <w:sz w:val="16"/>
                <w:szCs w:val="16"/>
              </w:rPr>
            </w:pPr>
            <w:r w:rsidRPr="002954E0">
              <w:rPr>
                <w:i/>
                <w:sz w:val="16"/>
                <w:szCs w:val="16"/>
              </w:rPr>
              <w:t xml:space="preserve">Legislación sobre la protección del niño </w:t>
            </w:r>
          </w:p>
        </w:tc>
        <w:tc>
          <w:tcPr>
            <w:tcW w:w="4437" w:type="dxa"/>
            <w:tcBorders>
              <w:top w:val="single" w:sz="4" w:space="0" w:color="auto"/>
              <w:bottom w:val="single" w:sz="12" w:space="0" w:color="auto"/>
            </w:tcBorders>
            <w:shd w:val="clear" w:color="auto" w:fill="auto"/>
            <w:vAlign w:val="bottom"/>
          </w:tcPr>
          <w:p w:rsidR="00AA5B69" w:rsidRPr="002954E0" w:rsidRDefault="00AA5B69">
            <w:pPr>
              <w:spacing w:before="80" w:after="80" w:line="200" w:lineRule="exact"/>
              <w:ind w:right="113"/>
              <w:rPr>
                <w:i/>
                <w:sz w:val="16"/>
                <w:szCs w:val="16"/>
              </w:rPr>
            </w:pPr>
            <w:r w:rsidRPr="002954E0">
              <w:rPr>
                <w:i/>
                <w:sz w:val="16"/>
                <w:szCs w:val="16"/>
              </w:rPr>
              <w:t>Resumen de las penas</w:t>
            </w:r>
          </w:p>
        </w:tc>
      </w:tr>
      <w:tr w:rsidR="00AA5B69" w:rsidRPr="002954E0">
        <w:tblPrEx>
          <w:tblCellMar>
            <w:top w:w="0" w:type="dxa"/>
            <w:bottom w:w="0" w:type="dxa"/>
          </w:tblCellMar>
        </w:tblPrEx>
        <w:trPr>
          <w:cantSplit/>
          <w:trHeight w:hRule="exact" w:val="113"/>
          <w:tblHeader/>
        </w:trPr>
        <w:tc>
          <w:tcPr>
            <w:tcW w:w="1325" w:type="dxa"/>
            <w:tcBorders>
              <w:top w:val="single" w:sz="12" w:space="0" w:color="auto"/>
              <w:bottom w:val="nil"/>
            </w:tcBorders>
            <w:shd w:val="clear" w:color="auto" w:fill="auto"/>
          </w:tcPr>
          <w:p w:rsidR="00AA5B69" w:rsidRPr="002954E0" w:rsidRDefault="00AA5B69">
            <w:pPr>
              <w:spacing w:before="40" w:after="120"/>
              <w:ind w:right="113"/>
            </w:pPr>
          </w:p>
        </w:tc>
        <w:tc>
          <w:tcPr>
            <w:tcW w:w="1608" w:type="dxa"/>
            <w:tcBorders>
              <w:top w:val="single" w:sz="12" w:space="0" w:color="auto"/>
              <w:bottom w:val="nil"/>
            </w:tcBorders>
            <w:shd w:val="clear" w:color="auto" w:fill="auto"/>
          </w:tcPr>
          <w:p w:rsidR="00AA5B69" w:rsidRPr="002954E0" w:rsidRDefault="00AA5B69">
            <w:pPr>
              <w:spacing w:before="40" w:after="120"/>
              <w:ind w:right="113"/>
            </w:pPr>
          </w:p>
        </w:tc>
        <w:tc>
          <w:tcPr>
            <w:tcW w:w="4437" w:type="dxa"/>
            <w:tcBorders>
              <w:top w:val="single" w:sz="12" w:space="0" w:color="auto"/>
              <w:bottom w:val="nil"/>
            </w:tcBorders>
            <w:shd w:val="clear" w:color="auto" w:fill="auto"/>
          </w:tcPr>
          <w:p w:rsidR="00AA5B69" w:rsidRPr="002954E0" w:rsidRDefault="00AA5B69">
            <w:pPr>
              <w:spacing w:before="40" w:after="120"/>
              <w:ind w:right="113"/>
            </w:pPr>
          </w:p>
        </w:tc>
      </w:tr>
      <w:tr w:rsidR="00AA5B69" w:rsidRPr="002954E0">
        <w:tblPrEx>
          <w:tblCellMar>
            <w:top w:w="0" w:type="dxa"/>
            <w:bottom w:w="0" w:type="dxa"/>
          </w:tblCellMar>
        </w:tblPrEx>
        <w:trPr>
          <w:cantSplit/>
        </w:trPr>
        <w:tc>
          <w:tcPr>
            <w:tcW w:w="1325" w:type="dxa"/>
            <w:tcBorders>
              <w:top w:val="nil"/>
              <w:bottom w:val="nil"/>
            </w:tcBorders>
            <w:shd w:val="clear" w:color="auto" w:fill="auto"/>
          </w:tcPr>
          <w:p w:rsidR="00AA5B69" w:rsidRPr="002954E0" w:rsidRDefault="00AA5B69">
            <w:pPr>
              <w:spacing w:before="40" w:after="120"/>
              <w:ind w:right="113"/>
            </w:pPr>
            <w:r w:rsidRPr="002954E0">
              <w:t>Columbia Británica</w:t>
            </w:r>
          </w:p>
        </w:tc>
        <w:tc>
          <w:tcPr>
            <w:tcW w:w="1608" w:type="dxa"/>
            <w:tcBorders>
              <w:top w:val="nil"/>
              <w:bottom w:val="nil"/>
            </w:tcBorders>
            <w:shd w:val="clear" w:color="auto" w:fill="auto"/>
          </w:tcPr>
          <w:p w:rsidR="00AA5B69" w:rsidRPr="002954E0" w:rsidRDefault="00AA5B69">
            <w:pPr>
              <w:spacing w:before="40" w:after="120"/>
              <w:ind w:right="113"/>
            </w:pPr>
            <w:r w:rsidRPr="002954E0">
              <w:t>Ley sobre la adopción y disposiciones sobre la adopción</w:t>
            </w:r>
          </w:p>
        </w:tc>
        <w:tc>
          <w:tcPr>
            <w:tcW w:w="4437" w:type="dxa"/>
            <w:tcBorders>
              <w:top w:val="nil"/>
              <w:bottom w:val="nil"/>
            </w:tcBorders>
            <w:shd w:val="clear" w:color="auto" w:fill="auto"/>
          </w:tcPr>
          <w:p w:rsidR="00AA5B69" w:rsidRPr="002954E0" w:rsidRDefault="00AA5B69">
            <w:pPr>
              <w:spacing w:before="40" w:after="120"/>
              <w:ind w:right="113"/>
            </w:pPr>
            <w:r w:rsidRPr="002954E0">
              <w:t>Artículo 84: una multa no superior a 10.000 dólares, seis meses de prisión, o ambas penas.</w:t>
            </w:r>
          </w:p>
        </w:tc>
      </w:tr>
      <w:tr w:rsidR="00AA5B69" w:rsidRPr="002954E0">
        <w:tblPrEx>
          <w:tblCellMar>
            <w:top w:w="0" w:type="dxa"/>
            <w:bottom w:w="0" w:type="dxa"/>
          </w:tblCellMar>
        </w:tblPrEx>
        <w:trPr>
          <w:cantSplit/>
        </w:trPr>
        <w:tc>
          <w:tcPr>
            <w:tcW w:w="1325" w:type="dxa"/>
            <w:tcBorders>
              <w:top w:val="nil"/>
              <w:bottom w:val="nil"/>
            </w:tcBorders>
            <w:shd w:val="clear" w:color="auto" w:fill="auto"/>
          </w:tcPr>
          <w:p w:rsidR="00AA5B69" w:rsidRPr="002954E0" w:rsidRDefault="00AA5B69">
            <w:pPr>
              <w:spacing w:before="40" w:after="120"/>
              <w:ind w:right="113"/>
            </w:pPr>
            <w:r w:rsidRPr="002954E0">
              <w:t>Alberta</w:t>
            </w:r>
          </w:p>
        </w:tc>
        <w:tc>
          <w:tcPr>
            <w:tcW w:w="1608" w:type="dxa"/>
            <w:tcBorders>
              <w:top w:val="nil"/>
              <w:bottom w:val="nil"/>
            </w:tcBorders>
            <w:shd w:val="clear" w:color="auto" w:fill="auto"/>
          </w:tcPr>
          <w:p w:rsidR="00AA5B69" w:rsidRPr="002954E0" w:rsidRDefault="00AA5B69">
            <w:pPr>
              <w:spacing w:before="40" w:after="120"/>
              <w:ind w:right="113"/>
            </w:pPr>
            <w:r w:rsidRPr="002954E0">
              <w:t>Ley de protección de la infancia, la juventud y la familia</w:t>
            </w:r>
          </w:p>
        </w:tc>
        <w:tc>
          <w:tcPr>
            <w:tcW w:w="4437" w:type="dxa"/>
            <w:tcBorders>
              <w:top w:val="nil"/>
              <w:bottom w:val="nil"/>
            </w:tcBorders>
            <w:shd w:val="clear" w:color="auto" w:fill="auto"/>
          </w:tcPr>
          <w:p w:rsidR="00AA5B69" w:rsidRPr="002954E0" w:rsidRDefault="00AA5B69">
            <w:pPr>
              <w:spacing w:before="40" w:after="120"/>
              <w:ind w:right="113"/>
            </w:pPr>
            <w:r w:rsidRPr="002954E0">
              <w:t>Artículo 86, párrafo 1): una multa no superior a 10.000 dólares y, en caso de falta de pago, una pena máxima de seis meses de prisión.</w:t>
            </w:r>
          </w:p>
        </w:tc>
      </w:tr>
      <w:tr w:rsidR="00AA5B69" w:rsidRPr="002954E0">
        <w:tblPrEx>
          <w:tblCellMar>
            <w:top w:w="0" w:type="dxa"/>
            <w:bottom w:w="0" w:type="dxa"/>
          </w:tblCellMar>
        </w:tblPrEx>
        <w:trPr>
          <w:cantSplit/>
        </w:trPr>
        <w:tc>
          <w:tcPr>
            <w:tcW w:w="1325" w:type="dxa"/>
            <w:tcBorders>
              <w:top w:val="nil"/>
              <w:bottom w:val="nil"/>
            </w:tcBorders>
            <w:shd w:val="clear" w:color="auto" w:fill="auto"/>
          </w:tcPr>
          <w:p w:rsidR="00AA5B69" w:rsidRPr="002954E0" w:rsidRDefault="00AA5B69">
            <w:pPr>
              <w:spacing w:before="40" w:after="120"/>
              <w:ind w:right="113"/>
            </w:pPr>
            <w:r w:rsidRPr="002954E0">
              <w:t>Saskatchewan</w:t>
            </w:r>
          </w:p>
        </w:tc>
        <w:tc>
          <w:tcPr>
            <w:tcW w:w="1608" w:type="dxa"/>
            <w:tcBorders>
              <w:top w:val="nil"/>
              <w:bottom w:val="nil"/>
            </w:tcBorders>
            <w:shd w:val="clear" w:color="auto" w:fill="auto"/>
          </w:tcPr>
          <w:p w:rsidR="00AA5B69" w:rsidRPr="002954E0" w:rsidRDefault="00AA5B69">
            <w:pPr>
              <w:spacing w:before="40" w:after="120"/>
              <w:ind w:right="113"/>
            </w:pPr>
            <w:r w:rsidRPr="002954E0">
              <w:t>Ley sobre la adopción, 1998</w:t>
            </w:r>
          </w:p>
        </w:tc>
        <w:tc>
          <w:tcPr>
            <w:tcW w:w="4437" w:type="dxa"/>
            <w:tcBorders>
              <w:top w:val="nil"/>
              <w:bottom w:val="nil"/>
            </w:tcBorders>
            <w:shd w:val="clear" w:color="auto" w:fill="auto"/>
          </w:tcPr>
          <w:p w:rsidR="00AA5B69" w:rsidRPr="002954E0" w:rsidRDefault="00AA5B69">
            <w:pPr>
              <w:spacing w:before="40" w:after="120"/>
              <w:ind w:right="113"/>
            </w:pPr>
            <w:r w:rsidRPr="002954E0">
              <w:t>Artículo 35, párrafo 1): una multa no superior a 10.000 dólares, una pena máxima de prisión de un año, o ambas penas.</w:t>
            </w:r>
          </w:p>
        </w:tc>
      </w:tr>
      <w:tr w:rsidR="00AA5B69" w:rsidRPr="002954E0">
        <w:tblPrEx>
          <w:tblCellMar>
            <w:top w:w="0" w:type="dxa"/>
            <w:bottom w:w="0" w:type="dxa"/>
          </w:tblCellMar>
        </w:tblPrEx>
        <w:trPr>
          <w:cantSplit/>
          <w:trHeight w:val="1850"/>
        </w:trPr>
        <w:tc>
          <w:tcPr>
            <w:tcW w:w="1325" w:type="dxa"/>
            <w:tcBorders>
              <w:top w:val="nil"/>
              <w:bottom w:val="nil"/>
            </w:tcBorders>
            <w:shd w:val="clear" w:color="auto" w:fill="auto"/>
          </w:tcPr>
          <w:p w:rsidR="00AA5B69" w:rsidRPr="002954E0" w:rsidRDefault="00AA5B69">
            <w:pPr>
              <w:spacing w:before="40" w:after="120"/>
              <w:ind w:right="113"/>
            </w:pPr>
            <w:r w:rsidRPr="002954E0">
              <w:t>Manitoba</w:t>
            </w:r>
          </w:p>
        </w:tc>
        <w:tc>
          <w:tcPr>
            <w:tcW w:w="1608" w:type="dxa"/>
            <w:tcBorders>
              <w:top w:val="nil"/>
              <w:bottom w:val="nil"/>
            </w:tcBorders>
            <w:shd w:val="clear" w:color="auto" w:fill="auto"/>
          </w:tcPr>
          <w:p w:rsidR="00AA5B69" w:rsidRPr="002954E0" w:rsidRDefault="00AA5B69">
            <w:pPr>
              <w:spacing w:before="40" w:after="120"/>
              <w:ind w:right="113"/>
            </w:pPr>
            <w:r w:rsidRPr="002954E0">
              <w:t>Ley de servicios para el niño y la familia</w:t>
            </w:r>
          </w:p>
          <w:p w:rsidR="00AA5B69" w:rsidRPr="002954E0" w:rsidRDefault="00AA5B69">
            <w:pPr>
              <w:spacing w:before="40" w:after="120"/>
              <w:ind w:right="113"/>
            </w:pPr>
            <w:r w:rsidRPr="002954E0">
              <w:t>Ley sobre la adopción</w:t>
            </w:r>
          </w:p>
          <w:p w:rsidR="00AA5B69" w:rsidRPr="002954E0" w:rsidRDefault="00AA5B69">
            <w:pPr>
              <w:spacing w:before="40" w:after="120"/>
              <w:ind w:right="113"/>
            </w:pPr>
            <w:r w:rsidRPr="002954E0">
              <w:t>Ley sobre la adopción internacional (Convenio de La Haya)</w:t>
            </w:r>
          </w:p>
        </w:tc>
        <w:tc>
          <w:tcPr>
            <w:tcW w:w="4437" w:type="dxa"/>
            <w:tcBorders>
              <w:top w:val="nil"/>
              <w:bottom w:val="nil"/>
            </w:tcBorders>
            <w:shd w:val="clear" w:color="auto" w:fill="auto"/>
          </w:tcPr>
          <w:p w:rsidR="00AA5B69" w:rsidRPr="002954E0" w:rsidRDefault="00AA5B69">
            <w:pPr>
              <w:spacing w:before="40" w:after="120"/>
              <w:ind w:right="113"/>
            </w:pPr>
            <w:r w:rsidRPr="002954E0">
              <w:t>Artículo 84, párrafo b): una multa no superior a 50.000 dólares, una pena máxima de prisión de 24 meses, o ambas penas.</w:t>
            </w:r>
          </w:p>
          <w:p w:rsidR="00AA5B69" w:rsidRPr="002954E0" w:rsidRDefault="00AA5B69">
            <w:pPr>
              <w:spacing w:before="40" w:after="120"/>
              <w:ind w:right="113"/>
            </w:pPr>
            <w:r w:rsidRPr="002954E0">
              <w:t>Artículo 126, párrafo 1): una multa no superior a 20.000 dólares.</w:t>
            </w:r>
          </w:p>
          <w:p w:rsidR="00AA5B69" w:rsidRPr="002954E0" w:rsidRDefault="00AA5B69">
            <w:pPr>
              <w:spacing w:before="40" w:after="120"/>
              <w:ind w:right="113"/>
            </w:pPr>
            <w:r w:rsidRPr="002954E0">
              <w:t>No se especifican las penas.</w:t>
            </w:r>
          </w:p>
        </w:tc>
      </w:tr>
      <w:tr w:rsidR="00AA5B69" w:rsidRPr="002954E0">
        <w:tblPrEx>
          <w:tblCellMar>
            <w:top w:w="0" w:type="dxa"/>
            <w:bottom w:w="0" w:type="dxa"/>
          </w:tblCellMar>
        </w:tblPrEx>
        <w:trPr>
          <w:cantSplit/>
          <w:trHeight w:val="940"/>
        </w:trPr>
        <w:tc>
          <w:tcPr>
            <w:tcW w:w="1325" w:type="dxa"/>
            <w:tcBorders>
              <w:top w:val="nil"/>
              <w:bottom w:val="nil"/>
            </w:tcBorders>
            <w:shd w:val="clear" w:color="auto" w:fill="auto"/>
          </w:tcPr>
          <w:p w:rsidR="00AA5B69" w:rsidRPr="002954E0" w:rsidRDefault="00AA5B69">
            <w:pPr>
              <w:spacing w:before="40" w:after="120"/>
              <w:ind w:right="113"/>
            </w:pPr>
            <w:r w:rsidRPr="002954E0">
              <w:t>Ontario</w:t>
            </w:r>
          </w:p>
        </w:tc>
        <w:tc>
          <w:tcPr>
            <w:tcW w:w="1608" w:type="dxa"/>
            <w:tcBorders>
              <w:top w:val="nil"/>
              <w:bottom w:val="nil"/>
            </w:tcBorders>
            <w:shd w:val="clear" w:color="auto" w:fill="auto"/>
          </w:tcPr>
          <w:p w:rsidR="00AA5B69" w:rsidRPr="002954E0" w:rsidRDefault="00AA5B69">
            <w:pPr>
              <w:spacing w:before="40" w:after="120"/>
              <w:ind w:right="113"/>
            </w:pPr>
            <w:r w:rsidRPr="002954E0">
              <w:t>Ley de servicios para el niño y la familia</w:t>
            </w:r>
          </w:p>
          <w:p w:rsidR="00AA5B69" w:rsidRPr="002954E0" w:rsidRDefault="00AA5B69">
            <w:pPr>
              <w:spacing w:before="40" w:after="120"/>
              <w:ind w:right="113"/>
            </w:pPr>
            <w:r w:rsidRPr="002954E0">
              <w:t>Ley sobre la adopción internacional</w:t>
            </w:r>
          </w:p>
        </w:tc>
        <w:tc>
          <w:tcPr>
            <w:tcW w:w="4437" w:type="dxa"/>
            <w:tcBorders>
              <w:top w:val="nil"/>
              <w:bottom w:val="nil"/>
            </w:tcBorders>
            <w:shd w:val="clear" w:color="auto" w:fill="auto"/>
          </w:tcPr>
          <w:p w:rsidR="00AA5B69" w:rsidRPr="002954E0" w:rsidRDefault="00AA5B69">
            <w:pPr>
              <w:spacing w:before="40" w:after="120"/>
              <w:ind w:right="113"/>
            </w:pPr>
            <w:r w:rsidRPr="002954E0">
              <w:t>Artículo 176, párrafo 1): una multa no superior a 2.000 dólares, una pena máxima de prisión de dos años, o ambas penas.</w:t>
            </w:r>
          </w:p>
          <w:p w:rsidR="00AA5B69" w:rsidRPr="002954E0" w:rsidRDefault="00AA5B69">
            <w:pPr>
              <w:spacing w:before="40" w:after="120"/>
              <w:ind w:right="113"/>
            </w:pPr>
            <w:r w:rsidRPr="002954E0">
              <w:t>Artículo 20, párrafo 1): una multa no superior a 2.000 dólares, una pena máxima de prisión de dos años, o ambas penas.</w:t>
            </w:r>
          </w:p>
        </w:tc>
      </w:tr>
      <w:tr w:rsidR="00AA5B69" w:rsidRPr="002954E0">
        <w:tblPrEx>
          <w:tblCellMar>
            <w:top w:w="0" w:type="dxa"/>
            <w:bottom w:w="0" w:type="dxa"/>
          </w:tblCellMar>
        </w:tblPrEx>
        <w:trPr>
          <w:cantSplit/>
        </w:trPr>
        <w:tc>
          <w:tcPr>
            <w:tcW w:w="1325" w:type="dxa"/>
            <w:tcBorders>
              <w:top w:val="nil"/>
              <w:bottom w:val="nil"/>
            </w:tcBorders>
            <w:shd w:val="clear" w:color="auto" w:fill="auto"/>
          </w:tcPr>
          <w:p w:rsidR="00AA5B69" w:rsidRPr="002954E0" w:rsidRDefault="00AA5B69">
            <w:pPr>
              <w:spacing w:before="40" w:after="120"/>
              <w:ind w:right="113"/>
            </w:pPr>
            <w:r w:rsidRPr="002954E0">
              <w:t>Quebec</w:t>
            </w:r>
          </w:p>
        </w:tc>
        <w:tc>
          <w:tcPr>
            <w:tcW w:w="1608" w:type="dxa"/>
            <w:tcBorders>
              <w:top w:val="nil"/>
              <w:bottom w:val="nil"/>
            </w:tcBorders>
            <w:shd w:val="clear" w:color="auto" w:fill="auto"/>
          </w:tcPr>
          <w:p w:rsidR="00AA5B69" w:rsidRPr="002954E0" w:rsidRDefault="00AA5B69">
            <w:pPr>
              <w:spacing w:before="40" w:after="120"/>
              <w:ind w:right="113"/>
            </w:pPr>
            <w:r w:rsidRPr="002954E0">
              <w:t>Ley de protección de la juventud</w:t>
            </w:r>
          </w:p>
        </w:tc>
        <w:tc>
          <w:tcPr>
            <w:tcW w:w="4437" w:type="dxa"/>
            <w:tcBorders>
              <w:top w:val="nil"/>
              <w:bottom w:val="nil"/>
            </w:tcBorders>
            <w:shd w:val="clear" w:color="auto" w:fill="auto"/>
          </w:tcPr>
          <w:p w:rsidR="00AA5B69" w:rsidRPr="002954E0" w:rsidRDefault="00AA5B69">
            <w:pPr>
              <w:spacing w:before="40" w:after="120"/>
              <w:ind w:right="113"/>
            </w:pPr>
            <w:r w:rsidRPr="002954E0">
              <w:t>Artículo 135, párrafo 1.3:</w:t>
            </w:r>
          </w:p>
          <w:p w:rsidR="00AA5B69" w:rsidRPr="002954E0" w:rsidRDefault="00AA5B69">
            <w:pPr>
              <w:spacing w:before="40" w:after="120"/>
              <w:ind w:right="113"/>
            </w:pPr>
            <w:r w:rsidRPr="002954E0">
              <w:t>Adopción de un niño infringiendo las disposiciones legislativas: una multa de entre 2.500 y 7.000 dólares.</w:t>
            </w:r>
          </w:p>
          <w:p w:rsidR="00AA5B69" w:rsidRPr="002954E0" w:rsidRDefault="00AA5B69">
            <w:pPr>
              <w:spacing w:before="40" w:after="120"/>
              <w:ind w:right="113"/>
            </w:pPr>
            <w:r w:rsidRPr="002954E0">
              <w:t>Aceptación u ofrecimiento de un pago por la adopción de un niño: una multa de entre 10.000 y 100.000 dólares en el caso de una persona física, o una multa de entre 25.000 y 200.000 dólares en el caso de una persona jurídica.</w:t>
            </w:r>
          </w:p>
          <w:p w:rsidR="00AA5B69" w:rsidRPr="002954E0" w:rsidRDefault="00AA5B69">
            <w:pPr>
              <w:spacing w:before="40" w:after="120"/>
              <w:ind w:right="113"/>
            </w:pPr>
            <w:r w:rsidRPr="002954E0">
              <w:t>Artículo 135, párrafo 2:</w:t>
            </w:r>
          </w:p>
          <w:p w:rsidR="00AA5B69" w:rsidRPr="002954E0" w:rsidRDefault="00AA5B69">
            <w:pPr>
              <w:spacing w:before="40" w:after="120"/>
              <w:ind w:right="113"/>
            </w:pPr>
            <w:r w:rsidRPr="002954E0">
              <w:t>Se duplica la multa en caso de reincidencia en el delito.</w:t>
            </w:r>
          </w:p>
        </w:tc>
      </w:tr>
      <w:tr w:rsidR="00AA5B69" w:rsidRPr="002954E0">
        <w:tblPrEx>
          <w:tblCellMar>
            <w:top w:w="0" w:type="dxa"/>
            <w:bottom w:w="0" w:type="dxa"/>
          </w:tblCellMar>
        </w:tblPrEx>
        <w:trPr>
          <w:cantSplit/>
          <w:trHeight w:val="910"/>
        </w:trPr>
        <w:tc>
          <w:tcPr>
            <w:tcW w:w="1325" w:type="dxa"/>
            <w:tcBorders>
              <w:top w:val="nil"/>
            </w:tcBorders>
            <w:shd w:val="clear" w:color="auto" w:fill="auto"/>
          </w:tcPr>
          <w:p w:rsidR="00AA5B69" w:rsidRPr="002954E0" w:rsidRDefault="00AA5B69">
            <w:pPr>
              <w:spacing w:before="40" w:after="120"/>
              <w:ind w:right="113"/>
            </w:pPr>
            <w:r w:rsidRPr="002954E0">
              <w:t>Nueva Brunswick</w:t>
            </w:r>
          </w:p>
        </w:tc>
        <w:tc>
          <w:tcPr>
            <w:tcW w:w="1608" w:type="dxa"/>
            <w:tcBorders>
              <w:top w:val="nil"/>
            </w:tcBorders>
            <w:shd w:val="clear" w:color="auto" w:fill="auto"/>
          </w:tcPr>
          <w:p w:rsidR="00AA5B69" w:rsidRPr="002954E0" w:rsidRDefault="00AA5B69">
            <w:pPr>
              <w:spacing w:before="40" w:after="120"/>
              <w:ind w:right="113"/>
            </w:pPr>
            <w:r w:rsidRPr="002954E0">
              <w:t>Ley de servicios para la familia</w:t>
            </w:r>
          </w:p>
          <w:p w:rsidR="00AA5B69" w:rsidRPr="002954E0" w:rsidRDefault="00AA5B69">
            <w:pPr>
              <w:spacing w:before="40" w:after="120"/>
              <w:ind w:right="113"/>
            </w:pPr>
            <w:r w:rsidRPr="002954E0">
              <w:t>Ley sobre la adopción internacional</w:t>
            </w:r>
          </w:p>
        </w:tc>
        <w:tc>
          <w:tcPr>
            <w:tcW w:w="4437" w:type="dxa"/>
            <w:tcBorders>
              <w:top w:val="nil"/>
            </w:tcBorders>
            <w:shd w:val="clear" w:color="auto" w:fill="auto"/>
          </w:tcPr>
          <w:p w:rsidR="00AA5B69" w:rsidRPr="002954E0" w:rsidRDefault="00AA5B69">
            <w:pPr>
              <w:spacing w:before="40" w:after="120"/>
              <w:ind w:right="113"/>
            </w:pPr>
            <w:r w:rsidRPr="002954E0">
              <w:t>Artículo 95: se prohíbe abonar o recibir un pago por un niño. No se especifica la pena.</w:t>
            </w:r>
          </w:p>
          <w:p w:rsidR="00AA5B69" w:rsidRPr="002954E0" w:rsidRDefault="00AA5B69">
            <w:pPr>
              <w:spacing w:before="40" w:after="120"/>
              <w:ind w:right="113"/>
            </w:pPr>
            <w:r w:rsidRPr="002954E0">
              <w:t>No se especifica la pena.</w:t>
            </w:r>
          </w:p>
        </w:tc>
      </w:tr>
      <w:tr w:rsidR="00AA5B69" w:rsidRPr="002954E0">
        <w:tblPrEx>
          <w:tblCellMar>
            <w:top w:w="0" w:type="dxa"/>
            <w:bottom w:w="0" w:type="dxa"/>
          </w:tblCellMar>
        </w:tblPrEx>
        <w:trPr>
          <w:cantSplit/>
        </w:trPr>
        <w:tc>
          <w:tcPr>
            <w:tcW w:w="1325" w:type="dxa"/>
            <w:tcBorders>
              <w:bottom w:val="nil"/>
            </w:tcBorders>
            <w:shd w:val="clear" w:color="auto" w:fill="auto"/>
          </w:tcPr>
          <w:p w:rsidR="00AA5B69" w:rsidRPr="002954E0" w:rsidRDefault="00AA5B69">
            <w:pPr>
              <w:spacing w:before="40" w:after="120"/>
              <w:ind w:right="113"/>
            </w:pPr>
            <w:r w:rsidRPr="002954E0">
              <w:t>Nueva Escocia</w:t>
            </w:r>
          </w:p>
        </w:tc>
        <w:tc>
          <w:tcPr>
            <w:tcW w:w="1608" w:type="dxa"/>
            <w:tcBorders>
              <w:bottom w:val="nil"/>
            </w:tcBorders>
            <w:shd w:val="clear" w:color="auto" w:fill="auto"/>
          </w:tcPr>
          <w:p w:rsidR="00AA5B69" w:rsidRPr="002954E0" w:rsidRDefault="00AA5B69">
            <w:pPr>
              <w:spacing w:before="40" w:after="120"/>
              <w:ind w:right="113"/>
            </w:pPr>
            <w:r w:rsidRPr="002954E0">
              <w:t>Ley de servicios para el niño y la familia</w:t>
            </w:r>
          </w:p>
        </w:tc>
        <w:tc>
          <w:tcPr>
            <w:tcW w:w="4437" w:type="dxa"/>
            <w:tcBorders>
              <w:bottom w:val="nil"/>
            </w:tcBorders>
            <w:shd w:val="clear" w:color="auto" w:fill="auto"/>
          </w:tcPr>
          <w:p w:rsidR="00AA5B69" w:rsidRPr="002954E0" w:rsidRDefault="00AA5B69">
            <w:pPr>
              <w:spacing w:before="40" w:after="120"/>
              <w:ind w:right="113"/>
            </w:pPr>
            <w:r w:rsidRPr="002954E0">
              <w:t>Artículo 69, párrafo 3): una multa no superior a 10.000 dólares, una pena máxima de prisión de dos años, o ambas penas.</w:t>
            </w:r>
          </w:p>
        </w:tc>
      </w:tr>
      <w:tr w:rsidR="00AA5B69" w:rsidRPr="002954E0">
        <w:tblPrEx>
          <w:tblCellMar>
            <w:top w:w="0" w:type="dxa"/>
            <w:bottom w:w="0" w:type="dxa"/>
          </w:tblCellMar>
        </w:tblPrEx>
        <w:trPr>
          <w:cantSplit/>
        </w:trPr>
        <w:tc>
          <w:tcPr>
            <w:tcW w:w="1325" w:type="dxa"/>
            <w:tcBorders>
              <w:top w:val="nil"/>
              <w:bottom w:val="nil"/>
            </w:tcBorders>
            <w:shd w:val="clear" w:color="auto" w:fill="auto"/>
          </w:tcPr>
          <w:p w:rsidR="00AA5B69" w:rsidRPr="002954E0" w:rsidRDefault="00AA5B69">
            <w:pPr>
              <w:spacing w:before="40" w:after="120"/>
              <w:ind w:right="113"/>
            </w:pPr>
            <w:r w:rsidRPr="002954E0">
              <w:t>Isla del Príncipe Eduardo</w:t>
            </w:r>
          </w:p>
        </w:tc>
        <w:tc>
          <w:tcPr>
            <w:tcW w:w="1608" w:type="dxa"/>
            <w:tcBorders>
              <w:top w:val="nil"/>
              <w:bottom w:val="nil"/>
            </w:tcBorders>
            <w:shd w:val="clear" w:color="auto" w:fill="auto"/>
          </w:tcPr>
          <w:p w:rsidR="00AA5B69" w:rsidRPr="002954E0" w:rsidRDefault="00AA5B69">
            <w:pPr>
              <w:spacing w:before="40" w:after="120"/>
              <w:ind w:right="113"/>
            </w:pPr>
            <w:r w:rsidRPr="002954E0">
              <w:t>Ley sobre la adopción</w:t>
            </w:r>
          </w:p>
        </w:tc>
        <w:tc>
          <w:tcPr>
            <w:tcW w:w="4437" w:type="dxa"/>
            <w:tcBorders>
              <w:top w:val="nil"/>
              <w:bottom w:val="nil"/>
            </w:tcBorders>
            <w:shd w:val="clear" w:color="auto" w:fill="auto"/>
          </w:tcPr>
          <w:p w:rsidR="00AA5B69" w:rsidRPr="002954E0" w:rsidRDefault="00AA5B69">
            <w:pPr>
              <w:spacing w:before="40" w:after="120"/>
              <w:ind w:right="113"/>
            </w:pPr>
            <w:r w:rsidRPr="002954E0">
              <w:t>Artículo 55, párrafo 1): una multa no superior a 20.000 dólares o una pena máxima de prisión de un año.</w:t>
            </w:r>
          </w:p>
        </w:tc>
      </w:tr>
      <w:tr w:rsidR="00AA5B69" w:rsidRPr="002954E0">
        <w:tblPrEx>
          <w:tblCellMar>
            <w:top w:w="0" w:type="dxa"/>
            <w:bottom w:w="0" w:type="dxa"/>
          </w:tblCellMar>
        </w:tblPrEx>
        <w:trPr>
          <w:cantSplit/>
        </w:trPr>
        <w:tc>
          <w:tcPr>
            <w:tcW w:w="1325" w:type="dxa"/>
            <w:tcBorders>
              <w:top w:val="nil"/>
            </w:tcBorders>
            <w:shd w:val="clear" w:color="auto" w:fill="auto"/>
          </w:tcPr>
          <w:p w:rsidR="00AA5B69" w:rsidRPr="002954E0" w:rsidRDefault="00AA5B69">
            <w:pPr>
              <w:spacing w:before="40" w:after="120"/>
              <w:ind w:right="113"/>
            </w:pPr>
            <w:r w:rsidRPr="002954E0">
              <w:t>Terranova y Labrador</w:t>
            </w:r>
          </w:p>
        </w:tc>
        <w:tc>
          <w:tcPr>
            <w:tcW w:w="1608" w:type="dxa"/>
            <w:tcBorders>
              <w:top w:val="nil"/>
            </w:tcBorders>
            <w:shd w:val="clear" w:color="auto" w:fill="auto"/>
          </w:tcPr>
          <w:p w:rsidR="00AA5B69" w:rsidRPr="002954E0" w:rsidRDefault="00AA5B69">
            <w:pPr>
              <w:spacing w:before="40" w:after="120"/>
              <w:ind w:right="113"/>
            </w:pPr>
            <w:r w:rsidRPr="002954E0">
              <w:t>Ley sobre la adopción</w:t>
            </w:r>
          </w:p>
        </w:tc>
        <w:tc>
          <w:tcPr>
            <w:tcW w:w="4437" w:type="dxa"/>
            <w:tcBorders>
              <w:top w:val="nil"/>
            </w:tcBorders>
            <w:shd w:val="clear" w:color="auto" w:fill="auto"/>
          </w:tcPr>
          <w:p w:rsidR="00AA5B69" w:rsidRPr="002954E0" w:rsidRDefault="00AA5B69">
            <w:pPr>
              <w:spacing w:before="40" w:after="120"/>
              <w:ind w:right="113"/>
            </w:pPr>
            <w:r w:rsidRPr="002954E0">
              <w:t>Artículo 72, párrafo 1):</w:t>
            </w:r>
          </w:p>
          <w:p w:rsidR="00AA5B69" w:rsidRPr="002954E0" w:rsidRDefault="00AA5B69">
            <w:pPr>
              <w:spacing w:before="40" w:after="120"/>
              <w:ind w:right="113"/>
            </w:pPr>
            <w:r w:rsidRPr="002954E0">
              <w:t>a) por el primer delito, una multa de entre 1.000 y 5.000 dólares, una pena máxima de prisión de 60 días, o ambas penas; y</w:t>
            </w:r>
          </w:p>
          <w:p w:rsidR="00AA5B69" w:rsidRPr="002954E0" w:rsidRDefault="00AA5B69">
            <w:pPr>
              <w:spacing w:before="40" w:after="120"/>
              <w:ind w:right="113"/>
            </w:pPr>
            <w:r w:rsidRPr="002954E0">
              <w:t>b) por la comisión de otro delito, una multa de entre 5.000 y 10.000 dólares, una pena máxima de prisión de 90 días, o ambas penas.</w:t>
            </w:r>
          </w:p>
          <w:p w:rsidR="00AA5B69" w:rsidRPr="002954E0" w:rsidRDefault="00AA5B69">
            <w:pPr>
              <w:spacing w:before="40" w:after="120"/>
              <w:ind w:right="113"/>
            </w:pPr>
            <w:r w:rsidRPr="002954E0">
              <w:t>Artículo 72, párrafo 2): si la condena dictada en virtud del párrafo 1) es a una persona jurídica, además de la multa impuesta a esa persona, uno o más directores o responsables ejecutivos de la misma pueden ser multados o encarcelados de conformidad con lo dispuesto en ese párrafo.</w:t>
            </w:r>
          </w:p>
          <w:p w:rsidR="00AA5B69" w:rsidRPr="002954E0" w:rsidRDefault="00AA5B69">
            <w:pPr>
              <w:spacing w:before="40" w:after="120"/>
              <w:ind w:right="113"/>
            </w:pPr>
            <w:r w:rsidRPr="002954E0">
              <w:t>Artículo 72, párrafo 3): además de las penas que puede imponer en virtud de los párrafos 2) o 3), el juez puede dictar una orden de revocación de la licencia a una agencia de adopciones.</w:t>
            </w:r>
          </w:p>
        </w:tc>
      </w:tr>
      <w:tr w:rsidR="00AA5B69" w:rsidRPr="002954E0">
        <w:tblPrEx>
          <w:tblCellMar>
            <w:top w:w="0" w:type="dxa"/>
            <w:bottom w:w="0" w:type="dxa"/>
          </w:tblCellMar>
        </w:tblPrEx>
        <w:trPr>
          <w:cantSplit/>
        </w:trPr>
        <w:tc>
          <w:tcPr>
            <w:tcW w:w="1325" w:type="dxa"/>
            <w:shd w:val="clear" w:color="auto" w:fill="auto"/>
          </w:tcPr>
          <w:p w:rsidR="00AA5B69" w:rsidRPr="002954E0" w:rsidRDefault="00AA5B69">
            <w:pPr>
              <w:spacing w:before="40" w:after="120"/>
              <w:ind w:right="113"/>
            </w:pPr>
            <w:r w:rsidRPr="002954E0">
              <w:t>Nunavut</w:t>
            </w:r>
          </w:p>
        </w:tc>
        <w:tc>
          <w:tcPr>
            <w:tcW w:w="1608" w:type="dxa"/>
            <w:shd w:val="clear" w:color="auto" w:fill="auto"/>
          </w:tcPr>
          <w:p w:rsidR="00AA5B69" w:rsidRPr="002954E0" w:rsidRDefault="00AA5B69">
            <w:pPr>
              <w:spacing w:before="40" w:after="120"/>
              <w:ind w:right="113"/>
            </w:pPr>
            <w:r w:rsidRPr="002954E0">
              <w:t>Ley sobre la adopción</w:t>
            </w:r>
          </w:p>
        </w:tc>
        <w:tc>
          <w:tcPr>
            <w:tcW w:w="4437" w:type="dxa"/>
            <w:shd w:val="clear" w:color="auto" w:fill="auto"/>
          </w:tcPr>
          <w:p w:rsidR="00AA5B69" w:rsidRPr="002954E0" w:rsidRDefault="00AA5B69">
            <w:pPr>
              <w:spacing w:before="40" w:after="120"/>
              <w:ind w:right="113"/>
            </w:pPr>
            <w:r w:rsidRPr="002954E0">
              <w:t>Artículo 75, párrafo 1): una multa no superior a 10.000 dólares, una pena máxima de prisión de un año, o ambas penas.</w:t>
            </w:r>
          </w:p>
        </w:tc>
      </w:tr>
      <w:tr w:rsidR="00AA5B69" w:rsidRPr="002954E0">
        <w:tblPrEx>
          <w:tblCellMar>
            <w:top w:w="0" w:type="dxa"/>
            <w:bottom w:w="0" w:type="dxa"/>
          </w:tblCellMar>
        </w:tblPrEx>
        <w:trPr>
          <w:cantSplit/>
        </w:trPr>
        <w:tc>
          <w:tcPr>
            <w:tcW w:w="1325" w:type="dxa"/>
            <w:shd w:val="clear" w:color="auto" w:fill="auto"/>
          </w:tcPr>
          <w:p w:rsidR="00AA5B69" w:rsidRPr="002954E0" w:rsidRDefault="00AA5B69">
            <w:pPr>
              <w:spacing w:before="40" w:after="120"/>
              <w:ind w:right="113"/>
            </w:pPr>
            <w:r w:rsidRPr="002954E0">
              <w:t>Territorios del Noroeste</w:t>
            </w:r>
          </w:p>
        </w:tc>
        <w:tc>
          <w:tcPr>
            <w:tcW w:w="1608" w:type="dxa"/>
            <w:shd w:val="clear" w:color="auto" w:fill="auto"/>
          </w:tcPr>
          <w:p w:rsidR="00AA5B69" w:rsidRPr="002954E0" w:rsidRDefault="00AA5B69">
            <w:pPr>
              <w:spacing w:before="40" w:after="120"/>
              <w:ind w:right="113"/>
            </w:pPr>
            <w:r w:rsidRPr="002954E0">
              <w:t>Ley sobre la adopción</w:t>
            </w:r>
          </w:p>
        </w:tc>
        <w:tc>
          <w:tcPr>
            <w:tcW w:w="4437" w:type="dxa"/>
            <w:shd w:val="clear" w:color="auto" w:fill="auto"/>
          </w:tcPr>
          <w:p w:rsidR="00AA5B69" w:rsidRPr="002954E0" w:rsidRDefault="00AA5B69">
            <w:pPr>
              <w:spacing w:before="40" w:after="120"/>
              <w:ind w:right="113"/>
            </w:pPr>
            <w:r w:rsidRPr="002954E0">
              <w:t>Artículo 75, párrafo 1) una multa no superior a 10.000 dólares, una pena máxima de prisión de un año, o ambas penas.</w:t>
            </w:r>
          </w:p>
        </w:tc>
      </w:tr>
      <w:tr w:rsidR="00AA5B69" w:rsidRPr="002954E0">
        <w:tblPrEx>
          <w:tblCellMar>
            <w:top w:w="0" w:type="dxa"/>
            <w:bottom w:w="0" w:type="dxa"/>
          </w:tblCellMar>
        </w:tblPrEx>
        <w:trPr>
          <w:cantSplit/>
        </w:trPr>
        <w:tc>
          <w:tcPr>
            <w:tcW w:w="1325" w:type="dxa"/>
            <w:shd w:val="clear" w:color="auto" w:fill="auto"/>
          </w:tcPr>
          <w:p w:rsidR="00AA5B69" w:rsidRPr="002954E0" w:rsidRDefault="00AA5B69">
            <w:pPr>
              <w:spacing w:before="40" w:after="120"/>
              <w:ind w:right="113"/>
            </w:pPr>
            <w:r w:rsidRPr="002954E0">
              <w:t>Yukón</w:t>
            </w:r>
          </w:p>
        </w:tc>
        <w:tc>
          <w:tcPr>
            <w:tcW w:w="1608" w:type="dxa"/>
            <w:shd w:val="clear" w:color="auto" w:fill="auto"/>
          </w:tcPr>
          <w:p w:rsidR="00AA5B69" w:rsidRPr="002954E0" w:rsidRDefault="00AA5B69">
            <w:pPr>
              <w:spacing w:before="40" w:after="120"/>
              <w:ind w:right="113"/>
            </w:pPr>
            <w:r w:rsidRPr="002954E0">
              <w:t>Ley de la infancia</w:t>
            </w:r>
          </w:p>
        </w:tc>
        <w:tc>
          <w:tcPr>
            <w:tcW w:w="4437" w:type="dxa"/>
            <w:shd w:val="clear" w:color="auto" w:fill="auto"/>
          </w:tcPr>
          <w:p w:rsidR="00AA5B69" w:rsidRPr="002954E0" w:rsidRDefault="00AA5B69">
            <w:pPr>
              <w:spacing w:before="40" w:after="120"/>
              <w:ind w:right="113"/>
            </w:pPr>
            <w:r w:rsidRPr="002954E0">
              <w:t>Artículo 105, párrafo 4): una multa no superior a 5.000 dólares, una pena máxima de prisión de un año, o ambas penas; en caso de una segunda condena, una multa no superior a 10.000 dólares, una pena máxima de prisión de dos años, o ambas penas.</w:t>
            </w:r>
          </w:p>
        </w:tc>
      </w:tr>
    </w:tbl>
    <w:p w:rsidR="00AA5B69" w:rsidRDefault="00AA5B69">
      <w:pPr>
        <w:spacing w:before="240" w:after="120"/>
        <w:ind w:left="1134" w:right="1134"/>
        <w:jc w:val="both"/>
      </w:pPr>
      <w:r>
        <w:t>176.</w:t>
      </w:r>
      <w:r>
        <w:tab/>
        <w:t>Además, en todos los territorios y provincias la legislación exige la inscripción de los nacimientos en el departamento gubernamental responsable de ese servicio.</w:t>
      </w:r>
    </w:p>
    <w:p w:rsidR="00AA5B69" w:rsidRDefault="00AA5B69">
      <w:pPr>
        <w:spacing w:after="120"/>
        <w:ind w:left="1134" w:right="1134"/>
        <w:jc w:val="both"/>
      </w:pPr>
      <w:r>
        <w:t>177.</w:t>
      </w:r>
      <w:r>
        <w:tab/>
        <w:t>Para tener derecho a recibir una prestación federal, los organismos de los Servicios para el niño y la familia de las Primeras Naciones deben tener el mandato de una provincia o un territorio para prestar esos servicios en las reservas, de conformidad con la legislación y las normas provinciales o territoriales. Esto también es aplicable a las adopciones. Las provincias y los territorios regulan la actividad de los organismos de los Servicios para el niño y la familia de las Primeras Naciones en lo que concierne a las leyes y las normas, y efectúan una constante supervisión de esos organismos.</w:t>
      </w:r>
    </w:p>
    <w:p w:rsidR="00AA5B69" w:rsidRDefault="00AA5B69">
      <w:pPr>
        <w:spacing w:after="120"/>
        <w:ind w:left="1134" w:right="1134"/>
        <w:jc w:val="both"/>
      </w:pPr>
      <w:r>
        <w:t>178.</w:t>
      </w:r>
      <w:r>
        <w:tab/>
        <w:t xml:space="preserve">Además, el Gobierno del Canadá ha designado una autoridad federal central para aplicar el </w:t>
      </w:r>
      <w:r>
        <w:rPr>
          <w:rFonts w:eastAsia="MS Mincho"/>
        </w:rPr>
        <w:t xml:space="preserve">Convenio de La Haya sobre la Protección de los Niños y la Cooperación en materia de Adopción Internacional, ratificado por el Canadá en 1995. Con la coordinación de los servicios de adopción internacional, la autoridad federal y las autoridades de las provincias y los territorios aseguran que no haya prácticas de trata de niños o beneficios indebidos en relación con las adopciones internacionales. Si hay posibles indicios de trata de niños o de corrupción en relación con las adopciones de cualquier país, se estudian las soluciones a aplicar, que incluyen </w:t>
      </w:r>
      <w:r>
        <w:t>la imposición de una moratoria de las adopciones. Se han impuesto moratorias con respecto a las adopciones a algunos países.</w:t>
      </w:r>
    </w:p>
    <w:p w:rsidR="00AA5B69" w:rsidRDefault="00AA5B69">
      <w:pPr>
        <w:spacing w:after="120"/>
        <w:ind w:left="1134" w:right="1134"/>
        <w:jc w:val="both"/>
      </w:pPr>
      <w:r>
        <w:t>179.</w:t>
      </w:r>
      <w:r>
        <w:tab/>
        <w:t>En cada provincia o territorio se han aprobado leyes de ámbito local que rigen las adopciones nacionales e internacionales, incluidas las abarcadas por el Convenio de La Haya sobre adopción internacional. En la legislación provincial o territorial se han incorporado los principios del Convenio de La Haya sobre la protección del interés superior del niño, que pueden incluir a los organismos encargados de conceder autorizaciones, los honorarios y las medidas de protección. Aparte de la autoridad federal central, en cada provincia o territorio se ha designado una autoridad central encargada de cumplir las obligaciones derivadas del Convenio de La Haya.</w:t>
      </w:r>
    </w:p>
    <w:p w:rsidR="00AA5B69" w:rsidRDefault="00AA5B69">
      <w:pPr>
        <w:spacing w:after="120"/>
        <w:ind w:left="1134" w:right="1134"/>
        <w:jc w:val="both"/>
      </w:pPr>
      <w:r>
        <w:t>180.</w:t>
      </w:r>
      <w:r>
        <w:tab/>
        <w:t>Todos los territorios y las provincias son también parte en el Protocolo provincial/territorial sobre el desplazamiento de niños y familias entre los distintos territorios y provincias, que establece un marco para prestar servicios unificados y de calidad (también con respecto a la adopción) a los niños y las familias que se trasladan de provincia. El objetivo es que el traslado de los niños y las familias pueda realizarse sin contratiempos, así como prestar asistencia de urgencia con la mínima interrupción posible de los servicios. (Quebec no es signatario del Protocolo; no obstante, las autoridades responsables del bienestar del niño aplican las disposiciones del Protocolo en la relación con otros territorios o provincias.) Se puede consultar más información sobre el Protocolo en http://www.gov.mb.ca/fs/childfam/pt_protocol/2006/pt_protocol-2006.pdf.</w:t>
      </w:r>
    </w:p>
    <w:p w:rsidR="00AA5B69" w:rsidRDefault="00AA5B69">
      <w:pPr>
        <w:spacing w:after="120"/>
        <w:ind w:left="1134" w:right="1134"/>
        <w:jc w:val="both"/>
        <w:rPr>
          <w:rFonts w:eastAsia="MS Mincho"/>
        </w:rPr>
      </w:pPr>
      <w:r>
        <w:t>181.</w:t>
      </w:r>
      <w:r>
        <w:tab/>
        <w:t xml:space="preserve">Con la entrada en vigor de la Ley de aplicación del </w:t>
      </w:r>
      <w:r>
        <w:rPr>
          <w:rFonts w:eastAsia="MS Mincho"/>
        </w:rPr>
        <w:t>Convenio sobre la Protección de los Niños y la Cooperación en materia de Adopción Internacional y de modificación de algunas disposiciones legislativas relacionadas con la adopción, se modificó el Código Civil de Quebec. El objetivo de esos cambios legislativos, que empezaron a aplicarse el 1º de febrero de 2006, es dejar claro que el Director del registro civil no puede expedir un certificado de nacimiento de un niño adoptado si las autoridades autorizadas por la ley no le han garantizado que esa adopción cumple las leyes en vigor en Quebec.</w:t>
      </w:r>
    </w:p>
    <w:p w:rsidR="00AA5B69" w:rsidRDefault="00AA5B69">
      <w:pPr>
        <w:spacing w:after="120"/>
        <w:ind w:left="1134" w:right="1134"/>
        <w:jc w:val="both"/>
      </w:pPr>
      <w:r>
        <w:t>182.</w:t>
      </w:r>
      <w:r>
        <w:tab/>
        <w:t>Para prevenir la trata de niños, en la legislación de todos los territorios y provincias se han incluido salvaguardias con respecto a la facilitación de la adopción internacional (por ejemplo, mediante la acreditación o las autorizaciones). Cuando el país de origen del niño también es signatario del Convenio de La Haya sobre adopción internacional, las autoridades centrales de ambos países deben aprobar la adopción.</w:t>
      </w:r>
    </w:p>
    <w:p w:rsidR="00AA5B69" w:rsidRDefault="00AA5B69">
      <w:pPr>
        <w:spacing w:after="120"/>
        <w:ind w:left="1134" w:right="1134"/>
        <w:jc w:val="both"/>
      </w:pPr>
      <w:r>
        <w:t>183.</w:t>
      </w:r>
      <w:r>
        <w:tab/>
        <w:t xml:space="preserve">El Canadá ha firmado un acuerdo bilateral sobre adopción internacional con Viet Nam, ya que este país no es signatario del Convenio de </w:t>
      </w:r>
      <w:smartTag w:uri="urn:schemas-microsoft-com:office:smarttags" w:element="PersonName">
        <w:smartTagPr>
          <w:attr w:name="ProductID" w:val="La Haya. Este"/>
        </w:smartTagPr>
        <w:r>
          <w:t>La Haya. Este</w:t>
        </w:r>
      </w:smartTag>
      <w:r>
        <w:t xml:space="preserve"> acuerdo brinda protección a los niños objeto de adopciones internacionales de forma similar al Convenio de La Haya.</w:t>
      </w:r>
    </w:p>
    <w:p w:rsidR="00AA5B69" w:rsidRDefault="00AA5B69">
      <w:pPr>
        <w:spacing w:after="120"/>
        <w:ind w:left="1134" w:right="1134"/>
        <w:jc w:val="both"/>
      </w:pPr>
      <w:r>
        <w:t>184.</w:t>
      </w:r>
      <w:r>
        <w:tab/>
        <w:t>Según las leyes de todos los territorios y provincias, constituye un delito el hecho de que una persona dé, reciba, o acuerde dar o recibir, un pago o recompensa en relación con una adopción internacional. En la legislación de cada jurisdicción se indica que, si se cobra por los servicios prestados, la suma debe ser apropiada, incluyendo solamente los costos y gastos y unos honorarios profesionales razonables. En las reglamentaciones de Ontario y de Columbia Británica, por ejemplo, se han establecido límites con respecto a las cantidades que se pueden percibir.</w:t>
      </w:r>
    </w:p>
    <w:p w:rsidR="00AA5B69" w:rsidRDefault="00AA5B69">
      <w:pPr>
        <w:spacing w:after="120"/>
        <w:ind w:left="1134" w:right="1134"/>
        <w:jc w:val="both"/>
      </w:pPr>
      <w:r>
        <w:t>185.</w:t>
      </w:r>
      <w:r>
        <w:tab/>
        <w:t>Las leyes sobre inmigración del Canadá también incorporan principios y prácticas que se basan en el Convenio de La Haya sobre adopción internacional. Toda adopción debe ser legal, corresponder al interés superior del niño, no presentar ningún indicio de trata de niños, y los padres biológicos deben otorgar su consentimiento libre e informado antes de que se conceda el visado a un niño. Por ejemplo, en el párrafo 3 del reglamento 117 de la Ley de inmigración y protección de los refugiados se estipula que si el país en el que tiene lugar una adopción internacional, o la provincia de destino del niño, no es parte del Convenio de La Haya sobre adopción internacional, no debe haber ningún indicio de que la adopción tiene por objeto la trata de niños o la obtención de beneficios indebidos, en el sentido que se establece en el Convenio de La Haya.</w:t>
      </w:r>
    </w:p>
    <w:p w:rsidR="00AA5B69" w:rsidRDefault="00AA5B69">
      <w:pPr>
        <w:spacing w:after="120"/>
        <w:ind w:left="1134" w:right="1134"/>
        <w:jc w:val="both"/>
      </w:pPr>
      <w:r>
        <w:t>186.</w:t>
      </w:r>
      <w:r>
        <w:tab/>
        <w:t>Los funcionarios encargados de expedir visados en el extranjero también deben corroborar que el niño no haya sido vendido, o haya sido objeto de trata o secuestrado, y que su documentación es válida. Estos funcionarios están en condiciones de evaluar si una adopción internacional ha seguido los procedimientos legales en el país en el que se ha llevado a cabo, y determinar si existen indicios de que se trate de un caso de trata de niños. Estos funcionarios tienen conocimientos especializados en materia de documentación civil, y garantizan que la identidad del niño adoptado es la que se declara y que la documentación del procedimiento de adopción del país de nacionalidad se ajusta a las normas. De forma análoga, los funcionarios encargados de expedir visados suelen conocer la integridad y la competencia de las principales instituciones y de los agentes locales que participan en el proceso (tribunales, ministerios sociales, orfanatos, instituciones locales de adopción), y están al corriente de los posibles problemas relacionados con la protección de los niños en el país en cuestión. En aquellos países donde existen pruebas de sobornos, documentación fraudulenta o trata, los funcionarios pueden realizar investigaciones adicionales.</w:t>
      </w:r>
    </w:p>
    <w:p w:rsidR="00AA5B69" w:rsidRDefault="00AA5B69">
      <w:pPr>
        <w:pStyle w:val="HChG"/>
        <w:spacing w:after="0"/>
      </w:pPr>
      <w:r>
        <w:tab/>
      </w:r>
      <w:r>
        <w:tab/>
        <w:t>Parte VI</w:t>
      </w:r>
    </w:p>
    <w:p w:rsidR="00AA5B69" w:rsidRDefault="00AA5B69">
      <w:pPr>
        <w:pStyle w:val="HChG"/>
        <w:spacing w:before="0"/>
      </w:pPr>
      <w:r>
        <w:tab/>
      </w:r>
      <w:r>
        <w:tab/>
        <w:t>Protección de los derechos de las víctimas</w:t>
      </w:r>
    </w:p>
    <w:p w:rsidR="00AA5B69" w:rsidRDefault="00AA5B69">
      <w:pPr>
        <w:pStyle w:val="H1G"/>
      </w:pPr>
      <w:r>
        <w:tab/>
      </w:r>
      <w:r>
        <w:tab/>
        <w:t>Medidas para garantizar el interés superior de las víctimas</w:t>
      </w:r>
    </w:p>
    <w:p w:rsidR="00AA5B69" w:rsidRDefault="00AA5B69">
      <w:pPr>
        <w:spacing w:after="120"/>
        <w:ind w:left="1134" w:right="1134"/>
        <w:jc w:val="both"/>
      </w:pPr>
      <w:r>
        <w:t>187.</w:t>
      </w:r>
      <w:r>
        <w:tab/>
        <w:t>El Canadá copatrocinó la resolución que dio lugar a la aprobación de las Directrices de las Naciones Unidas sobre la justicia en asuntos concernientes a los niños víctimas y testigos de delitos por el Consejo Económico y Social, en julio de 2005. Las Directrices, que instan a que el interés superior del niño sea la consideración primordial en el tratamiento de los niños involucrados en el sistema de justicia penal, son respetadas en el Canadá.</w:t>
      </w:r>
    </w:p>
    <w:p w:rsidR="00AA5B69" w:rsidRDefault="00AA5B69">
      <w:pPr>
        <w:spacing w:after="120"/>
        <w:ind w:left="1134" w:right="1134"/>
        <w:jc w:val="both"/>
      </w:pPr>
      <w:r>
        <w:t>188.</w:t>
      </w:r>
      <w:r>
        <w:tab/>
        <w:t>Además de apoyar los esfuerzos desplegados en el ámbito internacional en esta esfera, el Gobierno del Canadá ha puesto en marcha algunas medidas legislativas y políticas para garantizar el interés superior de las víctimas, entre las que figuran la protección de los testigos, las prohibiciones de publicación y formas alternativas de prestar testimonio.</w:t>
      </w:r>
    </w:p>
    <w:p w:rsidR="00AA5B69" w:rsidRDefault="00AA5B69">
      <w:pPr>
        <w:spacing w:after="120"/>
        <w:ind w:left="1134" w:right="1134"/>
        <w:jc w:val="both"/>
      </w:pPr>
      <w:r>
        <w:t>189.</w:t>
      </w:r>
      <w:r>
        <w:tab/>
        <w:t>En el Código Penal se prevén varias formas de protección de las víctimas y los testigos que participan en los procesos de justicia penal.</w:t>
      </w:r>
    </w:p>
    <w:p w:rsidR="00AA5B69" w:rsidRDefault="00AA5B69">
      <w:pPr>
        <w:spacing w:after="120"/>
        <w:ind w:left="1134" w:right="1134"/>
        <w:jc w:val="both"/>
      </w:pPr>
      <w:r>
        <w:t>190.</w:t>
      </w:r>
      <w:r>
        <w:tab/>
        <w:t>En el caso de las víctimas o los testigos menores de 18 años de edad, o con alguna discapacidad que les dificulta la comunicación, a fin de que su participación en el sistema de justicia penal sea menos traumática, se proporcionan los siguientes medios para facilitar la prestación de declaración:</w:t>
      </w:r>
    </w:p>
    <w:p w:rsidR="00AA5B69" w:rsidRDefault="00AA5B69">
      <w:pPr>
        <w:pStyle w:val="Bullet1G"/>
      </w:pPr>
      <w:r>
        <w:t>Los testigos pueden prestar declaración fuera de la sala del tribunal mediante un circuito cerrado de televisión, o detrás de una mampara que impida que la víctima vea al acusado;</w:t>
      </w:r>
    </w:p>
    <w:p w:rsidR="00AA5B69" w:rsidRDefault="00AA5B69">
      <w:pPr>
        <w:pStyle w:val="Bullet1G"/>
      </w:pPr>
      <w:r>
        <w:t>Una persona de apoyo puede acompañar a los niños víctimas mientras prestan testimonio;</w:t>
      </w:r>
    </w:p>
    <w:p w:rsidR="00AA5B69" w:rsidRDefault="00AA5B69">
      <w:pPr>
        <w:pStyle w:val="Bullet1G"/>
      </w:pPr>
      <w:r>
        <w:t>Cuando el acusado se representa a sí mismo, se puede designar a un abogado para que realice las repreguntas a un niño víctima;</w:t>
      </w:r>
    </w:p>
    <w:p w:rsidR="00AA5B69" w:rsidRDefault="00AA5B69">
      <w:pPr>
        <w:pStyle w:val="Bullet1G"/>
      </w:pPr>
      <w:r>
        <w:t>Un niño víctima o testigo puede recibir estas protecciones, previa solicitud, en cualquier proceso, sin necesidad de demostrar su necesidad, excepto que el juez considere que ello podría interferir en el proceso de administración de justicia.</w:t>
      </w:r>
    </w:p>
    <w:p w:rsidR="00AA5B69" w:rsidRDefault="00AA5B69">
      <w:pPr>
        <w:spacing w:after="120"/>
        <w:ind w:left="1134" w:right="1134"/>
        <w:jc w:val="both"/>
      </w:pPr>
      <w:r>
        <w:t>191.</w:t>
      </w:r>
      <w:r>
        <w:tab/>
        <w:t>El Código Penal también permite a un juez ordenar a todos o a algunos de los miembros del público que abandonen la sala de audiencias durante la totalidad o parte de las actuaciones judiciales en las que participan niños víctimas. También se puede prohibir la publicación de toda información que permita identificar a un niño víctima o testigo. Esas prohibiciones son obligatorias cuando se trata de testigos menores de 18 años de edad en un proceso sobre delitos sexuales o violentos.</w:t>
      </w:r>
    </w:p>
    <w:p w:rsidR="00AA5B69" w:rsidRDefault="00AA5B69">
      <w:pPr>
        <w:spacing w:after="120"/>
        <w:ind w:left="1134" w:right="1134"/>
        <w:jc w:val="both"/>
      </w:pPr>
      <w:r>
        <w:t>192.</w:t>
      </w:r>
      <w:r>
        <w:tab/>
        <w:t>El testimonio grabado en video de niños víctimas o testigos es admisible como prueba en un juicio penal de cualquier delito, siempre que la grabación en video se haya efectuado en un período de tiempo razonable tras la comisión del presunto delito y que la víctima o el testigo confirme su contenido en el juicio.</w:t>
      </w:r>
    </w:p>
    <w:p w:rsidR="00AA5B69" w:rsidRDefault="00AA5B69">
      <w:pPr>
        <w:spacing w:after="120"/>
        <w:ind w:left="1134" w:right="1134"/>
        <w:jc w:val="both"/>
      </w:pPr>
      <w:r>
        <w:t>193.</w:t>
      </w:r>
      <w:r>
        <w:tab/>
        <w:t xml:space="preserve">En enero de 2006 se modificó la Ley de pruebas del Canadá para permitir que los testigos menores de 14 años de edad con capacidad para comprender y responder a las preguntas presten testimonio tras prometer decir </w:t>
      </w:r>
      <w:smartTag w:uri="urn:schemas-microsoft-com:office:smarttags" w:element="PersonName">
        <w:smartTagPr>
          <w:attr w:name="ProductID" w:val="la verdad. Esta"/>
        </w:smartTagPr>
        <w:r>
          <w:t>la verdad. Esta</w:t>
        </w:r>
      </w:smartTag>
      <w:r>
        <w:t xml:space="preserve"> modificación eliminó los requisitos de competencia y de juramento en el caso de los testigos menores de 14 años de edad.</w:t>
      </w:r>
    </w:p>
    <w:p w:rsidR="00AA5B69" w:rsidRDefault="00AA5B69">
      <w:pPr>
        <w:spacing w:after="120"/>
        <w:ind w:left="1134" w:right="1134"/>
        <w:jc w:val="both"/>
      </w:pPr>
      <w:r>
        <w:t>194.</w:t>
      </w:r>
      <w:r>
        <w:tab/>
        <w:t>El Código Penal también contiene disposiciones que autorizan que un tribunal dicte prohibiciones específicas a los delincuentes condenados por delitos sexuales, así como órdenes de protección y otros procedimientos administrativos en los casos de agresiones sexuales que afectan a niños. Cabe citar como ejemplo la orden a los delincuentes condenados por delitos sexuales de mantenerse alejados de los parques y escuelas, así como la prohibición de trabajar en puestos que impliquen una relación de confianza con niños. Si un delincuente agrede a un hijo, o al hijo de su cónyuge o de su pareja de hecho, el tribunal puede considerar este hecho como un agravante, que puede dar lugar a una sentencia más severa. El Código Penal también prevé la posibilidad de que el tribunal dicte una orden de reconocimiento si considera que se podría estar cometiendo un delito sexual contra un niño.</w:t>
      </w:r>
    </w:p>
    <w:p w:rsidR="00AA5B69" w:rsidRDefault="00AA5B69">
      <w:pPr>
        <w:spacing w:after="120"/>
        <w:ind w:left="1134" w:right="1134"/>
        <w:jc w:val="both"/>
      </w:pPr>
      <w:r>
        <w:t>195.</w:t>
      </w:r>
      <w:r>
        <w:tab/>
        <w:t>Un elemento fundamental de las investigaciones contra la explotación sexual de los niños por medio de Internet es identificar, localizar y apartar a los niños susceptibles de ser nuevas víctimas. Para el Gobierno del Canadá, identificar a las víctimas constituye una prioridad fundamental. En 2006 se creó la unidad de identificación de víctimas del Centro nacional de coordinación contra la explotación de los niños. Esta unidad participa en unas cinco investigaciones internacionales por semana, colabora cotidianamente con más de 18 países, y realiza una labor de comparación de imágenes a fin de evitar la duplicación de las investigaciones. Hasta junio de 2008 se consiguió identificar a 234 niños canadienses o extranjeros, en gran medida gracias a los esfuerzos desplegados por el Canadá para hacer cumplir la ley.</w:t>
      </w:r>
    </w:p>
    <w:p w:rsidR="00AA5B69" w:rsidRDefault="00AA5B69">
      <w:pPr>
        <w:spacing w:after="120"/>
        <w:ind w:left="1134" w:right="1134"/>
        <w:jc w:val="both"/>
      </w:pPr>
      <w:r>
        <w:t>196.</w:t>
      </w:r>
      <w:r>
        <w:tab/>
        <w:t>En la Ley de inmigración y protección de los refugiados se reconoce que el interés superior del niño es una consideración primordial. Por lo tanto, en principio, y en la medida de lo posible, el Canadá procura que en su legislación se reduzcan al mínimo las diferencias entre los niños extranjeros y los niños nacidos o naturalizados en el Canadá. Los ciudadanos canadienses, los residentes permanentes y los extranjeros que se hallan en el territorio del Canadá están protegidos por la Carta de Derechos y Libertades del Canadá. La protección de los derechos humanos no depende de la edad, pero las distintas condiciones y beneficios de que gozan los ciudadanos extranjeros están en función de su situación en términos de inmigración.</w:t>
      </w:r>
    </w:p>
    <w:p w:rsidR="00AA5B69" w:rsidRDefault="00AA5B69">
      <w:pPr>
        <w:spacing w:after="120"/>
        <w:ind w:left="1134" w:right="1134"/>
        <w:jc w:val="both"/>
      </w:pPr>
      <w:r>
        <w:t>197.</w:t>
      </w:r>
      <w:r>
        <w:tab/>
        <w:t>Todos los solicitantes de asilo, incluidos los niños, reciben un documento que los identifica como beneficiarios del programa de protección de los refugiados del Canadá. Ese documento facilita el acceso a los servicios en las comunidades.</w:t>
      </w:r>
    </w:p>
    <w:p w:rsidR="00AA5B69" w:rsidRDefault="00AA5B69">
      <w:pPr>
        <w:spacing w:after="120"/>
        <w:ind w:left="1134" w:right="1134"/>
        <w:jc w:val="both"/>
      </w:pPr>
      <w:r>
        <w:t>198.</w:t>
      </w:r>
      <w:r>
        <w:tab/>
        <w:t>La responsabilidad en materia de protección del bienestar de los niños corresponde a las provincias y los territorios, y son los organismos de protección de la infancia a nivel local los que determinan el grado de atención y tratamiento que necesitan los niños incluidos en su jurisdicción. Posteriormente, las autoridades provinciales o territoriales se hacen cargo de la atención y protección de esos niños, como se describe en la sección de este informe correspondiente a los servicios destinados a las víctimas.</w:t>
      </w:r>
    </w:p>
    <w:p w:rsidR="00AA5B69" w:rsidRDefault="00AA5B69">
      <w:pPr>
        <w:spacing w:after="120"/>
        <w:ind w:left="1134" w:right="1134"/>
        <w:jc w:val="both"/>
      </w:pPr>
      <w:r>
        <w:t>199.</w:t>
      </w:r>
      <w:r>
        <w:tab/>
        <w:t>Todos los gobiernos provinciales y territoriales prestan servicios a las víctimas de delitos, y muchos de ellos aplican programas destinados específicamente a los niños víctimas. Esos programas incluyen servicios en materia de apoyo emocional, información, remisiones y asistencia práctica. En algunos territorios y provincias existe una medida en vigor que exige que la fiscalía informe de sus derechos al niño y al tutor legal, y los ponga al corriente de las opciones de las que disponen en su participación en el proceso. Además, algunos organismos del Canadá brindan una asistencia especial a los niños víctimas. Muchos de ellos son organizaciones comunitarias que prestan servicios a las víctimas de delitos, que cuentan con servicios especializados para los niños víctimas de malos tratos.</w:t>
      </w:r>
    </w:p>
    <w:p w:rsidR="00AA5B69" w:rsidRDefault="00AA5B69">
      <w:pPr>
        <w:spacing w:after="120"/>
        <w:ind w:left="1134" w:right="1134"/>
        <w:jc w:val="both"/>
      </w:pPr>
      <w:r>
        <w:t>200.</w:t>
      </w:r>
      <w:r>
        <w:tab/>
        <w:t xml:space="preserve">Por ejemplo, en virtud de la Ley sobre relaciones de familia de Columbia Británica, todos los niños menores de 19 años que carecen de tutor pasan a estar al cuidado del Director de Bienestar de </w:t>
      </w:r>
      <w:smartTag w:uri="urn:schemas-microsoft-com:office:smarttags" w:element="PersonName">
        <w:smartTagPr>
          <w:attr w:name="ProductID" w:val="la Infancia. Los"/>
        </w:smartTagPr>
        <w:r>
          <w:t>la Infancia. Los</w:t>
        </w:r>
      </w:smartTag>
      <w:r>
        <w:t xml:space="preserve"> niños y los menores de 19 años de edad no acompañados, víctimas de trata o refugiados que llegan a un puesto fronterizo en Columbia Británica son acogidos en el marco del programa de servicios para inmigrantes, que se estableció en el verano de 1999, tras la llegada en menos de dos meses de cuatro barcos con inmigrantes procedentes de China. Cuando el equipo de servicios para inmigrantes asume la tutela, es responsable de satisfacer las necesidades psíquicas, emocionales, educativas, de salud y de desarrollo de los niños y los jóvenes. Desde 1999, se ha prestado asistencia en el marco de este programa a unos 400 niños en distintas esferas.</w:t>
      </w:r>
    </w:p>
    <w:p w:rsidR="00AA5B69" w:rsidRDefault="00AA5B69">
      <w:pPr>
        <w:spacing w:after="120"/>
        <w:ind w:left="1134" w:right="1134"/>
        <w:jc w:val="both"/>
      </w:pPr>
      <w:r>
        <w:t>201.</w:t>
      </w:r>
      <w:r>
        <w:tab/>
        <w:t>El servicio VictimLINK de Columbia Británica es una línea de atención telefónica gratuita para toda la provincia, que funciona ininterrumpidamente, en varios idiomas, destinada a las víctimas de delitos, incluidas las víctimas de violencia en la familia y violencia sexual. Este servicio también está a disposición de los residentes de Yukón.</w:t>
      </w:r>
    </w:p>
    <w:p w:rsidR="00AA5B69" w:rsidRDefault="00AA5B69">
      <w:pPr>
        <w:spacing w:after="120"/>
        <w:ind w:left="1134" w:right="1134"/>
        <w:jc w:val="both"/>
      </w:pPr>
      <w:r>
        <w:t>202.</w:t>
      </w:r>
      <w:r>
        <w:tab/>
        <w:t>En la Ley sobre las víctimas de delitos de Alberta se establece que la seguridad de las víctimas debe tenerse en cuenta en todas las etapas del proceso penal, y que se deben adoptar, cuando sea necesario, las medidas apropiadas para proteger a las víctimas contra posibles intimidaciones o represalias. Entre los principios que se establecen en la Ley para el tratamiento de las víctimas figuran los siguientes:</w:t>
      </w:r>
    </w:p>
    <w:p w:rsidR="00AA5B69" w:rsidRDefault="00AA5B69">
      <w:pPr>
        <w:pStyle w:val="Bullet1G"/>
      </w:pPr>
      <w:r>
        <w:t>Se debe tener en cuenta y respetar en la mayor medida posible la intimidad de las víctimas;</w:t>
      </w:r>
    </w:p>
    <w:p w:rsidR="00AA5B69" w:rsidRDefault="00AA5B69">
      <w:pPr>
        <w:pStyle w:val="Bullet1G"/>
      </w:pPr>
      <w:r>
        <w:t>La seguridad de las víctimas debe tenerse en cuenta en todas las etapas del proceso penal, y se deben adoptar, cuando sea necesario, las medidas apropiadas para proteger a las víctimas contra posibles intimidaciones o represalias;</w:t>
      </w:r>
    </w:p>
    <w:p w:rsidR="00AA5B69" w:rsidRDefault="00AA5B69">
      <w:pPr>
        <w:pStyle w:val="Bullet1G"/>
      </w:pPr>
      <w:r>
        <w:t>Se debe proporcionar información a las víctimas sobre su papel en el proceso, las leyes y la manera en que se aplican en su situación, los servicios de asistencia, y los recursos disponibles en caso de que considerara que no se respetan sus derechos;</w:t>
      </w:r>
    </w:p>
    <w:p w:rsidR="00AA5B69" w:rsidRDefault="00AA5B69">
      <w:pPr>
        <w:pStyle w:val="Bullet1G"/>
      </w:pPr>
      <w:r>
        <w:t>Las opiniones, preocupaciones y observaciones de las víctimas constituyen elementos muy importantes en el proceso penal, y se deben tener en cuenta, de conformidad con las leyes, las políticas y los procedimientos en vigor.</w:t>
      </w:r>
    </w:p>
    <w:p w:rsidR="00AA5B69" w:rsidRDefault="00AA5B69">
      <w:pPr>
        <w:spacing w:after="120"/>
        <w:ind w:left="1134" w:right="1134"/>
        <w:jc w:val="both"/>
      </w:pPr>
      <w:r>
        <w:t>203.</w:t>
      </w:r>
      <w:r>
        <w:tab/>
        <w:t>En el Protocolo sobre las víctimas de delitos del Gobierno de Alberta, de 2007, se establecen los servicios mínimos que diversos organismos de justicia penal deben poner a disposición de las víctimas. El Protocolo establece que se deben garantizar esos servicios a las víctimas vulnerables o que son objeto de intimidación, como los niños, las personas con discapacidad, o las que estén en una situación de mayor riesgo debido a su relación con la persona acusada.</w:t>
      </w:r>
    </w:p>
    <w:p w:rsidR="00AA5B69" w:rsidRDefault="00AA5B69">
      <w:pPr>
        <w:spacing w:after="120"/>
        <w:ind w:left="1134" w:right="1134"/>
        <w:jc w:val="both"/>
      </w:pPr>
      <w:r>
        <w:t>204.</w:t>
      </w:r>
      <w:r>
        <w:tab/>
        <w:t>El Centro de protección de niños Zebra de Edmonton (Alberta) agrupa a un conjunto multidisciplinar de profesionales en un centro que se ocupa de los niños víctimas de malos tratos. Utilizando sus propios recursos, y mediante la colaboración con la comunidad, brinda servicios fundamentales y apoyo de carácter jurídico, social, médico y de salud mental a los niños, así como a los progenitores o tutores que no hayan delinquido.</w:t>
      </w:r>
    </w:p>
    <w:p w:rsidR="00AA5B69" w:rsidRDefault="00AA5B69">
      <w:pPr>
        <w:spacing w:after="120"/>
        <w:ind w:left="1134" w:right="1134"/>
        <w:jc w:val="both"/>
      </w:pPr>
      <w:r>
        <w:t>205.</w:t>
      </w:r>
      <w:r>
        <w:tab/>
        <w:t xml:space="preserve">En Saskatchewan, se modificaron en 2002 los Reglamentos sobre las víctimas de delitos de 1997, con objeto de asegurar que los niños y los jóvenes víctimas de delitos de explotación en el comercio sexual accedieran a una amplia gama de servicios destinados a las víctimas, incluida </w:t>
      </w:r>
      <w:smartTag w:uri="urn:schemas-microsoft-com:office:smarttags" w:element="PersonName">
        <w:smartTagPr>
          <w:attr w:name="ProductID" w:val="la indemnizaci￳n. Los Reglamentos"/>
        </w:smartTagPr>
        <w:r>
          <w:t>la indemnización. Los Reglamentos</w:t>
        </w:r>
      </w:smartTag>
      <w:r>
        <w:t xml:space="preserve"> se modificaron nuevamente en 2006 para incluir la explotación sexual de las personas con discapacidad. Esos servicios se financian mediante la imposición de recargos que se destinan a las víctimas. El Director del Ministerio Público ha solicitado a los fiscales que reclamen recargos mayores de lo habitual en todos los casos de niños víctimas de malos tratos y, en particular, en los casos de explotación en el comercio sexual.</w:t>
      </w:r>
    </w:p>
    <w:p w:rsidR="00AA5B69" w:rsidRDefault="00AA5B69">
      <w:pPr>
        <w:spacing w:after="120"/>
        <w:ind w:left="1134" w:right="1134"/>
        <w:jc w:val="both"/>
      </w:pPr>
      <w:r>
        <w:t>206.</w:t>
      </w:r>
      <w:r>
        <w:tab/>
        <w:t>En las audiencias celebradas en causas de protección de niños en Saskatchewan, el tribunal puede admitir testimonios de referencia o declaraciones juradas, y los niños no suelen prestar declaración testimonial. En otros procesos ante los tribunales en los que participan niños, los coordinadores para las víctimas y los testigos evalúan las necesidades de los niños testigos y formulan recomendaciones sobre su comparecencia ante el tribunal (por ejemplo, la utilización de una mampara, dispositivos de sonido, o apoyos adicionales para los niños muy pequeños o temerosos en su asistencia a la audiencia). Los coordinadores para las víctimas y los testigos también brindan información, apoyo y asistencia a los niños testigos y a sus progenitores y familias en todo el proceso penal.</w:t>
      </w:r>
    </w:p>
    <w:p w:rsidR="00AA5B69" w:rsidRDefault="00AA5B69">
      <w:pPr>
        <w:spacing w:after="120"/>
        <w:ind w:left="1134" w:right="1134"/>
        <w:jc w:val="both"/>
      </w:pPr>
      <w:r>
        <w:t>207.</w:t>
      </w:r>
      <w:r>
        <w:tab/>
        <w:t xml:space="preserve">En Manitoba, hay diversas instituciones de acogida y recursos destinados a los niños y los jóvenes que residen en la provincia, a quienes se prestan servicios especializados en los casos de explotación sexual. El programa denominado Transición, Educación y Recursos para las Mujeres, dependiente de </w:t>
      </w:r>
      <w:smartTag w:uri="urn:schemas-microsoft-com:office:smarttags" w:element="PersonName">
        <w:smartTagPr>
          <w:attr w:name="ProductID" w:val="la instituci￳n New Directions"/>
        </w:smartTagPr>
        <w:r>
          <w:t>la institución New Directions</w:t>
        </w:r>
      </w:smartTag>
      <w:r>
        <w:t>, está destinado a los jóvenes víctimas de explotación en el comercio sexual mediante un programa de atención no residencial. La provincia financia las necesidades de las víctimas en materia de orientación, a solicitud de estas y en relación con determinados delitos, que incluyen los abarcados en el Protocolo.</w:t>
      </w:r>
    </w:p>
    <w:p w:rsidR="00AA5B69" w:rsidRDefault="00AA5B69">
      <w:pPr>
        <w:spacing w:after="120"/>
        <w:ind w:left="1134" w:right="1134"/>
        <w:jc w:val="both"/>
      </w:pPr>
      <w:r>
        <w:t>208.</w:t>
      </w:r>
      <w:r>
        <w:tab/>
        <w:t>En Ontario, el proyecto sobre los niños testigos, que está a cargo del Centro para los niños y las familias, ayuda a los niños y adolescentes que tienen que prestar declaración testimonial ante un tribunal penal, generalmente en casos que hacen referencia a malos tratos físicos o sexuales en los que han sido testigos de malos tratos contra sus madres. Desde su creación, el proyecto ha prestado asistencia a más de 1.000 niños y adolescentes, así como a algunos adultos con dificultades de desarrollo.</w:t>
      </w:r>
    </w:p>
    <w:p w:rsidR="00AA5B69" w:rsidRDefault="00AA5B69">
      <w:pPr>
        <w:spacing w:after="120"/>
        <w:ind w:left="1134" w:right="1134"/>
        <w:jc w:val="both"/>
      </w:pPr>
      <w:r>
        <w:t>209.</w:t>
      </w:r>
      <w:r>
        <w:tab/>
        <w:t>Los 16 centros de apoyo a las víctimas de actos delictivos de Quebec se rigen por la Ley sobre la asistencia a las víctimas de delitos. Estos centros ofrecen diversos servicios a las víctimas, que incluyen a los niños, entre los que figuran: la intervención psicosocial, la información sobre los recursos, la asistencia psicológica y la remisión a servicios especializados. Trabajan en colaboración con la justicia, los trabajadores de la salud y los de los servicios sociales, así como con organizaciones comunitarias, para poder prestar a las víctimas los servicios necesarios.</w:t>
      </w:r>
    </w:p>
    <w:p w:rsidR="00AA5B69" w:rsidRDefault="00AA5B69">
      <w:pPr>
        <w:spacing w:after="120"/>
        <w:ind w:left="1134" w:right="1134"/>
        <w:jc w:val="both"/>
      </w:pPr>
      <w:r>
        <w:t>210.</w:t>
      </w:r>
      <w:r>
        <w:tab/>
        <w:t>El Programa para los niños víctimas y testigos de Nueva Escocia brinda servicios especializados para preparar y apoyar a los niños víctimas o testigos que tienen que prestar testimonio en los procesos penales.</w:t>
      </w:r>
    </w:p>
    <w:p w:rsidR="00AA5B69" w:rsidRDefault="00AA5B69">
      <w:pPr>
        <w:spacing w:after="120"/>
        <w:ind w:left="1134" w:right="1134"/>
        <w:jc w:val="both"/>
      </w:pPr>
      <w:r>
        <w:t>211.</w:t>
      </w:r>
      <w:r>
        <w:tab/>
        <w:t xml:space="preserve">En la Isla del Príncipe Eduardo, los servicios de asistencia a las víctimas proporcionan orientación y preparación judicial adaptada a los niños, ayuda para que las víctimas formulen declaraciones, remisiones a servicios de consulta y otros servicios de apoyo, así como indemnizaciones económicas por el dolor y el sufrimiento padecido y los costos asociados a los perjuicios personales causados por los delitos. Se han dispuesto salas de espera adaptadas a los niños en todos los juzgados de </w:t>
      </w:r>
      <w:smartTag w:uri="urn:schemas-microsoft-com:office:smarttags" w:element="PersonName">
        <w:smartTagPr>
          <w:attr w:name="ProductID" w:val="la provincia. El C￳digo"/>
        </w:smartTagPr>
        <w:r>
          <w:t>la provincia. El Código</w:t>
        </w:r>
      </w:smartTag>
      <w:r>
        <w:t xml:space="preserve"> Penal contiene disposiciones especiales en relación con los niños víctimas, y se prevén medios para facilitar la prestación de declaraciones, como mamparas, una persona de apoyo, un circuito cerrado de televisión, y la posibilidad de ordenar la prohibición de publicar su identidad. Se puede consultar más información sobre los servicios de asistencia a las víctimas de la Isla del Príncipe Eduardo en www.gov.pe.ca/go/victimservices.</w:t>
      </w:r>
    </w:p>
    <w:p w:rsidR="00AA5B69" w:rsidRDefault="00AA5B69">
      <w:pPr>
        <w:spacing w:after="120"/>
        <w:ind w:left="1134" w:right="1134"/>
        <w:jc w:val="both"/>
      </w:pPr>
      <w:r>
        <w:t>212.</w:t>
      </w:r>
      <w:r>
        <w:tab/>
        <w:t>En esta provincia las víctimas también disponen de servicios de psiquiatras, psicólogos y organismos de asesoramiento. Los niños que asisten a la escuela pueden ser remitidos a un servicio de consulta si se detecta un caso de explotación sexual. La Asociación de la Isla del Príncipe Eduardo para los recién llegados al Canadá brinda asistencia adicional a las familias inmigrantes.</w:t>
      </w:r>
    </w:p>
    <w:p w:rsidR="00AA5B69" w:rsidRDefault="00AA5B69">
      <w:pPr>
        <w:spacing w:after="120"/>
        <w:ind w:left="1134" w:right="1134"/>
        <w:jc w:val="both"/>
      </w:pPr>
      <w:r>
        <w:t>213.</w:t>
      </w:r>
      <w:r>
        <w:tab/>
        <w:t>Los servicios de asistencia a las víctimas de Terranova y Labrador proporcionan ayuda a los niños que tienen que prestar testimonio en los procesos penales. El programa también presta apoyo a los cuidadores de las víctimas. La preparación para el juicio se realiza a lo largo de varias reuniones, teniendo en cuenta los problemas específicos y de desarrollo de los niños testigos.</w:t>
      </w:r>
    </w:p>
    <w:p w:rsidR="00AA5B69" w:rsidRDefault="00AA5B69">
      <w:pPr>
        <w:spacing w:after="120"/>
        <w:ind w:left="1134" w:right="1134"/>
        <w:jc w:val="both"/>
      </w:pPr>
      <w:r>
        <w:t>214.</w:t>
      </w:r>
      <w:r>
        <w:tab/>
        <w:t>En todas las jurisdicciones, cuando una víctima de agresión sexual parece ser menor de 18 años (aunque no se conozca su verdadera edad) se trata el caso con seriedad. Los esfuerzos de colaboración y la red de seguridad entre los asociados policiales internacionales han permitido un gran avance en la identificación de los niños víctimas que aparecen en imágenes de abusos sexuales a niños que corresponden a los criterios asociados a la pornografía infantil, así como en materia de localización y rescate de los niños. Esto ha disminuido la duplicación de esfuerzos en la investigación para determinar si una víctima es o no menor de 18 años de edad.</w:t>
      </w:r>
    </w:p>
    <w:p w:rsidR="00AA5B69" w:rsidRDefault="00AA5B69">
      <w:pPr>
        <w:pStyle w:val="H1G"/>
      </w:pPr>
      <w:r>
        <w:tab/>
      </w:r>
      <w:r>
        <w:tab/>
        <w:t>La capacitación de los profesionales que se ocupan del apoyo a las víctimas</w:t>
      </w:r>
    </w:p>
    <w:p w:rsidR="00AA5B69" w:rsidRDefault="00AA5B69">
      <w:pPr>
        <w:spacing w:after="120"/>
        <w:ind w:left="1134" w:right="1134"/>
        <w:jc w:val="both"/>
      </w:pPr>
      <w:r>
        <w:t>215.</w:t>
      </w:r>
      <w:r>
        <w:tab/>
        <w:t>En la mayoría de las provincias y los territorios se requiere que el personal que se ocupa de las víctimas tenga experiencia en trabajo social, complementado mediante una formación continua.</w:t>
      </w:r>
    </w:p>
    <w:p w:rsidR="00AA5B69" w:rsidRDefault="00AA5B69">
      <w:pPr>
        <w:spacing w:after="120"/>
        <w:ind w:left="1134" w:right="1134"/>
        <w:jc w:val="both"/>
      </w:pPr>
      <w:r>
        <w:t>216.</w:t>
      </w:r>
      <w:r>
        <w:tab/>
        <w:t xml:space="preserve">Por ejemplo, el gobierno de Alberta ha diseñado una capacitación uniforme para el personal y los voluntarios que trabajan en los programas de asistencia a las víctimas organizados por la policía o </w:t>
      </w:r>
      <w:smartTag w:uri="urn:schemas-microsoft-com:office:smarttags" w:element="PersonName">
        <w:smartTagPr>
          <w:attr w:name="ProductID" w:val="la comunidad. El"/>
        </w:smartTagPr>
        <w:r>
          <w:t>la comunidad. El</w:t>
        </w:r>
      </w:smartTag>
      <w:r>
        <w:t xml:space="preserve"> manual de capacitación para la defensa de las víctimas contiene módulos que tratan de las agresiones sexuales cometidas contra los niños, el apoyo mutuo entre los profesionales en situaciones de crisis y la autonomía personal.</w:t>
      </w:r>
    </w:p>
    <w:p w:rsidR="00AA5B69" w:rsidRDefault="00AA5B69">
      <w:pPr>
        <w:spacing w:after="120"/>
        <w:ind w:left="1134" w:right="1134"/>
        <w:jc w:val="both"/>
      </w:pPr>
      <w:r>
        <w:t>217.</w:t>
      </w:r>
      <w:r>
        <w:tab/>
        <w:t>En Saskatchewan, se imparte una nueva capacitación a los grupos y hogares de acogida y a otros servicios de tratamiento existentes, a fin de asegurar que puedan ayudar adecuadamente a los niños y jóvenes víctimas de explotación. En 2002, al entrar en vigor en octubre la Ley de emergencia para la protección de las víctimas de abuso y explotación sexual infantil, se impartió capacitación al personal que se ocupa de la protección, al de los organismos de difusión, al personal policial, a los jueces de paz, y a los trabajadores de los centros de salud mental, y se imparte capacitación a todo nuevo trabajador. En 2002 también se impartió capacitación especializada a la policía sobre los instrumentos y las técnicas nuevos para combatir la explotación sexual de los niños. Posteriormente, esa capacitación se ha incorporado a la formación básica que se imparte en la Escuela de Policía de Saskatchewan. Desde abril de 2007, se han recibido 21 solicitudes en virtud de esta legislación.</w:t>
      </w:r>
    </w:p>
    <w:p w:rsidR="00AA5B69" w:rsidRDefault="00AA5B69">
      <w:pPr>
        <w:spacing w:after="120"/>
        <w:ind w:left="1134" w:right="1134"/>
        <w:jc w:val="both"/>
      </w:pPr>
      <w:r>
        <w:t>218.</w:t>
      </w:r>
      <w:r>
        <w:tab/>
        <w:t>En Manitoba se han organizado talleres sobre los traumatismos indirectos, que contaron con la participación del personal de los servicios de asistencia a las víctimas. También se ha impartido orientación a los nuevos fiscales en materia de prostitución infantil (proxenetismo), el uso de Internet para atraer a niños con fines sexuales, y la pornografía infantil; en los casos complicados se realizan exámenes entre pares.</w:t>
      </w:r>
    </w:p>
    <w:p w:rsidR="00AA5B69" w:rsidRDefault="00AA5B69">
      <w:pPr>
        <w:spacing w:after="120"/>
        <w:ind w:left="1134" w:right="1134"/>
        <w:jc w:val="both"/>
      </w:pPr>
      <w:r>
        <w:t>219.</w:t>
      </w:r>
      <w:r>
        <w:tab/>
        <w:t>En Ontario, los abogados de la Corona pueden participar en un curso de formación de verano que versa sobre la acusación en los casos de maltrato de niños. En ese curso se imparte una amplia formación jurídica a los fiscales asignados a esos casos. También se han realizado otras conferencias y reuniones de formación en las que se ha impartido capacitación jurídica y conexa a los abogados de la Corona y a otros profesionales que se desempeñan en ese ámbito.</w:t>
      </w:r>
    </w:p>
    <w:p w:rsidR="00AA5B69" w:rsidRDefault="00AA5B69">
      <w:pPr>
        <w:spacing w:after="120"/>
        <w:ind w:left="1134" w:right="1134"/>
        <w:jc w:val="both"/>
      </w:pPr>
      <w:r>
        <w:t>220.</w:t>
      </w:r>
      <w:r>
        <w:tab/>
        <w:t xml:space="preserve">El Centro para los niños y las familias del sistema de justicia de Ontario es un organismo que presta diversos servicios, entre los que figura el proyecto para los niños testigos, la investigación y </w:t>
      </w:r>
      <w:smartTag w:uri="urn:schemas-microsoft-com:office:smarttags" w:element="PersonName">
        <w:smartTagPr>
          <w:attr w:name="ProductID" w:val="la capacitaci￳n. Un"/>
        </w:smartTagPr>
        <w:r>
          <w:t>la capacitación. Un</w:t>
        </w:r>
      </w:smartTag>
      <w:r>
        <w:t xml:space="preserve"> objetivo del Centro es hacer avanzar la comprensión de la situación mediante el estudio de las necesidades de los niños y las familias, así como de la eficacia de las intervenciones. Entre las investigaciones que se realizan figuran las siguientes: el análisis documental para respaldar las recomendaciones sobre el desarrollo y el perfeccionamiento de los programas; la evaluación de los programas de intervención; la consulta sobre los modelos de investigación; la auditoría de los programas; encuestas nacionales sobre los programas; y estudios sobre las repercusiones de los cambios jurídicos y en materia de políticas. Los resultados se utilizan para formular recomendaciones sobre el desarrollo de los programas, iniciativas de políticas y orientaciones para la investigación futura. En 2006 asistieron más de 10.000 profesionales a los talleres de capacitación, y cientos de miles accedieron a sus recursos por medio de Internet.</w:t>
      </w:r>
    </w:p>
    <w:p w:rsidR="00AA5B69" w:rsidRDefault="00AA5B69">
      <w:pPr>
        <w:spacing w:after="120"/>
        <w:ind w:left="1134" w:right="1134"/>
        <w:jc w:val="both"/>
      </w:pPr>
      <w:r>
        <w:t>221.</w:t>
      </w:r>
      <w:r>
        <w:tab/>
        <w:t xml:space="preserve">El gobierno de Nueva Brunswick imparte formación anualmente sobre las modificaciones legales concretas a todo el personal de los servicios de asistencia a las víctimas. También se ha contratado a un experto psicólogo para que organice un taller de dos días de duración, y una parte del mismo se dedicará a los niños víctimas. Asimismo, el personal ha participado en talleres y conferencias en los que </w:t>
      </w:r>
      <w:smartTag w:uri="urn:schemas-microsoft-com:office:smarttags" w:element="PersonName">
        <w:smartTagPr>
          <w:attr w:name="ProductID" w:val="la Real Polic￭a Montada"/>
        </w:smartTagPr>
        <w:r>
          <w:t>la Real Policía Montada</w:t>
        </w:r>
      </w:smartTag>
      <w:r>
        <w:t xml:space="preserve"> del Canadá ha impartido formación sobre la utilización de métodos en Internet para atraer a los niños con fines sexuales, la explotación de niños, la pornografía infantil y la labor en curso para investigar estos delitos y encausar a los infractores.</w:t>
      </w:r>
    </w:p>
    <w:p w:rsidR="00AA5B69" w:rsidRDefault="00AA5B69">
      <w:pPr>
        <w:pStyle w:val="H1G"/>
      </w:pPr>
      <w:r>
        <w:tab/>
      </w:r>
      <w:r>
        <w:tab/>
        <w:t>Reinserción social, reunificación familiar, modalidades alternativas de cuidado y recuperación física y psicológica</w:t>
      </w:r>
    </w:p>
    <w:p w:rsidR="00AA5B69" w:rsidRDefault="00AA5B69">
      <w:pPr>
        <w:spacing w:after="120"/>
        <w:ind w:left="1134" w:right="1134"/>
        <w:jc w:val="both"/>
      </w:pPr>
      <w:r>
        <w:t>222.</w:t>
      </w:r>
      <w:r>
        <w:tab/>
        <w:t xml:space="preserve">El Canadá ha contribuido a la elaboración de los Lineamientos regionales para la protección especial en casos de repatriación de niños, niñas y adolescentes víctimas de la trata de personas, mediante su participación en </w:t>
      </w:r>
      <w:smartTag w:uri="urn:schemas-microsoft-com:office:smarttags" w:element="PersonName">
        <w:smartTagPr>
          <w:attr w:name="ProductID" w:val="la Conferencia Regional"/>
        </w:smartTagPr>
        <w:r>
          <w:t>la Conferencia Regional</w:t>
        </w:r>
      </w:smartTag>
      <w:r>
        <w:t xml:space="preserve"> sobre Migración. En </w:t>
      </w:r>
      <w:smartTag w:uri="urn:schemas-microsoft-com:office:smarttags" w:element="PersonName">
        <w:smartTagPr>
          <w:attr w:name="ProductID" w:val="la Conferencia Regional"/>
        </w:smartTagPr>
        <w:r>
          <w:t>la Conferencia Regional</w:t>
        </w:r>
      </w:smartTag>
      <w:r>
        <w:t xml:space="preserve"> sobre Migración participan diez países miembros de América del Norte y Centroamérica y </w:t>
      </w:r>
      <w:smartTag w:uri="urn:schemas-microsoft-com:office:smarttags" w:element="PersonName">
        <w:smartTagPr>
          <w:attr w:name="ProductID" w:val="la Rep￺blica Dominicana. El"/>
        </w:smartTagPr>
        <w:r>
          <w:t>la República Dominicana. El</w:t>
        </w:r>
      </w:smartTag>
      <w:r>
        <w:t xml:space="preserve"> grupo procura adoptar un enfoque multilateral sobre las cuestiones que suscitan mutua preocupación, relacionadas con la migración internacional. El Canadá aprobó los Lineamientos el 27 de abril de 2007. El propósito de los Lineamientos es fomentar la colaboración entre los países miembros de </w:t>
      </w:r>
      <w:smartTag w:uri="urn:schemas-microsoft-com:office:smarttags" w:element="PersonName">
        <w:smartTagPr>
          <w:attr w:name="ProductID" w:val="la Conferencia Regional"/>
        </w:smartTagPr>
        <w:r>
          <w:t>la Conferencia Regional</w:t>
        </w:r>
      </w:smartTag>
      <w:r>
        <w:t xml:space="preserve"> sobre Migración, y presentar guías para proceder desde la identificación o detección de una niña, niño o adolescente víctima de trata, así como acciones para llevar a cabo su repatriación y traslado.</w:t>
      </w:r>
    </w:p>
    <w:p w:rsidR="00AA5B69" w:rsidRDefault="00AA5B69">
      <w:pPr>
        <w:spacing w:after="120"/>
        <w:ind w:left="1134" w:right="1134"/>
        <w:jc w:val="both"/>
      </w:pPr>
      <w:r>
        <w:t>223.</w:t>
      </w:r>
      <w:r>
        <w:tab/>
        <w:t>Las víctimas de trata de personas a las que se otorgan permisos de residencia temporales de corto plazo pueden acceder a las prestaciones de atención sanitaria en el marco del programa federal de salud, lo que incluye el apoyo psicológico para personas traumatizadas. Además, no es necesario que las víctimas de la trata presten testimonio contra el tratante para poder obtener el estatuto de inmigrante.</w:t>
      </w:r>
    </w:p>
    <w:p w:rsidR="00AA5B69" w:rsidRDefault="00AA5B69">
      <w:pPr>
        <w:spacing w:after="120"/>
        <w:ind w:left="1134" w:right="1134"/>
        <w:jc w:val="both"/>
      </w:pPr>
      <w:r>
        <w:t>224.</w:t>
      </w:r>
      <w:r>
        <w:tab/>
        <w:t xml:space="preserve">En virtud de los reglamentos de inmigración y protección de los refugiados, la definición de miembro de la familia no permite a los niños incluir a sus progenitores o a sus hermanos en la solicitud de residencia permanente. Esta limitación pretende proteger a los niños de ser víctimas de trata o de tráfico ilícito. El permitir a los niños incluir a los miembros de la familia en su solicitud de residencia permanente podría constituir un riesgo para los niños, ya que crearía un incentivo para que los progenitores enviasen a sus hijos al Canadá con el propósito de que sirvan de anclaje para el conjunto de </w:t>
      </w:r>
      <w:smartTag w:uri="urn:schemas-microsoft-com:office:smarttags" w:element="PersonName">
        <w:smartTagPr>
          <w:attr w:name="ProductID" w:val="la familia. No"/>
        </w:smartTagPr>
        <w:r>
          <w:t>la familia. No</w:t>
        </w:r>
      </w:smartTag>
      <w:r>
        <w:t xml:space="preserve"> obstante, una solicitud de admisión de los progenitores por motivos humanitarios y de compasión, presentada desde el Canadá o desde el extranjero, permite al Gobierno del Canadá evaluar si, en esas circunstancias, correspondería al interés superior del niño la admisión de sus progenitores y hermanos como residentes permanentes.</w:t>
      </w:r>
    </w:p>
    <w:p w:rsidR="00AA5B69" w:rsidRDefault="00AA5B69">
      <w:pPr>
        <w:spacing w:after="120"/>
        <w:ind w:left="1134" w:right="1134"/>
        <w:jc w:val="both"/>
      </w:pPr>
      <w:r>
        <w:t>225.</w:t>
      </w:r>
      <w:r>
        <w:tab/>
        <w:t xml:space="preserve">Los gobiernos de las provincias y los territorios disponen de mecanismos formales e informales para apoyar la recuperación de las víctimas. Por ejemplo, algunos facilitadores sociales de Columbia Británica participan en una red informal, denominada Reconnect, que promueve la coordinación de las distintas comunidades en la labor con los jóvenes y ayuda a "reconectar" a esos jóvenes con sus familias y con </w:t>
      </w:r>
      <w:smartTag w:uri="urn:schemas-microsoft-com:office:smarttags" w:element="PersonName">
        <w:smartTagPr>
          <w:attr w:name="ProductID" w:val="la comunidad. Adem￡s"/>
        </w:smartTagPr>
        <w:r>
          <w:t>la comunidad. Además</w:t>
        </w:r>
      </w:smartTag>
      <w:r>
        <w:t>, el equipo de servicios para inmigrantes de Columbia Británica colabora con los consulados y las embajadas de sus países de origen para recuperar la identidad y la documentación de los niños cuando es necesario. Los jóvenes que participan en procesos judiciales pueden recibir tratamiento en el marco del programa de los servicios psiquiátricos forenses, que efectúan las evaluaciones ordenadas por el tribunal o relativas al tribunal y prestan servicios a los jóvenes con problemas.</w:t>
      </w:r>
    </w:p>
    <w:p w:rsidR="00AA5B69" w:rsidRDefault="00AA5B69">
      <w:pPr>
        <w:spacing w:after="120"/>
        <w:ind w:left="1134" w:right="1134"/>
        <w:jc w:val="both"/>
      </w:pPr>
      <w:r>
        <w:t>226.</w:t>
      </w:r>
      <w:r>
        <w:tab/>
        <w:t>En Quebec, en virtud de la Ley sobre los servicios de salud y los servicios sociales, la misión de los centros de protección de niños consiste en prestar servicios regionales de atención psicológica, que incluyen servicios de emergencia cuando son necesarios. Con ese fin, aseguran que se evalúen las necesidades de los niños que requieren esos servicios, y que se presten los servicios necesarios a los niños o sus familias, sea en los centros directamente, por parte de organizaciones, o por las personas más aptas para ayudarlos. Quebec dispone de varias medidas, voluntarias u ordenadas por los tribunales, para prestar servicios de salud y servicios sociales a los niños y sus progenitores. Por ejemplo, cuando un tribunal ordena la acogida obligatoria de un niño, todos los servicios disponibles en un centro de rehabilitación o en un hospital tienen que atender a ese niño.</w:t>
      </w:r>
    </w:p>
    <w:p w:rsidR="00AA5B69" w:rsidRDefault="00AA5B69">
      <w:pPr>
        <w:spacing w:after="120"/>
        <w:ind w:left="1134" w:right="1134"/>
        <w:jc w:val="both"/>
      </w:pPr>
      <w:r>
        <w:t>227.</w:t>
      </w:r>
      <w:r>
        <w:tab/>
        <w:t>Además, el Programa de capacitación de jóvenes de Quebec tiene por objeto preparar a los jóvenes para vivir de forma independiente y capacitar a aquellos que han estado en un centro juvenil. Este proyecto comenzó en 2001 y se sigue aplicando. Las intervenciones son de carácter intensivo, ya que la proporción es de diez jóvenes por cada educador. A fin de asegurar la reintegración social de esos niños, en 2008-2009 el programa se ejecutará en todos los centros juveniles de Quebec.</w:t>
      </w:r>
    </w:p>
    <w:p w:rsidR="00AA5B69" w:rsidRDefault="00AA5B69">
      <w:pPr>
        <w:spacing w:after="120"/>
        <w:ind w:left="1134" w:right="1134"/>
        <w:jc w:val="both"/>
      </w:pPr>
      <w:r>
        <w:t>228.</w:t>
      </w:r>
      <w:r>
        <w:tab/>
        <w:t>El Programa de orientación para las víctimas de delitos de Nueva Escocia brinda financiación para prestar servicios de asesoría a las víctimas de delitos violentos que reúnan las condiciones. El objetivo del programa es ayudar a las víctimas a superar el trauma causado por el delito. Los niños víctimas de explotación sexual mediante la prostitución, la pornografía o la venta de niños reúnen las condiciones para participar en este programa.</w:t>
      </w:r>
    </w:p>
    <w:p w:rsidR="00AA5B69" w:rsidRDefault="00AA5B69">
      <w:pPr>
        <w:spacing w:after="120"/>
        <w:ind w:left="1134" w:right="1134"/>
        <w:jc w:val="both"/>
      </w:pPr>
      <w:r>
        <w:t>229.</w:t>
      </w:r>
      <w:r>
        <w:tab/>
        <w:t>En Terranova y Labrador, la asistencia para la reintegración social, la reunificación familiar y la recuperación física y psicológica se presta mediante la financiación de servicios de ayuda a las víctimas. Estos brindan orientación a los niños que han de prestar testimonio en procesos penales. Los servicios para el niño, el joven y la familia también prestan asistencia en el marco de su mandato de brindar protección y servicios de apoyo a los niños y los jóvenes.</w:t>
      </w:r>
    </w:p>
    <w:p w:rsidR="00AA5B69" w:rsidRDefault="00AA5B69">
      <w:pPr>
        <w:pStyle w:val="H1G"/>
      </w:pPr>
      <w:r>
        <w:tab/>
      </w:r>
      <w:r>
        <w:tab/>
        <w:t>Demandas de indemnización por daños y perjuicios a las personas jurídicamente responsables</w:t>
      </w:r>
    </w:p>
    <w:p w:rsidR="00AA5B69" w:rsidRDefault="00AA5B69">
      <w:pPr>
        <w:spacing w:after="120"/>
        <w:ind w:left="1134" w:right="1134"/>
        <w:jc w:val="both"/>
      </w:pPr>
      <w:r>
        <w:t>230.</w:t>
      </w:r>
      <w:r>
        <w:tab/>
        <w:t>En el ámbito federal, el Código Penal autoriza la imposición de recargos para las víctimas, aparte de cualquier otra pena impuesta a un delincuente declarado culpable o incluso declarado inocente de un delito. Ese dinero se utiliza para financiar en parte los servicios y programas de asistencia a las víctimas a nivel provincial o territorial. Además, en el artículo 738 del Código Penal se autoriza al tribunal a determinar la indemnización que la persona condenada por un delito debe pagar a una víctima. Se puede imponer esa indemnización en tres casos:</w:t>
      </w:r>
    </w:p>
    <w:p w:rsidR="00AA5B69" w:rsidRDefault="00AA5B69">
      <w:pPr>
        <w:pStyle w:val="Bullet1G"/>
      </w:pPr>
      <w:r>
        <w:t>Para cubrir el costo del daño, la pérdida o la destrucción de bienes de una persona como resultado de la comisión de un delito;</w:t>
      </w:r>
    </w:p>
    <w:p w:rsidR="00AA5B69" w:rsidRDefault="00AA5B69">
      <w:pPr>
        <w:pStyle w:val="Bullet1G"/>
      </w:pPr>
      <w:r>
        <w:t>Para cubrir los daños y perjuicios estimables en dinero, con inclusión de la pérdida de ingresos o prestaciones, a toda persona que haya sufrido daños físicos como resultado de la comisión de un delito;</w:t>
      </w:r>
    </w:p>
    <w:p w:rsidR="00AA5B69" w:rsidRDefault="00AA5B69">
      <w:pPr>
        <w:pStyle w:val="Bullet1G"/>
      </w:pPr>
      <w:r>
        <w:t>Para cubrir los gastos reales y razonables en que incurra un miembro del hogar del delincuente debido a la necesidad que tenga esa persona de abandonar el hogar, a fin de sufragar de forma temporal la vivienda, la alimentación, la atención de los hijos, y el transporte.</w:t>
      </w:r>
    </w:p>
    <w:p w:rsidR="00AA5B69" w:rsidRDefault="00AA5B69">
      <w:pPr>
        <w:spacing w:after="120"/>
        <w:ind w:left="1134" w:right="1134"/>
        <w:jc w:val="both"/>
      </w:pPr>
      <w:r>
        <w:t>231.</w:t>
      </w:r>
      <w:r>
        <w:tab/>
        <w:t>En el Canadá, la compensación civil que debe pagar el autor de un delito a las víctimas corresponde a la competencia de las provincias y los territorios; las provincias y los territorios han promulgado leyes, en sus respectivas jurisdicciones, que determinan los derechos de las víctimas de delitos, entre los que figura en la mayoría de los casos el derecho a obtener una compensación.</w:t>
      </w:r>
    </w:p>
    <w:p w:rsidR="00AA5B69" w:rsidRDefault="00AA5B69">
      <w:pPr>
        <w:spacing w:after="120"/>
        <w:ind w:left="1134" w:right="1134"/>
        <w:jc w:val="both"/>
      </w:pPr>
      <w:r>
        <w:t>232.</w:t>
      </w:r>
      <w:r>
        <w:tab/>
        <w:t>Por ejemplo, la Junta de indemnización por daños penales de Ontario es un organismo cuasi judicial con funciones decisorias, que concede compensaciones a las víctimas de delitos violentos cometidos en Ontario, que incluyen la agresión sexual y los malos tratos contra los niños. La autoridad de la Junta se establece en la Ley de indemnización a las víctimas de delitos.</w:t>
      </w:r>
    </w:p>
    <w:p w:rsidR="00AA5B69" w:rsidRDefault="00AA5B69">
      <w:pPr>
        <w:spacing w:after="120"/>
        <w:ind w:left="1134" w:right="1134"/>
        <w:jc w:val="both"/>
      </w:pPr>
      <w:r>
        <w:t>233.</w:t>
      </w:r>
      <w:r>
        <w:tab/>
        <w:t>Los servicios de asistencia a las víctimas de la Isla del Príncipe Eduardo conceden indemnización por daños penales con cargo a un fondo gubernamental provincial para las víctimas de delitos cometidos en la provincia.</w:t>
      </w:r>
    </w:p>
    <w:p w:rsidR="00AA5B69" w:rsidRDefault="00AA5B69">
      <w:pPr>
        <w:spacing w:after="120"/>
        <w:ind w:left="1134" w:right="1134"/>
        <w:jc w:val="both"/>
      </w:pPr>
      <w:r>
        <w:t>234.</w:t>
      </w:r>
      <w:r>
        <w:tab/>
        <w:t xml:space="preserve">Además, en todos los territorios y provincias hay leyes civiles (no penales) en vigor en materia de violencia doméstica y en </w:t>
      </w:r>
      <w:smartTag w:uri="urn:schemas-microsoft-com:office:smarttags" w:element="PersonName">
        <w:smartTagPr>
          <w:attr w:name="ProductID" w:val="la familia. Generalmente"/>
        </w:smartTagPr>
        <w:r>
          <w:t>la familia. Generalmente</w:t>
        </w:r>
      </w:smartTag>
      <w:r>
        <w:t>, esas leyes otorgan diversas reparaciones civiles a las víctimas de violencia doméstica o en la familia, que complementan los procesos penales e incluyen una intervención de urgencia a corto plazo, u órdenes de protección y órdenes de asistencia a las víctimas a largo plazo.</w:t>
      </w:r>
    </w:p>
    <w:p w:rsidR="00AA5B69" w:rsidRDefault="00AA5B69">
      <w:pPr>
        <w:pStyle w:val="H1G"/>
      </w:pPr>
      <w:r>
        <w:tab/>
      </w:r>
      <w:r>
        <w:tab/>
        <w:t>El derecho de los acusados a un juicio justo e imparcial</w:t>
      </w:r>
    </w:p>
    <w:p w:rsidR="00AA5B69" w:rsidRDefault="00AA5B69">
      <w:pPr>
        <w:spacing w:after="120"/>
        <w:ind w:left="1134" w:right="1134"/>
        <w:jc w:val="both"/>
      </w:pPr>
      <w:r>
        <w:t>235.</w:t>
      </w:r>
      <w:r>
        <w:tab/>
        <w:t>Las disposiciones del Código Penal que permiten conceder ayuda a los niños víctimas o testigos para facilitar la prestación de declaraciones y otras medidas exigen que el juez deniegue su utilización en caso de que ella pueda interferir en la administración de justicia. Esto garantiza que no se produzcan efectos indebidos en los derechos de los acusados. Además, en los artículos 7 y 11 de la Carta de Derechos y Libertades del Canadá se estipula que el acusado tiene derecho a un juicio justo como parte del derecho a la equidad procesal. La Carta del Canadá tiene precedencia sobre todas las demás leyes federales, provinciales y territoriales.</w:t>
      </w:r>
    </w:p>
    <w:p w:rsidR="00AA5B69" w:rsidRDefault="00AA5B69">
      <w:pPr>
        <w:spacing w:after="120"/>
        <w:ind w:left="1134" w:right="1134"/>
        <w:jc w:val="both"/>
      </w:pPr>
      <w:r>
        <w:t>236.</w:t>
      </w:r>
      <w:r>
        <w:tab/>
        <w:t>En todos los gobiernos de las provincias y los territorios hay en vigor medidas legislativas y administrativas destinadas a garantizar el derecho de los acusados a un juicio justo e imparcial.</w:t>
      </w:r>
    </w:p>
    <w:p w:rsidR="00AA5B69" w:rsidRDefault="00AA5B69">
      <w:pPr>
        <w:spacing w:after="120"/>
        <w:ind w:left="1134" w:right="1134"/>
        <w:jc w:val="both"/>
      </w:pPr>
      <w:r>
        <w:t>237.</w:t>
      </w:r>
      <w:r>
        <w:tab/>
        <w:t>Por ejemplo, en Terranova y Labrador, en la preparación para el juicio, a cargo de los servicios de asistencia a las víctimas, no se hace alusión a los hechos. Los hechos del caso no se debaten de ninguna manera con el niño. Este programa asegura que el niño reciba el apoyo y la preparación adecuados para prestar testimonio en el juicio penal y, al mismo tiempo, que esa preparación no produzca efectos indebidos en el derecho del acusado a un juicio justo e imparcial.</w:t>
      </w:r>
    </w:p>
    <w:p w:rsidR="00AA5B69" w:rsidRDefault="00AA5B69">
      <w:pPr>
        <w:pStyle w:val="HChG"/>
        <w:spacing w:after="0"/>
      </w:pPr>
      <w:r>
        <w:tab/>
      </w:r>
      <w:r>
        <w:tab/>
        <w:t>Parte VII</w:t>
      </w:r>
    </w:p>
    <w:p w:rsidR="00AA5B69" w:rsidRDefault="00AA5B69">
      <w:pPr>
        <w:pStyle w:val="HChG"/>
        <w:spacing w:before="0"/>
      </w:pPr>
      <w:r>
        <w:tab/>
      </w:r>
      <w:r>
        <w:tab/>
        <w:t>Asistencia y cooperación internacionales</w:t>
      </w:r>
    </w:p>
    <w:p w:rsidR="00AA5B69" w:rsidRDefault="00AA5B69">
      <w:pPr>
        <w:pStyle w:val="H1G"/>
      </w:pPr>
      <w:r>
        <w:tab/>
      </w:r>
      <w:r>
        <w:tab/>
        <w:t>La jurisdicción extraterritorial</w:t>
      </w:r>
    </w:p>
    <w:p w:rsidR="00AA5B69" w:rsidRDefault="00AA5B69">
      <w:pPr>
        <w:spacing w:after="120"/>
        <w:ind w:left="1134" w:right="1134"/>
        <w:jc w:val="both"/>
      </w:pPr>
      <w:r>
        <w:t>238.</w:t>
      </w:r>
      <w:r>
        <w:tab/>
        <w:t>El Código Penal del Canadá permite el enjuiciamiento de los ciudadanos canadienses (o los residentes permanentes) que participen en actividades sexuales prohibidas con niños en el extranjero. La legislación del Canadá contra el turismo sexual no requiere que se pruebe que una persona ha viajado al extranjero con la intención de participar con un niño en actividades sexuales prohibidas.</w:t>
      </w:r>
    </w:p>
    <w:p w:rsidR="00AA5B69" w:rsidRDefault="00AA5B69">
      <w:pPr>
        <w:spacing w:after="120"/>
        <w:ind w:left="1134" w:right="1134"/>
        <w:jc w:val="both"/>
      </w:pPr>
      <w:r>
        <w:t>239.</w:t>
      </w:r>
      <w:r>
        <w:tab/>
        <w:t>En junio de 2005 se dictó la primera condena por turismo sexual en virtud de la legislación canadiense, al declararse a un ciudadano canadiense culpable de numerosos cargos de tocamientos sexuales con niños menores de 14 años de edad en Camboya, además de otras acusaciones relacionadas con agresiones sexuales que habían tenido lugar en el Canadá.</w:t>
      </w:r>
    </w:p>
    <w:p w:rsidR="00AA5B69" w:rsidRDefault="00AA5B69">
      <w:pPr>
        <w:spacing w:after="120"/>
        <w:ind w:left="1134" w:right="1134"/>
        <w:jc w:val="both"/>
      </w:pPr>
      <w:r>
        <w:t>240.</w:t>
      </w:r>
      <w:r>
        <w:tab/>
        <w:t>Se han iniciado otros procesos contra ciudadanos canadienses que han cometido abusos sexuales contra niños en el extranjero. Esos procesos han sido iniciados por funcionarios de los países en los que se habían cometido esos delitos. El Canadá colabora estrechamente con los gobiernos extranjeros sobre los posibles casos de ciudadanos canadienses que hayan cometido delitos sexuales en el extranjero o de personas que han viajado al Canadá para cometer abusos sexuales contra niños.</w:t>
      </w:r>
    </w:p>
    <w:p w:rsidR="00AA5B69" w:rsidRDefault="00AA5B69">
      <w:pPr>
        <w:pStyle w:val="H1G"/>
      </w:pPr>
      <w:r>
        <w:tab/>
      </w:r>
      <w:r>
        <w:tab/>
        <w:t>Extradición</w:t>
      </w:r>
    </w:p>
    <w:p w:rsidR="00AA5B69" w:rsidRDefault="00AA5B69">
      <w:pPr>
        <w:spacing w:after="120"/>
        <w:ind w:left="1134" w:right="1134"/>
        <w:jc w:val="both"/>
      </w:pPr>
      <w:r>
        <w:t>241.</w:t>
      </w:r>
      <w:r>
        <w:tab/>
        <w:t>Según el artículo 3 de la Ley sobre la extradición del Canadá, el Canadá puede, de conformidad con el párrafo 2 del artículo 5 del Protocolo, examinar toda extradición solicitada de conformidad con el Protocolo por un signatario del mismo. En la medida en que el Protocolo funciona como un tratado multilateral a efectos de la extradición, el Canadá puede aceptar una solicitud incluso si no existe una garantía explícita de reciprocidad. Por el contrario, la reciprocidad por sí misma no es una condición suficiente.</w:t>
      </w:r>
    </w:p>
    <w:p w:rsidR="00AA5B69" w:rsidRDefault="00AA5B69">
      <w:pPr>
        <w:spacing w:after="120"/>
        <w:ind w:left="1134" w:right="1134"/>
        <w:jc w:val="both"/>
      </w:pPr>
      <w:r>
        <w:t>242.</w:t>
      </w:r>
      <w:r>
        <w:tab/>
        <w:t>La extradición desde el Canadá se puede ordenar basándose en tres fundamentos:</w:t>
      </w:r>
    </w:p>
    <w:p w:rsidR="00AA5B69" w:rsidRDefault="00AA5B69">
      <w:pPr>
        <w:pStyle w:val="Bullet1G"/>
      </w:pPr>
      <w:r>
        <w:t>Un acuerdo de extradición (básicamente un tratado bilateral o multilateral sobre extradición);</w:t>
      </w:r>
    </w:p>
    <w:p w:rsidR="00AA5B69" w:rsidRDefault="00AA5B69">
      <w:pPr>
        <w:pStyle w:val="Bullet1G"/>
      </w:pPr>
      <w:r>
        <w:t xml:space="preserve">La inclusión en la Ley sobre la extradición (algunos Estados o instituciones, como </w:t>
      </w:r>
      <w:smartTag w:uri="urn:schemas-microsoft-com:office:smarttags" w:element="PersonName">
        <w:smartTagPr>
          <w:attr w:name="ProductID" w:val="la Corte Penal Internacional"/>
        </w:smartTagPr>
        <w:r>
          <w:t>la Corte Penal Internacional</w:t>
        </w:r>
      </w:smartTag>
      <w:r>
        <w:t>, pueden obtener la extradición sin contar con un tratado, basándose en el hecho de que están designados en una lista de la Ley sobre la extradición);</w:t>
      </w:r>
    </w:p>
    <w:p w:rsidR="00AA5B69" w:rsidRDefault="00AA5B69">
      <w:pPr>
        <w:pStyle w:val="Bullet1G"/>
      </w:pPr>
      <w:r>
        <w:t xml:space="preserve">Un "acuerdo específico" (un acuerdo </w:t>
      </w:r>
      <w:r>
        <w:rPr>
          <w:i/>
        </w:rPr>
        <w:t>ad hoc</w:t>
      </w:r>
      <w:r>
        <w:t xml:space="preserve"> concertado para un caso particular, que solamente es válido para ese caso).</w:t>
      </w:r>
    </w:p>
    <w:p w:rsidR="00AA5B69" w:rsidRDefault="00AA5B69">
      <w:pPr>
        <w:spacing w:after="120"/>
        <w:ind w:left="1134" w:right="1134"/>
        <w:jc w:val="both"/>
      </w:pPr>
      <w:r>
        <w:t>243.</w:t>
      </w:r>
      <w:r>
        <w:tab/>
        <w:t>En la Ley sobre la extradición del Canadá se establece que, si se cumplen determinadas condiciones previas, una persona puede ser extraditada con uno o más de estos tres propósitos: para su enjuiciamiento; para la imposición de una condena a esa persona; o para el cumplimiento de una condena impuesta a esa persona con anterioridad.</w:t>
      </w:r>
    </w:p>
    <w:p w:rsidR="00AA5B69" w:rsidRDefault="00AA5B69">
      <w:pPr>
        <w:spacing w:after="120"/>
        <w:ind w:left="1134" w:right="1134"/>
        <w:jc w:val="both"/>
      </w:pPr>
      <w:r>
        <w:t>244.</w:t>
      </w:r>
      <w:r>
        <w:tab/>
        <w:t xml:space="preserve">La extradición desde el Canadá se basa en dos elementos fundamentales: el primero, el principio de la doble incriminación, y el segundo, un requisito con respecto a </w:t>
      </w:r>
      <w:smartTag w:uri="urn:schemas-microsoft-com:office:smarttags" w:element="PersonName">
        <w:smartTagPr>
          <w:attr w:name="ProductID" w:val="la condena. M￡s"/>
        </w:smartTagPr>
        <w:r>
          <w:t>la condena. Más</w:t>
        </w:r>
      </w:smartTag>
      <w:r>
        <w:t xml:space="preserve"> concretamente, el primer factor requiere que la conducta delictiva alegada con respecto a la que se solicita la extradición esté tipificada como delito en los dos países. El segundo elemento significa que, si en el tratado no se especifica la imposición de una condena mínima, la Ley sobre la extradición establece que la pena máxima por ese delito en el Canadá debe ser de al menos dos años de prisión.</w:t>
      </w:r>
    </w:p>
    <w:p w:rsidR="00AA5B69" w:rsidRDefault="00AA5B69">
      <w:pPr>
        <w:spacing w:after="120"/>
        <w:ind w:left="1134" w:right="1134"/>
        <w:jc w:val="both"/>
      </w:pPr>
      <w:r>
        <w:t>245.</w:t>
      </w:r>
      <w:r>
        <w:tab/>
        <w:t>El Canadá no ha firmado ningún tratado de extradición desde que ratificó el Protocolo en septiembre de 2005, y no ha iniciado la negociación de ningún nuevo tratado de extradición desde julio de 2007.</w:t>
      </w:r>
    </w:p>
    <w:p w:rsidR="00AA5B69" w:rsidRDefault="00AA5B69">
      <w:pPr>
        <w:spacing w:after="120"/>
        <w:ind w:left="1134" w:right="1134"/>
        <w:jc w:val="both"/>
      </w:pPr>
      <w:r>
        <w:t>246.</w:t>
      </w:r>
      <w:r>
        <w:tab/>
        <w:t>Desde julio de 2007, el Canadá no ha recibido solicitudes de extradición basadas en el Protocolo. No obstante, ha recibido en ese período 13 solicitudes en el marco de acuerdos bilaterales que están relacionadas con delitos incluidos en el Protocolo. Algunas han dado lugar a la entrega, y otras se encuentran en distintas etapas del proceso de extradición. El Canadá no ha presentado solicitudes de extradición relacionadas con los delitos incluidos en el Protocolo. En el mismo período, el Canadá ha solicitado asistencia jurídica a un país extranjero con respecto a una investigación sobre pornografía infantil, y ha recibido dos solicitudes de sus asociados bilaterales.</w:t>
      </w:r>
    </w:p>
    <w:p w:rsidR="00AA5B69" w:rsidRDefault="00AA5B69">
      <w:pPr>
        <w:spacing w:after="120"/>
        <w:ind w:left="1134" w:right="1134"/>
        <w:jc w:val="both"/>
      </w:pPr>
      <w:r>
        <w:t>247.</w:t>
      </w:r>
      <w:r>
        <w:tab/>
        <w:t>El Canadá es parte en 34 tratados de asistencia jurídica bilateral mutua en asuntos penales. Todos esos tratados se aplican a la investigación y el enjuiciamiento de una amplia gama de delitos, que incluyen en todos los casos los delitos estipulados en el Protocolo. En cada uno de los tratados se definen los parámetros de la asistencia extranjera disponible, y por lo general abarcan, entre otras, las siguientes cuestiones: el intercambio de información, documentos y objetos; la toma de declaraciones y de pruebas de las personas; la identificación de las personas; la ejecución de solicitudes de busca y captura; y el servicio de documentación. El país requerido solo puede denegar o posponer la asistencia en determinadas circunstancias, esto es, que la ejecución pueda ser contraria al interés público o interfiera en una investigación de ámbito nacional. En esos tratados no se reconoce la doctrina del delito político como motivo explícito para denegar una solicitud de asistencia. Sin embargo, en algunos tratados se establecen excepciones para casos particulares.</w:t>
      </w:r>
    </w:p>
    <w:p w:rsidR="00AA5B69" w:rsidRDefault="00AA5B69">
      <w:pPr>
        <w:spacing w:after="120"/>
        <w:ind w:left="1134" w:right="1134"/>
        <w:jc w:val="both"/>
        <w:rPr>
          <w:i/>
        </w:rPr>
      </w:pPr>
      <w:r>
        <w:t>248.</w:t>
      </w:r>
      <w:r>
        <w:tab/>
        <w:t xml:space="preserve">El Canadá es parte asimismo en dos convenciones multilaterales sobre asistencia mutua en asuntos penales, que pueden ser aplicables en relación con los delitos previstos en el Protocolo: </w:t>
      </w:r>
      <w:smartTag w:uri="urn:schemas-microsoft-com:office:smarttags" w:element="PersonName">
        <w:smartTagPr>
          <w:attr w:name="ProductID" w:val="la Convenci￳n Interamericana"/>
        </w:smartTagPr>
        <w:r>
          <w:rPr>
            <w:i/>
          </w:rPr>
          <w:t>la Convención Interamericana</w:t>
        </w:r>
      </w:smartTag>
      <w:r>
        <w:rPr>
          <w:i/>
        </w:rPr>
        <w:t xml:space="preserve"> sobre Asistencia Mutua en Materia Penal, y la Convención de las Naciones Unidas contra </w:t>
      </w:r>
      <w:smartTag w:uri="urn:schemas-microsoft-com:office:smarttags" w:element="PersonName">
        <w:smartTagPr>
          <w:attr w:name="ProductID" w:val="la Delincuencia Organizada Transnacional"/>
        </w:smartTagPr>
        <w:r>
          <w:rPr>
            <w:i/>
          </w:rPr>
          <w:t>la Delincuencia Organizada Transnacional</w:t>
        </w:r>
      </w:smartTag>
      <w:r>
        <w:rPr>
          <w:i/>
        </w:rPr>
        <w:t>, así como los protocolos que complementan esta última convención, esto es, el Protocolo para prevenir, reprimir y sancionar la trata de personas, especialmente mujeres y niños, el Protocolo contra el tráfico ilícito de migrantes por tierra, mar y aire, y el Protocolo contra la fabricación y el tráfico ilícitos de armas de fuego, sus piezas y componentes y municiones.</w:t>
      </w:r>
    </w:p>
    <w:p w:rsidR="00AA5B69" w:rsidRDefault="00AA5B69">
      <w:pPr>
        <w:spacing w:after="120"/>
        <w:ind w:left="1134" w:right="1134"/>
        <w:jc w:val="both"/>
      </w:pPr>
      <w:r>
        <w:t>249.</w:t>
      </w:r>
      <w:r>
        <w:tab/>
      </w:r>
      <w:smartTag w:uri="urn:schemas-microsoft-com:office:smarttags" w:element="PersonName">
        <w:smartTagPr>
          <w:attr w:name="ProductID" w:val="la Convenci￳n Interamericana"/>
        </w:smartTagPr>
        <w:r>
          <w:t>La Convención Interamericana</w:t>
        </w:r>
      </w:smartTag>
      <w:r>
        <w:t xml:space="preserve"> sobre Asistencia Mutua en Materia Penal, aprobada en Nassau (Bahamas) en 1992, y que entró en vigor en 1996, brinda a los Estados partes un mecanismo para aumentar la cooperación en las investigaciones penales, lo que facilita el enjuiciamiento de los sospechosos y los procesos judiciales. El alcance de la Convención abarca los delitos previstos en el Protocolo. La asistencia en virtud de esta Convención incluye cuestiones como la citación de testigos, la prestación de testimonios, la facilitación de documentos, la congelación de activos, y la realización de registros e incautaciones.</w:t>
      </w:r>
    </w:p>
    <w:p w:rsidR="00AA5B69" w:rsidRDefault="00AA5B69">
      <w:pPr>
        <w:spacing w:after="120"/>
        <w:ind w:left="1134" w:right="1134"/>
        <w:jc w:val="both"/>
      </w:pPr>
      <w:r>
        <w:t>250.</w:t>
      </w:r>
      <w:r>
        <w:tab/>
        <w:t xml:space="preserve">La Ley </w:t>
      </w:r>
      <w:r>
        <w:rPr>
          <w:bCs/>
        </w:rPr>
        <w:t>sobre asistencia judicial mutua en asuntos penales</w:t>
      </w:r>
      <w:r>
        <w:t xml:space="preserve">, Ley revisada del Canadá de 1985, capítulo 30 (suplemento 4), entró en vigor el 1º de octubre de 1988. El objeto de la Ley es hacer efectivos los acuerdos bilaterales y multilaterales mencionados </w:t>
      </w:r>
      <w:r>
        <w:rPr>
          <w:i/>
        </w:rPr>
        <w:t>supra</w:t>
      </w:r>
      <w:r>
        <w:t>. También permite al Canadá concertar "acuerdos administrativos" con otros Estados o instituciones con los que el Canadá no mantiene relaciones en virtud de otros tratados. Esos acuerdos administrativos permiten al Canadá brindar la asistencia jurídica que está a disposición de los asociados mediante tratados en relación con una investigación especificada en el acuerdo.</w:t>
      </w:r>
    </w:p>
    <w:p w:rsidR="00AA5B69" w:rsidRDefault="00AA5B69">
      <w:pPr>
        <w:spacing w:after="120"/>
        <w:ind w:left="1134" w:right="1134"/>
        <w:jc w:val="both"/>
      </w:pPr>
      <w:r>
        <w:t>251.</w:t>
      </w:r>
      <w:r>
        <w:tab/>
        <w:t>Asimismo, esta Ley otorga a los tribunales canadienses la facultad de dictar medidas obligatorias en el Canadá para reunir pruebas como parte de una investigación o un proceso penal llevados a cabo en un Estado o por una institución extranjeros, o para localizar a una persona sospechosa de haber cometido un delito, sobre la base una solicitud realizada en virtud de un tratado, convención, acuerdo administrativo o designación. La legislación permite brindar asistencia en cualquier etapa del proceso penal, desde la investigación hasta la apelación.</w:t>
      </w:r>
    </w:p>
    <w:p w:rsidR="00AA5B69" w:rsidRDefault="00AA5B69">
      <w:pPr>
        <w:spacing w:after="120"/>
        <w:ind w:left="1134" w:right="1134"/>
        <w:jc w:val="both"/>
      </w:pPr>
      <w:r>
        <w:t>252.</w:t>
      </w:r>
      <w:r>
        <w:tab/>
        <w:t>Antes de dictar una orden de asistencia del tipo más habitual (órdenes de presentación de pruebas y de registro e incautación), los tribunales del Canadá deben estar convencidos de que hay motivos para creer que se ha cometido un delito y que la prueba de la comisión del delito se hallará en el Canadá. De conformidad con la Ley, el Canadá puede proporcionar la asistencia siguiente: incautación de pruebas mediante una orden de registro; obtención de pruebas documentales mediante una orden de presentación de pruebas; obtención de pruebas mediante la ejecución de otras órdenes judiciales; citación de testigos para que presten declaración, incluida la obligación de los testigos de prestar testimonio en procesos celebrados en el extranjero mediante comunicaciones sonoras o videoconferencias; el préstamo de pruebas documentales que se hayan presentado en procesos judiciales llevados a cabo en el Canadá; la obtención de una orden para examinar un lugar o sitio del Canadá (inclusive la exhumación de un cadáver o el examen de una tumba); el traslado de un condenado (con su consentimiento) para que declare como testigo o preste asistencia en una investigación; la presentación de documentos; la ejecución de órdenes dictadas por un tribunal penal para el embargo, el decomiso o la incautación de bienes situados en el Canadá; y la ejecución de multas penales dictadas en el extranjero (con un límite determinado).</w:t>
      </w:r>
    </w:p>
    <w:p w:rsidR="00AA5B69" w:rsidRDefault="00AA5B69">
      <w:pPr>
        <w:spacing w:after="120"/>
        <w:ind w:left="1134" w:right="1134"/>
        <w:jc w:val="both"/>
      </w:pPr>
      <w:r>
        <w:t>253.</w:t>
      </w:r>
      <w:r>
        <w:tab/>
        <w:t xml:space="preserve">Sistemáticamente, la policía del Canadá brinda asistencia informal a las fuerzas policiales de otros países, de conformidad con la legislación canadiense. Generalmente, la policía del Canadá proporciona información o documentación que está a disposición del público, o que se podría obtener de forma voluntaria. No existen, sin embargo, medidas de carácter obligatorio en este procedimiento informal, que suele realizarse mediante comunicaciones directas entre los cuerpos de policía y pueden incluir la transmisión de información por medio de </w:t>
      </w:r>
      <w:smartTag w:uri="urn:schemas-microsoft-com:office:smarttags" w:element="PersonName">
        <w:smartTagPr>
          <w:attr w:name="ProductID" w:val="la Organizaci￳n Internacional"/>
        </w:smartTagPr>
        <w:r>
          <w:t>la Organización Internacional</w:t>
        </w:r>
      </w:smartTag>
      <w:r>
        <w:t xml:space="preserve"> de Policía Criminal (INTERPOL). La cooperación informal y el intercambio de información entre los Estados partes sigue siendo un instrumento disponible en la investigación de los delitos previstos en el Protocolo.</w:t>
      </w:r>
    </w:p>
    <w:p w:rsidR="00AA5B69" w:rsidRDefault="00AA5B69">
      <w:pPr>
        <w:spacing w:after="120"/>
        <w:ind w:left="1134" w:right="1134"/>
        <w:jc w:val="both"/>
      </w:pPr>
      <w:r>
        <w:t>254.</w:t>
      </w:r>
      <w:r>
        <w:tab/>
        <w:t>El Canadá puede brindar asistencia de conformidad con una comisión rogatoria, que es un medio por el que un juez o un tribunal de un Estado solicita asistencia a un juez o un tribunal de otro Estado. No es necesario que esas solicitudes se basen en un tratado aplicable ni en otro tipo de acuerdo, pero deben cumplir las siguientes condiciones: debe haber un asunto penal en trámite ante un juez, corte o tribunal extranjeros, y el organismo judicial extranjero debe desear obtener la prueba solicitada. La cooperación del juez o el tribunal se basa en la cortesía internacional, según la cual se adopta un enfoque amplio en las solicitudes recibidas de autoridades judiciales extranjeras. Una comisión rogatoria dirigida al Canadá puede denegarse debido a una posible contradicción con las políticas públicas o a un menoscabo de la soberanía del Canadá.</w:t>
      </w:r>
    </w:p>
    <w:p w:rsidR="00AA5B69" w:rsidRDefault="00AA5B69">
      <w:pPr>
        <w:spacing w:after="120"/>
        <w:ind w:left="1134" w:right="1134"/>
        <w:jc w:val="both"/>
      </w:pPr>
      <w:r>
        <w:t>255.</w:t>
      </w:r>
      <w:r>
        <w:tab/>
        <w:t xml:space="preserve">Las solicitudes que no están previstas en tratados, que no se rigen por las disposiciones de </w:t>
      </w:r>
      <w:smartTag w:uri="urn:schemas-microsoft-com:office:smarttags" w:element="PersonName">
        <w:smartTagPr>
          <w:attr w:name="ProductID" w:val="la parte II"/>
        </w:smartTagPr>
        <w:r>
          <w:t>la parte II</w:t>
        </w:r>
      </w:smartTag>
      <w:r>
        <w:t xml:space="preserve"> de la Ley de pruebas del Canadá, generalmente porque no provienen de un tribunal, pueden ser examinadas y remitirse a las autoridades policiales del Canadá, que determinarán si la asistencia solicitada se puede brindar de forma voluntaria, sin recurrir a una orden judicial. No obstante, la asistencia se limita a las pruebas o la información que se pueda obtener de forma voluntaria.</w:t>
      </w:r>
    </w:p>
    <w:p w:rsidR="00AA5B69" w:rsidRDefault="00AA5B69">
      <w:pPr>
        <w:spacing w:after="120"/>
        <w:ind w:left="1134" w:right="1134"/>
        <w:jc w:val="both"/>
      </w:pPr>
      <w:r>
        <w:t>256.</w:t>
      </w:r>
      <w:r>
        <w:tab/>
        <w:t>Cabe señalar que toda actuación emprendida por las autoridades del Canadá en relación con una solicitud extranjera se rige por la Carta de Derechos y Libertades del Canadá. Las disposiciones más pertinentes a este respecto son las siguientes:</w:t>
      </w:r>
    </w:p>
    <w:p w:rsidR="00AA5B69" w:rsidRDefault="00AA5B69">
      <w:pPr>
        <w:pStyle w:val="Bullet1G"/>
      </w:pPr>
      <w:r>
        <w:t>Artículo 8: el derecho de toda persona a gozar de protección contra todo registro o embargo arbitrario;</w:t>
      </w:r>
    </w:p>
    <w:p w:rsidR="00AA5B69" w:rsidRDefault="00AA5B69">
      <w:pPr>
        <w:pStyle w:val="Bullet1G"/>
      </w:pPr>
      <w:r>
        <w:t>Artículo 11, párrafo c): el derecho de toda persona acusada de un delito penal a no ser obligada a comparecer como testigo en los procesos iniciados en su contra o relacionados con ese delito;</w:t>
      </w:r>
    </w:p>
    <w:p w:rsidR="00AA5B69" w:rsidRDefault="00AA5B69">
      <w:pPr>
        <w:pStyle w:val="Bullet1G"/>
      </w:pPr>
      <w:r>
        <w:t>Artículo 13: el derecho de toda persona a que una prueba de cargo presentada en un proceso no se utilice en su contra en ningún otro proceso, excepto en el caso de falso testimonio.</w:t>
      </w:r>
    </w:p>
    <w:p w:rsidR="00AA5B69" w:rsidRDefault="00AA5B69">
      <w:pPr>
        <w:pStyle w:val="H1G"/>
      </w:pPr>
      <w:r>
        <w:tab/>
      </w:r>
      <w:r>
        <w:tab/>
        <w:t>Documentos y acuerdos negociados a nivel internacional</w:t>
      </w:r>
    </w:p>
    <w:p w:rsidR="00AA5B69" w:rsidRDefault="00AA5B69">
      <w:pPr>
        <w:spacing w:after="120"/>
        <w:ind w:left="1134" w:right="1134"/>
        <w:jc w:val="both"/>
        <w:rPr>
          <w:bCs/>
        </w:rPr>
      </w:pPr>
      <w:r>
        <w:t>257.</w:t>
      </w:r>
      <w:r>
        <w:tab/>
        <w:t xml:space="preserve">El Canadá ha participado activamente en la negociación del Plan de Acción Hemisférico contra </w:t>
      </w:r>
      <w:smartTag w:uri="urn:schemas-microsoft-com:office:smarttags" w:element="PersonName">
        <w:smartTagPr>
          <w:attr w:name="ProductID" w:val="la Delincuencia Organizada Transnacional"/>
        </w:smartTagPr>
        <w:r>
          <w:t>la Delincuencia Organizada Transnacional</w:t>
        </w:r>
      </w:smartTag>
      <w:r>
        <w:t xml:space="preserve"> (un documento que no es legalmente vinculante), que finalizó en octubre de 2006. El Plan de Acción promueve la coordinación y la cooperación regionales para prevenir, controlar y combatir la delincuencia organizada transnacional, incluida la trata de personas. El Canadá participó en la primera reunión del </w:t>
      </w:r>
      <w:r>
        <w:rPr>
          <w:bCs/>
        </w:rPr>
        <w:t>Grupo Técnico sobre Delincuencia Organizada Transnacional, celebrada en julio de 2007, en la que los miembros de la OEA debatieron sobre la aplicación del Plan de Acción Hemisférico.</w:t>
      </w:r>
    </w:p>
    <w:p w:rsidR="00AA5B69" w:rsidRDefault="00AA5B69">
      <w:pPr>
        <w:spacing w:after="120"/>
        <w:ind w:left="1134" w:right="1134"/>
        <w:jc w:val="both"/>
      </w:pPr>
      <w:r>
        <w:rPr>
          <w:bCs/>
        </w:rPr>
        <w:t>258.</w:t>
      </w:r>
      <w:r>
        <w:rPr>
          <w:bCs/>
        </w:rPr>
        <w:tab/>
        <w:t>El Canadá también ha desempeñado un papel activo en la negociación del documento de la OEA titulado "</w:t>
      </w:r>
      <w:r>
        <w:t>Conclusiones y recomendaciones de la reunión de autoridades nacionales en materia de trata de personas", de marzo de 2006. Esa reunión permitió a los Estados miembros intercambiar experiencias y compartir las mejores prácticas, identificar algunos de los problemas en la lucha contra la trata de personas en el hemisferio y aumentar la comprensión de las tendencias y las corrientes de la trata de personas en la región.</w:t>
      </w:r>
    </w:p>
    <w:p w:rsidR="00AA5B69" w:rsidRDefault="00AA5B69">
      <w:pPr>
        <w:spacing w:after="120"/>
        <w:ind w:left="1134" w:right="1134"/>
        <w:jc w:val="both"/>
      </w:pPr>
      <w:r>
        <w:t>259.</w:t>
      </w:r>
      <w:r>
        <w:tab/>
        <w:t>En noviembre de 2006, el Canadá y los Estados Unidos publicaron la Evaluación bilateral de los Estados Unidos y el Canadá sobre la trata de personas. Ese documento demuestra la cooperación entre ambos países para comprender mejor las tendencias de la trata de personas, promover la concienciación sobre la delincuencia transfronteriza y alentar el intercambio de información.</w:t>
      </w:r>
    </w:p>
    <w:p w:rsidR="00AA5B69" w:rsidRDefault="00AA5B69">
      <w:pPr>
        <w:pStyle w:val="H1G"/>
      </w:pPr>
      <w:r>
        <w:tab/>
      </w:r>
      <w:r>
        <w:tab/>
        <w:t>Foros y reuniones internacionales</w:t>
      </w:r>
    </w:p>
    <w:p w:rsidR="00AA5B69" w:rsidRDefault="00AA5B69">
      <w:pPr>
        <w:spacing w:after="120"/>
        <w:ind w:left="1134" w:right="1134"/>
        <w:jc w:val="both"/>
      </w:pPr>
      <w:r>
        <w:t>260.</w:t>
      </w:r>
      <w:r>
        <w:tab/>
        <w:t xml:space="preserve">El Canadá participa activamente en numerosos foros regionales y multilaterales de lucha contra la trata de personas, como la OEA, la Organización para la Seguridad y la Cooperación en Europa, el G-8, las Naciones Unidas, el Proceso de Bali sobre el contrabando y la trata de personas y la delincuencia transnacional conexa y </w:t>
      </w:r>
      <w:smartTag w:uri="urn:schemas-microsoft-com:office:smarttags" w:element="PersonName">
        <w:smartTagPr>
          <w:attr w:name="ProductID" w:val="la Conferencia Regional"/>
        </w:smartTagPr>
        <w:r>
          <w:t>la Conferencia Regional</w:t>
        </w:r>
      </w:smartTag>
      <w:r>
        <w:t xml:space="preserve"> sobre Migración, en los que se intercambian las mejores prácticas de lucha contra la trata de personas.</w:t>
      </w:r>
    </w:p>
    <w:p w:rsidR="00AA5B69" w:rsidRDefault="00AA5B69">
      <w:pPr>
        <w:spacing w:after="120"/>
        <w:ind w:left="1134" w:right="1134"/>
        <w:jc w:val="both"/>
      </w:pPr>
      <w:r>
        <w:t>261.</w:t>
      </w:r>
      <w:r>
        <w:tab/>
        <w:t>El Canadá participó en la reunión de la OEA celebrada en mayo de 2007 para debatir las tendencias de la trata de personas desde Asia al continente americano, en la que se intercambió información sobre la situación de la trata de personas, las rutas y las mejores prácticas.</w:t>
      </w:r>
    </w:p>
    <w:p w:rsidR="00AA5B69" w:rsidRDefault="00AA5B69">
      <w:pPr>
        <w:spacing w:after="120"/>
        <w:ind w:left="1134" w:right="1134"/>
        <w:jc w:val="both"/>
      </w:pPr>
      <w:r>
        <w:t>262.</w:t>
      </w:r>
      <w:r>
        <w:tab/>
        <w:t>En la 16ª reunión de la Comisión de Prevención del Delito y Justicia Penal de las Naciones Unidas, celebrada en abril de 2007, la explotación sexual de los niños fue objeto de un debate temático. El Canadá copatrocinó una resolución titulada "Respuestas eficaces en materia de prevención del delito y justicia penal para combatir la explotación sexual de los niños".</w:t>
      </w:r>
    </w:p>
    <w:p w:rsidR="00AA5B69" w:rsidRDefault="00AA5B69">
      <w:pPr>
        <w:spacing w:after="120"/>
        <w:ind w:left="1134" w:right="1134"/>
        <w:jc w:val="both"/>
      </w:pPr>
      <w:r>
        <w:t>263.</w:t>
      </w:r>
      <w:r>
        <w:tab/>
        <w:t>En el marco de las reuniones de los ministros de justicia e interior del G-8 celebradas en 2007 y 2008, el Canadá reafirmó su compromiso de seguir colaborando con los asociados del G-8 y otros interesados para combatir la explotación sexual de los niños en todas sus formas. Por ejemplo, en la reunión ministerial del G-8 de 2007, los ministros aprobaron un documento (</w:t>
      </w:r>
      <w:r>
        <w:rPr>
          <w:i/>
        </w:rPr>
        <w:t>Experiencia y recomendaciones del G-8: aplicación de la jurisdicción extraterritorial en los delitos sexuales contra los niños</w:t>
      </w:r>
      <w:r>
        <w:t>) y sus recomendaciones en apoyo de la aplicación de legislación para combatir la utilización de niños en el turismo sexual, e intercambiar las mejores prácticas en esa esfera entre los asociados del G-8 y otros interesados. Los ministros del G-8 también aprobaron una Declaración para reforzar la lucha internacional contra la pornografía infantil, instando a los asociados del G-8 a cumplir sus obligaciones internacionales en esta esfera, lo que incluía garantizar:</w:t>
      </w:r>
    </w:p>
    <w:p w:rsidR="00AA5B69" w:rsidRDefault="00AA5B69">
      <w:pPr>
        <w:pStyle w:val="Bullet1G"/>
      </w:pPr>
      <w:r>
        <w:t>Que en las iniciativas nacionales de lucha contra la pornografía infantil se definan y se prohíban todas las formas de la utilización de niños en la pornografía en un sentido amplio, a fin de proteger a todos los menores de 18 años de edad;</w:t>
      </w:r>
    </w:p>
    <w:p w:rsidR="00AA5B69" w:rsidRDefault="00AA5B69">
      <w:pPr>
        <w:pStyle w:val="Bullet1G"/>
      </w:pPr>
      <w:r>
        <w:t>Que sus leyes sancionen adecuadamente a los delincuentes;</w:t>
      </w:r>
    </w:p>
    <w:p w:rsidR="00AA5B69" w:rsidRDefault="00AA5B69">
      <w:pPr>
        <w:pStyle w:val="Bullet1G"/>
      </w:pPr>
      <w:r>
        <w:t xml:space="preserve">Que los gobiernos colaboren entre sí, con la sociedad civil y con el sector privado (con inclusión de los </w:t>
      </w:r>
      <w:r>
        <w:rPr>
          <w:rStyle w:val="s1"/>
          <w:color w:val="auto"/>
        </w:rPr>
        <w:t>proveedores de servicios de Internet, los profesionales de las tecnologías de la información y las instituciones financieras) para apoyar iniciativas de educación pública y sensibilización, y actividades conexas.</w:t>
      </w:r>
    </w:p>
    <w:p w:rsidR="00AA5B69" w:rsidRDefault="00AA5B69">
      <w:pPr>
        <w:spacing w:after="120"/>
        <w:ind w:left="1134" w:right="1134"/>
        <w:jc w:val="both"/>
      </w:pPr>
      <w:r>
        <w:t>264.</w:t>
      </w:r>
      <w:r>
        <w:tab/>
        <w:t>El Canadá también ha apoyado a la OEA en la celebración del Seminario Caribeño de Concientización contra la Trata de Personas. El objetivo del proyecto es sensibilizar a todos los sectores de la sociedad del Caribe con respecto al alcance de la situación de la trata de personas, impartiendo capacitación a los funcionarios gubernamentales y dotándolos de medios para identificar y proteger a las víctimas de la trata.</w:t>
      </w:r>
    </w:p>
    <w:p w:rsidR="00AA5B69" w:rsidRDefault="00AA5B69">
      <w:pPr>
        <w:spacing w:after="120"/>
        <w:ind w:left="1134" w:right="1134"/>
        <w:jc w:val="both"/>
      </w:pPr>
      <w:r>
        <w:t>265.</w:t>
      </w:r>
      <w:r>
        <w:tab/>
        <w:t xml:space="preserve">Algunos funcionarios del Ministerio de Justicia del Canadá colaboran estrechamente con la Oficina de las Naciones Unidas contra la Droga y el Delito en la elaboración de un manual de capacitación avanzado para funcionarios encargados de hacer cumplir la ley, fiscales y miembros de la judicatura, así como modelos de legislación, que contienen no solo los requisitos legales penales que figuran en el Protocolo para prevenir, reprimir y sancionar la trata de personas, especialmente mujeres y niños, sino también medidas para prestar asistencia y protección a las víctimas de </w:t>
      </w:r>
      <w:smartTag w:uri="urn:schemas-microsoft-com:office:smarttags" w:element="PersonName">
        <w:smartTagPr>
          <w:attr w:name="ProductID" w:val="la trata. El"/>
        </w:smartTagPr>
        <w:r>
          <w:t>la trata. El</w:t>
        </w:r>
      </w:smartTag>
      <w:r>
        <w:t xml:space="preserve"> manual de capacitación facilitará la difusión de las mejores prácticas a escala internacional, también en relación con la identificación y el tratamiento de las víctimas de la trata por los agentes del orden, y servirá para promover estrategias eficaces de apoyo a las víctimas en el curso del enjuiciamiento de los presuntos tratantes.</w:t>
      </w:r>
    </w:p>
    <w:p w:rsidR="00AA5B69" w:rsidRDefault="00AA5B69">
      <w:pPr>
        <w:pStyle w:val="H1G"/>
      </w:pPr>
      <w:r>
        <w:tab/>
      </w:r>
      <w:r>
        <w:tab/>
        <w:t>Cooperación internacional entre organismos</w:t>
      </w:r>
    </w:p>
    <w:p w:rsidR="00AA5B69" w:rsidRDefault="00AA5B69">
      <w:pPr>
        <w:spacing w:after="120"/>
        <w:ind w:left="1134" w:right="1134"/>
        <w:jc w:val="both"/>
      </w:pPr>
      <w:r>
        <w:t>266.</w:t>
      </w:r>
      <w:r>
        <w:tab/>
        <w:t>Los organismos policiales canadienses colaboran con la INTERPOL en la lucha contra la explotación sexual de los niños. La policía del Canadá puede comunicarse con la INTERPOL y otros organismos policiales internacionales por medio de una red segura y encriptada, conocida como GROOVE. Esta red también permite a los investigadores almacenar, organizar y compartir archivos. GROOVE les permite acceder a la base de datos de imágenes de explotación de niños de la INTERPOL, pudiendo así comparar un conjunto particular de imágenes que contienen abusos sexuales a niños con otras imágenes en las que se ha identificado a las víctimas. Esto reduce la duplicación de esfuerzos en la labor de identificar a las víctimas y a los infractores.</w:t>
      </w:r>
    </w:p>
    <w:p w:rsidR="00AA5B69" w:rsidRDefault="00AA5B69">
      <w:pPr>
        <w:spacing w:after="120"/>
        <w:ind w:left="1134" w:right="1134"/>
        <w:jc w:val="both"/>
      </w:pPr>
      <w:r>
        <w:t>267.</w:t>
      </w:r>
      <w:r>
        <w:tab/>
        <w:t>La policía del Canadá también ha colaborado con la INTERPOL en la difusión de advertencias sobre los delincuentes sexuales conocidos que intentan viajar a países extranjeros para mantener relaciones sexuales con niños. Esos avisos han permitido obtener ciertos resultados, logrando la salida de esos delincuentes sexuales de algunos países y evitando la victimización de los niños que viven en ellos.</w:t>
      </w:r>
    </w:p>
    <w:p w:rsidR="00AA5B69" w:rsidRDefault="00AA5B69">
      <w:pPr>
        <w:spacing w:after="120"/>
        <w:ind w:left="1134" w:right="1134"/>
        <w:jc w:val="both"/>
      </w:pPr>
      <w:r>
        <w:t>268.</w:t>
      </w:r>
      <w:r>
        <w:tab/>
        <w:t>El Centro nacional de coordinación contra la explotación de niños también colabora con la INTERPOL en el Virtual Global Taskforce, que es una asociación internacional de organismos policiales creada para combatir la explotación sexual de los niños en Internet. Véase más información en www.virtualglobaltaskforce.com.</w:t>
      </w:r>
    </w:p>
    <w:p w:rsidR="00AA5B69" w:rsidRDefault="00AA5B69">
      <w:pPr>
        <w:spacing w:after="120"/>
        <w:ind w:left="1134" w:right="1134"/>
        <w:jc w:val="both"/>
      </w:pPr>
      <w:r>
        <w:t>269.</w:t>
      </w:r>
      <w:r>
        <w:tab/>
        <w:t>Los investigadores del Centro nacional de coordinación contra la explotación de niños, en cooperación con funcionarios del Gobierno del Canadá, controlan a los delincuentes sexuales que pasan por los puestos fronterizos del Canadá, así como a los delincuentes pedófilos deportados desde los Estados Unidos, el Reino Unido y Australia al Canadá. Esa información se añade a la base de datos del Sistema de seguimiento contra la explotación de niños para facilitar la identificación de los delincuentes de alto riesgo o reincidentes.</w:t>
      </w:r>
    </w:p>
    <w:p w:rsidR="00AA5B69" w:rsidRDefault="00AA5B69">
      <w:pPr>
        <w:pStyle w:val="H1G"/>
      </w:pPr>
      <w:r>
        <w:tab/>
      </w:r>
      <w:r>
        <w:tab/>
        <w:t>Programas de sensibilización y de asistencia</w:t>
      </w:r>
    </w:p>
    <w:p w:rsidR="00AA5B69" w:rsidRDefault="00AA5B69">
      <w:pPr>
        <w:spacing w:after="120"/>
        <w:ind w:left="1134" w:right="1134"/>
        <w:jc w:val="both"/>
      </w:pPr>
      <w:r>
        <w:t>270.</w:t>
      </w:r>
      <w:r>
        <w:tab/>
        <w:t>El Canadá apoya iniciativas de sensibilización en los países de origen de las víctimas de la trata internacional, con objeto de prevenir la trata de personas desde el principio. Por ejemplo, desde 2005, el Canadá ha apoyado a la OIM en la difusión del video de animación titulado "Sueños rotos" (Shattered Dreams), cuyo objetivo es concienciar a los adolescentes vulnerables sobre los riesgos asociados a la trata de personas en comunidades locales de Tailandia, Laos, Viet Nam y Camboya.</w:t>
      </w:r>
    </w:p>
    <w:p w:rsidR="00AA5B69" w:rsidRDefault="00AA5B69">
      <w:pPr>
        <w:spacing w:after="120"/>
        <w:ind w:left="1134" w:right="1134"/>
        <w:jc w:val="both"/>
      </w:pPr>
      <w:r>
        <w:t>271.</w:t>
      </w:r>
      <w:r>
        <w:tab/>
        <w:t xml:space="preserve">El Canadá proporciona financiación a organizaciones internacionales, como la OIM y </w:t>
      </w:r>
      <w:smartTag w:uri="urn:schemas-microsoft-com:office:smarttags" w:element="PersonName">
        <w:smartTagPr>
          <w:attr w:name="ProductID" w:val="la Fundaci￳n Panamericana"/>
        </w:smartTagPr>
        <w:r>
          <w:t>la Fundación Panamericana</w:t>
        </w:r>
      </w:smartTag>
      <w:r>
        <w:t xml:space="preserve"> de Desarrollo, para apoyar diversos proyectos destinados a promover en Haití el desarrollo de una estrategia amplia contra la trata, que abarca la penalización y la creación de capacidad en materia de aplicación de la ley, a fin de poder investigar y enjuiciar eficazmente este delito, crear conciencia, asistir a las víctimas y administrar de forma eficaz las fronteras y la migración.</w:t>
      </w:r>
    </w:p>
    <w:p w:rsidR="00AA5B69" w:rsidRDefault="00AA5B69">
      <w:pPr>
        <w:spacing w:after="120"/>
        <w:ind w:left="1134" w:right="1134"/>
        <w:jc w:val="both"/>
      </w:pPr>
      <w:r>
        <w:t>272.</w:t>
      </w:r>
      <w:r>
        <w:tab/>
        <w:t>En 2006-2007, el Canadá cooperó asimismo con la Oficina de las Naciones Unidas contra la Droga y el Delito en Laos, para ayudar a reforzar la legislación y el cumplimiento de la ley contra la trata de personas, así como la capacidad gubernamental para investigar, enjuiciar y condenar a los tratantes, lo que incluyó una propuesta de modificaciones en la estructura del derecho penal y la formación de profesionales del ámbito de la justicia penal.</w:t>
      </w:r>
    </w:p>
    <w:p w:rsidR="00AA5B69" w:rsidRDefault="00AA5B69">
      <w:pPr>
        <w:spacing w:after="120"/>
        <w:ind w:left="1134" w:right="1134"/>
        <w:jc w:val="both"/>
      </w:pPr>
      <w:r>
        <w:t>273.</w:t>
      </w:r>
      <w:r>
        <w:tab/>
        <w:t xml:space="preserve">Desde 1996, el Gobierno del Canadá ha contribuido al Programa Internacional para la Erradicación del Trabajo Infantil (IPEC) de </w:t>
      </w:r>
      <w:smartTag w:uri="urn:schemas-microsoft-com:office:smarttags" w:element="PersonName">
        <w:smartTagPr>
          <w:attr w:name="ProductID" w:val="la Organizaci￳n Internacional"/>
        </w:smartTagPr>
        <w:r>
          <w:t>la Organización Internacional</w:t>
        </w:r>
      </w:smartTag>
      <w:r>
        <w:t xml:space="preserve"> del Trabajo (OIT), que cuenta con 20 países donantes y se ejecuta en más de 75 países. En 2000, el Gobierno del Canadá asignó a este programa 15 millones de dólares en cinco años. Mediante el IPEC, el Canadá ha apoyado proyectos en América Central y América del Sur, el Caribe, África, Asia y Oriente Medio, destinados a combatir las peores formas de trabajo infantil, que se definen en el Convenio sobre las peores formas de trabajo infantil, 1999 (Nº 182), de la OIT, y que incluyen la explotación sexual de los niños, la esclavitud y las prácticas análogas a la esclavitud.</w:t>
      </w:r>
    </w:p>
    <w:p w:rsidR="00AA5B69" w:rsidRDefault="00AA5B69">
      <w:pPr>
        <w:spacing w:after="120"/>
        <w:ind w:left="1134" w:right="1134"/>
        <w:jc w:val="both"/>
      </w:pPr>
      <w:r>
        <w:t>274.</w:t>
      </w:r>
      <w:r>
        <w:tab/>
        <w:t>El Gobierno del Canadá, de conformidad con su política de reforzar la eficacia de la ayuda, continúa prestando apoyo a una amplia gama de iniciativas en Europa oriental, Asia, África, y el continente americano, que se dirigen específicamente a prevenir la trata o la explotación sexual comercial de las mujeres y los niños, prestar asistencia a los niños y los jóvenes afectados, así como a sus familias, y promover y proteger los derechos humanos, en particular los de las mujeres y los niños. Entre esas medidas figuran las siguientes:</w:t>
      </w:r>
    </w:p>
    <w:p w:rsidR="00AA5B69" w:rsidRDefault="00AA5B69">
      <w:pPr>
        <w:pStyle w:val="Bullet1G"/>
      </w:pPr>
      <w:r>
        <w:t xml:space="preserve">En el plano multilateral, aporta financiación básica al Fondo de las Naciones Unidas para la Infancia (UNICEF), el Fondo de Desarrollo de las Naciones Unidas para la Mujer (UNIFEM), el Programa de las Naciones Unidas para el Desarrollo (PNUD), el Alto Comisionado de las Naciones Unidas para los Refugiados (ACNUR), la OIT y la OIM, para abordar cuestiones como la explotación sexual comercial de las mujeres y los niños, la trata de personas, los derechos humanos, la igualdad entre los géneros, los derechos y la protección de los niños, y las cuestiones referentes a </w:t>
      </w:r>
      <w:smartTag w:uri="urn:schemas-microsoft-com:office:smarttags" w:element="PersonName">
        <w:smartTagPr>
          <w:attr w:name="ProductID" w:val="la migraci￳n. Tambi￩n"/>
        </w:smartTagPr>
        <w:r>
          <w:t>la migración. También</w:t>
        </w:r>
      </w:smartTag>
      <w:r>
        <w:t xml:space="preserve"> ha proporcionado financiación para el Estudio del Secretario General de las Naciones Unidas sobre la violencia contra los niños (2003-2006).</w:t>
      </w:r>
    </w:p>
    <w:p w:rsidR="00AA5B69" w:rsidRDefault="00AA5B69">
      <w:pPr>
        <w:pStyle w:val="Bullet1G"/>
      </w:pPr>
      <w:r>
        <w:t xml:space="preserve">El apoyo a un programa regional europeo de lucha contra la trata de personas, que es una iniciativa de la Oficina de Instituciones Democráticas y Derechos Humanos de la Organización para la Seguridad y la Cooperación en Europa. Esta subvención de 2,4 millones de dólares (2007-2011) apoyará el programa contra la trata de la Oficina de Instituciones Democráticas y Derechos Humanos, destinado a reducir el número de víctimas de la trata en Europa Oriental, completar la aplicación de mecanismos nacionales de remisión en algunos países de la región, y proteger y empoderar a las víctimas de la trata en las regiones de </w:t>
      </w:r>
      <w:smartTag w:uri="urn:schemas-microsoft-com:office:smarttags" w:element="PersonName">
        <w:smartTagPr>
          <w:attr w:name="ProductID" w:val="la antigua Uni￳n Sovi￩tica"/>
        </w:smartTagPr>
        <w:r>
          <w:t>la antigua Unión Soviética</w:t>
        </w:r>
      </w:smartTag>
      <w:r>
        <w:t xml:space="preserve"> y de Europa Sudoriental.</w:t>
      </w:r>
    </w:p>
    <w:p w:rsidR="00AA5B69" w:rsidRDefault="00AA5B69">
      <w:pPr>
        <w:spacing w:after="120"/>
        <w:ind w:left="1134" w:right="1134"/>
        <w:jc w:val="both"/>
      </w:pPr>
      <w:r>
        <w:t>275.</w:t>
      </w:r>
      <w:r>
        <w:tab/>
        <w:t>En el plano internacional, el Canadá apoya la prevención de la trata de personas abordando muchos de los factores que contribuyen a la vulnerabilidad de las personas a la trata o la explotación sexual comercial. Muchas iniciativas se dirigen específicamente a prevenir la trata o la explotación sexual comercial de las mujeres y los niños, ayudar a las personas y a sus familias, y promover y proteger los derechos humanos, en particular los de los niños. Por ejemplo, en 2006, el Canadá patrocinó la elaboración por el ACNUR de un conjunto de directrices operativas sobre el mantenimiento del carácter civil y humanitario del asilo, en las que se tratan varias cuestiones que afectan a los niños, con inclusión de medidas prácticas para prevenir y combatir el abuso y la explotación sexuales.</w:t>
      </w:r>
    </w:p>
    <w:p w:rsidR="00AA5B69" w:rsidRDefault="00AA5B69">
      <w:pPr>
        <w:spacing w:after="120"/>
        <w:ind w:left="1134" w:right="1134"/>
        <w:jc w:val="both"/>
      </w:pPr>
      <w:r>
        <w:t>276.</w:t>
      </w:r>
      <w:r>
        <w:tab/>
        <w:t xml:space="preserve">El Gobierno del Canadá apoya diversas iniciativas locales en los países en desarrollo para combatir las causas profundas de la explotación sexual, mediante la promoción de los derechos de los niños, la protección y la educación, y la asistencia a los niños y los jóvenes víctimas del comercio sexual, con objeto de proporcionar a las familias soluciones viables. En 2001, el Gobierno del Canadá creó el Fondo para Investigaciones sobre la Protección de la Infancia, a fin de apoyar la investigación en materia de protección de la infancia en los países en desarrollo. Los principales objetivos del Fondo son fomentar los derechos de los niños y las políticas de protección, así como establecer soluciones sostenibles y viables a los problemas que enfrentan los niños que necesitan una protección especial contra los malos tratos, la explotación y </w:t>
      </w:r>
      <w:smartTag w:uri="urn:schemas-microsoft-com:office:smarttags" w:element="PersonName">
        <w:smartTagPr>
          <w:attr w:name="ProductID" w:val="la violencia. Se"/>
        </w:smartTagPr>
        <w:r>
          <w:t>la violencia. Se</w:t>
        </w:r>
      </w:smartTag>
      <w:r>
        <w:t xml:space="preserve"> puede consultar más información sobre el Fondo para Investigaciones sobre la Protección de la Infancia en http://www.acdi-cida.gc.ca/CIDAWEB/acdicida.nsf/En/JUD-4189526-JA7.</w:t>
      </w:r>
    </w:p>
    <w:p w:rsidR="00AA5B69" w:rsidRDefault="00AA5B69">
      <w:pPr>
        <w:pStyle w:val="HChG"/>
        <w:ind w:firstLine="0"/>
      </w:pPr>
      <w:r>
        <w:br w:type="page"/>
        <w:t>Anexo</w:t>
      </w:r>
    </w:p>
    <w:p w:rsidR="00AA5B69" w:rsidRDefault="00AA5B69">
      <w:pPr>
        <w:pStyle w:val="HChG"/>
      </w:pPr>
      <w:r>
        <w:tab/>
      </w:r>
      <w:r>
        <w:tab/>
        <w:t>Tratados bilaterales de extradición</w:t>
      </w:r>
    </w:p>
    <w:p w:rsidR="00AA5B69" w:rsidRDefault="00AA5B69">
      <w:pPr>
        <w:pStyle w:val="H1G"/>
      </w:pPr>
      <w:r>
        <w:tab/>
      </w:r>
      <w:r>
        <w:tab/>
        <w:t>El Canadá ha establecido tratados bilaterales de extradición con los siguientes países.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670"/>
        <w:gridCol w:w="2010"/>
        <w:gridCol w:w="4690"/>
      </w:tblGrid>
      <w:tr w:rsidR="00AA5B69" w:rsidRPr="002954E0">
        <w:trPr>
          <w:tblHeader/>
        </w:trPr>
        <w:tc>
          <w:tcPr>
            <w:tcW w:w="670" w:type="dxa"/>
            <w:tcBorders>
              <w:top w:val="single" w:sz="4" w:space="0" w:color="auto"/>
              <w:bottom w:val="single" w:sz="12" w:space="0" w:color="auto"/>
            </w:tcBorders>
            <w:shd w:val="clear" w:color="auto" w:fill="auto"/>
            <w:vAlign w:val="bottom"/>
          </w:tcPr>
          <w:p w:rsidR="00AA5B69" w:rsidRPr="002954E0" w:rsidRDefault="00AA5B69">
            <w:pPr>
              <w:spacing w:before="80" w:after="80" w:line="200" w:lineRule="exact"/>
              <w:rPr>
                <w:i/>
                <w:sz w:val="16"/>
                <w:szCs w:val="16"/>
              </w:rPr>
            </w:pPr>
          </w:p>
        </w:tc>
        <w:tc>
          <w:tcPr>
            <w:tcW w:w="2010" w:type="dxa"/>
            <w:tcBorders>
              <w:top w:val="single" w:sz="4" w:space="0" w:color="auto"/>
              <w:bottom w:val="single" w:sz="12" w:space="0" w:color="auto"/>
            </w:tcBorders>
            <w:shd w:val="clear" w:color="auto" w:fill="auto"/>
            <w:vAlign w:val="bottom"/>
          </w:tcPr>
          <w:p w:rsidR="00AA5B69" w:rsidRPr="002954E0" w:rsidRDefault="00AA5B69">
            <w:pPr>
              <w:spacing w:before="80" w:after="80" w:line="200" w:lineRule="exact"/>
              <w:rPr>
                <w:i/>
                <w:sz w:val="16"/>
                <w:szCs w:val="16"/>
              </w:rPr>
            </w:pPr>
          </w:p>
        </w:tc>
        <w:tc>
          <w:tcPr>
            <w:tcW w:w="4690" w:type="dxa"/>
            <w:tcBorders>
              <w:top w:val="single" w:sz="4" w:space="0" w:color="auto"/>
              <w:bottom w:val="single" w:sz="12" w:space="0" w:color="auto"/>
            </w:tcBorders>
            <w:shd w:val="clear" w:color="auto" w:fill="auto"/>
            <w:vAlign w:val="bottom"/>
          </w:tcPr>
          <w:p w:rsidR="00AA5B69" w:rsidRPr="002954E0" w:rsidRDefault="00AA5B69">
            <w:pPr>
              <w:spacing w:before="80" w:after="80" w:line="200" w:lineRule="exact"/>
              <w:rPr>
                <w:i/>
                <w:sz w:val="16"/>
                <w:szCs w:val="16"/>
              </w:rPr>
            </w:pPr>
            <w:r w:rsidRPr="002954E0">
              <w:rPr>
                <w:i/>
                <w:sz w:val="16"/>
                <w:szCs w:val="16"/>
              </w:rPr>
              <w:t>Fecha de entrada en vigor</w:t>
            </w:r>
          </w:p>
        </w:tc>
      </w:tr>
      <w:tr w:rsidR="00AA5B69" w:rsidRPr="002954E0">
        <w:trPr>
          <w:trHeight w:hRule="exact" w:val="113"/>
          <w:tblHeader/>
        </w:trPr>
        <w:tc>
          <w:tcPr>
            <w:tcW w:w="670" w:type="dxa"/>
            <w:tcBorders>
              <w:top w:val="single" w:sz="12" w:space="0" w:color="auto"/>
              <w:bottom w:val="nil"/>
            </w:tcBorders>
            <w:shd w:val="clear" w:color="auto" w:fill="auto"/>
            <w:vAlign w:val="bottom"/>
          </w:tcPr>
          <w:p w:rsidR="00AA5B69" w:rsidRPr="002954E0" w:rsidRDefault="00AA5B69">
            <w:pPr>
              <w:spacing w:before="80" w:after="80" w:line="200" w:lineRule="exact"/>
              <w:ind w:right="113"/>
            </w:pPr>
          </w:p>
        </w:tc>
        <w:tc>
          <w:tcPr>
            <w:tcW w:w="2010" w:type="dxa"/>
            <w:tcBorders>
              <w:top w:val="single" w:sz="12" w:space="0" w:color="auto"/>
              <w:bottom w:val="nil"/>
            </w:tcBorders>
            <w:shd w:val="clear" w:color="auto" w:fill="auto"/>
            <w:vAlign w:val="bottom"/>
          </w:tcPr>
          <w:p w:rsidR="00AA5B69" w:rsidRPr="002954E0" w:rsidRDefault="00AA5B69">
            <w:pPr>
              <w:spacing w:before="80" w:after="80" w:line="200" w:lineRule="exact"/>
              <w:ind w:right="113"/>
            </w:pPr>
          </w:p>
        </w:tc>
        <w:tc>
          <w:tcPr>
            <w:tcW w:w="4690" w:type="dxa"/>
            <w:tcBorders>
              <w:top w:val="single" w:sz="12" w:space="0" w:color="auto"/>
              <w:bottom w:val="nil"/>
            </w:tcBorders>
            <w:shd w:val="clear" w:color="auto" w:fill="auto"/>
            <w:vAlign w:val="bottom"/>
          </w:tcPr>
          <w:p w:rsidR="00AA5B69" w:rsidRPr="002954E0" w:rsidRDefault="00AA5B69">
            <w:pPr>
              <w:spacing w:before="80" w:after="80" w:line="200" w:lineRule="exact"/>
              <w:ind w:right="113"/>
            </w:pPr>
          </w:p>
        </w:tc>
      </w:tr>
      <w:tr w:rsidR="00AA5B69" w:rsidRPr="002954E0">
        <w:tc>
          <w:tcPr>
            <w:tcW w:w="670" w:type="dxa"/>
            <w:tcBorders>
              <w:top w:val="nil"/>
            </w:tcBorders>
            <w:shd w:val="clear" w:color="auto" w:fill="auto"/>
          </w:tcPr>
          <w:p w:rsidR="00AA5B69" w:rsidRDefault="00AA5B69">
            <w:pPr>
              <w:spacing w:after="120"/>
            </w:pPr>
            <w:r>
              <w:t>1.</w:t>
            </w:r>
          </w:p>
        </w:tc>
        <w:tc>
          <w:tcPr>
            <w:tcW w:w="2010" w:type="dxa"/>
            <w:tcBorders>
              <w:top w:val="nil"/>
            </w:tcBorders>
            <w:shd w:val="clear" w:color="auto" w:fill="auto"/>
          </w:tcPr>
          <w:p w:rsidR="00AA5B69" w:rsidRDefault="00AA5B69">
            <w:pPr>
              <w:spacing w:after="120"/>
            </w:pPr>
            <w:r>
              <w:t>Albania</w:t>
            </w:r>
          </w:p>
        </w:tc>
        <w:tc>
          <w:tcPr>
            <w:tcW w:w="4690" w:type="dxa"/>
            <w:tcBorders>
              <w:top w:val="nil"/>
            </w:tcBorders>
            <w:shd w:val="clear" w:color="auto" w:fill="auto"/>
          </w:tcPr>
          <w:p w:rsidR="00AA5B69" w:rsidRDefault="00AA5B69">
            <w:pPr>
              <w:spacing w:after="120"/>
            </w:pPr>
            <w:r>
              <w:t>11 de julio de 1927</w:t>
            </w:r>
          </w:p>
        </w:tc>
      </w:tr>
      <w:tr w:rsidR="00AA5B69" w:rsidRPr="002954E0">
        <w:tc>
          <w:tcPr>
            <w:tcW w:w="670" w:type="dxa"/>
            <w:shd w:val="clear" w:color="auto" w:fill="auto"/>
          </w:tcPr>
          <w:p w:rsidR="00AA5B69" w:rsidRDefault="00AA5B69">
            <w:pPr>
              <w:spacing w:after="120"/>
            </w:pPr>
            <w:r>
              <w:t>2.</w:t>
            </w:r>
          </w:p>
        </w:tc>
        <w:tc>
          <w:tcPr>
            <w:tcW w:w="2010" w:type="dxa"/>
            <w:shd w:val="clear" w:color="auto" w:fill="auto"/>
          </w:tcPr>
          <w:p w:rsidR="00AA5B69" w:rsidRDefault="00AA5B69">
            <w:pPr>
              <w:spacing w:after="120"/>
            </w:pPr>
            <w:r>
              <w:t>Alemania* **</w:t>
            </w:r>
          </w:p>
        </w:tc>
        <w:tc>
          <w:tcPr>
            <w:tcW w:w="4690" w:type="dxa"/>
            <w:shd w:val="clear" w:color="auto" w:fill="auto"/>
          </w:tcPr>
          <w:p w:rsidR="00AA5B69" w:rsidRDefault="00AA5B69">
            <w:r>
              <w:t xml:space="preserve">30 de septiembre de 1979 (Nº 44, Vol. 113 </w:t>
            </w:r>
            <w:r>
              <w:sym w:font="Symbol" w:char="F02D"/>
            </w:r>
            <w:r>
              <w:t xml:space="preserve"> 3 de noviembre de 1979)</w:t>
            </w:r>
          </w:p>
          <w:p w:rsidR="00AA5B69" w:rsidRDefault="00AA5B69">
            <w:pPr>
              <w:spacing w:after="120"/>
            </w:pPr>
            <w:r>
              <w:t xml:space="preserve">23 de octubre de 2004 (Nº 45, Vol. 138 </w:t>
            </w:r>
            <w:r>
              <w:sym w:font="Symbol" w:char="F02D"/>
            </w:r>
            <w:r>
              <w:t xml:space="preserve"> 6 de noviembre de 2004)</w:t>
            </w:r>
          </w:p>
        </w:tc>
      </w:tr>
      <w:tr w:rsidR="00AA5B69" w:rsidRPr="002954E0">
        <w:tc>
          <w:tcPr>
            <w:tcW w:w="670" w:type="dxa"/>
            <w:shd w:val="clear" w:color="auto" w:fill="auto"/>
          </w:tcPr>
          <w:p w:rsidR="00AA5B69" w:rsidRDefault="00AA5B69">
            <w:pPr>
              <w:spacing w:after="120"/>
            </w:pPr>
            <w:r>
              <w:t>3.</w:t>
            </w:r>
          </w:p>
        </w:tc>
        <w:tc>
          <w:tcPr>
            <w:tcW w:w="2010" w:type="dxa"/>
            <w:shd w:val="clear" w:color="auto" w:fill="auto"/>
          </w:tcPr>
          <w:p w:rsidR="00AA5B69" w:rsidRDefault="00AA5B69">
            <w:pPr>
              <w:spacing w:after="120"/>
            </w:pPr>
            <w:r>
              <w:t>Argentina</w:t>
            </w:r>
          </w:p>
        </w:tc>
        <w:tc>
          <w:tcPr>
            <w:tcW w:w="4690" w:type="dxa"/>
            <w:shd w:val="clear" w:color="auto" w:fill="auto"/>
          </w:tcPr>
          <w:p w:rsidR="00AA5B69" w:rsidRDefault="00AA5B69">
            <w:pPr>
              <w:spacing w:after="120"/>
            </w:pPr>
            <w:r>
              <w:t>9 de febrero de 1894</w:t>
            </w:r>
          </w:p>
        </w:tc>
      </w:tr>
      <w:tr w:rsidR="00AA5B69" w:rsidRPr="002954E0">
        <w:tc>
          <w:tcPr>
            <w:tcW w:w="670" w:type="dxa"/>
            <w:shd w:val="clear" w:color="auto" w:fill="auto"/>
          </w:tcPr>
          <w:p w:rsidR="00AA5B69" w:rsidRDefault="00AA5B69">
            <w:pPr>
              <w:spacing w:after="120"/>
            </w:pPr>
            <w:r>
              <w:t>4.</w:t>
            </w:r>
          </w:p>
        </w:tc>
        <w:tc>
          <w:tcPr>
            <w:tcW w:w="2010" w:type="dxa"/>
            <w:shd w:val="clear" w:color="auto" w:fill="auto"/>
          </w:tcPr>
          <w:p w:rsidR="00AA5B69" w:rsidRDefault="00AA5B69">
            <w:pPr>
              <w:spacing w:after="120"/>
            </w:pPr>
            <w:r>
              <w:t>Austria* **</w:t>
            </w:r>
          </w:p>
        </w:tc>
        <w:tc>
          <w:tcPr>
            <w:tcW w:w="4690" w:type="dxa"/>
            <w:shd w:val="clear" w:color="auto" w:fill="auto"/>
          </w:tcPr>
          <w:p w:rsidR="00AA5B69" w:rsidRDefault="00AA5B69">
            <w:pPr>
              <w:spacing w:after="120"/>
            </w:pPr>
            <w:r>
              <w:t>2 de octubre de 2000</w:t>
            </w:r>
          </w:p>
        </w:tc>
      </w:tr>
      <w:tr w:rsidR="00AA5B69" w:rsidRPr="002954E0">
        <w:tc>
          <w:tcPr>
            <w:tcW w:w="670" w:type="dxa"/>
            <w:shd w:val="clear" w:color="auto" w:fill="auto"/>
          </w:tcPr>
          <w:p w:rsidR="00AA5B69" w:rsidRDefault="00AA5B69">
            <w:pPr>
              <w:spacing w:after="120"/>
            </w:pPr>
            <w:r>
              <w:t>5.</w:t>
            </w:r>
          </w:p>
        </w:tc>
        <w:tc>
          <w:tcPr>
            <w:tcW w:w="2010" w:type="dxa"/>
            <w:shd w:val="clear" w:color="auto" w:fill="auto"/>
          </w:tcPr>
          <w:p w:rsidR="00AA5B69" w:rsidRDefault="00AA5B69">
            <w:pPr>
              <w:spacing w:after="120"/>
            </w:pPr>
            <w:r>
              <w:t>Bélgica*</w:t>
            </w:r>
          </w:p>
        </w:tc>
        <w:tc>
          <w:tcPr>
            <w:tcW w:w="4690" w:type="dxa"/>
            <w:shd w:val="clear" w:color="auto" w:fill="auto"/>
          </w:tcPr>
          <w:p w:rsidR="00AA5B69" w:rsidRDefault="00AA5B69">
            <w:pPr>
              <w:spacing w:after="120"/>
            </w:pPr>
            <w:r>
              <w:t>17 de marzo de 1902</w:t>
            </w:r>
          </w:p>
        </w:tc>
      </w:tr>
      <w:tr w:rsidR="00AA5B69" w:rsidRPr="002954E0">
        <w:tc>
          <w:tcPr>
            <w:tcW w:w="670" w:type="dxa"/>
            <w:shd w:val="clear" w:color="auto" w:fill="auto"/>
          </w:tcPr>
          <w:p w:rsidR="00AA5B69" w:rsidRDefault="00AA5B69">
            <w:pPr>
              <w:spacing w:after="120"/>
            </w:pPr>
            <w:r>
              <w:t>6.</w:t>
            </w:r>
          </w:p>
        </w:tc>
        <w:tc>
          <w:tcPr>
            <w:tcW w:w="2010" w:type="dxa"/>
            <w:shd w:val="clear" w:color="auto" w:fill="auto"/>
          </w:tcPr>
          <w:p w:rsidR="00AA5B69" w:rsidRDefault="00AA5B69">
            <w:pPr>
              <w:spacing w:after="120"/>
            </w:pPr>
            <w:r>
              <w:t>Bolivia</w:t>
            </w:r>
          </w:p>
        </w:tc>
        <w:tc>
          <w:tcPr>
            <w:tcW w:w="4690" w:type="dxa"/>
            <w:shd w:val="clear" w:color="auto" w:fill="auto"/>
          </w:tcPr>
          <w:p w:rsidR="00AA5B69" w:rsidRDefault="00AA5B69">
            <w:pPr>
              <w:spacing w:after="120"/>
            </w:pPr>
            <w:r>
              <w:t>4 de noviembre de 1898</w:t>
            </w:r>
          </w:p>
        </w:tc>
      </w:tr>
      <w:tr w:rsidR="00AA5B69" w:rsidRPr="002954E0">
        <w:tc>
          <w:tcPr>
            <w:tcW w:w="670" w:type="dxa"/>
            <w:shd w:val="clear" w:color="auto" w:fill="auto"/>
          </w:tcPr>
          <w:p w:rsidR="00AA5B69" w:rsidRDefault="00AA5B69">
            <w:pPr>
              <w:spacing w:after="120"/>
            </w:pPr>
            <w:r>
              <w:t>7.</w:t>
            </w:r>
          </w:p>
        </w:tc>
        <w:tc>
          <w:tcPr>
            <w:tcW w:w="2010" w:type="dxa"/>
            <w:shd w:val="clear" w:color="auto" w:fill="auto"/>
          </w:tcPr>
          <w:p w:rsidR="00AA5B69" w:rsidRDefault="00AA5B69">
            <w:pPr>
              <w:spacing w:after="120"/>
            </w:pPr>
            <w:r>
              <w:t>Chile</w:t>
            </w:r>
          </w:p>
        </w:tc>
        <w:tc>
          <w:tcPr>
            <w:tcW w:w="4690" w:type="dxa"/>
            <w:shd w:val="clear" w:color="auto" w:fill="auto"/>
          </w:tcPr>
          <w:p w:rsidR="00AA5B69" w:rsidRDefault="00AA5B69">
            <w:pPr>
              <w:spacing w:after="120"/>
            </w:pPr>
            <w:r>
              <w:t>22 de agosto de 1898</w:t>
            </w:r>
          </w:p>
        </w:tc>
      </w:tr>
      <w:tr w:rsidR="00AA5B69" w:rsidRPr="002954E0">
        <w:tc>
          <w:tcPr>
            <w:tcW w:w="670" w:type="dxa"/>
            <w:shd w:val="clear" w:color="auto" w:fill="auto"/>
          </w:tcPr>
          <w:p w:rsidR="00AA5B69" w:rsidRDefault="00AA5B69">
            <w:pPr>
              <w:spacing w:after="120"/>
            </w:pPr>
            <w:r>
              <w:t>8.</w:t>
            </w:r>
          </w:p>
        </w:tc>
        <w:tc>
          <w:tcPr>
            <w:tcW w:w="2010" w:type="dxa"/>
            <w:shd w:val="clear" w:color="auto" w:fill="auto"/>
          </w:tcPr>
          <w:p w:rsidR="00AA5B69" w:rsidRDefault="00AA5B69">
            <w:pPr>
              <w:spacing w:after="120"/>
            </w:pPr>
            <w:r>
              <w:t>Colombia</w:t>
            </w:r>
          </w:p>
        </w:tc>
        <w:tc>
          <w:tcPr>
            <w:tcW w:w="4690" w:type="dxa"/>
            <w:shd w:val="clear" w:color="auto" w:fill="auto"/>
          </w:tcPr>
          <w:p w:rsidR="00AA5B69" w:rsidRDefault="00AA5B69">
            <w:pPr>
              <w:spacing w:after="120"/>
            </w:pPr>
            <w:r>
              <w:t>16 de diciembre de 1899</w:t>
            </w:r>
          </w:p>
        </w:tc>
      </w:tr>
      <w:tr w:rsidR="00AA5B69" w:rsidRPr="002954E0">
        <w:tc>
          <w:tcPr>
            <w:tcW w:w="670" w:type="dxa"/>
            <w:shd w:val="clear" w:color="auto" w:fill="auto"/>
          </w:tcPr>
          <w:p w:rsidR="00AA5B69" w:rsidRDefault="00AA5B69">
            <w:pPr>
              <w:spacing w:after="120"/>
            </w:pPr>
            <w:r>
              <w:t>9.</w:t>
            </w:r>
          </w:p>
        </w:tc>
        <w:tc>
          <w:tcPr>
            <w:tcW w:w="2010" w:type="dxa"/>
            <w:shd w:val="clear" w:color="auto" w:fill="auto"/>
          </w:tcPr>
          <w:p w:rsidR="00AA5B69" w:rsidRDefault="00AA5B69">
            <w:pPr>
              <w:spacing w:after="120"/>
            </w:pPr>
            <w:r>
              <w:t>Cuba</w:t>
            </w:r>
          </w:p>
        </w:tc>
        <w:tc>
          <w:tcPr>
            <w:tcW w:w="4690" w:type="dxa"/>
            <w:shd w:val="clear" w:color="auto" w:fill="auto"/>
          </w:tcPr>
          <w:p w:rsidR="00AA5B69" w:rsidRDefault="00AA5B69">
            <w:pPr>
              <w:spacing w:after="120"/>
            </w:pPr>
            <w:r>
              <w:t>22 de mayo de 1905</w:t>
            </w:r>
          </w:p>
        </w:tc>
      </w:tr>
      <w:tr w:rsidR="00AA5B69" w:rsidRPr="002954E0">
        <w:tc>
          <w:tcPr>
            <w:tcW w:w="670" w:type="dxa"/>
            <w:shd w:val="clear" w:color="auto" w:fill="auto"/>
          </w:tcPr>
          <w:p w:rsidR="00AA5B69" w:rsidRDefault="00AA5B69">
            <w:pPr>
              <w:spacing w:after="120"/>
            </w:pPr>
            <w:r>
              <w:t>10.</w:t>
            </w:r>
          </w:p>
        </w:tc>
        <w:tc>
          <w:tcPr>
            <w:tcW w:w="2010" w:type="dxa"/>
            <w:shd w:val="clear" w:color="auto" w:fill="auto"/>
          </w:tcPr>
          <w:p w:rsidR="00AA5B69" w:rsidRDefault="00AA5B69">
            <w:pPr>
              <w:spacing w:after="120"/>
            </w:pPr>
            <w:r>
              <w:t>Dinamarca* **</w:t>
            </w:r>
          </w:p>
        </w:tc>
        <w:tc>
          <w:tcPr>
            <w:tcW w:w="4690" w:type="dxa"/>
            <w:shd w:val="clear" w:color="auto" w:fill="auto"/>
          </w:tcPr>
          <w:p w:rsidR="00AA5B69" w:rsidRDefault="00AA5B69">
            <w:pPr>
              <w:spacing w:after="120"/>
            </w:pPr>
            <w:r>
              <w:t xml:space="preserve">13 de febrero de 1979 (Nº 8, Vol. 113 </w:t>
            </w:r>
            <w:r>
              <w:sym w:font="Symbol" w:char="F02D"/>
            </w:r>
            <w:r>
              <w:t xml:space="preserve"> 24 de febrero de 1979)</w:t>
            </w:r>
          </w:p>
        </w:tc>
      </w:tr>
      <w:tr w:rsidR="00AA5B69" w:rsidRPr="002954E0">
        <w:tc>
          <w:tcPr>
            <w:tcW w:w="670" w:type="dxa"/>
            <w:shd w:val="clear" w:color="auto" w:fill="auto"/>
          </w:tcPr>
          <w:p w:rsidR="00AA5B69" w:rsidRDefault="00AA5B69">
            <w:pPr>
              <w:spacing w:after="120"/>
            </w:pPr>
            <w:r>
              <w:t>11.</w:t>
            </w:r>
          </w:p>
        </w:tc>
        <w:tc>
          <w:tcPr>
            <w:tcW w:w="2010" w:type="dxa"/>
            <w:shd w:val="clear" w:color="auto" w:fill="auto"/>
          </w:tcPr>
          <w:p w:rsidR="00AA5B69" w:rsidRDefault="00AA5B69">
            <w:pPr>
              <w:spacing w:after="120"/>
            </w:pPr>
            <w:r>
              <w:t>Ecuador*</w:t>
            </w:r>
          </w:p>
        </w:tc>
        <w:tc>
          <w:tcPr>
            <w:tcW w:w="4690" w:type="dxa"/>
            <w:shd w:val="clear" w:color="auto" w:fill="auto"/>
          </w:tcPr>
          <w:p w:rsidR="00AA5B69" w:rsidRDefault="00AA5B69">
            <w:pPr>
              <w:spacing w:after="120"/>
            </w:pPr>
            <w:r>
              <w:t>2 de julio de 1886</w:t>
            </w:r>
          </w:p>
        </w:tc>
      </w:tr>
      <w:tr w:rsidR="00AA5B69" w:rsidRPr="002954E0">
        <w:tc>
          <w:tcPr>
            <w:tcW w:w="670" w:type="dxa"/>
            <w:shd w:val="clear" w:color="auto" w:fill="auto"/>
          </w:tcPr>
          <w:p w:rsidR="00AA5B69" w:rsidRDefault="00AA5B69">
            <w:pPr>
              <w:spacing w:after="120"/>
            </w:pPr>
            <w:r>
              <w:t>12.</w:t>
            </w:r>
          </w:p>
        </w:tc>
        <w:tc>
          <w:tcPr>
            <w:tcW w:w="2010" w:type="dxa"/>
            <w:shd w:val="clear" w:color="auto" w:fill="auto"/>
          </w:tcPr>
          <w:p w:rsidR="00AA5B69" w:rsidRDefault="00AA5B69">
            <w:pPr>
              <w:spacing w:after="120"/>
            </w:pPr>
            <w:r>
              <w:t>El Salvador*</w:t>
            </w:r>
          </w:p>
        </w:tc>
        <w:tc>
          <w:tcPr>
            <w:tcW w:w="4690" w:type="dxa"/>
            <w:shd w:val="clear" w:color="auto" w:fill="auto"/>
          </w:tcPr>
          <w:p w:rsidR="00AA5B69" w:rsidRDefault="00AA5B69">
            <w:pPr>
              <w:spacing w:after="120"/>
            </w:pPr>
            <w:r>
              <w:t>13 de enero de 1883</w:t>
            </w:r>
          </w:p>
        </w:tc>
      </w:tr>
      <w:tr w:rsidR="00AA5B69" w:rsidRPr="002954E0">
        <w:tc>
          <w:tcPr>
            <w:tcW w:w="670" w:type="dxa"/>
            <w:shd w:val="clear" w:color="auto" w:fill="auto"/>
          </w:tcPr>
          <w:p w:rsidR="00AA5B69" w:rsidRDefault="00AA5B69">
            <w:pPr>
              <w:spacing w:after="120"/>
            </w:pPr>
            <w:r>
              <w:t>13.</w:t>
            </w:r>
          </w:p>
        </w:tc>
        <w:tc>
          <w:tcPr>
            <w:tcW w:w="2010" w:type="dxa"/>
            <w:shd w:val="clear" w:color="auto" w:fill="auto"/>
          </w:tcPr>
          <w:p w:rsidR="00AA5B69" w:rsidRDefault="00AA5B69">
            <w:pPr>
              <w:spacing w:after="120"/>
            </w:pPr>
            <w:r>
              <w:t>Eslovaquia</w:t>
            </w:r>
          </w:p>
        </w:tc>
        <w:tc>
          <w:tcPr>
            <w:tcW w:w="4690" w:type="dxa"/>
            <w:shd w:val="clear" w:color="auto" w:fill="auto"/>
          </w:tcPr>
          <w:p w:rsidR="00AA5B69" w:rsidRDefault="00AA5B69">
            <w:pPr>
              <w:spacing w:after="120"/>
            </w:pPr>
            <w:r>
              <w:t>15 de diciembre de 1926</w:t>
            </w:r>
          </w:p>
        </w:tc>
      </w:tr>
      <w:tr w:rsidR="00AA5B69" w:rsidRPr="002954E0">
        <w:tc>
          <w:tcPr>
            <w:tcW w:w="670" w:type="dxa"/>
            <w:shd w:val="clear" w:color="auto" w:fill="auto"/>
          </w:tcPr>
          <w:p w:rsidR="00AA5B69" w:rsidRDefault="00AA5B69">
            <w:pPr>
              <w:spacing w:after="120"/>
            </w:pPr>
            <w:r>
              <w:t>14.</w:t>
            </w:r>
          </w:p>
        </w:tc>
        <w:tc>
          <w:tcPr>
            <w:tcW w:w="2010" w:type="dxa"/>
            <w:shd w:val="clear" w:color="auto" w:fill="auto"/>
          </w:tcPr>
          <w:p w:rsidR="00AA5B69" w:rsidRDefault="00AA5B69">
            <w:pPr>
              <w:spacing w:after="120"/>
            </w:pPr>
            <w:r>
              <w:t>España* **</w:t>
            </w:r>
          </w:p>
        </w:tc>
        <w:tc>
          <w:tcPr>
            <w:tcW w:w="4690" w:type="dxa"/>
            <w:shd w:val="clear" w:color="auto" w:fill="auto"/>
          </w:tcPr>
          <w:p w:rsidR="00AA5B69" w:rsidRDefault="00AA5B69">
            <w:pPr>
              <w:spacing w:after="120"/>
            </w:pPr>
            <w:r>
              <w:t xml:space="preserve">15 de agosto de 1990 (Nº 11, Vol. 125, parte 1 </w:t>
            </w:r>
            <w:r>
              <w:sym w:font="Symbol" w:char="F02D"/>
            </w:r>
            <w:r>
              <w:t xml:space="preserve"> 10 de marzo de 1991)</w:t>
            </w:r>
          </w:p>
        </w:tc>
      </w:tr>
      <w:tr w:rsidR="00AA5B69" w:rsidRPr="002954E0">
        <w:tc>
          <w:tcPr>
            <w:tcW w:w="670" w:type="dxa"/>
            <w:shd w:val="clear" w:color="auto" w:fill="auto"/>
          </w:tcPr>
          <w:p w:rsidR="00AA5B69" w:rsidRDefault="00AA5B69">
            <w:pPr>
              <w:spacing w:after="120"/>
            </w:pPr>
            <w:r>
              <w:t>15.</w:t>
            </w:r>
          </w:p>
        </w:tc>
        <w:tc>
          <w:tcPr>
            <w:tcW w:w="2010" w:type="dxa"/>
            <w:shd w:val="clear" w:color="auto" w:fill="auto"/>
          </w:tcPr>
          <w:p w:rsidR="00AA5B69" w:rsidRDefault="00AA5B69">
            <w:pPr>
              <w:spacing w:after="120"/>
            </w:pPr>
            <w:r>
              <w:t>Estados Unidos**</w:t>
            </w:r>
          </w:p>
        </w:tc>
        <w:tc>
          <w:tcPr>
            <w:tcW w:w="4690" w:type="dxa"/>
            <w:shd w:val="clear" w:color="auto" w:fill="auto"/>
          </w:tcPr>
          <w:p w:rsidR="00AA5B69" w:rsidRDefault="00AA5B69">
            <w:pPr>
              <w:spacing w:after="120"/>
            </w:pPr>
            <w:r>
              <w:t>22 de marzo de 1976</w:t>
            </w:r>
          </w:p>
        </w:tc>
      </w:tr>
      <w:tr w:rsidR="00AA5B69" w:rsidRPr="002954E0">
        <w:tc>
          <w:tcPr>
            <w:tcW w:w="670" w:type="dxa"/>
            <w:shd w:val="clear" w:color="auto" w:fill="auto"/>
          </w:tcPr>
          <w:p w:rsidR="00AA5B69" w:rsidRDefault="00AA5B69">
            <w:pPr>
              <w:spacing w:after="120"/>
            </w:pPr>
            <w:r>
              <w:t>16.</w:t>
            </w:r>
          </w:p>
        </w:tc>
        <w:tc>
          <w:tcPr>
            <w:tcW w:w="2010" w:type="dxa"/>
            <w:shd w:val="clear" w:color="auto" w:fill="auto"/>
          </w:tcPr>
          <w:p w:rsidR="00AA5B69" w:rsidRDefault="00AA5B69">
            <w:pPr>
              <w:spacing w:after="120"/>
            </w:pPr>
            <w:r>
              <w:t>Estonia</w:t>
            </w:r>
          </w:p>
        </w:tc>
        <w:tc>
          <w:tcPr>
            <w:tcW w:w="4690" w:type="dxa"/>
            <w:shd w:val="clear" w:color="auto" w:fill="auto"/>
          </w:tcPr>
          <w:p w:rsidR="00AA5B69" w:rsidRDefault="00AA5B69">
            <w:pPr>
              <w:spacing w:after="120"/>
            </w:pPr>
            <w:r>
              <w:t>18 de septiembre de 1928</w:t>
            </w:r>
          </w:p>
        </w:tc>
      </w:tr>
      <w:tr w:rsidR="00AA5B69" w:rsidRPr="002954E0">
        <w:tc>
          <w:tcPr>
            <w:tcW w:w="670" w:type="dxa"/>
            <w:shd w:val="clear" w:color="auto" w:fill="auto"/>
          </w:tcPr>
          <w:p w:rsidR="00AA5B69" w:rsidRDefault="00AA5B69">
            <w:pPr>
              <w:spacing w:after="120"/>
            </w:pPr>
            <w:r>
              <w:t>17.</w:t>
            </w:r>
          </w:p>
        </w:tc>
        <w:tc>
          <w:tcPr>
            <w:tcW w:w="2010" w:type="dxa"/>
            <w:shd w:val="clear" w:color="auto" w:fill="auto"/>
          </w:tcPr>
          <w:p w:rsidR="00AA5B69" w:rsidRDefault="00AA5B69">
            <w:pPr>
              <w:spacing w:after="120"/>
            </w:pPr>
            <w:r>
              <w:t>Filipinas**</w:t>
            </w:r>
          </w:p>
        </w:tc>
        <w:tc>
          <w:tcPr>
            <w:tcW w:w="4690" w:type="dxa"/>
            <w:shd w:val="clear" w:color="auto" w:fill="auto"/>
          </w:tcPr>
          <w:p w:rsidR="00AA5B69" w:rsidRDefault="00AA5B69">
            <w:pPr>
              <w:spacing w:after="120"/>
            </w:pPr>
            <w:r>
              <w:t>12 de noviembre de 1990</w:t>
            </w:r>
          </w:p>
        </w:tc>
      </w:tr>
      <w:tr w:rsidR="00AA5B69" w:rsidRPr="002954E0">
        <w:tc>
          <w:tcPr>
            <w:tcW w:w="670" w:type="dxa"/>
            <w:tcBorders>
              <w:bottom w:val="nil"/>
            </w:tcBorders>
            <w:shd w:val="clear" w:color="auto" w:fill="auto"/>
          </w:tcPr>
          <w:p w:rsidR="00AA5B69" w:rsidRDefault="00AA5B69">
            <w:pPr>
              <w:spacing w:after="120"/>
            </w:pPr>
            <w:r>
              <w:t>18.</w:t>
            </w:r>
          </w:p>
        </w:tc>
        <w:tc>
          <w:tcPr>
            <w:tcW w:w="2010" w:type="dxa"/>
            <w:tcBorders>
              <w:bottom w:val="nil"/>
            </w:tcBorders>
            <w:shd w:val="clear" w:color="auto" w:fill="auto"/>
          </w:tcPr>
          <w:p w:rsidR="00AA5B69" w:rsidRDefault="00AA5B69">
            <w:pPr>
              <w:spacing w:after="120"/>
            </w:pPr>
            <w:r>
              <w:t>Finlandia**</w:t>
            </w:r>
          </w:p>
        </w:tc>
        <w:tc>
          <w:tcPr>
            <w:tcW w:w="4690" w:type="dxa"/>
            <w:tcBorders>
              <w:bottom w:val="nil"/>
            </w:tcBorders>
            <w:shd w:val="clear" w:color="auto" w:fill="auto"/>
          </w:tcPr>
          <w:p w:rsidR="00AA5B69" w:rsidRDefault="00AA5B69">
            <w:pPr>
              <w:spacing w:after="120"/>
            </w:pPr>
            <w:r>
              <w:t>16 de febrero de 1985</w:t>
            </w:r>
          </w:p>
        </w:tc>
      </w:tr>
      <w:tr w:rsidR="00AA5B69" w:rsidRPr="002954E0">
        <w:tc>
          <w:tcPr>
            <w:tcW w:w="670" w:type="dxa"/>
            <w:tcBorders>
              <w:top w:val="nil"/>
              <w:bottom w:val="nil"/>
            </w:tcBorders>
            <w:shd w:val="clear" w:color="auto" w:fill="auto"/>
          </w:tcPr>
          <w:p w:rsidR="00AA5B69" w:rsidRDefault="00AA5B69">
            <w:pPr>
              <w:spacing w:after="120"/>
            </w:pPr>
            <w:r>
              <w:t>19.</w:t>
            </w:r>
          </w:p>
        </w:tc>
        <w:tc>
          <w:tcPr>
            <w:tcW w:w="2010" w:type="dxa"/>
            <w:tcBorders>
              <w:top w:val="nil"/>
              <w:bottom w:val="nil"/>
            </w:tcBorders>
            <w:shd w:val="clear" w:color="auto" w:fill="auto"/>
          </w:tcPr>
          <w:p w:rsidR="00AA5B69" w:rsidRDefault="00AA5B69">
            <w:pPr>
              <w:spacing w:after="120"/>
            </w:pPr>
            <w:r>
              <w:t>Francia* **</w:t>
            </w:r>
          </w:p>
        </w:tc>
        <w:tc>
          <w:tcPr>
            <w:tcW w:w="4690" w:type="dxa"/>
            <w:tcBorders>
              <w:top w:val="nil"/>
              <w:bottom w:val="nil"/>
            </w:tcBorders>
            <w:shd w:val="clear" w:color="auto" w:fill="auto"/>
          </w:tcPr>
          <w:p w:rsidR="00AA5B69" w:rsidRDefault="00AA5B69">
            <w:pPr>
              <w:spacing w:after="120"/>
            </w:pPr>
            <w:r>
              <w:t>1º de diciembre de 1989 (Nº 49, Vol. 123 – 9 de diciembre de 1989)</w:t>
            </w:r>
          </w:p>
        </w:tc>
      </w:tr>
      <w:tr w:rsidR="00AA5B69" w:rsidRPr="002954E0">
        <w:tc>
          <w:tcPr>
            <w:tcW w:w="670" w:type="dxa"/>
            <w:tcBorders>
              <w:top w:val="nil"/>
            </w:tcBorders>
            <w:shd w:val="clear" w:color="auto" w:fill="auto"/>
          </w:tcPr>
          <w:p w:rsidR="00AA5B69" w:rsidRDefault="00AA5B69">
            <w:pPr>
              <w:spacing w:after="120"/>
            </w:pPr>
            <w:r>
              <w:t>20.</w:t>
            </w:r>
          </w:p>
        </w:tc>
        <w:tc>
          <w:tcPr>
            <w:tcW w:w="2010" w:type="dxa"/>
            <w:tcBorders>
              <w:top w:val="nil"/>
            </w:tcBorders>
            <w:shd w:val="clear" w:color="auto" w:fill="auto"/>
          </w:tcPr>
          <w:p w:rsidR="00AA5B69" w:rsidRDefault="00AA5B69">
            <w:pPr>
              <w:spacing w:after="120"/>
            </w:pPr>
            <w:r>
              <w:t>Grecia*</w:t>
            </w:r>
          </w:p>
        </w:tc>
        <w:tc>
          <w:tcPr>
            <w:tcW w:w="4690" w:type="dxa"/>
            <w:tcBorders>
              <w:top w:val="nil"/>
            </w:tcBorders>
            <w:shd w:val="clear" w:color="auto" w:fill="auto"/>
          </w:tcPr>
          <w:p w:rsidR="00AA5B69" w:rsidRDefault="00AA5B69">
            <w:pPr>
              <w:spacing w:after="120"/>
            </w:pPr>
            <w:r>
              <w:t>26 de febrero de 1912</w:t>
            </w:r>
          </w:p>
        </w:tc>
      </w:tr>
      <w:tr w:rsidR="00AA5B69" w:rsidRPr="002954E0">
        <w:tc>
          <w:tcPr>
            <w:tcW w:w="670" w:type="dxa"/>
            <w:tcBorders>
              <w:bottom w:val="nil"/>
            </w:tcBorders>
            <w:shd w:val="clear" w:color="auto" w:fill="auto"/>
          </w:tcPr>
          <w:p w:rsidR="00AA5B69" w:rsidRDefault="00AA5B69">
            <w:pPr>
              <w:spacing w:after="120"/>
            </w:pPr>
            <w:r>
              <w:t>21.</w:t>
            </w:r>
          </w:p>
        </w:tc>
        <w:tc>
          <w:tcPr>
            <w:tcW w:w="2010" w:type="dxa"/>
            <w:tcBorders>
              <w:bottom w:val="nil"/>
            </w:tcBorders>
            <w:shd w:val="clear" w:color="auto" w:fill="auto"/>
          </w:tcPr>
          <w:p w:rsidR="00AA5B69" w:rsidRDefault="00AA5B69">
            <w:pPr>
              <w:spacing w:after="120"/>
            </w:pPr>
            <w:r>
              <w:t>Guatemala*</w:t>
            </w:r>
          </w:p>
        </w:tc>
        <w:tc>
          <w:tcPr>
            <w:tcW w:w="4690" w:type="dxa"/>
            <w:tcBorders>
              <w:bottom w:val="nil"/>
            </w:tcBorders>
            <w:shd w:val="clear" w:color="auto" w:fill="auto"/>
          </w:tcPr>
          <w:p w:rsidR="00AA5B69" w:rsidRDefault="00AA5B69">
            <w:pPr>
              <w:spacing w:after="120"/>
            </w:pPr>
            <w:r>
              <w:t>13 de diciembre de 1886</w:t>
            </w:r>
          </w:p>
        </w:tc>
      </w:tr>
      <w:tr w:rsidR="00AA5B69" w:rsidRPr="002954E0">
        <w:tc>
          <w:tcPr>
            <w:tcW w:w="670" w:type="dxa"/>
            <w:tcBorders>
              <w:top w:val="nil"/>
              <w:bottom w:val="nil"/>
            </w:tcBorders>
            <w:shd w:val="clear" w:color="auto" w:fill="auto"/>
          </w:tcPr>
          <w:p w:rsidR="00AA5B69" w:rsidRDefault="00AA5B69">
            <w:pPr>
              <w:spacing w:after="120"/>
            </w:pPr>
            <w:r>
              <w:t>22.</w:t>
            </w:r>
          </w:p>
        </w:tc>
        <w:tc>
          <w:tcPr>
            <w:tcW w:w="2010" w:type="dxa"/>
            <w:tcBorders>
              <w:top w:val="nil"/>
              <w:bottom w:val="nil"/>
            </w:tcBorders>
            <w:shd w:val="clear" w:color="auto" w:fill="auto"/>
          </w:tcPr>
          <w:p w:rsidR="00AA5B69" w:rsidRDefault="00AA5B69">
            <w:pPr>
              <w:spacing w:after="120"/>
            </w:pPr>
            <w:r>
              <w:t>Haití*</w:t>
            </w:r>
          </w:p>
        </w:tc>
        <w:tc>
          <w:tcPr>
            <w:tcW w:w="4690" w:type="dxa"/>
            <w:tcBorders>
              <w:top w:val="nil"/>
              <w:bottom w:val="nil"/>
            </w:tcBorders>
            <w:shd w:val="clear" w:color="auto" w:fill="auto"/>
          </w:tcPr>
          <w:p w:rsidR="00AA5B69" w:rsidRDefault="00AA5B69">
            <w:pPr>
              <w:spacing w:after="120"/>
            </w:pPr>
            <w:r>
              <w:t>21 de febrero de 1876</w:t>
            </w:r>
          </w:p>
        </w:tc>
      </w:tr>
      <w:tr w:rsidR="00AA5B69" w:rsidRPr="002954E0">
        <w:trPr>
          <w:cantSplit/>
        </w:trPr>
        <w:tc>
          <w:tcPr>
            <w:tcW w:w="670" w:type="dxa"/>
            <w:tcBorders>
              <w:top w:val="nil"/>
              <w:bottom w:val="nil"/>
            </w:tcBorders>
            <w:shd w:val="clear" w:color="auto" w:fill="auto"/>
          </w:tcPr>
          <w:p w:rsidR="00AA5B69" w:rsidRDefault="00AA5B69">
            <w:pPr>
              <w:spacing w:before="40" w:after="120" w:line="220" w:lineRule="exact"/>
            </w:pPr>
            <w:r>
              <w:t>23.</w:t>
            </w:r>
          </w:p>
        </w:tc>
        <w:tc>
          <w:tcPr>
            <w:tcW w:w="2010" w:type="dxa"/>
            <w:tcBorders>
              <w:top w:val="nil"/>
              <w:bottom w:val="nil"/>
            </w:tcBorders>
            <w:shd w:val="clear" w:color="auto" w:fill="auto"/>
          </w:tcPr>
          <w:p w:rsidR="00AA5B69" w:rsidRDefault="00AA5B69">
            <w:pPr>
              <w:spacing w:before="40" w:after="120" w:line="220" w:lineRule="exact"/>
            </w:pPr>
            <w:r>
              <w:t>Hong Kong**</w:t>
            </w:r>
          </w:p>
        </w:tc>
        <w:tc>
          <w:tcPr>
            <w:tcW w:w="4690" w:type="dxa"/>
            <w:tcBorders>
              <w:top w:val="nil"/>
              <w:bottom w:val="nil"/>
            </w:tcBorders>
            <w:shd w:val="clear" w:color="auto" w:fill="auto"/>
          </w:tcPr>
          <w:p w:rsidR="00AA5B69" w:rsidRDefault="00AA5B69">
            <w:pPr>
              <w:spacing w:before="40" w:after="120" w:line="220" w:lineRule="exact"/>
            </w:pPr>
            <w:r>
              <w:t>13 de junio de 1997 (Nº 37, Vol. 131, 13 de septiembre de 1997)</w:t>
            </w:r>
          </w:p>
        </w:tc>
      </w:tr>
      <w:tr w:rsidR="00AA5B69" w:rsidRPr="002954E0">
        <w:tc>
          <w:tcPr>
            <w:tcW w:w="670" w:type="dxa"/>
            <w:tcBorders>
              <w:top w:val="nil"/>
            </w:tcBorders>
            <w:shd w:val="clear" w:color="auto" w:fill="auto"/>
          </w:tcPr>
          <w:p w:rsidR="00AA5B69" w:rsidRDefault="00AA5B69">
            <w:pPr>
              <w:spacing w:before="40" w:after="120" w:line="220" w:lineRule="exact"/>
            </w:pPr>
            <w:r>
              <w:t>24.</w:t>
            </w:r>
          </w:p>
        </w:tc>
        <w:tc>
          <w:tcPr>
            <w:tcW w:w="2010" w:type="dxa"/>
            <w:tcBorders>
              <w:top w:val="nil"/>
            </w:tcBorders>
            <w:shd w:val="clear" w:color="auto" w:fill="auto"/>
          </w:tcPr>
          <w:p w:rsidR="00AA5B69" w:rsidRDefault="00AA5B69">
            <w:pPr>
              <w:spacing w:before="40" w:after="120" w:line="220" w:lineRule="exact"/>
            </w:pPr>
            <w:r>
              <w:t>Hungría</w:t>
            </w:r>
          </w:p>
        </w:tc>
        <w:tc>
          <w:tcPr>
            <w:tcW w:w="4690" w:type="dxa"/>
            <w:tcBorders>
              <w:top w:val="nil"/>
            </w:tcBorders>
            <w:shd w:val="clear" w:color="auto" w:fill="auto"/>
          </w:tcPr>
          <w:p w:rsidR="00AA5B69" w:rsidRDefault="00AA5B69">
            <w:pPr>
              <w:spacing w:before="40" w:after="120" w:line="220" w:lineRule="exact"/>
            </w:pPr>
            <w:r>
              <w:t>30 de marzo de 1874</w:t>
            </w:r>
          </w:p>
        </w:tc>
      </w:tr>
      <w:tr w:rsidR="00AA5B69" w:rsidRPr="002954E0">
        <w:tc>
          <w:tcPr>
            <w:tcW w:w="670" w:type="dxa"/>
            <w:tcBorders>
              <w:bottom w:val="nil"/>
            </w:tcBorders>
            <w:shd w:val="clear" w:color="auto" w:fill="auto"/>
          </w:tcPr>
          <w:p w:rsidR="00AA5B69" w:rsidRDefault="00AA5B69">
            <w:pPr>
              <w:spacing w:before="40" w:after="120" w:line="220" w:lineRule="exact"/>
            </w:pPr>
            <w:r>
              <w:t>25.</w:t>
            </w:r>
          </w:p>
        </w:tc>
        <w:tc>
          <w:tcPr>
            <w:tcW w:w="2010" w:type="dxa"/>
            <w:tcBorders>
              <w:bottom w:val="nil"/>
            </w:tcBorders>
            <w:shd w:val="clear" w:color="auto" w:fill="auto"/>
          </w:tcPr>
          <w:p w:rsidR="00AA5B69" w:rsidRDefault="00AA5B69">
            <w:pPr>
              <w:spacing w:before="40" w:after="120" w:line="220" w:lineRule="exact"/>
            </w:pPr>
            <w:r>
              <w:t>India</w:t>
            </w:r>
          </w:p>
        </w:tc>
        <w:tc>
          <w:tcPr>
            <w:tcW w:w="4690" w:type="dxa"/>
            <w:tcBorders>
              <w:bottom w:val="nil"/>
            </w:tcBorders>
            <w:shd w:val="clear" w:color="auto" w:fill="auto"/>
          </w:tcPr>
          <w:p w:rsidR="00AA5B69" w:rsidRDefault="00AA5B69">
            <w:pPr>
              <w:spacing w:before="40" w:after="120" w:line="220" w:lineRule="exact"/>
            </w:pPr>
            <w:r>
              <w:t>10 de febrero de 1987</w:t>
            </w:r>
          </w:p>
        </w:tc>
      </w:tr>
      <w:tr w:rsidR="00AA5B69" w:rsidRPr="002954E0">
        <w:tc>
          <w:tcPr>
            <w:tcW w:w="670" w:type="dxa"/>
            <w:tcBorders>
              <w:top w:val="nil"/>
              <w:bottom w:val="nil"/>
            </w:tcBorders>
            <w:shd w:val="clear" w:color="auto" w:fill="auto"/>
          </w:tcPr>
          <w:p w:rsidR="00AA5B69" w:rsidRDefault="00AA5B69">
            <w:pPr>
              <w:spacing w:before="40" w:after="120" w:line="220" w:lineRule="exact"/>
            </w:pPr>
            <w:r>
              <w:t>26.</w:t>
            </w:r>
          </w:p>
        </w:tc>
        <w:tc>
          <w:tcPr>
            <w:tcW w:w="2010" w:type="dxa"/>
            <w:tcBorders>
              <w:top w:val="nil"/>
              <w:bottom w:val="nil"/>
            </w:tcBorders>
            <w:shd w:val="clear" w:color="auto" w:fill="auto"/>
          </w:tcPr>
          <w:p w:rsidR="00AA5B69" w:rsidRDefault="00AA5B69">
            <w:pPr>
              <w:spacing w:before="40" w:after="120" w:line="220" w:lineRule="exact"/>
            </w:pPr>
            <w:r>
              <w:t>Islandia</w:t>
            </w:r>
          </w:p>
        </w:tc>
        <w:tc>
          <w:tcPr>
            <w:tcW w:w="4690" w:type="dxa"/>
            <w:tcBorders>
              <w:top w:val="nil"/>
              <w:bottom w:val="nil"/>
            </w:tcBorders>
            <w:shd w:val="clear" w:color="auto" w:fill="auto"/>
          </w:tcPr>
          <w:p w:rsidR="00AA5B69" w:rsidRDefault="00AA5B69">
            <w:pPr>
              <w:spacing w:before="40" w:after="120" w:line="220" w:lineRule="exact"/>
            </w:pPr>
            <w:r>
              <w:t>7 de julio de 1873</w:t>
            </w:r>
          </w:p>
        </w:tc>
      </w:tr>
      <w:tr w:rsidR="00AA5B69" w:rsidRPr="002954E0">
        <w:tc>
          <w:tcPr>
            <w:tcW w:w="670" w:type="dxa"/>
            <w:tcBorders>
              <w:top w:val="nil"/>
              <w:bottom w:val="nil"/>
            </w:tcBorders>
            <w:shd w:val="clear" w:color="auto" w:fill="auto"/>
          </w:tcPr>
          <w:p w:rsidR="00AA5B69" w:rsidRDefault="00AA5B69">
            <w:pPr>
              <w:spacing w:before="40" w:after="120" w:line="220" w:lineRule="exact"/>
            </w:pPr>
            <w:r>
              <w:t>27.</w:t>
            </w:r>
          </w:p>
        </w:tc>
        <w:tc>
          <w:tcPr>
            <w:tcW w:w="2010" w:type="dxa"/>
            <w:tcBorders>
              <w:top w:val="nil"/>
              <w:bottom w:val="nil"/>
            </w:tcBorders>
            <w:shd w:val="clear" w:color="auto" w:fill="auto"/>
          </w:tcPr>
          <w:p w:rsidR="00AA5B69" w:rsidRDefault="00AA5B69">
            <w:pPr>
              <w:spacing w:before="40" w:after="120" w:line="220" w:lineRule="exact"/>
            </w:pPr>
            <w:r>
              <w:t>Israel</w:t>
            </w:r>
          </w:p>
        </w:tc>
        <w:tc>
          <w:tcPr>
            <w:tcW w:w="4690" w:type="dxa"/>
            <w:tcBorders>
              <w:top w:val="nil"/>
              <w:bottom w:val="nil"/>
            </w:tcBorders>
            <w:shd w:val="clear" w:color="auto" w:fill="auto"/>
          </w:tcPr>
          <w:p w:rsidR="00AA5B69" w:rsidRDefault="00AA5B69">
            <w:pPr>
              <w:spacing w:before="40" w:after="120" w:line="220" w:lineRule="exact"/>
            </w:pPr>
            <w:r>
              <w:t>19 de diciembre de 1969</w:t>
            </w:r>
          </w:p>
        </w:tc>
      </w:tr>
      <w:tr w:rsidR="00AA5B69" w:rsidRPr="002954E0">
        <w:tc>
          <w:tcPr>
            <w:tcW w:w="670" w:type="dxa"/>
            <w:tcBorders>
              <w:top w:val="nil"/>
            </w:tcBorders>
            <w:shd w:val="clear" w:color="auto" w:fill="auto"/>
          </w:tcPr>
          <w:p w:rsidR="00AA5B69" w:rsidRDefault="00AA5B69">
            <w:pPr>
              <w:spacing w:before="40" w:after="120" w:line="220" w:lineRule="exact"/>
            </w:pPr>
            <w:r>
              <w:t>28.</w:t>
            </w:r>
          </w:p>
        </w:tc>
        <w:tc>
          <w:tcPr>
            <w:tcW w:w="2010" w:type="dxa"/>
            <w:tcBorders>
              <w:top w:val="nil"/>
            </w:tcBorders>
            <w:shd w:val="clear" w:color="auto" w:fill="auto"/>
          </w:tcPr>
          <w:p w:rsidR="00AA5B69" w:rsidRDefault="00AA5B69">
            <w:pPr>
              <w:spacing w:before="40" w:after="120" w:line="220" w:lineRule="exact"/>
            </w:pPr>
            <w:r>
              <w:t>Italia**</w:t>
            </w:r>
          </w:p>
        </w:tc>
        <w:tc>
          <w:tcPr>
            <w:tcW w:w="4690" w:type="dxa"/>
            <w:tcBorders>
              <w:top w:val="nil"/>
            </w:tcBorders>
            <w:shd w:val="clear" w:color="auto" w:fill="auto"/>
          </w:tcPr>
          <w:p w:rsidR="00AA5B69" w:rsidRDefault="00AA5B69">
            <w:pPr>
              <w:spacing w:before="40" w:after="120" w:line="220" w:lineRule="exact"/>
            </w:pPr>
            <w:r>
              <w:t>27 de junio de 1985</w:t>
            </w:r>
          </w:p>
        </w:tc>
      </w:tr>
      <w:tr w:rsidR="00AA5B69" w:rsidRPr="002954E0">
        <w:tc>
          <w:tcPr>
            <w:tcW w:w="670" w:type="dxa"/>
            <w:shd w:val="clear" w:color="auto" w:fill="auto"/>
          </w:tcPr>
          <w:p w:rsidR="00AA5B69" w:rsidRDefault="00AA5B69">
            <w:pPr>
              <w:spacing w:before="40" w:after="120" w:line="220" w:lineRule="exact"/>
            </w:pPr>
            <w:r>
              <w:t>29.</w:t>
            </w:r>
          </w:p>
        </w:tc>
        <w:tc>
          <w:tcPr>
            <w:tcW w:w="2010" w:type="dxa"/>
            <w:shd w:val="clear" w:color="auto" w:fill="auto"/>
          </w:tcPr>
          <w:p w:rsidR="00AA5B69" w:rsidRDefault="00AA5B69">
            <w:pPr>
              <w:spacing w:before="40" w:after="120" w:line="220" w:lineRule="exact"/>
            </w:pPr>
            <w:r>
              <w:t>Letonia*</w:t>
            </w:r>
          </w:p>
        </w:tc>
        <w:tc>
          <w:tcPr>
            <w:tcW w:w="4690" w:type="dxa"/>
            <w:shd w:val="clear" w:color="auto" w:fill="auto"/>
          </w:tcPr>
          <w:p w:rsidR="00AA5B69" w:rsidRDefault="00AA5B69">
            <w:pPr>
              <w:spacing w:before="40" w:after="120" w:line="220" w:lineRule="exact"/>
            </w:pPr>
            <w:r>
              <w:t>18 de septiembre de 1928</w:t>
            </w:r>
          </w:p>
        </w:tc>
      </w:tr>
      <w:tr w:rsidR="00AA5B69" w:rsidRPr="002954E0">
        <w:tc>
          <w:tcPr>
            <w:tcW w:w="670" w:type="dxa"/>
            <w:shd w:val="clear" w:color="auto" w:fill="auto"/>
          </w:tcPr>
          <w:p w:rsidR="00AA5B69" w:rsidRDefault="00AA5B69">
            <w:pPr>
              <w:spacing w:before="40" w:after="120" w:line="220" w:lineRule="exact"/>
            </w:pPr>
            <w:r>
              <w:t>30.</w:t>
            </w:r>
          </w:p>
        </w:tc>
        <w:tc>
          <w:tcPr>
            <w:tcW w:w="2010" w:type="dxa"/>
            <w:shd w:val="clear" w:color="auto" w:fill="auto"/>
          </w:tcPr>
          <w:p w:rsidR="00AA5B69" w:rsidRDefault="00AA5B69">
            <w:pPr>
              <w:spacing w:before="40" w:after="120" w:line="220" w:lineRule="exact"/>
            </w:pPr>
            <w:r>
              <w:t>Liberia</w:t>
            </w:r>
          </w:p>
        </w:tc>
        <w:tc>
          <w:tcPr>
            <w:tcW w:w="4690" w:type="dxa"/>
            <w:shd w:val="clear" w:color="auto" w:fill="auto"/>
          </w:tcPr>
          <w:p w:rsidR="00AA5B69" w:rsidRDefault="00AA5B69">
            <w:pPr>
              <w:spacing w:before="40" w:after="120" w:line="220" w:lineRule="exact"/>
            </w:pPr>
            <w:r>
              <w:t>23 de marzo de 1894</w:t>
            </w:r>
          </w:p>
        </w:tc>
      </w:tr>
      <w:tr w:rsidR="00AA5B69" w:rsidRPr="002954E0">
        <w:tc>
          <w:tcPr>
            <w:tcW w:w="670" w:type="dxa"/>
            <w:shd w:val="clear" w:color="auto" w:fill="auto"/>
          </w:tcPr>
          <w:p w:rsidR="00AA5B69" w:rsidRDefault="00AA5B69">
            <w:pPr>
              <w:spacing w:before="40" w:after="120" w:line="220" w:lineRule="exact"/>
            </w:pPr>
            <w:r>
              <w:t>31.</w:t>
            </w:r>
          </w:p>
        </w:tc>
        <w:tc>
          <w:tcPr>
            <w:tcW w:w="2010" w:type="dxa"/>
            <w:shd w:val="clear" w:color="auto" w:fill="auto"/>
          </w:tcPr>
          <w:p w:rsidR="00AA5B69" w:rsidRDefault="00AA5B69">
            <w:pPr>
              <w:spacing w:before="40" w:after="120" w:line="220" w:lineRule="exact"/>
            </w:pPr>
            <w:r>
              <w:t>Lituania</w:t>
            </w:r>
          </w:p>
        </w:tc>
        <w:tc>
          <w:tcPr>
            <w:tcW w:w="4690" w:type="dxa"/>
            <w:shd w:val="clear" w:color="auto" w:fill="auto"/>
          </w:tcPr>
          <w:p w:rsidR="00AA5B69" w:rsidRDefault="00AA5B69">
            <w:pPr>
              <w:spacing w:before="40" w:after="120" w:line="220" w:lineRule="exact"/>
            </w:pPr>
            <w:r>
              <w:t>18 de septiembre de 1928</w:t>
            </w:r>
          </w:p>
        </w:tc>
      </w:tr>
      <w:tr w:rsidR="00AA5B69" w:rsidRPr="002954E0">
        <w:tc>
          <w:tcPr>
            <w:tcW w:w="670" w:type="dxa"/>
            <w:shd w:val="clear" w:color="auto" w:fill="auto"/>
          </w:tcPr>
          <w:p w:rsidR="00AA5B69" w:rsidRDefault="00AA5B69">
            <w:pPr>
              <w:spacing w:before="40" w:after="120" w:line="220" w:lineRule="exact"/>
            </w:pPr>
            <w:r>
              <w:t>32.</w:t>
            </w:r>
          </w:p>
        </w:tc>
        <w:tc>
          <w:tcPr>
            <w:tcW w:w="2010" w:type="dxa"/>
            <w:shd w:val="clear" w:color="auto" w:fill="auto"/>
          </w:tcPr>
          <w:p w:rsidR="00AA5B69" w:rsidRDefault="00AA5B69">
            <w:pPr>
              <w:spacing w:before="40" w:after="120" w:line="220" w:lineRule="exact"/>
            </w:pPr>
            <w:r>
              <w:t>Luxemburgo</w:t>
            </w:r>
          </w:p>
        </w:tc>
        <w:tc>
          <w:tcPr>
            <w:tcW w:w="4690" w:type="dxa"/>
            <w:shd w:val="clear" w:color="auto" w:fill="auto"/>
          </w:tcPr>
          <w:p w:rsidR="00AA5B69" w:rsidRDefault="00AA5B69">
            <w:pPr>
              <w:spacing w:before="40" w:after="120" w:line="220" w:lineRule="exact"/>
            </w:pPr>
            <w:r>
              <w:t>15 de marzo de 1881</w:t>
            </w:r>
          </w:p>
        </w:tc>
      </w:tr>
      <w:tr w:rsidR="00AA5B69" w:rsidRPr="002954E0">
        <w:tc>
          <w:tcPr>
            <w:tcW w:w="670" w:type="dxa"/>
            <w:shd w:val="clear" w:color="auto" w:fill="auto"/>
          </w:tcPr>
          <w:p w:rsidR="00AA5B69" w:rsidRDefault="00AA5B69">
            <w:pPr>
              <w:spacing w:before="40" w:after="120" w:line="220" w:lineRule="exact"/>
            </w:pPr>
            <w:r>
              <w:t>33.</w:t>
            </w:r>
          </w:p>
        </w:tc>
        <w:tc>
          <w:tcPr>
            <w:tcW w:w="2010" w:type="dxa"/>
            <w:shd w:val="clear" w:color="auto" w:fill="auto"/>
          </w:tcPr>
          <w:p w:rsidR="00AA5B69" w:rsidRDefault="00AA5B69">
            <w:pPr>
              <w:spacing w:before="40" w:after="120" w:line="220" w:lineRule="exact"/>
            </w:pPr>
            <w:r>
              <w:t>México* **</w:t>
            </w:r>
          </w:p>
        </w:tc>
        <w:tc>
          <w:tcPr>
            <w:tcW w:w="4690" w:type="dxa"/>
            <w:shd w:val="clear" w:color="auto" w:fill="auto"/>
          </w:tcPr>
          <w:p w:rsidR="00AA5B69" w:rsidRDefault="00AA5B69">
            <w:pPr>
              <w:spacing w:before="40" w:after="120" w:line="220" w:lineRule="exact"/>
            </w:pPr>
            <w:r>
              <w:t>21 de octubre de 1990</w:t>
            </w:r>
          </w:p>
        </w:tc>
      </w:tr>
      <w:tr w:rsidR="00AA5B69" w:rsidRPr="002954E0">
        <w:tc>
          <w:tcPr>
            <w:tcW w:w="670" w:type="dxa"/>
            <w:shd w:val="clear" w:color="auto" w:fill="auto"/>
          </w:tcPr>
          <w:p w:rsidR="00AA5B69" w:rsidRDefault="00AA5B69">
            <w:pPr>
              <w:spacing w:before="40" w:after="120" w:line="220" w:lineRule="exact"/>
            </w:pPr>
            <w:r>
              <w:t>34.</w:t>
            </w:r>
          </w:p>
        </w:tc>
        <w:tc>
          <w:tcPr>
            <w:tcW w:w="2010" w:type="dxa"/>
            <w:shd w:val="clear" w:color="auto" w:fill="auto"/>
          </w:tcPr>
          <w:p w:rsidR="00AA5B69" w:rsidRDefault="00AA5B69">
            <w:pPr>
              <w:spacing w:before="40" w:after="120" w:line="220" w:lineRule="exact"/>
            </w:pPr>
            <w:r>
              <w:t>Mónaco</w:t>
            </w:r>
          </w:p>
        </w:tc>
        <w:tc>
          <w:tcPr>
            <w:tcW w:w="4690" w:type="dxa"/>
            <w:shd w:val="clear" w:color="auto" w:fill="auto"/>
          </w:tcPr>
          <w:p w:rsidR="00AA5B69" w:rsidRDefault="00AA5B69">
            <w:pPr>
              <w:spacing w:before="40" w:after="120" w:line="220" w:lineRule="exact"/>
            </w:pPr>
            <w:r>
              <w:t>23 de mayo de 1892</w:t>
            </w:r>
          </w:p>
        </w:tc>
      </w:tr>
      <w:tr w:rsidR="00AA5B69" w:rsidRPr="002954E0">
        <w:tc>
          <w:tcPr>
            <w:tcW w:w="670" w:type="dxa"/>
            <w:shd w:val="clear" w:color="auto" w:fill="auto"/>
          </w:tcPr>
          <w:p w:rsidR="00AA5B69" w:rsidRDefault="00AA5B69">
            <w:pPr>
              <w:spacing w:before="40" w:after="120" w:line="220" w:lineRule="exact"/>
            </w:pPr>
            <w:r>
              <w:t>35.</w:t>
            </w:r>
          </w:p>
        </w:tc>
        <w:tc>
          <w:tcPr>
            <w:tcW w:w="2010" w:type="dxa"/>
            <w:shd w:val="clear" w:color="auto" w:fill="auto"/>
          </w:tcPr>
          <w:p w:rsidR="00AA5B69" w:rsidRDefault="00AA5B69">
            <w:pPr>
              <w:spacing w:before="40" w:after="120" w:line="220" w:lineRule="exact"/>
            </w:pPr>
            <w:r>
              <w:t>Nicaragua*</w:t>
            </w:r>
          </w:p>
        </w:tc>
        <w:tc>
          <w:tcPr>
            <w:tcW w:w="4690" w:type="dxa"/>
            <w:shd w:val="clear" w:color="auto" w:fill="auto"/>
          </w:tcPr>
          <w:p w:rsidR="00AA5B69" w:rsidRDefault="00AA5B69">
            <w:pPr>
              <w:spacing w:before="40" w:after="120" w:line="220" w:lineRule="exact"/>
            </w:pPr>
            <w:r>
              <w:t>24 de agosto de 1906</w:t>
            </w:r>
          </w:p>
        </w:tc>
      </w:tr>
      <w:tr w:rsidR="00AA5B69" w:rsidRPr="002954E0">
        <w:tc>
          <w:tcPr>
            <w:tcW w:w="670" w:type="dxa"/>
            <w:shd w:val="clear" w:color="auto" w:fill="auto"/>
          </w:tcPr>
          <w:p w:rsidR="00AA5B69" w:rsidRDefault="00AA5B69">
            <w:pPr>
              <w:spacing w:before="40" w:after="120" w:line="220" w:lineRule="exact"/>
            </w:pPr>
            <w:r>
              <w:t>36.</w:t>
            </w:r>
          </w:p>
        </w:tc>
        <w:tc>
          <w:tcPr>
            <w:tcW w:w="2010" w:type="dxa"/>
            <w:shd w:val="clear" w:color="auto" w:fill="auto"/>
          </w:tcPr>
          <w:p w:rsidR="00AA5B69" w:rsidRDefault="00AA5B69">
            <w:pPr>
              <w:spacing w:before="40" w:after="120" w:line="220" w:lineRule="exact"/>
            </w:pPr>
            <w:r>
              <w:t>Noruega*</w:t>
            </w:r>
          </w:p>
        </w:tc>
        <w:tc>
          <w:tcPr>
            <w:tcW w:w="4690" w:type="dxa"/>
            <w:shd w:val="clear" w:color="auto" w:fill="auto"/>
          </w:tcPr>
          <w:p w:rsidR="00AA5B69" w:rsidRDefault="00AA5B69">
            <w:pPr>
              <w:spacing w:before="40" w:after="120" w:line="220" w:lineRule="exact"/>
            </w:pPr>
            <w:r>
              <w:t>17 de octubre de 1873</w:t>
            </w:r>
          </w:p>
        </w:tc>
      </w:tr>
      <w:tr w:rsidR="00AA5B69" w:rsidRPr="002954E0">
        <w:tc>
          <w:tcPr>
            <w:tcW w:w="670" w:type="dxa"/>
            <w:shd w:val="clear" w:color="auto" w:fill="auto"/>
          </w:tcPr>
          <w:p w:rsidR="00AA5B69" w:rsidRDefault="00AA5B69">
            <w:pPr>
              <w:spacing w:before="40" w:after="120" w:line="220" w:lineRule="exact"/>
            </w:pPr>
            <w:r>
              <w:t>37.</w:t>
            </w:r>
          </w:p>
        </w:tc>
        <w:tc>
          <w:tcPr>
            <w:tcW w:w="2010" w:type="dxa"/>
            <w:shd w:val="clear" w:color="auto" w:fill="auto"/>
          </w:tcPr>
          <w:p w:rsidR="00AA5B69" w:rsidRDefault="00AA5B69">
            <w:pPr>
              <w:spacing w:before="40" w:after="120" w:line="220" w:lineRule="exact"/>
            </w:pPr>
            <w:r>
              <w:t>Países Bajos</w:t>
            </w:r>
          </w:p>
        </w:tc>
        <w:tc>
          <w:tcPr>
            <w:tcW w:w="4690" w:type="dxa"/>
            <w:shd w:val="clear" w:color="auto" w:fill="auto"/>
          </w:tcPr>
          <w:p w:rsidR="00AA5B69" w:rsidRDefault="00AA5B69">
            <w:pPr>
              <w:spacing w:before="40" w:after="120" w:line="220" w:lineRule="exact"/>
            </w:pPr>
            <w:r>
              <w:t>1º de diciembre de 1991</w:t>
            </w:r>
          </w:p>
        </w:tc>
      </w:tr>
      <w:tr w:rsidR="00AA5B69" w:rsidRPr="002954E0">
        <w:tc>
          <w:tcPr>
            <w:tcW w:w="670" w:type="dxa"/>
            <w:shd w:val="clear" w:color="auto" w:fill="auto"/>
          </w:tcPr>
          <w:p w:rsidR="00AA5B69" w:rsidRDefault="00AA5B69">
            <w:pPr>
              <w:spacing w:before="40" w:after="120" w:line="220" w:lineRule="exact"/>
            </w:pPr>
            <w:r>
              <w:t>38.</w:t>
            </w:r>
          </w:p>
        </w:tc>
        <w:tc>
          <w:tcPr>
            <w:tcW w:w="2010" w:type="dxa"/>
            <w:shd w:val="clear" w:color="auto" w:fill="auto"/>
          </w:tcPr>
          <w:p w:rsidR="00AA5B69" w:rsidRDefault="00AA5B69">
            <w:pPr>
              <w:spacing w:before="40" w:after="120" w:line="220" w:lineRule="exact"/>
            </w:pPr>
            <w:r>
              <w:t>Panamá</w:t>
            </w:r>
          </w:p>
        </w:tc>
        <w:tc>
          <w:tcPr>
            <w:tcW w:w="4690" w:type="dxa"/>
            <w:shd w:val="clear" w:color="auto" w:fill="auto"/>
          </w:tcPr>
          <w:p w:rsidR="00AA5B69" w:rsidRDefault="00AA5B69">
            <w:pPr>
              <w:spacing w:before="40" w:after="120" w:line="220" w:lineRule="exact"/>
            </w:pPr>
            <w:r>
              <w:t>26 de agosto de 1907</w:t>
            </w:r>
          </w:p>
        </w:tc>
      </w:tr>
      <w:tr w:rsidR="00AA5B69" w:rsidRPr="002954E0">
        <w:tc>
          <w:tcPr>
            <w:tcW w:w="670" w:type="dxa"/>
            <w:shd w:val="clear" w:color="auto" w:fill="auto"/>
          </w:tcPr>
          <w:p w:rsidR="00AA5B69" w:rsidRDefault="00AA5B69">
            <w:pPr>
              <w:spacing w:before="40" w:after="120" w:line="220" w:lineRule="exact"/>
            </w:pPr>
            <w:r>
              <w:t>39.</w:t>
            </w:r>
          </w:p>
        </w:tc>
        <w:tc>
          <w:tcPr>
            <w:tcW w:w="2010" w:type="dxa"/>
            <w:shd w:val="clear" w:color="auto" w:fill="auto"/>
          </w:tcPr>
          <w:p w:rsidR="00AA5B69" w:rsidRDefault="00AA5B69">
            <w:pPr>
              <w:spacing w:before="40" w:after="120" w:line="220" w:lineRule="exact"/>
            </w:pPr>
            <w:r>
              <w:t>Paraguay</w:t>
            </w:r>
          </w:p>
        </w:tc>
        <w:tc>
          <w:tcPr>
            <w:tcW w:w="4690" w:type="dxa"/>
            <w:shd w:val="clear" w:color="auto" w:fill="auto"/>
          </w:tcPr>
          <w:p w:rsidR="00AA5B69" w:rsidRDefault="00AA5B69">
            <w:pPr>
              <w:spacing w:before="40" w:after="120" w:line="220" w:lineRule="exact"/>
            </w:pPr>
            <w:r>
              <w:t>17 de julio de 1911</w:t>
            </w:r>
          </w:p>
        </w:tc>
      </w:tr>
      <w:tr w:rsidR="00AA5B69" w:rsidRPr="002954E0">
        <w:tc>
          <w:tcPr>
            <w:tcW w:w="670" w:type="dxa"/>
            <w:shd w:val="clear" w:color="auto" w:fill="auto"/>
          </w:tcPr>
          <w:p w:rsidR="00AA5B69" w:rsidRDefault="00AA5B69">
            <w:pPr>
              <w:spacing w:before="40" w:after="120" w:line="220" w:lineRule="exact"/>
            </w:pPr>
            <w:r>
              <w:t>40.</w:t>
            </w:r>
          </w:p>
        </w:tc>
        <w:tc>
          <w:tcPr>
            <w:tcW w:w="2010" w:type="dxa"/>
            <w:shd w:val="clear" w:color="auto" w:fill="auto"/>
          </w:tcPr>
          <w:p w:rsidR="00AA5B69" w:rsidRDefault="00AA5B69">
            <w:pPr>
              <w:spacing w:before="40" w:after="120" w:line="220" w:lineRule="exact"/>
            </w:pPr>
            <w:r>
              <w:t>Perú</w:t>
            </w:r>
          </w:p>
        </w:tc>
        <w:tc>
          <w:tcPr>
            <w:tcW w:w="4690" w:type="dxa"/>
            <w:shd w:val="clear" w:color="auto" w:fill="auto"/>
          </w:tcPr>
          <w:p w:rsidR="00AA5B69" w:rsidRDefault="00AA5B69">
            <w:pPr>
              <w:spacing w:before="40" w:after="120" w:line="220" w:lineRule="exact"/>
            </w:pPr>
            <w:r>
              <w:t>20 de mayo de 1907</w:t>
            </w:r>
          </w:p>
        </w:tc>
      </w:tr>
      <w:tr w:rsidR="00AA5B69" w:rsidRPr="002954E0">
        <w:tc>
          <w:tcPr>
            <w:tcW w:w="670" w:type="dxa"/>
            <w:shd w:val="clear" w:color="auto" w:fill="auto"/>
          </w:tcPr>
          <w:p w:rsidR="00AA5B69" w:rsidRDefault="00AA5B69">
            <w:pPr>
              <w:spacing w:before="40" w:after="120" w:line="220" w:lineRule="exact"/>
            </w:pPr>
            <w:r>
              <w:t>41.</w:t>
            </w:r>
          </w:p>
        </w:tc>
        <w:tc>
          <w:tcPr>
            <w:tcW w:w="2010" w:type="dxa"/>
            <w:shd w:val="clear" w:color="auto" w:fill="auto"/>
          </w:tcPr>
          <w:p w:rsidR="00AA5B69" w:rsidRDefault="00AA5B69">
            <w:pPr>
              <w:spacing w:before="40" w:after="120" w:line="220" w:lineRule="exact"/>
            </w:pPr>
            <w:r>
              <w:t>Portugal*</w:t>
            </w:r>
          </w:p>
        </w:tc>
        <w:tc>
          <w:tcPr>
            <w:tcW w:w="4690" w:type="dxa"/>
            <w:shd w:val="clear" w:color="auto" w:fill="auto"/>
          </w:tcPr>
          <w:p w:rsidR="00AA5B69" w:rsidRDefault="00AA5B69">
            <w:pPr>
              <w:spacing w:before="40" w:after="120" w:line="220" w:lineRule="exact"/>
            </w:pPr>
            <w:r>
              <w:t>19 de marzo de 1894</w:t>
            </w:r>
          </w:p>
        </w:tc>
      </w:tr>
      <w:tr w:rsidR="00AA5B69" w:rsidRPr="002954E0">
        <w:tc>
          <w:tcPr>
            <w:tcW w:w="670" w:type="dxa"/>
            <w:shd w:val="clear" w:color="auto" w:fill="auto"/>
          </w:tcPr>
          <w:p w:rsidR="00AA5B69" w:rsidRDefault="00AA5B69">
            <w:pPr>
              <w:spacing w:before="40" w:after="120" w:line="220" w:lineRule="exact"/>
            </w:pPr>
            <w:r>
              <w:t>42.</w:t>
            </w:r>
          </w:p>
        </w:tc>
        <w:tc>
          <w:tcPr>
            <w:tcW w:w="2010" w:type="dxa"/>
            <w:shd w:val="clear" w:color="auto" w:fill="auto"/>
          </w:tcPr>
          <w:p w:rsidR="00AA5B69" w:rsidRDefault="00AA5B69">
            <w:pPr>
              <w:spacing w:before="40" w:after="120" w:line="220" w:lineRule="exact"/>
            </w:pPr>
            <w:r>
              <w:t>República Checa*</w:t>
            </w:r>
          </w:p>
        </w:tc>
        <w:tc>
          <w:tcPr>
            <w:tcW w:w="4690" w:type="dxa"/>
            <w:shd w:val="clear" w:color="auto" w:fill="auto"/>
          </w:tcPr>
          <w:p w:rsidR="00AA5B69" w:rsidRDefault="00AA5B69">
            <w:pPr>
              <w:spacing w:before="40" w:after="120" w:line="220" w:lineRule="exact"/>
            </w:pPr>
            <w:r>
              <w:t>15 de diciembre de 1926</w:t>
            </w:r>
          </w:p>
        </w:tc>
      </w:tr>
      <w:tr w:rsidR="00AA5B69" w:rsidRPr="002954E0">
        <w:tc>
          <w:tcPr>
            <w:tcW w:w="670" w:type="dxa"/>
            <w:shd w:val="clear" w:color="auto" w:fill="auto"/>
          </w:tcPr>
          <w:p w:rsidR="00AA5B69" w:rsidRDefault="00AA5B69">
            <w:pPr>
              <w:spacing w:before="40" w:after="120" w:line="220" w:lineRule="exact"/>
            </w:pPr>
            <w:r>
              <w:t>43.</w:t>
            </w:r>
          </w:p>
        </w:tc>
        <w:tc>
          <w:tcPr>
            <w:tcW w:w="2010" w:type="dxa"/>
            <w:shd w:val="clear" w:color="auto" w:fill="auto"/>
          </w:tcPr>
          <w:p w:rsidR="00AA5B69" w:rsidRDefault="00AA5B69">
            <w:pPr>
              <w:spacing w:before="40" w:after="120" w:line="220" w:lineRule="exact"/>
            </w:pPr>
            <w:r>
              <w:t>República de Corea**</w:t>
            </w:r>
          </w:p>
        </w:tc>
        <w:tc>
          <w:tcPr>
            <w:tcW w:w="4690" w:type="dxa"/>
            <w:shd w:val="clear" w:color="auto" w:fill="auto"/>
          </w:tcPr>
          <w:p w:rsidR="00AA5B69" w:rsidRDefault="00AA5B69">
            <w:pPr>
              <w:spacing w:before="40" w:after="120" w:line="220" w:lineRule="exact"/>
            </w:pPr>
            <w:r>
              <w:t xml:space="preserve">1º de febrero de 1995 (Nº 11-15, Vol. 131 </w:t>
            </w:r>
            <w:r>
              <w:sym w:font="Symbol" w:char="F02D"/>
            </w:r>
            <w:r>
              <w:t xml:space="preserve"> 15 de marzo de 1997)</w:t>
            </w:r>
          </w:p>
        </w:tc>
      </w:tr>
      <w:tr w:rsidR="00AA5B69" w:rsidRPr="002954E0">
        <w:tc>
          <w:tcPr>
            <w:tcW w:w="670" w:type="dxa"/>
            <w:shd w:val="clear" w:color="auto" w:fill="auto"/>
          </w:tcPr>
          <w:p w:rsidR="00AA5B69" w:rsidRDefault="00AA5B69">
            <w:pPr>
              <w:spacing w:before="40" w:after="120" w:line="220" w:lineRule="exact"/>
            </w:pPr>
            <w:r>
              <w:t>44.</w:t>
            </w:r>
          </w:p>
        </w:tc>
        <w:tc>
          <w:tcPr>
            <w:tcW w:w="2010" w:type="dxa"/>
            <w:shd w:val="clear" w:color="auto" w:fill="auto"/>
          </w:tcPr>
          <w:p w:rsidR="00AA5B69" w:rsidRDefault="00AA5B69">
            <w:pPr>
              <w:spacing w:before="40" w:after="120" w:line="220" w:lineRule="exact"/>
            </w:pPr>
            <w:r>
              <w:t>Rumania</w:t>
            </w:r>
          </w:p>
        </w:tc>
        <w:tc>
          <w:tcPr>
            <w:tcW w:w="4690" w:type="dxa"/>
            <w:shd w:val="clear" w:color="auto" w:fill="auto"/>
          </w:tcPr>
          <w:p w:rsidR="00AA5B69" w:rsidRDefault="00AA5B69">
            <w:pPr>
              <w:spacing w:before="40" w:after="120" w:line="220" w:lineRule="exact"/>
            </w:pPr>
            <w:r>
              <w:t>21 de mayo de 1894</w:t>
            </w:r>
          </w:p>
        </w:tc>
      </w:tr>
      <w:tr w:rsidR="00AA5B69" w:rsidRPr="002954E0">
        <w:tc>
          <w:tcPr>
            <w:tcW w:w="670" w:type="dxa"/>
            <w:shd w:val="clear" w:color="auto" w:fill="auto"/>
          </w:tcPr>
          <w:p w:rsidR="00AA5B69" w:rsidRDefault="00AA5B69">
            <w:pPr>
              <w:spacing w:before="40" w:after="120" w:line="220" w:lineRule="exact"/>
            </w:pPr>
            <w:r>
              <w:t>45.</w:t>
            </w:r>
          </w:p>
        </w:tc>
        <w:tc>
          <w:tcPr>
            <w:tcW w:w="2010" w:type="dxa"/>
            <w:shd w:val="clear" w:color="auto" w:fill="auto"/>
          </w:tcPr>
          <w:p w:rsidR="00AA5B69" w:rsidRDefault="00AA5B69">
            <w:pPr>
              <w:spacing w:before="40" w:after="120" w:line="220" w:lineRule="exact"/>
            </w:pPr>
            <w:r>
              <w:t>San Marino</w:t>
            </w:r>
          </w:p>
        </w:tc>
        <w:tc>
          <w:tcPr>
            <w:tcW w:w="4690" w:type="dxa"/>
            <w:shd w:val="clear" w:color="auto" w:fill="auto"/>
          </w:tcPr>
          <w:p w:rsidR="00AA5B69" w:rsidRDefault="00AA5B69">
            <w:pPr>
              <w:spacing w:before="40" w:after="120" w:line="220" w:lineRule="exact"/>
            </w:pPr>
            <w:r>
              <w:t>19 de marzo de 1900</w:t>
            </w:r>
          </w:p>
        </w:tc>
      </w:tr>
      <w:tr w:rsidR="00AA5B69" w:rsidRPr="002954E0">
        <w:tc>
          <w:tcPr>
            <w:tcW w:w="670" w:type="dxa"/>
            <w:tcBorders>
              <w:top w:val="nil"/>
              <w:bottom w:val="nil"/>
            </w:tcBorders>
            <w:shd w:val="clear" w:color="auto" w:fill="auto"/>
            <w:vAlign w:val="bottom"/>
          </w:tcPr>
          <w:p w:rsidR="00AA5B69" w:rsidRDefault="00AA5B69">
            <w:pPr>
              <w:spacing w:before="80" w:after="120" w:line="200" w:lineRule="exact"/>
            </w:pPr>
            <w:r>
              <w:t>46.</w:t>
            </w:r>
          </w:p>
        </w:tc>
        <w:tc>
          <w:tcPr>
            <w:tcW w:w="2010" w:type="dxa"/>
            <w:tcBorders>
              <w:top w:val="nil"/>
              <w:bottom w:val="nil"/>
            </w:tcBorders>
            <w:shd w:val="clear" w:color="auto" w:fill="auto"/>
            <w:vAlign w:val="bottom"/>
          </w:tcPr>
          <w:p w:rsidR="00AA5B69" w:rsidRDefault="00AA5B69">
            <w:pPr>
              <w:spacing w:before="80" w:after="120" w:line="200" w:lineRule="exact"/>
            </w:pPr>
            <w:r>
              <w:t>Sudáfrica</w:t>
            </w:r>
          </w:p>
        </w:tc>
        <w:tc>
          <w:tcPr>
            <w:tcW w:w="4690" w:type="dxa"/>
            <w:tcBorders>
              <w:top w:val="nil"/>
              <w:bottom w:val="nil"/>
            </w:tcBorders>
            <w:shd w:val="clear" w:color="auto" w:fill="auto"/>
            <w:vAlign w:val="bottom"/>
          </w:tcPr>
          <w:p w:rsidR="00AA5B69" w:rsidRDefault="00AA5B69">
            <w:pPr>
              <w:spacing w:before="80" w:line="200" w:lineRule="exact"/>
            </w:pPr>
            <w:r>
              <w:t xml:space="preserve">4 de mayo de 2001 (Nº 23, Vol. 135 </w:t>
            </w:r>
            <w:r>
              <w:sym w:font="Symbol" w:char="F02D"/>
            </w:r>
            <w:r>
              <w:t xml:space="preserve"> 9 de junio</w:t>
            </w:r>
          </w:p>
          <w:p w:rsidR="00AA5B69" w:rsidRDefault="00AA5B69">
            <w:pPr>
              <w:spacing w:before="80" w:after="120" w:line="200" w:lineRule="exact"/>
            </w:pPr>
            <w:r>
              <w:t>de 2001)</w:t>
            </w:r>
          </w:p>
        </w:tc>
      </w:tr>
      <w:tr w:rsidR="00AA5B69" w:rsidRPr="002954E0">
        <w:tc>
          <w:tcPr>
            <w:tcW w:w="670" w:type="dxa"/>
            <w:shd w:val="clear" w:color="auto" w:fill="auto"/>
          </w:tcPr>
          <w:p w:rsidR="00AA5B69" w:rsidRDefault="00AA5B69">
            <w:pPr>
              <w:spacing w:before="40" w:after="120" w:line="220" w:lineRule="exact"/>
            </w:pPr>
            <w:r>
              <w:t>47.</w:t>
            </w:r>
          </w:p>
        </w:tc>
        <w:tc>
          <w:tcPr>
            <w:tcW w:w="2010" w:type="dxa"/>
            <w:shd w:val="clear" w:color="auto" w:fill="auto"/>
          </w:tcPr>
          <w:p w:rsidR="00AA5B69" w:rsidRDefault="00AA5B69">
            <w:pPr>
              <w:spacing w:before="40" w:after="120" w:line="220" w:lineRule="exact"/>
            </w:pPr>
            <w:r>
              <w:t>Suecia*</w:t>
            </w:r>
          </w:p>
        </w:tc>
        <w:tc>
          <w:tcPr>
            <w:tcW w:w="4690" w:type="dxa"/>
            <w:shd w:val="clear" w:color="auto" w:fill="auto"/>
          </w:tcPr>
          <w:p w:rsidR="00AA5B69" w:rsidRDefault="00AA5B69">
            <w:pPr>
              <w:spacing w:before="40" w:after="120" w:line="220" w:lineRule="exact"/>
            </w:pPr>
            <w:r>
              <w:t xml:space="preserve">30 de octubre de 2001 (Nº 51, Vol. 135 </w:t>
            </w:r>
            <w:r>
              <w:sym w:font="Symbol" w:char="F02D"/>
            </w:r>
            <w:r>
              <w:t xml:space="preserve"> 22 de diciembre de 2001)</w:t>
            </w:r>
          </w:p>
        </w:tc>
      </w:tr>
      <w:tr w:rsidR="00AA5B69" w:rsidRPr="002954E0">
        <w:tc>
          <w:tcPr>
            <w:tcW w:w="670" w:type="dxa"/>
            <w:tcBorders>
              <w:bottom w:val="nil"/>
            </w:tcBorders>
            <w:shd w:val="clear" w:color="auto" w:fill="auto"/>
          </w:tcPr>
          <w:p w:rsidR="00AA5B69" w:rsidRDefault="00AA5B69">
            <w:pPr>
              <w:spacing w:before="40" w:after="120" w:line="220" w:lineRule="exact"/>
            </w:pPr>
            <w:r>
              <w:t>48.</w:t>
            </w:r>
          </w:p>
        </w:tc>
        <w:tc>
          <w:tcPr>
            <w:tcW w:w="2010" w:type="dxa"/>
            <w:tcBorders>
              <w:bottom w:val="nil"/>
            </w:tcBorders>
            <w:shd w:val="clear" w:color="auto" w:fill="auto"/>
          </w:tcPr>
          <w:p w:rsidR="00AA5B69" w:rsidRDefault="00AA5B69">
            <w:pPr>
              <w:spacing w:before="40" w:after="120" w:line="220" w:lineRule="exact"/>
            </w:pPr>
            <w:r>
              <w:t>Suiza* **</w:t>
            </w:r>
          </w:p>
        </w:tc>
        <w:tc>
          <w:tcPr>
            <w:tcW w:w="4690" w:type="dxa"/>
            <w:tcBorders>
              <w:bottom w:val="nil"/>
            </w:tcBorders>
            <w:shd w:val="clear" w:color="auto" w:fill="auto"/>
          </w:tcPr>
          <w:p w:rsidR="00AA5B69" w:rsidRDefault="00AA5B69">
            <w:pPr>
              <w:spacing w:before="40" w:after="120" w:line="220" w:lineRule="exact"/>
            </w:pPr>
            <w:r>
              <w:t xml:space="preserve">19 de marzo de 1996 (parte 1 </w:t>
            </w:r>
            <w:r>
              <w:sym w:font="Symbol" w:char="F02D"/>
            </w:r>
            <w:r>
              <w:t xml:space="preserve"> 7 de diciembre de 1996) </w:t>
            </w:r>
          </w:p>
        </w:tc>
      </w:tr>
      <w:tr w:rsidR="00AA5B69" w:rsidRPr="002954E0">
        <w:tc>
          <w:tcPr>
            <w:tcW w:w="670" w:type="dxa"/>
            <w:tcBorders>
              <w:top w:val="nil"/>
              <w:bottom w:val="nil"/>
            </w:tcBorders>
            <w:shd w:val="clear" w:color="auto" w:fill="auto"/>
          </w:tcPr>
          <w:p w:rsidR="00AA5B69" w:rsidRDefault="00AA5B69">
            <w:pPr>
              <w:spacing w:before="40" w:after="120" w:line="220" w:lineRule="exact"/>
            </w:pPr>
            <w:r>
              <w:t>49.</w:t>
            </w:r>
          </w:p>
        </w:tc>
        <w:tc>
          <w:tcPr>
            <w:tcW w:w="2010" w:type="dxa"/>
            <w:tcBorders>
              <w:top w:val="nil"/>
              <w:bottom w:val="nil"/>
            </w:tcBorders>
            <w:shd w:val="clear" w:color="auto" w:fill="auto"/>
          </w:tcPr>
          <w:p w:rsidR="00AA5B69" w:rsidRDefault="00AA5B69">
            <w:pPr>
              <w:spacing w:before="40" w:after="120" w:line="220" w:lineRule="exact"/>
            </w:pPr>
            <w:r>
              <w:t>Tailandia</w:t>
            </w:r>
          </w:p>
        </w:tc>
        <w:tc>
          <w:tcPr>
            <w:tcW w:w="4690" w:type="dxa"/>
            <w:tcBorders>
              <w:top w:val="nil"/>
              <w:bottom w:val="nil"/>
            </w:tcBorders>
            <w:shd w:val="clear" w:color="auto" w:fill="auto"/>
          </w:tcPr>
          <w:p w:rsidR="00AA5B69" w:rsidRDefault="00AA5B69">
            <w:pPr>
              <w:spacing w:before="40" w:after="120" w:line="220" w:lineRule="exact"/>
            </w:pPr>
            <w:r>
              <w:t>24 de noviembre de 1911</w:t>
            </w:r>
          </w:p>
        </w:tc>
      </w:tr>
      <w:tr w:rsidR="00AA5B69" w:rsidRPr="002954E0">
        <w:tc>
          <w:tcPr>
            <w:tcW w:w="670" w:type="dxa"/>
            <w:tcBorders>
              <w:top w:val="nil"/>
            </w:tcBorders>
            <w:shd w:val="clear" w:color="auto" w:fill="auto"/>
          </w:tcPr>
          <w:p w:rsidR="00AA5B69" w:rsidRDefault="00AA5B69">
            <w:pPr>
              <w:spacing w:before="40" w:after="120" w:line="220" w:lineRule="exact"/>
            </w:pPr>
            <w:r>
              <w:t>50.</w:t>
            </w:r>
          </w:p>
        </w:tc>
        <w:tc>
          <w:tcPr>
            <w:tcW w:w="2010" w:type="dxa"/>
            <w:tcBorders>
              <w:top w:val="nil"/>
            </w:tcBorders>
            <w:shd w:val="clear" w:color="auto" w:fill="auto"/>
          </w:tcPr>
          <w:p w:rsidR="00AA5B69" w:rsidRDefault="00AA5B69">
            <w:pPr>
              <w:spacing w:before="40" w:after="120" w:line="220" w:lineRule="exact"/>
            </w:pPr>
            <w:r>
              <w:t>Tonga</w:t>
            </w:r>
          </w:p>
        </w:tc>
        <w:tc>
          <w:tcPr>
            <w:tcW w:w="4690" w:type="dxa"/>
            <w:tcBorders>
              <w:top w:val="nil"/>
            </w:tcBorders>
            <w:shd w:val="clear" w:color="auto" w:fill="auto"/>
          </w:tcPr>
          <w:p w:rsidR="00AA5B69" w:rsidRDefault="00AA5B69">
            <w:pPr>
              <w:spacing w:before="40" w:after="120" w:line="220" w:lineRule="exact"/>
            </w:pPr>
            <w:r>
              <w:t>29 de noviembre de 1879</w:t>
            </w:r>
          </w:p>
        </w:tc>
      </w:tr>
      <w:tr w:rsidR="00AA5B69" w:rsidRPr="002954E0">
        <w:tc>
          <w:tcPr>
            <w:tcW w:w="670" w:type="dxa"/>
            <w:shd w:val="clear" w:color="auto" w:fill="auto"/>
          </w:tcPr>
          <w:p w:rsidR="00AA5B69" w:rsidRDefault="00AA5B69">
            <w:pPr>
              <w:spacing w:before="40" w:after="120" w:line="220" w:lineRule="exact"/>
            </w:pPr>
            <w:r>
              <w:t>51.</w:t>
            </w:r>
          </w:p>
        </w:tc>
        <w:tc>
          <w:tcPr>
            <w:tcW w:w="2010" w:type="dxa"/>
            <w:shd w:val="clear" w:color="auto" w:fill="auto"/>
          </w:tcPr>
          <w:p w:rsidR="00AA5B69" w:rsidRDefault="00AA5B69">
            <w:pPr>
              <w:spacing w:before="40" w:after="120" w:line="220" w:lineRule="exact"/>
            </w:pPr>
            <w:r>
              <w:t>Uruguay</w:t>
            </w:r>
          </w:p>
        </w:tc>
        <w:tc>
          <w:tcPr>
            <w:tcW w:w="4690" w:type="dxa"/>
            <w:shd w:val="clear" w:color="auto" w:fill="auto"/>
          </w:tcPr>
          <w:p w:rsidR="00AA5B69" w:rsidRDefault="00AA5B69">
            <w:pPr>
              <w:spacing w:before="40" w:after="120" w:line="220" w:lineRule="exact"/>
            </w:pPr>
            <w:r>
              <w:t>20 de marzo de 1885</w:t>
            </w:r>
          </w:p>
        </w:tc>
      </w:tr>
    </w:tbl>
    <w:p w:rsidR="00AA5B69" w:rsidRDefault="00AA5B69">
      <w:pPr>
        <w:pStyle w:val="SingleTxtG"/>
        <w:tabs>
          <w:tab w:val="left" w:pos="1304"/>
        </w:tabs>
        <w:spacing w:before="120" w:after="0"/>
        <w:rPr>
          <w:sz w:val="18"/>
          <w:szCs w:val="18"/>
        </w:rPr>
      </w:pPr>
      <w:r>
        <w:tab/>
      </w:r>
      <w:r w:rsidRPr="002954E0">
        <w:t>*</w:t>
      </w:r>
      <w:r>
        <w:t xml:space="preserve">  </w:t>
      </w:r>
      <w:r>
        <w:rPr>
          <w:sz w:val="18"/>
          <w:szCs w:val="18"/>
        </w:rPr>
        <w:t>No extradita a sus nacionales.</w:t>
      </w:r>
    </w:p>
    <w:p w:rsidR="00AA5B69" w:rsidRPr="002954E0" w:rsidRDefault="00AA5B69">
      <w:pPr>
        <w:tabs>
          <w:tab w:val="left" w:pos="1304"/>
        </w:tabs>
        <w:spacing w:after="240"/>
        <w:ind w:left="1134" w:right="1134"/>
        <w:jc w:val="both"/>
      </w:pPr>
      <w:r>
        <w:tab/>
      </w:r>
      <w:r w:rsidRPr="002954E0">
        <w:t>**</w:t>
      </w:r>
      <w:r>
        <w:t xml:space="preserve">  Di</w:t>
      </w:r>
      <w:r>
        <w:rPr>
          <w:sz w:val="18"/>
          <w:szCs w:val="18"/>
        </w:rPr>
        <w:t>sposiciones sobre la pena de muerte</w:t>
      </w:r>
      <w:r w:rsidRPr="002954E0">
        <w:t>.</w:t>
      </w:r>
    </w:p>
    <w:p w:rsidR="00AA5B69" w:rsidRDefault="00AA5B69">
      <w:pPr>
        <w:spacing w:after="120"/>
        <w:ind w:left="1134" w:right="1134"/>
      </w:pPr>
      <w:r>
        <w:rPr>
          <w:rStyle w:val="H1GCar"/>
        </w:rPr>
        <w:t>Estados e instituciones designados como colaboradores en materia de extradición</w:t>
      </w:r>
    </w:p>
    <w:p w:rsidR="00AA5B69" w:rsidRDefault="00AA5B69">
      <w:pPr>
        <w:pStyle w:val="SingleTxtG"/>
      </w:pPr>
      <w:r>
        <w:t>1.</w:t>
      </w:r>
      <w:r>
        <w:tab/>
        <w:t>Antigua y Barbuda</w:t>
      </w:r>
    </w:p>
    <w:p w:rsidR="00AA5B69" w:rsidRDefault="00AA5B69">
      <w:pPr>
        <w:pStyle w:val="SingleTxtG"/>
      </w:pPr>
      <w:r>
        <w:t>2.</w:t>
      </w:r>
      <w:r>
        <w:tab/>
        <w:t>Australia</w:t>
      </w:r>
    </w:p>
    <w:p w:rsidR="00AA5B69" w:rsidRDefault="00AA5B69">
      <w:pPr>
        <w:pStyle w:val="SingleTxtG"/>
      </w:pPr>
      <w:r>
        <w:t>3.</w:t>
      </w:r>
      <w:r>
        <w:tab/>
        <w:t>Bahamas</w:t>
      </w:r>
    </w:p>
    <w:p w:rsidR="00AA5B69" w:rsidRDefault="00AA5B69">
      <w:pPr>
        <w:pStyle w:val="SingleTxtG"/>
      </w:pPr>
      <w:r>
        <w:t>4.</w:t>
      </w:r>
      <w:r>
        <w:tab/>
        <w:t>Barbados</w:t>
      </w:r>
    </w:p>
    <w:p w:rsidR="00AA5B69" w:rsidRDefault="00AA5B69">
      <w:pPr>
        <w:pStyle w:val="SingleTxtG"/>
      </w:pPr>
      <w:r>
        <w:t>5.</w:t>
      </w:r>
      <w:r>
        <w:tab/>
        <w:t>Botswana</w:t>
      </w:r>
    </w:p>
    <w:p w:rsidR="00AA5B69" w:rsidRDefault="00AA5B69">
      <w:pPr>
        <w:pStyle w:val="SingleTxtG"/>
      </w:pPr>
      <w:r>
        <w:t>6.</w:t>
      </w:r>
      <w:r>
        <w:tab/>
        <w:t>Costa Rica*</w:t>
      </w:r>
    </w:p>
    <w:p w:rsidR="00AA5B69" w:rsidRDefault="00AA5B69">
      <w:pPr>
        <w:pStyle w:val="SingleTxtG"/>
      </w:pPr>
      <w:r>
        <w:t>7.</w:t>
      </w:r>
      <w:r>
        <w:tab/>
        <w:t>Ghana</w:t>
      </w:r>
    </w:p>
    <w:p w:rsidR="00AA5B69" w:rsidRDefault="00AA5B69">
      <w:pPr>
        <w:pStyle w:val="SingleTxtG"/>
      </w:pPr>
      <w:r>
        <w:t>8.</w:t>
      </w:r>
      <w:r>
        <w:tab/>
        <w:t>Granada</w:t>
      </w:r>
    </w:p>
    <w:p w:rsidR="00AA5B69" w:rsidRDefault="00AA5B69">
      <w:pPr>
        <w:pStyle w:val="SingleTxtG"/>
      </w:pPr>
      <w:r>
        <w:t>9.</w:t>
      </w:r>
      <w:r>
        <w:tab/>
        <w:t>Guyana</w:t>
      </w:r>
    </w:p>
    <w:p w:rsidR="00AA5B69" w:rsidRDefault="00AA5B69">
      <w:pPr>
        <w:pStyle w:val="SingleTxtG"/>
      </w:pPr>
      <w:r>
        <w:t>10.</w:t>
      </w:r>
      <w:r>
        <w:tab/>
        <w:t>Islas Salomón</w:t>
      </w:r>
    </w:p>
    <w:p w:rsidR="00AA5B69" w:rsidRDefault="00AA5B69">
      <w:pPr>
        <w:pStyle w:val="SingleTxtG"/>
      </w:pPr>
      <w:r>
        <w:t>11.</w:t>
      </w:r>
      <w:r>
        <w:tab/>
        <w:t>Jamaica</w:t>
      </w:r>
    </w:p>
    <w:p w:rsidR="00AA5B69" w:rsidRDefault="00AA5B69">
      <w:pPr>
        <w:pStyle w:val="SingleTxtG"/>
      </w:pPr>
      <w:r>
        <w:t>12.</w:t>
      </w:r>
      <w:r>
        <w:tab/>
        <w:t>Japón</w:t>
      </w:r>
    </w:p>
    <w:p w:rsidR="00AA5B69" w:rsidRDefault="00AA5B69">
      <w:pPr>
        <w:pStyle w:val="SingleTxtG"/>
      </w:pPr>
      <w:r>
        <w:t>13.</w:t>
      </w:r>
      <w:r>
        <w:tab/>
        <w:t>Lesotho</w:t>
      </w:r>
    </w:p>
    <w:p w:rsidR="00AA5B69" w:rsidRDefault="00AA5B69">
      <w:pPr>
        <w:pStyle w:val="SingleTxtG"/>
      </w:pPr>
      <w:r>
        <w:t>14.</w:t>
      </w:r>
      <w:r>
        <w:tab/>
        <w:t>Maldivas</w:t>
      </w:r>
    </w:p>
    <w:p w:rsidR="00AA5B69" w:rsidRDefault="00AA5B69">
      <w:pPr>
        <w:pStyle w:val="SingleTxtG"/>
      </w:pPr>
      <w:r>
        <w:t>15.</w:t>
      </w:r>
      <w:r>
        <w:tab/>
        <w:t>Malta</w:t>
      </w:r>
    </w:p>
    <w:p w:rsidR="00AA5B69" w:rsidRDefault="00AA5B69">
      <w:pPr>
        <w:pStyle w:val="SingleTxtG"/>
      </w:pPr>
      <w:r>
        <w:t>16.</w:t>
      </w:r>
      <w:r>
        <w:tab/>
        <w:t>Mauricio</w:t>
      </w:r>
    </w:p>
    <w:p w:rsidR="00AA5B69" w:rsidRDefault="00AA5B69">
      <w:pPr>
        <w:pStyle w:val="SingleTxtG"/>
      </w:pPr>
      <w:r>
        <w:t>17.</w:t>
      </w:r>
      <w:r>
        <w:tab/>
        <w:t>Namibia</w:t>
      </w:r>
    </w:p>
    <w:p w:rsidR="00AA5B69" w:rsidRDefault="00AA5B69">
      <w:pPr>
        <w:pStyle w:val="SingleTxtG"/>
      </w:pPr>
      <w:r>
        <w:t>18.</w:t>
      </w:r>
      <w:r>
        <w:tab/>
        <w:t>Nauru</w:t>
      </w:r>
    </w:p>
    <w:p w:rsidR="00AA5B69" w:rsidRDefault="00AA5B69">
      <w:pPr>
        <w:pStyle w:val="SingleTxtG"/>
      </w:pPr>
      <w:r>
        <w:t>19.</w:t>
      </w:r>
      <w:r>
        <w:tab/>
        <w:t>Nueva Zelandia</w:t>
      </w:r>
    </w:p>
    <w:p w:rsidR="00AA5B69" w:rsidRDefault="00AA5B69">
      <w:pPr>
        <w:pStyle w:val="SingleTxtG"/>
      </w:pPr>
      <w:r>
        <w:t>20.</w:t>
      </w:r>
      <w:r>
        <w:tab/>
        <w:t>Papua Nueva Guinea</w:t>
      </w:r>
    </w:p>
    <w:p w:rsidR="00AA5B69" w:rsidRDefault="00AA5B69">
      <w:pPr>
        <w:pStyle w:val="SingleTxtG"/>
      </w:pPr>
      <w:r>
        <w:t>21.</w:t>
      </w:r>
      <w:r>
        <w:tab/>
        <w:t>Reino Unido de Gran Bretaña e Irlanda del Norte</w:t>
      </w:r>
    </w:p>
    <w:p w:rsidR="00AA5B69" w:rsidRDefault="00AA5B69">
      <w:pPr>
        <w:pStyle w:val="SingleTxtG"/>
      </w:pPr>
      <w:r>
        <w:t>22.</w:t>
      </w:r>
      <w:r>
        <w:tab/>
        <w:t>Saint Kitts y Nevis</w:t>
      </w:r>
    </w:p>
    <w:p w:rsidR="00AA5B69" w:rsidRDefault="00AA5B69">
      <w:pPr>
        <w:pStyle w:val="SingleTxtG"/>
      </w:pPr>
      <w:r>
        <w:t>23.</w:t>
      </w:r>
      <w:r>
        <w:tab/>
        <w:t>San Vicente y las Granadinas</w:t>
      </w:r>
    </w:p>
    <w:p w:rsidR="00AA5B69" w:rsidRDefault="00AA5B69">
      <w:pPr>
        <w:pStyle w:val="SingleTxtG"/>
      </w:pPr>
      <w:r>
        <w:t>24.</w:t>
      </w:r>
      <w:r>
        <w:tab/>
        <w:t>Santa Lucía</w:t>
      </w:r>
    </w:p>
    <w:p w:rsidR="00AA5B69" w:rsidRDefault="00AA5B69">
      <w:pPr>
        <w:pStyle w:val="SingleTxtG"/>
      </w:pPr>
      <w:r>
        <w:t>25.</w:t>
      </w:r>
      <w:r>
        <w:tab/>
        <w:t>Singapur</w:t>
      </w:r>
    </w:p>
    <w:p w:rsidR="00AA5B69" w:rsidRDefault="00AA5B69">
      <w:pPr>
        <w:pStyle w:val="SingleTxtG"/>
      </w:pPr>
      <w:r>
        <w:t>26.</w:t>
      </w:r>
      <w:r>
        <w:tab/>
        <w:t>Swazilandia</w:t>
      </w:r>
    </w:p>
    <w:p w:rsidR="00AA5B69" w:rsidRDefault="00AA5B69">
      <w:pPr>
        <w:pStyle w:val="SingleTxtG"/>
      </w:pPr>
      <w:r>
        <w:t>27.</w:t>
      </w:r>
      <w:r>
        <w:tab/>
        <w:t>Trinidad y Tabago</w:t>
      </w:r>
    </w:p>
    <w:p w:rsidR="00AA5B69" w:rsidRDefault="00AA5B69">
      <w:pPr>
        <w:pStyle w:val="SingleTxtG"/>
      </w:pPr>
      <w:r>
        <w:t>28.</w:t>
      </w:r>
      <w:r>
        <w:tab/>
        <w:t>Tuvalu</w:t>
      </w:r>
    </w:p>
    <w:p w:rsidR="00AA5B69" w:rsidRDefault="00AA5B69">
      <w:pPr>
        <w:pStyle w:val="SingleTxtG"/>
      </w:pPr>
      <w:r>
        <w:t>29.</w:t>
      </w:r>
      <w:r>
        <w:tab/>
        <w:t>Vanuatu</w:t>
      </w:r>
    </w:p>
    <w:p w:rsidR="00AA5B69" w:rsidRDefault="00AA5B69">
      <w:pPr>
        <w:pStyle w:val="SingleTxtG"/>
      </w:pPr>
      <w:r>
        <w:t>30.</w:t>
      </w:r>
      <w:r>
        <w:tab/>
        <w:t>Zimbabwe</w:t>
      </w:r>
    </w:p>
    <w:p w:rsidR="00AA5B69" w:rsidRDefault="00AA5B69">
      <w:pPr>
        <w:pStyle w:val="SingleTxtG"/>
      </w:pPr>
      <w:r>
        <w:t>31.</w:t>
      </w:r>
      <w:r>
        <w:tab/>
        <w:t>El Tribunal Penal Internacional para el enjuiciamiento de los presuntos responsables de genocidio y otras violaciones graves del derecho internacional humanitario cometidas en el territorio de Rwanda y de los ciudadanos rwandeses presuntamente responsables de genocidio y otras violaciones de esa naturaleza cometidas en el territorio de Estados vecinos entre el 1º de enero y el 31 de diciembre de 1994, establecido mediante la Resolución 955 (1994) del Consejo de Seguridad de las Naciones Unidas.</w:t>
      </w:r>
    </w:p>
    <w:p w:rsidR="00AA5B69" w:rsidRDefault="00AA5B69">
      <w:pPr>
        <w:pStyle w:val="SingleTxtG"/>
      </w:pPr>
      <w:r>
        <w:t>32.</w:t>
      </w:r>
      <w:r>
        <w:tab/>
        <w:t xml:space="preserve">El Tribunal Internacional para el enjuiciamiento de los presuntos responsables de las violaciones graves del derecho internacional humanitario cometidas en el territorio de </w:t>
      </w:r>
      <w:smartTag w:uri="urn:schemas-microsoft-com:office:smarttags" w:element="PersonName">
        <w:smartTagPr>
          <w:attr w:name="ProductID" w:val="la ex Yugoslavia"/>
        </w:smartTagPr>
        <w:r>
          <w:t>la ex Yugoslavia</w:t>
        </w:r>
      </w:smartTag>
      <w:r>
        <w:t xml:space="preserve"> desde 1991, establecido mediante la Resolución 827 (1993) del Consejo de Seguridad de las Naciones Unidas.</w:t>
      </w:r>
    </w:p>
    <w:p w:rsidR="00AA5B69" w:rsidRDefault="00AA5B69">
      <w:pPr>
        <w:pStyle w:val="SingleTxtG"/>
      </w:pPr>
      <w:r>
        <w:t>33.</w:t>
      </w:r>
      <w:r>
        <w:tab/>
      </w:r>
      <w:smartTag w:uri="urn:schemas-microsoft-com:office:smarttags" w:element="PersonName">
        <w:smartTagPr>
          <w:attr w:name="ProductID" w:val="La Corte Penal Internacional."/>
        </w:smartTagPr>
        <w:r>
          <w:t>La Corte Penal Internacional.</w:t>
        </w:r>
      </w:smartTag>
    </w:p>
    <w:p w:rsidR="00AA5B69" w:rsidRDefault="00AA5B69">
      <w:pPr>
        <w:suppressAutoHyphens/>
        <w:spacing w:before="240"/>
        <w:ind w:left="1134" w:right="1134"/>
        <w:jc w:val="center"/>
        <w:rPr>
          <w:u w:val="single"/>
        </w:rPr>
      </w:pPr>
      <w:r>
        <w:rPr>
          <w:u w:val="single"/>
        </w:rPr>
        <w:tab/>
      </w:r>
      <w:r>
        <w:rPr>
          <w:u w:val="single"/>
        </w:rPr>
        <w:tab/>
      </w:r>
      <w:r>
        <w:rPr>
          <w:u w:val="single"/>
        </w:rPr>
        <w:tab/>
      </w:r>
    </w:p>
    <w:p w:rsidR="00AA5B69" w:rsidRDefault="00AA5B69">
      <w:pPr>
        <w:suppressAutoHyphens/>
        <w:spacing w:before="240"/>
        <w:ind w:left="1134" w:right="1134"/>
        <w:jc w:val="center"/>
        <w:rPr>
          <w:u w:val="single"/>
        </w:rPr>
      </w:pPr>
    </w:p>
    <w:sectPr w:rsidR="00AA5B69">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C7468" w:rsidRDefault="00EC7468">
      <w:r>
        <w:separator/>
      </w:r>
    </w:p>
  </w:endnote>
  <w:endnote w:type="continuationSeparator" w:id="0">
    <w:p w:rsidR="00EC7468" w:rsidRDefault="00EC746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5B69" w:rsidRDefault="00AA5B69">
    <w:pPr>
      <w:pStyle w:val="Footer"/>
      <w:tabs>
        <w:tab w:val="right" w:pos="9638"/>
      </w:tabs>
    </w:pPr>
    <w:r>
      <w:rPr>
        <w:b/>
        <w:sz w:val="18"/>
      </w:rPr>
      <w:fldChar w:fldCharType="begin"/>
    </w:r>
    <w:r>
      <w:rPr>
        <w:b/>
        <w:sz w:val="18"/>
      </w:rPr>
      <w:instrText xml:space="preserve"> PAGE  \* MERGEFORMAT </w:instrText>
    </w:r>
    <w:r>
      <w:rPr>
        <w:b/>
        <w:sz w:val="18"/>
      </w:rPr>
      <w:fldChar w:fldCharType="separate"/>
    </w:r>
    <w:r w:rsidR="00143A1B">
      <w:rPr>
        <w:b/>
        <w:noProof/>
        <w:sz w:val="18"/>
      </w:rPr>
      <w:t>2</w:t>
    </w:r>
    <w:r>
      <w:rPr>
        <w:b/>
        <w:sz w:val="18"/>
      </w:rPr>
      <w:fldChar w:fldCharType="end"/>
    </w:r>
    <w:r>
      <w:rPr>
        <w:sz w:val="18"/>
      </w:rPr>
      <w:tab/>
    </w:r>
    <w:r>
      <w:rPr>
        <w:szCs w:val="16"/>
      </w:rPr>
      <w:t>GE.11-43533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5B69" w:rsidRDefault="00AA5B69">
    <w:pPr>
      <w:pStyle w:val="Footer"/>
      <w:tabs>
        <w:tab w:val="right" w:pos="9638"/>
      </w:tabs>
      <w:rPr>
        <w:b/>
        <w:sz w:val="18"/>
      </w:rPr>
    </w:pPr>
    <w:r>
      <w:rPr>
        <w:szCs w:val="16"/>
      </w:rPr>
      <w:t>GE.11-43533  (EXT)</w:t>
    </w:r>
    <w:r>
      <w:tab/>
    </w:r>
    <w:r>
      <w:rPr>
        <w:b/>
        <w:sz w:val="18"/>
      </w:rPr>
      <w:fldChar w:fldCharType="begin"/>
    </w:r>
    <w:r>
      <w:rPr>
        <w:b/>
        <w:sz w:val="18"/>
      </w:rPr>
      <w:instrText xml:space="preserve"> PAGE  \* MERGEFORMAT </w:instrText>
    </w:r>
    <w:r>
      <w:rPr>
        <w:b/>
        <w:sz w:val="18"/>
      </w:rPr>
      <w:fldChar w:fldCharType="separate"/>
    </w:r>
    <w:r w:rsidR="00143A1B">
      <w:rPr>
        <w:b/>
        <w:noProof/>
        <w:sz w:val="18"/>
      </w:rPr>
      <w:t>69</w:t>
    </w:r>
    <w:r>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5B69" w:rsidRDefault="00AA5B69">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 wrapcoords="18189 0 0 9900 -189 12600 -189 17100 758 19800 19516 19800 20274 19800 21032 14400 21600 14400 21600 8100 20653 0 18189 0">
          <v:imagedata r:id="rId1" o:title="recycle_Spanish"/>
          <w10:anchorlock/>
        </v:shape>
      </w:pict>
    </w:r>
    <w:r>
      <w:rPr>
        <w:sz w:val="20"/>
      </w:rPr>
      <w:t>GE.11-43533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C7468" w:rsidRPr="001075E9" w:rsidRDefault="00EC7468">
      <w:pPr>
        <w:tabs>
          <w:tab w:val="right" w:pos="2155"/>
        </w:tabs>
        <w:spacing w:after="80" w:line="240" w:lineRule="auto"/>
        <w:ind w:left="680"/>
        <w:rPr>
          <w:u w:val="single"/>
        </w:rPr>
      </w:pPr>
      <w:r>
        <w:rPr>
          <w:u w:val="single"/>
        </w:rPr>
        <w:tab/>
      </w:r>
    </w:p>
  </w:footnote>
  <w:footnote w:type="continuationSeparator" w:id="0">
    <w:p w:rsidR="00EC7468" w:rsidRDefault="00EC7468">
      <w:r>
        <w:continuationSeparator/>
      </w:r>
    </w:p>
  </w:footnote>
  <w:footnote w:id="1">
    <w:p w:rsidR="00AA5B69" w:rsidRDefault="00AA5B69">
      <w:pPr>
        <w:pStyle w:val="FootnoteText"/>
        <w:rPr>
          <w:szCs w:val="18"/>
        </w:rPr>
      </w:pPr>
      <w:r>
        <w:tab/>
      </w:r>
      <w:r>
        <w:rPr>
          <w:rStyle w:val="FootnoteReference"/>
          <w:sz w:val="20"/>
          <w:vertAlign w:val="baseline"/>
        </w:rPr>
        <w:t>*</w:t>
      </w:r>
      <w:r>
        <w:rPr>
          <w:sz w:val="20"/>
        </w:rPr>
        <w:tab/>
      </w:r>
      <w:r>
        <w:rPr>
          <w:szCs w:val="18"/>
        </w:rPr>
        <w:t>Con arreglo a la información transmitida a los Estados partes acerca de la publicación de sus informes, el presente documento no fue objeto de revisión editorial</w:t>
      </w:r>
      <w:r>
        <w:rPr>
          <w:strike/>
          <w:szCs w:val="18"/>
        </w:rPr>
        <w:t xml:space="preserve"> </w:t>
      </w:r>
      <w:r>
        <w:rPr>
          <w:szCs w:val="18"/>
        </w:rPr>
        <w:t>antes de ser enviado a los servicios de traducción de las Naciones Unidas.</w:t>
      </w:r>
    </w:p>
  </w:footnote>
  <w:footnote w:id="2">
    <w:p w:rsidR="00AA5B69" w:rsidRDefault="00AA5B69">
      <w:pPr>
        <w:pStyle w:val="FootnoteText"/>
        <w:spacing w:line="240" w:lineRule="atLeast"/>
        <w:ind w:hanging="567"/>
        <w:jc w:val="both"/>
      </w:pPr>
      <w:r>
        <w:tab/>
      </w:r>
      <w:r>
        <w:rPr>
          <w:rStyle w:val="FootnoteReference"/>
        </w:rPr>
        <w:footnoteRef/>
      </w:r>
      <w:r>
        <w:tab/>
        <w:t xml:space="preserve">En la página 11 del informe figura más información sobre este proyecto. La información actualizada se puede consultar en </w:t>
      </w:r>
      <w:r w:rsidRPr="00DD6642">
        <w:t>http://www.cecw-cepb.ca/files/file/en/AnnualReport0506.pdf</w:t>
      </w:r>
      <w:r>
        <w:t>.</w:t>
      </w:r>
    </w:p>
  </w:footnote>
  <w:footnote w:id="3">
    <w:p w:rsidR="00AA5B69" w:rsidRDefault="00AA5B69">
      <w:pPr>
        <w:pStyle w:val="FootnoteText"/>
        <w:spacing w:line="360" w:lineRule="auto"/>
        <w:jc w:val="both"/>
      </w:pPr>
      <w:r>
        <w:tab/>
      </w:r>
      <w:r>
        <w:rPr>
          <w:rStyle w:val="FootnoteReference"/>
        </w:rPr>
        <w:footnoteRef/>
      </w:r>
      <w:r>
        <w:t xml:space="preserve"> </w:t>
      </w:r>
      <w:r>
        <w:tab/>
      </w:r>
      <w:r w:rsidRPr="00883185">
        <w:t>http://www.solgen.gov.ab.ca/downloa</w:t>
      </w:r>
      <w:r>
        <w:t>ds/documentloader.aspx?id=48127.</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5B69" w:rsidRDefault="00AA5B69">
    <w:pPr>
      <w:pStyle w:val="Header"/>
    </w:pPr>
    <w:r>
      <w:t>CRC/C/OPS</w:t>
    </w:r>
    <w:r w:rsidR="00143A1B">
      <w:t>C</w:t>
    </w:r>
    <w:r>
      <w:t>/CAN/1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5B69" w:rsidRDefault="00AA5B69">
    <w:pPr>
      <w:pStyle w:val="Header"/>
      <w:jc w:val="right"/>
    </w:pPr>
    <w:r>
      <w:t>CRC/C/OPS</w:t>
    </w:r>
    <w:r w:rsidR="00143A1B">
      <w:t>C</w:t>
    </w:r>
    <w:r>
      <w:t>/CAN/1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44E20930">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start w:val="1"/>
      <w:numFmt w:val="bullet"/>
      <w:pStyle w:val="Bullet1G"/>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60F16"/>
    <w:rsid w:val="0013648C"/>
    <w:rsid w:val="00143A1B"/>
    <w:rsid w:val="001D38E3"/>
    <w:rsid w:val="0022623D"/>
    <w:rsid w:val="00250309"/>
    <w:rsid w:val="003636AF"/>
    <w:rsid w:val="00480ECE"/>
    <w:rsid w:val="007A0A29"/>
    <w:rsid w:val="008B5D21"/>
    <w:rsid w:val="00931ECD"/>
    <w:rsid w:val="00960F16"/>
    <w:rsid w:val="00AA5B69"/>
    <w:rsid w:val="00C3315C"/>
    <w:rsid w:val="00CB5080"/>
    <w:rsid w:val="00DB4364"/>
    <w:rsid w:val="00EA5679"/>
    <w:rsid w:val="00EC7468"/>
    <w:rsid w:val="00F60E3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link w:val="Heading1Char"/>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basedOn w:val="DefaultParagraphFont"/>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character" w:customStyle="1" w:styleId="FootnoteTextChar3">
    <w:name w:val="Footnote Text Char3"/>
    <w:aliases w:val="5_G Char1,Footnote Text Char1 Char2,Footnote Text Char Char Char2,Footnote Text Char1 Char Char Char1,Footnote Text Char Char Char Char Char1,Footnote Text Char Char2,Footnote Text Char1 Char Char2,Footnote Text Char Char Char Char2"/>
    <w:basedOn w:val="DefaultParagraphFont"/>
    <w:link w:val="FootnoteText"/>
    <w:locked/>
    <w:rPr>
      <w:sz w:val="18"/>
      <w:lang w:val="es-ES" w:eastAsia="es-ES" w:bidi="ar-SA"/>
    </w:rPr>
  </w:style>
  <w:style w:type="character" w:styleId="CommentReference">
    <w:name w:val="annotation reference"/>
    <w:basedOn w:val="DefaultParagraphFont"/>
    <w:semiHidden/>
    <w:rPr>
      <w:rFonts w:cs="Times New Roman"/>
      <w:sz w:val="16"/>
      <w:szCs w:val="16"/>
    </w:rPr>
  </w:style>
  <w:style w:type="paragraph" w:customStyle="1" w:styleId="H1G">
    <w:name w:val="_ H_1_G"/>
    <w:basedOn w:val="Normal"/>
    <w:next w:val="Normal"/>
    <w:link w:val="H1GCar"/>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har"/>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pPr>
      <w:pBdr>
        <w:bottom w:val="single" w:sz="4" w:space="4" w:color="auto"/>
      </w:pBdr>
      <w:spacing w:line="240" w:lineRule="auto"/>
    </w:pPr>
    <w:rPr>
      <w:b/>
      <w:sz w:val="18"/>
    </w:rPr>
  </w:style>
  <w:style w:type="paragraph" w:customStyle="1" w:styleId="SingleTxtG">
    <w:name w:val="_ Single Txt_G"/>
    <w:basedOn w:val="Normal"/>
    <w:link w:val="SingleTxtGChar"/>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link w:val="FooterChar"/>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Footnote Text Char1,Footnote Text Char Char,Footnote Text Char1 Char Char,Footnote Text Char Char Char Char,Footnote Text Char,Footnote Text Char1 Char,Footnote Text Char Char Char,1. MS Nota pie,single space,footnote text,FOOTNOTES,f"/>
    <w:basedOn w:val="Normal"/>
    <w:link w:val="FootnoteTextChar3"/>
    <w:pPr>
      <w:tabs>
        <w:tab w:val="right" w:pos="1021"/>
      </w:tabs>
      <w:spacing w:line="220" w:lineRule="exact"/>
      <w:ind w:left="1134" w:right="1134" w:hanging="1134"/>
    </w:pPr>
    <w:rPr>
      <w:sz w:val="18"/>
    </w:r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basedOn w:val="DefaultParagraphFont"/>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basedOn w:val="DefaultParagraphFont"/>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basedOn w:val="DefaultParagraphFont"/>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basedOn w:val="DefaultParagraphFont"/>
    <w:rPr>
      <w:b/>
      <w:sz w:val="18"/>
    </w:rPr>
  </w:style>
  <w:style w:type="character" w:styleId="EndnoteReference">
    <w:name w:val="endnote reference"/>
    <w:aliases w:val="1_G"/>
    <w:basedOn w:val="FootnoteReference"/>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basedOn w:val="DefaultParagraphFont"/>
    <w:qFormat/>
    <w:rPr>
      <w:b/>
      <w:bCs/>
    </w:rPr>
  </w:style>
  <w:style w:type="paragraph" w:styleId="BodyText">
    <w:name w:val="Body Text"/>
    <w:basedOn w:val="Normal"/>
    <w:semiHidden/>
    <w:pPr>
      <w:spacing w:after="120"/>
    </w:pPr>
  </w:style>
  <w:style w:type="paragraph" w:styleId="BodyText2">
    <w:name w:val="Body Text 2"/>
    <w:basedOn w:val="Normal"/>
    <w:link w:val="BodyText2Char"/>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 w:type="paragraph" w:styleId="CommentText">
    <w:name w:val="annotation text"/>
    <w:basedOn w:val="Normal"/>
    <w:link w:val="CommentTextChar"/>
    <w:semiHidden/>
    <w:pPr>
      <w:spacing w:line="240" w:lineRule="auto"/>
    </w:pPr>
  </w:style>
  <w:style w:type="character" w:customStyle="1" w:styleId="CommentTextChar">
    <w:name w:val="Comment Text Char"/>
    <w:basedOn w:val="DefaultParagraphFont"/>
    <w:link w:val="CommentText"/>
    <w:semiHidden/>
    <w:locked/>
    <w:rPr>
      <w:lang w:val="es-ES" w:eastAsia="es-ES" w:bidi="ar-SA"/>
    </w:rPr>
  </w:style>
  <w:style w:type="paragraph" w:styleId="BalloonText">
    <w:name w:val="Balloon Text"/>
    <w:basedOn w:val="Normal"/>
    <w:link w:val="BalloonTextChar"/>
    <w:semiHidden/>
    <w:rPr>
      <w:rFonts w:ascii="Tahoma" w:hAnsi="Tahoma" w:cs="Tahoma"/>
      <w:sz w:val="16"/>
      <w:szCs w:val="16"/>
    </w:rPr>
  </w:style>
  <w:style w:type="character" w:customStyle="1" w:styleId="SingleTxtGChar">
    <w:name w:val="_ Single Txt_G Char"/>
    <w:basedOn w:val="DefaultParagraphFont"/>
    <w:link w:val="SingleTxtG"/>
    <w:locked/>
    <w:rPr>
      <w:lang w:val="es-ES" w:eastAsia="es-ES" w:bidi="ar-SA"/>
    </w:rPr>
  </w:style>
  <w:style w:type="character" w:customStyle="1" w:styleId="Heading1Char">
    <w:name w:val="Heading 1 Char"/>
    <w:aliases w:val="Table_G Char"/>
    <w:basedOn w:val="DefaultParagraphFont"/>
    <w:link w:val="Heading1"/>
    <w:rPr>
      <w:rFonts w:cs="Arial"/>
      <w:bCs/>
      <w:szCs w:val="32"/>
      <w:lang w:val="es-ES" w:eastAsia="es-ES" w:bidi="ar-SA"/>
    </w:rPr>
  </w:style>
  <w:style w:type="character" w:customStyle="1" w:styleId="HeaderChar">
    <w:name w:val="Header Char"/>
    <w:aliases w:val="6_G Char"/>
    <w:basedOn w:val="DefaultParagraphFont"/>
    <w:link w:val="Header"/>
    <w:semiHidden/>
    <w:rPr>
      <w:b/>
      <w:sz w:val="18"/>
      <w:lang w:val="es-ES" w:eastAsia="es-ES" w:bidi="ar-SA"/>
    </w:rPr>
  </w:style>
  <w:style w:type="character" w:customStyle="1" w:styleId="FooterChar">
    <w:name w:val="Footer Char"/>
    <w:aliases w:val="3_G Char"/>
    <w:basedOn w:val="DefaultParagraphFont"/>
    <w:link w:val="Footer"/>
    <w:semiHidden/>
    <w:rPr>
      <w:sz w:val="16"/>
      <w:lang w:val="es-ES" w:eastAsia="es-ES" w:bidi="ar-SA"/>
    </w:rPr>
  </w:style>
  <w:style w:type="paragraph" w:styleId="CommentSubject">
    <w:name w:val="annotation subject"/>
    <w:basedOn w:val="CommentText"/>
    <w:next w:val="CommentText"/>
    <w:link w:val="CommentSubjectChar"/>
    <w:semiHidden/>
    <w:rPr>
      <w:b/>
      <w:bCs/>
    </w:rPr>
  </w:style>
  <w:style w:type="character" w:customStyle="1" w:styleId="CommentSubjectChar">
    <w:name w:val="Comment Subject Char"/>
    <w:basedOn w:val="CommentTextChar"/>
    <w:link w:val="CommentSubject"/>
    <w:semiHidden/>
    <w:rPr>
      <w:b/>
      <w:bCs/>
    </w:rPr>
  </w:style>
  <w:style w:type="character" w:customStyle="1" w:styleId="BalloonTextChar">
    <w:name w:val="Balloon Text Char"/>
    <w:basedOn w:val="DefaultParagraphFont"/>
    <w:link w:val="BalloonText"/>
    <w:semiHidden/>
    <w:rPr>
      <w:rFonts w:ascii="Tahoma" w:hAnsi="Tahoma" w:cs="Tahoma"/>
      <w:sz w:val="16"/>
      <w:szCs w:val="16"/>
      <w:lang w:val="es-ES" w:eastAsia="es-ES" w:bidi="ar-SA"/>
    </w:rPr>
  </w:style>
  <w:style w:type="paragraph" w:customStyle="1" w:styleId="ParaNo">
    <w:name w:val="ParaNo."/>
    <w:basedOn w:val="Normal"/>
    <w:pPr>
      <w:numPr>
        <w:numId w:val="1"/>
      </w:numPr>
      <w:tabs>
        <w:tab w:val="left" w:pos="737"/>
      </w:tabs>
      <w:spacing w:after="240" w:line="240" w:lineRule="auto"/>
    </w:pPr>
    <w:rPr>
      <w:sz w:val="24"/>
      <w:lang w:val="fr-CH" w:eastAsia="en-US"/>
    </w:rPr>
  </w:style>
  <w:style w:type="character" w:customStyle="1" w:styleId="BodyText2Char">
    <w:name w:val="Body Text 2 Char"/>
    <w:basedOn w:val="DefaultParagraphFont"/>
    <w:link w:val="BodyText2"/>
    <w:semiHidden/>
    <w:rPr>
      <w:lang w:val="es-ES" w:eastAsia="es-ES" w:bidi="ar-SA"/>
    </w:rPr>
  </w:style>
  <w:style w:type="paragraph" w:customStyle="1" w:styleId="std">
    <w:name w:val="std"/>
    <w:basedOn w:val="Normal"/>
    <w:pPr>
      <w:spacing w:line="240" w:lineRule="auto"/>
    </w:pPr>
    <w:rPr>
      <w:sz w:val="24"/>
      <w:szCs w:val="24"/>
    </w:rPr>
  </w:style>
  <w:style w:type="character" w:customStyle="1" w:styleId="sectiune1">
    <w:name w:val="sectiune1"/>
    <w:basedOn w:val="DefaultParagraphFont"/>
    <w:rPr>
      <w:rFonts w:cs="Times New Roman"/>
      <w:b/>
      <w:bCs/>
      <w:color w:val="950095"/>
    </w:rPr>
  </w:style>
  <w:style w:type="character" w:customStyle="1" w:styleId="H23GChar">
    <w:name w:val="_ H_2/3_G Char"/>
    <w:basedOn w:val="DefaultParagraphFont"/>
    <w:link w:val="H23G"/>
    <w:locked/>
    <w:rPr>
      <w:b/>
      <w:lang w:val="es-ES" w:eastAsia="es-ES" w:bidi="ar-SA"/>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lang w:eastAsia="en-US"/>
    </w:rPr>
  </w:style>
  <w:style w:type="character" w:customStyle="1" w:styleId="highlightedsentence1">
    <w:name w:val="highlightedsentence1"/>
    <w:basedOn w:val="DefaultParagraphFont"/>
    <w:rPr>
      <w:rFonts w:ascii="Arial" w:hAnsi="Arial" w:cs="Arial"/>
      <w:color w:val="FF0000"/>
      <w:sz w:val="22"/>
      <w:szCs w:val="22"/>
      <w:shd w:val="clear" w:color="auto" w:fill="FFFF00"/>
    </w:rPr>
  </w:style>
  <w:style w:type="character" w:customStyle="1" w:styleId="a">
    <w:name w:val="ñ"/>
    <w:basedOn w:val="DefaultParagraphFont"/>
    <w:rPr>
      <w:rFonts w:cs="Times New Roman"/>
    </w:rPr>
  </w:style>
  <w:style w:type="character" w:customStyle="1" w:styleId="c1">
    <w:name w:val="c1"/>
    <w:basedOn w:val="DefaultParagraphFont"/>
    <w:rPr>
      <w:rFonts w:ascii="Courier New" w:hAnsi="Courier New" w:cs="Courier New"/>
      <w:sz w:val="22"/>
      <w:szCs w:val="22"/>
    </w:rPr>
  </w:style>
  <w:style w:type="character" w:customStyle="1" w:styleId="1">
    <w:name w:val="1"/>
    <w:basedOn w:val="DefaultParagraphFont"/>
    <w:rPr>
      <w:rFonts w:ascii="Times New Roman" w:hAnsi="Times New Roman" w:cs="Times New Roman"/>
      <w:sz w:val="26"/>
      <w:szCs w:val="26"/>
    </w:rPr>
  </w:style>
  <w:style w:type="character" w:customStyle="1" w:styleId="longtext">
    <w:name w:val="long_text"/>
    <w:basedOn w:val="DefaultParagraphFont"/>
    <w:rPr>
      <w:rFonts w:cs="Times New Roman"/>
    </w:rPr>
  </w:style>
  <w:style w:type="character" w:customStyle="1" w:styleId="gt-icon-text1">
    <w:name w:val="gt-icon-text1"/>
    <w:basedOn w:val="DefaultParagraphFont"/>
    <w:rPr>
      <w:rFonts w:cs="Times New Roman"/>
    </w:rPr>
  </w:style>
  <w:style w:type="character" w:customStyle="1" w:styleId="gt-ft-text1">
    <w:name w:val="gt-ft-text1"/>
    <w:basedOn w:val="DefaultParagraphFont"/>
    <w:rPr>
      <w:rFonts w:cs="Times New Roman"/>
    </w:rPr>
  </w:style>
  <w:style w:type="character" w:customStyle="1" w:styleId="apple-style-span">
    <w:name w:val="apple-style-span"/>
    <w:basedOn w:val="DefaultParagraphFont"/>
    <w:rPr>
      <w:rFonts w:cs="Times New Roman"/>
    </w:rPr>
  </w:style>
  <w:style w:type="character" w:customStyle="1" w:styleId="apple-converted-space">
    <w:name w:val="apple-converted-space"/>
    <w:basedOn w:val="DefaultParagraphFont"/>
    <w:rPr>
      <w:rFonts w:cs="Times New Roman"/>
    </w:rPr>
  </w:style>
  <w:style w:type="character" w:customStyle="1" w:styleId="hps">
    <w:name w:val="hps"/>
    <w:basedOn w:val="DefaultParagraphFont"/>
    <w:rPr>
      <w:rFonts w:cs="Times New Roman"/>
    </w:rPr>
  </w:style>
  <w:style w:type="character" w:customStyle="1" w:styleId="atn">
    <w:name w:val="atn"/>
    <w:basedOn w:val="DefaultParagraphFont"/>
    <w:rPr>
      <w:rFonts w:cs="Times New Roman"/>
    </w:rPr>
  </w:style>
  <w:style w:type="character" w:customStyle="1" w:styleId="hpsatn">
    <w:name w:val="hps atn"/>
    <w:basedOn w:val="DefaultParagraphFont"/>
    <w:rPr>
      <w:rFonts w:cs="Times New Roman"/>
    </w:rPr>
  </w:style>
  <w:style w:type="character" w:customStyle="1" w:styleId="5GCar">
    <w:name w:val="5_G Car"/>
    <w:aliases w:val="Footnote Text Char1 Car,Footnote Text Char Char Car,Footnote Text Char1 Char Char Car,Footnote Text Char Char Char Char Car,Footnote Text Char Car,Footnote Text Char1 Char Car,Footnote Text Char Char Char Car Car,single space Car,footnote text Car"/>
    <w:basedOn w:val="DefaultParagraphFont"/>
    <w:rPr>
      <w:rFonts w:cs="Times New Roman"/>
      <w:sz w:val="18"/>
      <w:lang w:val="en-GB" w:eastAsia="en-US" w:bidi="ar-SA"/>
    </w:rPr>
  </w:style>
  <w:style w:type="paragraph" w:customStyle="1" w:styleId="Default">
    <w:name w:val="Default"/>
    <w:pPr>
      <w:autoSpaceDE w:val="0"/>
      <w:autoSpaceDN w:val="0"/>
      <w:adjustRightInd w:val="0"/>
    </w:pPr>
    <w:rPr>
      <w:color w:val="000000"/>
      <w:sz w:val="24"/>
      <w:szCs w:val="24"/>
      <w:lang w:val="es-ES" w:eastAsia="es-ES"/>
    </w:rPr>
  </w:style>
  <w:style w:type="character" w:customStyle="1" w:styleId="FootnoteTextChar2">
    <w:name w:val="Footnote Text Char2"/>
    <w:aliases w:val="5_G Char,Footnote Text Char1 Char1,Footnote Text Char Char Char1,Footnote Text Char1 Char Char Char,Footnote Text Char Char Char Char Char,Footnote Text Char Char1,Footnote Text Char1 Char Char1,Footnote Text Char Char Char Char1"/>
    <w:basedOn w:val="DefaultParagraphFont"/>
    <w:locked/>
    <w:rPr>
      <w:lang w:val="es-ES" w:eastAsia="es-ES" w:bidi="ar-SA"/>
    </w:rPr>
  </w:style>
  <w:style w:type="character" w:customStyle="1" w:styleId="s1">
    <w:name w:val="s1"/>
    <w:basedOn w:val="DefaultParagraphFont"/>
    <w:rPr>
      <w:rFonts w:ascii="Times New Roman" w:hAnsi="Times New Roman" w:cs="Times New Roman" w:hint="default"/>
      <w:color w:val="008000"/>
    </w:rPr>
  </w:style>
  <w:style w:type="paragraph" w:customStyle="1" w:styleId="Revisin">
    <w:name w:val="Revisión"/>
    <w:hidden/>
    <w:semiHidden/>
    <w:rPr>
      <w:sz w:val="24"/>
      <w:szCs w:val="24"/>
      <w:lang w:val="es-ES" w:eastAsia="es-ES"/>
    </w:rPr>
  </w:style>
  <w:style w:type="character" w:customStyle="1" w:styleId="H1GCar">
    <w:name w:val="_ H_1_G Car"/>
    <w:basedOn w:val="DefaultParagraphFont"/>
    <w:link w:val="H1G"/>
    <w:rPr>
      <w:b/>
      <w:sz w:val="24"/>
      <w:lang w:val="es-ES" w:eastAsia="es-ES" w:bidi="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RC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CRC_S</Template>
  <TotalTime>7</TotalTime>
  <Pages>1</Pages>
  <Words>31350</Words>
  <Characters>178699</Characters>
  <Application>Microsoft Office Outlook</Application>
  <DocSecurity>4</DocSecurity>
  <Lines>1489</Lines>
  <Paragraphs>419</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209630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user</dc:creator>
  <cp:keywords/>
  <dc:description/>
  <cp:lastModifiedBy>CSD</cp:lastModifiedBy>
  <cp:revision>5</cp:revision>
  <cp:lastPrinted>2011-11-23T14:28:00Z</cp:lastPrinted>
  <dcterms:created xsi:type="dcterms:W3CDTF">2011-11-23T14:27:00Z</dcterms:created>
  <dcterms:modified xsi:type="dcterms:W3CDTF">2011-11-23T14:49:00Z</dcterms:modified>
</cp:coreProperties>
</file>