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94B" w:rsidRDefault="00BD094B" w:rsidP="00BD094B">
      <w:pPr>
        <w:spacing w:line="60" w:lineRule="exact"/>
        <w:rPr>
          <w:sz w:val="6"/>
        </w:rPr>
        <w:sectPr w:rsidR="00BD094B" w:rsidSect="00BD094B">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BD094B">
      <w:pPr>
        <w:spacing w:line="60" w:lineRule="exact"/>
        <w:rPr>
          <w:sz w:val="6"/>
        </w:rPr>
      </w:pPr>
    </w:p>
    <w:p w:rsidR="00BD094B" w:rsidRDefault="00BD094B" w:rsidP="00BD094B">
      <w:pPr>
        <w:pStyle w:val="H1"/>
      </w:pPr>
      <w:r>
        <w:rPr>
          <w:rFonts w:hint="eastAsia"/>
        </w:rPr>
        <w:t>人权事务委员会</w:t>
      </w:r>
    </w:p>
    <w:p w:rsidR="00BD094B" w:rsidRPr="008F5056" w:rsidRDefault="00BD094B" w:rsidP="008F5056">
      <w:pPr>
        <w:pStyle w:val="H23"/>
        <w:spacing w:line="120" w:lineRule="exact"/>
        <w:rPr>
          <w:sz w:val="10"/>
        </w:rPr>
      </w:pPr>
    </w:p>
    <w:p w:rsidR="008F5056" w:rsidRPr="008F5056" w:rsidRDefault="008F5056" w:rsidP="008F5056">
      <w:pPr>
        <w:spacing w:line="120" w:lineRule="exact"/>
        <w:rPr>
          <w:sz w:val="10"/>
        </w:rPr>
      </w:pPr>
    </w:p>
    <w:p w:rsidR="008F5056" w:rsidRDefault="008F5056" w:rsidP="008F5056">
      <w:pPr>
        <w:spacing w:line="120" w:lineRule="exact"/>
        <w:rPr>
          <w:sz w:val="10"/>
        </w:rPr>
      </w:pPr>
    </w:p>
    <w:p w:rsidR="008F5056" w:rsidRPr="008F5056" w:rsidRDefault="008F5056" w:rsidP="008F5056">
      <w:pPr>
        <w:spacing w:line="120" w:lineRule="exact"/>
        <w:rPr>
          <w:sz w:val="10"/>
        </w:rPr>
      </w:pPr>
    </w:p>
    <w:p w:rsidR="008F5056" w:rsidRPr="008F5056" w:rsidRDefault="008F5056" w:rsidP="008F5056">
      <w:pPr>
        <w:framePr w:w="9792" w:h="432" w:hSpace="180" w:wrap="around" w:hAnchor="page" w:x="1210" w:yAlign="bottom"/>
        <w:spacing w:line="100" w:lineRule="exact"/>
        <w:rPr>
          <w:sz w:val="10"/>
        </w:rPr>
      </w:pPr>
    </w:p>
    <w:p w:rsidR="008F5056" w:rsidRPr="008F5056" w:rsidRDefault="008F5056" w:rsidP="008F5056">
      <w:pPr>
        <w:framePr w:w="9792" w:h="432" w:hSpace="180" w:wrap="around" w:hAnchor="page" w:x="1210" w:yAlign="bottom"/>
        <w:spacing w:line="60" w:lineRule="exact"/>
        <w:rPr>
          <w:sz w:val="6"/>
        </w:rPr>
      </w:pPr>
      <w:r w:rsidRPr="008F5056">
        <w:rPr>
          <w:noProof/>
          <w:sz w:val="6"/>
        </w:rPr>
        <mc:AlternateContent>
          <mc:Choice Requires="wps">
            <w:drawing>
              <wp:anchor distT="0" distB="0" distL="114300" distR="114300" simplePos="0" relativeHeight="251659264" behindDoc="0" locked="0" layoutInCell="1" allowOverlap="1" wp14:anchorId="1507A0CC" wp14:editId="60B05D7E">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8F5056" w:rsidRPr="008F5056" w:rsidRDefault="008F5056" w:rsidP="008F5056">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t>*</w:t>
      </w:r>
      <w:r w:rsidR="00EF5414">
        <w:rPr>
          <w:rFonts w:hint="eastAsia"/>
          <w:sz w:val="18"/>
        </w:rPr>
        <w:tab/>
      </w:r>
      <w:r w:rsidR="00EF5414" w:rsidRPr="00EF5414">
        <w:rPr>
          <w:rFonts w:hint="eastAsia"/>
          <w:sz w:val="18"/>
        </w:rPr>
        <w:t>委员会第一一三届会议</w:t>
      </w:r>
      <w:r w:rsidR="00EF5414" w:rsidRPr="00EF5414">
        <w:rPr>
          <w:rFonts w:hint="eastAsia"/>
          <w:sz w:val="18"/>
        </w:rPr>
        <w:t>(2015</w:t>
      </w:r>
      <w:r w:rsidR="00EF5414" w:rsidRPr="00EF5414">
        <w:rPr>
          <w:rFonts w:hint="eastAsia"/>
          <w:sz w:val="18"/>
        </w:rPr>
        <w:t>年</w:t>
      </w:r>
      <w:r w:rsidR="00EF5414" w:rsidRPr="00EF5414">
        <w:rPr>
          <w:rFonts w:hint="eastAsia"/>
          <w:sz w:val="18"/>
        </w:rPr>
        <w:t>3</w:t>
      </w:r>
      <w:r w:rsidR="00EF5414" w:rsidRPr="00EF5414">
        <w:rPr>
          <w:rFonts w:hint="eastAsia"/>
          <w:sz w:val="18"/>
        </w:rPr>
        <w:t>月</w:t>
      </w:r>
      <w:r w:rsidR="00EF5414" w:rsidRPr="00EF5414">
        <w:rPr>
          <w:rFonts w:hint="eastAsia"/>
          <w:sz w:val="18"/>
        </w:rPr>
        <w:t>16</w:t>
      </w:r>
      <w:r w:rsidR="00EF5414" w:rsidRPr="00EF5414">
        <w:rPr>
          <w:rFonts w:hint="eastAsia"/>
          <w:sz w:val="18"/>
        </w:rPr>
        <w:t>日至</w:t>
      </w:r>
      <w:r w:rsidR="00EF5414" w:rsidRPr="00EF5414">
        <w:rPr>
          <w:rFonts w:hint="eastAsia"/>
          <w:sz w:val="18"/>
        </w:rPr>
        <w:t>4</w:t>
      </w:r>
      <w:r w:rsidR="00EF5414" w:rsidRPr="00EF5414">
        <w:rPr>
          <w:rFonts w:hint="eastAsia"/>
          <w:sz w:val="18"/>
        </w:rPr>
        <w:t>月</w:t>
      </w:r>
      <w:r w:rsidR="00EF5414" w:rsidRPr="00EF5414">
        <w:rPr>
          <w:rFonts w:hint="eastAsia"/>
          <w:sz w:val="18"/>
        </w:rPr>
        <w:t>2</w:t>
      </w:r>
      <w:r w:rsidR="00EF5414" w:rsidRPr="00EF5414">
        <w:rPr>
          <w:rFonts w:hint="eastAsia"/>
          <w:sz w:val="18"/>
        </w:rPr>
        <w:t>日</w:t>
      </w:r>
      <w:r w:rsidR="00EF5414" w:rsidRPr="00EF5414">
        <w:rPr>
          <w:rFonts w:hint="eastAsia"/>
          <w:sz w:val="18"/>
        </w:rPr>
        <w:t>)</w:t>
      </w:r>
      <w:r w:rsidR="00EF5414" w:rsidRPr="00EF5414">
        <w:rPr>
          <w:rFonts w:hint="eastAsia"/>
          <w:sz w:val="18"/>
        </w:rPr>
        <w:t>通过。</w:t>
      </w:r>
    </w:p>
    <w:p w:rsidR="008F5056" w:rsidRDefault="008F5056" w:rsidP="00EF54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overflowPunct w:val="0"/>
        <w:ind w:left="1267" w:right="1260" w:hanging="1267"/>
      </w:pPr>
      <w:r>
        <w:rPr>
          <w:rFonts w:hint="eastAsia"/>
        </w:rPr>
        <w:tab/>
      </w:r>
      <w:r>
        <w:rPr>
          <w:rFonts w:hint="eastAsia"/>
        </w:rPr>
        <w:tab/>
        <w:t>关于柬埔寨第二次</w:t>
      </w:r>
      <w:bookmarkStart w:id="1" w:name="_GoBack"/>
      <w:bookmarkEnd w:id="1"/>
      <w:r>
        <w:rPr>
          <w:rFonts w:hint="eastAsia"/>
        </w:rPr>
        <w:t>定期报告的结论性意见</w:t>
      </w:r>
      <w:r w:rsidRPr="008F5056">
        <w:rPr>
          <w:rFonts w:ascii="Times New Roman"/>
          <w:position w:val="6"/>
          <w:sz w:val="21"/>
          <w:szCs w:val="21"/>
        </w:rPr>
        <w:t>*</w:t>
      </w:r>
    </w:p>
    <w:p w:rsidR="008F5056" w:rsidRPr="00EF5414" w:rsidRDefault="008F5056"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SingleTxt"/>
        <w:overflowPunct w:val="0"/>
      </w:pPr>
      <w:r>
        <w:rPr>
          <w:rFonts w:hint="eastAsia"/>
        </w:rPr>
        <w:t>1.</w:t>
      </w:r>
      <w:r>
        <w:rPr>
          <w:rFonts w:hint="eastAsia"/>
        </w:rPr>
        <w:tab/>
      </w:r>
      <w:r>
        <w:rPr>
          <w:rFonts w:hint="eastAsia"/>
        </w:rPr>
        <w:t>人权事务委员会在</w:t>
      </w:r>
      <w:r>
        <w:rPr>
          <w:rFonts w:hint="eastAsia"/>
        </w:rPr>
        <w:t>2015</w:t>
      </w:r>
      <w:r>
        <w:rPr>
          <w:rFonts w:hint="eastAsia"/>
        </w:rPr>
        <w:t>年</w:t>
      </w:r>
      <w:r>
        <w:rPr>
          <w:rFonts w:hint="eastAsia"/>
        </w:rPr>
        <w:t>3</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3138</w:t>
      </w:r>
      <w:r>
        <w:rPr>
          <w:rFonts w:hint="eastAsia"/>
        </w:rPr>
        <w:t>次和第</w:t>
      </w:r>
      <w:r>
        <w:rPr>
          <w:rFonts w:hint="eastAsia"/>
        </w:rPr>
        <w:t>3139</w:t>
      </w:r>
      <w:r>
        <w:rPr>
          <w:rFonts w:hint="eastAsia"/>
        </w:rPr>
        <w:t>次会议</w:t>
      </w:r>
      <w:r>
        <w:rPr>
          <w:rFonts w:hint="eastAsia"/>
        </w:rPr>
        <w:t>(CCPR/C/SR.3138</w:t>
      </w:r>
      <w:r>
        <w:rPr>
          <w:rFonts w:hint="eastAsia"/>
        </w:rPr>
        <w:t>和</w:t>
      </w:r>
      <w:r>
        <w:rPr>
          <w:rFonts w:hint="eastAsia"/>
        </w:rPr>
        <w:t>3139)</w:t>
      </w:r>
      <w:r>
        <w:rPr>
          <w:rFonts w:hint="eastAsia"/>
        </w:rPr>
        <w:t>上审议了柬埔寨提交的第二次定期报告</w:t>
      </w:r>
      <w:r>
        <w:rPr>
          <w:rFonts w:hint="eastAsia"/>
        </w:rPr>
        <w:t>(CCPR/C/</w:t>
      </w:r>
      <w:r w:rsidR="00EF5414">
        <w:rPr>
          <w:rFonts w:hint="eastAsia"/>
        </w:rPr>
        <w:t xml:space="preserve"> </w:t>
      </w:r>
      <w:r>
        <w:rPr>
          <w:rFonts w:hint="eastAsia"/>
        </w:rPr>
        <w:t>KHM/2)</w:t>
      </w:r>
      <w:r>
        <w:rPr>
          <w:rFonts w:hint="eastAsia"/>
        </w:rPr>
        <w:t>。委员会在</w:t>
      </w:r>
      <w:r>
        <w:rPr>
          <w:rFonts w:hint="eastAsia"/>
        </w:rPr>
        <w:t>2015</w:t>
      </w:r>
      <w:r>
        <w:rPr>
          <w:rFonts w:hint="eastAsia"/>
        </w:rPr>
        <w:t>年</w:t>
      </w:r>
      <w:r>
        <w:rPr>
          <w:rFonts w:hint="eastAsia"/>
        </w:rPr>
        <w:t>3</w:t>
      </w:r>
      <w:r>
        <w:rPr>
          <w:rFonts w:hint="eastAsia"/>
        </w:rPr>
        <w:t>月</w:t>
      </w:r>
      <w:r>
        <w:rPr>
          <w:rFonts w:hint="eastAsia"/>
        </w:rPr>
        <w:t>31</w:t>
      </w:r>
      <w:r>
        <w:rPr>
          <w:rFonts w:hint="eastAsia"/>
        </w:rPr>
        <w:t>日举行的第</w:t>
      </w:r>
      <w:r>
        <w:rPr>
          <w:rFonts w:hint="eastAsia"/>
        </w:rPr>
        <w:t>3157</w:t>
      </w:r>
      <w:r>
        <w:rPr>
          <w:rFonts w:hint="eastAsia"/>
        </w:rPr>
        <w:t>次会议</w:t>
      </w:r>
      <w:r>
        <w:rPr>
          <w:rFonts w:hint="eastAsia"/>
        </w:rPr>
        <w:t>(CCPR/C/SR.3157)</w:t>
      </w:r>
      <w:r>
        <w:rPr>
          <w:rFonts w:hint="eastAsia"/>
        </w:rPr>
        <w:t>上通过了以下结论性意见。</w:t>
      </w:r>
    </w:p>
    <w:p w:rsidR="00EF5414" w:rsidRPr="00EF5414" w:rsidRDefault="00EF5414"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overflowPunct w:val="0"/>
        <w:ind w:left="1267" w:right="1260" w:hanging="1267"/>
      </w:pPr>
      <w:r>
        <w:rPr>
          <w:rFonts w:hint="eastAsia"/>
        </w:rPr>
        <w:tab/>
      </w:r>
      <w:r>
        <w:rPr>
          <w:rFonts w:hint="eastAsia"/>
        </w:rPr>
        <w:tab/>
        <w:t>导言</w:t>
      </w:r>
    </w:p>
    <w:p w:rsidR="00EF5414" w:rsidRPr="00EF5414" w:rsidRDefault="00EF5414"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SingleTxt"/>
        <w:overflowPunct w:val="0"/>
      </w:pPr>
      <w:r>
        <w:rPr>
          <w:rFonts w:hint="eastAsia"/>
        </w:rPr>
        <w:t>2.</w:t>
      </w:r>
      <w:r>
        <w:rPr>
          <w:rFonts w:hint="eastAsia"/>
        </w:rPr>
        <w:tab/>
      </w:r>
      <w:r>
        <w:rPr>
          <w:rFonts w:hint="eastAsia"/>
        </w:rPr>
        <w:t>虽然报告的提交逾期</w:t>
      </w:r>
      <w:r>
        <w:rPr>
          <w:rFonts w:hint="eastAsia"/>
        </w:rPr>
        <w:t>10</w:t>
      </w:r>
      <w:r>
        <w:rPr>
          <w:rFonts w:hint="eastAsia"/>
        </w:rPr>
        <w:t>年，但委员会对柬埔寨提交第二次定期报告及其中所载资料表示欢迎。委员会表示赞赏有机会恢复与缔约国部委间代表团的建设性对话，讨论缔约国在报告所涉期间为执行《公约》规定而采取的措施。委员会赞赏代表团对问题清单所做书面答复</w:t>
      </w:r>
      <w:r>
        <w:rPr>
          <w:rFonts w:hint="eastAsia"/>
        </w:rPr>
        <w:t>(CCPR/C/KHM/Q/2/Add.1)</w:t>
      </w:r>
      <w:r>
        <w:rPr>
          <w:rFonts w:hint="eastAsia"/>
        </w:rPr>
        <w:t>以及补充的口头回复。</w:t>
      </w:r>
    </w:p>
    <w:p w:rsidR="00EF5414" w:rsidRPr="00EF5414" w:rsidRDefault="00EF5414"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积极方面</w:t>
      </w:r>
    </w:p>
    <w:p w:rsidR="00EF5414" w:rsidRPr="00EF5414" w:rsidRDefault="00EF5414" w:rsidP="00EF5414">
      <w:pPr>
        <w:pStyle w:val="SingleTxt"/>
        <w:spacing w:after="0" w:line="120" w:lineRule="exact"/>
        <w:rPr>
          <w:sz w:val="10"/>
        </w:rPr>
      </w:pP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3.</w:t>
      </w:r>
      <w:r>
        <w:rPr>
          <w:rFonts w:hint="eastAsia"/>
        </w:rPr>
        <w:tab/>
      </w:r>
      <w:r>
        <w:rPr>
          <w:rFonts w:hint="eastAsia"/>
        </w:rPr>
        <w:t>委员会欢迎缔约国采取的下列立法和体制步骤：</w:t>
      </w:r>
    </w:p>
    <w:p w:rsidR="008F5056" w:rsidRPr="00EF5414" w:rsidRDefault="00EF5414" w:rsidP="00EF5414">
      <w:pPr>
        <w:pStyle w:val="SingleTxt"/>
      </w:pPr>
      <w:r>
        <w:rPr>
          <w:rFonts w:hint="eastAsia"/>
        </w:rPr>
        <w:tab/>
      </w:r>
      <w:r w:rsidR="008F5056" w:rsidRPr="00EF5414">
        <w:rPr>
          <w:rFonts w:hint="eastAsia"/>
        </w:rPr>
        <w:t>(a)</w:t>
      </w:r>
      <w:r w:rsidR="008F5056" w:rsidRPr="00EF5414">
        <w:rPr>
          <w:rFonts w:hint="eastAsia"/>
        </w:rPr>
        <w:tab/>
        <w:t>2005</w:t>
      </w:r>
      <w:r w:rsidR="008F5056" w:rsidRPr="00EF5414">
        <w:rPr>
          <w:rFonts w:hint="eastAsia"/>
        </w:rPr>
        <w:t>年</w:t>
      </w:r>
      <w:r w:rsidR="008F5056" w:rsidRPr="00EF5414">
        <w:rPr>
          <w:rFonts w:hint="eastAsia"/>
        </w:rPr>
        <w:t>9</w:t>
      </w:r>
      <w:r w:rsidR="008F5056" w:rsidRPr="00EF5414">
        <w:rPr>
          <w:rFonts w:hint="eastAsia"/>
        </w:rPr>
        <w:t>月通过《防止家庭暴力和受害者保护法》；</w:t>
      </w:r>
    </w:p>
    <w:p w:rsidR="008F5056" w:rsidRPr="00EF5414" w:rsidRDefault="00EF5414" w:rsidP="00EF5414">
      <w:pPr>
        <w:pStyle w:val="SingleTxt"/>
      </w:pPr>
      <w:r>
        <w:rPr>
          <w:rFonts w:hint="eastAsia"/>
        </w:rPr>
        <w:tab/>
      </w:r>
      <w:r w:rsidR="008F5056" w:rsidRPr="00EF5414">
        <w:rPr>
          <w:rFonts w:hint="eastAsia"/>
        </w:rPr>
        <w:t>(b)</w:t>
      </w:r>
      <w:r w:rsidR="008F5056" w:rsidRPr="00EF5414">
        <w:rPr>
          <w:rFonts w:hint="eastAsia"/>
        </w:rPr>
        <w:tab/>
        <w:t>2008</w:t>
      </w:r>
      <w:r w:rsidR="008F5056" w:rsidRPr="00EF5414">
        <w:rPr>
          <w:rFonts w:hint="eastAsia"/>
        </w:rPr>
        <w:t>年</w:t>
      </w:r>
      <w:r w:rsidR="008F5056" w:rsidRPr="00EF5414">
        <w:rPr>
          <w:rFonts w:hint="eastAsia"/>
        </w:rPr>
        <w:t>2</w:t>
      </w:r>
      <w:r w:rsidR="008F5056" w:rsidRPr="00EF5414">
        <w:rPr>
          <w:rFonts w:hint="eastAsia"/>
        </w:rPr>
        <w:t>月通过《制止贩运人口和性剥削法》；</w:t>
      </w:r>
    </w:p>
    <w:p w:rsidR="008F5056" w:rsidRPr="00EF5414" w:rsidRDefault="00EF5414" w:rsidP="00EF5414">
      <w:pPr>
        <w:pStyle w:val="SingleTxt"/>
      </w:pPr>
      <w:r>
        <w:rPr>
          <w:rFonts w:hint="eastAsia"/>
        </w:rPr>
        <w:tab/>
      </w:r>
      <w:r w:rsidR="008F5056" w:rsidRPr="00EF5414">
        <w:rPr>
          <w:rFonts w:hint="eastAsia"/>
        </w:rPr>
        <w:t>(c)</w:t>
      </w:r>
      <w:r w:rsidR="008F5056" w:rsidRPr="00EF5414">
        <w:rPr>
          <w:rFonts w:hint="eastAsia"/>
        </w:rPr>
        <w:tab/>
        <w:t>2009</w:t>
      </w:r>
      <w:r w:rsidR="008F5056" w:rsidRPr="00EF5414">
        <w:rPr>
          <w:rFonts w:hint="eastAsia"/>
        </w:rPr>
        <w:t>年</w:t>
      </w:r>
      <w:r w:rsidR="008F5056" w:rsidRPr="00EF5414">
        <w:rPr>
          <w:rFonts w:hint="eastAsia"/>
        </w:rPr>
        <w:t>5</w:t>
      </w:r>
      <w:r w:rsidR="008F5056" w:rsidRPr="00EF5414">
        <w:rPr>
          <w:rFonts w:hint="eastAsia"/>
        </w:rPr>
        <w:t>月通过《保护和增进残疾人权利法》。</w:t>
      </w:r>
    </w:p>
    <w:p w:rsidR="008F5056" w:rsidRDefault="008F5056" w:rsidP="00EF5414">
      <w:pPr>
        <w:pStyle w:val="SingleTxt"/>
        <w:overflowPunct w:val="0"/>
      </w:pPr>
      <w:r>
        <w:rPr>
          <w:rFonts w:hint="eastAsia"/>
        </w:rPr>
        <w:t>4.</w:t>
      </w:r>
      <w:r>
        <w:rPr>
          <w:rFonts w:hint="eastAsia"/>
        </w:rPr>
        <w:tab/>
      </w:r>
      <w:r>
        <w:rPr>
          <w:rFonts w:hint="eastAsia"/>
        </w:rPr>
        <w:t>委员会欢迎缔约国批准或加入以下国际文书：</w:t>
      </w:r>
    </w:p>
    <w:p w:rsidR="008F5056" w:rsidRDefault="00EF5414" w:rsidP="00F27F24">
      <w:pPr>
        <w:pStyle w:val="SingleTxt"/>
        <w:overflowPunct w:val="0"/>
      </w:pPr>
      <w:r>
        <w:rPr>
          <w:rFonts w:hint="eastAsia"/>
        </w:rPr>
        <w:tab/>
      </w:r>
      <w:r w:rsidR="008F5056">
        <w:rPr>
          <w:rFonts w:hint="eastAsia"/>
        </w:rPr>
        <w:t>(a)</w:t>
      </w:r>
      <w:r w:rsidR="008F5056">
        <w:rPr>
          <w:rFonts w:hint="eastAsia"/>
        </w:rPr>
        <w:tab/>
      </w:r>
      <w:r w:rsidR="008F5056">
        <w:rPr>
          <w:rFonts w:hint="eastAsia"/>
        </w:rPr>
        <w:t>《儿童权利公约关于买卖儿童、儿童卖淫和儿童色情制品问题的任择议定书》</w:t>
      </w:r>
      <w:r w:rsidR="00F27F24">
        <w:rPr>
          <w:rFonts w:hint="eastAsia"/>
        </w:rPr>
        <w:t>，</w:t>
      </w:r>
      <w:r w:rsidR="00F27F24">
        <w:rPr>
          <w:rFonts w:hint="eastAsia"/>
        </w:rPr>
        <w:t>2002</w:t>
      </w:r>
      <w:r w:rsidR="00F27F24">
        <w:rPr>
          <w:rFonts w:hint="eastAsia"/>
        </w:rPr>
        <w:t>年</w:t>
      </w:r>
      <w:r w:rsidR="00F27F24">
        <w:rPr>
          <w:rFonts w:hint="eastAsia"/>
        </w:rPr>
        <w:t>5</w:t>
      </w:r>
      <w:r w:rsidR="00F27F24">
        <w:rPr>
          <w:rFonts w:hint="eastAsia"/>
        </w:rPr>
        <w:t>月</w:t>
      </w:r>
      <w:r w:rsidR="00F27F24">
        <w:rPr>
          <w:rFonts w:hint="eastAsia"/>
        </w:rPr>
        <w:t>30</w:t>
      </w:r>
      <w:r w:rsidR="00F27F24">
        <w:rPr>
          <w:rFonts w:hint="eastAsia"/>
        </w:rPr>
        <w:t>日</w:t>
      </w:r>
      <w:r w:rsidR="008F5056">
        <w:rPr>
          <w:rFonts w:hint="eastAsia"/>
        </w:rPr>
        <w:t>和《儿童权利公约关于儿童卷入武装冲突问题的任择议定书》，</w:t>
      </w:r>
      <w:r w:rsidR="008F5056">
        <w:rPr>
          <w:rFonts w:hint="eastAsia"/>
        </w:rPr>
        <w:t>2004</w:t>
      </w:r>
      <w:r w:rsidR="008F5056">
        <w:rPr>
          <w:rFonts w:hint="eastAsia"/>
        </w:rPr>
        <w:t>年</w:t>
      </w:r>
      <w:r w:rsidR="008F5056">
        <w:rPr>
          <w:rFonts w:hint="eastAsia"/>
        </w:rPr>
        <w:t>7</w:t>
      </w:r>
      <w:r w:rsidR="008F5056">
        <w:rPr>
          <w:rFonts w:hint="eastAsia"/>
        </w:rPr>
        <w:t>月</w:t>
      </w:r>
      <w:r w:rsidR="008F5056">
        <w:rPr>
          <w:rFonts w:hint="eastAsia"/>
        </w:rPr>
        <w:t>16</w:t>
      </w:r>
      <w:r w:rsidR="008F5056">
        <w:rPr>
          <w:rFonts w:hint="eastAsia"/>
        </w:rPr>
        <w:t>日；</w:t>
      </w:r>
    </w:p>
    <w:p w:rsidR="00EF5414" w:rsidRDefault="00EF5414">
      <w:pPr>
        <w:spacing w:line="240" w:lineRule="auto"/>
        <w:jc w:val="left"/>
      </w:pPr>
      <w:r>
        <w:br w:type="page"/>
      </w:r>
    </w:p>
    <w:p w:rsidR="008F5056" w:rsidRDefault="00EF5414" w:rsidP="00EF5414">
      <w:pPr>
        <w:pStyle w:val="SingleTxt"/>
      </w:pPr>
      <w:r>
        <w:rPr>
          <w:rFonts w:hint="eastAsia"/>
        </w:rPr>
        <w:lastRenderedPageBreak/>
        <w:tab/>
      </w:r>
      <w:r w:rsidR="008F5056">
        <w:rPr>
          <w:rFonts w:hint="eastAsia"/>
        </w:rPr>
        <w:t>(b)</w:t>
      </w:r>
      <w:r w:rsidR="008F5056">
        <w:rPr>
          <w:rFonts w:hint="eastAsia"/>
        </w:rPr>
        <w:tab/>
      </w:r>
      <w:r w:rsidR="008F5056">
        <w:rPr>
          <w:rFonts w:hint="eastAsia"/>
        </w:rPr>
        <w:t>《禁止酷刑和其他残忍、不人道或有辱人格的待遇或处罚公约任择议定书》，</w:t>
      </w:r>
      <w:r w:rsidR="008F5056">
        <w:rPr>
          <w:rFonts w:hint="eastAsia"/>
        </w:rPr>
        <w:t>2007</w:t>
      </w:r>
      <w:r w:rsidR="008F5056">
        <w:rPr>
          <w:rFonts w:hint="eastAsia"/>
        </w:rPr>
        <w:t>年</w:t>
      </w:r>
      <w:r w:rsidR="008F5056">
        <w:rPr>
          <w:rFonts w:hint="eastAsia"/>
        </w:rPr>
        <w:t>3</w:t>
      </w:r>
      <w:r w:rsidR="008F5056">
        <w:rPr>
          <w:rFonts w:hint="eastAsia"/>
        </w:rPr>
        <w:t>月</w:t>
      </w:r>
      <w:r w:rsidR="008F5056">
        <w:rPr>
          <w:rFonts w:hint="eastAsia"/>
        </w:rPr>
        <w:t>30</w:t>
      </w:r>
      <w:r w:rsidR="008F5056">
        <w:rPr>
          <w:rFonts w:hint="eastAsia"/>
        </w:rPr>
        <w:t>日；</w:t>
      </w:r>
    </w:p>
    <w:p w:rsidR="008F5056" w:rsidRDefault="00EF5414" w:rsidP="00EF5414">
      <w:pPr>
        <w:pStyle w:val="SingleTxt"/>
      </w:pPr>
      <w:r>
        <w:rPr>
          <w:rFonts w:hint="eastAsia"/>
        </w:rPr>
        <w:tab/>
      </w:r>
      <w:r w:rsidR="008F5056">
        <w:rPr>
          <w:rFonts w:hint="eastAsia"/>
        </w:rPr>
        <w:t>(c)</w:t>
      </w:r>
      <w:r w:rsidR="008F5056">
        <w:rPr>
          <w:rFonts w:hint="eastAsia"/>
        </w:rPr>
        <w:tab/>
      </w:r>
      <w:r w:rsidR="008F5056">
        <w:rPr>
          <w:rFonts w:hint="eastAsia"/>
        </w:rPr>
        <w:t>《消除对妇女一切形式歧视公约任择议定书》，</w:t>
      </w:r>
      <w:r w:rsidR="008F5056">
        <w:rPr>
          <w:rFonts w:hint="eastAsia"/>
        </w:rPr>
        <w:t>2010</w:t>
      </w:r>
      <w:r w:rsidR="008F5056">
        <w:rPr>
          <w:rFonts w:hint="eastAsia"/>
        </w:rPr>
        <w:t>年</w:t>
      </w:r>
      <w:r w:rsidR="008F5056">
        <w:rPr>
          <w:rFonts w:hint="eastAsia"/>
        </w:rPr>
        <w:t>10</w:t>
      </w:r>
      <w:r w:rsidR="008F5056">
        <w:rPr>
          <w:rFonts w:hint="eastAsia"/>
        </w:rPr>
        <w:t>月</w:t>
      </w:r>
      <w:r w:rsidR="008F5056">
        <w:rPr>
          <w:rFonts w:hint="eastAsia"/>
        </w:rPr>
        <w:t>13</w:t>
      </w:r>
      <w:r w:rsidR="008F5056">
        <w:rPr>
          <w:rFonts w:hint="eastAsia"/>
        </w:rPr>
        <w:t>日；</w:t>
      </w:r>
    </w:p>
    <w:p w:rsidR="008F5056" w:rsidRDefault="00EF5414" w:rsidP="00EF5414">
      <w:pPr>
        <w:pStyle w:val="SingleTxt"/>
      </w:pPr>
      <w:r>
        <w:rPr>
          <w:rFonts w:hint="eastAsia"/>
        </w:rPr>
        <w:tab/>
      </w:r>
      <w:r w:rsidR="008F5056">
        <w:rPr>
          <w:rFonts w:hint="eastAsia"/>
        </w:rPr>
        <w:t>(d)</w:t>
      </w:r>
      <w:r w:rsidR="008F5056">
        <w:rPr>
          <w:rFonts w:hint="eastAsia"/>
        </w:rPr>
        <w:tab/>
      </w:r>
      <w:r w:rsidR="008F5056">
        <w:rPr>
          <w:rFonts w:hint="eastAsia"/>
        </w:rPr>
        <w:t>《残疾人权利公约》，</w:t>
      </w:r>
      <w:r w:rsidR="008F5056">
        <w:rPr>
          <w:rFonts w:hint="eastAsia"/>
        </w:rPr>
        <w:t>2012</w:t>
      </w:r>
      <w:r w:rsidR="008F5056">
        <w:rPr>
          <w:rFonts w:hint="eastAsia"/>
        </w:rPr>
        <w:t>年</w:t>
      </w:r>
      <w:r w:rsidR="008F5056">
        <w:rPr>
          <w:rFonts w:hint="eastAsia"/>
        </w:rPr>
        <w:t>12</w:t>
      </w:r>
      <w:r w:rsidR="008F5056">
        <w:rPr>
          <w:rFonts w:hint="eastAsia"/>
        </w:rPr>
        <w:t>月</w:t>
      </w:r>
      <w:r w:rsidR="008F5056">
        <w:rPr>
          <w:rFonts w:hint="eastAsia"/>
        </w:rPr>
        <w:t>20</w:t>
      </w:r>
      <w:r w:rsidR="008F5056">
        <w:rPr>
          <w:rFonts w:hint="eastAsia"/>
        </w:rPr>
        <w:t>日；</w:t>
      </w:r>
    </w:p>
    <w:p w:rsidR="008F5056" w:rsidRDefault="00EF5414" w:rsidP="00EF5414">
      <w:pPr>
        <w:pStyle w:val="SingleTxt"/>
      </w:pPr>
      <w:r>
        <w:rPr>
          <w:rFonts w:hint="eastAsia"/>
        </w:rPr>
        <w:tab/>
      </w:r>
      <w:r w:rsidR="008F5056">
        <w:rPr>
          <w:rFonts w:hint="eastAsia"/>
        </w:rPr>
        <w:t>(e)</w:t>
      </w:r>
      <w:r w:rsidR="008F5056">
        <w:rPr>
          <w:rFonts w:hint="eastAsia"/>
        </w:rPr>
        <w:tab/>
      </w:r>
      <w:r w:rsidR="008F5056">
        <w:rPr>
          <w:rFonts w:hint="eastAsia"/>
        </w:rPr>
        <w:t>《保护所有人免遭强迫失踪国际公约》，</w:t>
      </w:r>
      <w:r w:rsidR="008F5056">
        <w:rPr>
          <w:rFonts w:hint="eastAsia"/>
        </w:rPr>
        <w:t>2013</w:t>
      </w:r>
      <w:r w:rsidR="008F5056">
        <w:rPr>
          <w:rFonts w:hint="eastAsia"/>
        </w:rPr>
        <w:t>年</w:t>
      </w:r>
      <w:r w:rsidR="008F5056">
        <w:rPr>
          <w:rFonts w:hint="eastAsia"/>
        </w:rPr>
        <w:t>6</w:t>
      </w:r>
      <w:r w:rsidR="008F5056">
        <w:rPr>
          <w:rFonts w:hint="eastAsia"/>
        </w:rPr>
        <w:t>月</w:t>
      </w:r>
      <w:r w:rsidR="008F5056">
        <w:rPr>
          <w:rFonts w:hint="eastAsia"/>
        </w:rPr>
        <w:t>27</w:t>
      </w:r>
      <w:r w:rsidR="008F5056">
        <w:rPr>
          <w:rFonts w:hint="eastAsia"/>
        </w:rPr>
        <w:t>日。</w:t>
      </w:r>
    </w:p>
    <w:p w:rsidR="00EF5414" w:rsidRPr="00EF5414" w:rsidRDefault="00EF5414" w:rsidP="00EF5414">
      <w:pPr>
        <w:pStyle w:val="SingleTxt"/>
        <w:spacing w:after="0" w:line="120" w:lineRule="exact"/>
        <w:rPr>
          <w:sz w:val="10"/>
        </w:rPr>
      </w:pPr>
    </w:p>
    <w:p w:rsidR="00EF5414" w:rsidRPr="00EF5414" w:rsidRDefault="00EF5414" w:rsidP="00EF5414">
      <w:pPr>
        <w:pStyle w:val="SingleTxt"/>
        <w:spacing w:after="0" w:line="120" w:lineRule="exact"/>
        <w:rPr>
          <w:sz w:val="10"/>
        </w:rPr>
      </w:pPr>
    </w:p>
    <w:p w:rsidR="008F5056" w:rsidRDefault="008F5056" w:rsidP="00EF54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主要关注问题和建议</w:t>
      </w:r>
    </w:p>
    <w:p w:rsidR="00EF5414" w:rsidRPr="00EF5414" w:rsidRDefault="00EF5414" w:rsidP="00EF5414">
      <w:pPr>
        <w:pStyle w:val="SingleTxt"/>
        <w:spacing w:after="0" w:line="120" w:lineRule="exact"/>
        <w:rPr>
          <w:sz w:val="10"/>
        </w:rPr>
      </w:pPr>
    </w:p>
    <w:p w:rsidR="00EF5414" w:rsidRPr="00EF5414" w:rsidRDefault="00EF5414" w:rsidP="00EF5414">
      <w:pPr>
        <w:pStyle w:val="SingleTxt"/>
        <w:spacing w:after="0" w:line="120" w:lineRule="exact"/>
        <w:rPr>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《公约》的国内适用</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5.</w:t>
      </w:r>
      <w:r>
        <w:rPr>
          <w:rFonts w:hint="eastAsia"/>
        </w:rPr>
        <w:tab/>
      </w:r>
      <w:r>
        <w:rPr>
          <w:rFonts w:hint="eastAsia"/>
        </w:rPr>
        <w:t>委员会注意到多项国际人权条约是柬埔寨法律的一部分，可在柬埔寨法院直接适用。委员会关切的是，司法机构、法律从业人员和普通公众对《公约》条款的认识程度明显有限，造成柬埔寨法院援引或适用《公约》规定的案件数量极少</w:t>
      </w:r>
      <w:r>
        <w:rPr>
          <w:rFonts w:hint="eastAsia"/>
        </w:rPr>
        <w:t>(</w:t>
      </w:r>
      <w:r>
        <w:rPr>
          <w:rFonts w:hint="eastAsia"/>
        </w:rPr>
        <w:t>第二条</w:t>
      </w:r>
      <w:r>
        <w:rPr>
          <w:rFonts w:hint="eastAsia"/>
        </w:rPr>
        <w:t>)</w:t>
      </w:r>
      <w:r>
        <w:rPr>
          <w:rFonts w:hint="eastAsia"/>
        </w:rPr>
        <w:t>。</w:t>
      </w:r>
    </w:p>
    <w:p w:rsidR="008F5056" w:rsidRPr="004B0A7E" w:rsidRDefault="008F5056" w:rsidP="00EF5414">
      <w:pPr>
        <w:pStyle w:val="SingleTxt"/>
        <w:overflowPunct w:val="0"/>
        <w:rPr>
          <w:rFonts w:ascii="黑体" w:eastAsia="黑体" w:hAnsi="黑体"/>
        </w:rPr>
      </w:pPr>
      <w:r w:rsidRPr="004B0A7E">
        <w:rPr>
          <w:rFonts w:ascii="黑体" w:eastAsia="黑体" w:hAnsi="黑体" w:hint="eastAsia"/>
        </w:rPr>
        <w:t>缔约国应采取适当措施，提高法官、检察官、律师和普通公众的《公约》意识，确保《公约》规定在国内法院得到考虑。此外，委员会鼓励缔约国加入关于个人来文的《公民权利和政治权利国际公约任择议定书》。</w:t>
      </w:r>
    </w:p>
    <w:p w:rsidR="00EF5414" w:rsidRPr="00EF5414" w:rsidRDefault="00EF5414"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国家人权机构</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6.</w:t>
      </w:r>
      <w:r>
        <w:rPr>
          <w:rFonts w:hint="eastAsia"/>
        </w:rPr>
        <w:tab/>
      </w:r>
      <w:r>
        <w:rPr>
          <w:rFonts w:hint="eastAsia"/>
        </w:rPr>
        <w:t>委员会欢迎关于成立国家人权机构的法律草案仍然处于审查之中，但遗憾的是，这一机构的成立被长期拖延</w:t>
      </w:r>
      <w:r>
        <w:rPr>
          <w:rFonts w:hint="eastAsia"/>
        </w:rPr>
        <w:t>(</w:t>
      </w:r>
      <w:r>
        <w:rPr>
          <w:rFonts w:hint="eastAsia"/>
        </w:rPr>
        <w:t>第二条</w:t>
      </w:r>
      <w:r>
        <w:rPr>
          <w:rFonts w:hint="eastAsia"/>
        </w:rPr>
        <w:t>)</w:t>
      </w:r>
      <w:r>
        <w:rPr>
          <w:rFonts w:hint="eastAsia"/>
        </w:rPr>
        <w:t>。</w:t>
      </w:r>
    </w:p>
    <w:p w:rsidR="008F5056" w:rsidRPr="00EF5414" w:rsidRDefault="008F5056" w:rsidP="00EF5414">
      <w:pPr>
        <w:pStyle w:val="SingleTxt"/>
        <w:overflowPunct w:val="0"/>
        <w:rPr>
          <w:rFonts w:ascii="黑体" w:eastAsia="黑体" w:hAnsi="黑体"/>
        </w:rPr>
      </w:pPr>
      <w:r w:rsidRPr="00EF5414">
        <w:rPr>
          <w:rFonts w:ascii="黑体" w:eastAsia="黑体" w:hAnsi="黑体" w:hint="eastAsia"/>
        </w:rPr>
        <w:t>委员会鼓励缔约国按照《增进和保护人权国家机构地位原则》(巴黎原则，大会第48/134号决议附件)成立一个独立国家人权机构。</w:t>
      </w:r>
    </w:p>
    <w:p w:rsidR="00EF5414" w:rsidRPr="00EF5414" w:rsidRDefault="00EF5414" w:rsidP="00EF5414">
      <w:pPr>
        <w:pStyle w:val="SingleTxt"/>
        <w:overflowPunct w:val="0"/>
        <w:spacing w:after="0" w:line="120" w:lineRule="exact"/>
        <w:rPr>
          <w:sz w:val="10"/>
        </w:rPr>
      </w:pPr>
    </w:p>
    <w:p w:rsidR="00EF5414" w:rsidRPr="00EF5414" w:rsidRDefault="00EF5414" w:rsidP="00EF5414">
      <w:pPr>
        <w:pStyle w:val="SingleTxt"/>
        <w:overflowPunct w:val="0"/>
        <w:spacing w:after="0" w:line="120" w:lineRule="exact"/>
        <w:rPr>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性别平等</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7.</w:t>
      </w:r>
      <w:r>
        <w:rPr>
          <w:rFonts w:hint="eastAsia"/>
        </w:rPr>
        <w:tab/>
      </w:r>
      <w:r>
        <w:rPr>
          <w:rFonts w:hint="eastAsia"/>
        </w:rPr>
        <w:t>委员会欢迎缔约国采取措施，加强妇女对公共生活的参与，但感到关切的是政治部门和公共部门中妇女所占比例较低，在决策岗位所占比例尤低。有关妇女的家庭和社会角色的成见长期存在，男女之间存在巨大的工资差距，妇女集中在包括制衣业在内的低收入和缺乏技能的劳动部门</w:t>
      </w:r>
      <w:r>
        <w:rPr>
          <w:rFonts w:hint="eastAsia"/>
        </w:rPr>
        <w:t>(</w:t>
      </w:r>
      <w:r>
        <w:rPr>
          <w:rFonts w:hint="eastAsia"/>
        </w:rPr>
        <w:t>第二条、第三条和第二十六条</w:t>
      </w:r>
      <w:r>
        <w:rPr>
          <w:rFonts w:hint="eastAsia"/>
        </w:rPr>
        <w:t>)</w:t>
      </w:r>
      <w:r>
        <w:rPr>
          <w:rFonts w:hint="eastAsia"/>
        </w:rPr>
        <w:t>。</w:t>
      </w:r>
    </w:p>
    <w:p w:rsidR="008F5056" w:rsidRDefault="008F5056" w:rsidP="00EF5414">
      <w:pPr>
        <w:pStyle w:val="SingleTxt"/>
        <w:overflowPunct w:val="0"/>
        <w:rPr>
          <w:rFonts w:ascii="黑体" w:eastAsia="黑体" w:hAnsi="黑体"/>
        </w:rPr>
      </w:pPr>
      <w:r w:rsidRPr="00EF5414">
        <w:rPr>
          <w:rFonts w:ascii="黑体" w:eastAsia="黑体" w:hAnsi="黑体" w:hint="eastAsia"/>
        </w:rPr>
        <w:t>缔约国应加强措施，确保男女在所有方面平等，包括更加有效地执行相关立法和政策。在此方面，缔约国应继续执行特别临时措施，提高妇女对政治和公共生活的参与。缔约国还应加紧努力消除性别成见，从而改变对妇女社会角色的观念。此外，缔约国应采取切实措施缩小男女之间的工资差距，并解决产生差距的所有原因。</w:t>
      </w:r>
    </w:p>
    <w:p w:rsidR="00EF5414" w:rsidRPr="00EF5414" w:rsidRDefault="00EF5414" w:rsidP="00EF5414">
      <w:pPr>
        <w:pStyle w:val="SingleTxt"/>
        <w:overflowPunct w:val="0"/>
        <w:spacing w:after="0" w:line="120" w:lineRule="exact"/>
        <w:rPr>
          <w:rFonts w:ascii="黑体" w:eastAsia="黑体" w:hAnsi="黑体"/>
          <w:sz w:val="10"/>
        </w:rPr>
      </w:pPr>
    </w:p>
    <w:p w:rsidR="00EF5414" w:rsidRPr="00EF5414" w:rsidRDefault="00EF5414" w:rsidP="00EF5414">
      <w:pPr>
        <w:pStyle w:val="SingleTxt"/>
        <w:overflowPunct w:val="0"/>
        <w:spacing w:after="0" w:line="120" w:lineRule="exact"/>
        <w:rPr>
          <w:rFonts w:ascii="黑体" w:eastAsia="黑体" w:hAnsi="黑体"/>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种族歧视</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8.</w:t>
      </w:r>
      <w:r>
        <w:rPr>
          <w:rFonts w:hint="eastAsia"/>
        </w:rPr>
        <w:tab/>
      </w:r>
      <w:r>
        <w:rPr>
          <w:rFonts w:hint="eastAsia"/>
        </w:rPr>
        <w:t>委员会注意到缔约国申明柬埔寨不歧视任何人，但仍然关切的是，有报告称越南族裔受到歧视和暴力行为的侵害</w:t>
      </w:r>
      <w:r>
        <w:rPr>
          <w:rFonts w:hint="eastAsia"/>
        </w:rPr>
        <w:t>(</w:t>
      </w:r>
      <w:r>
        <w:rPr>
          <w:rFonts w:hint="eastAsia"/>
        </w:rPr>
        <w:t>第二条、第二十六条和第二十七条</w:t>
      </w:r>
      <w:r>
        <w:rPr>
          <w:rFonts w:hint="eastAsia"/>
        </w:rPr>
        <w:t>)</w:t>
      </w:r>
      <w:r>
        <w:rPr>
          <w:rFonts w:hint="eastAsia"/>
        </w:rPr>
        <w:t>。</w:t>
      </w:r>
    </w:p>
    <w:p w:rsidR="008F5056" w:rsidRDefault="008F5056" w:rsidP="00EF5414">
      <w:pPr>
        <w:pStyle w:val="SingleTxt"/>
        <w:overflowPunct w:val="0"/>
        <w:rPr>
          <w:rFonts w:ascii="黑体" w:eastAsia="黑体" w:hAnsi="黑体"/>
        </w:rPr>
      </w:pPr>
      <w:r w:rsidRPr="00EF5414">
        <w:rPr>
          <w:rFonts w:ascii="黑体" w:eastAsia="黑体" w:hAnsi="黑体" w:hint="eastAsia"/>
        </w:rPr>
        <w:t>缔约国应加强努力，打击对越南族裔的种族袭击事件。缔约国还应考虑制定一份打击种族歧视的国家行动计划。</w:t>
      </w:r>
    </w:p>
    <w:p w:rsidR="00EF5414" w:rsidRPr="00EF5414" w:rsidRDefault="00EF5414" w:rsidP="00EF5414">
      <w:pPr>
        <w:pStyle w:val="SingleTxt"/>
        <w:overflowPunct w:val="0"/>
        <w:spacing w:after="0" w:line="120" w:lineRule="exact"/>
        <w:rPr>
          <w:rFonts w:ascii="黑体" w:eastAsia="黑体" w:hAnsi="黑体"/>
          <w:sz w:val="10"/>
        </w:rPr>
      </w:pPr>
    </w:p>
    <w:p w:rsidR="00EF5414" w:rsidRPr="00EF5414" w:rsidRDefault="00EF5414" w:rsidP="00EF5414">
      <w:pPr>
        <w:pStyle w:val="SingleTxt"/>
        <w:overflowPunct w:val="0"/>
        <w:spacing w:after="0" w:line="120" w:lineRule="exact"/>
        <w:rPr>
          <w:rFonts w:ascii="黑体" w:eastAsia="黑体" w:hAnsi="黑体"/>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基于性取向或性别认同的歧视</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9.</w:t>
      </w:r>
      <w:r>
        <w:rPr>
          <w:rFonts w:hint="eastAsia"/>
        </w:rPr>
        <w:tab/>
      </w:r>
      <w:r>
        <w:rPr>
          <w:rFonts w:hint="eastAsia"/>
        </w:rPr>
        <w:t>委员会还关切的是，有报告称女同性恋者、男同性恋者、双性恋者和变性人受到歧视，尤其是在教育和保健情况下。委员会还关切地注意到缺乏明确禁止以性取向或性别认同为由的歧视的立法</w:t>
      </w:r>
      <w:r>
        <w:rPr>
          <w:rFonts w:hint="eastAsia"/>
        </w:rPr>
        <w:t>(</w:t>
      </w:r>
      <w:r>
        <w:rPr>
          <w:rFonts w:hint="eastAsia"/>
        </w:rPr>
        <w:t>第二条和第二十六条</w:t>
      </w:r>
      <w:r>
        <w:rPr>
          <w:rFonts w:hint="eastAsia"/>
        </w:rPr>
        <w:t>)</w:t>
      </w:r>
      <w:r>
        <w:rPr>
          <w:rFonts w:hint="eastAsia"/>
        </w:rPr>
        <w:t>。</w:t>
      </w:r>
    </w:p>
    <w:p w:rsidR="008F5056" w:rsidRDefault="008F5056" w:rsidP="00EF5414">
      <w:pPr>
        <w:pStyle w:val="SingleTxt"/>
        <w:overflowPunct w:val="0"/>
        <w:rPr>
          <w:rFonts w:ascii="黑体" w:eastAsia="黑体" w:hAnsi="黑体"/>
        </w:rPr>
      </w:pPr>
      <w:r w:rsidRPr="00EF5414">
        <w:rPr>
          <w:rFonts w:ascii="黑体" w:eastAsia="黑体" w:hAnsi="黑体" w:hint="eastAsia"/>
        </w:rPr>
        <w:t>缔约国应审查其立法，确保以性取向或性别认同为由的歧视受到禁止。缔约国还应开展公众宣传活动，以打击对女同性恋者、男同性恋者、双性恋者和变性人的社会歧视。</w:t>
      </w:r>
    </w:p>
    <w:p w:rsidR="00EF5414" w:rsidRPr="00EF5414" w:rsidRDefault="00EF5414" w:rsidP="00EF5414">
      <w:pPr>
        <w:pStyle w:val="SingleTxt"/>
        <w:overflowPunct w:val="0"/>
        <w:spacing w:after="0" w:line="120" w:lineRule="exact"/>
        <w:rPr>
          <w:rFonts w:ascii="黑体" w:eastAsia="黑体" w:hAnsi="黑体"/>
          <w:sz w:val="10"/>
        </w:rPr>
      </w:pPr>
    </w:p>
    <w:p w:rsidR="00EF5414" w:rsidRPr="00EF5414" w:rsidRDefault="00EF5414" w:rsidP="00EF5414">
      <w:pPr>
        <w:pStyle w:val="SingleTxt"/>
        <w:overflowPunct w:val="0"/>
        <w:spacing w:after="0" w:line="120" w:lineRule="exact"/>
        <w:rPr>
          <w:rFonts w:ascii="黑体" w:eastAsia="黑体" w:hAnsi="黑体"/>
          <w:sz w:val="10"/>
        </w:rPr>
      </w:pPr>
    </w:p>
    <w:p w:rsidR="008F5056" w:rsidRDefault="008F5056" w:rsidP="00EF54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性别暴力</w:t>
      </w:r>
    </w:p>
    <w:p w:rsidR="00EF5414" w:rsidRPr="00EF5414" w:rsidRDefault="00EF5414" w:rsidP="00EF5414">
      <w:pPr>
        <w:pStyle w:val="SingleTxt"/>
        <w:spacing w:after="0" w:line="120" w:lineRule="exact"/>
        <w:rPr>
          <w:sz w:val="10"/>
        </w:rPr>
      </w:pPr>
    </w:p>
    <w:p w:rsidR="008F5056" w:rsidRDefault="008F5056" w:rsidP="00EF5414">
      <w:pPr>
        <w:pStyle w:val="SingleTxt"/>
        <w:overflowPunct w:val="0"/>
      </w:pPr>
      <w:r>
        <w:rPr>
          <w:rFonts w:hint="eastAsia"/>
        </w:rPr>
        <w:t>10</w:t>
      </w:r>
      <w:r w:rsidR="007C57A5">
        <w:rPr>
          <w:rFonts w:hint="eastAsia"/>
        </w:rPr>
        <w:t xml:space="preserve">.  </w:t>
      </w:r>
      <w:r>
        <w:rPr>
          <w:rFonts w:hint="eastAsia"/>
        </w:rPr>
        <w:t>委员会虽然注意到缔约国在立法和政策层面打击暴力侵害妇女的多项努力，但关切的是性别暴力事件受到起诉和定罪的数量较低。委员会遗憾的是，缔约国没有提供资料说明红色高棉政权期间性暴力犯罪的受害者获得补偿的情况，也没有资料说明《预防暴力侵害妇女行为国家行动计划</w:t>
      </w:r>
      <w:r>
        <w:rPr>
          <w:rFonts w:hint="eastAsia"/>
        </w:rPr>
        <w:t>(2009</w:t>
      </w:r>
      <w:r>
        <w:rPr>
          <w:rFonts w:hint="eastAsia"/>
        </w:rPr>
        <w:t>年至</w:t>
      </w:r>
      <w:r>
        <w:rPr>
          <w:rFonts w:hint="eastAsia"/>
        </w:rPr>
        <w:t>2012</w:t>
      </w:r>
      <w:r>
        <w:rPr>
          <w:rFonts w:hint="eastAsia"/>
        </w:rPr>
        <w:t>年</w:t>
      </w:r>
      <w:r>
        <w:rPr>
          <w:rFonts w:hint="eastAsia"/>
        </w:rPr>
        <w:t>)</w:t>
      </w:r>
      <w:r>
        <w:rPr>
          <w:rFonts w:hint="eastAsia"/>
        </w:rPr>
        <w:t>》结果的评估情况</w:t>
      </w:r>
      <w:r>
        <w:rPr>
          <w:rFonts w:hint="eastAsia"/>
        </w:rPr>
        <w:t>(</w:t>
      </w:r>
      <w:r>
        <w:rPr>
          <w:rFonts w:hint="eastAsia"/>
        </w:rPr>
        <w:t>第三条和第七条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缔约国应确保家庭暴力和性暴力案件得到彻底调查，责任人受到起诉，受害者得到适足补偿。缔约国还应就性别暴力案件的起诉向执法官员和司法官员提供强制培训，并为受害者诉诸司法提供便利。</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严重侵犯人权行为的有罪不罚现象</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11</w:t>
      </w:r>
      <w:r w:rsidR="007C57A5">
        <w:rPr>
          <w:rFonts w:hint="eastAsia"/>
        </w:rPr>
        <w:t xml:space="preserve">.  </w:t>
      </w:r>
      <w:r>
        <w:rPr>
          <w:rFonts w:hint="eastAsia"/>
        </w:rPr>
        <w:t>委员会关切的是，有报告称，</w:t>
      </w:r>
      <w:r>
        <w:rPr>
          <w:rFonts w:hint="eastAsia"/>
        </w:rPr>
        <w:t>1991</w:t>
      </w:r>
      <w:r>
        <w:rPr>
          <w:rFonts w:hint="eastAsia"/>
        </w:rPr>
        <w:t>年《巴黎和平协定》以来柬埔寨境内发生了据称主要由军队、警察和宪兵队实施的多起法外处决，没有人因此被追究责任</w:t>
      </w:r>
      <w:r>
        <w:rPr>
          <w:rFonts w:hint="eastAsia"/>
        </w:rPr>
        <w:t>(</w:t>
      </w:r>
      <w:r>
        <w:rPr>
          <w:rFonts w:hint="eastAsia"/>
        </w:rPr>
        <w:t>第六条</w:t>
      </w:r>
      <w:r>
        <w:rPr>
          <w:rFonts w:hint="eastAsia"/>
        </w:rPr>
        <w:t>)</w:t>
      </w:r>
      <w:r w:rsidRPr="004B0A7E">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委员会</w:t>
      </w:r>
      <w:r w:rsidRPr="004B0A7E">
        <w:rPr>
          <w:rFonts w:eastAsia="黑体"/>
        </w:rPr>
        <w:t>回顾，缔约国有义务调查以前发生的所有侵犯人权案件</w:t>
      </w:r>
      <w:r w:rsidRPr="004B0A7E">
        <w:rPr>
          <w:rFonts w:eastAsia="黑体"/>
        </w:rPr>
        <w:t>(</w:t>
      </w:r>
      <w:r w:rsidRPr="004B0A7E">
        <w:rPr>
          <w:rFonts w:eastAsia="黑体"/>
        </w:rPr>
        <w:t>参见</w:t>
      </w:r>
      <w:r w:rsidRPr="004B0A7E">
        <w:rPr>
          <w:rFonts w:eastAsia="黑体"/>
        </w:rPr>
        <w:t>CCPR/C/79/</w:t>
      </w:r>
      <w:r w:rsidR="007C57A5" w:rsidRPr="004B0A7E">
        <w:rPr>
          <w:rFonts w:eastAsia="黑体"/>
        </w:rPr>
        <w:t xml:space="preserve"> </w:t>
      </w:r>
      <w:r w:rsidRPr="004B0A7E">
        <w:rPr>
          <w:rFonts w:eastAsia="黑体"/>
        </w:rPr>
        <w:t>Add.108,</w:t>
      </w:r>
      <w:r w:rsidR="007C57A5" w:rsidRPr="004B0A7E">
        <w:rPr>
          <w:rFonts w:eastAsia="黑体"/>
        </w:rPr>
        <w:t xml:space="preserve"> </w:t>
      </w:r>
      <w:r w:rsidRPr="004B0A7E">
        <w:rPr>
          <w:rFonts w:eastAsia="黑体"/>
        </w:rPr>
        <w:t>第</w:t>
      </w:r>
      <w:r w:rsidRPr="004B0A7E">
        <w:rPr>
          <w:rFonts w:eastAsia="黑体"/>
        </w:rPr>
        <w:t>11</w:t>
      </w:r>
      <w:r w:rsidRPr="007C57A5">
        <w:rPr>
          <w:rFonts w:ascii="黑体" w:eastAsia="黑体" w:hAnsi="黑体" w:hint="eastAsia"/>
        </w:rPr>
        <w:t>段)，尤其是违反《公约》第六条的行为，起诉并适时惩治责任人，向受害者家庭提供赔偿。</w:t>
      </w: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过度使用武力</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12</w:t>
      </w:r>
      <w:r w:rsidR="007C57A5">
        <w:rPr>
          <w:rFonts w:hint="eastAsia"/>
        </w:rPr>
        <w:t xml:space="preserve">.  </w:t>
      </w:r>
      <w:r>
        <w:rPr>
          <w:rFonts w:hint="eastAsia"/>
        </w:rPr>
        <w:t>委员会关切的是，有报告称，安全部队在金边镇压多起示威活动后，尤其是在</w:t>
      </w:r>
      <w:r>
        <w:rPr>
          <w:rFonts w:hint="eastAsia"/>
        </w:rPr>
        <w:t>2013</w:t>
      </w:r>
      <w:r>
        <w:rPr>
          <w:rFonts w:hint="eastAsia"/>
        </w:rPr>
        <w:t>年</w:t>
      </w:r>
      <w:r>
        <w:rPr>
          <w:rFonts w:hint="eastAsia"/>
        </w:rPr>
        <w:t>9</w:t>
      </w:r>
      <w:r>
        <w:rPr>
          <w:rFonts w:hint="eastAsia"/>
        </w:rPr>
        <w:t>月</w:t>
      </w:r>
      <w:r>
        <w:rPr>
          <w:rFonts w:hint="eastAsia"/>
        </w:rPr>
        <w:t>15</w:t>
      </w:r>
      <w:r>
        <w:rPr>
          <w:rFonts w:hint="eastAsia"/>
        </w:rPr>
        <w:t>日示威、制衣工人</w:t>
      </w:r>
      <w:r>
        <w:rPr>
          <w:rFonts w:hint="eastAsia"/>
        </w:rPr>
        <w:t>2013</w:t>
      </w:r>
      <w:r>
        <w:rPr>
          <w:rFonts w:hint="eastAsia"/>
        </w:rPr>
        <w:t>年</w:t>
      </w:r>
      <w:r>
        <w:rPr>
          <w:rFonts w:hint="eastAsia"/>
        </w:rPr>
        <w:t>11</w:t>
      </w:r>
      <w:r>
        <w:rPr>
          <w:rFonts w:hint="eastAsia"/>
        </w:rPr>
        <w:t>月</w:t>
      </w:r>
      <w:r>
        <w:rPr>
          <w:rFonts w:hint="eastAsia"/>
        </w:rPr>
        <w:t>12</w:t>
      </w:r>
      <w:r>
        <w:rPr>
          <w:rFonts w:hint="eastAsia"/>
        </w:rPr>
        <w:t>日抗议和</w:t>
      </w:r>
      <w:r>
        <w:rPr>
          <w:rFonts w:hint="eastAsia"/>
        </w:rPr>
        <w:t>2014</w:t>
      </w:r>
      <w:r>
        <w:rPr>
          <w:rFonts w:hint="eastAsia"/>
        </w:rPr>
        <w:t>年</w:t>
      </w:r>
      <w:r>
        <w:rPr>
          <w:rFonts w:hint="eastAsia"/>
        </w:rPr>
        <w:t>1</w:t>
      </w:r>
      <w:r>
        <w:rPr>
          <w:rFonts w:hint="eastAsia"/>
        </w:rPr>
        <w:t>月</w:t>
      </w:r>
      <w:r>
        <w:rPr>
          <w:rFonts w:hint="eastAsia"/>
        </w:rPr>
        <w:t>2</w:t>
      </w:r>
      <w:r>
        <w:rPr>
          <w:rFonts w:hint="eastAsia"/>
        </w:rPr>
        <w:t>日和</w:t>
      </w:r>
      <w:r>
        <w:rPr>
          <w:rFonts w:hint="eastAsia"/>
        </w:rPr>
        <w:t>3</w:t>
      </w:r>
      <w:r>
        <w:rPr>
          <w:rFonts w:hint="eastAsia"/>
        </w:rPr>
        <w:t>日举行的集会受到镇压后，有数人死亡、多人受伤以及一人强迫失踪。委员会进一步关切的是，缺乏任何具体详细的资料说明对这些案件的调查情况。最后，委员会仍然对市政警卫的法律地位及其在维护示威活动秩序方面的作用表示关切</w:t>
      </w:r>
      <w:r>
        <w:rPr>
          <w:rFonts w:hint="eastAsia"/>
        </w:rPr>
        <w:t>(</w:t>
      </w:r>
      <w:r>
        <w:rPr>
          <w:rFonts w:hint="eastAsia"/>
        </w:rPr>
        <w:t>第六条、第七条和第二十一条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调查关于警察和军人过度使用武力，尤其是使用致命武力的所有指控，并确保责任人受到起诉，受害者获得适足赔偿。此外，缔约国应加大努力，结合《执法人员使用武力和火器的基本原则》向包括市政警卫在内的所有安全部队提供使用武力，尤其是在示威背景下使用武力方面的培训。</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禁止酷刑和虐待</w:t>
      </w:r>
    </w:p>
    <w:p w:rsidR="007C57A5" w:rsidRPr="007C57A5" w:rsidRDefault="007C57A5" w:rsidP="007C57A5">
      <w:pPr>
        <w:pStyle w:val="SingleTxt"/>
        <w:spacing w:after="0" w:line="120" w:lineRule="exact"/>
        <w:rPr>
          <w:sz w:val="10"/>
        </w:rPr>
      </w:pPr>
    </w:p>
    <w:p w:rsidR="008F5056" w:rsidRDefault="008F5056" w:rsidP="007C57A5">
      <w:pPr>
        <w:pStyle w:val="SingleTxt"/>
        <w:overflowPunct w:val="0"/>
        <w:adjustRightInd w:val="0"/>
        <w:snapToGrid w:val="0"/>
      </w:pPr>
      <w:r>
        <w:rPr>
          <w:rFonts w:hint="eastAsia"/>
        </w:rPr>
        <w:t>13</w:t>
      </w:r>
      <w:r w:rsidR="007C57A5">
        <w:rPr>
          <w:rFonts w:hint="eastAsia"/>
        </w:rPr>
        <w:t xml:space="preserve">.  </w:t>
      </w:r>
      <w:r>
        <w:rPr>
          <w:rFonts w:hint="eastAsia"/>
        </w:rPr>
        <w:t>委员会关切的是，有报告称执法人员对被拘留者实施酷刑和虐待，尤其是在警方羁押的情况下并且以获得口供为目的。在此方面，委员会遗憾的是缺乏综合、分类数据，说明发生酷刑和虐待时的投诉、调查、起诉和定罪情况。委员会关切的是，如果没有证据，在胁迫或酷刑下获得的口供就无法被排除；庭审对证据作出判定前，法官会采用这些口供。委员会还关切的是，既没有处理此类申诉的独立申诉机构，也没有防止酷刑的有效制度</w:t>
      </w:r>
      <w:r>
        <w:rPr>
          <w:rFonts w:hint="eastAsia"/>
        </w:rPr>
        <w:t>(</w:t>
      </w:r>
      <w:r>
        <w:rPr>
          <w:rFonts w:hint="eastAsia"/>
        </w:rPr>
        <w:t>第七条、第十条和第十四条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设立一个独立的申诉机制，有权调查关于酷刑和虐待行为的所有报告指控和申诉。缔约国还应确保这些罪行的被控责任人受到起诉，受害者得到适足赔偿。缔约国应采取必要步骤，以确保法院根据国内立法和《公约》第十四条一律不得采纳在酷刑和虐待下取得的口供。此外，缔约国应根据《禁止酷刑和其他残忍、不人道或有辱人格的待遇或处罚公约任择议定书》的规定，迅速成立或指定一个负责预防酷刑的国家机制。</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拘留条件</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14</w:t>
      </w:r>
      <w:r w:rsidR="007C57A5">
        <w:rPr>
          <w:rFonts w:hint="eastAsia"/>
        </w:rPr>
        <w:t xml:space="preserve">.  </w:t>
      </w:r>
      <w:r>
        <w:rPr>
          <w:rFonts w:hint="eastAsia"/>
        </w:rPr>
        <w:t>委员会欢迎缔约国为改善监狱中的拘留条件采取的步骤，但关切地注意到监狱系统中仍然存在下列问题：过度拥挤，缺乏保健服务，包括缺乏关押有精神健康问题的囚犯的监狱设施，以及囚犯每天户外锻炼的机会较少。委员会还关切的是，据称管教机构中存在腐败做法。委员会表示关切的是，囚犯受到长期审前羁押，而刑满后因为终审判决未被送达监狱当局而受到任意监禁</w:t>
      </w:r>
      <w:r>
        <w:rPr>
          <w:rFonts w:hint="eastAsia"/>
        </w:rPr>
        <w:t>(</w:t>
      </w:r>
      <w:r>
        <w:rPr>
          <w:rFonts w:hint="eastAsia"/>
        </w:rPr>
        <w:t>第九条和第十条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采取有效措施，根据《公约》第十条减轻拘留中心过度拥挤的情况，并确保拘留条件尊重囚犯的尊严。缔约国还应确保国家官员因管教机构中的腐败活动而受到迅速调查并因而受到起诉。此外，缔约国应确保候审被告只在严格必要时才受到拘留，并执行监禁的替代办法。应采取紧急措施确保法院的终审判决被送达监狱当局和相关人员。</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触犯法律的儿童</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15</w:t>
      </w:r>
      <w:r w:rsidR="007C57A5">
        <w:rPr>
          <w:rFonts w:hint="eastAsia"/>
        </w:rPr>
        <w:t xml:space="preserve">.  </w:t>
      </w:r>
      <w:r>
        <w:rPr>
          <w:rFonts w:hint="eastAsia"/>
        </w:rPr>
        <w:t>委员会注意到代表团就青少年司法法律草案的状况提交的资料，但关切的是青少年司法系统并不存在，儿童常常受到与成年人相同程序的管辖。委员会还关切的是，未能确保未成年人与成年人分别拘留</w:t>
      </w:r>
      <w:r>
        <w:rPr>
          <w:rFonts w:hint="eastAsia"/>
        </w:rPr>
        <w:t>(</w:t>
      </w:r>
      <w:r>
        <w:rPr>
          <w:rFonts w:hint="eastAsia"/>
        </w:rPr>
        <w:t>第十条、第十四条和第二十四条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缔约国应采取措施建立一个综合性的青少年司法系统，从而确保青少年受到与其年龄相称的方式对待。缔约国还应确保根据国际标准将拘留场所中的青少年与成年人严格分离。</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任意逮捕和拘留</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16</w:t>
      </w:r>
      <w:r w:rsidR="007C57A5">
        <w:rPr>
          <w:rFonts w:hint="eastAsia"/>
        </w:rPr>
        <w:t xml:space="preserve">.  </w:t>
      </w:r>
      <w:r>
        <w:rPr>
          <w:rFonts w:hint="eastAsia"/>
        </w:rPr>
        <w:t>委员会关切的是，有报告称，无家可归者、乞丐、吸毒者、街头儿童和性工作者受到任意逮捕并被居留在“社会事务”、青少年康复和戒毒中心里。委员会对有关这些机构中的工作人员实施酷刑、虐待和其他滥权行为的指控尤其关切</w:t>
      </w:r>
      <w:r>
        <w:rPr>
          <w:rFonts w:hint="eastAsia"/>
        </w:rPr>
        <w:t>(</w:t>
      </w:r>
      <w:r>
        <w:rPr>
          <w:rFonts w:hint="eastAsia"/>
        </w:rPr>
        <w:t>第七条、第九条和第十条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缔约国应采取所有必要措施制止对无家可归者、乞丐、吸毒者、街头儿童和性工作者的任意逮捕和拘留。所有酷刑和虐待事件均应受到调查，如经证实，责任人应受到起诉和惩处。</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接触律师的机会</w:t>
      </w:r>
    </w:p>
    <w:p w:rsidR="007C57A5" w:rsidRPr="007C57A5" w:rsidRDefault="007C57A5" w:rsidP="007C57A5">
      <w:pPr>
        <w:pStyle w:val="SingleTxt"/>
        <w:overflowPunct w:val="0"/>
        <w:spacing w:after="0" w:line="120" w:lineRule="exact"/>
        <w:rPr>
          <w:sz w:val="10"/>
        </w:rPr>
      </w:pPr>
    </w:p>
    <w:p w:rsidR="008F5056" w:rsidRDefault="008F5056" w:rsidP="00EF5414">
      <w:pPr>
        <w:pStyle w:val="SingleTxt"/>
        <w:overflowPunct w:val="0"/>
      </w:pPr>
      <w:r>
        <w:rPr>
          <w:rFonts w:hint="eastAsia"/>
        </w:rPr>
        <w:t>17</w:t>
      </w:r>
      <w:r w:rsidR="007C57A5">
        <w:rPr>
          <w:rFonts w:hint="eastAsia"/>
        </w:rPr>
        <w:t xml:space="preserve">.  </w:t>
      </w:r>
      <w:r>
        <w:rPr>
          <w:rFonts w:hint="eastAsia"/>
        </w:rPr>
        <w:t>委员会关切的是，根据《刑事诉讼法》被捕人员只有在被警方拘押</w:t>
      </w:r>
      <w:r>
        <w:rPr>
          <w:rFonts w:hint="eastAsia"/>
        </w:rPr>
        <w:t>24</w:t>
      </w:r>
      <w:r>
        <w:rPr>
          <w:rFonts w:hint="eastAsia"/>
        </w:rPr>
        <w:t>小时后才能接触律师。委员会还表示关切的是，</w:t>
      </w:r>
      <w:r>
        <w:rPr>
          <w:rFonts w:hint="eastAsia"/>
        </w:rPr>
        <w:t>(</w:t>
      </w:r>
      <w:r>
        <w:rPr>
          <w:rFonts w:hint="eastAsia"/>
        </w:rPr>
        <w:t>尤其在偏远省份</w:t>
      </w:r>
      <w:r>
        <w:rPr>
          <w:rFonts w:hint="eastAsia"/>
        </w:rPr>
        <w:t>)</w:t>
      </w:r>
      <w:r>
        <w:rPr>
          <w:rFonts w:hint="eastAsia"/>
        </w:rPr>
        <w:t>律师不足，被控刑事犯罪的人获得法律援助的机会受到限制。委员会指出，在这些方面缺乏接触律师的机会可能极大地造成被羁押者受到酷刑和虐待</w:t>
      </w:r>
      <w:r>
        <w:rPr>
          <w:rFonts w:hint="eastAsia"/>
        </w:rPr>
        <w:t>(</w:t>
      </w:r>
      <w:r>
        <w:rPr>
          <w:rFonts w:hint="eastAsia"/>
        </w:rPr>
        <w:t>第九条和第十四条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缔约国应保障其有关审前拘留的法律和实践的各个方面与《公约》第九条和第十四条一致，符合关于在法庭和裁判所前一律平等和获得公正审判的权利的第32号一般性意见</w:t>
      </w:r>
      <w:r w:rsidR="007C57A5">
        <w:rPr>
          <w:rFonts w:ascii="黑体" w:eastAsia="黑体" w:hAnsi="黑体" w:hint="eastAsia"/>
        </w:rPr>
        <w:t>(</w:t>
      </w:r>
      <w:r w:rsidRPr="007C57A5">
        <w:rPr>
          <w:rFonts w:ascii="黑体" w:eastAsia="黑体" w:hAnsi="黑体" w:hint="eastAsia"/>
        </w:rPr>
        <w:t>2007年)以及关于人身自由和安全的第35号一般性意见(2014年)，办法包括允许被控刑事犯罪的被拘留者在自由被剥夺一开始就能立即接触到律师。应该在刑事诉讼的各个阶段都给予接触律师的机会。</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贩运人口</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18</w:t>
      </w:r>
      <w:r w:rsidR="007C57A5">
        <w:rPr>
          <w:rFonts w:hint="eastAsia"/>
        </w:rPr>
        <w:t xml:space="preserve">.  </w:t>
      </w:r>
      <w:r>
        <w:rPr>
          <w:rFonts w:hint="eastAsia"/>
        </w:rPr>
        <w:t>委员会注意到缔约国为打击人口贩运而采取的多项努力，但关切的是有报告称，调查和定罪的数量偏低以及缺乏关于贩运人口成因的权威数据</w:t>
      </w:r>
      <w:r>
        <w:rPr>
          <w:rFonts w:hint="eastAsia"/>
        </w:rPr>
        <w:t>(</w:t>
      </w:r>
      <w:r>
        <w:rPr>
          <w:rFonts w:hint="eastAsia"/>
        </w:rPr>
        <w:t>第八条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强化并更好地协调打击贩运人口的努力，还应考虑成立一个负责打击贩运人口的中央级权威机构，系统并有力地调查和起诉责任人。此外，缔约国还应保障受害者获得充分保护、赔偿和补偿，包括康复服务。</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柬埔寨法院特别法庭</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19</w:t>
      </w:r>
      <w:r w:rsidR="007C57A5">
        <w:rPr>
          <w:rFonts w:hint="eastAsia"/>
        </w:rPr>
        <w:t xml:space="preserve">.  </w:t>
      </w:r>
      <w:r>
        <w:rPr>
          <w:rFonts w:hint="eastAsia"/>
        </w:rPr>
        <w:t>委员会注意到有报告称，缔约国高级官员反复发表干涉柬埔寨法院特别法庭职能和独立性的言论，这些言论表明缔约国不愿起诉红色高棉当政期间犯有罪行的其他嫌疑人。在此方面，委员会注意到缔约国已经作出答复称并未干涉特别法庭的司法诉讼，并欢迎缔约国在对话期间作出将来不干涉的保证</w:t>
      </w:r>
      <w:r>
        <w:rPr>
          <w:rFonts w:hint="eastAsia"/>
        </w:rPr>
        <w:t>(</w:t>
      </w:r>
      <w:r>
        <w:rPr>
          <w:rFonts w:hint="eastAsia"/>
        </w:rPr>
        <w:t>第十四条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缔约国应采取步骤保护柬埔寨法院特别法庭的完全独立，并与特别法庭合作履行其职能。</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4B0A7E" w:rsidRDefault="004B0A7E">
      <w:pPr>
        <w:spacing w:line="240" w:lineRule="auto"/>
        <w:jc w:val="left"/>
        <w:rPr>
          <w:rFonts w:ascii="黑体" w:eastAsia="黑体"/>
          <w:spacing w:val="2"/>
        </w:rPr>
      </w:pPr>
      <w:r>
        <w:br w:type="page"/>
      </w: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司法机关的独立性</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20</w:t>
      </w:r>
      <w:r w:rsidR="007C57A5">
        <w:rPr>
          <w:rFonts w:hint="eastAsia"/>
        </w:rPr>
        <w:t xml:space="preserve">.  </w:t>
      </w:r>
      <w:r>
        <w:rPr>
          <w:rFonts w:hint="eastAsia"/>
        </w:rPr>
        <w:t>委员会对缺乏独立公正的司法机关表示关切，并对司法机关中腐败现象的诸多指控表示遗憾。委员会关切地注意到，</w:t>
      </w:r>
      <w:r>
        <w:rPr>
          <w:rFonts w:hint="eastAsia"/>
        </w:rPr>
        <w:t>2014</w:t>
      </w:r>
      <w:r>
        <w:rPr>
          <w:rFonts w:hint="eastAsia"/>
        </w:rPr>
        <w:t>年通过的有关法院组织、有关法官和检察官地位以及有关最高司法官委员会组织和运作的法律没有确立司法独立的充足保障措施</w:t>
      </w:r>
      <w:r>
        <w:rPr>
          <w:rFonts w:hint="eastAsia"/>
        </w:rPr>
        <w:t>(</w:t>
      </w:r>
      <w:r>
        <w:rPr>
          <w:rFonts w:hint="eastAsia"/>
        </w:rPr>
        <w:t>第十四条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立即采取步骤，确保和保护司法机关的完全独立和公正，并保障司法机关不受来自行政机关的压力和干预自由地运作。缔约国应对关于司法机关的三部法律开展审核，从而缩减司法部的职权并加强司法独立。</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言论和结社自由</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21</w:t>
      </w:r>
      <w:r w:rsidR="007C57A5">
        <w:rPr>
          <w:rFonts w:hint="eastAsia"/>
        </w:rPr>
        <w:t xml:space="preserve">.  </w:t>
      </w:r>
      <w:r>
        <w:rPr>
          <w:rFonts w:hint="eastAsia"/>
        </w:rPr>
        <w:t>委员会对记者、人权卫士和其他民间社会人士被杀害的报告表示关切。委员会还关切的是，有报告称记者、人权卫士、工会工人、土地和环境活动家、其他民间社会人士以及政治反对派成员受到骚扰和恐吓，他们继续因其活动而受到迫害，尤其是通过把诽谤定为刑事犯罪和其他措辞模糊的罪名。另外，委员会关切的是经修订的《国会议员选举法》对言论自由施加了多项限制措施。委员会虽然赞赏地注意到网络通信和非政府组织的活动在缔约国内相对没有受到阻挠，但关切的是有报告称，网络犯罪法草案和关于结社及非政府组织的法律草案可能含有限制网络通信的规定，并对此类组织施加过多限制</w:t>
      </w:r>
      <w:r>
        <w:rPr>
          <w:rFonts w:hint="eastAsia"/>
        </w:rPr>
        <w:t>(</w:t>
      </w:r>
      <w:r>
        <w:rPr>
          <w:rFonts w:hint="eastAsia"/>
        </w:rPr>
        <w:t>第六条、第七条、第十九条和第二十二条</w:t>
      </w:r>
      <w:r>
        <w:rPr>
          <w:rFonts w:hint="eastAsia"/>
        </w:rPr>
        <w:t>)</w:t>
      </w:r>
      <w:r>
        <w:rPr>
          <w:rFonts w:hint="eastAsia"/>
        </w:rPr>
        <w:t>。</w:t>
      </w:r>
    </w:p>
    <w:p w:rsidR="008F5056" w:rsidRPr="007C57A5" w:rsidRDefault="008F5056" w:rsidP="00EF5414">
      <w:pPr>
        <w:pStyle w:val="SingleTxt"/>
        <w:overflowPunct w:val="0"/>
        <w:rPr>
          <w:rFonts w:ascii="黑体" w:eastAsia="黑体" w:hAnsi="黑体"/>
        </w:rPr>
      </w:pPr>
      <w:r w:rsidRPr="007C57A5">
        <w:rPr>
          <w:rFonts w:ascii="黑体" w:eastAsia="黑体" w:hAnsi="黑体" w:hint="eastAsia"/>
        </w:rPr>
        <w:t>缔约国应根据《公约》第十九条和第二十二条以及委员会关于见解自由和言论自由的第34号一般性意见(2011年)，确保人人均可自由行使其言论自由和结社自由。为此，缔约国应：</w:t>
      </w:r>
    </w:p>
    <w:p w:rsidR="008F5056" w:rsidRPr="007C57A5" w:rsidRDefault="007C57A5" w:rsidP="00EF5414">
      <w:pPr>
        <w:pStyle w:val="SingleTxt"/>
        <w:overflowPunct w:val="0"/>
        <w:rPr>
          <w:rFonts w:ascii="黑体" w:eastAsia="黑体" w:hAnsi="黑体"/>
        </w:rPr>
      </w:pPr>
      <w:r w:rsidRPr="007C57A5">
        <w:rPr>
          <w:rFonts w:ascii="黑体" w:eastAsia="黑体" w:hAnsi="黑体" w:hint="eastAsia"/>
        </w:rPr>
        <w:tab/>
      </w:r>
      <w:r w:rsidR="008F5056" w:rsidRPr="007C57A5">
        <w:rPr>
          <w:rFonts w:ascii="黑体" w:eastAsia="黑体" w:hAnsi="黑体" w:hint="eastAsia"/>
        </w:rPr>
        <w:t>(a)</w:t>
      </w:r>
      <w:r w:rsidR="008F5056" w:rsidRPr="007C57A5">
        <w:rPr>
          <w:rFonts w:ascii="黑体" w:eastAsia="黑体" w:hAnsi="黑体" w:hint="eastAsia"/>
        </w:rPr>
        <w:tab/>
        <w:t>立即采取行动调查对杀害事件的投诉，并向因职业活动而受到恐吓和袭击的记者、人权卫士和其他民间社会人士提供有效保护；</w:t>
      </w:r>
    </w:p>
    <w:p w:rsidR="008F5056" w:rsidRPr="007C57A5" w:rsidRDefault="007C57A5" w:rsidP="00EF5414">
      <w:pPr>
        <w:pStyle w:val="SingleTxt"/>
        <w:overflowPunct w:val="0"/>
        <w:rPr>
          <w:rFonts w:ascii="黑体" w:eastAsia="黑体" w:hAnsi="黑体"/>
        </w:rPr>
      </w:pPr>
      <w:r w:rsidRPr="007C57A5">
        <w:rPr>
          <w:rFonts w:ascii="黑体" w:eastAsia="黑体" w:hAnsi="黑体" w:hint="eastAsia"/>
        </w:rPr>
        <w:tab/>
      </w:r>
      <w:r w:rsidR="008F5056" w:rsidRPr="007C57A5">
        <w:rPr>
          <w:rFonts w:ascii="黑体" w:eastAsia="黑体" w:hAnsi="黑体" w:hint="eastAsia"/>
        </w:rPr>
        <w:t>(b)</w:t>
      </w:r>
      <w:r w:rsidR="008F5056" w:rsidRPr="007C57A5">
        <w:rPr>
          <w:rFonts w:ascii="黑体" w:eastAsia="黑体" w:hAnsi="黑体" w:hint="eastAsia"/>
        </w:rPr>
        <w:tab/>
        <w:t>不把起诉律师、人权卫士和其他民间社会人士作为阻挠和阻拦他们自由表达见解的手段；</w:t>
      </w:r>
    </w:p>
    <w:p w:rsidR="008F5056" w:rsidRPr="007C57A5" w:rsidRDefault="007C57A5" w:rsidP="00EF5414">
      <w:pPr>
        <w:pStyle w:val="SingleTxt"/>
        <w:overflowPunct w:val="0"/>
        <w:rPr>
          <w:rFonts w:ascii="黑体" w:eastAsia="黑体" w:hAnsi="黑体"/>
        </w:rPr>
      </w:pPr>
      <w:r w:rsidRPr="007C57A5">
        <w:rPr>
          <w:rFonts w:ascii="黑体" w:eastAsia="黑体" w:hAnsi="黑体" w:hint="eastAsia"/>
        </w:rPr>
        <w:tab/>
      </w:r>
      <w:r w:rsidR="008F5056" w:rsidRPr="007C57A5">
        <w:rPr>
          <w:rFonts w:ascii="黑体" w:eastAsia="黑体" w:hAnsi="黑体" w:hint="eastAsia"/>
        </w:rPr>
        <w:t>(c)</w:t>
      </w:r>
      <w:r w:rsidR="008F5056" w:rsidRPr="007C57A5">
        <w:rPr>
          <w:rFonts w:ascii="黑体" w:eastAsia="黑体" w:hAnsi="黑体" w:hint="eastAsia"/>
        </w:rPr>
        <w:tab/>
        <w:t>考虑取消诽谤罪，并使《刑法》的任何其他相关规定符合《公约》第十九条；</w:t>
      </w:r>
    </w:p>
    <w:p w:rsidR="008F5056" w:rsidRDefault="007C57A5" w:rsidP="00EF5414">
      <w:pPr>
        <w:pStyle w:val="SingleTxt"/>
        <w:overflowPunct w:val="0"/>
        <w:rPr>
          <w:rFonts w:ascii="黑体" w:eastAsia="黑体" w:hAnsi="黑体"/>
        </w:rPr>
      </w:pPr>
      <w:r w:rsidRPr="007C57A5">
        <w:rPr>
          <w:rFonts w:ascii="黑体" w:eastAsia="黑体" w:hAnsi="黑体" w:hint="eastAsia"/>
        </w:rPr>
        <w:tab/>
      </w:r>
      <w:r w:rsidR="008F5056" w:rsidRPr="007C57A5">
        <w:rPr>
          <w:rFonts w:ascii="黑体" w:eastAsia="黑体" w:hAnsi="黑体" w:hint="eastAsia"/>
        </w:rPr>
        <w:t>(d)</w:t>
      </w:r>
      <w:r w:rsidR="008F5056" w:rsidRPr="007C57A5">
        <w:rPr>
          <w:rFonts w:ascii="黑体" w:eastAsia="黑体" w:hAnsi="黑体" w:hint="eastAsia"/>
        </w:rPr>
        <w:tab/>
        <w:t>审查现有和待审立法，包括网络犯罪法草案和社团及非政府组织法草案，以避免使用模糊用语和过度宽泛的限制，从而确保对行使言论自由和结社自由的任何限制措施符合《公约》第十九条第3款和第二十二条的严格要求。</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和平集会自由权</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22</w:t>
      </w:r>
      <w:r w:rsidR="007C57A5">
        <w:rPr>
          <w:rFonts w:hint="eastAsia"/>
        </w:rPr>
        <w:t xml:space="preserve">.  </w:t>
      </w:r>
      <w:r>
        <w:rPr>
          <w:rFonts w:hint="eastAsia"/>
        </w:rPr>
        <w:t>委员会关切的是，任意逮捕示威者的报告越来越多，以及采取要求他们在保证将来不进行示威的文件上按手印的做法</w:t>
      </w:r>
      <w:r>
        <w:rPr>
          <w:rFonts w:hint="eastAsia"/>
        </w:rPr>
        <w:t>(</w:t>
      </w:r>
      <w:r>
        <w:rPr>
          <w:rFonts w:hint="eastAsia"/>
        </w:rPr>
        <w:t>第二十一条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缔约国应确保以符合《公约》的方式执行《和平示威法》。缔约国还应确保不对行使和平集会的权利施加限制，但《公约》允许的限制除外。</w:t>
      </w:r>
    </w:p>
    <w:p w:rsid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婚姻权和夫妻平等</w:t>
      </w:r>
    </w:p>
    <w:p w:rsidR="007C57A5" w:rsidRPr="007C57A5" w:rsidRDefault="007C57A5" w:rsidP="007C57A5">
      <w:pPr>
        <w:pStyle w:val="SingleTxt"/>
        <w:spacing w:after="0" w:line="120" w:lineRule="exact"/>
        <w:rPr>
          <w:sz w:val="10"/>
        </w:rPr>
      </w:pPr>
    </w:p>
    <w:p w:rsidR="004B0A7E" w:rsidRPr="004B0A7E" w:rsidRDefault="008F5056" w:rsidP="004B0A7E">
      <w:pPr>
        <w:pStyle w:val="SingleTxt"/>
        <w:overflowPunct w:val="0"/>
      </w:pPr>
      <w:r>
        <w:rPr>
          <w:rFonts w:hint="eastAsia"/>
        </w:rPr>
        <w:t>23</w:t>
      </w:r>
      <w:r w:rsidR="007C57A5">
        <w:rPr>
          <w:rFonts w:hint="eastAsia"/>
        </w:rPr>
        <w:t xml:space="preserve">.  </w:t>
      </w:r>
      <w:r>
        <w:rPr>
          <w:rFonts w:hint="eastAsia"/>
        </w:rPr>
        <w:t>委员会关切的是，《民法》第</w:t>
      </w:r>
      <w:r>
        <w:rPr>
          <w:rFonts w:hint="eastAsia"/>
        </w:rPr>
        <w:t>950</w:t>
      </w:r>
      <w:r>
        <w:rPr>
          <w:rFonts w:hint="eastAsia"/>
        </w:rPr>
        <w:t>条规定妇女自上一次婚姻解除或失效之日起</w:t>
      </w:r>
      <w:r>
        <w:rPr>
          <w:rFonts w:hint="eastAsia"/>
        </w:rPr>
        <w:t>120</w:t>
      </w:r>
      <w:r>
        <w:rPr>
          <w:rFonts w:hint="eastAsia"/>
        </w:rPr>
        <w:t>日内不得再婚。委员会还关切的是，外交部颁布的一道命令以男性的年龄和收入为由限制外国男性与柬埔寨女性结婚的权利</w:t>
      </w:r>
      <w:r>
        <w:rPr>
          <w:rFonts w:hint="eastAsia"/>
        </w:rPr>
        <w:t>(</w:t>
      </w:r>
      <w:r>
        <w:rPr>
          <w:rFonts w:hint="eastAsia"/>
        </w:rPr>
        <w:t>第三条、第二十三条和第二十六条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缔约国应废除在婚姻方面以性别、年龄和收入为由进行歧视的规定。</w:t>
      </w:r>
    </w:p>
    <w:p w:rsidR="007C57A5" w:rsidRPr="007C57A5" w:rsidRDefault="007C57A5" w:rsidP="007C57A5">
      <w:pPr>
        <w:pStyle w:val="SingleTxt"/>
        <w:overflowPunct w:val="0"/>
        <w:spacing w:after="0" w:line="120" w:lineRule="exact"/>
        <w:rPr>
          <w:rFonts w:ascii="黑体" w:eastAsia="黑体" w:hAnsi="黑体"/>
          <w:sz w:val="10"/>
        </w:rPr>
      </w:pPr>
    </w:p>
    <w:p w:rsidR="007C57A5" w:rsidRPr="004B0A7E"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体罚</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24</w:t>
      </w:r>
      <w:r w:rsidR="007C57A5">
        <w:rPr>
          <w:rFonts w:hint="eastAsia"/>
        </w:rPr>
        <w:t xml:space="preserve">.  </w:t>
      </w:r>
      <w:r>
        <w:rPr>
          <w:rFonts w:hint="eastAsia"/>
        </w:rPr>
        <w:t>委员会虽然认识到学校和惩戒制度中禁止体罚，但关切的是在家中使用体罚仍然合法，家长和监护人历来视其为一种管教措施，继续接受和实行</w:t>
      </w:r>
      <w:r>
        <w:rPr>
          <w:rFonts w:hint="eastAsia"/>
        </w:rPr>
        <w:t>(</w:t>
      </w:r>
      <w:r>
        <w:rPr>
          <w:rFonts w:hint="eastAsia"/>
        </w:rPr>
        <w:t>第七条和第二十四条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缔约国应酌情采取切实措施，包括立法措施，在一切场合禁止体罚。应鼓励以非暴力的管教形式替代体罚，并开展公共宣传，提高对体罚的有害影响的认识。</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参与公共事务</w:t>
      </w:r>
    </w:p>
    <w:p w:rsidR="007C57A5" w:rsidRPr="007C57A5" w:rsidRDefault="007C57A5" w:rsidP="007C57A5">
      <w:pPr>
        <w:pStyle w:val="SingleTxt"/>
        <w:spacing w:after="0" w:line="120" w:lineRule="exact"/>
        <w:rPr>
          <w:sz w:val="10"/>
        </w:rPr>
      </w:pPr>
    </w:p>
    <w:p w:rsidR="008F5056" w:rsidRDefault="008F5056" w:rsidP="007C57A5">
      <w:pPr>
        <w:pStyle w:val="SingleTxt"/>
        <w:overflowPunct w:val="0"/>
      </w:pPr>
      <w:r>
        <w:rPr>
          <w:rFonts w:hint="eastAsia"/>
        </w:rPr>
        <w:t>25</w:t>
      </w:r>
      <w:r w:rsidR="007C57A5">
        <w:rPr>
          <w:rFonts w:hint="eastAsia"/>
        </w:rPr>
        <w:t xml:space="preserve">.  </w:t>
      </w:r>
      <w:r>
        <w:rPr>
          <w:rFonts w:hint="eastAsia"/>
        </w:rPr>
        <w:t>委员会关切地注意到，《国家选举委员会法》和《国会议员选举法》的两项修订案在未经真正协商的情况下于</w:t>
      </w:r>
      <w:r>
        <w:rPr>
          <w:rFonts w:hint="eastAsia"/>
        </w:rPr>
        <w:t>2015</w:t>
      </w:r>
      <w:r>
        <w:rPr>
          <w:rFonts w:hint="eastAsia"/>
        </w:rPr>
        <w:t>年</w:t>
      </w:r>
      <w:r>
        <w:rPr>
          <w:rFonts w:hint="eastAsia"/>
        </w:rPr>
        <w:t>3</w:t>
      </w:r>
      <w:r>
        <w:rPr>
          <w:rFonts w:hint="eastAsia"/>
        </w:rPr>
        <w:t>月</w:t>
      </w:r>
      <w:r>
        <w:rPr>
          <w:rFonts w:hint="eastAsia"/>
        </w:rPr>
        <w:t>19</w:t>
      </w:r>
      <w:r>
        <w:rPr>
          <w:rFonts w:hint="eastAsia"/>
        </w:rPr>
        <w:t>日获得通过，这一程序与</w:t>
      </w:r>
      <w:r>
        <w:rPr>
          <w:rFonts w:hint="eastAsia"/>
        </w:rPr>
        <w:t>2014</w:t>
      </w:r>
      <w:r>
        <w:rPr>
          <w:rFonts w:hint="eastAsia"/>
        </w:rPr>
        <w:t>年</w:t>
      </w:r>
      <w:r>
        <w:rPr>
          <w:rFonts w:hint="eastAsia"/>
        </w:rPr>
        <w:t>5</w:t>
      </w:r>
      <w:r>
        <w:rPr>
          <w:rFonts w:hint="eastAsia"/>
        </w:rPr>
        <w:t>月用于通过关于司法机关的三项基本法律的程序类似。委员会注意到缔约国有意通过关于社团和非政府组织的法律草案，但关切地指出缔约国的立法程序缺乏透明，这是受《公约》第二十五条保障的</w:t>
      </w:r>
      <w:r>
        <w:rPr>
          <w:rFonts w:hint="eastAsia"/>
        </w:rPr>
        <w:t>(</w:t>
      </w:r>
      <w:r>
        <w:rPr>
          <w:rFonts w:hint="eastAsia"/>
        </w:rPr>
        <w:t>第二十五条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缔约国应适当考虑到委员会关于参与公共事务权、投票权和平等获得公共服务权的第25号一般性建议(1996年)，确保立法程序透明，并考虑公开所有立法草案以促进公民与其代表展开公开辩论和对话。</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投票权</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26</w:t>
      </w:r>
      <w:r w:rsidR="007C57A5">
        <w:rPr>
          <w:rFonts w:hint="eastAsia"/>
        </w:rPr>
        <w:t xml:space="preserve">.  </w:t>
      </w:r>
      <w:r>
        <w:rPr>
          <w:rFonts w:hint="eastAsia"/>
        </w:rPr>
        <w:t>委员会认为，全面剥夺被定罪囚犯的投票权不符合与《公约》第二十五条一并解读的第十条第</w:t>
      </w:r>
      <w:r>
        <w:rPr>
          <w:rFonts w:hint="eastAsia"/>
        </w:rPr>
        <w:t>3</w:t>
      </w:r>
      <w:r>
        <w:rPr>
          <w:rFonts w:hint="eastAsia"/>
        </w:rPr>
        <w:t>款的要求。委员会还关切的是，某些患有社会心理方面残疾的人的投票权受到限制</w:t>
      </w:r>
      <w:r>
        <w:rPr>
          <w:rFonts w:hint="eastAsia"/>
        </w:rPr>
        <w:t>(</w:t>
      </w:r>
      <w:r>
        <w:rPr>
          <w:rFonts w:hint="eastAsia"/>
        </w:rPr>
        <w:t>第二条、第十条、第二十五条和第二十六条</w:t>
      </w:r>
      <w:r>
        <w:rPr>
          <w:rFonts w:hint="eastAsia"/>
        </w:rPr>
        <w:t>)</w:t>
      </w:r>
      <w:r>
        <w:rPr>
          <w:rFonts w:hint="eastAsia"/>
        </w:rPr>
        <w:t>。</w:t>
      </w:r>
    </w:p>
    <w:p w:rsidR="008F5056" w:rsidRDefault="008F5056" w:rsidP="00EF5414">
      <w:pPr>
        <w:pStyle w:val="SingleTxt"/>
        <w:overflowPunct w:val="0"/>
        <w:rPr>
          <w:rFonts w:ascii="黑体" w:eastAsia="黑体" w:hAnsi="黑体"/>
        </w:rPr>
      </w:pPr>
      <w:r w:rsidRPr="007C57A5">
        <w:rPr>
          <w:rFonts w:ascii="黑体" w:eastAsia="黑体" w:hAnsi="黑体" w:hint="eastAsia"/>
        </w:rPr>
        <w:t>缔约国应参照委员会关于《公约》第二十五条(参与公共生活和投票的权利)的第25号一般性意见(1996年)第14段，审查剥夺所有被定罪囚犯投票权的立法。考虑到第二十五条，缔约国应该确保其立法不歧视社会心理残疾患者，不得根据不当的理由或与他们的投票能力没有任何合理或客观联系的理由剥夺他们的投票权。</w:t>
      </w:r>
    </w:p>
    <w:p w:rsidR="007C57A5" w:rsidRPr="007C57A5" w:rsidRDefault="007C57A5" w:rsidP="007C57A5">
      <w:pPr>
        <w:pStyle w:val="SingleTxt"/>
        <w:overflowPunct w:val="0"/>
        <w:spacing w:after="0" w:line="120" w:lineRule="exact"/>
        <w:rPr>
          <w:rFonts w:ascii="黑体" w:eastAsia="黑体" w:hAnsi="黑体"/>
          <w:sz w:val="10"/>
        </w:rPr>
      </w:pPr>
    </w:p>
    <w:p w:rsidR="007C57A5" w:rsidRPr="007C57A5" w:rsidRDefault="007C57A5" w:rsidP="007C57A5">
      <w:pPr>
        <w:pStyle w:val="SingleTxt"/>
        <w:overflowPunct w:val="0"/>
        <w:spacing w:after="0" w:line="120" w:lineRule="exact"/>
        <w:rPr>
          <w:rFonts w:ascii="黑体" w:eastAsia="黑体" w:hAnsi="黑体"/>
          <w:sz w:val="10"/>
        </w:rPr>
      </w:pPr>
    </w:p>
    <w:p w:rsidR="008F5056" w:rsidRDefault="008F5056" w:rsidP="007C57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无国籍状态</w:t>
      </w:r>
    </w:p>
    <w:p w:rsidR="007C57A5" w:rsidRPr="007C57A5" w:rsidRDefault="007C57A5" w:rsidP="007C57A5">
      <w:pPr>
        <w:pStyle w:val="SingleTxt"/>
        <w:spacing w:after="0" w:line="120" w:lineRule="exact"/>
        <w:rPr>
          <w:sz w:val="10"/>
        </w:rPr>
      </w:pPr>
    </w:p>
    <w:p w:rsidR="008F5056" w:rsidRDefault="008F5056" w:rsidP="00EF5414">
      <w:pPr>
        <w:pStyle w:val="SingleTxt"/>
        <w:overflowPunct w:val="0"/>
      </w:pPr>
      <w:r>
        <w:rPr>
          <w:rFonts w:hint="eastAsia"/>
        </w:rPr>
        <w:t>27</w:t>
      </w:r>
      <w:r w:rsidR="007C57A5">
        <w:rPr>
          <w:rFonts w:hint="eastAsia"/>
        </w:rPr>
        <w:t xml:space="preserve">.  </w:t>
      </w:r>
      <w:r>
        <w:rPr>
          <w:rFonts w:hint="eastAsia"/>
        </w:rPr>
        <w:t>委员会对南高棉人和越南族裔的处境表示关切，他们几代人一直居住在柬埔寨但一直处于无国籍状态或缺乏柬埔寨身份证件。委员会还关切的是没有充分的保障措施，确保在柬埔寨出生若不给予国籍便可能会成为无国籍人的儿童取得柬埔寨国籍并拿到身份证件</w:t>
      </w:r>
      <w:r>
        <w:rPr>
          <w:rFonts w:hint="eastAsia"/>
        </w:rPr>
        <w:t>(</w:t>
      </w:r>
      <w:r>
        <w:rPr>
          <w:rFonts w:hint="eastAsia"/>
        </w:rPr>
        <w:t>第二条、第二十四条和第二十六条</w:t>
      </w:r>
      <w:r>
        <w:rPr>
          <w:rFonts w:hint="eastAsia"/>
        </w:rPr>
        <w:t>)</w:t>
      </w:r>
      <w:r>
        <w:rPr>
          <w:rFonts w:hint="eastAsia"/>
        </w:rPr>
        <w:t>。</w:t>
      </w:r>
    </w:p>
    <w:p w:rsidR="008F5056" w:rsidRDefault="008F5056" w:rsidP="00EF5414">
      <w:pPr>
        <w:pStyle w:val="SingleTxt"/>
        <w:overflowPunct w:val="0"/>
        <w:rPr>
          <w:rFonts w:ascii="黑体" w:eastAsia="黑体" w:hAnsi="黑体"/>
        </w:rPr>
      </w:pPr>
      <w:r w:rsidRPr="005C1F04">
        <w:rPr>
          <w:rFonts w:ascii="黑体" w:eastAsia="黑体" w:hAnsi="黑体" w:hint="eastAsia"/>
        </w:rPr>
        <w:t>缔约国应采取一切必要措施，确保包括无国籍人在内的所有居民充分享有《公约》权利。缔约国还应为获得身份证件提供便利。此外，缔约国还应保障无国籍人在柬埔寨境内所生子女有权取得国籍。</w:t>
      </w:r>
    </w:p>
    <w:p w:rsidR="005C1F04" w:rsidRPr="005C1F04" w:rsidRDefault="005C1F04" w:rsidP="005C1F04">
      <w:pPr>
        <w:pStyle w:val="SingleTxt"/>
        <w:overflowPunct w:val="0"/>
        <w:spacing w:after="0" w:line="120" w:lineRule="exact"/>
        <w:rPr>
          <w:rFonts w:ascii="黑体" w:eastAsia="黑体" w:hAnsi="黑体"/>
          <w:sz w:val="10"/>
        </w:rPr>
      </w:pPr>
    </w:p>
    <w:p w:rsidR="005C1F04" w:rsidRPr="005C1F04" w:rsidRDefault="005C1F04" w:rsidP="005C1F04">
      <w:pPr>
        <w:pStyle w:val="SingleTxt"/>
        <w:overflowPunct w:val="0"/>
        <w:spacing w:after="0" w:line="120" w:lineRule="exact"/>
        <w:rPr>
          <w:rFonts w:ascii="黑体" w:eastAsia="黑体" w:hAnsi="黑体"/>
          <w:sz w:val="10"/>
        </w:rPr>
      </w:pPr>
    </w:p>
    <w:p w:rsidR="008F5056" w:rsidRDefault="008F5056" w:rsidP="005C1F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少数族裔权利</w:t>
      </w:r>
    </w:p>
    <w:p w:rsidR="005C1F04" w:rsidRPr="005C1F04" w:rsidRDefault="005C1F04" w:rsidP="005C1F04">
      <w:pPr>
        <w:pStyle w:val="SingleTxt"/>
        <w:spacing w:after="0" w:line="120" w:lineRule="exact"/>
        <w:rPr>
          <w:sz w:val="10"/>
        </w:rPr>
      </w:pPr>
    </w:p>
    <w:p w:rsidR="008F5056" w:rsidRDefault="008F5056" w:rsidP="00EF5414">
      <w:pPr>
        <w:pStyle w:val="SingleTxt"/>
        <w:overflowPunct w:val="0"/>
      </w:pPr>
      <w:r>
        <w:rPr>
          <w:rFonts w:hint="eastAsia"/>
        </w:rPr>
        <w:t>28</w:t>
      </w:r>
      <w:r w:rsidR="007C57A5">
        <w:rPr>
          <w:rFonts w:hint="eastAsia"/>
        </w:rPr>
        <w:t xml:space="preserve">.  </w:t>
      </w:r>
      <w:r>
        <w:rPr>
          <w:rFonts w:hint="eastAsia"/>
        </w:rPr>
        <w:t>委员会虽然认可现有法律框架，但仍然关切的是，在一些涉及土著人民权利问题的决策过程中，包括其社区土地的管理以及把土地划拨给采掘业和农商企业的问题上，并未充分与他们协商。在此方面，对他们主张拥有的土地，继续将特许权批给私人用途。委员会还关切地注意到，有报告称，请求政府保护其权利的土著人民面临实际上的巨大障碍。</w:t>
      </w:r>
    </w:p>
    <w:p w:rsidR="008F5056" w:rsidRDefault="008F5056" w:rsidP="00EF5414">
      <w:pPr>
        <w:pStyle w:val="SingleTxt"/>
        <w:overflowPunct w:val="0"/>
        <w:rPr>
          <w:rFonts w:ascii="黑体" w:eastAsia="黑体" w:hAnsi="黑体"/>
        </w:rPr>
      </w:pPr>
      <w:r w:rsidRPr="005C1F04">
        <w:rPr>
          <w:rFonts w:ascii="黑体" w:eastAsia="黑体" w:hAnsi="黑体" w:hint="eastAsia"/>
        </w:rPr>
        <w:t>缔约国应建立一个有效的协商机制，确保所有领域内影响土著人民权利的决策都与土著人民切实进行协商。</w:t>
      </w:r>
    </w:p>
    <w:p w:rsidR="005C1F04" w:rsidRPr="005C1F04" w:rsidRDefault="005C1F04" w:rsidP="005C1F04">
      <w:pPr>
        <w:pStyle w:val="SingleTxt"/>
        <w:overflowPunct w:val="0"/>
        <w:spacing w:after="0" w:line="120" w:lineRule="exact"/>
        <w:rPr>
          <w:rFonts w:ascii="黑体" w:eastAsia="黑体" w:hAnsi="黑体"/>
          <w:sz w:val="10"/>
        </w:rPr>
      </w:pPr>
    </w:p>
    <w:p w:rsidR="005C1F04" w:rsidRPr="005C1F04" w:rsidRDefault="005C1F04" w:rsidP="005C1F04">
      <w:pPr>
        <w:pStyle w:val="SingleTxt"/>
        <w:overflowPunct w:val="0"/>
        <w:spacing w:after="0" w:line="120" w:lineRule="exact"/>
        <w:rPr>
          <w:rFonts w:ascii="黑体" w:eastAsia="黑体" w:hAnsi="黑体"/>
          <w:sz w:val="10"/>
        </w:rPr>
      </w:pPr>
    </w:p>
    <w:p w:rsidR="008F5056" w:rsidRDefault="008F5056" w:rsidP="005C1F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传播《公约》相关信息</w:t>
      </w:r>
    </w:p>
    <w:p w:rsidR="005C1F04" w:rsidRPr="005C1F04" w:rsidRDefault="005C1F04" w:rsidP="005C1F04">
      <w:pPr>
        <w:pStyle w:val="SingleTxt"/>
        <w:spacing w:after="0" w:line="120" w:lineRule="exact"/>
        <w:rPr>
          <w:sz w:val="10"/>
        </w:rPr>
      </w:pPr>
    </w:p>
    <w:p w:rsidR="008F5056" w:rsidRDefault="008F5056" w:rsidP="00EF5414">
      <w:pPr>
        <w:pStyle w:val="SingleTxt"/>
        <w:overflowPunct w:val="0"/>
      </w:pPr>
      <w:r>
        <w:rPr>
          <w:rFonts w:hint="eastAsia"/>
        </w:rPr>
        <w:t>29</w:t>
      </w:r>
      <w:r w:rsidR="007C57A5">
        <w:rPr>
          <w:rFonts w:hint="eastAsia"/>
        </w:rPr>
        <w:t xml:space="preserve">.  </w:t>
      </w:r>
      <w:r>
        <w:rPr>
          <w:rFonts w:hint="eastAsia"/>
        </w:rPr>
        <w:t>缔约国应在司法、立法和行政机构、民间社会、在该国活动的非政府组织以及广大公众中广泛宣传《公约》、第二次定期报告的案文、对委员会所拟问题清单的书面答复以及本结论性意见。</w:t>
      </w:r>
    </w:p>
    <w:p w:rsidR="008F5056" w:rsidRDefault="008F5056" w:rsidP="00EF5414">
      <w:pPr>
        <w:pStyle w:val="SingleTxt"/>
        <w:overflowPunct w:val="0"/>
      </w:pPr>
      <w:r>
        <w:rPr>
          <w:rFonts w:hint="eastAsia"/>
        </w:rPr>
        <w:t>30</w:t>
      </w:r>
      <w:r w:rsidR="007C57A5">
        <w:rPr>
          <w:rFonts w:hint="eastAsia"/>
        </w:rPr>
        <w:t xml:space="preserve">.  </w:t>
      </w:r>
      <w:r>
        <w:rPr>
          <w:rFonts w:hint="eastAsia"/>
        </w:rPr>
        <w:t>按照委员会议事规则第</w:t>
      </w:r>
      <w:r>
        <w:rPr>
          <w:rFonts w:hint="eastAsia"/>
        </w:rPr>
        <w:t>71</w:t>
      </w:r>
      <w:r>
        <w:rPr>
          <w:rFonts w:hint="eastAsia"/>
        </w:rPr>
        <w:t>条第</w:t>
      </w:r>
      <w:r>
        <w:rPr>
          <w:rFonts w:hint="eastAsia"/>
        </w:rPr>
        <w:t>5</w:t>
      </w:r>
      <w:r>
        <w:rPr>
          <w:rFonts w:hint="eastAsia"/>
        </w:rPr>
        <w:t>款，缔约国应该在一年内提供有关资料，说明其落实本结论性意见第</w:t>
      </w:r>
      <w:r>
        <w:rPr>
          <w:rFonts w:hint="eastAsia"/>
        </w:rPr>
        <w:t>11</w:t>
      </w:r>
      <w:r>
        <w:rPr>
          <w:rFonts w:hint="eastAsia"/>
        </w:rPr>
        <w:t>、第</w:t>
      </w:r>
      <w:r>
        <w:rPr>
          <w:rFonts w:hint="eastAsia"/>
        </w:rPr>
        <w:t>13</w:t>
      </w:r>
      <w:r>
        <w:rPr>
          <w:rFonts w:hint="eastAsia"/>
        </w:rPr>
        <w:t>和第</w:t>
      </w:r>
      <w:r>
        <w:rPr>
          <w:rFonts w:hint="eastAsia"/>
        </w:rPr>
        <w:t>21</w:t>
      </w:r>
      <w:r>
        <w:rPr>
          <w:rFonts w:hint="eastAsia"/>
        </w:rPr>
        <w:t>段中委员会所提建议的情况。</w:t>
      </w:r>
    </w:p>
    <w:p w:rsidR="00BD094B" w:rsidRDefault="008F5056" w:rsidP="00EF5414">
      <w:pPr>
        <w:pStyle w:val="SingleTxt"/>
        <w:overflowPunct w:val="0"/>
      </w:pPr>
      <w:r>
        <w:rPr>
          <w:rFonts w:hint="eastAsia"/>
        </w:rPr>
        <w:t>31</w:t>
      </w:r>
      <w:r w:rsidR="007C57A5">
        <w:rPr>
          <w:rFonts w:hint="eastAsia"/>
        </w:rPr>
        <w:t xml:space="preserve">.  </w:t>
      </w:r>
      <w:r>
        <w:rPr>
          <w:rFonts w:hint="eastAsia"/>
        </w:rPr>
        <w:t>委员会请缔约国在其定于</w:t>
      </w:r>
      <w:r>
        <w:rPr>
          <w:rFonts w:hint="eastAsia"/>
        </w:rPr>
        <w:t>2019</w:t>
      </w:r>
      <w:r>
        <w:rPr>
          <w:rFonts w:hint="eastAsia"/>
        </w:rPr>
        <w:t>年</w:t>
      </w:r>
      <w:r>
        <w:rPr>
          <w:rFonts w:hint="eastAsia"/>
        </w:rPr>
        <w:t>4</w:t>
      </w:r>
      <w:r>
        <w:rPr>
          <w:rFonts w:hint="eastAsia"/>
        </w:rPr>
        <w:t>月</w:t>
      </w:r>
      <w:r>
        <w:rPr>
          <w:rFonts w:hint="eastAsia"/>
        </w:rPr>
        <w:t>2</w:t>
      </w:r>
      <w:r>
        <w:rPr>
          <w:rFonts w:hint="eastAsia"/>
        </w:rPr>
        <w:t>日之前提交的下次定期报告中，提供具体的最新资料，说明落实委员会所提各项建议的情况以及整个《公约》的执行情况。委员会还建议缔约国与本国民间社会和非政府组织开展磋商，编写下次定期报告。根据大会第</w:t>
      </w:r>
      <w:r>
        <w:rPr>
          <w:rFonts w:hint="eastAsia"/>
        </w:rPr>
        <w:t>68/268</w:t>
      </w:r>
      <w:r>
        <w:rPr>
          <w:rFonts w:hint="eastAsia"/>
        </w:rPr>
        <w:t>号决议，报告篇幅为</w:t>
      </w:r>
      <w:r>
        <w:rPr>
          <w:rFonts w:hint="eastAsia"/>
        </w:rPr>
        <w:t>21,200</w:t>
      </w:r>
      <w:r>
        <w:rPr>
          <w:rFonts w:hint="eastAsia"/>
        </w:rPr>
        <w:t>字。</w:t>
      </w:r>
    </w:p>
    <w:p w:rsidR="005C1F04" w:rsidRPr="005C1F04" w:rsidRDefault="005C1F04" w:rsidP="005C1F04">
      <w:pPr>
        <w:pStyle w:val="SingleTxt"/>
        <w:overflowPunct w:val="0"/>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5C1F04" w:rsidRPr="005C1F04" w:rsidSect="00BD094B">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4:39:00Z" w:initials="Start">
    <w:p w:rsidR="00BD094B" w:rsidRDefault="00BD094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NO&gt;&gt;N1508271C&lt;&lt;ODS JOB NO&gt;&gt;</w:t>
      </w:r>
    </w:p>
    <w:p w:rsidR="00BD094B" w:rsidRDefault="00BD094B">
      <w:pPr>
        <w:pStyle w:val="a7"/>
      </w:pPr>
      <w:r>
        <w:t>&lt;&lt;ODS DOC SYMBOL1&gt;&gt;CCPR/C/KHM/CO/2&lt;&lt;ODS DOC SYMBOL1&gt;&gt;</w:t>
      </w:r>
    </w:p>
    <w:p w:rsidR="00BD094B" w:rsidRDefault="00BD094B">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CC3" w:rsidRDefault="006F0CC3">
      <w:r>
        <w:separator/>
      </w:r>
    </w:p>
  </w:endnote>
  <w:endnote w:type="continuationSeparator" w:id="0">
    <w:p w:rsidR="006F0CC3" w:rsidRDefault="006F0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94B" w:rsidTr="00BD094B">
      <w:trPr>
        <w:jc w:val="center"/>
      </w:trPr>
      <w:tc>
        <w:tcPr>
          <w:tcW w:w="5126" w:type="dxa"/>
          <w:shd w:val="clear" w:color="auto" w:fill="auto"/>
        </w:tcPr>
        <w:p w:rsidR="00BD094B" w:rsidRPr="00BD094B" w:rsidRDefault="00BD094B" w:rsidP="00BD094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6B3B">
            <w:rPr>
              <w:b w:val="0"/>
              <w:w w:val="103"/>
              <w:sz w:val="14"/>
            </w:rPr>
            <w:t>GE.15-05824 (C)</w:t>
          </w:r>
          <w:r>
            <w:rPr>
              <w:b w:val="0"/>
              <w:w w:val="103"/>
              <w:sz w:val="14"/>
            </w:rPr>
            <w:fldChar w:fldCharType="end"/>
          </w:r>
        </w:p>
      </w:tc>
      <w:tc>
        <w:tcPr>
          <w:tcW w:w="5127" w:type="dxa"/>
          <w:shd w:val="clear" w:color="auto" w:fill="auto"/>
        </w:tcPr>
        <w:p w:rsidR="00BD094B" w:rsidRPr="00BD094B" w:rsidRDefault="00BD094B" w:rsidP="00BD094B">
          <w:pPr>
            <w:pStyle w:val="ac"/>
            <w:jc w:val="left"/>
            <w:rPr>
              <w:w w:val="103"/>
            </w:rPr>
          </w:pPr>
          <w:r>
            <w:rPr>
              <w:w w:val="103"/>
            </w:rPr>
            <w:fldChar w:fldCharType="begin"/>
          </w:r>
          <w:r>
            <w:rPr>
              <w:w w:val="103"/>
            </w:rPr>
            <w:instrText xml:space="preserve"> PAGE  \* Arabic  \* MERGEFORMAT </w:instrText>
          </w:r>
          <w:r>
            <w:rPr>
              <w:w w:val="103"/>
            </w:rPr>
            <w:fldChar w:fldCharType="separate"/>
          </w:r>
          <w:r w:rsidR="00846B3B">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46B3B">
            <w:rPr>
              <w:w w:val="103"/>
            </w:rPr>
            <w:t>8</w:t>
          </w:r>
          <w:r>
            <w:rPr>
              <w:w w:val="103"/>
            </w:rPr>
            <w:fldChar w:fldCharType="end"/>
          </w:r>
        </w:p>
      </w:tc>
    </w:tr>
  </w:tbl>
  <w:p w:rsidR="00BD094B" w:rsidRPr="00BD094B" w:rsidRDefault="00BD094B" w:rsidP="00BD094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94B" w:rsidTr="00BD094B">
      <w:trPr>
        <w:jc w:val="center"/>
      </w:trPr>
      <w:tc>
        <w:tcPr>
          <w:tcW w:w="5126" w:type="dxa"/>
          <w:shd w:val="clear" w:color="auto" w:fill="auto"/>
        </w:tcPr>
        <w:p w:rsidR="00BD094B" w:rsidRPr="00BD094B" w:rsidRDefault="00BD094B" w:rsidP="00BD094B">
          <w:pPr>
            <w:pStyle w:val="ac"/>
            <w:jc w:val="right"/>
          </w:pPr>
          <w:r>
            <w:fldChar w:fldCharType="begin"/>
          </w:r>
          <w:r>
            <w:instrText xml:space="preserve"> PAGE  \* Arabic  \* MERGEFORMAT </w:instrText>
          </w:r>
          <w:r>
            <w:fldChar w:fldCharType="separate"/>
          </w:r>
          <w:r w:rsidR="00846B3B">
            <w:t>7</w:t>
          </w:r>
          <w:r>
            <w:fldChar w:fldCharType="end"/>
          </w:r>
          <w:r>
            <w:t>/</w:t>
          </w:r>
          <w:r w:rsidR="00846B3B">
            <w:fldChar w:fldCharType="begin"/>
          </w:r>
          <w:r w:rsidR="00846B3B">
            <w:instrText xml:space="preserve"> NUMPAGES  \* Arabic  \* MERGEFORMAT </w:instrText>
          </w:r>
          <w:r w:rsidR="00846B3B">
            <w:fldChar w:fldCharType="separate"/>
          </w:r>
          <w:r w:rsidR="00846B3B">
            <w:t>8</w:t>
          </w:r>
          <w:r w:rsidR="00846B3B">
            <w:fldChar w:fldCharType="end"/>
          </w:r>
        </w:p>
      </w:tc>
      <w:tc>
        <w:tcPr>
          <w:tcW w:w="5127" w:type="dxa"/>
          <w:shd w:val="clear" w:color="auto" w:fill="auto"/>
        </w:tcPr>
        <w:p w:rsidR="00BD094B" w:rsidRPr="00BD094B" w:rsidRDefault="00BD094B" w:rsidP="00BD094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6B3B">
            <w:rPr>
              <w:b w:val="0"/>
              <w:w w:val="103"/>
              <w:sz w:val="14"/>
            </w:rPr>
            <w:t>GE.15-05824 (C)</w:t>
          </w:r>
          <w:r>
            <w:rPr>
              <w:b w:val="0"/>
              <w:w w:val="103"/>
              <w:sz w:val="14"/>
            </w:rPr>
            <w:fldChar w:fldCharType="end"/>
          </w:r>
        </w:p>
      </w:tc>
    </w:tr>
  </w:tbl>
  <w:p w:rsidR="00BD094B" w:rsidRPr="00BD094B" w:rsidRDefault="00BD094B" w:rsidP="00BD094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BD094B" w:rsidTr="00BD094B">
      <w:tc>
        <w:tcPr>
          <w:tcW w:w="3873" w:type="dxa"/>
        </w:tcPr>
        <w:p w:rsidR="00BD094B" w:rsidRDefault="00BD094B" w:rsidP="00BD094B">
          <w:pPr>
            <w:pStyle w:val="Release"/>
          </w:pPr>
          <w:r>
            <w:rPr>
              <w:noProof/>
            </w:rPr>
            <w:drawing>
              <wp:anchor distT="0" distB="0" distL="114300" distR="114300" simplePos="0" relativeHeight="251658240" behindDoc="0" locked="0" layoutInCell="1" allowOverlap="1" wp14:anchorId="1854003B" wp14:editId="69999699">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CPR/C/KHM/CO/2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HM/CO/2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46B3B">
            <w:fldChar w:fldCharType="begin"/>
          </w:r>
          <w:r w:rsidR="00846B3B">
            <w:instrText xml:space="preserve"> DOCVARIABLE "jobn" \* MERGEFORMAT </w:instrText>
          </w:r>
          <w:r w:rsidR="00846B3B">
            <w:fldChar w:fldCharType="separate"/>
          </w:r>
          <w:r w:rsidR="00846B3B">
            <w:t>GE.15-05824 (C)</w:t>
          </w:r>
          <w:r w:rsidR="00846B3B">
            <w:fldChar w:fldCharType="end"/>
          </w:r>
          <w:r w:rsidR="008F5056">
            <w:t xml:space="preserve">    2</w:t>
          </w:r>
          <w:r w:rsidR="008F5056">
            <w:rPr>
              <w:rFonts w:hint="eastAsia"/>
            </w:rPr>
            <w:t>0</w:t>
          </w:r>
          <w:r w:rsidR="008F5056">
            <w:t>0</w:t>
          </w:r>
          <w:r w:rsidR="008F5056">
            <w:rPr>
              <w:rFonts w:hint="eastAsia"/>
            </w:rPr>
            <w:t>7</w:t>
          </w:r>
          <w:r>
            <w:t>15    120815</w:t>
          </w:r>
        </w:p>
        <w:p w:rsidR="00BD094B" w:rsidRPr="00BD094B" w:rsidRDefault="00BD094B" w:rsidP="00BD094B">
          <w:pPr>
            <w:spacing w:before="80" w:line="210" w:lineRule="exact"/>
            <w:rPr>
              <w:rFonts w:ascii="Barcode 3 of 9 by request" w:hAnsi="Barcode 3 of 9 by request"/>
              <w:sz w:val="24"/>
            </w:rPr>
          </w:pPr>
          <w:r>
            <w:rPr>
              <w:rFonts w:ascii="Barcode 3 of 9 by request" w:hAnsi="Barcode 3 of 9 by request"/>
              <w:sz w:val="24"/>
            </w:rPr>
            <w:t>*1505824*</w:t>
          </w:r>
        </w:p>
      </w:tc>
      <w:tc>
        <w:tcPr>
          <w:tcW w:w="5127" w:type="dxa"/>
        </w:tcPr>
        <w:p w:rsidR="00BD094B" w:rsidRDefault="00BD094B" w:rsidP="00BD094B">
          <w:pPr>
            <w:pStyle w:val="ac"/>
            <w:jc w:val="right"/>
            <w:rPr>
              <w:b w:val="0"/>
              <w:sz w:val="21"/>
            </w:rPr>
          </w:pPr>
          <w:r>
            <w:rPr>
              <w:b w:val="0"/>
              <w:sz w:val="21"/>
            </w:rPr>
            <w:drawing>
              <wp:inline distT="0" distB="0" distL="0" distR="0" wp14:anchorId="44334A24" wp14:editId="7EB029C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BD094B" w:rsidRPr="00BD094B" w:rsidRDefault="00BD094B" w:rsidP="00BD094B">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CC3" w:rsidRPr="0092586D" w:rsidRDefault="0092586D" w:rsidP="0092586D">
      <w:pPr>
        <w:pStyle w:val="ac"/>
        <w:spacing w:after="80"/>
        <w:rPr>
          <w:sz w:val="16"/>
        </w:rPr>
      </w:pPr>
      <w:r w:rsidRPr="0092586D">
        <w:rPr>
          <w:sz w:val="16"/>
        </w:rPr>
        <w:t>__________________</w:t>
      </w:r>
    </w:p>
  </w:footnote>
  <w:footnote w:type="continuationSeparator" w:id="0">
    <w:p w:rsidR="006F0CC3" w:rsidRPr="0092586D" w:rsidRDefault="0092586D" w:rsidP="0092586D">
      <w:pPr>
        <w:pStyle w:val="ac"/>
        <w:spacing w:after="80"/>
        <w:rPr>
          <w:sz w:val="16"/>
        </w:rPr>
      </w:pPr>
      <w:r w:rsidRPr="0092586D">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D094B" w:rsidTr="00BD094B">
      <w:trPr>
        <w:trHeight w:hRule="exact" w:val="864"/>
        <w:jc w:val="center"/>
      </w:trPr>
      <w:tc>
        <w:tcPr>
          <w:tcW w:w="4882" w:type="dxa"/>
          <w:shd w:val="clear" w:color="auto" w:fill="auto"/>
          <w:vAlign w:val="bottom"/>
        </w:tcPr>
        <w:p w:rsidR="00BD094B" w:rsidRPr="00BD094B" w:rsidRDefault="00BD094B" w:rsidP="00BD094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46B3B">
            <w:rPr>
              <w:b/>
              <w:sz w:val="17"/>
            </w:rPr>
            <w:t>CCPR/C/KHM/CO/2</w:t>
          </w:r>
          <w:r>
            <w:rPr>
              <w:b/>
              <w:sz w:val="17"/>
            </w:rPr>
            <w:fldChar w:fldCharType="end"/>
          </w:r>
        </w:p>
      </w:tc>
      <w:tc>
        <w:tcPr>
          <w:tcW w:w="5127" w:type="dxa"/>
          <w:shd w:val="clear" w:color="auto" w:fill="auto"/>
          <w:vAlign w:val="bottom"/>
        </w:tcPr>
        <w:p w:rsidR="00BD094B" w:rsidRDefault="00BD094B" w:rsidP="00BD094B">
          <w:pPr>
            <w:pStyle w:val="ab"/>
          </w:pPr>
        </w:p>
      </w:tc>
    </w:tr>
  </w:tbl>
  <w:p w:rsidR="00BD094B" w:rsidRPr="00BD094B" w:rsidRDefault="00BD094B" w:rsidP="00BD094B">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D094B" w:rsidTr="00BD094B">
      <w:trPr>
        <w:trHeight w:hRule="exact" w:val="864"/>
        <w:jc w:val="center"/>
      </w:trPr>
      <w:tc>
        <w:tcPr>
          <w:tcW w:w="4882" w:type="dxa"/>
          <w:shd w:val="clear" w:color="auto" w:fill="auto"/>
          <w:vAlign w:val="bottom"/>
        </w:tcPr>
        <w:p w:rsidR="00BD094B" w:rsidRDefault="00BD094B" w:rsidP="00BD094B">
          <w:pPr>
            <w:pStyle w:val="ab"/>
          </w:pPr>
        </w:p>
      </w:tc>
      <w:tc>
        <w:tcPr>
          <w:tcW w:w="5127" w:type="dxa"/>
          <w:shd w:val="clear" w:color="auto" w:fill="auto"/>
          <w:vAlign w:val="bottom"/>
        </w:tcPr>
        <w:p w:rsidR="00BD094B" w:rsidRPr="00BD094B" w:rsidRDefault="00BD094B" w:rsidP="00BD094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46B3B">
            <w:rPr>
              <w:b/>
              <w:sz w:val="17"/>
            </w:rPr>
            <w:t>CCPR/C/KHM/CO/2</w:t>
          </w:r>
          <w:r>
            <w:rPr>
              <w:b/>
              <w:sz w:val="17"/>
            </w:rPr>
            <w:fldChar w:fldCharType="end"/>
          </w:r>
        </w:p>
      </w:tc>
    </w:tr>
  </w:tbl>
  <w:p w:rsidR="00BD094B" w:rsidRPr="00BD094B" w:rsidRDefault="00BD094B" w:rsidP="00BD094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D094B" w:rsidTr="00BD094B">
      <w:trPr>
        <w:trHeight w:hRule="exact" w:val="864"/>
      </w:trPr>
      <w:tc>
        <w:tcPr>
          <w:tcW w:w="1267" w:type="dxa"/>
          <w:tcBorders>
            <w:bottom w:val="single" w:sz="4" w:space="0" w:color="auto"/>
          </w:tcBorders>
          <w:shd w:val="clear" w:color="auto" w:fill="auto"/>
          <w:vAlign w:val="bottom"/>
        </w:tcPr>
        <w:p w:rsidR="00BD094B" w:rsidRDefault="00BD094B" w:rsidP="00BD094B">
          <w:pPr>
            <w:pStyle w:val="ab"/>
            <w:spacing w:after="120"/>
          </w:pPr>
        </w:p>
      </w:tc>
      <w:tc>
        <w:tcPr>
          <w:tcW w:w="1872" w:type="dxa"/>
          <w:tcBorders>
            <w:bottom w:val="single" w:sz="4" w:space="0" w:color="auto"/>
          </w:tcBorders>
          <w:shd w:val="clear" w:color="auto" w:fill="auto"/>
          <w:vAlign w:val="bottom"/>
        </w:tcPr>
        <w:p w:rsidR="00BD094B" w:rsidRPr="00BD094B" w:rsidRDefault="00BD094B" w:rsidP="00BD094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BD094B" w:rsidRDefault="00BD094B" w:rsidP="00BD094B">
          <w:pPr>
            <w:pStyle w:val="ab"/>
            <w:spacing w:after="120"/>
          </w:pPr>
        </w:p>
      </w:tc>
      <w:tc>
        <w:tcPr>
          <w:tcW w:w="6653" w:type="dxa"/>
          <w:gridSpan w:val="4"/>
          <w:tcBorders>
            <w:bottom w:val="single" w:sz="4" w:space="0" w:color="auto"/>
          </w:tcBorders>
          <w:shd w:val="clear" w:color="auto" w:fill="auto"/>
          <w:vAlign w:val="bottom"/>
        </w:tcPr>
        <w:p w:rsidR="00BD094B" w:rsidRPr="00BD094B" w:rsidRDefault="00BD094B" w:rsidP="00BD094B">
          <w:pPr>
            <w:spacing w:after="80" w:line="240" w:lineRule="auto"/>
            <w:jc w:val="right"/>
            <w:rPr>
              <w:position w:val="-4"/>
            </w:rPr>
          </w:pPr>
          <w:r>
            <w:rPr>
              <w:position w:val="-4"/>
              <w:sz w:val="40"/>
            </w:rPr>
            <w:t>CCPR</w:t>
          </w:r>
          <w:r>
            <w:rPr>
              <w:position w:val="-4"/>
            </w:rPr>
            <w:t>/C/KHM/CO/2</w:t>
          </w:r>
        </w:p>
      </w:tc>
    </w:tr>
    <w:tr w:rsidR="00BD094B" w:rsidRPr="00BD094B" w:rsidTr="00BD094B">
      <w:trPr>
        <w:gridAfter w:val="1"/>
        <w:wAfter w:w="18" w:type="dxa"/>
        <w:trHeight w:hRule="exact" w:val="2880"/>
      </w:trPr>
      <w:tc>
        <w:tcPr>
          <w:tcW w:w="1267" w:type="dxa"/>
          <w:tcBorders>
            <w:top w:val="single" w:sz="4" w:space="0" w:color="auto"/>
            <w:bottom w:val="single" w:sz="12" w:space="0" w:color="auto"/>
          </w:tcBorders>
          <w:shd w:val="clear" w:color="auto" w:fill="auto"/>
        </w:tcPr>
        <w:p w:rsidR="00BD094B" w:rsidRPr="00BD094B" w:rsidRDefault="00BD094B" w:rsidP="00BD094B">
          <w:pPr>
            <w:pStyle w:val="ab"/>
            <w:spacing w:before="109"/>
            <w:ind w:left="-72"/>
          </w:pPr>
          <w:r>
            <w:t xml:space="preserve"> </w:t>
          </w:r>
          <w:r>
            <w:drawing>
              <wp:inline distT="0" distB="0" distL="0" distR="0" wp14:anchorId="3AA9582D" wp14:editId="0DA89B2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094B" w:rsidRPr="00BD094B" w:rsidRDefault="00BD094B" w:rsidP="00BD094B">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BD094B" w:rsidRPr="00BD094B" w:rsidRDefault="00BD094B" w:rsidP="00BD094B">
          <w:pPr>
            <w:pStyle w:val="ab"/>
            <w:spacing w:before="109"/>
          </w:pPr>
        </w:p>
      </w:tc>
      <w:tc>
        <w:tcPr>
          <w:tcW w:w="3280" w:type="dxa"/>
          <w:tcBorders>
            <w:top w:val="single" w:sz="4" w:space="0" w:color="auto"/>
            <w:bottom w:val="single" w:sz="12" w:space="0" w:color="auto"/>
          </w:tcBorders>
          <w:shd w:val="clear" w:color="auto" w:fill="auto"/>
        </w:tcPr>
        <w:p w:rsidR="00BD094B" w:rsidRDefault="00BD094B" w:rsidP="00BD094B">
          <w:pPr>
            <w:pStyle w:val="Distr"/>
          </w:pPr>
          <w:r>
            <w:t>Distr.: General</w:t>
          </w:r>
        </w:p>
        <w:p w:rsidR="00BD094B" w:rsidRDefault="00BD094B" w:rsidP="00BD094B">
          <w:pPr>
            <w:pStyle w:val="Publication"/>
          </w:pPr>
          <w:r>
            <w:t>27 April 2015</w:t>
          </w:r>
        </w:p>
        <w:p w:rsidR="00BD094B" w:rsidRDefault="00BD094B" w:rsidP="00BD094B">
          <w:pPr>
            <w:spacing w:line="240" w:lineRule="exact"/>
          </w:pPr>
          <w:r>
            <w:t>Chinese</w:t>
          </w:r>
        </w:p>
        <w:p w:rsidR="00BD094B" w:rsidRDefault="00BD094B" w:rsidP="00BD094B">
          <w:pPr>
            <w:pStyle w:val="Original"/>
          </w:pPr>
          <w:r>
            <w:t>Original: English</w:t>
          </w:r>
        </w:p>
        <w:p w:rsidR="00BD094B" w:rsidRPr="00BD094B" w:rsidRDefault="00BD094B" w:rsidP="00BD094B"/>
      </w:tc>
    </w:tr>
  </w:tbl>
  <w:p w:rsidR="00BD094B" w:rsidRPr="00BD094B" w:rsidRDefault="00BD094B" w:rsidP="00BD094B">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4*"/>
    <w:docVar w:name="CreationDt" w:val="12/08/2015 14:39:21"/>
    <w:docVar w:name="DocCategory" w:val="Doc"/>
    <w:docVar w:name="DocType" w:val="Final"/>
    <w:docVar w:name="DutyStation" w:val="Geneva"/>
    <w:docVar w:name="FooterJN" w:val="GE.15-05824 (C)"/>
    <w:docVar w:name="jobn" w:val="GE.15-05824 (C)"/>
    <w:docVar w:name="jobnDT" w:val="15-05824 (C)   120815"/>
    <w:docVar w:name="jobnDTDT" w:val="15-05824 (C)   120815   120815"/>
    <w:docVar w:name="JobNo" w:val="GE.1505824C"/>
    <w:docVar w:name="LocalDrive" w:val="0"/>
    <w:docVar w:name="OandT" w:val="rnie"/>
    <w:docVar w:name="PaperSize" w:val="A4"/>
    <w:docVar w:name="sss1" w:val="CCPR/C/KHM/CO/2"/>
    <w:docVar w:name="sss2" w:val="-"/>
    <w:docVar w:name="Symbol1" w:val="CCPR/C/KHM/CO/2"/>
    <w:docVar w:name="Symbol2" w:val="-"/>
  </w:docVars>
  <w:rsids>
    <w:rsidRoot w:val="006F0CC3"/>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0AA9"/>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0A7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25BCF"/>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1F04"/>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0545"/>
    <w:rsid w:val="006F0CC3"/>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57A5"/>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6B3B"/>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056"/>
    <w:rsid w:val="008F5472"/>
    <w:rsid w:val="008F5D0F"/>
    <w:rsid w:val="00907874"/>
    <w:rsid w:val="009122E0"/>
    <w:rsid w:val="00913351"/>
    <w:rsid w:val="009248ED"/>
    <w:rsid w:val="0092586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37F41"/>
    <w:rsid w:val="00A40AAE"/>
    <w:rsid w:val="00A40EA9"/>
    <w:rsid w:val="00A4532A"/>
    <w:rsid w:val="00A46BEE"/>
    <w:rsid w:val="00A46E28"/>
    <w:rsid w:val="00A4706E"/>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094B"/>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2F66"/>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5414"/>
    <w:rsid w:val="00EF695D"/>
    <w:rsid w:val="00EF6CA2"/>
    <w:rsid w:val="00F01440"/>
    <w:rsid w:val="00F020E7"/>
    <w:rsid w:val="00F03676"/>
    <w:rsid w:val="00F04C64"/>
    <w:rsid w:val="00F057A4"/>
    <w:rsid w:val="00F13305"/>
    <w:rsid w:val="00F1516C"/>
    <w:rsid w:val="00F26864"/>
    <w:rsid w:val="00F27F2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1C1E0E"/>
    <w:pPr>
      <w:spacing w:after="120" w:line="240" w:lineRule="atLeast"/>
      <w:ind w:left="1743" w:right="1267" w:hanging="130"/>
    </w:pPr>
    <w:rPr>
      <w:spacing w:val="4"/>
      <w:w w:val="103"/>
      <w:sz w:val="20"/>
    </w:rPr>
  </w:style>
  <w:style w:type="paragraph" w:customStyle="1" w:styleId="Bullet2">
    <w:name w:val="Bullet 2"/>
    <w:basedOn w:val="a"/>
    <w:qFormat/>
    <w:rsid w:val="001C1E0E"/>
    <w:pPr>
      <w:spacing w:after="120" w:line="240" w:lineRule="exact"/>
      <w:ind w:left="2218" w:right="1267" w:hanging="130"/>
    </w:pPr>
    <w:rPr>
      <w:snapToGrid w:val="0"/>
      <w:spacing w:val="4"/>
      <w:w w:val="103"/>
      <w:sz w:val="20"/>
    </w:rPr>
  </w:style>
  <w:style w:type="paragraph" w:customStyle="1" w:styleId="Bullet3">
    <w:name w:val="Bullet 3"/>
    <w:basedOn w:val="SingleTxt"/>
    <w:qFormat/>
    <w:rsid w:val="0015414C"/>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1C1E0E"/>
    <w:pPr>
      <w:spacing w:after="120" w:line="240" w:lineRule="atLeast"/>
      <w:ind w:left="1743" w:right="1267" w:hanging="130"/>
    </w:pPr>
    <w:rPr>
      <w:spacing w:val="4"/>
      <w:w w:val="103"/>
      <w:sz w:val="20"/>
    </w:rPr>
  </w:style>
  <w:style w:type="paragraph" w:customStyle="1" w:styleId="Bullet2">
    <w:name w:val="Bullet 2"/>
    <w:basedOn w:val="a"/>
    <w:qFormat/>
    <w:rsid w:val="001C1E0E"/>
    <w:pPr>
      <w:spacing w:after="120" w:line="240" w:lineRule="exact"/>
      <w:ind w:left="2218" w:right="1267" w:hanging="130"/>
    </w:pPr>
    <w:rPr>
      <w:snapToGrid w:val="0"/>
      <w:spacing w:val="4"/>
      <w:w w:val="103"/>
      <w:sz w:val="20"/>
    </w:rPr>
  </w:style>
  <w:style w:type="paragraph" w:customStyle="1" w:styleId="Bullet3">
    <w:name w:val="Bullet 3"/>
    <w:basedOn w:val="SingleTxt"/>
    <w:qFormat/>
    <w:rsid w:val="0015414C"/>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30C56-F1C0-4E71-B9BB-862083953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1062</Words>
  <Characters>6059</Characters>
  <Application>Microsoft Office Word</Application>
  <DocSecurity>0</DocSecurity>
  <Lines>50</Lines>
  <Paragraphs>14</Paragraphs>
  <ScaleCrop>false</ScaleCrop>
  <Company>DCM</Company>
  <LinksUpToDate>false</LinksUpToDate>
  <CharactersWithSpaces>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NIE R.Z</dc:creator>
  <cp:keywords/>
  <dc:description/>
  <cp:lastModifiedBy>NIE R.Z</cp:lastModifiedBy>
  <cp:revision>3</cp:revision>
  <cp:lastPrinted>2015-08-12T13:38:00Z</cp:lastPrinted>
  <dcterms:created xsi:type="dcterms:W3CDTF">2015-08-12T13:38:00Z</dcterms:created>
  <dcterms:modified xsi:type="dcterms:W3CDTF">2015-08-12T13:38:00Z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1505824</vt:lpwstr>
  </property>
  <property fmtid="{D5CDD505-2E9C-101B-9397-08002B2CF9AE}" pid="3" name="ODSRefJobNo">
    <vt:lpwstr>1508271C</vt:lpwstr>
  </property>
  <property fmtid="{D5CDD505-2E9C-101B-9397-08002B2CF9AE}" pid="4" name="Symbol1">
    <vt:lpwstr>CCPR/C/KHM/CO/2</vt:lpwstr>
  </property>
  <property fmtid="{D5CDD505-2E9C-101B-9397-08002B2CF9AE}" pid="5" name="Symbol2">
    <vt:lpwstr/>
  </property>
  <property fmtid="{D5CDD505-2E9C-101B-9397-08002B2CF9AE}" pid="6" name="Translator">
    <vt:lpwstr/>
  </property>
  <property fmtid="{D5CDD505-2E9C-101B-9397-08002B2CF9AE}" pid="7" name="Operator">
    <vt:lpwstr>rnie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27 April 2015</vt:lpwstr>
  </property>
  <property fmtid="{D5CDD505-2E9C-101B-9397-08002B2CF9AE}" pid="12" name="Original">
    <vt:lpwstr>English</vt:lpwstr>
  </property>
  <property fmtid="{D5CDD505-2E9C-101B-9397-08002B2CF9AE}" pid="13" name="Release Date">
    <vt:lpwstr>120815</vt:lpwstr>
  </property>
</Properties>
</file>