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F8963" w14:textId="77777777" w:rsidR="00CA08B9" w:rsidRDefault="00CA08B9" w:rsidP="00CA08B9">
      <w:pPr>
        <w:spacing w:line="240" w:lineRule="auto"/>
        <w:rPr>
          <w:color w:val="010000"/>
          <w:sz w:val="2"/>
        </w:rPr>
        <w:sectPr w:rsidR="00CA08B9" w:rsidSect="004B0F84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  <w:szCs w:val="20"/>
        </w:rPr>
        <w:commentReference w:id="0"/>
      </w:r>
    </w:p>
    <w:p w14:paraId="2734A945" w14:textId="77777777" w:rsidR="004B0F84" w:rsidRPr="004B0F84" w:rsidRDefault="004B0F84" w:rsidP="004B0F84">
      <w:pPr>
        <w:pStyle w:val="H1"/>
        <w:ind w:left="0" w:right="5034" w:firstLine="0"/>
      </w:pPr>
      <w:r w:rsidRPr="004B0F84">
        <w:t>Комитет по ликвидации дискриминации в отношении женщин</w:t>
      </w:r>
    </w:p>
    <w:p w14:paraId="2A4E765D" w14:textId="77777777" w:rsidR="004B0F84" w:rsidRPr="004B0F84" w:rsidRDefault="004B0F84" w:rsidP="004B0F84">
      <w:pPr>
        <w:pStyle w:val="SingleTxt"/>
        <w:spacing w:after="0" w:line="120" w:lineRule="exact"/>
        <w:rPr>
          <w:sz w:val="10"/>
        </w:rPr>
      </w:pPr>
    </w:p>
    <w:p w14:paraId="497078AC" w14:textId="77777777" w:rsidR="004B0F84" w:rsidRPr="004B0F84" w:rsidRDefault="004B0F84" w:rsidP="004B0F84">
      <w:pPr>
        <w:pStyle w:val="SingleTxt"/>
        <w:spacing w:after="0" w:line="120" w:lineRule="exact"/>
        <w:rPr>
          <w:sz w:val="10"/>
        </w:rPr>
      </w:pPr>
    </w:p>
    <w:p w14:paraId="6D2C60CE" w14:textId="77777777" w:rsidR="004B0F84" w:rsidRPr="004B0F84" w:rsidRDefault="004B0F84" w:rsidP="004B0F84">
      <w:pPr>
        <w:pStyle w:val="SingleTxt"/>
        <w:spacing w:after="0" w:line="120" w:lineRule="exact"/>
        <w:rPr>
          <w:sz w:val="10"/>
        </w:rPr>
      </w:pPr>
    </w:p>
    <w:p w14:paraId="79B7152C" w14:textId="6F7BC104" w:rsidR="004B0F84" w:rsidRPr="004B0F84" w:rsidRDefault="004B0F84" w:rsidP="004B0F84">
      <w:pPr>
        <w:pStyle w:val="TitleH1"/>
      </w:pPr>
      <w:r>
        <w:rPr>
          <w:lang w:val="en-US"/>
        </w:rPr>
        <w:tab/>
      </w:r>
      <w:r>
        <w:rPr>
          <w:lang w:val="en-US"/>
        </w:rPr>
        <w:tab/>
      </w:r>
      <w:r w:rsidRPr="004B0F84">
        <w:t>Заключительные замечания по восьмому периодическому докладу Аргентины</w:t>
      </w:r>
      <w:r w:rsidRPr="00FC19FD">
        <w:rPr>
          <w:rStyle w:val="FootnoteReference"/>
          <w:b w:val="0"/>
          <w:bCs/>
          <w:sz w:val="20"/>
          <w:szCs w:val="20"/>
          <w:vertAlign w:val="baseline"/>
        </w:rPr>
        <w:footnoteReference w:customMarkFollows="1" w:id="1"/>
        <w:t>*</w:t>
      </w:r>
    </w:p>
    <w:p w14:paraId="1E51BFC6" w14:textId="77777777" w:rsidR="004B0F84" w:rsidRPr="004B0F84" w:rsidRDefault="004B0F84" w:rsidP="004B0F84">
      <w:pPr>
        <w:pStyle w:val="SingleTxt"/>
        <w:spacing w:after="0" w:line="120" w:lineRule="exact"/>
        <w:rPr>
          <w:sz w:val="10"/>
        </w:rPr>
      </w:pPr>
    </w:p>
    <w:p w14:paraId="02D5C8FD" w14:textId="77777777" w:rsidR="004B0F84" w:rsidRPr="004B0F84" w:rsidRDefault="004B0F84" w:rsidP="004B0F84">
      <w:pPr>
        <w:pStyle w:val="SingleTxt"/>
        <w:spacing w:after="0" w:line="120" w:lineRule="exact"/>
        <w:rPr>
          <w:sz w:val="10"/>
        </w:rPr>
      </w:pPr>
    </w:p>
    <w:p w14:paraId="3ACEACA4" w14:textId="0A76513A" w:rsidR="00695398" w:rsidRPr="00695398" w:rsidRDefault="00695398" w:rsidP="00695398">
      <w:pPr>
        <w:pStyle w:val="SingleTxt"/>
      </w:pPr>
      <w:r w:rsidRPr="00695398">
        <w:t>1.</w:t>
      </w:r>
      <w:r w:rsidRPr="00695398">
        <w:tab/>
        <w:t>Комитет рассмотрел восьмой периодический доклад Аргентины (</w:t>
      </w:r>
      <w:hyperlink r:id="rId21" w:history="1">
        <w:r w:rsidR="005423FA" w:rsidRPr="00D33CC3">
          <w:rPr>
            <w:rStyle w:val="Hyperlink"/>
            <w:lang w:val="en-GB"/>
          </w:rPr>
          <w:t>CEDAW</w:t>
        </w:r>
        <w:r w:rsidR="005423FA" w:rsidRPr="005423FA">
          <w:rPr>
            <w:rStyle w:val="Hyperlink"/>
          </w:rPr>
          <w:t>/</w:t>
        </w:r>
        <w:r w:rsidR="005423FA" w:rsidRPr="00D33CC3">
          <w:rPr>
            <w:rStyle w:val="Hyperlink"/>
            <w:lang w:val="en-GB"/>
          </w:rPr>
          <w:t>C</w:t>
        </w:r>
        <w:r w:rsidR="005423FA" w:rsidRPr="005423FA">
          <w:rPr>
            <w:rStyle w:val="Hyperlink"/>
          </w:rPr>
          <w:t>/</w:t>
        </w:r>
        <w:r w:rsidR="005423FA" w:rsidRPr="00D33CC3">
          <w:rPr>
            <w:rStyle w:val="Hyperlink"/>
            <w:lang w:val="en-GB"/>
          </w:rPr>
          <w:t>ARG</w:t>
        </w:r>
        <w:r w:rsidR="005423FA" w:rsidRPr="005423FA">
          <w:rPr>
            <w:rStyle w:val="Hyperlink"/>
          </w:rPr>
          <w:t>/8</w:t>
        </w:r>
      </w:hyperlink>
      <w:r w:rsidRPr="00695398">
        <w:t>), представленный в соответствии с упрощенной процедурой представления докладов, на своих 219</w:t>
      </w:r>
      <w:r w:rsidR="00E16110" w:rsidRPr="00695398">
        <w:t>0</w:t>
      </w:r>
      <w:r w:rsidR="00E16110">
        <w:noBreakHyphen/>
      </w:r>
      <w:r w:rsidR="00E16110" w:rsidRPr="00695398">
        <w:t>м</w:t>
      </w:r>
      <w:r w:rsidR="00E16110">
        <w:t> </w:t>
      </w:r>
      <w:r w:rsidRPr="00695398">
        <w:t>и 2191-м заседаниях (см. </w:t>
      </w:r>
      <w:bookmarkStart w:id="1" w:name="bmv1"/>
      <w:r w:rsidR="00E16110">
        <w:fldChar w:fldCharType="begin"/>
      </w:r>
      <w:r w:rsidR="00E16110">
        <w:instrText>HYPERLINK "https://docs.un.org/ru/CEDAW/C/SR.2190"</w:instrText>
      </w:r>
      <w:r w:rsidR="00E16110">
        <w:fldChar w:fldCharType="separate"/>
      </w:r>
      <w:r w:rsidRPr="00695398">
        <w:rPr>
          <w:rStyle w:val="Hyperlink"/>
        </w:rPr>
        <w:t>CEDAW/C/SR.</w:t>
      </w:r>
      <w:r w:rsidRPr="00695398">
        <w:rPr>
          <w:rStyle w:val="Hyperlink"/>
        </w:rPr>
        <w:t>2</w:t>
      </w:r>
      <w:r w:rsidRPr="00695398">
        <w:rPr>
          <w:rStyle w:val="Hyperlink"/>
        </w:rPr>
        <w:t>190</w:t>
      </w:r>
      <w:r w:rsidR="00E16110">
        <w:fldChar w:fldCharType="end"/>
      </w:r>
      <w:bookmarkEnd w:id="1"/>
      <w:r w:rsidRPr="00695398">
        <w:t xml:space="preserve"> и </w:t>
      </w:r>
      <w:bookmarkStart w:id="2" w:name="bmv2"/>
      <w:r w:rsidR="00E16110">
        <w:fldChar w:fldCharType="begin"/>
      </w:r>
      <w:r w:rsidR="00E16110">
        <w:instrText>HYPERLINK "https://docs.un.org/ru/CEDAW/C/SR.2191"</w:instrText>
      </w:r>
      <w:r w:rsidR="00E16110">
        <w:fldChar w:fldCharType="separate"/>
      </w:r>
      <w:r w:rsidRPr="00695398">
        <w:rPr>
          <w:rStyle w:val="Hyperlink"/>
        </w:rPr>
        <w:t>CEDAW/C/SR.2191</w:t>
      </w:r>
      <w:r w:rsidR="00E16110">
        <w:fldChar w:fldCharType="end"/>
      </w:r>
      <w:bookmarkEnd w:id="2"/>
      <w:r w:rsidRPr="00695398">
        <w:t>), состоявшихся 10 февраля 2026 года.</w:t>
      </w:r>
    </w:p>
    <w:p w14:paraId="25C1EF7D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0BFC9FC9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46855207" w14:textId="77777777" w:rsidR="00695398" w:rsidRPr="00695398" w:rsidRDefault="00695398" w:rsidP="00695398">
      <w:pPr>
        <w:pStyle w:val="H1"/>
      </w:pPr>
      <w:r w:rsidRPr="00695398">
        <w:tab/>
        <w:t>A.</w:t>
      </w:r>
      <w:r w:rsidRPr="00695398">
        <w:tab/>
        <w:t>Введение</w:t>
      </w:r>
    </w:p>
    <w:p w14:paraId="03A8C31E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78C62DE6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7360CC7B" w14:textId="5B2E717B" w:rsidR="00695398" w:rsidRPr="00695398" w:rsidRDefault="00695398" w:rsidP="00695398">
      <w:pPr>
        <w:pStyle w:val="SingleTxt"/>
      </w:pPr>
      <w:r w:rsidRPr="00695398">
        <w:t>2.</w:t>
      </w:r>
      <w:r w:rsidRPr="00695398">
        <w:tab/>
        <w:t>Комитет признателен государству-участнику за представление восьмого периодического доклада, который был подготовлен с опорой на перечень тем и вопросов до представления доклада (</w:t>
      </w:r>
      <w:hyperlink r:id="rId22" w:history="1">
        <w:r w:rsidR="005423FA" w:rsidRPr="00D33CC3">
          <w:rPr>
            <w:rStyle w:val="Hyperlink"/>
            <w:lang w:val="en-GB"/>
          </w:rPr>
          <w:t>CEDAW</w:t>
        </w:r>
        <w:r w:rsidR="005423FA" w:rsidRPr="005423FA">
          <w:rPr>
            <w:rStyle w:val="Hyperlink"/>
          </w:rPr>
          <w:t>/</w:t>
        </w:r>
        <w:r w:rsidR="005423FA" w:rsidRPr="00D33CC3">
          <w:rPr>
            <w:rStyle w:val="Hyperlink"/>
            <w:lang w:val="en-GB"/>
          </w:rPr>
          <w:t>C</w:t>
        </w:r>
        <w:r w:rsidR="005423FA" w:rsidRPr="005423FA">
          <w:rPr>
            <w:rStyle w:val="Hyperlink"/>
          </w:rPr>
          <w:t>/</w:t>
        </w:r>
        <w:r w:rsidR="005423FA" w:rsidRPr="00D33CC3">
          <w:rPr>
            <w:rStyle w:val="Hyperlink"/>
            <w:lang w:val="en-GB"/>
          </w:rPr>
          <w:t>ARG</w:t>
        </w:r>
        <w:r w:rsidR="005423FA" w:rsidRPr="005423FA">
          <w:rPr>
            <w:rStyle w:val="Hyperlink"/>
          </w:rPr>
          <w:t>/</w:t>
        </w:r>
        <w:r w:rsidR="005423FA" w:rsidRPr="00D33CC3">
          <w:rPr>
            <w:rStyle w:val="Hyperlink"/>
            <w:lang w:val="en-GB"/>
          </w:rPr>
          <w:t>QPR</w:t>
        </w:r>
        <w:r w:rsidR="005423FA" w:rsidRPr="005423FA">
          <w:rPr>
            <w:rStyle w:val="Hyperlink"/>
          </w:rPr>
          <w:t>/8</w:t>
        </w:r>
      </w:hyperlink>
      <w:r w:rsidRPr="00695398">
        <w:t>). Он также признателен государству-участнику за представление доклада о принятых мерах по выполнению предыдущих заключительных замечаний Комитета (</w:t>
      </w:r>
      <w:hyperlink r:id="rId23" w:history="1">
        <w:r w:rsidR="005423FA" w:rsidRPr="00D33CC3">
          <w:rPr>
            <w:rStyle w:val="Hyperlink"/>
            <w:lang w:val="en-GB"/>
          </w:rPr>
          <w:t>CEDAW</w:t>
        </w:r>
        <w:r w:rsidR="005423FA" w:rsidRPr="005423FA">
          <w:rPr>
            <w:rStyle w:val="Hyperlink"/>
          </w:rPr>
          <w:t>/</w:t>
        </w:r>
        <w:r w:rsidR="005423FA" w:rsidRPr="00D33CC3">
          <w:rPr>
            <w:rStyle w:val="Hyperlink"/>
            <w:lang w:val="en-GB"/>
          </w:rPr>
          <w:t>C</w:t>
        </w:r>
        <w:r w:rsidR="005423FA" w:rsidRPr="005423FA">
          <w:rPr>
            <w:rStyle w:val="Hyperlink"/>
          </w:rPr>
          <w:t>/</w:t>
        </w:r>
        <w:r w:rsidR="005423FA" w:rsidRPr="00D33CC3">
          <w:rPr>
            <w:rStyle w:val="Hyperlink"/>
            <w:lang w:val="en-GB"/>
          </w:rPr>
          <w:t>ARG</w:t>
        </w:r>
        <w:r w:rsidR="005423FA" w:rsidRPr="005423FA">
          <w:rPr>
            <w:rStyle w:val="Hyperlink"/>
          </w:rPr>
          <w:t>/</w:t>
        </w:r>
        <w:r w:rsidR="005423FA" w:rsidRPr="00D33CC3">
          <w:rPr>
            <w:rStyle w:val="Hyperlink"/>
            <w:lang w:val="en-GB"/>
          </w:rPr>
          <w:t>CO</w:t>
        </w:r>
        <w:r w:rsidR="005423FA" w:rsidRPr="005423FA">
          <w:rPr>
            <w:rStyle w:val="Hyperlink"/>
          </w:rPr>
          <w:t>/7/</w:t>
        </w:r>
        <w:r w:rsidR="005423FA" w:rsidRPr="00D33CC3">
          <w:rPr>
            <w:rStyle w:val="Hyperlink"/>
            <w:lang w:val="en-GB"/>
          </w:rPr>
          <w:t>Add</w:t>
        </w:r>
        <w:r w:rsidR="005423FA" w:rsidRPr="005423FA">
          <w:rPr>
            <w:rStyle w:val="Hyperlink"/>
          </w:rPr>
          <w:t>.1</w:t>
        </w:r>
      </w:hyperlink>
      <w:r w:rsidRPr="00695398">
        <w:t>) и приложения, представленного для обновления доклада перед его рассмотрением. Комитет с удовлетворением отмечает устное выступление делегации, а также дополнительные разъяснения, предоставленные юрисконсультом Подсекретариата по правам человека в Министерстве юстиции Урсулой Бассет в ответ на вопросы, которые были заданы членами Комитета в устной форме в ходе состоявшегося диалога.</w:t>
      </w:r>
    </w:p>
    <w:p w14:paraId="63919047" w14:textId="329675FD" w:rsidR="00695398" w:rsidRPr="00695398" w:rsidRDefault="00695398" w:rsidP="00695398">
      <w:pPr>
        <w:pStyle w:val="SingleTxt"/>
      </w:pPr>
      <w:r w:rsidRPr="00695398">
        <w:t>3.</w:t>
      </w:r>
      <w:r w:rsidRPr="00695398">
        <w:tab/>
        <w:t>Комитет выражает государству-участнику признательность за направление делегации, которую возглавлял заместитель министра юстиции по вопросам прав человека Хоакин Могабуру и в которую также входили юрисконсульт Национального управления по правовым вопросам в области прав человека того же Подсекретариата, представитель Министерства иностранных дел и Постоянный представитель Аргентины при Отделении Организации Объединенных Наций и других международных организациях в Женеве Карлос Марио Форадори, а также другие представители Постоянного представительства.</w:t>
      </w:r>
    </w:p>
    <w:p w14:paraId="44A23428" w14:textId="77777777" w:rsidR="00695398" w:rsidRPr="00695398" w:rsidRDefault="00695398" w:rsidP="00695398">
      <w:pPr>
        <w:pStyle w:val="SingleTxt"/>
        <w:spacing w:after="0" w:line="120" w:lineRule="exact"/>
        <w:rPr>
          <w:b/>
          <w:bCs/>
          <w:sz w:val="10"/>
        </w:rPr>
      </w:pPr>
    </w:p>
    <w:p w14:paraId="2AFF0E7D" w14:textId="77777777" w:rsidR="00695398" w:rsidRPr="00695398" w:rsidRDefault="00695398" w:rsidP="00695398">
      <w:pPr>
        <w:pStyle w:val="SingleTxt"/>
        <w:spacing w:after="0" w:line="120" w:lineRule="exact"/>
        <w:rPr>
          <w:b/>
          <w:bCs/>
          <w:sz w:val="10"/>
        </w:rPr>
      </w:pPr>
    </w:p>
    <w:p w14:paraId="5B06E545" w14:textId="77777777" w:rsidR="00695398" w:rsidRDefault="00695398">
      <w:pPr>
        <w:suppressAutoHyphens w:val="0"/>
        <w:spacing w:after="160" w:line="259" w:lineRule="auto"/>
        <w:rPr>
          <w:b/>
          <w:kern w:val="14"/>
          <w:sz w:val="24"/>
        </w:rPr>
      </w:pPr>
      <w:r>
        <w:br w:type="page"/>
      </w:r>
    </w:p>
    <w:p w14:paraId="755C4285" w14:textId="7172C545" w:rsidR="00695398" w:rsidRPr="00695398" w:rsidRDefault="00695398" w:rsidP="00695398">
      <w:pPr>
        <w:pStyle w:val="H1"/>
      </w:pPr>
      <w:r w:rsidRPr="00695398">
        <w:lastRenderedPageBreak/>
        <w:tab/>
        <w:t>B.</w:t>
      </w:r>
      <w:r w:rsidRPr="00695398">
        <w:tab/>
        <w:t>Позитивные аспекты</w:t>
      </w:r>
    </w:p>
    <w:p w14:paraId="6F70E9CA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266DF1A0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180D5685" w14:textId="1CE3321C" w:rsidR="00695398" w:rsidRPr="00695398" w:rsidRDefault="00695398" w:rsidP="00695398">
      <w:pPr>
        <w:pStyle w:val="SingleTxt"/>
      </w:pPr>
      <w:r w:rsidRPr="00695398">
        <w:t>4.</w:t>
      </w:r>
      <w:r w:rsidRPr="00695398">
        <w:tab/>
        <w:t>Комитет приветствует прогресс в проведении законодательных реформ, достигнутый за период после рассмотрения в 2016 году седьмого периодического доклада государства-участника (</w:t>
      </w:r>
      <w:hyperlink r:id="rId24" w:history="1">
        <w:r w:rsidRPr="00695398">
          <w:rPr>
            <w:rStyle w:val="Hyperlink"/>
          </w:rPr>
          <w:t>CEDAW/C/ARG/7</w:t>
        </w:r>
      </w:hyperlink>
      <w:r w:rsidRPr="00695398">
        <w:t>), в частности принятие следующих законодательных актов:</w:t>
      </w:r>
    </w:p>
    <w:p w14:paraId="52BCE184" w14:textId="7DDBDAC8" w:rsidR="00695398" w:rsidRPr="00695398" w:rsidRDefault="00695398" w:rsidP="00695398">
      <w:pPr>
        <w:pStyle w:val="SingleTxt"/>
      </w:pPr>
      <w:r w:rsidRPr="00695398">
        <w:tab/>
        <w:t>a)</w:t>
      </w:r>
      <w:r w:rsidRPr="00695398">
        <w:tab/>
        <w:t>Закона № 27.636 о содействии доступу к официальной занятости для трансвеститов, транссексуалов и трансгендерных людей (известного как закон Дианы Сакаян</w:t>
      </w:r>
      <w:r w:rsidR="00E16110">
        <w:t xml:space="preserve"> — </w:t>
      </w:r>
      <w:r w:rsidRPr="00695398">
        <w:t>Лоаны Беркинс) в 202</w:t>
      </w:r>
      <w:r w:rsidR="00E16110" w:rsidRPr="00695398">
        <w:t>1</w:t>
      </w:r>
      <w:r w:rsidR="00E16110">
        <w:t> </w:t>
      </w:r>
      <w:r w:rsidR="00E16110" w:rsidRPr="00695398">
        <w:t>год</w:t>
      </w:r>
      <w:r w:rsidRPr="00695398">
        <w:t>у;</w:t>
      </w:r>
    </w:p>
    <w:p w14:paraId="33245D72" w14:textId="03B65671" w:rsidR="00695398" w:rsidRPr="00695398" w:rsidRDefault="00695398" w:rsidP="00695398">
      <w:pPr>
        <w:pStyle w:val="SingleTxt"/>
      </w:pPr>
      <w:r w:rsidRPr="00695398">
        <w:tab/>
        <w:t>b)</w:t>
      </w:r>
      <w:r w:rsidRPr="00695398">
        <w:tab/>
        <w:t>Закона № 27.610 о доступе к добровольному прерыванию беременности, в соответствии с которым аборты стали легальными, в 202</w:t>
      </w:r>
      <w:r w:rsidR="00E16110" w:rsidRPr="00695398">
        <w:t>0</w:t>
      </w:r>
      <w:r w:rsidR="00E16110">
        <w:t> </w:t>
      </w:r>
      <w:r w:rsidR="00E16110" w:rsidRPr="00695398">
        <w:t>год</w:t>
      </w:r>
      <w:r w:rsidRPr="00695398">
        <w:t>у;</w:t>
      </w:r>
    </w:p>
    <w:p w14:paraId="1521A5C0" w14:textId="766518DF" w:rsidR="00695398" w:rsidRPr="00695398" w:rsidRDefault="00695398" w:rsidP="00695398">
      <w:pPr>
        <w:pStyle w:val="SingleTxt"/>
      </w:pPr>
      <w:r w:rsidRPr="00695398">
        <w:tab/>
        <w:t>c)</w:t>
      </w:r>
      <w:r w:rsidRPr="00695398">
        <w:tab/>
        <w:t>Закона № 27.611 о всеобъемлющей охране здоровья и помощи в период беременности и раннего детства (известного как «закон 1000 дней») в 202</w:t>
      </w:r>
      <w:r w:rsidR="00E16110" w:rsidRPr="00695398">
        <w:t>0</w:t>
      </w:r>
      <w:r w:rsidR="00E16110">
        <w:t> </w:t>
      </w:r>
      <w:r w:rsidR="00E16110" w:rsidRPr="00695398">
        <w:t>год</w:t>
      </w:r>
      <w:r w:rsidRPr="00695398">
        <w:t>у;</w:t>
      </w:r>
    </w:p>
    <w:p w14:paraId="46E0673A" w14:textId="79DCA426" w:rsidR="00695398" w:rsidRPr="00695398" w:rsidRDefault="00695398" w:rsidP="00695398">
      <w:pPr>
        <w:pStyle w:val="SingleTxt"/>
      </w:pPr>
      <w:r w:rsidRPr="00695398">
        <w:tab/>
        <w:t>d)</w:t>
      </w:r>
      <w:r w:rsidRPr="00695398">
        <w:tab/>
        <w:t>Закона № 27.499, в соответствии с которым было введено обязательное обучение по вопросам гендера и гендерного насилия для всех лиц, выполняющих публичные функции (известного как закон Микаэлы), в 201</w:t>
      </w:r>
      <w:r w:rsidR="00E16110" w:rsidRPr="00695398">
        <w:t>8</w:t>
      </w:r>
      <w:r w:rsidR="00E16110">
        <w:t> </w:t>
      </w:r>
      <w:r w:rsidR="00E16110" w:rsidRPr="00695398">
        <w:t>год</w:t>
      </w:r>
      <w:r w:rsidRPr="00695398">
        <w:t>у;</w:t>
      </w:r>
    </w:p>
    <w:p w14:paraId="29E509EB" w14:textId="1F782AB6" w:rsidR="00695398" w:rsidRPr="00695398" w:rsidRDefault="00695398" w:rsidP="00695398">
      <w:pPr>
        <w:pStyle w:val="SingleTxt"/>
      </w:pPr>
      <w:r w:rsidRPr="00695398">
        <w:tab/>
        <w:t>e)</w:t>
      </w:r>
      <w:r w:rsidRPr="00695398">
        <w:tab/>
        <w:t>Закона № 27.452 о материальном возмещении детям жертв фемицида (известного как закон Брисы) в 201</w:t>
      </w:r>
      <w:r w:rsidR="00E16110" w:rsidRPr="00695398">
        <w:t>8</w:t>
      </w:r>
      <w:r w:rsidR="00E16110">
        <w:t> </w:t>
      </w:r>
      <w:r w:rsidR="00E16110" w:rsidRPr="00695398">
        <w:t>год</w:t>
      </w:r>
      <w:r w:rsidRPr="00695398">
        <w:t>у;</w:t>
      </w:r>
    </w:p>
    <w:p w14:paraId="52BA3AC9" w14:textId="600B39CB" w:rsidR="00695398" w:rsidRPr="00695398" w:rsidRDefault="00695398" w:rsidP="00695398">
      <w:pPr>
        <w:pStyle w:val="SingleTxt"/>
      </w:pPr>
      <w:r w:rsidRPr="00695398">
        <w:tab/>
        <w:t>f)</w:t>
      </w:r>
      <w:r w:rsidRPr="00695398">
        <w:tab/>
        <w:t>Закона № 27.412 о гендерном паритете в различных сферах политического представительства в 201</w:t>
      </w:r>
      <w:r w:rsidR="00E16110" w:rsidRPr="00695398">
        <w:t>7</w:t>
      </w:r>
      <w:r w:rsidR="00E16110">
        <w:t> </w:t>
      </w:r>
      <w:r w:rsidR="00E16110" w:rsidRPr="00695398">
        <w:t>год</w:t>
      </w:r>
      <w:r w:rsidRPr="00695398">
        <w:t>у.</w:t>
      </w:r>
    </w:p>
    <w:p w14:paraId="4D6E169F" w14:textId="77777777" w:rsidR="00695398" w:rsidRPr="00695398" w:rsidRDefault="00695398" w:rsidP="00695398">
      <w:pPr>
        <w:pStyle w:val="SingleTxt"/>
      </w:pPr>
      <w:r w:rsidRPr="00695398">
        <w:t>5.</w:t>
      </w:r>
      <w:r w:rsidRPr="00695398">
        <w:tab/>
        <w:t>Комитет с удовлетворением отмечает усилия государства-участника по совершенствованию институциональной и нормативной базы, имеющие целью ускорить ликвидацию дискриминации в отношении женщин и способствовать обеспечению гендерного равенства, и, в частности, отмечает принятие или введение в действие следующих инструментов:</w:t>
      </w:r>
    </w:p>
    <w:p w14:paraId="1366B74B" w14:textId="208BAC0E" w:rsidR="00695398" w:rsidRPr="00695398" w:rsidRDefault="00695398" w:rsidP="00695398">
      <w:pPr>
        <w:pStyle w:val="SingleTxt"/>
      </w:pPr>
      <w:r w:rsidRPr="00695398">
        <w:tab/>
        <w:t>a)</w:t>
      </w:r>
      <w:r w:rsidRPr="00695398">
        <w:tab/>
        <w:t>национального плана действий по противодействию гендерному насилию на период 2022–202</w:t>
      </w:r>
      <w:r w:rsidR="00E16110" w:rsidRPr="00695398">
        <w:t>4</w:t>
      </w:r>
      <w:r w:rsidR="00E16110">
        <w:t> </w:t>
      </w:r>
      <w:r w:rsidR="00E16110" w:rsidRPr="00695398">
        <w:t>год</w:t>
      </w:r>
      <w:r w:rsidRPr="00695398">
        <w:t>ов;</w:t>
      </w:r>
    </w:p>
    <w:p w14:paraId="66927071" w14:textId="0B5995B4" w:rsidR="00695398" w:rsidRPr="00695398" w:rsidRDefault="00695398" w:rsidP="00695398">
      <w:pPr>
        <w:pStyle w:val="SingleTxt"/>
      </w:pPr>
      <w:r w:rsidRPr="00695398">
        <w:tab/>
        <w:t>b)</w:t>
      </w:r>
      <w:r w:rsidRPr="00695398">
        <w:tab/>
        <w:t>национального плана по предотвращению непреднамеренных беременностей у подростков на период 2018–202</w:t>
      </w:r>
      <w:r w:rsidR="00E16110" w:rsidRPr="00695398">
        <w:t>3</w:t>
      </w:r>
      <w:r w:rsidR="00E16110">
        <w:t> </w:t>
      </w:r>
      <w:r w:rsidR="00E16110" w:rsidRPr="00695398">
        <w:t>год</w:t>
      </w:r>
      <w:r w:rsidRPr="00695398">
        <w:t>ов;</w:t>
      </w:r>
    </w:p>
    <w:p w14:paraId="1AF081BC" w14:textId="0C8E6BF1" w:rsidR="00695398" w:rsidRPr="00695398" w:rsidRDefault="00695398" w:rsidP="00695398">
      <w:pPr>
        <w:pStyle w:val="SingleTxt"/>
      </w:pPr>
      <w:r w:rsidRPr="00695398">
        <w:tab/>
        <w:t>c)</w:t>
      </w:r>
      <w:r w:rsidRPr="00695398">
        <w:tab/>
        <w:t>мирового соглашения по делу «дель Росарио Диас против Аргентины» (</w:t>
      </w:r>
      <w:hyperlink r:id="rId25" w:history="1">
        <w:r w:rsidRPr="00695398">
          <w:rPr>
            <w:rStyle w:val="Hyperlink"/>
          </w:rPr>
          <w:t>CEDAW/C/86/D/127/2018</w:t>
        </w:r>
      </w:hyperlink>
      <w:r w:rsidRPr="00695398">
        <w:t>), заключенного в октябре 202</w:t>
      </w:r>
      <w:r w:rsidR="00E16110" w:rsidRPr="00695398">
        <w:t>3</w:t>
      </w:r>
      <w:r w:rsidR="00E16110">
        <w:t> </w:t>
      </w:r>
      <w:r w:rsidR="00E16110" w:rsidRPr="00695398">
        <w:t>год</w:t>
      </w:r>
      <w:r w:rsidRPr="00695398">
        <w:t>а.</w:t>
      </w:r>
    </w:p>
    <w:p w14:paraId="17ADC53E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19FE8EBB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146AAFFC" w14:textId="77777777" w:rsidR="00695398" w:rsidRPr="00695398" w:rsidRDefault="00695398" w:rsidP="00695398">
      <w:pPr>
        <w:pStyle w:val="H1"/>
      </w:pPr>
      <w:r w:rsidRPr="00695398">
        <w:tab/>
        <w:t>C.</w:t>
      </w:r>
      <w:r w:rsidRPr="00695398">
        <w:tab/>
        <w:t>Цели в области устойчивого развития</w:t>
      </w:r>
    </w:p>
    <w:p w14:paraId="5BEE0261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6350414B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6B45E4D9" w14:textId="7D47289A" w:rsidR="00695398" w:rsidRPr="00695398" w:rsidRDefault="00695398" w:rsidP="00695398">
      <w:pPr>
        <w:pStyle w:val="SingleTxt"/>
      </w:pPr>
      <w:r w:rsidRPr="00695398">
        <w:t>6.</w:t>
      </w:r>
      <w:r w:rsidRPr="00695398">
        <w:tab/>
      </w:r>
      <w:r w:rsidRPr="00695398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</w:t>
      </w:r>
      <w:r w:rsidR="00E16110" w:rsidRPr="00695398">
        <w:rPr>
          <w:b/>
          <w:bCs/>
        </w:rPr>
        <w:t>0</w:t>
      </w:r>
      <w:r w:rsidR="00E16110">
        <w:rPr>
          <w:b/>
          <w:bCs/>
        </w:rPr>
        <w:t> </w:t>
      </w:r>
      <w:r w:rsidR="00E16110" w:rsidRPr="00695398">
        <w:rPr>
          <w:b/>
          <w:bCs/>
        </w:rPr>
        <w:t>год</w:t>
      </w:r>
      <w:r w:rsidRPr="00695398">
        <w:rPr>
          <w:b/>
          <w:bCs/>
        </w:rPr>
        <w:t>а.</w:t>
      </w:r>
      <w:r w:rsidRPr="00695398">
        <w:t xml:space="preserve"> </w:t>
      </w:r>
      <w:r w:rsidRPr="00695398">
        <w:rPr>
          <w:b/>
          <w:bCs/>
        </w:rPr>
        <w:t xml:space="preserve">Комитет напоминает о важности </w:t>
      </w:r>
      <w:r w:rsidR="00E16110" w:rsidRPr="00695398">
        <w:rPr>
          <w:b/>
          <w:bCs/>
        </w:rPr>
        <w:t>цели</w:t>
      </w:r>
      <w:r w:rsidR="00E16110">
        <w:rPr>
          <w:b/>
          <w:bCs/>
        </w:rPr>
        <w:t> </w:t>
      </w:r>
      <w:r w:rsidR="00E16110" w:rsidRPr="00695398">
        <w:rPr>
          <w:b/>
          <w:bCs/>
        </w:rPr>
        <w:t>5</w:t>
      </w:r>
      <w:r w:rsidRPr="00695398">
        <w:rPr>
          <w:b/>
          <w:bCs/>
        </w:rPr>
        <w:t xml:space="preserve"> в области устойчивого развития и необходимости учитывать принципы равенства и недискриминации в процессе достижения всех 17</w:t>
      </w:r>
      <w:r w:rsidR="00603C29">
        <w:rPr>
          <w:b/>
          <w:bCs/>
        </w:rPr>
        <w:t> </w:t>
      </w:r>
      <w:r w:rsidRPr="00695398">
        <w:rPr>
          <w:b/>
          <w:bCs/>
        </w:rPr>
        <w:t>целей.</w:t>
      </w:r>
      <w:r w:rsidRPr="00695398">
        <w:t xml:space="preserve"> </w:t>
      </w:r>
      <w:r w:rsidRPr="00695398">
        <w:rPr>
          <w:b/>
          <w:bCs/>
        </w:rPr>
        <w:t>Он настоятельно призывает государство-участник признать, что женщины являются движущей силой устойчивого развития Аргентины, и принять в этой связи соответствующие программы и стратегии.</w:t>
      </w:r>
    </w:p>
    <w:p w14:paraId="73693750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5EC1D8A3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614EA436" w14:textId="77777777" w:rsidR="00695398" w:rsidRDefault="00695398">
      <w:pPr>
        <w:suppressAutoHyphens w:val="0"/>
        <w:spacing w:after="160" w:line="259" w:lineRule="auto"/>
        <w:rPr>
          <w:b/>
          <w:kern w:val="14"/>
          <w:sz w:val="24"/>
        </w:rPr>
      </w:pPr>
      <w:r>
        <w:br w:type="page"/>
      </w:r>
    </w:p>
    <w:p w14:paraId="7D3AD716" w14:textId="502CCA03" w:rsidR="00695398" w:rsidRPr="00695398" w:rsidRDefault="00695398" w:rsidP="00695398">
      <w:pPr>
        <w:pStyle w:val="H1"/>
      </w:pPr>
      <w:r w:rsidRPr="00695398">
        <w:lastRenderedPageBreak/>
        <w:tab/>
        <w:t>D.</w:t>
      </w:r>
      <w:r w:rsidRPr="00695398">
        <w:tab/>
        <w:t>Парламент</w:t>
      </w:r>
    </w:p>
    <w:p w14:paraId="555A4F4B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623235E0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268F8A03" w14:textId="75C786F4" w:rsidR="00695398" w:rsidRPr="00695398" w:rsidRDefault="00695398" w:rsidP="00695398">
      <w:pPr>
        <w:pStyle w:val="SingleTxt"/>
      </w:pPr>
      <w:r w:rsidRPr="00695398">
        <w:t>7.</w:t>
      </w:r>
      <w:r w:rsidRPr="00695398">
        <w:tab/>
      </w:r>
      <w:r w:rsidRPr="00695398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 </w:t>
      </w:r>
      <w:r w:rsidR="00E16110" w:rsidRPr="00695398">
        <w:rPr>
          <w:b/>
          <w:bCs/>
        </w:rPr>
        <w:t>документ</w:t>
      </w:r>
      <w:r w:rsidR="00E16110">
        <w:rPr>
          <w:b/>
          <w:bCs/>
        </w:rPr>
        <w:t> </w:t>
      </w:r>
      <w:hyperlink r:id="rId26" w:history="1">
        <w:r w:rsidR="00E16110" w:rsidRPr="00695398">
          <w:rPr>
            <w:rStyle w:val="Hyperlink"/>
            <w:b/>
            <w:bCs/>
          </w:rPr>
          <w:t>A</w:t>
        </w:r>
        <w:r w:rsidRPr="00695398">
          <w:rPr>
            <w:rStyle w:val="Hyperlink"/>
            <w:b/>
            <w:bCs/>
          </w:rPr>
          <w:t>/65/</w:t>
        </w:r>
        <w:r w:rsidRPr="00695398">
          <w:rPr>
            <w:rStyle w:val="Hyperlink"/>
            <w:b/>
            <w:bCs/>
          </w:rPr>
          <w:t>3</w:t>
        </w:r>
        <w:r w:rsidRPr="00695398">
          <w:rPr>
            <w:rStyle w:val="Hyperlink"/>
            <w:b/>
            <w:bCs/>
          </w:rPr>
          <w:t>8</w:t>
        </w:r>
      </w:hyperlink>
      <w:r w:rsidRPr="00695398">
        <w:rPr>
          <w:b/>
          <w:bCs/>
        </w:rPr>
        <w:t>, часть вторая, приложение VI).</w:t>
      </w:r>
      <w:r w:rsidRPr="00695398">
        <w:t xml:space="preserve"> </w:t>
      </w:r>
      <w:r w:rsidRPr="00695398">
        <w:rPr>
          <w:b/>
          <w:bCs/>
        </w:rPr>
        <w:t>Он предлагает Национальному конгрессу в соответствии с его мандатом принять необходимые меры для выполнения настоящих заключительных замечаний до представления следующего периодического доклада согласно Конвенции.</w:t>
      </w:r>
    </w:p>
    <w:p w14:paraId="6BAE5EE4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63FE7560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6464D723" w14:textId="4481DC4A" w:rsidR="00695398" w:rsidRPr="00695398" w:rsidRDefault="00695398" w:rsidP="00695398">
      <w:pPr>
        <w:pStyle w:val="H1"/>
      </w:pPr>
      <w:r w:rsidRPr="00695398">
        <w:tab/>
        <w:t>E.</w:t>
      </w:r>
      <w:r w:rsidRPr="00695398">
        <w:tab/>
        <w:t>Основные вопросы, вызывающие обеспокоенность, и</w:t>
      </w:r>
      <w:r w:rsidR="001F75AC">
        <w:rPr>
          <w:lang w:val="en-US"/>
        </w:rPr>
        <w:t> </w:t>
      </w:r>
      <w:r w:rsidRPr="00695398">
        <w:t>рекомендации</w:t>
      </w:r>
    </w:p>
    <w:p w14:paraId="0B9E4ADC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63B22766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7597815C" w14:textId="644D3BFF" w:rsidR="00695398" w:rsidRPr="00695398" w:rsidRDefault="00695398" w:rsidP="00695398">
      <w:pPr>
        <w:pStyle w:val="H23"/>
      </w:pPr>
      <w:r w:rsidRPr="00695398">
        <w:tab/>
      </w:r>
      <w:r w:rsidRPr="00695398">
        <w:tab/>
        <w:t>Распространение информации о Конвенции, Факультативном протоколе к</w:t>
      </w:r>
      <w:r w:rsidR="00957ECA">
        <w:rPr>
          <w:lang w:val="en-US"/>
        </w:rPr>
        <w:t> </w:t>
      </w:r>
      <w:r w:rsidRPr="00695398">
        <w:t>ней и общих рекомендациях Комитета</w:t>
      </w:r>
    </w:p>
    <w:p w14:paraId="504A9C6F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59602B75" w14:textId="119EB962" w:rsidR="00695398" w:rsidRPr="00695398" w:rsidRDefault="00695398" w:rsidP="00695398">
      <w:pPr>
        <w:pStyle w:val="SingleTxt"/>
      </w:pPr>
      <w:r w:rsidRPr="00695398">
        <w:t>8.</w:t>
      </w:r>
      <w:r w:rsidRPr="00695398">
        <w:tab/>
        <w:t>Комитет с обеспокоенностью отмечает:</w:t>
      </w:r>
    </w:p>
    <w:p w14:paraId="59701F3D" w14:textId="45579477" w:rsidR="00695398" w:rsidRPr="00695398" w:rsidRDefault="00695398" w:rsidP="00695398">
      <w:pPr>
        <w:pStyle w:val="SingleTxt"/>
      </w:pPr>
      <w:r w:rsidRPr="00695398">
        <w:tab/>
        <w:t>a)</w:t>
      </w:r>
      <w:r w:rsidRPr="00695398">
        <w:tab/>
        <w:t>значительное сокращение мероприятий по соответствующей учебной подготовке и охвата этой подготовкой с 202</w:t>
      </w:r>
      <w:r w:rsidR="00E16110" w:rsidRPr="00695398">
        <w:t>4</w:t>
      </w:r>
      <w:r w:rsidR="00E16110">
        <w:t> </w:t>
      </w:r>
      <w:r w:rsidR="00E16110" w:rsidRPr="00695398">
        <w:t>год</w:t>
      </w:r>
      <w:r w:rsidRPr="00695398">
        <w:t>а, в том числе резкое уменьшение числа публичных должностных лиц, прошедших такую подготовку;</w:t>
      </w:r>
    </w:p>
    <w:p w14:paraId="3D6B4B0A" w14:textId="77777777" w:rsidR="00695398" w:rsidRPr="00695398" w:rsidRDefault="00695398" w:rsidP="00695398">
      <w:pPr>
        <w:pStyle w:val="SingleTxt"/>
      </w:pPr>
      <w:r w:rsidRPr="00695398">
        <w:tab/>
        <w:t>b)</w:t>
      </w:r>
      <w:r w:rsidRPr="00695398">
        <w:tab/>
        <w:t>то, что в соответствии со своим постановлением № 376/2025 Министерство юстиции исключило признание учебной подготовки по вопросам гендера и многообразия из числа критериев, которым отдается приоритет в процессах назначения работников судебных органов на должности и их повышения в должности, ослабив тем самым институциональные средства стимулирования судей и прокуроров к прохождению учебной подготовки по вопросам прав человека женщин и потенциально сведя на нет применение Конвенции судебными органами и использование ими ссылок на общие рекомендации Комитета;</w:t>
      </w:r>
    </w:p>
    <w:p w14:paraId="582A9D57" w14:textId="77777777" w:rsidR="00695398" w:rsidRPr="00695398" w:rsidRDefault="00695398" w:rsidP="00695398">
      <w:pPr>
        <w:pStyle w:val="SingleTxt"/>
      </w:pPr>
      <w:r w:rsidRPr="00695398">
        <w:tab/>
        <w:t>c)</w:t>
      </w:r>
      <w:r w:rsidRPr="00695398">
        <w:tab/>
        <w:t>отсутствие систематически и публично распространяемой и доступной информации о выполнении рекомендаций Комитета в соответствии с Факультативным протоколом и о связанных с ними мировых соглашениях, в том числе о принятии последующих мер в целях недопущения новых нарушений;</w:t>
      </w:r>
    </w:p>
    <w:p w14:paraId="75E30338" w14:textId="1E7D1A13" w:rsidR="00695398" w:rsidRPr="00695398" w:rsidRDefault="00695398" w:rsidP="00695398">
      <w:pPr>
        <w:pStyle w:val="SingleTxt"/>
      </w:pPr>
      <w:r w:rsidRPr="00695398">
        <w:tab/>
        <w:t>d)</w:t>
      </w:r>
      <w:r w:rsidRPr="00695398">
        <w:tab/>
        <w:t>публичные заявления, из которых можно сделать вывод о том, что сферу применения Конвенции следует толковать узко, а общие рекомендации Комитета в силу их необязательного характера лишь в ограниченной степени применимы при разработке законодательства и мер политики.</w:t>
      </w:r>
    </w:p>
    <w:p w14:paraId="20FF7BC6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>9.</w:t>
      </w:r>
      <w:r w:rsidRPr="00695398">
        <w:tab/>
      </w:r>
      <w:r w:rsidRPr="00695398">
        <w:rPr>
          <w:b/>
          <w:bCs/>
        </w:rPr>
        <w:t>Напоминая о том, что в общих рекомендациях Комитета содержатся авторитетные толкования обязательств государств-участников по Конвенции и что эти рекомендации принципиально важны для обеспечения ее полного и эффективного осуществления, Комитет рекомендует государству-участнику:</w:t>
      </w:r>
    </w:p>
    <w:p w14:paraId="043C1B4C" w14:textId="405DFEE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a)</w:t>
      </w:r>
      <w:r w:rsidRPr="00695398">
        <w:tab/>
      </w:r>
      <w:r w:rsidRPr="00695398">
        <w:rPr>
          <w:b/>
          <w:bCs/>
        </w:rPr>
        <w:t>обеспечивать полное и эффективное исполнение Закона № 27.499 (закон Микаэлы) во всех ветвях и на всех уровнях государственной власти, в том числе за счет выделения достаточных ресурсов, систематического отслеживания его соблюдения и представления соответствующей публичной отчетности;</w:t>
      </w:r>
    </w:p>
    <w:p w14:paraId="10EFE736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b)</w:t>
      </w:r>
      <w:r w:rsidRPr="00695398">
        <w:tab/>
      </w:r>
      <w:r w:rsidRPr="00695398">
        <w:rPr>
          <w:b/>
          <w:bCs/>
        </w:rPr>
        <w:t>восстановить учебную подготовку по вопросам прав человека женщин и гендерного равенства, охватывающую в том числе Конвенцию, Факультативный протокол к ней и общие рекомендации Комитета, в качестве значимого критерия при назначении работников судебных органов на должности и их повышении в должности, а также сделать эту подготовку более эффективной;</w:t>
      </w:r>
      <w:r w:rsidRPr="00695398">
        <w:t xml:space="preserve"> </w:t>
      </w:r>
      <w:r w:rsidRPr="00695398">
        <w:rPr>
          <w:b/>
          <w:bCs/>
        </w:rPr>
        <w:t xml:space="preserve">и обеспечить, чтобы судьи, прокуроры, </w:t>
      </w:r>
      <w:r w:rsidRPr="00695398">
        <w:rPr>
          <w:b/>
          <w:bCs/>
        </w:rPr>
        <w:lastRenderedPageBreak/>
        <w:t>государственные защитники и другие специалисты в области права проходили регулярную обязательную и подлежащую оценке учебную подготовку по вопросам применения Конвенции;</w:t>
      </w:r>
    </w:p>
    <w:p w14:paraId="5E85C9B9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c)</w:t>
      </w:r>
      <w:r w:rsidRPr="00695398">
        <w:tab/>
      </w:r>
      <w:r w:rsidRPr="00695398">
        <w:rPr>
          <w:b/>
          <w:bCs/>
        </w:rPr>
        <w:t>систематически распространять рекомендации и решения Комитета в соответствии с Факультативным протоколом и обеспечивать наличие прозрачных и общедоступных механизмов последующей деятельности в целях их осуществления и для предотвращения повторения выявленных нарушений;</w:t>
      </w:r>
    </w:p>
    <w:p w14:paraId="4D98A682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d)</w:t>
      </w:r>
      <w:r w:rsidRPr="00695398">
        <w:tab/>
      </w:r>
      <w:r w:rsidRPr="00695398">
        <w:rPr>
          <w:b/>
          <w:bCs/>
        </w:rPr>
        <w:t>обеспечивать систематическое использование Конвенции и общих рекомендаций Комитета в качестве авторитетных инструментов толкования при принятии законодательства и контроле за его соблюдением, разработке политики и принятии судебных решений, предоставлять государственным органам и парламентариям четкие руководящие указания в этом отношении и активизировать наращивание потенциала по вопросам применения Конвенции на всех уровнях государственного управления.</w:t>
      </w:r>
    </w:p>
    <w:p w14:paraId="74389D12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3AEE9F32" w14:textId="77777777" w:rsidR="00695398" w:rsidRPr="00695398" w:rsidRDefault="00695398" w:rsidP="00695398">
      <w:pPr>
        <w:pStyle w:val="H23"/>
      </w:pPr>
      <w:r w:rsidRPr="00695398">
        <w:tab/>
      </w:r>
      <w:r w:rsidRPr="00695398">
        <w:tab/>
        <w:t>Законодательная база и определение дискриминации в отношении женщин</w:t>
      </w:r>
    </w:p>
    <w:p w14:paraId="6F5E0B1E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05DD6275" w14:textId="483D3808" w:rsidR="00695398" w:rsidRPr="00695398" w:rsidRDefault="00695398" w:rsidP="00695398">
      <w:pPr>
        <w:pStyle w:val="SingleTxt"/>
      </w:pPr>
      <w:r w:rsidRPr="00695398">
        <w:t>10.</w:t>
      </w:r>
      <w:r w:rsidRPr="00695398">
        <w:tab/>
        <w:t>Комитет отмечает конституционный статус, присвоенный Конвенции в рамках внутреннего правового порядка государства-участника, и наличие законодательства, запрещающего дискриминацию и поощряющего гендерное равенство. Вместе с тем Комитет с обеспокоенностью отмечает:</w:t>
      </w:r>
    </w:p>
    <w:p w14:paraId="1916CCFE" w14:textId="77777777" w:rsidR="00695398" w:rsidRPr="00695398" w:rsidRDefault="00695398" w:rsidP="00695398">
      <w:pPr>
        <w:pStyle w:val="SingleTxt"/>
      </w:pPr>
      <w:r w:rsidRPr="00695398">
        <w:tab/>
        <w:t>a)</w:t>
      </w:r>
      <w:r w:rsidRPr="00695398">
        <w:tab/>
        <w:t>недавние законодательные реформы, осуществленные посредством исполнительных указов, в результате которых без проведения систематической оценки гендерного воздействия было изменено или ограничено применение законодательства о недискриминации в таких областях, как трудовые права, миграция, гражданство, доступ к правосудию и защита от гендерного насилия;</w:t>
      </w:r>
    </w:p>
    <w:p w14:paraId="1AC2DF61" w14:textId="77777777" w:rsidR="00695398" w:rsidRPr="00695398" w:rsidRDefault="00695398" w:rsidP="00695398">
      <w:pPr>
        <w:pStyle w:val="SingleTxt"/>
      </w:pPr>
      <w:r w:rsidRPr="00695398">
        <w:tab/>
        <w:t>b)</w:t>
      </w:r>
      <w:r w:rsidRPr="00695398">
        <w:tab/>
        <w:t>проекты поправок, которые могут ограничить масштабы защиты прав женщин и доступ женщин к правосудию в рамках существующего законодательства;</w:t>
      </w:r>
    </w:p>
    <w:p w14:paraId="41003B12" w14:textId="77777777" w:rsidR="00695398" w:rsidRPr="00695398" w:rsidRDefault="00695398" w:rsidP="00695398">
      <w:pPr>
        <w:pStyle w:val="SingleTxt"/>
      </w:pPr>
      <w:r w:rsidRPr="00695398">
        <w:tab/>
        <w:t>c)</w:t>
      </w:r>
      <w:r w:rsidRPr="00695398">
        <w:tab/>
        <w:t>отсутствие в национальном законодательстве определения дискриминации в отношении женщин, соответствующего статье 1 Конвенции, в котором прямо признаются такие явления, как косвенная дискриминация, а также множественные и перекрестные формы дискриминации.</w:t>
      </w:r>
    </w:p>
    <w:p w14:paraId="40E6E92C" w14:textId="54B19692" w:rsidR="00695398" w:rsidRPr="00695398" w:rsidRDefault="00695398" w:rsidP="00695398">
      <w:pPr>
        <w:pStyle w:val="SingleTxt"/>
        <w:rPr>
          <w:b/>
          <w:bCs/>
        </w:rPr>
      </w:pPr>
      <w:r w:rsidRPr="00695398">
        <w:t>11.</w:t>
      </w:r>
      <w:r w:rsidRPr="00695398">
        <w:tab/>
      </w:r>
      <w:r w:rsidRPr="00695398">
        <w:rPr>
          <w:b/>
          <w:bCs/>
        </w:rPr>
        <w:t>Ссылаясь на свою общую рекомендацию № 28 (2010), касающуюся основных обязательств государств-участников по статье 2 Конвенции, Комитет рекомендует государству-участнику:</w:t>
      </w:r>
    </w:p>
    <w:p w14:paraId="758C0955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a)</w:t>
      </w:r>
      <w:r w:rsidRPr="00695398">
        <w:tab/>
      </w:r>
      <w:r w:rsidRPr="00695398">
        <w:rPr>
          <w:b/>
          <w:bCs/>
        </w:rPr>
        <w:t>обеспечивать, чтобы все законодательные реформы, включая реформы, осуществляемые посредством исполнительных указов, полностью соответствовали Конвенции и не приводили к регрессу в области защиты прав человека женщин, а также систематически проводить оценку гендерного воздействия законопроектов и принятых законов, особенно в таких областях, как трудовые права, миграция, доступ к правосудию и защита от гендерного насилия;</w:t>
      </w:r>
    </w:p>
    <w:p w14:paraId="184F059B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b)</w:t>
      </w:r>
      <w:r w:rsidRPr="00695398">
        <w:tab/>
      </w:r>
      <w:r w:rsidRPr="00695398">
        <w:rPr>
          <w:b/>
          <w:bCs/>
        </w:rPr>
        <w:t>воздерживаться от принятия законодательных поправок, которые ограничивали или подрывали бы права, гарантированные в соответствии с существующим законодательством, и обеспечивать проведение оценки любых предлагаемых реформ на предмет их совместимости с Конвенцией;</w:t>
      </w:r>
    </w:p>
    <w:p w14:paraId="2A96CB60" w14:textId="1D6ECC32" w:rsidR="00695398" w:rsidRPr="00695398" w:rsidRDefault="00695398" w:rsidP="00695398">
      <w:pPr>
        <w:pStyle w:val="SingleTxt"/>
        <w:rPr>
          <w:b/>
          <w:bCs/>
        </w:rPr>
      </w:pPr>
      <w:r w:rsidRPr="00695398">
        <w:lastRenderedPageBreak/>
        <w:tab/>
        <w:t>c)</w:t>
      </w:r>
      <w:r w:rsidRPr="00695398">
        <w:tab/>
      </w:r>
      <w:r w:rsidRPr="00695398">
        <w:rPr>
          <w:b/>
          <w:bCs/>
        </w:rPr>
        <w:t>принять законодательство, с тем чтобы закрепить всеобъемлющее определение дискриминации в отношении женщин в соответствии со статьями 1 и 2 Конвенции, охватывающее как прямую, так и косвенную дискриминацию в публичной и частной сферах, а также множественные и перекрестные формы дискриминации.</w:t>
      </w:r>
    </w:p>
    <w:p w14:paraId="7604E0F6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34373B53" w14:textId="6936A629" w:rsidR="00695398" w:rsidRPr="00695398" w:rsidRDefault="00695398" w:rsidP="00695398">
      <w:pPr>
        <w:pStyle w:val="H23"/>
      </w:pPr>
      <w:r w:rsidRPr="00695398">
        <w:tab/>
      </w:r>
      <w:r w:rsidRPr="00695398">
        <w:tab/>
        <w:t>Доступ женщин к правосудию</w:t>
      </w:r>
    </w:p>
    <w:p w14:paraId="45EB9FAA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7B5925A7" w14:textId="6BDB268B" w:rsidR="00695398" w:rsidRPr="00695398" w:rsidRDefault="00695398" w:rsidP="00695398">
      <w:pPr>
        <w:pStyle w:val="SingleTxt"/>
      </w:pPr>
      <w:r w:rsidRPr="00695398">
        <w:t>12.</w:t>
      </w:r>
      <w:r w:rsidRPr="00695398">
        <w:tab/>
        <w:t>Комитет принимает к сведению создание в 200</w:t>
      </w:r>
      <w:r w:rsidR="00E16110" w:rsidRPr="00695398">
        <w:t>1</w:t>
      </w:r>
      <w:r w:rsidR="00E16110">
        <w:t> </w:t>
      </w:r>
      <w:r w:rsidR="00E16110" w:rsidRPr="00695398">
        <w:t>год</w:t>
      </w:r>
      <w:r w:rsidRPr="00695398">
        <w:t>у центров по обеспечению доступа к правосудию и специализированных программ по оказанию поддержки жертвам гендерного насилия. Вместе с тем он с обеспокоенностью отмечает:</w:t>
      </w:r>
    </w:p>
    <w:p w14:paraId="26068343" w14:textId="2C4EC275" w:rsidR="00695398" w:rsidRPr="00695398" w:rsidRDefault="00695398" w:rsidP="00695398">
      <w:pPr>
        <w:pStyle w:val="SingleTxt"/>
      </w:pPr>
      <w:r w:rsidRPr="00695398">
        <w:tab/>
        <w:t>a)</w:t>
      </w:r>
      <w:r w:rsidRPr="00695398">
        <w:tab/>
        <w:t>ликвидацию Министерством юстиции 81</w:t>
      </w:r>
      <w:r w:rsidR="009210F2">
        <w:rPr>
          <w:lang w:val="en-US"/>
        </w:rPr>
        <w:t> </w:t>
      </w:r>
      <w:r w:rsidRPr="00695398">
        <w:t>центра по обеспечению доступа к правосудию на основании его постановления № 178/2024, что значительно сократило районы охвата этих центров, и переход к модели дистанционного обслуживания, а также сокращение бюджета и численности персонала, что в непропорционально высокой степени отразилось на женщинах в сельских районах, женщинах, живущих в нищете, и женщинах, подвергающихся множественным и перекрестным формам дискриминации;</w:t>
      </w:r>
    </w:p>
    <w:p w14:paraId="62E66419" w14:textId="77777777" w:rsidR="00695398" w:rsidRPr="00695398" w:rsidRDefault="00695398" w:rsidP="00695398">
      <w:pPr>
        <w:pStyle w:val="SingleTxt"/>
      </w:pPr>
      <w:r w:rsidRPr="00695398">
        <w:tab/>
        <w:t>b)</w:t>
      </w:r>
      <w:r w:rsidRPr="00695398">
        <w:tab/>
        <w:t>сокращение финансирования и оперативного потенциала служб оказания юридической помощи, увольнение специализированного персонала, отсутствие эффективной координации на федеральном уровне и децентрализацию обязанностей посредством их передачи органам власти провинций без предоставления им достаточных ресурсов;</w:t>
      </w:r>
    </w:p>
    <w:p w14:paraId="3B9B0D37" w14:textId="77777777" w:rsidR="00695398" w:rsidRPr="00695398" w:rsidRDefault="00695398" w:rsidP="00695398">
      <w:pPr>
        <w:pStyle w:val="SingleTxt"/>
      </w:pPr>
      <w:r w:rsidRPr="00695398">
        <w:tab/>
        <w:t>c)</w:t>
      </w:r>
      <w:r w:rsidRPr="00695398">
        <w:tab/>
        <w:t>принятие чрезвычайного декрета № 366/2025, вносящего поправки в Закон № 25.871 о миграции, в соответствии с которыми начали применяться ускоренные процедуры высылки и сократились сроки, в течение которых можно требовать обжалования, были уменьшены процессуальные гарантии и закрыты обязательные каналы урегулирования статуса, что ограничило реальный доступ мигранток к правосудию и сделало их более уязвимыми для эксплуатации и гендерного насилия;</w:t>
      </w:r>
    </w:p>
    <w:p w14:paraId="4656D3AB" w14:textId="77777777" w:rsidR="00695398" w:rsidRPr="00695398" w:rsidRDefault="00695398" w:rsidP="00695398">
      <w:pPr>
        <w:pStyle w:val="SingleTxt"/>
      </w:pPr>
      <w:r w:rsidRPr="00695398">
        <w:tab/>
        <w:t>d)</w:t>
      </w:r>
      <w:r w:rsidRPr="00695398">
        <w:tab/>
        <w:t>предлагаемую поправку к Уголовному кодексу (дело № 228/25), которая предусматривает ужесточение наказания за ложные заявления в контексте гендерного насилия, что потенциально может оказать сдерживающее воздействие на женщин, ищущих защиты, и лишить их мотивации сообщать о случаях такого насилия.</w:t>
      </w:r>
    </w:p>
    <w:p w14:paraId="0C03150D" w14:textId="262FC369" w:rsidR="00695398" w:rsidRPr="00695398" w:rsidRDefault="00695398" w:rsidP="00695398">
      <w:pPr>
        <w:pStyle w:val="SingleTxt"/>
        <w:rPr>
          <w:b/>
          <w:bCs/>
        </w:rPr>
      </w:pPr>
      <w:r w:rsidRPr="00695398">
        <w:t>13.</w:t>
      </w:r>
      <w:r w:rsidRPr="00695398">
        <w:tab/>
      </w:r>
      <w:r w:rsidRPr="00695398">
        <w:rPr>
          <w:b/>
          <w:bCs/>
        </w:rPr>
        <w:t xml:space="preserve">Комитет, в соответствии со своей общей рекомендацией </w:t>
      </w:r>
      <w:r w:rsidR="00E16110">
        <w:rPr>
          <w:b/>
          <w:bCs/>
        </w:rPr>
        <w:t>№ </w:t>
      </w:r>
      <w:r w:rsidRPr="00695398">
        <w:rPr>
          <w:b/>
          <w:bCs/>
        </w:rPr>
        <w:t>33 (2015), касающейся доступа женщин к правосудию, рекомендует государству-участнику:</w:t>
      </w:r>
    </w:p>
    <w:p w14:paraId="6D4B4399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a)</w:t>
      </w:r>
      <w:r w:rsidRPr="00695398">
        <w:tab/>
      </w:r>
      <w:r w:rsidRPr="00695398">
        <w:rPr>
          <w:b/>
          <w:bCs/>
        </w:rPr>
        <w:t>обеспечивать реальный и финансово и физически доступный доступ к правосудию для всех женщин на всей территории страны, в том числе путем восстановления и укрепления присутствия на этой территории, укомплектования штатов и финансирования центров по обеспечению доступа к правосудию и других механизмов оказания юридической помощи, а также предоставляя гарантии того, что модели дистанционного обслуживания не заменяют, а дополняют очное обслуживание, особенно для женщин в сельских районах и маргинализированных групп женщин;</w:t>
      </w:r>
    </w:p>
    <w:p w14:paraId="7B6D4767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b)</w:t>
      </w:r>
      <w:r w:rsidRPr="00695398">
        <w:tab/>
      </w:r>
      <w:r w:rsidRPr="00695398">
        <w:rPr>
          <w:b/>
          <w:bCs/>
        </w:rPr>
        <w:t xml:space="preserve">выделять достаточные и стабильные людские, технические и финансовые ресурсы службам, оказывающим юридическую помощь, психосоциальную поддержку и специализированную помощь жертвам гендерного насилия, а также обеспечивать эффективную координацию на федеральном </w:t>
      </w:r>
      <w:r w:rsidRPr="00695398">
        <w:rPr>
          <w:b/>
          <w:bCs/>
        </w:rPr>
        <w:lastRenderedPageBreak/>
        <w:t>уровне, с тем чтобы женщины во всех провинциях имели равный доступ к правовой защите и средствам правовой защиты;</w:t>
      </w:r>
    </w:p>
    <w:p w14:paraId="2A594051" w14:textId="61FBCA4D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c)</w:t>
      </w:r>
      <w:r w:rsidRPr="00695398">
        <w:tab/>
      </w:r>
      <w:r w:rsidRPr="00695398">
        <w:rPr>
          <w:b/>
          <w:bCs/>
        </w:rPr>
        <w:t xml:space="preserve">провести обзор законодательных реформ и реформ в сфере регулирования, влияющих на вопросы миграции и надлежащей правовой процедуры, в том числе поправок, внесенных в соответствии с чрезвычайным декретом № 366/2025, с тем чтобы обеспечить мигранткам и беженкам полные процедурные гарантии, эффективные средства правовой защиты и защиту от высылки, а также предотвратить ситуации, в которых они лишаются мотивации сообщать о случаях гендерного насилия </w:t>
      </w:r>
      <w:r w:rsidR="00E16110" w:rsidRPr="00695398">
        <w:rPr>
          <w:b/>
          <w:bCs/>
        </w:rPr>
        <w:t>из</w:t>
      </w:r>
      <w:r w:rsidR="00E16110">
        <w:rPr>
          <w:b/>
          <w:bCs/>
        </w:rPr>
        <w:noBreakHyphen/>
      </w:r>
      <w:r w:rsidR="00E16110" w:rsidRPr="00695398">
        <w:rPr>
          <w:b/>
          <w:bCs/>
        </w:rPr>
        <w:t>за</w:t>
      </w:r>
      <w:r w:rsidRPr="00695398">
        <w:rPr>
          <w:b/>
          <w:bCs/>
        </w:rPr>
        <w:t xml:space="preserve"> страха быть высланными;</w:t>
      </w:r>
    </w:p>
    <w:p w14:paraId="3D052DAE" w14:textId="5CC1DE23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d)</w:t>
      </w:r>
      <w:r w:rsidRPr="00695398">
        <w:tab/>
      </w:r>
      <w:r w:rsidRPr="00695398">
        <w:rPr>
          <w:b/>
          <w:bCs/>
        </w:rPr>
        <w:t>отозвать предлагаемую поправку к Уголовному кодексу (дело</w:t>
      </w:r>
      <w:r w:rsidR="00F433F0">
        <w:rPr>
          <w:b/>
          <w:bCs/>
          <w:lang w:val="en-US"/>
        </w:rPr>
        <w:t> </w:t>
      </w:r>
      <w:r w:rsidRPr="00695398">
        <w:rPr>
          <w:b/>
          <w:bCs/>
        </w:rPr>
        <w:t>№ 228/25), касающуюся подачи ложных заявлений в случаях гендерного насилия, и обеспечивать, чтобы законодательные поправки не создавали препятствий для подачи заявлений, не вынуждали жертв отказываться от обращения за защитой и не подрывали правдоподобность заявлений женщин в случаях гендерного насилия.</w:t>
      </w:r>
    </w:p>
    <w:p w14:paraId="0AB64647" w14:textId="2C901AA5" w:rsidR="00695398" w:rsidRPr="00695398" w:rsidRDefault="00695398" w:rsidP="00695398">
      <w:pPr>
        <w:pStyle w:val="SingleTxt"/>
      </w:pPr>
      <w:r w:rsidRPr="00695398">
        <w:t>14.</w:t>
      </w:r>
      <w:r w:rsidRPr="00695398">
        <w:tab/>
        <w:t>Комитет также выражает озабоченность тем, что, хотя, по имеющимся сведениям, после заключения мирового соглашения по делу «дель Росарио Диас против Аргентины» (</w:t>
      </w:r>
      <w:hyperlink r:id="rId27" w:history="1">
        <w:r w:rsidRPr="00695398">
          <w:rPr>
            <w:rStyle w:val="Hyperlink"/>
          </w:rPr>
          <w:t>CEDAW/C/8</w:t>
        </w:r>
        <w:r w:rsidRPr="00695398">
          <w:rPr>
            <w:rStyle w:val="Hyperlink"/>
          </w:rPr>
          <w:t>6</w:t>
        </w:r>
        <w:r w:rsidRPr="00695398">
          <w:rPr>
            <w:rStyle w:val="Hyperlink"/>
          </w:rPr>
          <w:t>/D/127/2018</w:t>
        </w:r>
      </w:hyperlink>
      <w:r w:rsidRPr="00695398">
        <w:t>) был учрежден публичный реестр для регистрации жалоб на судей, участвовавших в делах о гендерном насилии, информация о функционировании и доступности этого реестра в данный момент не является общедоступной.</w:t>
      </w:r>
    </w:p>
    <w:p w14:paraId="0DB2D203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>15.</w:t>
      </w:r>
      <w:r w:rsidRPr="00695398">
        <w:tab/>
      </w:r>
      <w:r w:rsidRPr="00695398">
        <w:rPr>
          <w:b/>
          <w:bCs/>
        </w:rPr>
        <w:t>Комитет рекомендует государству-участнику укрепить механизмы подотчетности и надзора в</w:t>
      </w:r>
      <w:r w:rsidRPr="00695398">
        <w:t xml:space="preserve"> </w:t>
      </w:r>
      <w:r w:rsidRPr="00695398">
        <w:rPr>
          <w:b/>
          <w:bCs/>
        </w:rPr>
        <w:t>органах судебной системы, с тем чтобы обеспечить, что дела, связанные с гендерным насилием и гендерной дискриминацией, рассматриваются своевременно, беспристрастно и с учетом гендерных аспектов, в соответствии с Конвенцией и общей рекомендацией № 33 Комитета.</w:t>
      </w:r>
    </w:p>
    <w:p w14:paraId="202F63C1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5512B276" w14:textId="33E88AA7" w:rsidR="00695398" w:rsidRPr="00695398" w:rsidRDefault="00695398" w:rsidP="00695398">
      <w:pPr>
        <w:pStyle w:val="H23"/>
      </w:pPr>
      <w:r w:rsidRPr="00695398">
        <w:tab/>
      </w:r>
      <w:r w:rsidRPr="00695398">
        <w:tab/>
        <w:t>Национальные механизмы по улучшению положения женщин и</w:t>
      </w:r>
      <w:r w:rsidR="00F477A9">
        <w:rPr>
          <w:lang w:val="en-US"/>
        </w:rPr>
        <w:t> </w:t>
      </w:r>
      <w:r w:rsidRPr="00695398">
        <w:t>всестороннему учету гендерной проблематики</w:t>
      </w:r>
    </w:p>
    <w:p w14:paraId="4955406B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669523C2" w14:textId="68994B86" w:rsidR="00695398" w:rsidRPr="00695398" w:rsidRDefault="00695398" w:rsidP="00695398">
      <w:pPr>
        <w:pStyle w:val="SingleTxt"/>
      </w:pPr>
      <w:r w:rsidRPr="00695398">
        <w:t>16.</w:t>
      </w:r>
      <w:r w:rsidRPr="00695398">
        <w:tab/>
        <w:t>Комитет принимает к сведению предоставленную государством-участником информацию о реорганизации институциональной основы, призванной обеспечивать гендерное равенство, и о передаче функций, ранее выполнявшихся Министерством по делам женщин, гендерным вопросам и многообразию. Вместе с тем Комитет с обеспокоенностью отмечает:</w:t>
      </w:r>
    </w:p>
    <w:p w14:paraId="0289AFFC" w14:textId="3C7023BF" w:rsidR="00695398" w:rsidRPr="00695398" w:rsidRDefault="00695398" w:rsidP="00695398">
      <w:pPr>
        <w:pStyle w:val="SingleTxt"/>
      </w:pPr>
      <w:r w:rsidRPr="00695398">
        <w:tab/>
        <w:t>a)</w:t>
      </w:r>
      <w:r w:rsidRPr="00695398">
        <w:tab/>
        <w:t>то, что ликвидация Министерства по делам женщин, гендерным вопросам и многообразию в декабре 202</w:t>
      </w:r>
      <w:r w:rsidR="00E16110" w:rsidRPr="00695398">
        <w:t>3</w:t>
      </w:r>
      <w:r w:rsidR="00E16110">
        <w:t> </w:t>
      </w:r>
      <w:r w:rsidR="00E16110" w:rsidRPr="00695398">
        <w:t>год</w:t>
      </w:r>
      <w:r w:rsidRPr="00695398">
        <w:t>а и реструктуризация учреждений, занимающихся вопросами равных возможностей, привели к разделению обязанностей, ослаблению межведомственной координации и сокращению технического потенциала в области содействия осуществлению прав женщин;</w:t>
      </w:r>
    </w:p>
    <w:p w14:paraId="7730F63D" w14:textId="77777777" w:rsidR="00695398" w:rsidRPr="00695398" w:rsidRDefault="00695398" w:rsidP="00695398">
      <w:pPr>
        <w:pStyle w:val="SingleTxt"/>
      </w:pPr>
      <w:r w:rsidRPr="00695398">
        <w:tab/>
        <w:t>b)</w:t>
      </w:r>
      <w:r w:rsidRPr="00695398">
        <w:tab/>
        <w:t>значительное сокращение бюджетных средств, выделяемых на осуществление мер политики и программ в области гендерного равенства, в том числе нацеленных на предотвращение и решение проблемы гендерного насилия и на поощрение сексуального и репродуктивного здоровья и соответствующих прав, а также приостановку действия или упразднение некоторых национальных планов и федеральных координационных механизмов, что подрывает усилия по эффективному осуществлению Конвенции;</w:t>
      </w:r>
    </w:p>
    <w:p w14:paraId="2C637BFF" w14:textId="4BEC1849" w:rsidR="00695398" w:rsidRPr="00695398" w:rsidRDefault="00695398" w:rsidP="00695398">
      <w:pPr>
        <w:pStyle w:val="SingleTxt"/>
      </w:pPr>
      <w:r w:rsidRPr="00695398">
        <w:lastRenderedPageBreak/>
        <w:tab/>
        <w:t>c)</w:t>
      </w:r>
      <w:r w:rsidRPr="00695398">
        <w:tab/>
        <w:t>ликвидацию или ослабление роли площадок и механизмов для официальной координации и консультаций с организациями по защите прав женщин и субъектами гражданского общества.</w:t>
      </w:r>
    </w:p>
    <w:p w14:paraId="7F98BD86" w14:textId="3B6C76E5" w:rsidR="00695398" w:rsidRPr="00695398" w:rsidRDefault="00695398" w:rsidP="00695398">
      <w:pPr>
        <w:pStyle w:val="SingleTxt"/>
        <w:rPr>
          <w:b/>
          <w:bCs/>
        </w:rPr>
      </w:pPr>
      <w:r w:rsidRPr="00695398">
        <w:t>17.</w:t>
      </w:r>
      <w:r w:rsidRPr="00695398">
        <w:tab/>
      </w:r>
      <w:r w:rsidRPr="00695398">
        <w:rPr>
          <w:b/>
          <w:bCs/>
        </w:rPr>
        <w:t>Комитет рекомендует государству-участнику:</w:t>
      </w:r>
    </w:p>
    <w:p w14:paraId="21ABC05B" w14:textId="2BD20A29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a)</w:t>
      </w:r>
      <w:r w:rsidRPr="00695398">
        <w:tab/>
      </w:r>
      <w:r w:rsidRPr="00695398">
        <w:rPr>
          <w:b/>
          <w:bCs/>
        </w:rPr>
        <w:t>восстановить или создать специализированный институциональный механизм высокого уровня по улучшению положения женщин c четким мандатом, надлежащими полномочиями и достаточными людскими, техническими и финансовыми ресурсами, а также обеспечивать эффективность межведомственной координации и сотрудничества на федеральном уровне</w:t>
      </w:r>
      <w:r w:rsidR="00B8552B" w:rsidRPr="00381B4B">
        <w:rPr>
          <w:b/>
          <w:bCs/>
        </w:rPr>
        <w:t>,</w:t>
      </w:r>
      <w:r w:rsidRPr="00695398">
        <w:rPr>
          <w:b/>
          <w:bCs/>
        </w:rPr>
        <w:t xml:space="preserve"> с тем чтобы гарантировать согласованное, систематическое и единообразное осуществление Конвенции во всех государственных ведомствах и на всех уровнях государственного управления;</w:t>
      </w:r>
    </w:p>
    <w:p w14:paraId="54FF3481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b)</w:t>
      </w:r>
      <w:r w:rsidRPr="00695398">
        <w:tab/>
      </w:r>
      <w:r w:rsidRPr="00695398">
        <w:rPr>
          <w:b/>
          <w:bCs/>
        </w:rPr>
        <w:t>восстановить и обеспечивать бесперебойное выделение бюджетных средств в надлежащем объеме и на основе прозрачности для осуществления мер политики и программ в области гендерного равенства, в том числе нацеленных на предотвращение и решение проблемы гендерного насилия и на поощрение сексуального и репродуктивного здоровья и соответствующих прав, а также обеспечивать доступность таких программ для всех женщин, включая женщин-инвалидов и маргинализированные группы женщин;</w:t>
      </w:r>
    </w:p>
    <w:p w14:paraId="5D8E23B6" w14:textId="572D265C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c)</w:t>
      </w:r>
      <w:r w:rsidRPr="00695398">
        <w:tab/>
      </w:r>
      <w:r w:rsidRPr="00695398">
        <w:rPr>
          <w:b/>
          <w:bCs/>
        </w:rPr>
        <w:t>восстановить и закрепить на институциональном уровне официальные, постоянные и полноценные механизмы для консультаций с организациями по защите прав женщин и субъектами гражданского общества и для обеспечения участия таких организаций и субъектов и гарантировать, что результаты работы таких механизмов учитываются при разработке, осуществлении и мониторинге стратегий и программ по обеспечению гендерного равенства на национальном уровне и на уровне провинций.</w:t>
      </w:r>
    </w:p>
    <w:p w14:paraId="30FCD7B5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6EEC0561" w14:textId="77777777" w:rsidR="00695398" w:rsidRPr="00695398" w:rsidRDefault="00695398" w:rsidP="00695398">
      <w:pPr>
        <w:pStyle w:val="H23"/>
      </w:pPr>
      <w:r w:rsidRPr="00695398">
        <w:tab/>
      </w:r>
      <w:r w:rsidRPr="00695398">
        <w:tab/>
        <w:t>Временные специальные меры</w:t>
      </w:r>
    </w:p>
    <w:p w14:paraId="6F975724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1BF6F87E" w14:textId="6DFB3E0F" w:rsidR="00695398" w:rsidRPr="00695398" w:rsidRDefault="00695398" w:rsidP="00695398">
      <w:pPr>
        <w:pStyle w:val="SingleTxt"/>
      </w:pPr>
      <w:r w:rsidRPr="00695398">
        <w:t>18.</w:t>
      </w:r>
      <w:r w:rsidRPr="00695398">
        <w:tab/>
        <w:t xml:space="preserve">Комитет принимает к сведению продолжающуюся работу по обеспечению соблюдения Закона № 27.412 о гендерном паритете в различных сферах политического представительства, которая помогает увеличивать участие женщин в политической жизни. Тем не менее он выражает озабоченность в связи с тем, что временные специальные меры не применяются систематически в других сферах, в которых женщины </w:t>
      </w:r>
      <w:r w:rsidR="00E16110" w:rsidRPr="00695398">
        <w:t>по</w:t>
      </w:r>
      <w:r w:rsidR="00E16110">
        <w:noBreakHyphen/>
      </w:r>
      <w:r w:rsidR="00E16110" w:rsidRPr="00695398">
        <w:t>прежнему</w:t>
      </w:r>
      <w:r w:rsidRPr="00695398">
        <w:t xml:space="preserve"> недопредставлены или находятся в неблагоприятном положении, в том числе в судебных органах, на дипломатической и государственной службе и в определенных секторах рынка труда. Он также выражает озабоченность в связи с отсутствием адресных временных специальных мер, направленных на преодоление перекрестных форм дискриминации, затрагивающих коренных женщин, женщин-инвалидов, женщин, которые находятся в уязвимом социально-экономическом положении, и мигранток.</w:t>
      </w:r>
    </w:p>
    <w:p w14:paraId="6CA7A95A" w14:textId="68CBCF09" w:rsidR="00695398" w:rsidRPr="00695398" w:rsidRDefault="00695398" w:rsidP="00695398">
      <w:pPr>
        <w:pStyle w:val="SingleTxt"/>
      </w:pPr>
      <w:r w:rsidRPr="00695398">
        <w:t>19.</w:t>
      </w:r>
      <w:r w:rsidRPr="00695398">
        <w:tab/>
      </w:r>
      <w:r w:rsidRPr="00695398">
        <w:rPr>
          <w:b/>
          <w:bCs/>
        </w:rPr>
        <w:t xml:space="preserve">Комитет рекомендует государству-участнику принять и систематически осуществлять временные специальные меры в соответствии со статьей 4 (пункт 1) Конвенции и общей рекомендацией № 25 (2004) о временных специальных мерах, чтобы ускорить достижение фактического равенства между женщинами и мужчинами во всех сферах, в которых женщины </w:t>
      </w:r>
      <w:r w:rsidR="00E16110" w:rsidRPr="00695398">
        <w:rPr>
          <w:b/>
          <w:bCs/>
        </w:rPr>
        <w:t>по</w:t>
      </w:r>
      <w:r w:rsidR="00E16110">
        <w:rPr>
          <w:b/>
          <w:bCs/>
        </w:rPr>
        <w:noBreakHyphen/>
      </w:r>
      <w:r w:rsidR="00E16110" w:rsidRPr="00695398">
        <w:rPr>
          <w:b/>
          <w:bCs/>
        </w:rPr>
        <w:t>прежнему</w:t>
      </w:r>
      <w:r w:rsidRPr="00695398">
        <w:rPr>
          <w:b/>
          <w:bCs/>
        </w:rPr>
        <w:t xml:space="preserve"> недопредставлены или находятся в неблагоприятном положении, в том числе в судебных органах, на дипломатической и государственной службе и на рынке труда, а также разработать адресные меры для преодоления перекрестных форм дискриминации, затрагивающих коренных </w:t>
      </w:r>
      <w:r w:rsidRPr="00695398">
        <w:rPr>
          <w:b/>
          <w:bCs/>
        </w:rPr>
        <w:lastRenderedPageBreak/>
        <w:t>женщин, женщин-инвалидов, женщин, находящихся в уязвимом социально-экономическом положении, и мигранток.</w:t>
      </w:r>
    </w:p>
    <w:p w14:paraId="7718C8A5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0CD651F6" w14:textId="3003731C" w:rsidR="00695398" w:rsidRPr="00695398" w:rsidRDefault="00695398" w:rsidP="00695398">
      <w:pPr>
        <w:pStyle w:val="H23"/>
      </w:pPr>
      <w:r w:rsidRPr="00695398">
        <w:tab/>
      </w:r>
      <w:r w:rsidRPr="00695398">
        <w:tab/>
        <w:t>Стереотипы</w:t>
      </w:r>
    </w:p>
    <w:p w14:paraId="15131320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17D1746A" w14:textId="6FA32802" w:rsidR="00695398" w:rsidRPr="00695398" w:rsidRDefault="00695398" w:rsidP="00695398">
      <w:pPr>
        <w:pStyle w:val="SingleTxt"/>
      </w:pPr>
      <w:r w:rsidRPr="00695398">
        <w:t>20.</w:t>
      </w:r>
      <w:r w:rsidRPr="00695398">
        <w:tab/>
        <w:t>Комитет принимает к сведению введение обязательного обучения по вопросам гендера и гендерного насилия в соответствии с Законом № 27.499 (закон Микаэлы), а также предыдущие усилия по обеспечению учета вопросов гендерного равенства в судебной системе. Вместе с тем он с озабоченностью отмечает заметное ухудшение положения дел с мерами политики и институциональными мерами, направленными на решение проблемы гендерных стереотипов и дискриминационных социальных норм. Комитет в особенности обеспокоен:</w:t>
      </w:r>
    </w:p>
    <w:p w14:paraId="596BCC6A" w14:textId="5A595C03" w:rsidR="00695398" w:rsidRPr="00695398" w:rsidRDefault="00695398" w:rsidP="00695398">
      <w:pPr>
        <w:pStyle w:val="SingleTxt"/>
      </w:pPr>
      <w:r w:rsidRPr="00695398">
        <w:tab/>
        <w:t>a)</w:t>
      </w:r>
      <w:r w:rsidRPr="00695398">
        <w:tab/>
        <w:t>значительным сокращением масштабов реализации программ учебной подготовки в соответствии с Законом № 27.499 (закон Микаэлы) и охвата ими, отмечающимся с 202</w:t>
      </w:r>
      <w:r w:rsidR="00E16110" w:rsidRPr="00695398">
        <w:t>4</w:t>
      </w:r>
      <w:r w:rsidR="00E16110">
        <w:t> </w:t>
      </w:r>
      <w:r w:rsidR="00E16110" w:rsidRPr="00695398">
        <w:t>год</w:t>
      </w:r>
      <w:r w:rsidRPr="00695398">
        <w:t>а, в том числе резким снижением числа публичных должностных лиц, прошедших такую подготовку, и сокращением масштабов реализации этих программ в государственных учреждениях;</w:t>
      </w:r>
    </w:p>
    <w:p w14:paraId="178DEA68" w14:textId="77777777" w:rsidR="00695398" w:rsidRPr="00695398" w:rsidRDefault="00695398" w:rsidP="00695398">
      <w:pPr>
        <w:pStyle w:val="SingleTxt"/>
      </w:pPr>
      <w:r w:rsidRPr="00695398">
        <w:tab/>
        <w:t>b)</w:t>
      </w:r>
      <w:r w:rsidRPr="00695398">
        <w:tab/>
        <w:t>активизацией публичного дискурса, направленного против мер политики по обеспечению гендерного равенства и против правозащитниц, в том числе журналисток, которые занимаются освещением вопросов, связанных с гендерным насилием и с сексуальным и репродуктивным здоровьем и соответствующими правами.</w:t>
      </w:r>
    </w:p>
    <w:p w14:paraId="3A6660D6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>21.</w:t>
      </w:r>
      <w:r w:rsidRPr="00695398">
        <w:tab/>
      </w:r>
      <w:r w:rsidRPr="00695398">
        <w:rPr>
          <w:b/>
          <w:bCs/>
        </w:rPr>
        <w:t>Комитет рекомендует государству-участнику:</w:t>
      </w:r>
    </w:p>
    <w:p w14:paraId="049DCF68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a)</w:t>
      </w:r>
      <w:r w:rsidRPr="00695398">
        <w:tab/>
      </w:r>
      <w:r w:rsidRPr="00695398">
        <w:rPr>
          <w:b/>
          <w:bCs/>
        </w:rPr>
        <w:t>обеспечивать соблюдение Закона № 27.499 (закон Микаэлы) всеми ветвями власти и неограничение сферы его действия, а также предоставлять публичным должностным лицам, независимо от уровня их должности, систематическую учебную подготовку по вопросам гендерного равенства;</w:t>
      </w:r>
    </w:p>
    <w:p w14:paraId="352A7E35" w14:textId="77777777" w:rsidR="00695398" w:rsidRDefault="00695398" w:rsidP="00695398">
      <w:pPr>
        <w:pStyle w:val="SingleTxt"/>
        <w:rPr>
          <w:b/>
          <w:bCs/>
        </w:rPr>
      </w:pPr>
      <w:r w:rsidRPr="00695398">
        <w:tab/>
        <w:t>b)</w:t>
      </w:r>
      <w:r w:rsidRPr="00695398">
        <w:tab/>
      </w:r>
      <w:r w:rsidRPr="00695398">
        <w:rPr>
          <w:b/>
          <w:bCs/>
        </w:rPr>
        <w:t>противодействовать дискриминационным стереотипам и публичному дискурсу, направленному против мер политики по обеспечению гендерного равенства и против правозащитниц, в том числе журналисток, а также обеспечивать, чтобы государственные органы воздерживались от использования риторики, подрывающей права женщин, и активно содействовали достижению фактического равенства между женщинами и мужчинами.</w:t>
      </w:r>
    </w:p>
    <w:p w14:paraId="1DC9E68D" w14:textId="77777777" w:rsidR="00695398" w:rsidRPr="00695398" w:rsidRDefault="00695398" w:rsidP="00695398">
      <w:pPr>
        <w:pStyle w:val="SingleTxt"/>
        <w:spacing w:after="0" w:line="120" w:lineRule="exact"/>
        <w:rPr>
          <w:b/>
          <w:bCs/>
          <w:sz w:val="10"/>
        </w:rPr>
      </w:pPr>
    </w:p>
    <w:p w14:paraId="245197DA" w14:textId="77777777" w:rsidR="00695398" w:rsidRPr="00695398" w:rsidRDefault="00695398" w:rsidP="00695398">
      <w:pPr>
        <w:pStyle w:val="H23"/>
      </w:pPr>
      <w:r w:rsidRPr="00695398">
        <w:tab/>
      </w:r>
      <w:r w:rsidRPr="00695398">
        <w:tab/>
        <w:t>Гендерное насилие в отношении женщин</w:t>
      </w:r>
    </w:p>
    <w:p w14:paraId="693B5E29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25982E2D" w14:textId="42CEDA65" w:rsidR="00695398" w:rsidRPr="00695398" w:rsidRDefault="00695398" w:rsidP="00695398">
      <w:pPr>
        <w:pStyle w:val="SingleTxt"/>
      </w:pPr>
      <w:r w:rsidRPr="00695398">
        <w:t>22.</w:t>
      </w:r>
      <w:r w:rsidRPr="00695398">
        <w:tab/>
        <w:t xml:space="preserve">Комитет отмечает, что Закон № 26.485 о комплексной защите от насилия в отношении женщин </w:t>
      </w:r>
      <w:r w:rsidR="00E16110" w:rsidRPr="00695398">
        <w:t>по</w:t>
      </w:r>
      <w:r w:rsidR="00E16110">
        <w:noBreakHyphen/>
      </w:r>
      <w:r w:rsidR="00E16110" w:rsidRPr="00695398">
        <w:t>прежнему</w:t>
      </w:r>
      <w:r w:rsidRPr="00695398">
        <w:t xml:space="preserve"> существует. Вместе с тем Комитет обеспокоен высокой распространенностью гендерного насилия в отношении женщин и девочек в государстве-участнике. В частности, он с обеспокоенностью отмечает:</w:t>
      </w:r>
    </w:p>
    <w:p w14:paraId="5A3041AC" w14:textId="77777777" w:rsidR="00695398" w:rsidRPr="00695398" w:rsidRDefault="00695398" w:rsidP="00695398">
      <w:pPr>
        <w:pStyle w:val="SingleTxt"/>
      </w:pPr>
      <w:r w:rsidRPr="00695398">
        <w:tab/>
        <w:t>a)</w:t>
      </w:r>
      <w:r w:rsidRPr="00695398">
        <w:tab/>
        <w:t>сохраняющийся высокий уровень фемицидов и семейно-бытового насилия, в том числе в тех случаях, когда жертвы ранее уже сообщали о семейно-бытовом насилии или обращались за защитными предписаниями, что вызывает озабоченность по поводу эффективности механизмов оценки риска, предотвращения и защиты;</w:t>
      </w:r>
    </w:p>
    <w:p w14:paraId="08544EB6" w14:textId="77777777" w:rsidR="00695398" w:rsidRPr="00695398" w:rsidRDefault="00695398" w:rsidP="00695398">
      <w:pPr>
        <w:pStyle w:val="SingleTxt"/>
      </w:pPr>
      <w:r w:rsidRPr="00695398">
        <w:tab/>
        <w:t>b)</w:t>
      </w:r>
      <w:r w:rsidRPr="00695398">
        <w:tab/>
        <w:t xml:space="preserve">сообщения о приостановке работы интегрированных систем данных, которые ранее использовались для отслеживания случаев гендерного насилия в отношении женщин и ответных мер государственной политики, что ограничивает способность государства-участника разрабатывать основанные на </w:t>
      </w:r>
      <w:r w:rsidRPr="00695398">
        <w:lastRenderedPageBreak/>
        <w:t>фактических данных стратегии предотвращения и оценивать эффективность механизмов защиты;</w:t>
      </w:r>
    </w:p>
    <w:p w14:paraId="255C4CD3" w14:textId="4AB24D71" w:rsidR="00695398" w:rsidRPr="00695398" w:rsidRDefault="00695398" w:rsidP="00695398">
      <w:pPr>
        <w:pStyle w:val="SingleTxt"/>
      </w:pPr>
      <w:r w:rsidRPr="00695398">
        <w:tab/>
        <w:t>c)</w:t>
      </w:r>
      <w:r w:rsidRPr="00695398">
        <w:tab/>
        <w:t>значительное сокращение бюджетных средств, выделяемых на нужды ключевых механизмов защиты, и операционного потенциала этих механизмов, в том числе изменения в программе «Сопровождение» (Programa Acompañar), нацеленной на оказание поддержки в случаях гендерного насилия, в соответствии с декретом № 755/2024, в котором был сокращен срок предоставления пособий и введены дополнительные требования для получения права на участие в программе, а также существенное сокращение финансирования, штата и доступности «горячей линии» 144, в том числе упразднение специализированного обслуживания женщин-инвалидов;</w:t>
      </w:r>
    </w:p>
    <w:p w14:paraId="60FBF0AD" w14:textId="5F09D52F" w:rsidR="00695398" w:rsidRPr="00695398" w:rsidRDefault="00695398" w:rsidP="00695398">
      <w:pPr>
        <w:pStyle w:val="SingleTxt"/>
      </w:pPr>
      <w:r w:rsidRPr="00695398">
        <w:tab/>
        <w:t>d)</w:t>
      </w:r>
      <w:r w:rsidRPr="00695398">
        <w:tab/>
        <w:t>отсутствие комплексного национального плана действий по борьбе с гендерным насилием в отношении женщин, предусмотренного в Законе № 26.485, после истечения срока действия предыдущего национального плана действий в 201</w:t>
      </w:r>
      <w:r w:rsidR="00E16110" w:rsidRPr="00695398">
        <w:t>4</w:t>
      </w:r>
      <w:r w:rsidR="00E16110">
        <w:t> </w:t>
      </w:r>
      <w:r w:rsidR="00E16110" w:rsidRPr="00695398">
        <w:t>год</w:t>
      </w:r>
      <w:r w:rsidRPr="00695398">
        <w:t>у, а также ликвидацию или ослабление федеральных механизмов координации;</w:t>
      </w:r>
    </w:p>
    <w:p w14:paraId="3C4CF543" w14:textId="77777777" w:rsidR="00695398" w:rsidRPr="00695398" w:rsidRDefault="00695398" w:rsidP="00695398">
      <w:pPr>
        <w:pStyle w:val="SingleTxt"/>
      </w:pPr>
      <w:r w:rsidRPr="00695398">
        <w:tab/>
        <w:t>e)</w:t>
      </w:r>
      <w:r w:rsidRPr="00695398">
        <w:tab/>
        <w:t>растущую распространенность форм гендерного насилия, совершаемого в Интернете или при помощи цифровых технологий, в том числе преследований, угроз и распространения интимных изображений без согласия, а также неэффективное применение Закона № 27.736 (известного как закон Олимпии) в условиях отсутствия комплексных превентивных стратегий, стандартизированных протоколов, координируемых с цифровыми платформами и платформами социальных сетей мер реагирования и эффективных средств правовой защиты для жертв;</w:t>
      </w:r>
    </w:p>
    <w:p w14:paraId="6F69F210" w14:textId="77777777" w:rsidR="00695398" w:rsidRPr="00695398" w:rsidRDefault="00695398" w:rsidP="00695398">
      <w:pPr>
        <w:pStyle w:val="SingleTxt"/>
      </w:pPr>
      <w:r w:rsidRPr="00695398">
        <w:tab/>
        <w:t>f)</w:t>
      </w:r>
      <w:r w:rsidRPr="00695398">
        <w:tab/>
        <w:t>сообщения о гендерном насилии в отношении женщин, участвующих в политической и общественной жизни, в том числе о преследованиях и угрозах в Интернете в адрес женщин-политиков и журналисток, которые освещают вопросы, связанные с гендерным равенством, сексуальным и репродуктивным здоровьем и соответствующими правами, а также с гендерным насилием в отношении женщин;</w:t>
      </w:r>
    </w:p>
    <w:p w14:paraId="4E785123" w14:textId="6F86EC7F" w:rsidR="00695398" w:rsidRPr="00695398" w:rsidRDefault="00695398" w:rsidP="00695398">
      <w:pPr>
        <w:pStyle w:val="SingleTxt"/>
      </w:pPr>
      <w:r w:rsidRPr="00695398">
        <w:tab/>
        <w:t>g)</w:t>
      </w:r>
      <w:r w:rsidRPr="00695398">
        <w:tab/>
        <w:t>недавние нормативные изменения в национальной системе регулирования</w:t>
      </w:r>
      <w:r w:rsidR="003428DB" w:rsidRPr="003428DB">
        <w:t xml:space="preserve"> </w:t>
      </w:r>
      <w:r w:rsidR="003428DB" w:rsidRPr="00695398">
        <w:t>оборот</w:t>
      </w:r>
      <w:r w:rsidR="003428DB" w:rsidRPr="001E064A">
        <w:t>а</w:t>
      </w:r>
      <w:r w:rsidRPr="00695398">
        <w:t xml:space="preserve"> огнестрельного оружия, в том числе декреты № 397/2025 и № 409/2025, в соответствии с которыми расширяется доступ гражданских лиц к полуавтоматическому огнестрельному оружию и вносятся изменения в механизмы надзора.</w:t>
      </w:r>
    </w:p>
    <w:p w14:paraId="78CD9955" w14:textId="3D927B9A" w:rsidR="00695398" w:rsidRPr="00695398" w:rsidRDefault="00695398" w:rsidP="00695398">
      <w:pPr>
        <w:pStyle w:val="SingleTxt"/>
        <w:rPr>
          <w:b/>
          <w:bCs/>
        </w:rPr>
      </w:pPr>
      <w:r w:rsidRPr="00695398">
        <w:t>23.</w:t>
      </w:r>
      <w:r w:rsidRPr="00695398">
        <w:tab/>
      </w:r>
      <w:r w:rsidRPr="00695398">
        <w:rPr>
          <w:b/>
          <w:bCs/>
        </w:rPr>
        <w:t>Ссылаясь на свою общую рекомендацию № 35 (2017) о гендерном насилии в отношении женщин, предназначенную для обновления общей рекомендации № 19, Комитет настоятельно призывает государство-участник:</w:t>
      </w:r>
    </w:p>
    <w:p w14:paraId="0280481F" w14:textId="1FFD598B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a)</w:t>
      </w:r>
      <w:r w:rsidRPr="00695398">
        <w:tab/>
      </w:r>
      <w:r w:rsidRPr="00695398">
        <w:rPr>
          <w:b/>
          <w:bCs/>
        </w:rPr>
        <w:t>укреплять механизмы предотвращения, оценки риска и защиты в целях борьбы с фемицид</w:t>
      </w:r>
      <w:r w:rsidR="00A058EC">
        <w:rPr>
          <w:b/>
          <w:bCs/>
        </w:rPr>
        <w:t>ом</w:t>
      </w:r>
      <w:r w:rsidRPr="00695398">
        <w:rPr>
          <w:b/>
          <w:bCs/>
        </w:rPr>
        <w:t xml:space="preserve"> и семейно-бытовым насилием, в том числе обеспечивая своевременную выдачу и эффективное исполнение защитных предписаний и улучшая координацию деятельности судей, прокуроров, полиции и социальных служб, а также ввести практику проведения углубленных многосекторальных анализов в случаях фемицида с целью выявления институциональных просчетов, способствующих совершению фемицид</w:t>
      </w:r>
      <w:r w:rsidR="00A058EC" w:rsidRPr="00616DD5">
        <w:rPr>
          <w:b/>
          <w:bCs/>
        </w:rPr>
        <w:t>а</w:t>
      </w:r>
      <w:r w:rsidRPr="00695398">
        <w:rPr>
          <w:b/>
          <w:bCs/>
        </w:rPr>
        <w:t>, и совершенствования мер реагирования на гендерное насилие в отношении женщин;</w:t>
      </w:r>
    </w:p>
    <w:p w14:paraId="0E5B72A8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b)</w:t>
      </w:r>
      <w:r w:rsidRPr="00695398">
        <w:tab/>
      </w:r>
      <w:r w:rsidRPr="00695398">
        <w:rPr>
          <w:b/>
          <w:bCs/>
        </w:rPr>
        <w:t xml:space="preserve">воссоздать и укрепить комплексные, интегрированные и общедоступные системы сбора данных о всех формах гендерного насилия в отношении женщин, в том числе цифрового, позволяющие собирать данные, </w:t>
      </w:r>
      <w:r w:rsidRPr="00695398">
        <w:rPr>
          <w:b/>
          <w:bCs/>
        </w:rPr>
        <w:lastRenderedPageBreak/>
        <w:t>дезагрегированные по возрасту, наличию инвалидности, этнической принадлежности, миграционному статусу, географическому положению и характеру отношений между жертвой и нарушителем, а также обеспечивать использование таких данных при разработке основанных на фактических данных политических мер и оценке эффективности мер защиты;</w:t>
      </w:r>
    </w:p>
    <w:p w14:paraId="654A3CA5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c)</w:t>
      </w:r>
      <w:r w:rsidRPr="00695398">
        <w:tab/>
      </w:r>
      <w:r w:rsidRPr="00695398">
        <w:rPr>
          <w:b/>
          <w:bCs/>
        </w:rPr>
        <w:t>восстановить и обеспечивать в надлежащем объеме, без перебоев</w:t>
      </w:r>
      <w:r w:rsidRPr="00695398">
        <w:t xml:space="preserve"> </w:t>
      </w:r>
      <w:r w:rsidRPr="00695398">
        <w:rPr>
          <w:b/>
          <w:bCs/>
        </w:rPr>
        <w:t>и на основе прозрачности</w:t>
      </w:r>
      <w:r w:rsidRPr="00695398">
        <w:t xml:space="preserve"> </w:t>
      </w:r>
      <w:r w:rsidRPr="00695398">
        <w:rPr>
          <w:b/>
          <w:bCs/>
        </w:rPr>
        <w:t>финансирование и операционный потенциал ключевых механизмов защиты жертв гендерного насилия, в том числе программы «Сопровождение» (Programa Acompañar) и «горячей линии» 144, отменить требование о подаче заявления в качестве условия получения помощи и привести срок предоставления пособий в соответствие с потребностями женщин, а также обеспечивать специализированный характер, доступность и инклюзивность служб поддержки, в том числе для женщин-инвалидов и женщин, сталкивающихся с перекрестными формами дискриминации;</w:t>
      </w:r>
    </w:p>
    <w:p w14:paraId="6C057DD3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d)</w:t>
      </w:r>
      <w:r w:rsidRPr="00695398">
        <w:tab/>
      </w:r>
      <w:r w:rsidRPr="00695398">
        <w:rPr>
          <w:b/>
          <w:bCs/>
        </w:rPr>
        <w:t>незамедлительно принять комплексный национальный план действий по борьбе с гендерным насилием в отношении женщин в соответствии с Законом № 26.485 и Конвенцией, в котором устанавливаются измеримые целевые показатели и предусматриваются целевое финансирование, эффективные механизмы мониторинга и обеспечения подотчетности, а также положения о возмещении ущерба жертвам и пострадавшим, включая необходимые меры поддержки для детей жертв фемицида, предусмотренные Законом № 27.452;</w:t>
      </w:r>
    </w:p>
    <w:p w14:paraId="29B8F978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e)</w:t>
      </w:r>
      <w:r w:rsidRPr="00695398">
        <w:tab/>
      </w:r>
      <w:r w:rsidRPr="00695398">
        <w:rPr>
          <w:b/>
          <w:bCs/>
        </w:rPr>
        <w:t>обеспечивать полное и эффективное соблюдение Закона № 27.736 (закона Олимпии) и начать использовать стандартизированные протоколы при проведении расследований с учетом гендерной специфики и при срочном реагировании, предоставлять специализированную учебную подготовку персоналу судебных и правоохранительных органов, координировать действия с цифровыми платформами в целях быстрого удаления вредоносного контента, использовать комплексные стратегии предотвращения, включая кампании по повышению цифровой грамотности и информационно-просветительские кампании, а также обеспечивать жертвам надлежащее возмещение ущерба;</w:t>
      </w:r>
    </w:p>
    <w:p w14:paraId="38474723" w14:textId="2B6DFA9E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f)</w:t>
      </w:r>
      <w:r w:rsidRPr="00695398">
        <w:tab/>
      </w:r>
      <w:r w:rsidRPr="00695398">
        <w:rPr>
          <w:b/>
          <w:bCs/>
        </w:rPr>
        <w:t xml:space="preserve">ввести и осуществлять меры по предотвращению и пресечению гендерного насилия в отношении женщин, участвующих в политической и общественной жизни, в том числе преследований и запугивания </w:t>
      </w:r>
      <w:r w:rsidR="0094767D" w:rsidRPr="00695398">
        <w:rPr>
          <w:b/>
          <w:bCs/>
        </w:rPr>
        <w:t>женщин-политиков и журналисток</w:t>
      </w:r>
      <w:r w:rsidR="0094767D" w:rsidRPr="00695398">
        <w:rPr>
          <w:b/>
          <w:bCs/>
        </w:rPr>
        <w:t xml:space="preserve"> </w:t>
      </w:r>
      <w:r w:rsidRPr="00695398">
        <w:rPr>
          <w:b/>
          <w:bCs/>
        </w:rPr>
        <w:t>в Интернете, а также обеспечивать эффективное расследование, судебное преследование и привлечение к ответственности в таких случаях;</w:t>
      </w:r>
    </w:p>
    <w:p w14:paraId="2180DBB0" w14:textId="77AC980F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g)</w:t>
      </w:r>
      <w:r w:rsidRPr="00695398">
        <w:tab/>
      </w:r>
      <w:r w:rsidRPr="00695398">
        <w:rPr>
          <w:b/>
          <w:bCs/>
        </w:rPr>
        <w:t>провести анализ нормативных изменений, внесенных в соответствии с декретами № 397/2025 и № 409/2025, для предотвращения вооруженного насилия, усиления контроля над огнестрельным оружием и защиты прав женщин на жизнь и безопасность, в том числе посредством оценок гендерного воздействия предоставления гражданским лицам доступа</w:t>
      </w:r>
      <w:r w:rsidRPr="00695398">
        <w:t xml:space="preserve"> </w:t>
      </w:r>
      <w:r w:rsidRPr="00695398">
        <w:rPr>
          <w:b/>
          <w:bCs/>
        </w:rPr>
        <w:t>к огнестрельному оружию.</w:t>
      </w:r>
    </w:p>
    <w:p w14:paraId="6778BDD6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1E179ED9" w14:textId="4E9ED69C" w:rsidR="00695398" w:rsidRPr="00695398" w:rsidRDefault="00695398" w:rsidP="00695398">
      <w:pPr>
        <w:pStyle w:val="H23"/>
      </w:pPr>
      <w:r w:rsidRPr="00695398">
        <w:tab/>
      </w:r>
      <w:r w:rsidRPr="00695398">
        <w:tab/>
        <w:t>Торговля людьми</w:t>
      </w:r>
    </w:p>
    <w:p w14:paraId="0B35B816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26E3E1E3" w14:textId="3E9BF357" w:rsidR="00695398" w:rsidRPr="00695398" w:rsidRDefault="00695398" w:rsidP="00695398">
      <w:pPr>
        <w:pStyle w:val="SingleTxt"/>
      </w:pPr>
      <w:r w:rsidRPr="00695398">
        <w:t>24.</w:t>
      </w:r>
      <w:r w:rsidRPr="00695398">
        <w:tab/>
        <w:t xml:space="preserve">Комитет принимает к сведению наличие всеобъемлющей законодательной базы по борьбе с торговлей людьми, в том числе Закона № 26.364 (с поправками), а также учреждение институциональных механизмов по предотвращению </w:t>
      </w:r>
      <w:r w:rsidRPr="00695398">
        <w:lastRenderedPageBreak/>
        <w:t>и расследованию случаев торговли людьми и оказанию помощи жертвам. Вместе с тем он с обеспокоенностью отмечает:</w:t>
      </w:r>
    </w:p>
    <w:p w14:paraId="0F5D764B" w14:textId="77777777" w:rsidR="00695398" w:rsidRPr="00695398" w:rsidRDefault="00695398" w:rsidP="00695398">
      <w:pPr>
        <w:pStyle w:val="SingleTxt"/>
      </w:pPr>
      <w:r w:rsidRPr="00695398">
        <w:tab/>
        <w:t>a)</w:t>
      </w:r>
      <w:r w:rsidRPr="00695398">
        <w:tab/>
        <w:t>сообщения, указывающие на сокращение выделяемых бюджетных средств и ограниченное использование средств для защиты жертв и возмещения ущерба, в том числе на ликвидацию Фонда прямой помощи жертвам торговли людьми, а также на неполное использование ресурсов, выделенных на программы по восстановлению нарушенных прав жертв;</w:t>
      </w:r>
    </w:p>
    <w:p w14:paraId="0F8FD0E6" w14:textId="77777777" w:rsidR="00695398" w:rsidRPr="00695398" w:rsidRDefault="00695398" w:rsidP="00695398">
      <w:pPr>
        <w:pStyle w:val="SingleTxt"/>
      </w:pPr>
      <w:r w:rsidRPr="00695398">
        <w:tab/>
        <w:t>b)</w:t>
      </w:r>
      <w:r w:rsidRPr="00695398">
        <w:tab/>
        <w:t>отсутствие обновляемых, общедоступных и исчерпывающих данных о тенденциях в проблеме торговли людьми, расследованиях, уголовных преследованиях, приговорах и раннем выявлении жертв, дезагрегированных по признаку пола, возраста, гражданской принадлежности и форм эксплуатации;</w:t>
      </w:r>
    </w:p>
    <w:p w14:paraId="1B4DBD22" w14:textId="4AAC1353" w:rsidR="00695398" w:rsidRPr="00695398" w:rsidRDefault="00695398" w:rsidP="00695398">
      <w:pPr>
        <w:pStyle w:val="SingleTxt"/>
      </w:pPr>
      <w:r w:rsidRPr="00695398">
        <w:tab/>
        <w:t>c)</w:t>
      </w:r>
      <w:r w:rsidRPr="00695398">
        <w:tab/>
        <w:t xml:space="preserve">то, что недавние поправки к миграционному законодательству, в том числе внесенные в соответствии с декретом № 366/2025, могут сделать беженок и мигранток более уязвимыми для торговли людьми и эксплуатации </w:t>
      </w:r>
      <w:r w:rsidR="00E16110" w:rsidRPr="00695398">
        <w:t>из</w:t>
      </w:r>
      <w:r w:rsidR="00E16110">
        <w:noBreakHyphen/>
      </w:r>
      <w:r w:rsidR="00E16110" w:rsidRPr="00695398">
        <w:t>за</w:t>
      </w:r>
      <w:r w:rsidRPr="00695398">
        <w:t xml:space="preserve"> ограничения числа каналов урегулирования их статуса и ускорения процедур высылки;</w:t>
      </w:r>
    </w:p>
    <w:p w14:paraId="105D6FF6" w14:textId="7FD3342E" w:rsidR="00695398" w:rsidRPr="00695398" w:rsidRDefault="00695398" w:rsidP="00695398">
      <w:pPr>
        <w:pStyle w:val="SingleTxt"/>
      </w:pPr>
      <w:r w:rsidRPr="00695398">
        <w:tab/>
        <w:t>d)</w:t>
      </w:r>
      <w:r w:rsidRPr="00695398">
        <w:tab/>
        <w:t>постоянство воздействия структурных факторов, способствующих повышению риска женщин стать жертвами торговли людьми, в том числе таких факторов, как нищета, экономическое неравенство, отсутствие возможности получить гражданство, отсутствие доступа к официальной занятости и криминализация женщин, находящихся в уязвимом социально-экономическом положении, в том числе за преступления малой тяжести, связанные с наркотиками;</w:t>
      </w:r>
    </w:p>
    <w:p w14:paraId="6B9CE317" w14:textId="6485D846" w:rsidR="00695398" w:rsidRPr="00695398" w:rsidRDefault="00695398" w:rsidP="00695398">
      <w:pPr>
        <w:pStyle w:val="SingleTxt"/>
      </w:pPr>
      <w:r w:rsidRPr="00695398">
        <w:tab/>
        <w:t>e)</w:t>
      </w:r>
      <w:r w:rsidRPr="00695398">
        <w:tab/>
        <w:t>отсутствие комплексных долгосрочных программ реинтеграции для жертв торговли людьми, в том числе программ, обеспечивающих доступ к жилью, трудоустройству, психосоциальной поддержке и юридической помощи.</w:t>
      </w:r>
    </w:p>
    <w:p w14:paraId="7CC0E86E" w14:textId="317EEC67" w:rsidR="00695398" w:rsidRPr="00695398" w:rsidRDefault="00695398" w:rsidP="00695398">
      <w:pPr>
        <w:pStyle w:val="SingleTxt"/>
        <w:rPr>
          <w:b/>
          <w:bCs/>
        </w:rPr>
      </w:pPr>
      <w:r w:rsidRPr="00695398">
        <w:t>25.</w:t>
      </w:r>
      <w:r w:rsidRPr="00695398">
        <w:tab/>
      </w:r>
      <w:r w:rsidRPr="00695398">
        <w:rPr>
          <w:b/>
          <w:bCs/>
        </w:rPr>
        <w:t>Ссылаясь на свою общую рекомендацию № 38 (2020) о торговле женщинами и девочками в контексте глобальной миграции, Комитет рекомендует государству-участнику:</w:t>
      </w:r>
    </w:p>
    <w:p w14:paraId="0FA1C690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a)</w:t>
      </w:r>
      <w:r w:rsidRPr="00695398">
        <w:tab/>
      </w:r>
      <w:r w:rsidRPr="00695398">
        <w:rPr>
          <w:b/>
          <w:bCs/>
        </w:rPr>
        <w:t>обеспечивать на основе прозрачности надлежащее и бесперебойное финансирование для осуществления политических мер по борьбе с торговлей людьми и функционирования служб поддержки жертв, в том числе путем восстановления выделения и эффективного использования ресурсов, предназначенных для защиты</w:t>
      </w:r>
      <w:r w:rsidRPr="00695398">
        <w:t xml:space="preserve"> </w:t>
      </w:r>
      <w:r w:rsidRPr="00695398">
        <w:rPr>
          <w:b/>
          <w:bCs/>
        </w:rPr>
        <w:t>жертв торговли людьми, возмещения нанесенного им ущерба и восстановления их нарушенных прав, а также обеспечивая непрерывную работу специализированных институциональных органов;</w:t>
      </w:r>
    </w:p>
    <w:p w14:paraId="4C4B4CDE" w14:textId="4F2CDA30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b)</w:t>
      </w:r>
      <w:r w:rsidRPr="00695398">
        <w:tab/>
      </w:r>
      <w:r w:rsidRPr="00695398">
        <w:rPr>
          <w:b/>
          <w:bCs/>
        </w:rPr>
        <w:t>укреплять системы сбора и отслеживания данных, ориентированные на проблему торговли людьми, обеспечивая исчерпывающий характер данных, их общедоступность и дезагрегирование по признакам пола, возраста, национальной принадлежности, инвалидности и форм эксплуатации, а также использовать такие данные при разработке</w:t>
      </w:r>
      <w:r w:rsidRPr="00695398">
        <w:t xml:space="preserve"> </w:t>
      </w:r>
      <w:r w:rsidRPr="00695398">
        <w:rPr>
          <w:b/>
          <w:bCs/>
        </w:rPr>
        <w:t>основанных на фактических данных стратегий предотвращения и уголовного преследования;</w:t>
      </w:r>
    </w:p>
    <w:p w14:paraId="7FD0B038" w14:textId="06BB31E4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c)</w:t>
      </w:r>
      <w:r w:rsidRPr="00695398">
        <w:tab/>
      </w:r>
      <w:r w:rsidRPr="00695398">
        <w:rPr>
          <w:b/>
          <w:bCs/>
        </w:rPr>
        <w:t>провести обзор исполнения миграционного законодательства, в том числе мер, одобренных в соответствии с декретом № 366/2025, для обеспечения того, чтобы беженки и мигрантки не подвергались повышенному риску торговли людьми и эксплуатации, и расширить доступ к каналам урегулирования статуса и к получению защиты и эффективных средств правовой защиты независимо от миграционного статуса женщин;</w:t>
      </w:r>
    </w:p>
    <w:p w14:paraId="040550CE" w14:textId="5675B21F" w:rsidR="00695398" w:rsidRPr="00695398" w:rsidRDefault="00695398" w:rsidP="00695398">
      <w:pPr>
        <w:pStyle w:val="SingleTxt"/>
        <w:rPr>
          <w:b/>
          <w:bCs/>
        </w:rPr>
      </w:pPr>
      <w:r w:rsidRPr="00695398">
        <w:lastRenderedPageBreak/>
        <w:tab/>
        <w:t>d)</w:t>
      </w:r>
      <w:r w:rsidRPr="00695398">
        <w:tab/>
      </w:r>
      <w:r w:rsidRPr="00695398">
        <w:rPr>
          <w:b/>
          <w:bCs/>
        </w:rPr>
        <w:t>устранять коренные причины торговли людьми посредством принятия адресных социально-экономических мер, направленных на снижение риска женщин стать жертвами торговли людьми, в том числе обеспечивая доступ к официальной занятости, социальной защите, образованию и безопасному жилью, в первую очередь женщинам, живущим в условиях нищеты, и женщинам, подвергающимся риску криминализации;</w:t>
      </w:r>
    </w:p>
    <w:p w14:paraId="5AF99712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e)</w:t>
      </w:r>
      <w:r w:rsidRPr="00695398">
        <w:tab/>
      </w:r>
      <w:r w:rsidRPr="00695398">
        <w:rPr>
          <w:b/>
          <w:bCs/>
        </w:rPr>
        <w:t>разрабатывать и укреплять комплексные и долгосрочные программы реинтеграции для жертв торговли людьми и расширять доступ пострадавших лиц к доступному жилью, возможностям трудоустройства, психосоциальным услугам, юридической помощи и средствам защиты от повторной виктимизации.</w:t>
      </w:r>
    </w:p>
    <w:p w14:paraId="34257C22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1D180217" w14:textId="77777777" w:rsidR="00695398" w:rsidRPr="00695398" w:rsidRDefault="00695398" w:rsidP="00695398">
      <w:pPr>
        <w:pStyle w:val="H23"/>
      </w:pPr>
      <w:r w:rsidRPr="00695398">
        <w:tab/>
      </w:r>
      <w:r w:rsidRPr="00695398">
        <w:tab/>
        <w:t>Равное участие в политической и общественной жизни</w:t>
      </w:r>
    </w:p>
    <w:p w14:paraId="3D14E8C0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6631D0A9" w14:textId="77777777" w:rsidR="00695398" w:rsidRPr="00695398" w:rsidRDefault="00695398" w:rsidP="00695398">
      <w:pPr>
        <w:pStyle w:val="SingleTxt"/>
      </w:pPr>
      <w:r w:rsidRPr="00695398">
        <w:t>26.</w:t>
      </w:r>
      <w:r w:rsidRPr="00695398">
        <w:tab/>
        <w:t>Комитет принимает к сведению, что принятие Закона № 27.412 о гендерном паритете в различных сферах политического представительства привело к достижению практически полного паритета в Национальном конгрессе. Вместе с тем он с обеспокоенностью отмечает:</w:t>
      </w:r>
    </w:p>
    <w:p w14:paraId="201EC51A" w14:textId="77777777" w:rsidR="00695398" w:rsidRPr="00695398" w:rsidRDefault="00695398" w:rsidP="00695398">
      <w:pPr>
        <w:pStyle w:val="SingleTxt"/>
      </w:pPr>
      <w:r w:rsidRPr="00695398">
        <w:tab/>
        <w:t>a)</w:t>
      </w:r>
      <w:r w:rsidRPr="00695398">
        <w:tab/>
        <w:t>сохраняющуюся проблему недопредставленности женщин на старших руководящих должностях в исполнительной власти, в высших судебных органах, в особенности в Верховном суде, а также на дипломатической службе, где процентная доля женщин, занимающих должности послов и руководителей миссий за рубежом, остается низкой;</w:t>
      </w:r>
    </w:p>
    <w:p w14:paraId="577C4AE3" w14:textId="77777777" w:rsidR="00695398" w:rsidRPr="00695398" w:rsidRDefault="00695398" w:rsidP="00695398">
      <w:pPr>
        <w:pStyle w:val="SingleTxt"/>
      </w:pPr>
      <w:r w:rsidRPr="00695398">
        <w:tab/>
        <w:t>b)</w:t>
      </w:r>
      <w:r w:rsidRPr="00695398">
        <w:tab/>
        <w:t>неравномерное принятие и исполнение законодательства о гендерном паритете на уровне провинций и муниципалитетов при отсутствии в некоторых провинциях полноценных систем обеспечения паритета, несистематическом контроле за соблюдением требований о чередовании кандидатов в списках политических партий и отсутствии обязательных мер по обеспечению паритета при назначении на руководящие должности на уровне провинций;</w:t>
      </w:r>
    </w:p>
    <w:p w14:paraId="5651DB80" w14:textId="4CAEDFCB" w:rsidR="00695398" w:rsidRPr="00695398" w:rsidRDefault="00695398" w:rsidP="00695398">
      <w:pPr>
        <w:pStyle w:val="SingleTxt"/>
      </w:pPr>
      <w:r w:rsidRPr="00695398">
        <w:tab/>
        <w:t>c)</w:t>
      </w:r>
      <w:r w:rsidRPr="00695398">
        <w:tab/>
        <w:t>Принятие Министерством иностранных дел, международной торговли и по делам религий постановления № 143/2025, согласно которому процедура выдвижения кандидатур, установленная в постановлении № 20/2023, была заменена, а из процедуры выдвижения кандидатов на должности в международных организациях было исключено использование отдельных критериев гендерного паритета и разнообразия.</w:t>
      </w:r>
    </w:p>
    <w:p w14:paraId="1D5EB311" w14:textId="18BE6082" w:rsidR="00695398" w:rsidRPr="00695398" w:rsidRDefault="00695398" w:rsidP="00695398">
      <w:pPr>
        <w:pStyle w:val="SingleTxt"/>
        <w:rPr>
          <w:b/>
          <w:bCs/>
        </w:rPr>
      </w:pPr>
      <w:r w:rsidRPr="00695398">
        <w:t>27.</w:t>
      </w:r>
      <w:r w:rsidRPr="00695398">
        <w:tab/>
      </w:r>
      <w:r w:rsidRPr="00695398">
        <w:rPr>
          <w:b/>
          <w:bCs/>
        </w:rPr>
        <w:t>Ссылаясь на свои общие рекомендации № 25 и № 40 (2024) о представленности женщин в системах принятия решений на равной и инклюзивной основе, Комитет рекомендует государству-участнику:</w:t>
      </w:r>
    </w:p>
    <w:p w14:paraId="5508466D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a)</w:t>
      </w:r>
      <w:r w:rsidRPr="00695398">
        <w:tab/>
      </w:r>
      <w:r w:rsidRPr="00695398">
        <w:rPr>
          <w:b/>
          <w:bCs/>
        </w:rPr>
        <w:t>ввести всеобъемлющие временные специальные меры для ускорения процесса обеспечения равного представительства женщин на старших руководящих должностях в исполнительной власти, в судебных органах и на дипломатической службе, а также на старших должностях на государственной службе, включая привязанные к конкретным срокам целевые показатели, прозрачные критерии отбора и механизмы обеспечения подотчетности, нацеленные на устранение структурных барьеров, которые препятствуют участию женщин;</w:t>
      </w:r>
    </w:p>
    <w:p w14:paraId="3982A6BA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b)</w:t>
      </w:r>
      <w:r w:rsidRPr="00695398">
        <w:tab/>
      </w:r>
      <w:r w:rsidRPr="00695398">
        <w:rPr>
          <w:b/>
          <w:bCs/>
        </w:rPr>
        <w:t xml:space="preserve">обеспечивать полное и единообразное выполнение принципа гендерного паритета во всех провинциях и муниципалитетах, в том числе путем приведения избирательных систем провинций в соответствие с национальными стандартами, укрепления механизмов контроля за соблюдением требований, включая штрафы за несоблюдение требований о чередовании </w:t>
      </w:r>
      <w:r w:rsidRPr="00695398">
        <w:rPr>
          <w:b/>
          <w:bCs/>
        </w:rPr>
        <w:lastRenderedPageBreak/>
        <w:t>кандидатов в списках политических партий, а также введения мер по содействию обеспечению паритета на руководящих должностях на уровне</w:t>
      </w:r>
      <w:r w:rsidRPr="00695398">
        <w:t xml:space="preserve"> </w:t>
      </w:r>
      <w:r w:rsidRPr="00695398">
        <w:rPr>
          <w:b/>
          <w:bCs/>
        </w:rPr>
        <w:t>провинций;</w:t>
      </w:r>
    </w:p>
    <w:p w14:paraId="64431352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c)</w:t>
      </w:r>
      <w:r w:rsidRPr="00695398">
        <w:tab/>
      </w:r>
      <w:r w:rsidRPr="00695398">
        <w:rPr>
          <w:b/>
          <w:bCs/>
        </w:rPr>
        <w:t>восстановить и закрепить на институциональном уровне использование критериев гендерного паритета и многообразия в процедурах выдвижения и отбора кандидатов на должности в международных организациях, обеспечив тем самым прозрачность процессов, широкое участие в них и учет профессиональных качеств.</w:t>
      </w:r>
    </w:p>
    <w:p w14:paraId="7C492440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1D00A7EF" w14:textId="4651A07D" w:rsidR="00695398" w:rsidRPr="00695398" w:rsidRDefault="00695398" w:rsidP="00695398">
      <w:pPr>
        <w:pStyle w:val="H23"/>
      </w:pPr>
      <w:r w:rsidRPr="00695398">
        <w:tab/>
      </w:r>
      <w:r w:rsidRPr="00695398">
        <w:tab/>
        <w:t>Правозащитницы</w:t>
      </w:r>
    </w:p>
    <w:p w14:paraId="3D3738E4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0A8E5E18" w14:textId="08A6A7CF" w:rsidR="00695398" w:rsidRPr="00695398" w:rsidRDefault="00695398" w:rsidP="00695398">
      <w:pPr>
        <w:pStyle w:val="SingleTxt"/>
      </w:pPr>
      <w:r w:rsidRPr="00695398">
        <w:t>28.</w:t>
      </w:r>
      <w:r w:rsidRPr="00695398">
        <w:tab/>
        <w:t>Комитет выражает глубокую озабоченность в связи со все более враждебной атмосферой в государстве-участнике для правозащитниц, активисток феминистского движения, активисток с инвалидностью, защитниц окружающей среды, коренных женщин-лидеров, женщин, известных как «общественные опекунши» (cuidadoras comunitarias), а также журналисток. Комитет в особенности обеспокоен:</w:t>
      </w:r>
    </w:p>
    <w:p w14:paraId="12BC7B57" w14:textId="77777777" w:rsidR="00695398" w:rsidRPr="00695398" w:rsidRDefault="00695398" w:rsidP="00695398">
      <w:pPr>
        <w:pStyle w:val="SingleTxt"/>
      </w:pPr>
      <w:r w:rsidRPr="00695398">
        <w:tab/>
        <w:t>a)</w:t>
      </w:r>
      <w:r w:rsidRPr="00695398">
        <w:tab/>
        <w:t>широкой распространенностью стигматизирующего и делегитимизирующего публичного дискурса, который направлен против защитников прав женщин и ставит под сомнение политику гендерного равенства;</w:t>
      </w:r>
    </w:p>
    <w:p w14:paraId="63D46A0E" w14:textId="0DEFE707" w:rsidR="00695398" w:rsidRPr="00695398" w:rsidRDefault="00695398" w:rsidP="00695398">
      <w:pPr>
        <w:pStyle w:val="SingleTxt"/>
      </w:pPr>
      <w:r w:rsidRPr="00695398">
        <w:tab/>
        <w:t>b)</w:t>
      </w:r>
      <w:r w:rsidRPr="00695398">
        <w:tab/>
        <w:t>криминализацией и преследованием с использованием судебной системы защитниц экологических прав и прав коренных народов наряду с чрезмерным применением силы в их отношении, в том числе в контексте земельных и территориальных споров;</w:t>
      </w:r>
    </w:p>
    <w:p w14:paraId="66F596CA" w14:textId="77777777" w:rsidR="00695398" w:rsidRPr="00695398" w:rsidRDefault="00695398" w:rsidP="00695398">
      <w:pPr>
        <w:pStyle w:val="SingleTxt"/>
      </w:pPr>
      <w:r w:rsidRPr="00695398">
        <w:tab/>
        <w:t>c)</w:t>
      </w:r>
      <w:r w:rsidRPr="00695398">
        <w:tab/>
        <w:t>отсутствием всеобъемлющего законодательства, в котором отдельное внимание уделялось бы факторам риска, воздействующим на правозащитниц.</w:t>
      </w:r>
    </w:p>
    <w:p w14:paraId="76A6BF50" w14:textId="477EAF70" w:rsidR="00695398" w:rsidRPr="00695398" w:rsidRDefault="00695398" w:rsidP="00695398">
      <w:pPr>
        <w:pStyle w:val="SingleTxt"/>
        <w:rPr>
          <w:b/>
          <w:bCs/>
        </w:rPr>
      </w:pPr>
      <w:r w:rsidRPr="00695398">
        <w:t>29.</w:t>
      </w:r>
      <w:r w:rsidRPr="00695398">
        <w:tab/>
      </w:r>
      <w:r w:rsidRPr="00695398">
        <w:rPr>
          <w:b/>
          <w:bCs/>
        </w:rPr>
        <w:t>Комитет настоятельно призывает государство-участник:</w:t>
      </w:r>
    </w:p>
    <w:p w14:paraId="76064A88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a)</w:t>
      </w:r>
      <w:r w:rsidRPr="00695398">
        <w:tab/>
      </w:r>
      <w:r w:rsidRPr="00695398">
        <w:rPr>
          <w:b/>
          <w:bCs/>
        </w:rPr>
        <w:t>официально признавать и защищать законную и принципиально важную роль правозащитниц, в том числе активисток феминистского движения, активисток с инвалидностью, журналисток и защитниц экологических прав и прав коренных народов, а также «общественных опекунш» (cuidadoras comunitarias) в деле поощрения гендерного равенства, а также обеспечивать, чтобы государственные органы власти воздерживались от дискурса, в котором стигматизируется или делегитимизируется их работа;</w:t>
      </w:r>
    </w:p>
    <w:p w14:paraId="6A6647F4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rPr>
          <w:b/>
          <w:bCs/>
        </w:rPr>
        <w:tab/>
      </w:r>
      <w:r w:rsidRPr="00695398">
        <w:t>b)</w:t>
      </w:r>
      <w:r w:rsidRPr="00695398">
        <w:tab/>
      </w:r>
      <w:r w:rsidRPr="00695398">
        <w:rPr>
          <w:b/>
          <w:bCs/>
        </w:rPr>
        <w:t>ввести комплексные, разработанные с учетом гендерных аспектов меры в целях предотвращения, расследования и наказания в связи с угрозами, преследованиями и гендерным насилием, в том числе в Интернете, и нападками в цифровой среде на правозащитниц, в том числе на журналисток и защитниц экологических прав и прав коренных народов, и обеспечивать им доступ к своевременным и эффективным средствам правовой и обычной защиты;</w:t>
      </w:r>
    </w:p>
    <w:p w14:paraId="70E341EA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rPr>
          <w:b/>
          <w:bCs/>
        </w:rPr>
        <w:tab/>
      </w:r>
      <w:r w:rsidRPr="00695398">
        <w:t>c)</w:t>
      </w:r>
      <w:r w:rsidRPr="00695398">
        <w:tab/>
      </w:r>
      <w:r w:rsidRPr="00695398">
        <w:rPr>
          <w:b/>
          <w:bCs/>
        </w:rPr>
        <w:t>принять всеобъемлющее законодательство для защиты правозащитниц, предусматривающее проведение дифференцированных и интерсекциональных оценок риска, включая конкретные меры защиты для защитниц экологических прав, в соответствии с Региональным соглашением о доступе к информации, участии общественности и правосудии по вопросам окружающей среды в Латинской Америке и Карибском бассейне.</w:t>
      </w:r>
    </w:p>
    <w:p w14:paraId="5964ABE3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458714D9" w14:textId="77777777" w:rsidR="00695398" w:rsidRDefault="00695398">
      <w:pPr>
        <w:suppressAutoHyphens w:val="0"/>
        <w:spacing w:after="160" w:line="259" w:lineRule="auto"/>
        <w:rPr>
          <w:b/>
          <w:spacing w:val="2"/>
          <w:kern w:val="14"/>
        </w:rPr>
      </w:pPr>
      <w:r>
        <w:br w:type="page"/>
      </w:r>
    </w:p>
    <w:p w14:paraId="0623034D" w14:textId="452F601D" w:rsidR="00695398" w:rsidRPr="00695398" w:rsidRDefault="00695398" w:rsidP="00695398">
      <w:pPr>
        <w:pStyle w:val="H23"/>
      </w:pPr>
      <w:r w:rsidRPr="00695398">
        <w:lastRenderedPageBreak/>
        <w:tab/>
      </w:r>
      <w:r w:rsidRPr="00695398">
        <w:tab/>
        <w:t>Образование</w:t>
      </w:r>
    </w:p>
    <w:p w14:paraId="084260AA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75831C5E" w14:textId="6A379A47" w:rsidR="00695398" w:rsidRPr="00695398" w:rsidRDefault="00695398" w:rsidP="00695398">
      <w:pPr>
        <w:pStyle w:val="SingleTxt"/>
      </w:pPr>
      <w:r w:rsidRPr="00695398">
        <w:t>30.</w:t>
      </w:r>
      <w:r w:rsidRPr="00695398">
        <w:tab/>
        <w:t>Комитет принимает к сведению наличие в государстве-участнике законодательной базы, гарантирующей право на образование, и принятие Закона № 26.150 о всестороннем половом воспитании, а также успехи, достигнутые ранее благодаря реализации национального плана по предотвращению непреднамеренных беременностей у подростков. Вместе с тем он с обеспокоенностью отмечает:</w:t>
      </w:r>
    </w:p>
    <w:p w14:paraId="41E42E58" w14:textId="77777777" w:rsidR="00695398" w:rsidRPr="00695398" w:rsidRDefault="00695398" w:rsidP="00695398">
      <w:pPr>
        <w:pStyle w:val="SingleTxt"/>
      </w:pPr>
      <w:r w:rsidRPr="00695398">
        <w:tab/>
        <w:t>a)</w:t>
      </w:r>
      <w:r w:rsidRPr="00695398">
        <w:tab/>
        <w:t>значительное ослабление мер по соблюдению Закона № 26.150 о всестороннем половом воспитании, в том числе сокращение объема выделяемых бюджетных средств, резкое уменьшение подготовки учительских кадров в целях его исполнения, ликвидацию национальных координационных механизмов и упразднение профилактических инициатив, таких как реализуемая в школах инициатива «Образование в духе равенства» (Educar en Igualdad), что может подорвать усилия, направленные на противодействие гендерным стереотипам и предотвращение гендерного насилия с раннего возраста;</w:t>
      </w:r>
    </w:p>
    <w:p w14:paraId="69D2CAE5" w14:textId="4A10E515" w:rsidR="00695398" w:rsidRPr="00695398" w:rsidRDefault="00695398" w:rsidP="00695398">
      <w:pPr>
        <w:pStyle w:val="SingleTxt"/>
      </w:pPr>
      <w:r w:rsidRPr="00695398">
        <w:tab/>
        <w:t>b)</w:t>
      </w:r>
      <w:r w:rsidRPr="00695398">
        <w:tab/>
        <w:t>имевшие место в 202</w:t>
      </w:r>
      <w:r w:rsidR="00E16110" w:rsidRPr="00695398">
        <w:t>4</w:t>
      </w:r>
      <w:r w:rsidR="00E16110">
        <w:t> </w:t>
      </w:r>
      <w:r w:rsidR="00E16110" w:rsidRPr="00695398">
        <w:t>год</w:t>
      </w:r>
      <w:r w:rsidRPr="00695398">
        <w:t>у приостановку реализации и существенное сокращение финансирования национального плана по предотвращению непреднамеренных беременностей у подростков, в том числе увольнение персонала территориальных групп, ликвидацию механизмов межведомственной координации и практически полный отказ от выделения бюджетных ассигнований на 202</w:t>
      </w:r>
      <w:r w:rsidR="00E16110" w:rsidRPr="00695398">
        <w:t>6</w:t>
      </w:r>
      <w:r w:rsidR="00E16110">
        <w:t> </w:t>
      </w:r>
      <w:r w:rsidR="00E16110" w:rsidRPr="00695398">
        <w:t>год</w:t>
      </w:r>
      <w:r w:rsidR="00E262BA" w:rsidRPr="00AA636F">
        <w:t>,</w:t>
      </w:r>
      <w:r w:rsidRPr="00695398">
        <w:t xml:space="preserve"> несмотря на документально подтвержденное снижение показателей подростковой беременности, достигнутое за время реализации данной программы;</w:t>
      </w:r>
    </w:p>
    <w:p w14:paraId="56BEA6BB" w14:textId="77777777" w:rsidR="00695398" w:rsidRPr="00695398" w:rsidRDefault="00695398" w:rsidP="00695398">
      <w:pPr>
        <w:pStyle w:val="SingleTxt"/>
      </w:pPr>
      <w:r w:rsidRPr="00695398">
        <w:tab/>
        <w:t>c)</w:t>
      </w:r>
      <w:r w:rsidRPr="00695398">
        <w:tab/>
        <w:t>сообщения о том, что беременные девочки и матери-подростки сталкиваются со все большими препятствиями в попытках продолжить свое образование, особенно в условиях отсутствия скоординированных услуг по оказанию поддержки;</w:t>
      </w:r>
    </w:p>
    <w:p w14:paraId="6B0F3138" w14:textId="77777777" w:rsidR="00695398" w:rsidRPr="00695398" w:rsidRDefault="00695398" w:rsidP="00695398">
      <w:pPr>
        <w:pStyle w:val="SingleTxt"/>
      </w:pPr>
      <w:r w:rsidRPr="00695398">
        <w:tab/>
        <w:t>d)</w:t>
      </w:r>
      <w:r w:rsidRPr="00695398">
        <w:tab/>
        <w:t>введение административных и финансовых мер, которые могут ограничивать доступ девочек-мигранток к образованию, в том числе введение платы и требований к документации, которые в диспропорциональной степени затрагивают девочек-мигранток и молодых женщин-мигранток;</w:t>
      </w:r>
    </w:p>
    <w:p w14:paraId="40E010A7" w14:textId="409C0A96" w:rsidR="00695398" w:rsidRPr="00695398" w:rsidRDefault="00695398" w:rsidP="00695398">
      <w:pPr>
        <w:pStyle w:val="SingleTxt"/>
      </w:pPr>
      <w:r w:rsidRPr="00695398">
        <w:tab/>
        <w:t>e)</w:t>
      </w:r>
      <w:r w:rsidRPr="00695398">
        <w:tab/>
        <w:t>сохраняющуюся гендерную сегрегацию в таких областях обучения, как научно-технические и инженерно-математические специальности, а также отсутствие адресных мер по содействию участи</w:t>
      </w:r>
      <w:r w:rsidR="00AA636F" w:rsidRPr="00961CDE">
        <w:t>ю</w:t>
      </w:r>
      <w:r w:rsidRPr="00695398">
        <w:t xml:space="preserve"> девочек в нетрадиционных для них областях обучения.</w:t>
      </w:r>
    </w:p>
    <w:p w14:paraId="6EEBB24D" w14:textId="5DAD0B76" w:rsidR="00695398" w:rsidRPr="00695398" w:rsidRDefault="00695398" w:rsidP="00695398">
      <w:pPr>
        <w:pStyle w:val="SingleTxt"/>
        <w:rPr>
          <w:b/>
          <w:bCs/>
        </w:rPr>
      </w:pPr>
      <w:r w:rsidRPr="00695398">
        <w:t>31.</w:t>
      </w:r>
      <w:r w:rsidRPr="00695398">
        <w:tab/>
      </w:r>
      <w:r w:rsidRPr="00695398">
        <w:rPr>
          <w:b/>
          <w:bCs/>
        </w:rPr>
        <w:t>Ссылаясь на свою общую рекомендацию № 36 (2017) о праве девочек и женщин на образование, Комитет рекомендует государству-участнику:</w:t>
      </w:r>
    </w:p>
    <w:p w14:paraId="632439CB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a)</w:t>
      </w:r>
      <w:r w:rsidRPr="00695398">
        <w:tab/>
      </w:r>
      <w:r w:rsidRPr="00695398">
        <w:rPr>
          <w:b/>
          <w:bCs/>
        </w:rPr>
        <w:t>обеспечивать полное и эффективное соблюдение Закона № 26.150 о всестороннем половом воспитании во всех провинциях, вернуться к бесперебойному выделению надлежащих бюджетных средств, возобновить регулярную подготовку учительских кадров по вопросам соблюдения этого закона и работу национальных координационных механизмов, а также воссоздать профилактические инициативы, такие как инициатива «Образование в духе равенства» (Educar en Igualdad), для противостояния гендерным стереотипам и токсичной маскулинности с раннего возраста;</w:t>
      </w:r>
    </w:p>
    <w:p w14:paraId="7FCA0A77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b)</w:t>
      </w:r>
      <w:r w:rsidRPr="00695398">
        <w:tab/>
      </w:r>
      <w:r w:rsidRPr="00695398">
        <w:rPr>
          <w:b/>
          <w:bCs/>
        </w:rPr>
        <w:t xml:space="preserve">вернуться к осуществлению национального плана по предотвращению непреднамеренных беременностей у подростков и обеспечивать его надлежащее финансирование, обеспечить возобновление деятельности территориальных групп и механизмов межведомственной координации, а </w:t>
      </w:r>
      <w:r w:rsidRPr="00695398">
        <w:rPr>
          <w:b/>
          <w:bCs/>
        </w:rPr>
        <w:lastRenderedPageBreak/>
        <w:t>также гарантировать, что любое реформирование стратегий в этой сфере осуществляется при соблюдении принципа недопустимости регресса;</w:t>
      </w:r>
    </w:p>
    <w:p w14:paraId="050082C0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c)</w:t>
      </w:r>
      <w:r w:rsidRPr="00695398">
        <w:tab/>
      </w:r>
      <w:r w:rsidRPr="00695398">
        <w:rPr>
          <w:b/>
          <w:bCs/>
        </w:rPr>
        <w:t>принимать адресные меры с целью обеспечить беременным девочкам и матерям-подросткам возможность продолжить и завершить образование, в том числе благодаря внедрению гибких форм обучения, оказанию помощи в уходе за детьми и защите от стигматизации и дискриминации;</w:t>
      </w:r>
    </w:p>
    <w:p w14:paraId="7FA4BB9D" w14:textId="4A21EE2B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d)</w:t>
      </w:r>
      <w:r w:rsidRPr="00695398">
        <w:tab/>
      </w:r>
      <w:r w:rsidRPr="00695398">
        <w:rPr>
          <w:b/>
          <w:bCs/>
        </w:rPr>
        <w:t>обеспечивать девочкам-мигранткам и молодым женщинам-мигранткам, вне зависимости от их миграционного статуса, равный доступ к образованию на всех уровнях и пересмотреть любые административные или финансовые меры, которые могут создавать дискриминационные барьеры для их поступления в учебные заведения или продолжения обучения в них;</w:t>
      </w:r>
    </w:p>
    <w:p w14:paraId="6DBE7B41" w14:textId="12BAB254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e)</w:t>
      </w:r>
      <w:r w:rsidRPr="00695398">
        <w:tab/>
      </w:r>
      <w:r w:rsidRPr="00695398">
        <w:rPr>
          <w:b/>
          <w:bCs/>
        </w:rPr>
        <w:t>ввести временные специальные меры, в том числе установить привязанные к конкретным срокам целевые показатели и применять меры стимулирования для большего участия девочек и женщин в нетрадиционных для них областях обучения, в особенности в обучении по научно-техническим и инженерно-математическим специальностям, а также решить проблему недопредставленности женщин в системе профессионального и высшего образования.</w:t>
      </w:r>
    </w:p>
    <w:p w14:paraId="3F8B6B51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62A0E242" w14:textId="77777777" w:rsidR="00695398" w:rsidRPr="00695398" w:rsidRDefault="00695398" w:rsidP="00695398">
      <w:pPr>
        <w:pStyle w:val="H23"/>
      </w:pPr>
      <w:r w:rsidRPr="00695398">
        <w:tab/>
      </w:r>
      <w:r w:rsidRPr="00695398">
        <w:tab/>
        <w:t>Занятость</w:t>
      </w:r>
    </w:p>
    <w:p w14:paraId="5114E407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297CC985" w14:textId="2DD6EC39" w:rsidR="00695398" w:rsidRPr="00695398" w:rsidRDefault="00695398" w:rsidP="00695398">
      <w:pPr>
        <w:pStyle w:val="SingleTxt"/>
      </w:pPr>
      <w:r w:rsidRPr="00695398">
        <w:t>32.</w:t>
      </w:r>
      <w:r w:rsidRPr="00695398">
        <w:tab/>
        <w:t>Комитет с обеспокоенностью отмечает:</w:t>
      </w:r>
    </w:p>
    <w:p w14:paraId="334BB927" w14:textId="0B4CDF8E" w:rsidR="00695398" w:rsidRPr="00695398" w:rsidRDefault="00695398" w:rsidP="00695398">
      <w:pPr>
        <w:pStyle w:val="SingleTxt"/>
      </w:pPr>
      <w:r w:rsidRPr="00695398">
        <w:tab/>
        <w:t>a)</w:t>
      </w:r>
      <w:r w:rsidRPr="00695398">
        <w:tab/>
        <w:t>принятие чрезвычайного декрета № 70/2023 и предлагаемую реформу трудового законодательства, направленную на введение значительных мер по дерегулированию трудовых отношений, в том числе на увеличение длительности испытательных сроков, введение гибких условий труда на основе «банка рабочих часов», ограничение обязательств работодателей и их отчислений на социальное страхование, а также ослабление механизмов ведения коллективных переговоров, без проведения оценки гендерного воздействия;</w:t>
      </w:r>
    </w:p>
    <w:p w14:paraId="7B0ACBBB" w14:textId="77777777" w:rsidR="00695398" w:rsidRPr="00695398" w:rsidRDefault="00695398" w:rsidP="00695398">
      <w:pPr>
        <w:pStyle w:val="SingleTxt"/>
      </w:pPr>
      <w:r w:rsidRPr="00695398">
        <w:tab/>
        <w:t>b)</w:t>
      </w:r>
      <w:r w:rsidRPr="00695398">
        <w:tab/>
        <w:t>отсутствие всеобъемлющей и функционирующей национальной системы организации ухода, в том числе сообщения о том, что межведомственный комитет по мерам политики в сфере ухода, созданный для координации таких мер, больше не ведет активную работу, что в настоящее время не реализуется никакая национальная стратегия в сфере ухода и что в результате недавней реструктуризации учреждений и сокращения бюджета координация и преемственность политики в этой области оказались ослаблены, что закрепляет ситуацию, в которой непропорционально тяжелое бремя неоплачиваемой работы по уходу возлагается на женщин, препятствуя их равному участию на рынке труда;</w:t>
      </w:r>
    </w:p>
    <w:p w14:paraId="6836B879" w14:textId="77777777" w:rsidR="00695398" w:rsidRPr="00695398" w:rsidRDefault="00695398" w:rsidP="00695398">
      <w:pPr>
        <w:pStyle w:val="SingleTxt"/>
      </w:pPr>
      <w:r w:rsidRPr="00695398">
        <w:tab/>
        <w:t>c)</w:t>
      </w:r>
      <w:r w:rsidRPr="00695398">
        <w:tab/>
        <w:t>ведущее к регрессу воздействие реформ в сфере труда и социального обеспечения на доступ женщин к пенсиям и социальной защите, которое особенно касается женщин, имеющих перерывы в трудовом стаже, и женщин со стажем работы в неформальном секторе;</w:t>
      </w:r>
    </w:p>
    <w:p w14:paraId="164FD765" w14:textId="77777777" w:rsidR="00695398" w:rsidRPr="00695398" w:rsidRDefault="00695398" w:rsidP="00695398">
      <w:pPr>
        <w:pStyle w:val="SingleTxt"/>
      </w:pPr>
      <w:r w:rsidRPr="00695398">
        <w:tab/>
        <w:t>d)</w:t>
      </w:r>
      <w:r w:rsidRPr="00695398">
        <w:tab/>
        <w:t>трудно преодолимую сегрегацию в области занятости, сохраняющийся гендерный разрыв в оплате труда и повышенную представленность женщин, особенно мигранток, на низкооплачиваемых рабочих местах и в неформальном секторе, включая работу по ведению домашнего хозяйства и уходу;</w:t>
      </w:r>
    </w:p>
    <w:p w14:paraId="10070494" w14:textId="77777777" w:rsidR="00695398" w:rsidRPr="00695398" w:rsidRDefault="00695398" w:rsidP="00695398">
      <w:pPr>
        <w:pStyle w:val="SingleTxt"/>
      </w:pPr>
      <w:r w:rsidRPr="00695398">
        <w:tab/>
        <w:t>e)</w:t>
      </w:r>
      <w:r w:rsidRPr="00695398">
        <w:tab/>
        <w:t xml:space="preserve">то, что новые меры по повышению гибкости трудовых отношений, в том числе использование непредсказуемого графика работы и ослабление или отмена мер защиты возможности работать удаленно, могут непропорционально сильно затрагивать женщин, особенно имеющих обязанности по уходу, </w:t>
      </w:r>
      <w:r w:rsidRPr="00695398">
        <w:lastRenderedPageBreak/>
        <w:t>поскольку нарушают баланс между работой и личной жизнью и ограничивают доступ этих женщин к стабильной официальной занятости.</w:t>
      </w:r>
    </w:p>
    <w:p w14:paraId="78474ECB" w14:textId="59DD6D82" w:rsidR="00695398" w:rsidRPr="00695398" w:rsidRDefault="00695398" w:rsidP="00695398">
      <w:pPr>
        <w:pStyle w:val="SingleTxt"/>
        <w:rPr>
          <w:b/>
          <w:bCs/>
        </w:rPr>
      </w:pPr>
      <w:r w:rsidRPr="00695398">
        <w:t>33.</w:t>
      </w:r>
      <w:r w:rsidRPr="00695398">
        <w:tab/>
      </w:r>
      <w:r w:rsidRPr="00695398">
        <w:rPr>
          <w:b/>
          <w:bCs/>
        </w:rPr>
        <w:t>Комитет рекомендует государству-участнику:</w:t>
      </w:r>
    </w:p>
    <w:p w14:paraId="62A6C851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a)</w:t>
      </w:r>
      <w:r w:rsidRPr="00695398">
        <w:tab/>
      </w:r>
      <w:r w:rsidRPr="00695398">
        <w:rPr>
          <w:b/>
          <w:bCs/>
        </w:rPr>
        <w:t>провести обзор реформ в сфере труда и связанных с ними мер, чтобы обеспечить их полное соответствие Конвенции, систематически проводить оценки гендерного воздействия и обеспечивать, чтобы дерегулирование трудовых отношений не приводило к регрессу в области трудовых прав</w:t>
      </w:r>
      <w:r w:rsidRPr="00695398">
        <w:t xml:space="preserve"> </w:t>
      </w:r>
      <w:r w:rsidRPr="00695398">
        <w:rPr>
          <w:b/>
          <w:bCs/>
        </w:rPr>
        <w:t>женщин, гарантий их занятости и защиты их возможности ведения коллективных переговоров;</w:t>
      </w:r>
    </w:p>
    <w:p w14:paraId="335FADF5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b)</w:t>
      </w:r>
      <w:r w:rsidRPr="00695398">
        <w:tab/>
      </w:r>
      <w:r w:rsidRPr="00695398">
        <w:rPr>
          <w:b/>
          <w:bCs/>
        </w:rPr>
        <w:t>создать и надлежащим образом финансировать</w:t>
      </w:r>
      <w:r w:rsidRPr="00695398">
        <w:t xml:space="preserve"> </w:t>
      </w:r>
      <w:r w:rsidRPr="00695398">
        <w:rPr>
          <w:b/>
          <w:bCs/>
        </w:rPr>
        <w:t>всеобъемлющую и функционирующую национальную систему организации ухода, восстановить эффективные механизмы межведомственной координации и принять меры с установленными сроками реализации в целях признания, сокращения и перераспределения неоплачиваемой работы по уходу, с тем чтобы поощрять равное участие женщин на рынке труда;</w:t>
      </w:r>
    </w:p>
    <w:p w14:paraId="78A1645F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c)</w:t>
      </w:r>
      <w:r w:rsidRPr="00695398">
        <w:tab/>
      </w:r>
      <w:r w:rsidRPr="00695398">
        <w:rPr>
          <w:b/>
          <w:bCs/>
        </w:rPr>
        <w:t>обеспечивать, чтобы реформы в сфере труда и социального обеспечения не оказывали негативного воздействия на доступ женщин к пенсионным выплатам и социальной защите, в том числе принимая корректирующие меры для женщин, имеющих перерывы в трудовом стаже, стаж работы в неформальном секторе или на условиях неполной занятости, а также обеспечивая им доступ к накопительным и ненакопительным схемам пенсионного обеспечения;</w:t>
      </w:r>
    </w:p>
    <w:p w14:paraId="62947E94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d)</w:t>
      </w:r>
      <w:r w:rsidRPr="00695398">
        <w:tab/>
      </w:r>
      <w:r w:rsidRPr="00695398">
        <w:rPr>
          <w:b/>
          <w:bCs/>
        </w:rPr>
        <w:t>ввести адресные меры, в том числе временные специальные меры, такие как привязанные к конкретным срокам целевые показатели, с целью расширения участия женщин в нетрадиционных для них секторах, устранения сегрегации в области занятости и гендерного разрыва в оплате труда, придания официального статуса занятости в сфере ведения домашнего хозяйства и ухода, а также улучшения условий труда женщин, в том числе мигранток, в частности благодаря более активному проведению трудовых инспекций и обеспечению соблюдения трудовых стандартов;</w:t>
      </w:r>
    </w:p>
    <w:p w14:paraId="75C8ED85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e)</w:t>
      </w:r>
      <w:r w:rsidRPr="00695398">
        <w:tab/>
      </w:r>
      <w:r w:rsidRPr="00695398">
        <w:rPr>
          <w:b/>
          <w:bCs/>
        </w:rPr>
        <w:t>обеспечивать, чтобы в мерах по повышению гибкости трудовых отношений, включая организацию режима рабочего времени и регулирование удаленной работы, предусматривались учитывающие гендерные аспекты гарантии, позволяющие женщинам сохранять баланс между работой и личной жизнью и стимулирующие распределение обязанностей по уходу между женщинами и мужчинами.</w:t>
      </w:r>
    </w:p>
    <w:p w14:paraId="384D0DE3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7F1A9FFE" w14:textId="77777777" w:rsidR="00695398" w:rsidRPr="00695398" w:rsidRDefault="00695398" w:rsidP="00695398">
      <w:pPr>
        <w:pStyle w:val="H23"/>
      </w:pPr>
      <w:r w:rsidRPr="00695398">
        <w:tab/>
      </w:r>
      <w:r w:rsidRPr="00695398">
        <w:tab/>
        <w:t>Здравоохранение</w:t>
      </w:r>
    </w:p>
    <w:p w14:paraId="3B78CE02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2483EA96" w14:textId="77777777" w:rsidR="00695398" w:rsidRPr="00695398" w:rsidRDefault="00695398" w:rsidP="00695398">
      <w:pPr>
        <w:pStyle w:val="SingleTxt"/>
      </w:pPr>
      <w:r w:rsidRPr="00695398">
        <w:t>34.</w:t>
      </w:r>
      <w:r w:rsidRPr="00695398">
        <w:tab/>
        <w:t>Комитет с обеспокоенностью отмечает:</w:t>
      </w:r>
    </w:p>
    <w:p w14:paraId="73CB3762" w14:textId="77777777" w:rsidR="00695398" w:rsidRPr="00695398" w:rsidRDefault="00695398" w:rsidP="00695398">
      <w:pPr>
        <w:pStyle w:val="SingleTxt"/>
      </w:pPr>
      <w:r w:rsidRPr="00695398">
        <w:tab/>
        <w:t>a)</w:t>
      </w:r>
      <w:r w:rsidRPr="00695398">
        <w:tab/>
        <w:t>значительные различия между провинциями в том, что касается системы общественного здравоохранения, а также сохраняющиеся препятствия для эффективного доступа женщин к услугам по охране сексуального и репродуктивного здоровья, включая дефицит лекарственных средств, недоступность соответствующих учреждений, нехватку квалифицированного персонала и ограниченную координацию между учреждениями, что в особенности сказывается на положении мигранток, женщин-инвалидов, пожилых женщин, коренных женщин, а также лесбиянок и бисексуальных, трансгендерных и интерсексуальных женщин;</w:t>
      </w:r>
    </w:p>
    <w:p w14:paraId="5165CD80" w14:textId="77777777" w:rsidR="00695398" w:rsidRDefault="00695398">
      <w:pPr>
        <w:suppressAutoHyphens w:val="0"/>
        <w:spacing w:after="160" w:line="259" w:lineRule="auto"/>
        <w:rPr>
          <w:rFonts w:cstheme="minorBidi"/>
          <w:kern w:val="14"/>
          <w:szCs w:val="20"/>
        </w:rPr>
      </w:pPr>
      <w:r>
        <w:br w:type="page"/>
      </w:r>
    </w:p>
    <w:p w14:paraId="5618A1F6" w14:textId="0E617717" w:rsidR="00695398" w:rsidRPr="00695398" w:rsidRDefault="00695398" w:rsidP="00695398">
      <w:pPr>
        <w:pStyle w:val="SingleTxt"/>
      </w:pPr>
      <w:r w:rsidRPr="00695398">
        <w:lastRenderedPageBreak/>
        <w:tab/>
        <w:t>b)</w:t>
      </w:r>
      <w:r w:rsidRPr="00695398">
        <w:tab/>
        <w:t>рост материнской смертности, которая в 202</w:t>
      </w:r>
      <w:r w:rsidR="00E16110" w:rsidRPr="00695398">
        <w:t>4</w:t>
      </w:r>
      <w:r w:rsidR="00E16110">
        <w:t> </w:t>
      </w:r>
      <w:r w:rsidR="00E16110" w:rsidRPr="00695398">
        <w:t>год</w:t>
      </w:r>
      <w:r w:rsidRPr="00695398">
        <w:t>у составила 4,4 случая на 10 000 живорождений, что стало самым высоким показателем с 201</w:t>
      </w:r>
      <w:r w:rsidR="00E16110" w:rsidRPr="00695398">
        <w:t>0</w:t>
      </w:r>
      <w:r w:rsidR="00E16110">
        <w:t> </w:t>
      </w:r>
      <w:r w:rsidR="00E16110" w:rsidRPr="00695398">
        <w:t>год</w:t>
      </w:r>
      <w:r w:rsidRPr="00695398">
        <w:t>а (без учета периода пандемии коронавирусного заболевания (</w:t>
      </w:r>
      <w:r w:rsidR="00E16110" w:rsidRPr="00695398">
        <w:t>COVID</w:t>
      </w:r>
      <w:r w:rsidR="00E16110">
        <w:noBreakHyphen/>
      </w:r>
      <w:r w:rsidR="00E16110" w:rsidRPr="00695398">
        <w:t>19</w:t>
      </w:r>
      <w:r w:rsidRPr="00695398">
        <w:t>)), а также тот факт, что 60 процентов этих смертей были вызваны непосредственными акушерскими причинами, 32 процента</w:t>
      </w:r>
      <w:r w:rsidR="00E16110">
        <w:t xml:space="preserve"> — </w:t>
      </w:r>
      <w:r w:rsidRPr="00695398">
        <w:t>косвенными причинами, а 9 процентов были связаны с беременностями, закончившимися абортом или выкидышем;</w:t>
      </w:r>
    </w:p>
    <w:p w14:paraId="0A0A41D9" w14:textId="21195044" w:rsidR="00695398" w:rsidRPr="00695398" w:rsidRDefault="00695398" w:rsidP="00695398">
      <w:pPr>
        <w:pStyle w:val="SingleTxt"/>
      </w:pPr>
      <w:r w:rsidRPr="00695398">
        <w:tab/>
        <w:t>c)</w:t>
      </w:r>
      <w:r w:rsidRPr="00695398">
        <w:tab/>
        <w:t>приостановк</w:t>
      </w:r>
      <w:r w:rsidR="00BD304D" w:rsidRPr="00DC3C6B">
        <w:t>у</w:t>
      </w:r>
      <w:r w:rsidRPr="00695398">
        <w:t xml:space="preserve"> реализации и резкое сокращение финансирования национального плана по предотвращению непреднамеренных беременностей у подростков, что ставит под угрозу прогресс, достигнутый в сокращении числа нежелательных беременностей у подростков;</w:t>
      </w:r>
    </w:p>
    <w:p w14:paraId="468CCF63" w14:textId="77777777" w:rsidR="00695398" w:rsidRPr="00695398" w:rsidRDefault="00695398" w:rsidP="00695398">
      <w:pPr>
        <w:pStyle w:val="SingleTxt"/>
      </w:pPr>
      <w:r w:rsidRPr="00695398">
        <w:tab/>
        <w:t>d)</w:t>
      </w:r>
      <w:r w:rsidRPr="00695398">
        <w:tab/>
        <w:t>трудности с искоренением таких вредных практик в сфере здравоохранения, как принудительные или недобровольные медицинские вмешательства и лечебные мероприятия, применяемые к женщинам-инвалидам и интерсексуальным детям.</w:t>
      </w:r>
    </w:p>
    <w:p w14:paraId="22FCF397" w14:textId="74CD13E5" w:rsidR="00695398" w:rsidRPr="00695398" w:rsidRDefault="00695398" w:rsidP="00695398">
      <w:pPr>
        <w:pStyle w:val="SingleTxt"/>
        <w:rPr>
          <w:b/>
          <w:bCs/>
        </w:rPr>
      </w:pPr>
      <w:r w:rsidRPr="00695398">
        <w:t>35.</w:t>
      </w:r>
      <w:r w:rsidRPr="00695398">
        <w:tab/>
      </w:r>
      <w:r w:rsidRPr="00695398">
        <w:rPr>
          <w:b/>
          <w:bCs/>
        </w:rPr>
        <w:t>В соответствии с общей рекомендацией № 24 (1999) о женщинах и здоровье Комитет рекомендует государству-участнику:</w:t>
      </w:r>
    </w:p>
    <w:p w14:paraId="5D19AD8A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a)</w:t>
      </w:r>
      <w:r w:rsidRPr="00695398">
        <w:tab/>
      </w:r>
      <w:r w:rsidRPr="00695398">
        <w:rPr>
          <w:b/>
          <w:bCs/>
        </w:rPr>
        <w:t>провести обзор системы общественного здравоохранения и соответствующих мер государственной политики и укрепить эту систему и эти меры, чтобы устранить значительные различия между провинциями и решить проблему сохраняющихся препятствий для эффективного доступа женщин к услугам по охране сексуального и репродуктивного здоровья, в том числе обеспечивая наличие основных лекарственных средств, повышая доступность медико-санитарного обслуживания, увеличивая число квалифицированного персонала и укрепляя координацию между учреждениями;</w:t>
      </w:r>
    </w:p>
    <w:p w14:paraId="3D235E20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b)</w:t>
      </w:r>
      <w:r w:rsidRPr="00695398">
        <w:tab/>
      </w:r>
      <w:r w:rsidRPr="00695398">
        <w:rPr>
          <w:b/>
          <w:bCs/>
        </w:rPr>
        <w:t>укреплять службу охраны здоровья матерей и младенцев на всей территории государства-участника, в том числе обеспечивая надлежащими людскими и финансовыми ресурсами акушерские службы и специализированные учреждения, такие как Детская больница Гаррахана;</w:t>
      </w:r>
    </w:p>
    <w:p w14:paraId="10DEC70C" w14:textId="39848BAD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c)</w:t>
      </w:r>
      <w:r w:rsidRPr="00695398">
        <w:tab/>
      </w:r>
      <w:r w:rsidRPr="00695398">
        <w:rPr>
          <w:b/>
          <w:bCs/>
        </w:rPr>
        <w:t>восстановить и обеспечить надлежащим финансированием связанный со здравоохранением компонент национального плана по предотвращению непреднамеренных беременностей у подростков, воссоздать механизмы межведомственной координации и территориальные группы, а также обеспечивать подросткам бесперебойный доступ к комплексным услугам по охране сексуального и репродуктивного здоровья, в том числе к конфиденциальному консультированию и современным методам контрацепции, в частности к обратимым контрацептивам длительного действия, с тем чтобы не допустить регресса в сокращении числа нежелательных беременностей у подростков;</w:t>
      </w:r>
    </w:p>
    <w:p w14:paraId="4D86CD88" w14:textId="3B75BE24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d)</w:t>
      </w:r>
      <w:r w:rsidRPr="00695398">
        <w:tab/>
      </w:r>
      <w:r w:rsidRPr="00695398">
        <w:rPr>
          <w:b/>
          <w:bCs/>
        </w:rPr>
        <w:t>ввести и эффективно осуществлять законодательные и надзорные меры и меры политики, направленные на запрещение и искоренение вредных видов практики в сфере здравоохранения, в том числе принудительных или недобровольных медицинских вмешательств и лечебных мероприятий, применяемых к женщинам-инвалидам и интерсексуальным детям, обеспечивать, чтобы все медицинские процедуры проводились исключительно с</w:t>
      </w:r>
      <w:r w:rsidR="00F40350" w:rsidRPr="00DA2E86">
        <w:rPr>
          <w:b/>
          <w:bCs/>
        </w:rPr>
        <w:t>о</w:t>
      </w:r>
      <w:r w:rsidRPr="00695398">
        <w:rPr>
          <w:b/>
          <w:bCs/>
        </w:rPr>
        <w:t xml:space="preserve"> свободного, предварительного и осознанного согласия соответствующего лица, а также обеспечивать надлежащую учебную подготовку работников сферы здравоохранения и наличие доступных механизмов подачи жалоб и средств правовой защиты.</w:t>
      </w:r>
    </w:p>
    <w:p w14:paraId="3DFAB0F6" w14:textId="18C2B661" w:rsidR="00695398" w:rsidRPr="00695398" w:rsidRDefault="00695398" w:rsidP="00695398">
      <w:pPr>
        <w:pStyle w:val="H23"/>
      </w:pPr>
      <w:r w:rsidRPr="00695398">
        <w:lastRenderedPageBreak/>
        <w:tab/>
      </w:r>
      <w:r w:rsidRPr="00695398">
        <w:tab/>
        <w:t>Доступ к добровольному прерыванию беременности</w:t>
      </w:r>
    </w:p>
    <w:p w14:paraId="5563A914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6B5A4AB1" w14:textId="77777777" w:rsidR="00695398" w:rsidRPr="00695398" w:rsidRDefault="00695398" w:rsidP="00695398">
      <w:pPr>
        <w:pStyle w:val="SingleTxt"/>
      </w:pPr>
      <w:r w:rsidRPr="00695398">
        <w:t>36.</w:t>
      </w:r>
      <w:r w:rsidRPr="00695398">
        <w:tab/>
        <w:t>Комитет принимает к сведению наличие у государства-участника законодательной базы, регулирующей добровольное прерывание беременности в соответствии с Законом № 27.610. Вместе с тем он с озабоченностью отмечает, что женщины сталкиваются со структурными барьерами в доступе к добровольному прерыванию беременности или к легальному прерыванию беременности в законодательно установленные сроки, в том числе вследствие небрежного и враждебного отношения, нехватки мизопростола, мифепристона и специальных инструментов в провинциях, а также недостаточного числа медицинских работников и отказа специалистов от оказания таких услуг по соображениям совести.</w:t>
      </w:r>
    </w:p>
    <w:p w14:paraId="01F04DC2" w14:textId="00DB62A9" w:rsidR="00695398" w:rsidRPr="00695398" w:rsidRDefault="00695398" w:rsidP="00695398">
      <w:pPr>
        <w:pStyle w:val="SingleTxt"/>
        <w:rPr>
          <w:b/>
          <w:bCs/>
        </w:rPr>
      </w:pPr>
      <w:r w:rsidRPr="00695398">
        <w:t>37.</w:t>
      </w:r>
      <w:r w:rsidRPr="00695398">
        <w:tab/>
      </w:r>
      <w:r w:rsidRPr="00695398">
        <w:rPr>
          <w:b/>
          <w:bCs/>
        </w:rPr>
        <w:t>Комитет рекомендует государству-участнику:</w:t>
      </w:r>
    </w:p>
    <w:p w14:paraId="7AE3BCDA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a)</w:t>
      </w:r>
      <w:r w:rsidRPr="00695398">
        <w:tab/>
      </w:r>
      <w:r w:rsidRPr="00695398">
        <w:rPr>
          <w:b/>
          <w:bCs/>
        </w:rPr>
        <w:t>обеспечивать на всей своей территории эффективный доступ к безопасным и легальным абортам, осуществляемым с уважительным отношением и предоставлением надлежащего ухода, в том числе обеспечивая доступность мизопростола, мифепристона и необходимого медицинского оборудования, обеспечивая наличие достаточного штата квалифицированного медицинского персонала во всех провинциях, а также регулируя вопросы отказа от оказания услуг по соображениям совести, с тем чтобы такие отказы не препятствовали доступу к услугам;</w:t>
      </w:r>
    </w:p>
    <w:p w14:paraId="0DD0EBF0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b)</w:t>
      </w:r>
      <w:r w:rsidRPr="00695398">
        <w:tab/>
      </w:r>
      <w:r w:rsidRPr="00695398">
        <w:rPr>
          <w:b/>
          <w:bCs/>
        </w:rPr>
        <w:t>восстановить прозрачный механизм общественного мониторинга доступа к услугам по добровольному прерыванию беременности с использованием федеральных показателей, включая наличие лекарственных средств и квалифицированного персонала, а также с использованием данных в разбивке по провинциям и другим категориям.</w:t>
      </w:r>
    </w:p>
    <w:p w14:paraId="22F82098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240728DC" w14:textId="1D69258F" w:rsidR="00695398" w:rsidRPr="00695398" w:rsidRDefault="00695398" w:rsidP="00695398">
      <w:pPr>
        <w:pStyle w:val="H23"/>
      </w:pPr>
      <w:r w:rsidRPr="00695398">
        <w:tab/>
      </w:r>
      <w:r w:rsidRPr="00695398">
        <w:tab/>
        <w:t>Расширение экономических прав и возможностей женщин</w:t>
      </w:r>
    </w:p>
    <w:p w14:paraId="41B737E5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2CE819F8" w14:textId="65D2B3EA" w:rsidR="00695398" w:rsidRPr="00695398" w:rsidRDefault="00695398" w:rsidP="00695398">
      <w:pPr>
        <w:pStyle w:val="SingleTxt"/>
      </w:pPr>
      <w:r w:rsidRPr="00695398">
        <w:t>38.</w:t>
      </w:r>
      <w:r w:rsidRPr="00695398">
        <w:tab/>
        <w:t>Комитет отмечает высокий уровень охвата женщин всеобщей программой выдачи пособий по уходу за детьми, которая способствует расширению доступа женщин, находящихся в уязвимом социально-экономическом положении, к денежной поддержке. Вместе с тем он с озабоченностью отмечает отсутствие всеобъемлющей и скоординированной национальной стратегии, направленной на содействие расширению экономических прав и возможностей женщин, а также несоразмерно высокие показатели нищеты и ограниченный доступ к экономическим и социальным благам среди групп женщин, находящихся в неблагоприятном положении, таких как женщины-инвалиды, сельские женщины, коренные женщины и женщины африканского происхождения.</w:t>
      </w:r>
    </w:p>
    <w:p w14:paraId="5F390766" w14:textId="77777777" w:rsidR="00695398" w:rsidRPr="00695398" w:rsidRDefault="00695398" w:rsidP="00695398">
      <w:pPr>
        <w:pStyle w:val="SingleTxt"/>
      </w:pPr>
      <w:r w:rsidRPr="00695398">
        <w:t>39.</w:t>
      </w:r>
      <w:r w:rsidRPr="00695398">
        <w:tab/>
      </w:r>
      <w:r w:rsidRPr="00695398">
        <w:rPr>
          <w:b/>
          <w:bCs/>
        </w:rPr>
        <w:t>Комитет рекомендует государству-участнику принять всеобъемлющую и разработанную с учетом гендерных аспектов национальную стратегию по расширению экономических прав и возможностей женщин и активизировать усилия по сокращению масштабов нищеты среди женщин при уделении особого внимания группам женщин, находящимся в неблагоприятном положении, в том числе содействуя получению ими доступа к кредитам без обеспечения с низкой процентной ставкой и их участию в предпринимательских инициативах, с тем чтобы расширить их экономические возможности и предоставить им возможности для приобретения навыков, необходимых для полноценного участия в экономической жизни.</w:t>
      </w:r>
    </w:p>
    <w:p w14:paraId="29DDB8C3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481F129B" w14:textId="77777777" w:rsidR="00695398" w:rsidRDefault="00695398">
      <w:pPr>
        <w:suppressAutoHyphens w:val="0"/>
        <w:spacing w:after="160" w:line="259" w:lineRule="auto"/>
        <w:rPr>
          <w:b/>
          <w:spacing w:val="2"/>
          <w:kern w:val="14"/>
        </w:rPr>
      </w:pPr>
      <w:r>
        <w:br w:type="page"/>
      </w:r>
    </w:p>
    <w:p w14:paraId="3A05C91D" w14:textId="6B44C3F9" w:rsidR="00695398" w:rsidRPr="00695398" w:rsidRDefault="00695398" w:rsidP="00695398">
      <w:pPr>
        <w:pStyle w:val="H23"/>
      </w:pPr>
      <w:r w:rsidRPr="00695398">
        <w:lastRenderedPageBreak/>
        <w:tab/>
      </w:r>
      <w:r w:rsidRPr="00695398">
        <w:tab/>
        <w:t>Женщины, сталкивающиеся с перекрестными формами дискриминации</w:t>
      </w:r>
    </w:p>
    <w:p w14:paraId="0B0120D3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4554F679" w14:textId="77777777" w:rsidR="00695398" w:rsidRPr="00695398" w:rsidRDefault="00695398" w:rsidP="00695398">
      <w:pPr>
        <w:pStyle w:val="H4"/>
      </w:pPr>
      <w:r w:rsidRPr="00695398">
        <w:tab/>
      </w:r>
      <w:r w:rsidRPr="00695398">
        <w:tab/>
        <w:t>Коренные женщины</w:t>
      </w:r>
    </w:p>
    <w:p w14:paraId="67806628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43DC0371" w14:textId="6B19948E" w:rsidR="00695398" w:rsidRPr="00695398" w:rsidRDefault="00695398" w:rsidP="00695398">
      <w:pPr>
        <w:pStyle w:val="SingleTxt"/>
      </w:pPr>
      <w:r w:rsidRPr="00695398">
        <w:t>40.</w:t>
      </w:r>
      <w:r w:rsidRPr="00695398">
        <w:tab/>
        <w:t>Комитет выражает обеспокоенность в связи с трудно искоренимыми перекрестными формами дискриминации, с которыми сталкиваются коренные женщины, в том числе в связи со структурным неравенством, обусловленным гендерной и этнической принадлежностью, нищетой и географическим местонахождением. Он с особой обеспокоенностью отмечает:</w:t>
      </w:r>
    </w:p>
    <w:p w14:paraId="6A7CEA01" w14:textId="5D7F4317" w:rsidR="00695398" w:rsidRPr="00695398" w:rsidRDefault="00695398" w:rsidP="00695398">
      <w:pPr>
        <w:pStyle w:val="SingleTxt"/>
      </w:pPr>
      <w:r w:rsidRPr="00695398">
        <w:tab/>
        <w:t>a)</w:t>
      </w:r>
      <w:r w:rsidRPr="00695398">
        <w:tab/>
        <w:t>сообщения о выселениях и о земельных и территориальных спорах, затрагивающих общины коренных народов, оказывающих непропорционально сильное воздействие на коренных женщин и способных подрывать их экономическую самостоятельность и доступ к жилью и источникам получения средств к существованию;</w:t>
      </w:r>
    </w:p>
    <w:p w14:paraId="552A0E0A" w14:textId="56A160E5" w:rsidR="00695398" w:rsidRPr="00695398" w:rsidRDefault="00695398" w:rsidP="00695398">
      <w:pPr>
        <w:pStyle w:val="SingleTxt"/>
      </w:pPr>
      <w:r w:rsidRPr="00695398">
        <w:tab/>
        <w:t>b)</w:t>
      </w:r>
      <w:r w:rsidRPr="00695398">
        <w:tab/>
        <w:t>препятствия, с которыми сталкиваются коренные женщины при получении доступа к базовым услугам, в том числе к отвечающи</w:t>
      </w:r>
      <w:r w:rsidR="0019249A" w:rsidRPr="000D2F67">
        <w:t>м</w:t>
      </w:r>
      <w:r w:rsidRPr="00695398">
        <w:t xml:space="preserve"> их культурным особенностям услугам в област</w:t>
      </w:r>
      <w:r w:rsidR="00410D4C" w:rsidRPr="000D2F67">
        <w:t>ях</w:t>
      </w:r>
      <w:r w:rsidRPr="00695398">
        <w:t xml:space="preserve"> здравоохранения, образования, водоснабжения и санитарии, а также социальной защиты;</w:t>
      </w:r>
    </w:p>
    <w:p w14:paraId="49698221" w14:textId="77777777" w:rsidR="00695398" w:rsidRPr="00695398" w:rsidRDefault="00695398" w:rsidP="00695398">
      <w:pPr>
        <w:pStyle w:val="SingleTxt"/>
      </w:pPr>
      <w:r w:rsidRPr="00695398">
        <w:tab/>
        <w:t>c)</w:t>
      </w:r>
      <w:r w:rsidRPr="00695398">
        <w:tab/>
        <w:t>ограниченное эффективное участие коренных женщин в процессах принятия решений, которые затрагивают их общины, в том числе решений по вопросам, имеющим отношение к землепользованию и развитию сельских районов, а также отсутствие механизмов проведения консультаций с учетом гендерных аспектов и культурных особенностей.</w:t>
      </w:r>
    </w:p>
    <w:p w14:paraId="6FB2066D" w14:textId="4E4A0B0F" w:rsidR="00695398" w:rsidRPr="00695398" w:rsidRDefault="00695398" w:rsidP="00695398">
      <w:pPr>
        <w:pStyle w:val="SingleTxt"/>
        <w:rPr>
          <w:b/>
          <w:bCs/>
        </w:rPr>
      </w:pPr>
      <w:r w:rsidRPr="00695398">
        <w:t>41.</w:t>
      </w:r>
      <w:r w:rsidRPr="00695398">
        <w:tab/>
      </w:r>
      <w:r w:rsidRPr="00695398">
        <w:rPr>
          <w:b/>
          <w:bCs/>
        </w:rPr>
        <w:t>Ссылаясь на свою общую рекомендацию № 39 (2022) о правах женщин и девочек из числа коренных народов, Комитет рекомендует государству-участнику:</w:t>
      </w:r>
    </w:p>
    <w:p w14:paraId="1BAD66A8" w14:textId="3D7AECE9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a)</w:t>
      </w:r>
      <w:r w:rsidRPr="00695398">
        <w:tab/>
      </w:r>
      <w:r w:rsidRPr="00695398">
        <w:rPr>
          <w:b/>
          <w:bCs/>
        </w:rPr>
        <w:t>обеспечивать коренным женщинам надежный доступ к земле, жилью и источникам получения средств к существованию, а также обеспечивать</w:t>
      </w:r>
      <w:r w:rsidRPr="00695398">
        <w:t xml:space="preserve"> </w:t>
      </w:r>
      <w:r w:rsidRPr="00695398">
        <w:rPr>
          <w:b/>
          <w:bCs/>
        </w:rPr>
        <w:t>полное уважение прав коренных народов при осуществлении любых мер, затрагивающих их территории, в том числе задействуя процессы консультаций, проводимых с учетом культурных особенностей и гендерных аспектов и гарантирующих значимое участие коренных женщин;</w:t>
      </w:r>
    </w:p>
    <w:p w14:paraId="6647F39A" w14:textId="4BF80B40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b)</w:t>
      </w:r>
      <w:r w:rsidRPr="00695398">
        <w:tab/>
      </w:r>
      <w:r w:rsidRPr="00695398">
        <w:rPr>
          <w:b/>
          <w:bCs/>
        </w:rPr>
        <w:t>расширять доступ коренных женщин, особенно проживающих в сельских и отдаленных районах, к отвечающим их культурным особенностям и доступным им услугам</w:t>
      </w:r>
      <w:r w:rsidRPr="00695398">
        <w:t xml:space="preserve"> </w:t>
      </w:r>
      <w:r w:rsidRPr="00695398">
        <w:rPr>
          <w:b/>
          <w:bCs/>
        </w:rPr>
        <w:t>в област</w:t>
      </w:r>
      <w:r w:rsidR="00991F7A" w:rsidRPr="00B65142">
        <w:rPr>
          <w:b/>
          <w:bCs/>
        </w:rPr>
        <w:t>ях</w:t>
      </w:r>
      <w:r w:rsidRPr="00695398">
        <w:rPr>
          <w:b/>
          <w:bCs/>
        </w:rPr>
        <w:t xml:space="preserve"> здравоохранения, образования, водоснабжения, санитарии и социальной защиты;</w:t>
      </w:r>
    </w:p>
    <w:p w14:paraId="71593A1A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c)</w:t>
      </w:r>
      <w:r w:rsidRPr="00695398">
        <w:tab/>
      </w:r>
      <w:r w:rsidRPr="00695398">
        <w:rPr>
          <w:b/>
          <w:bCs/>
        </w:rPr>
        <w:t>обеспечивать эффективное участие коренных женщин в процессах принятия решений на местном, провинциальном и национальном уровнях, в том числе решений по вопросам, относящимся к развитию сельских районов и землепользованию, а также при необходимости вводить временные специальные меры для улучшения их представленности.</w:t>
      </w:r>
    </w:p>
    <w:p w14:paraId="0716EB83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1555C201" w14:textId="77777777" w:rsidR="00695398" w:rsidRPr="00695398" w:rsidRDefault="00695398" w:rsidP="00695398">
      <w:pPr>
        <w:pStyle w:val="H4"/>
      </w:pPr>
      <w:r w:rsidRPr="00695398">
        <w:tab/>
      </w:r>
      <w:r w:rsidRPr="00695398">
        <w:tab/>
        <w:t>Беженки, женщины, ищущие убежища, и мигрантки</w:t>
      </w:r>
    </w:p>
    <w:p w14:paraId="160069CC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28E76AE3" w14:textId="4B883262" w:rsidR="00695398" w:rsidRPr="00695398" w:rsidRDefault="00695398" w:rsidP="00695398">
      <w:pPr>
        <w:pStyle w:val="SingleTxt"/>
      </w:pPr>
      <w:r w:rsidRPr="00695398">
        <w:t>42.</w:t>
      </w:r>
      <w:r w:rsidRPr="00695398">
        <w:tab/>
        <w:t>Комитет с обеспокоенностью отмечает:</w:t>
      </w:r>
    </w:p>
    <w:p w14:paraId="50FC4DA5" w14:textId="77777777" w:rsidR="00695398" w:rsidRPr="00695398" w:rsidRDefault="00695398" w:rsidP="00695398">
      <w:pPr>
        <w:pStyle w:val="SingleTxt"/>
      </w:pPr>
      <w:r w:rsidRPr="00695398">
        <w:tab/>
        <w:t>a)</w:t>
      </w:r>
      <w:r w:rsidRPr="00695398">
        <w:tab/>
        <w:t xml:space="preserve">реформы, введенные в соответствии с чрезвычайным декретом № 366/2025, такие как поправки к предписаниям в области миграции и гражданства, в результате которых были установлены более строгие требования к проживанию в стране, сократилось число каналов, которые можно использовать для воссоединения семей и получения статуса резидента, а также были расширены дискреционные полномочия при применении миграционных процедур, в том числе при использовании механизмов ускоренной высылки, и сокращены сроки, </w:t>
      </w:r>
      <w:r w:rsidRPr="00695398">
        <w:lastRenderedPageBreak/>
        <w:t>в течение которых можно требовать обжалования, что может подрывать гарантии соблюдения надлежащей правовой процедуры, ограничивать эффективный доступ к процедурам предоставления убежища и увеличивать уязвимость мигранток, беженок и женщин, ищущих убежища, перед высылкой;</w:t>
      </w:r>
    </w:p>
    <w:p w14:paraId="7A3BA235" w14:textId="77777777" w:rsidR="00695398" w:rsidRPr="00695398" w:rsidRDefault="00695398" w:rsidP="00695398">
      <w:pPr>
        <w:pStyle w:val="SingleTxt"/>
      </w:pPr>
      <w:r w:rsidRPr="00695398">
        <w:tab/>
        <w:t>b)</w:t>
      </w:r>
      <w:r w:rsidRPr="00695398">
        <w:tab/>
        <w:t>что новые административные требования и требования к документации могут ограничивать эффективный доступ мигранток, беженок и женщин, ищущих убежища, к услугам по охране здоровья, к получению образования и социальной помощи, а также к услугам по охране сексуального и репродуктивного здоровья.</w:t>
      </w:r>
    </w:p>
    <w:p w14:paraId="5CCAC157" w14:textId="506269F1" w:rsidR="00695398" w:rsidRPr="00695398" w:rsidRDefault="00695398" w:rsidP="00695398">
      <w:pPr>
        <w:pStyle w:val="SingleTxt"/>
        <w:rPr>
          <w:b/>
          <w:bCs/>
        </w:rPr>
      </w:pPr>
      <w:r w:rsidRPr="00695398">
        <w:t>43.</w:t>
      </w:r>
      <w:r w:rsidRPr="00695398">
        <w:tab/>
      </w:r>
      <w:r w:rsidRPr="00695398">
        <w:rPr>
          <w:b/>
          <w:bCs/>
        </w:rPr>
        <w:t>Ссылаясь на свою общую рекомендацию № 32 (2014) по гендерным аспектам статуса беженца, убежища, гражданства и безгражданства женщин, Комитет рекомендует государству-участнику:</w:t>
      </w:r>
    </w:p>
    <w:p w14:paraId="69680AA2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a)</w:t>
      </w:r>
      <w:r w:rsidRPr="00695398">
        <w:tab/>
      </w:r>
      <w:r w:rsidRPr="00695398">
        <w:rPr>
          <w:b/>
          <w:bCs/>
        </w:rPr>
        <w:t>пересмотреть и внести поправки в положения, введенные в соответствии с чрезвычайным декретом № 366/2025, в целях обеспечения полного соблюдения Конвенции, международного беженского права и международного права прав человека, при всех миграционных процедурах гарантировать принятие мер по соблюдению надлежащей правовой процедуры, включая доступность юридической помощи и эффективных средств правовой защиты, обеспечивать учет гендерной специфики в процедурах предоставления убежища и в полной мере соблюдать принцип невысылки;</w:t>
      </w:r>
    </w:p>
    <w:p w14:paraId="576CD57F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b)</w:t>
      </w:r>
      <w:r w:rsidRPr="00695398">
        <w:tab/>
      </w:r>
      <w:r w:rsidRPr="00695398">
        <w:rPr>
          <w:b/>
          <w:bCs/>
        </w:rPr>
        <w:t>обеспечивать, чтобы административные требования и требования к документации не создавали дискриминационных или чрезмерных барьеров в доступе мигранток, беженок и женщин, ищущих убежища, к услугам по охране здоровья, получению образования и социальной помощи и к услугам по охране сексуального и репродуктивного здоровья, а также принимать разработанные с учетом гендерных аспектов меры для содействия эффективной социальной и экономической интеграции этих женщин.</w:t>
      </w:r>
    </w:p>
    <w:p w14:paraId="05475184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1C0EE968" w14:textId="77777777" w:rsidR="00695398" w:rsidRPr="00695398" w:rsidRDefault="00695398" w:rsidP="00695398">
      <w:pPr>
        <w:pStyle w:val="H4"/>
      </w:pPr>
      <w:r w:rsidRPr="00695398">
        <w:tab/>
      </w:r>
      <w:r w:rsidRPr="00695398">
        <w:tab/>
        <w:t>Женщины-инвалиды и девочки-инвалиды</w:t>
      </w:r>
    </w:p>
    <w:p w14:paraId="031CF3F5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08C7A1D3" w14:textId="77777777" w:rsidR="00695398" w:rsidRPr="00695398" w:rsidRDefault="00695398" w:rsidP="00695398">
      <w:pPr>
        <w:pStyle w:val="SingleTxt"/>
      </w:pPr>
      <w:r w:rsidRPr="00695398">
        <w:t>44.</w:t>
      </w:r>
      <w:r w:rsidRPr="00695398">
        <w:tab/>
        <w:t>Комитет выражает озабоченность в связи с многочисленными и перекрестными формами дискриминации, с которыми сталкиваются женщины-инвалиды и девочки-инвалиды и к числу которых относятся препятствия в доступе к правосудию, здравоохранению, образованию, занятости и социальной защите. Он с особой обеспокоенностью отмечает:</w:t>
      </w:r>
    </w:p>
    <w:p w14:paraId="6D97C862" w14:textId="01704874" w:rsidR="00695398" w:rsidRPr="00695398" w:rsidRDefault="00695398" w:rsidP="00695398">
      <w:pPr>
        <w:pStyle w:val="SingleTxt"/>
      </w:pPr>
      <w:r w:rsidRPr="00695398">
        <w:tab/>
        <w:t>a)</w:t>
      </w:r>
      <w:r w:rsidRPr="00695398">
        <w:tab/>
        <w:t>то, что в соответствии с исполнительным указом № 942/2025 бывшее Национальное агентство по делам инвалидов было преобразовано в секретариат при Министерстве здравоохранения с ограниченной институциональной автономностью, ограниченными возможностями межсекторальной координации и ограниченным потенциалом в части обеспечения учета интересов инвалидов в государственных стратегиях, в том числе в сфере гендерного равенства, что говорит о применении устаревшего, не соответствующего правозащитной модели подхода к проблематике инвалидности;</w:t>
      </w:r>
    </w:p>
    <w:p w14:paraId="72EF594A" w14:textId="77777777" w:rsidR="00695398" w:rsidRPr="00695398" w:rsidRDefault="00695398" w:rsidP="00695398">
      <w:pPr>
        <w:pStyle w:val="SingleTxt"/>
      </w:pPr>
      <w:r w:rsidRPr="00695398">
        <w:tab/>
        <w:t>b)</w:t>
      </w:r>
      <w:r w:rsidRPr="00695398">
        <w:tab/>
        <w:t>то, что недавние сокращения финансирования и реструктуризация услуг для лиц, затронутых гендерным насилием, сказались на наличии специализированных и доступных механизмов предоставления поддержки женщинам-инвалидам, в том числе на использовании доступных каналов коммуникации и на оказании индивидуализированной помощи;</w:t>
      </w:r>
    </w:p>
    <w:p w14:paraId="63416CFC" w14:textId="77777777" w:rsidR="00695398" w:rsidRPr="00695398" w:rsidRDefault="00695398" w:rsidP="00695398">
      <w:pPr>
        <w:pStyle w:val="SingleTxt"/>
      </w:pPr>
      <w:r w:rsidRPr="00695398">
        <w:tab/>
        <w:t>c)</w:t>
      </w:r>
      <w:r w:rsidRPr="00695398">
        <w:tab/>
        <w:t xml:space="preserve">препятствия, с которыми сталкиваются женщины-инвалиды при получении доступа к услугам по охране сексуального и репродуктивного здоровья, включая отсутствие информации в доступных форматах, недостаточный </w:t>
      </w:r>
      <w:r w:rsidRPr="00695398">
        <w:lastRenderedPageBreak/>
        <w:t>уровень подготовки медицинского персонала и укоренившиеся стереотипы, подрывающие самостоятельность этих женщин и их способность принимать решения;</w:t>
      </w:r>
    </w:p>
    <w:p w14:paraId="5FFED82F" w14:textId="77777777" w:rsidR="00695398" w:rsidRPr="00695398" w:rsidRDefault="00695398" w:rsidP="00695398">
      <w:pPr>
        <w:pStyle w:val="SingleTxt"/>
      </w:pPr>
      <w:r w:rsidRPr="00695398">
        <w:tab/>
        <w:t>d)</w:t>
      </w:r>
      <w:r w:rsidRPr="00695398">
        <w:tab/>
        <w:t>упразднение программы «Равные условия» (Programa Equiparar), которая ранее осуществлялась бывшим Министерством по делам женщин, гендерным вопросам и разнообразию и бывшим Национальным агентством по делам инвалидов с целью обеспечить учет гендерной проблематики и проблематики инвалидности в государственных стратегиях, что ослабляет степень интеграции гендерной проблематики и проблематики инвалидности в национальные стратегии.</w:t>
      </w:r>
    </w:p>
    <w:p w14:paraId="4EB87EB5" w14:textId="77ABE298" w:rsidR="00695398" w:rsidRPr="00695398" w:rsidRDefault="00695398" w:rsidP="00695398">
      <w:pPr>
        <w:pStyle w:val="SingleTxt"/>
        <w:rPr>
          <w:b/>
          <w:bCs/>
        </w:rPr>
      </w:pPr>
      <w:r w:rsidRPr="00695398">
        <w:t>45.</w:t>
      </w:r>
      <w:r w:rsidRPr="00695398">
        <w:tab/>
      </w:r>
      <w:r w:rsidRPr="00695398">
        <w:rPr>
          <w:b/>
          <w:bCs/>
        </w:rPr>
        <w:t>Комитет рекомендует государству-участнику:</w:t>
      </w:r>
    </w:p>
    <w:p w14:paraId="16E1B45B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a)</w:t>
      </w:r>
      <w:r w:rsidRPr="00695398">
        <w:tab/>
      </w:r>
      <w:r w:rsidRPr="00695398">
        <w:rPr>
          <w:b/>
          <w:bCs/>
        </w:rPr>
        <w:t>обеспечивать полное соответствие институциональных механизмов, касающихся инвалидности, правозащитной модели инвалидности, укреплять автономность национального механизма по вопросам инвалидности и его потенциал в области межсекторальной координации, а также гарантировать эффективный учет гендерной проблематики и проблематики инвалидности во всех государственных стратегиях, в том числе связанных с гендерным равенством;</w:t>
      </w:r>
    </w:p>
    <w:p w14:paraId="6BD0CF4A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b)</w:t>
      </w:r>
      <w:r w:rsidRPr="00695398">
        <w:tab/>
      </w:r>
      <w:r w:rsidRPr="00695398">
        <w:rPr>
          <w:b/>
          <w:bCs/>
        </w:rPr>
        <w:t>восстановить и обеспечивать надлежащее, бесперебойное и доступное финансирование услуг, связанных с борьбой с гендерным насилием, а также гарантировать полную доступность женщинам-инвалидам и девочкам-инвалидам механизмов защиты и оказания поддержки, в том числе благодаря коммуникации в</w:t>
      </w:r>
      <w:r w:rsidRPr="00695398">
        <w:t xml:space="preserve"> </w:t>
      </w:r>
      <w:r w:rsidRPr="00695398">
        <w:rPr>
          <w:b/>
          <w:bCs/>
        </w:rPr>
        <w:t>доступных форматах, разумному приспособлению и специализированной помощи, при которой учитываются особенности инвалидности;</w:t>
      </w:r>
    </w:p>
    <w:p w14:paraId="44AD279E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c)</w:t>
      </w:r>
      <w:r w:rsidRPr="00695398">
        <w:tab/>
      </w:r>
      <w:r w:rsidRPr="00695398">
        <w:rPr>
          <w:b/>
          <w:bCs/>
        </w:rPr>
        <w:t>обеспечивать женщинам-инвалидам и девочкам-инвалидам равный доступ к услугам по охране сексуального и репродуктивного здоровья на основе свободного и информированного согласия, в том числе путем предоставления информации в доступных форматах, повышения уровня подготовки медицинского персонала и борьбы со стереотипами, подрывающими самостоятельность этих женщин и девочек и их способность принимать решения;</w:t>
      </w:r>
    </w:p>
    <w:p w14:paraId="41D5BB3B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d)</w:t>
      </w:r>
      <w:r w:rsidRPr="00695398">
        <w:tab/>
      </w:r>
      <w:r w:rsidRPr="00695398">
        <w:rPr>
          <w:b/>
          <w:bCs/>
        </w:rPr>
        <w:t>воссоздать или учредить эффективный механизм координации для учета гендерной проблематики и проблематики инвалидности в государственных стратегиях, в том числе в мерах, направленных на предотвращение насилия и дискриминации в отношении женщин-инвалидов, а также обеспечивать постоянное межучрежденческое сотрудничество в этой области.</w:t>
      </w:r>
    </w:p>
    <w:p w14:paraId="3F7C9050" w14:textId="77777777" w:rsidR="00695398" w:rsidRPr="00695398" w:rsidRDefault="00695398" w:rsidP="00695398">
      <w:pPr>
        <w:pStyle w:val="SingleTxt"/>
        <w:spacing w:after="0" w:line="120" w:lineRule="exact"/>
        <w:rPr>
          <w:b/>
          <w:bCs/>
          <w:sz w:val="10"/>
        </w:rPr>
      </w:pPr>
    </w:p>
    <w:p w14:paraId="28B92AA6" w14:textId="74AF8330" w:rsidR="00695398" w:rsidRPr="00695398" w:rsidRDefault="00695398" w:rsidP="00695398">
      <w:pPr>
        <w:pStyle w:val="H4"/>
      </w:pPr>
      <w:r w:rsidRPr="00695398">
        <w:tab/>
      </w:r>
      <w:r w:rsidRPr="00695398">
        <w:tab/>
        <w:t>Женщины, находящиеся в заключении</w:t>
      </w:r>
    </w:p>
    <w:p w14:paraId="62A5F71F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140651C8" w14:textId="77777777" w:rsidR="00695398" w:rsidRPr="00695398" w:rsidRDefault="00695398" w:rsidP="00695398">
      <w:pPr>
        <w:pStyle w:val="SingleTxt"/>
      </w:pPr>
      <w:r w:rsidRPr="00695398">
        <w:t>46.</w:t>
      </w:r>
      <w:r w:rsidRPr="00695398">
        <w:tab/>
        <w:t>Комитет с озабоченностью отмечает, что в местах содержания женщин и девочек под стражей сохраняются недочеты, имеющие отношение к гендерным аспектам. В частности, он обеспокоен:</w:t>
      </w:r>
    </w:p>
    <w:p w14:paraId="517C2040" w14:textId="0C48AC52" w:rsidR="00695398" w:rsidRPr="00695398" w:rsidRDefault="00695398" w:rsidP="00695398">
      <w:pPr>
        <w:pStyle w:val="SingleTxt"/>
      </w:pPr>
      <w:r w:rsidRPr="00695398">
        <w:tab/>
        <w:t>a)</w:t>
      </w:r>
      <w:r w:rsidRPr="00695398">
        <w:tab/>
        <w:t>не удовлетворяющим потребностям доступом к оказываемым с учетом гендерных аспектов услугам по охране здоровья в местах содержания женщин под стражей, в том числе недостаточностью гинекологических и акушерских услуг, дефицитом средств гигиены первой необходимости и средств женской гигиены и случаями акушерского насилия, прежде всего применением средств физического удержания во время беременности, родов или перевозки заключенных, а также инвазивными личными обысками женщин-заключенных;</w:t>
      </w:r>
    </w:p>
    <w:p w14:paraId="21EE12BD" w14:textId="77777777" w:rsidR="00695398" w:rsidRPr="00695398" w:rsidRDefault="00695398" w:rsidP="00695398">
      <w:pPr>
        <w:pStyle w:val="SingleTxt"/>
      </w:pPr>
      <w:r w:rsidRPr="00695398">
        <w:lastRenderedPageBreak/>
        <w:tab/>
        <w:t>b)</w:t>
      </w:r>
      <w:r w:rsidRPr="00695398">
        <w:tab/>
        <w:t>частым применением к женщинам досудебного содержания под стражей и недостаточным применением мер наказания, не связанных с лишением свободы, а также альтернатив тюремному заключению, особенно в случае беременных женщин и матерей малолетних детей, несистематическим применением режимов домашнего ареста или электронного мониторинга, а также тем, как содержание под стражей отражается на семейной жизни женщин, в том числе в случаях помещения их в учреждения, отдаленные от их общин, и в отсутствие достаточных гарантий поддержания контактов с семьей и защиты высших интересов детей, чьи матери находятся в заключении;</w:t>
      </w:r>
    </w:p>
    <w:p w14:paraId="4551AE2F" w14:textId="77777777" w:rsidR="00695398" w:rsidRPr="00695398" w:rsidRDefault="00695398" w:rsidP="00695398">
      <w:pPr>
        <w:pStyle w:val="SingleTxt"/>
      </w:pPr>
      <w:r w:rsidRPr="00695398">
        <w:tab/>
        <w:t>c)</w:t>
      </w:r>
      <w:r w:rsidRPr="00695398">
        <w:tab/>
        <w:t>сообщениями о случаях насилия и жестокого обращения и о неадекватности механизмов подачи жалоб в местах содержания под стражей, а также о препятствиях, с которыми сталкиваются женщины при попытках получить доступ к независимым надзорным органам и эффективным средствам правовой защиты.</w:t>
      </w:r>
    </w:p>
    <w:p w14:paraId="69940C86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>47.</w:t>
      </w:r>
      <w:r w:rsidRPr="00695398">
        <w:tab/>
      </w:r>
      <w:r w:rsidRPr="00695398">
        <w:rPr>
          <w:b/>
          <w:bCs/>
        </w:rPr>
        <w:t>Комитет рекомендует государству-участнику срочно принять меры, чтобы:</w:t>
      </w:r>
    </w:p>
    <w:p w14:paraId="6FB16D82" w14:textId="71C56233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a)</w:t>
      </w:r>
      <w:r w:rsidRPr="00695398">
        <w:tab/>
      </w:r>
      <w:r w:rsidRPr="00695398">
        <w:rPr>
          <w:b/>
          <w:bCs/>
        </w:rPr>
        <w:t>обеспечить всем содержащимся под стражей женщинам доступ к удовлетворяющим их потребност</w:t>
      </w:r>
      <w:r w:rsidR="006462D6">
        <w:rPr>
          <w:b/>
          <w:bCs/>
        </w:rPr>
        <w:t>и</w:t>
      </w:r>
      <w:r w:rsidRPr="00695398">
        <w:rPr>
          <w:b/>
          <w:bCs/>
        </w:rPr>
        <w:t xml:space="preserve"> услугам по охране здоровья, оказываемым с учетом гендерных аспектов, в том числе к полному спектру гинекологических и акушерских услуг, ввести запрет на акушерское насилие и применение средств физического удержания во время беременности, схваточного периода родов, родоразрешения и послеродового периода, гарантировать предоставление средств гигиены первой необходимости и средств женской гигиены, а также полностью отказаться от инвазивных личных обысков;</w:t>
      </w:r>
    </w:p>
    <w:p w14:paraId="04C30599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b)</w:t>
      </w:r>
      <w:r w:rsidRPr="00695398">
        <w:tab/>
      </w:r>
      <w:r w:rsidRPr="00695398">
        <w:rPr>
          <w:b/>
          <w:bCs/>
        </w:rPr>
        <w:t>сократить масштабы использования досудебного содержания женщин</w:t>
      </w:r>
      <w:r w:rsidRPr="00695398">
        <w:t xml:space="preserve"> </w:t>
      </w:r>
      <w:r w:rsidRPr="00695398">
        <w:rPr>
          <w:b/>
          <w:bCs/>
        </w:rPr>
        <w:t>под стражей и отдавать приоритет мерам наказания, не связанным с лишением свободы, в соответствии с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(Бангкокские правила), особенно в случае беременных женщин и матерей малолетних детей, обеспечивать последовательное и недискриминационное применение альтернатив содержанию под стражей, включая, сообразно обстоятельствам,</w:t>
      </w:r>
      <w:r w:rsidRPr="00695398">
        <w:t xml:space="preserve"> </w:t>
      </w:r>
      <w:r w:rsidRPr="00695398">
        <w:rPr>
          <w:b/>
          <w:bCs/>
        </w:rPr>
        <w:t>домашний арест, а также защищать высшие интересы детей, облегчая поддержание контактов с семьей и, по возможности, избегая помещать женщин в места содержания под стражей, отдаленные от их общин;</w:t>
      </w:r>
    </w:p>
    <w:p w14:paraId="48BA6B50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c)</w:t>
      </w:r>
      <w:r w:rsidRPr="00695398">
        <w:tab/>
      </w:r>
      <w:r w:rsidRPr="00695398">
        <w:rPr>
          <w:b/>
          <w:bCs/>
        </w:rPr>
        <w:t>предотвращать насилие и жестокое обращение в местах содержания под стражей и эффективно бороться с этими явлениями, укрепляя независимые надзорные</w:t>
      </w:r>
      <w:r w:rsidRPr="00695398">
        <w:t xml:space="preserve"> </w:t>
      </w:r>
      <w:r w:rsidRPr="00695398">
        <w:rPr>
          <w:b/>
          <w:bCs/>
        </w:rPr>
        <w:t>механизмы, обеспечивая наличие конфиденциальных и доступных процедур подачи жалоб, защищая женщин от актов возмездия и гарантируя им проведение оперативных и беспристрастных расследований с учетом гендерной специфики и предоставление эффективных средств правовой защиты.</w:t>
      </w:r>
    </w:p>
    <w:p w14:paraId="32B3C6C3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35DCF37E" w14:textId="77777777" w:rsidR="00695398" w:rsidRPr="00695398" w:rsidRDefault="00695398" w:rsidP="00695398">
      <w:pPr>
        <w:pStyle w:val="H23"/>
      </w:pPr>
      <w:r w:rsidRPr="00695398">
        <w:tab/>
      </w:r>
      <w:r w:rsidRPr="00695398">
        <w:tab/>
        <w:t>Брак и семейные отношения</w:t>
      </w:r>
    </w:p>
    <w:p w14:paraId="7875FBA4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6143BEBC" w14:textId="13E0FC2A" w:rsidR="00695398" w:rsidRPr="00695398" w:rsidRDefault="00695398" w:rsidP="00695398">
      <w:pPr>
        <w:pStyle w:val="SingleTxt"/>
      </w:pPr>
      <w:r w:rsidRPr="00695398">
        <w:t>48.</w:t>
      </w:r>
      <w:r w:rsidRPr="00695398">
        <w:tab/>
        <w:t xml:space="preserve">Комитет отмечает прогрессивную законодательную базу государства-участника, касающуюся равноправия в браке, а также реформы Гражданского и торгового кодекса, в которых признается равенство супругов, в том числе предусматривается выплата материальной компенсации в случае развода или </w:t>
      </w:r>
      <w:r w:rsidRPr="00695398">
        <w:lastRenderedPageBreak/>
        <w:t>прекращения супружеской общности жизни. Вместе с тем он с обеспокоенностью отмечает:</w:t>
      </w:r>
    </w:p>
    <w:p w14:paraId="7EF90B62" w14:textId="77777777" w:rsidR="00695398" w:rsidRPr="00695398" w:rsidRDefault="00695398" w:rsidP="00695398">
      <w:pPr>
        <w:pStyle w:val="SingleTxt"/>
      </w:pPr>
      <w:r w:rsidRPr="00695398">
        <w:tab/>
        <w:t>a)</w:t>
      </w:r>
      <w:r w:rsidRPr="00695398">
        <w:tab/>
        <w:t>непропорционально сильное экономическое воздействие развода и прекращения супружеской общности жизни на женщин, особенно взявших на себя основные обязанности по уходу за близкими, а также несистематическое применение или ограниченную доступность механизма материальной компенсации и других механизмов, призванных устранить экономический дисбаланс, возникающий в результате распределения ролей в браке, включая недостаточное признание неоплачиваемой работы по уходу;</w:t>
      </w:r>
    </w:p>
    <w:p w14:paraId="3336ADAE" w14:textId="77777777" w:rsidR="00695398" w:rsidRPr="00695398" w:rsidRDefault="00695398" w:rsidP="00695398">
      <w:pPr>
        <w:pStyle w:val="SingleTxt"/>
      </w:pPr>
      <w:r w:rsidRPr="00695398">
        <w:tab/>
        <w:t>b)</w:t>
      </w:r>
      <w:r w:rsidRPr="00695398">
        <w:tab/>
        <w:t>сохраняющиеся препятствия на пути эффективного обеспечения исполнения обязательств по выплате алиментов на детей, что может способствовать феминизации бедности и отрицательно влиять на экономическую самостоятельность женщин;</w:t>
      </w:r>
    </w:p>
    <w:p w14:paraId="53B1C872" w14:textId="77777777" w:rsidR="00695398" w:rsidRPr="00695398" w:rsidRDefault="00695398" w:rsidP="00695398">
      <w:pPr>
        <w:pStyle w:val="SingleTxt"/>
      </w:pPr>
      <w:r w:rsidRPr="00695398">
        <w:tab/>
        <w:t>c)</w:t>
      </w:r>
      <w:r w:rsidRPr="00695398">
        <w:tab/>
        <w:t>различия в правовом статусе, присваиваемом лицам, состоящим в браке, и лицам, проживающим совместно без заключения брака, особенно в аспектах раздела имущества и прав наследования, что оказывает несоразмерное воздействие на женщин и делает их подверженными экономической незащищенности в случае разрыва отношений или смерти партнера;</w:t>
      </w:r>
    </w:p>
    <w:p w14:paraId="6663AE41" w14:textId="7CEC1E13" w:rsidR="00695398" w:rsidRPr="00695398" w:rsidRDefault="00695398" w:rsidP="00695398">
      <w:pPr>
        <w:pStyle w:val="SingleTxt"/>
      </w:pPr>
      <w:r w:rsidRPr="00695398">
        <w:tab/>
        <w:t>d)</w:t>
      </w:r>
      <w:r w:rsidRPr="00695398">
        <w:tab/>
        <w:t>то, что</w:t>
      </w:r>
      <w:r w:rsidR="000171C7" w:rsidRPr="004001D0">
        <w:t>,</w:t>
      </w:r>
      <w:r w:rsidRPr="00695398">
        <w:t xml:space="preserve"> несмотря на установленный законом возраст вступления в брак, составляющий 1</w:t>
      </w:r>
      <w:r w:rsidR="00E16110" w:rsidRPr="00695398">
        <w:t>8</w:t>
      </w:r>
      <w:r w:rsidR="00E16110">
        <w:t> </w:t>
      </w:r>
      <w:r w:rsidR="00E16110" w:rsidRPr="00695398">
        <w:t>лет</w:t>
      </w:r>
      <w:r w:rsidRPr="00695398">
        <w:t>, брак может быть заключен начиная с возраста 1</w:t>
      </w:r>
      <w:r w:rsidR="00E16110" w:rsidRPr="00695398">
        <w:t>6</w:t>
      </w:r>
      <w:r w:rsidR="00E16110">
        <w:t> </w:t>
      </w:r>
      <w:r w:rsidR="00E16110" w:rsidRPr="00695398">
        <w:t>лет</w:t>
      </w:r>
      <w:r w:rsidRPr="00695398">
        <w:t xml:space="preserve"> с согласия родителей или опекунов и даже в более раннем возрасте при наличии судебного разрешения.</w:t>
      </w:r>
    </w:p>
    <w:p w14:paraId="1920E296" w14:textId="5FCE522A" w:rsidR="00695398" w:rsidRPr="00695398" w:rsidRDefault="00695398" w:rsidP="00695398">
      <w:pPr>
        <w:pStyle w:val="SingleTxt"/>
        <w:rPr>
          <w:b/>
          <w:bCs/>
        </w:rPr>
      </w:pPr>
      <w:r w:rsidRPr="00695398">
        <w:t>49.</w:t>
      </w:r>
      <w:r w:rsidRPr="00695398">
        <w:tab/>
      </w:r>
      <w:r w:rsidRPr="00695398">
        <w:rPr>
          <w:b/>
          <w:bCs/>
        </w:rPr>
        <w:t>В соответствии со своей общей рекомендацией № 29 (2013) об экономических последствиях вступления в брак, семейных отношений и их расторжения Комитет рекомендует государству-участнику:</w:t>
      </w:r>
    </w:p>
    <w:p w14:paraId="1DA14858" w14:textId="7AEA68DB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a)</w:t>
      </w:r>
      <w:r w:rsidRPr="00695398">
        <w:tab/>
      </w:r>
      <w:r w:rsidRPr="00695398">
        <w:rPr>
          <w:b/>
          <w:bCs/>
        </w:rPr>
        <w:t>обеспечивать эффективное и последовательное применение механизмов материальной компенсации и других правовых механизмов, созданных для устранения экономического неравенства, возникающего в результате вступления в брак и его расторжения, в том числе посредством разработки четких руководящих положений для судебных органов, проведения учебной подготовки для судей и юристов с ориентацией на гендерные аспекты, а также четкого признания неоплачиваемой работы по уходу и ведению домашнего хозяйства в качестве одного из факторов, подлежащих учету при определении порядка раздела имущества и размера компенсации;</w:t>
      </w:r>
    </w:p>
    <w:p w14:paraId="4F61261E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b)</w:t>
      </w:r>
      <w:r w:rsidRPr="00695398">
        <w:tab/>
      </w:r>
      <w:r w:rsidRPr="00695398">
        <w:rPr>
          <w:b/>
          <w:bCs/>
        </w:rPr>
        <w:t>усиливать меры по обеспечению исполнения обязательств по выплате алиментов на детей путем внедрения эффективных механизмов контроля и обеспечения их соблюдения, ускорения судебных процедур и обеспечения своевременного реагирования на неуплату без создания чрезмерной нагрузки на женщин, с тем чтобы сохранить их экономическую самостоятельность и предотвратить феминизацию бедности;</w:t>
      </w:r>
    </w:p>
    <w:p w14:paraId="5D00380B" w14:textId="77777777" w:rsidR="00695398" w:rsidRPr="00695398" w:rsidRDefault="00695398" w:rsidP="00695398">
      <w:pPr>
        <w:pStyle w:val="SingleTxt"/>
        <w:rPr>
          <w:b/>
          <w:bCs/>
        </w:rPr>
      </w:pPr>
      <w:r w:rsidRPr="00695398">
        <w:tab/>
        <w:t>c)</w:t>
      </w:r>
      <w:r w:rsidRPr="00695398">
        <w:tab/>
      </w:r>
      <w:r w:rsidRPr="00695398">
        <w:rPr>
          <w:b/>
          <w:bCs/>
        </w:rPr>
        <w:t>принимать надлежащие законодательные и нормативно-правовые меры для обеспечения того, чтобы различия в правовом статусе, присваиваемом лицам, состоящим в браке, и лицам, проживающим совместно без заключения брака, не приводили к косвенной дискриминации женщин, в том числе укрепляя гарантии справедливого раздела имущества и защиты прав наследования в случаях совместного проживания без заключения брака, обеспечивая эффективный доступ к материальной компенсации в применимых случаях, а также предоставляя женщинам доступную правовую информацию в случае разрыва отношений или смерти партнера;</w:t>
      </w:r>
    </w:p>
    <w:p w14:paraId="6C72F475" w14:textId="41C96F44" w:rsidR="00695398" w:rsidRPr="00695398" w:rsidRDefault="00695398" w:rsidP="00695398">
      <w:pPr>
        <w:pStyle w:val="SingleTxt"/>
        <w:rPr>
          <w:b/>
          <w:bCs/>
        </w:rPr>
      </w:pPr>
      <w:r w:rsidRPr="00695398">
        <w:lastRenderedPageBreak/>
        <w:tab/>
        <w:t>d)</w:t>
      </w:r>
      <w:r w:rsidRPr="00695398">
        <w:tab/>
      </w:r>
      <w:r w:rsidRPr="00695398">
        <w:rPr>
          <w:b/>
          <w:bCs/>
        </w:rPr>
        <w:t>внести поправки в Гражданский и торговый кодекс, чтобы устранить все исключения, в соответствии с которыми допускается вступление в брак в возрасте до 1</w:t>
      </w:r>
      <w:r w:rsidR="00E16110" w:rsidRPr="00695398">
        <w:rPr>
          <w:b/>
          <w:bCs/>
        </w:rPr>
        <w:t>8</w:t>
      </w:r>
      <w:r w:rsidR="00E16110">
        <w:rPr>
          <w:b/>
          <w:bCs/>
        </w:rPr>
        <w:t> </w:t>
      </w:r>
      <w:r w:rsidR="00E16110" w:rsidRPr="00695398">
        <w:rPr>
          <w:b/>
          <w:bCs/>
        </w:rPr>
        <w:t>лет</w:t>
      </w:r>
      <w:r w:rsidRPr="00695398">
        <w:rPr>
          <w:b/>
          <w:bCs/>
        </w:rPr>
        <w:t>, в том числе на основании родительского согласия и судебного разрешения, и обеспечить, чтобы минимальный возраст вступления в брак составлял 1</w:t>
      </w:r>
      <w:r w:rsidR="00E16110" w:rsidRPr="00695398">
        <w:rPr>
          <w:b/>
          <w:bCs/>
        </w:rPr>
        <w:t>8</w:t>
      </w:r>
      <w:r w:rsidR="00E16110">
        <w:rPr>
          <w:b/>
          <w:bCs/>
        </w:rPr>
        <w:t> </w:t>
      </w:r>
      <w:r w:rsidR="00E16110" w:rsidRPr="00695398">
        <w:rPr>
          <w:b/>
          <w:bCs/>
        </w:rPr>
        <w:t>лет</w:t>
      </w:r>
      <w:r w:rsidRPr="00695398">
        <w:rPr>
          <w:b/>
          <w:bCs/>
        </w:rPr>
        <w:t xml:space="preserve"> как для женщин, так и для мужчин без каких-либо исключений в соответствии со </w:t>
      </w:r>
      <w:r w:rsidR="00E16110" w:rsidRPr="00695398">
        <w:rPr>
          <w:b/>
          <w:bCs/>
        </w:rPr>
        <w:t>статьей</w:t>
      </w:r>
      <w:r w:rsidR="00E16110">
        <w:rPr>
          <w:b/>
          <w:bCs/>
        </w:rPr>
        <w:t> </w:t>
      </w:r>
      <w:r w:rsidR="00E16110" w:rsidRPr="00695398">
        <w:rPr>
          <w:b/>
          <w:bCs/>
        </w:rPr>
        <w:t>1</w:t>
      </w:r>
      <w:r w:rsidRPr="00695398">
        <w:rPr>
          <w:b/>
          <w:bCs/>
        </w:rPr>
        <w:t>6 (2) Конвенции и совместной общей рекомендацией № 31 Комитета по ликвидации дискриминации в отношении женщин/замечанием общего порядка № 18 Комитета по правам ребенка (2019) по вредной практике.</w:t>
      </w:r>
    </w:p>
    <w:p w14:paraId="11190D04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09150422" w14:textId="77777777" w:rsidR="00695398" w:rsidRPr="00695398" w:rsidRDefault="00695398" w:rsidP="00695398">
      <w:pPr>
        <w:pStyle w:val="H23"/>
      </w:pPr>
      <w:r w:rsidRPr="00695398">
        <w:tab/>
      </w:r>
      <w:r w:rsidRPr="00695398">
        <w:tab/>
        <w:t>Сбор и анализ данных</w:t>
      </w:r>
    </w:p>
    <w:p w14:paraId="064C503E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38AEFD5E" w14:textId="77777777" w:rsidR="00695398" w:rsidRPr="00695398" w:rsidRDefault="00695398" w:rsidP="00695398">
      <w:pPr>
        <w:pStyle w:val="SingleTxt"/>
      </w:pPr>
      <w:r w:rsidRPr="00695398">
        <w:t>50.</w:t>
      </w:r>
      <w:r w:rsidRPr="00695398">
        <w:tab/>
        <w:t>Комитет выражает озабоченность в связи с ограниченной доступностью, систематизацией и регулярной публикацией всеобъемлющих, актуальных и дезагрегированных данных по ключевым областям, охватываемым Конвенцией, включая представленность женщин на дипломатических и руководящих должностях, а также положение коренных женщин и женщин-инвалидов и девочек-инвалидов в таких сферах, как занятость, здравоохранение, образование и доступ к правосудию. Он отмечает, что отсутствие единообразных, межсекторальных и общедоступных данных является препятствием для разработки, контроля и оценки адресных и основанных на фактических данных мер политики, направленных на искоренение дискриминации и достижение фактического равенства.</w:t>
      </w:r>
    </w:p>
    <w:p w14:paraId="2C3AC462" w14:textId="3D7C647D" w:rsidR="00695398" w:rsidRPr="00695398" w:rsidRDefault="00695398" w:rsidP="00695398">
      <w:pPr>
        <w:pStyle w:val="SingleTxt"/>
      </w:pPr>
      <w:r w:rsidRPr="00695398">
        <w:t>51.</w:t>
      </w:r>
      <w:r w:rsidRPr="00695398">
        <w:tab/>
      </w:r>
      <w:r w:rsidRPr="00695398">
        <w:rPr>
          <w:b/>
          <w:bCs/>
        </w:rPr>
        <w:t>Комитет рекомендует государству-участнику активизировать систематический сбор, анализ и регулярную публикацию всеобъемлющих данных, дезагрегированных по признаку пола, возраста, наличия инвалидности, этнической принадлежности, миграционного статуса, географического положения и других значимых факторов, включая данные о представленности женщин на руководящих должностях и данные о социально-экономическом положении</w:t>
      </w:r>
      <w:r w:rsidRPr="00695398">
        <w:t xml:space="preserve"> </w:t>
      </w:r>
      <w:r w:rsidRPr="00695398">
        <w:rPr>
          <w:b/>
          <w:bCs/>
        </w:rPr>
        <w:t>коренных женщин и женщин-инвалидов и девочек-инвалидов, с тем чтобы обеспечить основу для разработки, осуществления и мониторинга адресных, учитывающих гендерные аспекты и межсекторальных мер политики и прогресса в обеспечении фактического равенства женщин во всех сферах, охватываемых Конвенцией, и в выполнении связанных с гендерной проблематикой задач, поставленных в рамках целей в области устойчивого развития.</w:t>
      </w:r>
    </w:p>
    <w:p w14:paraId="658CB725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625AF496" w14:textId="77777777" w:rsidR="00695398" w:rsidRPr="00695398" w:rsidRDefault="00695398" w:rsidP="00695398">
      <w:pPr>
        <w:pStyle w:val="H23"/>
      </w:pPr>
      <w:r w:rsidRPr="00695398">
        <w:tab/>
      </w:r>
      <w:r w:rsidRPr="00695398">
        <w:tab/>
        <w:t>Пекинская декларация и Платформа действий</w:t>
      </w:r>
    </w:p>
    <w:p w14:paraId="5665F8C8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2105E5C7" w14:textId="3D0FE783" w:rsidR="00695398" w:rsidRPr="00695398" w:rsidRDefault="00695398" w:rsidP="00695398">
      <w:pPr>
        <w:pStyle w:val="SingleTxt"/>
        <w:rPr>
          <w:b/>
          <w:bCs/>
        </w:rPr>
      </w:pPr>
      <w:r w:rsidRPr="00695398">
        <w:t>52.</w:t>
      </w:r>
      <w:r w:rsidRPr="00695398">
        <w:tab/>
      </w:r>
      <w:r w:rsidRPr="00695398">
        <w:rPr>
          <w:b/>
          <w:bCs/>
        </w:rPr>
        <w:t>С учетом прошедшей тридцатой годовщины принятия Пекинской декларации и Платформы действий Комитет призывает государство-участник подтвердить приверженность их осуществлению и провести повторную оценку реализации прав, закрепленных в Конвенции, с целью достижения фактического равенства между женщинами и мужчинами.</w:t>
      </w:r>
    </w:p>
    <w:p w14:paraId="7A4CC3F4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6E065E79" w14:textId="77777777" w:rsidR="00695398" w:rsidRPr="00695398" w:rsidRDefault="00695398" w:rsidP="00695398">
      <w:pPr>
        <w:pStyle w:val="H23"/>
      </w:pPr>
      <w:r w:rsidRPr="00695398">
        <w:tab/>
      </w:r>
      <w:r w:rsidRPr="00695398">
        <w:tab/>
        <w:t>Распространение информации</w:t>
      </w:r>
    </w:p>
    <w:p w14:paraId="05634B76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4D5298F3" w14:textId="7BF251CA" w:rsidR="00695398" w:rsidRPr="00695398" w:rsidRDefault="00695398" w:rsidP="00695398">
      <w:pPr>
        <w:pStyle w:val="SingleTxt"/>
        <w:rPr>
          <w:b/>
          <w:bCs/>
        </w:rPr>
      </w:pPr>
      <w:r w:rsidRPr="00695398">
        <w:t>53.</w:t>
      </w:r>
      <w:r w:rsidRPr="00695398">
        <w:tab/>
      </w:r>
      <w:r w:rsidRPr="00695398">
        <w:rPr>
          <w:b/>
          <w:bCs/>
        </w:rPr>
        <w:t xml:space="preserve">Комитет просит государство-участник обеспечить своевременное направление настоящих заключительных замечаний на официальных языках государства-участника соответствующим государственным учреждениям на всех уровнях (национальном, </w:t>
      </w:r>
      <w:r w:rsidR="00BB6809">
        <w:rPr>
          <w:b/>
          <w:bCs/>
        </w:rPr>
        <w:t xml:space="preserve">региональном </w:t>
      </w:r>
      <w:r w:rsidRPr="00695398">
        <w:rPr>
          <w:b/>
          <w:bCs/>
        </w:rPr>
        <w:t>и местном), в частности правительству, Национальному конгрессу и судебным органам, в целях обеспечения полного выполнения содержащихся в них рекомендаций, а также представителям гражданского общества, включая неправительственные организации, в частности женские организации, с целью обеспечения в государстве-участнике полной осведомленности.</w:t>
      </w:r>
    </w:p>
    <w:p w14:paraId="66ACDF36" w14:textId="2278EA04" w:rsidR="00695398" w:rsidRPr="00695398" w:rsidRDefault="00695398" w:rsidP="00695398">
      <w:pPr>
        <w:pStyle w:val="H23"/>
      </w:pPr>
      <w:r w:rsidRPr="00695398">
        <w:lastRenderedPageBreak/>
        <w:tab/>
      </w:r>
      <w:r w:rsidRPr="00695398">
        <w:tab/>
        <w:t>Последующая деятельность в связи с заключительными замечаниями</w:t>
      </w:r>
    </w:p>
    <w:p w14:paraId="10FC0BB0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30591616" w14:textId="054D9C55" w:rsidR="00695398" w:rsidRPr="00695398" w:rsidRDefault="00695398" w:rsidP="00695398">
      <w:pPr>
        <w:pStyle w:val="SingleTxt"/>
        <w:rPr>
          <w:b/>
          <w:bCs/>
        </w:rPr>
      </w:pPr>
      <w:r w:rsidRPr="00695398">
        <w:t>54.</w:t>
      </w:r>
      <w:r w:rsidRPr="00695398">
        <w:tab/>
      </w:r>
      <w:r w:rsidRPr="00695398">
        <w:rPr>
          <w:b/>
          <w:bCs/>
        </w:rPr>
        <w:t xml:space="preserve"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</w:t>
      </w:r>
      <w:r w:rsidR="00E16110" w:rsidRPr="00695398">
        <w:rPr>
          <w:b/>
          <w:bCs/>
        </w:rPr>
        <w:t>пунктах</w:t>
      </w:r>
      <w:r w:rsidR="00E16110">
        <w:rPr>
          <w:b/>
          <w:bCs/>
        </w:rPr>
        <w:t> </w:t>
      </w:r>
      <w:r w:rsidR="00E16110" w:rsidRPr="00695398">
        <w:rPr>
          <w:b/>
          <w:bCs/>
        </w:rPr>
        <w:t>1</w:t>
      </w:r>
      <w:r w:rsidRPr="00695398">
        <w:rPr>
          <w:b/>
          <w:bCs/>
        </w:rPr>
        <w:t>3 a), 23 c), 31 a) и 37 a) выше.</w:t>
      </w:r>
    </w:p>
    <w:p w14:paraId="64B117D7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78EC88BD" w14:textId="77777777" w:rsidR="00695398" w:rsidRPr="00695398" w:rsidRDefault="00695398" w:rsidP="00695398">
      <w:pPr>
        <w:pStyle w:val="H23"/>
      </w:pPr>
      <w:r w:rsidRPr="00695398">
        <w:tab/>
      </w:r>
      <w:r w:rsidRPr="00695398">
        <w:tab/>
        <w:t>Подготовка следующего доклада</w:t>
      </w:r>
    </w:p>
    <w:p w14:paraId="2546C19C" w14:textId="77777777" w:rsidR="00695398" w:rsidRPr="00695398" w:rsidRDefault="00695398" w:rsidP="00695398">
      <w:pPr>
        <w:pStyle w:val="SingleTxt"/>
        <w:spacing w:after="0" w:line="120" w:lineRule="exact"/>
        <w:rPr>
          <w:sz w:val="10"/>
        </w:rPr>
      </w:pPr>
    </w:p>
    <w:p w14:paraId="267E3665" w14:textId="481EB07B" w:rsidR="00695398" w:rsidRPr="00695398" w:rsidRDefault="00695398" w:rsidP="00695398">
      <w:pPr>
        <w:pStyle w:val="SingleTxt"/>
        <w:rPr>
          <w:b/>
          <w:bCs/>
        </w:rPr>
      </w:pPr>
      <w:r w:rsidRPr="00695398">
        <w:t>55.</w:t>
      </w:r>
      <w:r w:rsidRPr="00695398">
        <w:tab/>
      </w:r>
      <w:r w:rsidRPr="00695398">
        <w:rPr>
          <w:b/>
          <w:bCs/>
        </w:rPr>
        <w:t>Комитет определит и сообщит дату представления девятого периодического доклада государства-участника в соответствии с будущим ясным и упорядоченным графиком представления докладов государствами-участниками (</w:t>
      </w:r>
      <w:r w:rsidR="00E16110" w:rsidRPr="00695398">
        <w:rPr>
          <w:b/>
          <w:bCs/>
        </w:rPr>
        <w:t>резолюция</w:t>
      </w:r>
      <w:r w:rsidR="00E16110">
        <w:rPr>
          <w:b/>
          <w:bCs/>
        </w:rPr>
        <w:t> </w:t>
      </w:r>
      <w:hyperlink r:id="rId28" w:history="1">
        <w:r w:rsidR="00E16110" w:rsidRPr="00695398">
          <w:rPr>
            <w:rStyle w:val="Hyperlink"/>
            <w:b/>
            <w:bCs/>
          </w:rPr>
          <w:t>7</w:t>
        </w:r>
        <w:r w:rsidRPr="00695398">
          <w:rPr>
            <w:rStyle w:val="Hyperlink"/>
            <w:b/>
            <w:bCs/>
          </w:rPr>
          <w:t>9/165</w:t>
        </w:r>
      </w:hyperlink>
      <w:r w:rsidRPr="00695398">
        <w:rPr>
          <w:b/>
          <w:bCs/>
        </w:rPr>
        <w:t> Генеральной Ассамблеи, п. 6) и после принятия перечня тем и вопросов, препровождаемых до представления доклада, если это будет применимо для данного государства-участника.</w:t>
      </w:r>
      <w:r w:rsidRPr="00695398">
        <w:t xml:space="preserve"> </w:t>
      </w:r>
      <w:r w:rsidRPr="00695398">
        <w:rPr>
          <w:b/>
          <w:bCs/>
        </w:rPr>
        <w:t>Доклад должен охватывать весь период до момента его представления.</w:t>
      </w:r>
    </w:p>
    <w:p w14:paraId="03C7AFDC" w14:textId="075F1935" w:rsidR="00695398" w:rsidRDefault="00695398" w:rsidP="00695398">
      <w:pPr>
        <w:pStyle w:val="SingleTxt"/>
        <w:rPr>
          <w:b/>
          <w:bCs/>
        </w:rPr>
      </w:pPr>
      <w:r w:rsidRPr="00695398">
        <w:t>56.</w:t>
      </w:r>
      <w:r w:rsidRPr="00695398">
        <w:tab/>
      </w:r>
      <w:r w:rsidRPr="00695398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29" w:history="1">
        <w:r w:rsidRPr="00E16110">
          <w:rPr>
            <w:rStyle w:val="Hyperlink"/>
            <w:b/>
            <w:bCs/>
          </w:rPr>
          <w:t>HRI/GEN/2/Rev.6</w:t>
        </w:r>
      </w:hyperlink>
      <w:r w:rsidRPr="00695398">
        <w:rPr>
          <w:b/>
          <w:bCs/>
        </w:rPr>
        <w:t>, гл. I).</w:t>
      </w:r>
    </w:p>
    <w:p w14:paraId="489BFE21" w14:textId="467773FC" w:rsidR="004B0F84" w:rsidRPr="004B0F84" w:rsidRDefault="00695398" w:rsidP="00695398">
      <w:pPr>
        <w:pStyle w:val="SingleTxt"/>
        <w:spacing w:after="0" w:line="240" w:lineRule="auto"/>
      </w:pPr>
      <w:r>
        <w:rPr>
          <w:noProof/>
          <w:w w:val="100"/>
          <w:lang w:val="fr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8A0C34" wp14:editId="09F8C8D0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1146738722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EAAFE0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4B0F84" w:rsidRPr="004B0F84" w:rsidSect="004B0F84">
      <w:headerReference w:type="even" r:id="rId30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tart" w:date="2026-03-23T10:45:00Z" w:initials="Start">
    <w:p w14:paraId="746CF161" w14:textId="77777777" w:rsidR="00CA08B9" w:rsidRPr="005F639B" w:rsidRDefault="00CA08B9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5F639B">
        <w:rPr>
          <w:lang w:val="en-US"/>
        </w:rPr>
        <w:t>&lt;&lt;ODS JOB NO&gt;&gt;N2603626R&lt;&lt;ODS JOB NO&gt;&gt;</w:t>
      </w:r>
    </w:p>
    <w:p w14:paraId="2E05202A" w14:textId="77777777" w:rsidR="00CA08B9" w:rsidRPr="005F639B" w:rsidRDefault="00CA08B9">
      <w:pPr>
        <w:pStyle w:val="CommentText"/>
        <w:rPr>
          <w:lang w:val="en-US"/>
        </w:rPr>
      </w:pPr>
      <w:r w:rsidRPr="005F639B">
        <w:rPr>
          <w:lang w:val="en-US"/>
        </w:rPr>
        <w:t>&lt;&lt;ODS DOC SYMBOL1&gt;&gt;CEDAW/C/ARG/CO/8&lt;&lt;ODS DOC SYMBOL1&gt;&gt;</w:t>
      </w:r>
    </w:p>
    <w:p w14:paraId="18DCB340" w14:textId="15AFC0AE" w:rsidR="00CA08B9" w:rsidRDefault="00CA08B9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8DCB34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937948F" w16cex:dateUtc="2026-03-23T14:4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8DCB340" w16cid:durableId="0937948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180F5" w14:textId="77777777" w:rsidR="006535F5" w:rsidRPr="00A22B69" w:rsidRDefault="006535F5" w:rsidP="00331D20">
      <w:r w:rsidRPr="00A22B69">
        <w:separator/>
      </w:r>
    </w:p>
  </w:endnote>
  <w:endnote w:type="continuationSeparator" w:id="0">
    <w:p w14:paraId="79DC469B" w14:textId="77777777" w:rsidR="006535F5" w:rsidRPr="00A22B69" w:rsidRDefault="006535F5" w:rsidP="00331D20">
      <w:r w:rsidRPr="00A22B6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A08B9" w14:paraId="459E7C33" w14:textId="77777777" w:rsidTr="00CA08B9">
      <w:tblPrEx>
        <w:tblCellMar>
          <w:top w:w="0" w:type="dxa"/>
          <w:bottom w:w="0" w:type="dxa"/>
        </w:tblCellMar>
      </w:tblPrEx>
      <w:tc>
        <w:tcPr>
          <w:tcW w:w="4920" w:type="dxa"/>
          <w:vAlign w:val="bottom"/>
        </w:tcPr>
        <w:p w14:paraId="23B8C7B2" w14:textId="616C354B" w:rsidR="00CA08B9" w:rsidRPr="00CA08B9" w:rsidRDefault="00CA08B9" w:rsidP="00CA08B9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t>4</w:t>
            </w:r>
          </w:fldSimple>
        </w:p>
      </w:tc>
      <w:tc>
        <w:tcPr>
          <w:tcW w:w="4920" w:type="dxa"/>
          <w:vAlign w:val="bottom"/>
        </w:tcPr>
        <w:p w14:paraId="02D1CC7D" w14:textId="2EEDD0EA" w:rsidR="00CA08B9" w:rsidRPr="00CA08B9" w:rsidRDefault="00CA08B9" w:rsidP="00CA08B9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E3786">
            <w:rPr>
              <w:b w:val="0"/>
              <w:color w:val="000000"/>
              <w:sz w:val="14"/>
            </w:rPr>
            <w:t>26-02562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47EE25B4" w14:textId="77777777" w:rsidR="00CA08B9" w:rsidRPr="00CA08B9" w:rsidRDefault="00CA08B9" w:rsidP="00CA08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A08B9" w14:paraId="29A4A9B6" w14:textId="77777777" w:rsidTr="00CA08B9">
      <w:tblPrEx>
        <w:tblCellMar>
          <w:top w:w="0" w:type="dxa"/>
          <w:bottom w:w="0" w:type="dxa"/>
        </w:tblCellMar>
      </w:tblPrEx>
      <w:tc>
        <w:tcPr>
          <w:tcW w:w="4920" w:type="dxa"/>
          <w:vAlign w:val="bottom"/>
        </w:tcPr>
        <w:p w14:paraId="14763AD2" w14:textId="30EAA76A" w:rsidR="00CA08B9" w:rsidRPr="00CA08B9" w:rsidRDefault="00CA08B9" w:rsidP="00CA08B9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E3786">
            <w:rPr>
              <w:b w:val="0"/>
              <w:color w:val="000000"/>
              <w:sz w:val="14"/>
            </w:rPr>
            <w:t>26-02562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vAlign w:val="bottom"/>
        </w:tcPr>
        <w:p w14:paraId="16BB4722" w14:textId="40CF0DB4" w:rsidR="00CA08B9" w:rsidRPr="00CA08B9" w:rsidRDefault="00CA08B9" w:rsidP="00CA08B9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t>4</w:t>
            </w:r>
          </w:fldSimple>
        </w:p>
      </w:tc>
    </w:tr>
  </w:tbl>
  <w:p w14:paraId="2C71FF2F" w14:textId="77777777" w:rsidR="00CA08B9" w:rsidRPr="00CA08B9" w:rsidRDefault="00CA08B9" w:rsidP="00CA08B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CA08B9" w14:paraId="6F9B5907" w14:textId="77777777" w:rsidTr="00CA08B9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7C96172D" w14:textId="4EFD8F7A" w:rsidR="00CA08B9" w:rsidRDefault="00CA08B9" w:rsidP="00CA08B9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2CF2FA5E" wp14:editId="0A98896C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68619079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26-02562 (R)</w:t>
          </w:r>
          <w:r>
            <w:rPr>
              <w:color w:val="010000"/>
            </w:rPr>
            <w:t xml:space="preserve">    230326    2</w:t>
          </w:r>
          <w:r w:rsidR="00305475">
            <w:rPr>
              <w:color w:val="010000"/>
            </w:rPr>
            <w:t>5</w:t>
          </w:r>
          <w:r>
            <w:rPr>
              <w:color w:val="010000"/>
            </w:rPr>
            <w:t>0326</w:t>
          </w:r>
        </w:p>
        <w:p w14:paraId="4082B76B" w14:textId="2504173B" w:rsidR="00CA08B9" w:rsidRPr="00CA08B9" w:rsidRDefault="00CA08B9" w:rsidP="00CA08B9">
          <w:pPr>
            <w:pStyle w:val="Footer"/>
            <w:spacing w:after="80"/>
            <w:rPr>
              <w:rFonts w:ascii="Barcode 3 of 9 by request" w:hAnsi="Barcode 3 of 9 by request"/>
              <w:b w:val="0"/>
              <w:sz w:val="24"/>
              <w:lang w:val="es-ES"/>
            </w:rPr>
          </w:pPr>
          <w:r>
            <w:rPr>
              <w:rFonts w:ascii="Barcode 3 of 9 by request" w:hAnsi="Barcode 3 of 9 by request"/>
              <w:sz w:val="24"/>
              <w:lang w:val="es-ES"/>
            </w:rPr>
            <w:t>*2602562*</w:t>
          </w:r>
        </w:p>
      </w:tc>
      <w:tc>
        <w:tcPr>
          <w:tcW w:w="4920" w:type="dxa"/>
        </w:tcPr>
        <w:p w14:paraId="71C36234" w14:textId="6395E2F8" w:rsidR="00CA08B9" w:rsidRDefault="00CA08B9" w:rsidP="00CA08B9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sz w:val="20"/>
            </w:rPr>
            <w:drawing>
              <wp:inline distT="0" distB="0" distL="0" distR="0" wp14:anchorId="08312D12" wp14:editId="58B9D23A">
                <wp:extent cx="2703582" cy="231648"/>
                <wp:effectExtent l="0" t="0" r="1905" b="0"/>
                <wp:docPr id="611656603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1656603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40105B1" w14:textId="77777777" w:rsidR="00CA08B9" w:rsidRPr="00CA08B9" w:rsidRDefault="00CA08B9" w:rsidP="00CA08B9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0C59E" w14:textId="77777777" w:rsidR="006535F5" w:rsidRPr="004B0F84" w:rsidRDefault="006535F5" w:rsidP="004B0F84">
      <w:pPr>
        <w:pStyle w:val="Footer"/>
        <w:spacing w:after="80"/>
        <w:ind w:left="792"/>
        <w:rPr>
          <w:sz w:val="16"/>
        </w:rPr>
      </w:pPr>
      <w:r w:rsidRPr="004B0F84">
        <w:rPr>
          <w:sz w:val="16"/>
        </w:rPr>
        <w:t>__________________</w:t>
      </w:r>
    </w:p>
  </w:footnote>
  <w:footnote w:type="continuationSeparator" w:id="0">
    <w:p w14:paraId="5D69BF6B" w14:textId="77777777" w:rsidR="006535F5" w:rsidRPr="004B0F84" w:rsidRDefault="006535F5" w:rsidP="004B0F84">
      <w:pPr>
        <w:pStyle w:val="Footer"/>
        <w:spacing w:after="80"/>
        <w:ind w:left="792"/>
        <w:rPr>
          <w:sz w:val="16"/>
        </w:rPr>
      </w:pPr>
      <w:r w:rsidRPr="004B0F84">
        <w:rPr>
          <w:sz w:val="16"/>
        </w:rPr>
        <w:t>__________________</w:t>
      </w:r>
    </w:p>
  </w:footnote>
  <w:footnote w:id="1">
    <w:p w14:paraId="79A8AB57" w14:textId="6B57BF0E" w:rsidR="004B0F84" w:rsidRPr="004B0F84" w:rsidRDefault="004B0F84" w:rsidP="004B0F8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</w:pPr>
      <w:r>
        <w:rPr>
          <w:lang w:val="en-US"/>
        </w:rPr>
        <w:tab/>
      </w:r>
      <w:r w:rsidRPr="004B0F84">
        <w:rPr>
          <w:rStyle w:val="FootnoteReference"/>
          <w:w w:val="104"/>
          <w:vertAlign w:val="baseline"/>
        </w:rPr>
        <w:t>*</w:t>
      </w:r>
      <w:r w:rsidRPr="004B0F84">
        <w:tab/>
      </w:r>
      <w:r w:rsidRPr="004B0F84">
        <w:t>Приняты Комитетом на его девяносто второй сессии (2–20 февраля 2026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A08B9" w14:paraId="283F53C8" w14:textId="77777777" w:rsidTr="00CA08B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vAlign w:val="bottom"/>
        </w:tcPr>
        <w:p w14:paraId="1A495C97" w14:textId="381EF9F7" w:rsidR="00CA08B9" w:rsidRPr="00CA08B9" w:rsidRDefault="00CA08B9" w:rsidP="00CA08B9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E3786">
            <w:rPr>
              <w:b/>
            </w:rPr>
            <w:t>CEDAW/C/ARG/CO/8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vAlign w:val="bottom"/>
        </w:tcPr>
        <w:p w14:paraId="0B71CFD8" w14:textId="77777777" w:rsidR="00CA08B9" w:rsidRDefault="00CA08B9" w:rsidP="00CA08B9">
          <w:pPr>
            <w:pStyle w:val="Header"/>
          </w:pPr>
        </w:p>
      </w:tc>
    </w:tr>
  </w:tbl>
  <w:p w14:paraId="74027B64" w14:textId="77777777" w:rsidR="00CA08B9" w:rsidRPr="00CA08B9" w:rsidRDefault="00CA08B9" w:rsidP="00CA08B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A08B9" w14:paraId="6C69F225" w14:textId="77777777" w:rsidTr="00CA08B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vAlign w:val="bottom"/>
        </w:tcPr>
        <w:p w14:paraId="485D10B8" w14:textId="77777777" w:rsidR="00CA08B9" w:rsidRDefault="00CA08B9" w:rsidP="00CA08B9">
          <w:pPr>
            <w:pStyle w:val="Header"/>
          </w:pPr>
        </w:p>
      </w:tc>
      <w:tc>
        <w:tcPr>
          <w:tcW w:w="4920" w:type="dxa"/>
          <w:vAlign w:val="bottom"/>
        </w:tcPr>
        <w:p w14:paraId="35572D19" w14:textId="1603F5EF" w:rsidR="00CA08B9" w:rsidRPr="00CA08B9" w:rsidRDefault="00CA08B9" w:rsidP="00CA08B9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E3786">
            <w:rPr>
              <w:b/>
            </w:rPr>
            <w:t>CEDAW/C/ARG/CO/8</w:t>
          </w:r>
          <w:r>
            <w:rPr>
              <w:b/>
            </w:rPr>
            <w:fldChar w:fldCharType="end"/>
          </w:r>
        </w:p>
      </w:tc>
    </w:tr>
  </w:tbl>
  <w:p w14:paraId="7583F09A" w14:textId="77777777" w:rsidR="00CA08B9" w:rsidRPr="00CA08B9" w:rsidRDefault="00CA08B9" w:rsidP="00CA08B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CA08B9" w14:paraId="3DA14495" w14:textId="77777777" w:rsidTr="00CA08B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vAlign w:val="bottom"/>
        </w:tcPr>
        <w:p w14:paraId="7F8DB78E" w14:textId="1DC18166" w:rsidR="00CA08B9" w:rsidRPr="00CA08B9" w:rsidRDefault="00CA08B9" w:rsidP="00CA08B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vAlign w:val="bottom"/>
        </w:tcPr>
        <w:p w14:paraId="7AC7B2D3" w14:textId="77777777" w:rsidR="00CA08B9" w:rsidRDefault="00CA08B9" w:rsidP="00CA08B9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vAlign w:val="bottom"/>
        </w:tcPr>
        <w:p w14:paraId="5A244CC0" w14:textId="14B0DEA4" w:rsidR="00CA08B9" w:rsidRPr="00CA08B9" w:rsidRDefault="00CA08B9" w:rsidP="00CA08B9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/C/ARG/CO/8</w:t>
          </w:r>
        </w:p>
      </w:tc>
    </w:tr>
    <w:tr w:rsidR="00CA08B9" w:rsidRPr="004B0F84" w14:paraId="093ACA77" w14:textId="77777777" w:rsidTr="00CA08B9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14:paraId="6ED0D201" w14:textId="75BF9A0E" w:rsidR="00CA08B9" w:rsidRPr="00CA08B9" w:rsidRDefault="00CA08B9" w:rsidP="00CA08B9">
          <w:pPr>
            <w:pStyle w:val="Header"/>
            <w:spacing w:before="109"/>
            <w:ind w:left="29"/>
            <w:jc w:val="center"/>
          </w:pPr>
          <w:r>
            <w:drawing>
              <wp:inline distT="0" distB="0" distL="0" distR="0" wp14:anchorId="528608AA" wp14:editId="1A520238">
                <wp:extent cx="713232" cy="597103"/>
                <wp:effectExtent l="0" t="0" r="0" b="0"/>
                <wp:docPr id="725200246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5200246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</w:tcPr>
        <w:p w14:paraId="5C157450" w14:textId="572BDEA2" w:rsidR="00CA08B9" w:rsidRPr="00CA08B9" w:rsidRDefault="00CA08B9" w:rsidP="00CA08B9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</w:tcPr>
        <w:p w14:paraId="3E1BF5F5" w14:textId="77777777" w:rsidR="00CA08B9" w:rsidRPr="004B0F84" w:rsidRDefault="00CA08B9" w:rsidP="00CA08B9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</w:tcPr>
        <w:p w14:paraId="4203F760" w14:textId="77777777" w:rsidR="00CA08B9" w:rsidRPr="004B0F84" w:rsidRDefault="00CA08B9" w:rsidP="00CA08B9">
          <w:pPr>
            <w:pStyle w:val="Distribution"/>
            <w:spacing w:before="240"/>
            <w:rPr>
              <w:color w:val="000000"/>
              <w:lang w:val="en-US"/>
            </w:rPr>
          </w:pPr>
          <w:r w:rsidRPr="004B0F84">
            <w:rPr>
              <w:color w:val="000000"/>
              <w:lang w:val="en-US"/>
            </w:rPr>
            <w:t>Distr.: General</w:t>
          </w:r>
        </w:p>
        <w:p w14:paraId="48D1EA0E" w14:textId="77777777" w:rsidR="00CA08B9" w:rsidRPr="004B0F84" w:rsidRDefault="00CA08B9" w:rsidP="00CA08B9">
          <w:pPr>
            <w:pStyle w:val="Publication"/>
            <w:rPr>
              <w:color w:val="000000"/>
              <w:lang w:val="en-US"/>
            </w:rPr>
          </w:pPr>
          <w:r w:rsidRPr="004B0F84">
            <w:rPr>
              <w:color w:val="000000"/>
              <w:lang w:val="en-US"/>
            </w:rPr>
            <w:t>25 February 2026</w:t>
          </w:r>
        </w:p>
        <w:p w14:paraId="22D6506B" w14:textId="77777777" w:rsidR="00CA08B9" w:rsidRPr="004B0F84" w:rsidRDefault="00CA08B9" w:rsidP="00CA08B9">
          <w:pPr>
            <w:rPr>
              <w:color w:val="000000"/>
              <w:lang w:val="en-US"/>
            </w:rPr>
          </w:pPr>
          <w:r w:rsidRPr="004B0F84">
            <w:rPr>
              <w:color w:val="000000"/>
              <w:lang w:val="en-US"/>
            </w:rPr>
            <w:t>Russian</w:t>
          </w:r>
        </w:p>
        <w:p w14:paraId="7E3061E4" w14:textId="77777777" w:rsidR="00CA08B9" w:rsidRPr="004B0F84" w:rsidRDefault="00CA08B9" w:rsidP="00CA08B9">
          <w:pPr>
            <w:pStyle w:val="Original"/>
            <w:rPr>
              <w:color w:val="000000"/>
              <w:lang w:val="en-US"/>
            </w:rPr>
          </w:pPr>
          <w:r w:rsidRPr="004B0F84">
            <w:rPr>
              <w:color w:val="000000"/>
              <w:lang w:val="en-US"/>
            </w:rPr>
            <w:t>Original: English</w:t>
          </w:r>
        </w:p>
        <w:p w14:paraId="51B78A20" w14:textId="7F595AE0" w:rsidR="00CA08B9" w:rsidRPr="004B0F84" w:rsidRDefault="00CA08B9" w:rsidP="00CA08B9">
          <w:pPr>
            <w:rPr>
              <w:lang w:val="en-US"/>
            </w:rPr>
          </w:pPr>
        </w:p>
      </w:tc>
    </w:tr>
  </w:tbl>
  <w:p w14:paraId="7A5541E3" w14:textId="77777777" w:rsidR="00CA08B9" w:rsidRPr="00CA08B9" w:rsidRDefault="00CA08B9" w:rsidP="00CA08B9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B0F84" w14:paraId="2A34CBD6" w14:textId="77777777" w:rsidTr="00CA08B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vAlign w:val="bottom"/>
        </w:tcPr>
        <w:p w14:paraId="5F59C683" w14:textId="750C293F" w:rsidR="004B0F84" w:rsidRPr="00CA08B9" w:rsidRDefault="004B0F84" w:rsidP="00CA08B9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E3786">
            <w:rPr>
              <w:b/>
            </w:rPr>
            <w:t>CEDAW/C/ARG/CO/8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vAlign w:val="bottom"/>
        </w:tcPr>
        <w:p w14:paraId="12217FE9" w14:textId="77777777" w:rsidR="004B0F84" w:rsidRDefault="004B0F84" w:rsidP="00CA08B9">
          <w:pPr>
            <w:pStyle w:val="Header"/>
          </w:pPr>
        </w:p>
      </w:tc>
    </w:tr>
  </w:tbl>
  <w:p w14:paraId="467CA171" w14:textId="77777777" w:rsidR="004B0F84" w:rsidRPr="00CA08B9" w:rsidRDefault="004B0F84" w:rsidP="00CA08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AE031BC"/>
    <w:lvl w:ilvl="0">
      <w:start w:val="1"/>
      <w:numFmt w:val="decimal"/>
      <w:pStyle w:val="AgendaItemNumber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3B45FD8"/>
    <w:lvl w:ilvl="0">
      <w:start w:val="1"/>
      <w:numFmt w:val="decimal"/>
      <w:pStyle w:val="DecisionNumber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696AAFA"/>
    <w:lvl w:ilvl="0">
      <w:start w:val="1"/>
      <w:numFmt w:val="decimal"/>
      <w:pStyle w:val="XLarge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F90FBFC"/>
    <w:lvl w:ilvl="0">
      <w:start w:val="1"/>
      <w:numFmt w:val="decimal"/>
      <w:pStyle w:val="BalloonText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6660E90"/>
    <w:lvl w:ilvl="0">
      <w:start w:val="1"/>
      <w:numFmt w:val="decimal"/>
      <w:pStyle w:val="TitleH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0330AD0"/>
    <w:multiLevelType w:val="hybridMultilevel"/>
    <w:tmpl w:val="076AB328"/>
    <w:lvl w:ilvl="0" w:tplc="7E46B9FA">
      <w:start w:val="1"/>
      <w:numFmt w:val="bullet"/>
      <w:pStyle w:val="HeaderChar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7DF806B6"/>
    <w:lvl w:ilvl="0" w:tplc="9432CEA0">
      <w:start w:val="1"/>
      <w:numFmt w:val="decimal"/>
      <w:pStyle w:val="HdChapterBD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1376339"/>
    <w:multiLevelType w:val="hybridMultilevel"/>
    <w:tmpl w:val="BF64E6CC"/>
    <w:lvl w:ilvl="0" w:tplc="967CBD4C">
      <w:start w:val="1"/>
      <w:numFmt w:val="bullet"/>
      <w:pStyle w:val="Footer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2022005"/>
    <w:multiLevelType w:val="hybridMultilevel"/>
    <w:tmpl w:val="33C2FB06"/>
    <w:lvl w:ilvl="0" w:tplc="0338D746">
      <w:start w:val="1"/>
      <w:numFmt w:val="bullet"/>
      <w:pStyle w:val="Header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num w:numId="1" w16cid:durableId="1420907156">
    <w:abstractNumId w:val="6"/>
  </w:num>
  <w:num w:numId="2" w16cid:durableId="1926570458">
    <w:abstractNumId w:val="4"/>
  </w:num>
  <w:num w:numId="3" w16cid:durableId="331371891">
    <w:abstractNumId w:val="3"/>
  </w:num>
  <w:num w:numId="4" w16cid:durableId="1460761738">
    <w:abstractNumId w:val="2"/>
  </w:num>
  <w:num w:numId="5" w16cid:durableId="1528719216">
    <w:abstractNumId w:val="1"/>
  </w:num>
  <w:num w:numId="6" w16cid:durableId="745079833">
    <w:abstractNumId w:val="0"/>
  </w:num>
  <w:num w:numId="7" w16cid:durableId="584724803">
    <w:abstractNumId w:val="10"/>
  </w:num>
  <w:num w:numId="8" w16cid:durableId="164712109">
    <w:abstractNumId w:val="5"/>
  </w:num>
  <w:num w:numId="9" w16cid:durableId="250091437">
    <w:abstractNumId w:val="9"/>
  </w:num>
  <w:num w:numId="10" w16cid:durableId="524252012">
    <w:abstractNumId w:val="8"/>
  </w:num>
  <w:num w:numId="11" w16cid:durableId="1374187316">
    <w:abstractNumId w:val="7"/>
  </w:num>
  <w:num w:numId="12" w16cid:durableId="36052305">
    <w:abstractNumId w:val="10"/>
  </w:num>
  <w:num w:numId="13" w16cid:durableId="1679231921">
    <w:abstractNumId w:val="5"/>
  </w:num>
  <w:num w:numId="14" w16cid:durableId="1031536774">
    <w:abstractNumId w:val="9"/>
  </w:num>
  <w:num w:numId="15" w16cid:durableId="875393002">
    <w:abstractNumId w:val="7"/>
  </w:num>
  <w:num w:numId="16" w16cid:durableId="1483237288">
    <w:abstractNumId w:val="7"/>
  </w:num>
  <w:num w:numId="17" w16cid:durableId="912012482">
    <w:abstractNumId w:val="7"/>
  </w:num>
  <w:num w:numId="18" w16cid:durableId="1379892502">
    <w:abstractNumId w:val="7"/>
  </w:num>
  <w:num w:numId="19" w16cid:durableId="1788037444">
    <w:abstractNumId w:val="7"/>
  </w:num>
  <w:num w:numId="20" w16cid:durableId="984509384">
    <w:abstractNumId w:val="7"/>
  </w:num>
  <w:num w:numId="21" w16cid:durableId="723914449">
    <w:abstractNumId w:val="7"/>
  </w:num>
  <w:num w:numId="22" w16cid:durableId="563181366">
    <w:abstractNumId w:val="7"/>
  </w:num>
  <w:num w:numId="23" w16cid:durableId="1979722990">
    <w:abstractNumId w:val="7"/>
  </w:num>
  <w:num w:numId="24" w16cid:durableId="1877236076">
    <w:abstractNumId w:val="8"/>
  </w:num>
  <w:num w:numId="25" w16cid:durableId="1461075889">
    <w:abstractNumId w:val="7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hideGrammaticalErrors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602562*"/>
    <w:docVar w:name="CreationDt" w:val="23/03/2026 10:45 AM"/>
    <w:docVar w:name="DocCategory" w:val="Doc"/>
    <w:docVar w:name="DocType" w:val="Final"/>
    <w:docVar w:name="DutyStation" w:val="New York"/>
    <w:docVar w:name="FooterJN" w:val="26-02562"/>
    <w:docVar w:name="jobn" w:val="26-02562 (R)"/>
    <w:docVar w:name="jobnDT" w:val="26-02562 (R)   230326"/>
    <w:docVar w:name="jobnDTDT" w:val="26-02562 (R)   230326   230326"/>
    <w:docVar w:name="JobNo" w:val="2602562R"/>
    <w:docVar w:name="JobNo2" w:val="2603626R"/>
    <w:docVar w:name="LocalDrive" w:val="-1"/>
    <w:docVar w:name="OandT" w:val=" "/>
    <w:docVar w:name="sss1" w:val="CEDAW/C/ARG/CO/8"/>
    <w:docVar w:name="sss2" w:val="-"/>
    <w:docVar w:name="Symbol1" w:val="CEDAW/C/ARG/CO/8"/>
    <w:docVar w:name="Symbol2" w:val="-"/>
    <w:docVar w:name="Title1" w:val="_x0009__x0009_Заключительные замечания по восьмому периодическому докладу Аргентины*_x000d_"/>
  </w:docVars>
  <w:rsids>
    <w:rsidRoot w:val="00CE5B99"/>
    <w:rsid w:val="00001169"/>
    <w:rsid w:val="00001469"/>
    <w:rsid w:val="00001967"/>
    <w:rsid w:val="00002D2F"/>
    <w:rsid w:val="0000592F"/>
    <w:rsid w:val="00011BCD"/>
    <w:rsid w:val="00014D51"/>
    <w:rsid w:val="000171C7"/>
    <w:rsid w:val="00021293"/>
    <w:rsid w:val="00023D17"/>
    <w:rsid w:val="00033211"/>
    <w:rsid w:val="000361F5"/>
    <w:rsid w:val="00042E06"/>
    <w:rsid w:val="00044832"/>
    <w:rsid w:val="000549C2"/>
    <w:rsid w:val="000576F4"/>
    <w:rsid w:val="00061703"/>
    <w:rsid w:val="000743D4"/>
    <w:rsid w:val="000854C4"/>
    <w:rsid w:val="00097EB6"/>
    <w:rsid w:val="000A4B32"/>
    <w:rsid w:val="000A53D7"/>
    <w:rsid w:val="000B1D31"/>
    <w:rsid w:val="000B5C9A"/>
    <w:rsid w:val="000C2E85"/>
    <w:rsid w:val="000C675E"/>
    <w:rsid w:val="000D2F67"/>
    <w:rsid w:val="000D4B3A"/>
    <w:rsid w:val="000E44EF"/>
    <w:rsid w:val="000E568A"/>
    <w:rsid w:val="000E5C46"/>
    <w:rsid w:val="000F2305"/>
    <w:rsid w:val="00105618"/>
    <w:rsid w:val="0010630A"/>
    <w:rsid w:val="001101D6"/>
    <w:rsid w:val="00113CAD"/>
    <w:rsid w:val="00116C5B"/>
    <w:rsid w:val="00116D0B"/>
    <w:rsid w:val="00127B82"/>
    <w:rsid w:val="00131C3F"/>
    <w:rsid w:val="001325B0"/>
    <w:rsid w:val="00134173"/>
    <w:rsid w:val="00134D34"/>
    <w:rsid w:val="00151F81"/>
    <w:rsid w:val="00163607"/>
    <w:rsid w:val="0017003E"/>
    <w:rsid w:val="00171CDD"/>
    <w:rsid w:val="00173EEF"/>
    <w:rsid w:val="00177A39"/>
    <w:rsid w:val="0018116F"/>
    <w:rsid w:val="0019249A"/>
    <w:rsid w:val="001978D5"/>
    <w:rsid w:val="001A29D5"/>
    <w:rsid w:val="001A532D"/>
    <w:rsid w:val="001A655A"/>
    <w:rsid w:val="001C49A3"/>
    <w:rsid w:val="001D1D73"/>
    <w:rsid w:val="001D60E1"/>
    <w:rsid w:val="001E064A"/>
    <w:rsid w:val="001E5E3B"/>
    <w:rsid w:val="001E6191"/>
    <w:rsid w:val="001F39CB"/>
    <w:rsid w:val="001F75AC"/>
    <w:rsid w:val="001F76F4"/>
    <w:rsid w:val="00204C3D"/>
    <w:rsid w:val="002069A1"/>
    <w:rsid w:val="00212083"/>
    <w:rsid w:val="00216C3B"/>
    <w:rsid w:val="0021708A"/>
    <w:rsid w:val="0021711C"/>
    <w:rsid w:val="00217676"/>
    <w:rsid w:val="00222A87"/>
    <w:rsid w:val="00225040"/>
    <w:rsid w:val="00247400"/>
    <w:rsid w:val="00252FF2"/>
    <w:rsid w:val="00264FE2"/>
    <w:rsid w:val="0027492E"/>
    <w:rsid w:val="0028163B"/>
    <w:rsid w:val="00286A95"/>
    <w:rsid w:val="00297FF3"/>
    <w:rsid w:val="002A2209"/>
    <w:rsid w:val="002A2EA6"/>
    <w:rsid w:val="002A2F55"/>
    <w:rsid w:val="002A7695"/>
    <w:rsid w:val="002B723B"/>
    <w:rsid w:val="002E552A"/>
    <w:rsid w:val="002F01E5"/>
    <w:rsid w:val="002F73D7"/>
    <w:rsid w:val="00300D7C"/>
    <w:rsid w:val="0030220F"/>
    <w:rsid w:val="003033AE"/>
    <w:rsid w:val="00304DB4"/>
    <w:rsid w:val="00305475"/>
    <w:rsid w:val="0032070F"/>
    <w:rsid w:val="0033004E"/>
    <w:rsid w:val="00331D20"/>
    <w:rsid w:val="00336335"/>
    <w:rsid w:val="00341C74"/>
    <w:rsid w:val="003428DB"/>
    <w:rsid w:val="003579AA"/>
    <w:rsid w:val="00365FD7"/>
    <w:rsid w:val="00367042"/>
    <w:rsid w:val="0037797E"/>
    <w:rsid w:val="003801E5"/>
    <w:rsid w:val="003810AC"/>
    <w:rsid w:val="00381B4B"/>
    <w:rsid w:val="00383B3A"/>
    <w:rsid w:val="003A1E16"/>
    <w:rsid w:val="003B0EDF"/>
    <w:rsid w:val="003D0BCA"/>
    <w:rsid w:val="003D2674"/>
    <w:rsid w:val="003D4A88"/>
    <w:rsid w:val="003E5E54"/>
    <w:rsid w:val="003F10A6"/>
    <w:rsid w:val="003F27D9"/>
    <w:rsid w:val="003F75F8"/>
    <w:rsid w:val="004001D0"/>
    <w:rsid w:val="004021D4"/>
    <w:rsid w:val="004077BF"/>
    <w:rsid w:val="00410D4C"/>
    <w:rsid w:val="00420E23"/>
    <w:rsid w:val="00426632"/>
    <w:rsid w:val="00430149"/>
    <w:rsid w:val="00434985"/>
    <w:rsid w:val="00434F49"/>
    <w:rsid w:val="00437288"/>
    <w:rsid w:val="00441D19"/>
    <w:rsid w:val="00442972"/>
    <w:rsid w:val="00446915"/>
    <w:rsid w:val="00461049"/>
    <w:rsid w:val="00463B70"/>
    <w:rsid w:val="0047638E"/>
    <w:rsid w:val="00481A28"/>
    <w:rsid w:val="00485A85"/>
    <w:rsid w:val="00495E7B"/>
    <w:rsid w:val="00496478"/>
    <w:rsid w:val="0049669D"/>
    <w:rsid w:val="00497D33"/>
    <w:rsid w:val="004A37E4"/>
    <w:rsid w:val="004A54FC"/>
    <w:rsid w:val="004B0F84"/>
    <w:rsid w:val="004B1D9E"/>
    <w:rsid w:val="004C0E80"/>
    <w:rsid w:val="004D2831"/>
    <w:rsid w:val="004D520D"/>
    <w:rsid w:val="004E04FE"/>
    <w:rsid w:val="004E3A48"/>
    <w:rsid w:val="004F2413"/>
    <w:rsid w:val="004F2C87"/>
    <w:rsid w:val="004F5722"/>
    <w:rsid w:val="00506ECC"/>
    <w:rsid w:val="00512ABB"/>
    <w:rsid w:val="005219FD"/>
    <w:rsid w:val="00522A07"/>
    <w:rsid w:val="00523C90"/>
    <w:rsid w:val="005308A2"/>
    <w:rsid w:val="00535833"/>
    <w:rsid w:val="00535F42"/>
    <w:rsid w:val="005370C1"/>
    <w:rsid w:val="0054211F"/>
    <w:rsid w:val="005423FA"/>
    <w:rsid w:val="00542E35"/>
    <w:rsid w:val="005442AF"/>
    <w:rsid w:val="00553777"/>
    <w:rsid w:val="005610B1"/>
    <w:rsid w:val="005714B7"/>
    <w:rsid w:val="00577F45"/>
    <w:rsid w:val="00591A69"/>
    <w:rsid w:val="0059638A"/>
    <w:rsid w:val="005A02EE"/>
    <w:rsid w:val="005B4FAA"/>
    <w:rsid w:val="005C4FC7"/>
    <w:rsid w:val="005D14DD"/>
    <w:rsid w:val="005D4F00"/>
    <w:rsid w:val="005E0E9C"/>
    <w:rsid w:val="005F0DF3"/>
    <w:rsid w:val="005F1112"/>
    <w:rsid w:val="005F639B"/>
    <w:rsid w:val="00603C29"/>
    <w:rsid w:val="006073B5"/>
    <w:rsid w:val="006131F3"/>
    <w:rsid w:val="00614B36"/>
    <w:rsid w:val="00616DD5"/>
    <w:rsid w:val="0063211C"/>
    <w:rsid w:val="00635E26"/>
    <w:rsid w:val="00641649"/>
    <w:rsid w:val="006462D6"/>
    <w:rsid w:val="00646664"/>
    <w:rsid w:val="006535F5"/>
    <w:rsid w:val="00657F22"/>
    <w:rsid w:val="00665CC7"/>
    <w:rsid w:val="00670606"/>
    <w:rsid w:val="0069077F"/>
    <w:rsid w:val="00695398"/>
    <w:rsid w:val="006A36A4"/>
    <w:rsid w:val="006A6898"/>
    <w:rsid w:val="006B4334"/>
    <w:rsid w:val="006C3EF2"/>
    <w:rsid w:val="006C729C"/>
    <w:rsid w:val="006C7738"/>
    <w:rsid w:val="006D170F"/>
    <w:rsid w:val="006E3786"/>
    <w:rsid w:val="006E7A91"/>
    <w:rsid w:val="006F654D"/>
    <w:rsid w:val="0070151B"/>
    <w:rsid w:val="00713743"/>
    <w:rsid w:val="00716F19"/>
    <w:rsid w:val="007172E7"/>
    <w:rsid w:val="00726D5F"/>
    <w:rsid w:val="00727155"/>
    <w:rsid w:val="0074487B"/>
    <w:rsid w:val="00753BD0"/>
    <w:rsid w:val="00754B52"/>
    <w:rsid w:val="00755E18"/>
    <w:rsid w:val="007628B9"/>
    <w:rsid w:val="007633C9"/>
    <w:rsid w:val="00773B4F"/>
    <w:rsid w:val="00777D58"/>
    <w:rsid w:val="007824E3"/>
    <w:rsid w:val="00782B27"/>
    <w:rsid w:val="007874D2"/>
    <w:rsid w:val="0079679F"/>
    <w:rsid w:val="007A06DF"/>
    <w:rsid w:val="007A60A5"/>
    <w:rsid w:val="007B4CD6"/>
    <w:rsid w:val="007B71C4"/>
    <w:rsid w:val="007C6427"/>
    <w:rsid w:val="007C7E00"/>
    <w:rsid w:val="007D23A0"/>
    <w:rsid w:val="007D32EA"/>
    <w:rsid w:val="007E230A"/>
    <w:rsid w:val="007E365A"/>
    <w:rsid w:val="007E5A5A"/>
    <w:rsid w:val="00805C12"/>
    <w:rsid w:val="008060AC"/>
    <w:rsid w:val="008138CB"/>
    <w:rsid w:val="00815277"/>
    <w:rsid w:val="0082117D"/>
    <w:rsid w:val="00841AC5"/>
    <w:rsid w:val="00850E1B"/>
    <w:rsid w:val="008528F9"/>
    <w:rsid w:val="00863195"/>
    <w:rsid w:val="00871053"/>
    <w:rsid w:val="00871428"/>
    <w:rsid w:val="008754AE"/>
    <w:rsid w:val="00877270"/>
    <w:rsid w:val="0088056D"/>
    <w:rsid w:val="00885773"/>
    <w:rsid w:val="00891708"/>
    <w:rsid w:val="008A2590"/>
    <w:rsid w:val="008B2DD4"/>
    <w:rsid w:val="008C0E26"/>
    <w:rsid w:val="008C2D9D"/>
    <w:rsid w:val="008D2556"/>
    <w:rsid w:val="008D347F"/>
    <w:rsid w:val="008D396F"/>
    <w:rsid w:val="008E4BA0"/>
    <w:rsid w:val="008E52FF"/>
    <w:rsid w:val="008E5510"/>
    <w:rsid w:val="008F0A22"/>
    <w:rsid w:val="008F11CA"/>
    <w:rsid w:val="008F19FF"/>
    <w:rsid w:val="00900B55"/>
    <w:rsid w:val="009105F7"/>
    <w:rsid w:val="009210F2"/>
    <w:rsid w:val="009211D2"/>
    <w:rsid w:val="00933518"/>
    <w:rsid w:val="0094767D"/>
    <w:rsid w:val="009505A0"/>
    <w:rsid w:val="00955372"/>
    <w:rsid w:val="00957D42"/>
    <w:rsid w:val="00957ECA"/>
    <w:rsid w:val="00960F38"/>
    <w:rsid w:val="00961CDE"/>
    <w:rsid w:val="0096756B"/>
    <w:rsid w:val="00974AB0"/>
    <w:rsid w:val="00980451"/>
    <w:rsid w:val="0098626E"/>
    <w:rsid w:val="00991F7A"/>
    <w:rsid w:val="00994D5C"/>
    <w:rsid w:val="009A2A01"/>
    <w:rsid w:val="009A2AA9"/>
    <w:rsid w:val="009A66D1"/>
    <w:rsid w:val="009B00E9"/>
    <w:rsid w:val="009B7790"/>
    <w:rsid w:val="009C17C5"/>
    <w:rsid w:val="009D1522"/>
    <w:rsid w:val="009D31D2"/>
    <w:rsid w:val="009D4A67"/>
    <w:rsid w:val="009D56BA"/>
    <w:rsid w:val="009E0E89"/>
    <w:rsid w:val="009E5862"/>
    <w:rsid w:val="009E6899"/>
    <w:rsid w:val="009F2546"/>
    <w:rsid w:val="00A01272"/>
    <w:rsid w:val="00A02DE7"/>
    <w:rsid w:val="00A058EC"/>
    <w:rsid w:val="00A10089"/>
    <w:rsid w:val="00A13863"/>
    <w:rsid w:val="00A14EDF"/>
    <w:rsid w:val="00A22B69"/>
    <w:rsid w:val="00A375AA"/>
    <w:rsid w:val="00A4316F"/>
    <w:rsid w:val="00A53789"/>
    <w:rsid w:val="00A65E34"/>
    <w:rsid w:val="00A66D06"/>
    <w:rsid w:val="00A67B4B"/>
    <w:rsid w:val="00A72797"/>
    <w:rsid w:val="00A75981"/>
    <w:rsid w:val="00A8264C"/>
    <w:rsid w:val="00AA29EE"/>
    <w:rsid w:val="00AA636F"/>
    <w:rsid w:val="00AB5989"/>
    <w:rsid w:val="00AC3A5F"/>
    <w:rsid w:val="00AC6ECC"/>
    <w:rsid w:val="00AF46A4"/>
    <w:rsid w:val="00B04F03"/>
    <w:rsid w:val="00B125A0"/>
    <w:rsid w:val="00B272FA"/>
    <w:rsid w:val="00B27698"/>
    <w:rsid w:val="00B3458F"/>
    <w:rsid w:val="00B43769"/>
    <w:rsid w:val="00B450F5"/>
    <w:rsid w:val="00B46CA4"/>
    <w:rsid w:val="00B5015D"/>
    <w:rsid w:val="00B503A0"/>
    <w:rsid w:val="00B5279C"/>
    <w:rsid w:val="00B62165"/>
    <w:rsid w:val="00B6364A"/>
    <w:rsid w:val="00B65142"/>
    <w:rsid w:val="00B65783"/>
    <w:rsid w:val="00B7299C"/>
    <w:rsid w:val="00B73A9A"/>
    <w:rsid w:val="00B84BD5"/>
    <w:rsid w:val="00B8552B"/>
    <w:rsid w:val="00B85E78"/>
    <w:rsid w:val="00B901FD"/>
    <w:rsid w:val="00B90E13"/>
    <w:rsid w:val="00BA3A4F"/>
    <w:rsid w:val="00BB6809"/>
    <w:rsid w:val="00BB7E75"/>
    <w:rsid w:val="00BC2C8A"/>
    <w:rsid w:val="00BD304D"/>
    <w:rsid w:val="00BE2198"/>
    <w:rsid w:val="00BE7B85"/>
    <w:rsid w:val="00BF10FE"/>
    <w:rsid w:val="00C16A02"/>
    <w:rsid w:val="00C16C07"/>
    <w:rsid w:val="00C16D72"/>
    <w:rsid w:val="00C174A0"/>
    <w:rsid w:val="00C17AA1"/>
    <w:rsid w:val="00C17D4C"/>
    <w:rsid w:val="00C2337D"/>
    <w:rsid w:val="00C23B7A"/>
    <w:rsid w:val="00C30069"/>
    <w:rsid w:val="00C302BB"/>
    <w:rsid w:val="00C358FE"/>
    <w:rsid w:val="00C57D8B"/>
    <w:rsid w:val="00C60123"/>
    <w:rsid w:val="00C6119A"/>
    <w:rsid w:val="00C6428E"/>
    <w:rsid w:val="00C819B5"/>
    <w:rsid w:val="00C85BAD"/>
    <w:rsid w:val="00C8694A"/>
    <w:rsid w:val="00C879CB"/>
    <w:rsid w:val="00C90D52"/>
    <w:rsid w:val="00CA08B9"/>
    <w:rsid w:val="00CA2E1D"/>
    <w:rsid w:val="00CC2D86"/>
    <w:rsid w:val="00CC5094"/>
    <w:rsid w:val="00CC66B5"/>
    <w:rsid w:val="00CD333C"/>
    <w:rsid w:val="00CE35F9"/>
    <w:rsid w:val="00CE5B99"/>
    <w:rsid w:val="00CE5C49"/>
    <w:rsid w:val="00CE6D93"/>
    <w:rsid w:val="00CF1305"/>
    <w:rsid w:val="00CF14B2"/>
    <w:rsid w:val="00D009F9"/>
    <w:rsid w:val="00D04073"/>
    <w:rsid w:val="00D213AC"/>
    <w:rsid w:val="00D23FFB"/>
    <w:rsid w:val="00D409D0"/>
    <w:rsid w:val="00D5397A"/>
    <w:rsid w:val="00D64192"/>
    <w:rsid w:val="00D708CE"/>
    <w:rsid w:val="00D828FC"/>
    <w:rsid w:val="00D830A8"/>
    <w:rsid w:val="00D85A34"/>
    <w:rsid w:val="00D94750"/>
    <w:rsid w:val="00DA2E86"/>
    <w:rsid w:val="00DA4FC6"/>
    <w:rsid w:val="00DA6FF4"/>
    <w:rsid w:val="00DA7BBD"/>
    <w:rsid w:val="00DB0712"/>
    <w:rsid w:val="00DB0C23"/>
    <w:rsid w:val="00DB5B39"/>
    <w:rsid w:val="00DB652C"/>
    <w:rsid w:val="00DC3C6B"/>
    <w:rsid w:val="00DC3D52"/>
    <w:rsid w:val="00DC5133"/>
    <w:rsid w:val="00DD63F4"/>
    <w:rsid w:val="00DD6CA4"/>
    <w:rsid w:val="00DE0F43"/>
    <w:rsid w:val="00DE1868"/>
    <w:rsid w:val="00DE254A"/>
    <w:rsid w:val="00DE4152"/>
    <w:rsid w:val="00DF6D7D"/>
    <w:rsid w:val="00DF733B"/>
    <w:rsid w:val="00E16110"/>
    <w:rsid w:val="00E21028"/>
    <w:rsid w:val="00E262BA"/>
    <w:rsid w:val="00E360B0"/>
    <w:rsid w:val="00E36170"/>
    <w:rsid w:val="00E430B7"/>
    <w:rsid w:val="00E52254"/>
    <w:rsid w:val="00E548DF"/>
    <w:rsid w:val="00E735BC"/>
    <w:rsid w:val="00E73ABC"/>
    <w:rsid w:val="00E76CC4"/>
    <w:rsid w:val="00E8036E"/>
    <w:rsid w:val="00E951A0"/>
    <w:rsid w:val="00E9791D"/>
    <w:rsid w:val="00EA1709"/>
    <w:rsid w:val="00EA2844"/>
    <w:rsid w:val="00EA3345"/>
    <w:rsid w:val="00EB1FBD"/>
    <w:rsid w:val="00EB69F6"/>
    <w:rsid w:val="00EC50EA"/>
    <w:rsid w:val="00ED655E"/>
    <w:rsid w:val="00ED6C7A"/>
    <w:rsid w:val="00EE314B"/>
    <w:rsid w:val="00EE46DD"/>
    <w:rsid w:val="00EE5638"/>
    <w:rsid w:val="00F05AC4"/>
    <w:rsid w:val="00F07E70"/>
    <w:rsid w:val="00F07F5E"/>
    <w:rsid w:val="00F13044"/>
    <w:rsid w:val="00F171A3"/>
    <w:rsid w:val="00F17B08"/>
    <w:rsid w:val="00F272BB"/>
    <w:rsid w:val="00F40350"/>
    <w:rsid w:val="00F4041B"/>
    <w:rsid w:val="00F433F0"/>
    <w:rsid w:val="00F46EB6"/>
    <w:rsid w:val="00F477A9"/>
    <w:rsid w:val="00F5308F"/>
    <w:rsid w:val="00F6307A"/>
    <w:rsid w:val="00F65F4F"/>
    <w:rsid w:val="00F66784"/>
    <w:rsid w:val="00F743AD"/>
    <w:rsid w:val="00F80067"/>
    <w:rsid w:val="00F81DB3"/>
    <w:rsid w:val="00F854EE"/>
    <w:rsid w:val="00F94048"/>
    <w:rsid w:val="00F95E56"/>
    <w:rsid w:val="00FA23FC"/>
    <w:rsid w:val="00FA65ED"/>
    <w:rsid w:val="00FB5027"/>
    <w:rsid w:val="00FB66C6"/>
    <w:rsid w:val="00FC0E3E"/>
    <w:rsid w:val="00FC19FD"/>
    <w:rsid w:val="00FC50AA"/>
    <w:rsid w:val="00FC5887"/>
    <w:rsid w:val="00FC7917"/>
    <w:rsid w:val="00FC7B5F"/>
    <w:rsid w:val="00FD1B9D"/>
    <w:rsid w:val="00FD3D39"/>
    <w:rsid w:val="00FD40FD"/>
    <w:rsid w:val="00FD4EAD"/>
    <w:rsid w:val="00FD7603"/>
    <w:rsid w:val="00FE1AC0"/>
    <w:rsid w:val="00FE70BD"/>
    <w:rsid w:val="00FF131F"/>
    <w:rsid w:val="00FF310C"/>
    <w:rsid w:val="00FF55EC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CD91B1"/>
  <w15:chartTrackingRefBased/>
  <w15:docId w15:val="{00392027-74BE-4A7F-847D-D79F906B9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123"/>
    <w:pPr>
      <w:suppressAutoHyphens/>
      <w:spacing w:after="0" w:line="240" w:lineRule="exact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0123"/>
    <w:pPr>
      <w:keepNext/>
      <w:numPr>
        <w:numId w:val="25"/>
      </w:numPr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C60123"/>
    <w:pPr>
      <w:keepNext/>
      <w:numPr>
        <w:ilvl w:val="1"/>
        <w:numId w:val="25"/>
      </w:numPr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C60123"/>
    <w:pPr>
      <w:keepNext/>
      <w:numPr>
        <w:ilvl w:val="2"/>
        <w:numId w:val="25"/>
      </w:numPr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60123"/>
    <w:pPr>
      <w:numPr>
        <w:ilvl w:val="3"/>
        <w:numId w:val="25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60123"/>
    <w:pPr>
      <w:numPr>
        <w:ilvl w:val="4"/>
        <w:numId w:val="25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60123"/>
    <w:pPr>
      <w:numPr>
        <w:ilvl w:val="5"/>
        <w:numId w:val="25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123"/>
    <w:pPr>
      <w:numPr>
        <w:ilvl w:val="6"/>
        <w:numId w:val="25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123"/>
    <w:pPr>
      <w:numPr>
        <w:ilvl w:val="7"/>
        <w:numId w:val="25"/>
      </w:num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123"/>
    <w:pPr>
      <w:numPr>
        <w:ilvl w:val="8"/>
        <w:numId w:val="25"/>
      </w:num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link w:val="HeaderChar"/>
    <w:uiPriority w:val="99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noProof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60123"/>
    <w:rPr>
      <w:rFonts w:ascii="Times New Roman" w:eastAsiaTheme="minorHAnsi" w:hAnsi="Times New Roman" w:cs="Times New Roman"/>
      <w:noProof/>
      <w:sz w:val="17"/>
      <w:lang w:eastAsia="en-US"/>
    </w:rPr>
  </w:style>
  <w:style w:type="paragraph" w:styleId="Footer">
    <w:name w:val="footer"/>
    <w:link w:val="FooterChar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b/>
      <w:noProof/>
      <w:sz w:val="17"/>
      <w:lang w:eastAsia="en-US"/>
    </w:rPr>
  </w:style>
  <w:style w:type="character" w:customStyle="1" w:styleId="FooterChar">
    <w:name w:val="Footer Char"/>
    <w:basedOn w:val="DefaultParagraphFont"/>
    <w:link w:val="Footer"/>
    <w:rsid w:val="00C60123"/>
    <w:rPr>
      <w:rFonts w:ascii="Times New Roman" w:eastAsiaTheme="minorHAnsi" w:hAnsi="Times New Roman" w:cs="Times New Roman"/>
      <w:b/>
      <w:noProof/>
      <w:sz w:val="17"/>
      <w:lang w:eastAsia="en-US"/>
    </w:rPr>
  </w:style>
  <w:style w:type="paragraph" w:customStyle="1" w:styleId="HM">
    <w:name w:val="_ H __M"/>
    <w:basedOn w:val="HCh"/>
    <w:next w:val="Normal"/>
    <w:qFormat/>
    <w:rsid w:val="00C60123"/>
    <w:pPr>
      <w:spacing w:line="360" w:lineRule="exact"/>
    </w:pPr>
    <w:rPr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DC513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Normal"/>
    <w:qFormat/>
    <w:rsid w:val="00815277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DC5133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DC513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  <w:kern w:val="14"/>
    </w:rPr>
  </w:style>
  <w:style w:type="paragraph" w:customStyle="1" w:styleId="H56">
    <w:name w:val="_ H_5/6"/>
    <w:basedOn w:val="Normal"/>
    <w:next w:val="Normal"/>
    <w:qFormat/>
    <w:rsid w:val="00DC513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C6012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C60123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C6012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C60123"/>
  </w:style>
  <w:style w:type="paragraph" w:customStyle="1" w:styleId="SingleTxt">
    <w:name w:val="__Single Txt"/>
    <w:basedOn w:val="Normal"/>
    <w:link w:val="SingleTxtChar"/>
    <w:qFormat/>
    <w:rsid w:val="005219F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uppressAutoHyphens w:val="0"/>
      <w:spacing w:after="120" w:line="240" w:lineRule="atLeast"/>
      <w:ind w:left="1267" w:right="1267"/>
      <w:jc w:val="both"/>
    </w:pPr>
    <w:rPr>
      <w:rFonts w:cstheme="minorBidi"/>
      <w:kern w:val="14"/>
      <w:szCs w:val="20"/>
    </w:rPr>
  </w:style>
  <w:style w:type="paragraph" w:customStyle="1" w:styleId="AgendaItemNormal">
    <w:name w:val="Agenda_Item_Normal"/>
    <w:next w:val="Normal"/>
    <w:qFormat/>
    <w:rsid w:val="00C60123"/>
    <w:pPr>
      <w:spacing w:after="0" w:line="240" w:lineRule="exact"/>
    </w:pPr>
    <w:rPr>
      <w:rFonts w:ascii="Times New Roman" w:eastAsiaTheme="minorHAnsi" w:hAnsi="Times New Roman" w:cs="Times New Roman"/>
      <w:snapToGrid w:val="0"/>
      <w:spacing w:val="4"/>
      <w:w w:val="103"/>
      <w:kern w:val="14"/>
      <w:sz w:val="20"/>
      <w:lang w:val="es-ES" w:eastAsia="en-US"/>
    </w:rPr>
  </w:style>
  <w:style w:type="paragraph" w:customStyle="1" w:styleId="TitleH1">
    <w:name w:val="Title_H1"/>
    <w:basedOn w:val="H1"/>
    <w:next w:val="SingleTxt"/>
    <w:qFormat/>
    <w:rsid w:val="00C60123"/>
    <w:pPr>
      <w:keepNext w:val="0"/>
      <w:keepLines w:val="0"/>
    </w:pPr>
    <w:rPr>
      <w:snapToGrid w:val="0"/>
    </w:rPr>
  </w:style>
  <w:style w:type="paragraph" w:customStyle="1" w:styleId="AgendaTitleH2">
    <w:name w:val="Agenda_Title_H2"/>
    <w:basedOn w:val="TitleH1"/>
    <w:next w:val="Normal"/>
    <w:qFormat/>
    <w:rsid w:val="000C675E"/>
    <w:pPr>
      <w:keepNext/>
      <w:keepLines/>
      <w:spacing w:line="240" w:lineRule="exact"/>
      <w:ind w:left="0" w:right="4262" w:firstLine="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C60123"/>
    <w:pPr>
      <w:numPr>
        <w:numId w:val="12"/>
      </w:numPr>
      <w:spacing w:after="120"/>
      <w:ind w:right="1264"/>
      <w:jc w:val="both"/>
    </w:pPr>
  </w:style>
  <w:style w:type="paragraph" w:customStyle="1" w:styleId="Bullet2">
    <w:name w:val="Bullet 2"/>
    <w:basedOn w:val="Normal"/>
    <w:qFormat/>
    <w:rsid w:val="00C60123"/>
    <w:pPr>
      <w:numPr>
        <w:numId w:val="13"/>
      </w:numPr>
      <w:spacing w:after="120"/>
      <w:ind w:right="1264"/>
      <w:jc w:val="both"/>
    </w:pPr>
  </w:style>
  <w:style w:type="paragraph" w:customStyle="1" w:styleId="Bullet3">
    <w:name w:val="Bullet 3"/>
    <w:basedOn w:val="SingleTxt"/>
    <w:qFormat/>
    <w:rsid w:val="00C60123"/>
    <w:pPr>
      <w:numPr>
        <w:numId w:val="1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</w:pPr>
  </w:style>
  <w:style w:type="paragraph" w:customStyle="1" w:styleId="Distribution">
    <w:name w:val="Distribu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character" w:styleId="EndnoteReference">
    <w:name w:val="endnote reference"/>
    <w:semiHidden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EndnoteText">
    <w:name w:val="endnote text"/>
    <w:basedOn w:val="FootnoteText"/>
    <w:link w:val="EndnoteTextChar"/>
    <w:semiHidden/>
    <w:rsid w:val="00C60123"/>
    <w:pPr>
      <w:spacing w:after="80"/>
    </w:pPr>
  </w:style>
  <w:style w:type="character" w:customStyle="1" w:styleId="EndnoteTextChar">
    <w:name w:val="Endnote Text Char"/>
    <w:basedOn w:val="DefaultParagraphFont"/>
    <w:link w:val="EndnoteText"/>
    <w:semiHidden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styleId="FootnoteReference">
    <w:name w:val="footnote reference"/>
    <w:semiHidden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FootnoteText">
    <w:name w:val="footnote text"/>
    <w:basedOn w:val="Normal"/>
    <w:link w:val="FootnoteTextChar"/>
    <w:rsid w:val="00C60123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character" w:customStyle="1" w:styleId="FootnoteTextChar">
    <w:name w:val="Footnote Text Char"/>
    <w:basedOn w:val="DefaultParagraphFont"/>
    <w:link w:val="FootnoteText"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customStyle="1" w:styleId="Heading1Char">
    <w:name w:val="Heading 1 Char"/>
    <w:link w:val="Heading1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  <w:lang w:val="es-ES" w:eastAsia="en-US"/>
    </w:rPr>
  </w:style>
  <w:style w:type="character" w:customStyle="1" w:styleId="Heading2Char">
    <w:name w:val="Heading 2 Char"/>
    <w:link w:val="Heading2"/>
    <w:uiPriority w:val="9"/>
    <w:rsid w:val="00C60123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  <w:lang w:val="es-ES" w:eastAsia="en-US"/>
    </w:rPr>
  </w:style>
  <w:style w:type="character" w:customStyle="1" w:styleId="Heading3Char">
    <w:name w:val="Heading 3 Char"/>
    <w:link w:val="Heading3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14"/>
      <w:sz w:val="26"/>
      <w:lang w:val="es-ES" w:eastAsia="en-US"/>
    </w:rPr>
  </w:style>
  <w:style w:type="paragraph" w:styleId="ListContinue">
    <w:name w:val="List Continue"/>
    <w:basedOn w:val="Normal"/>
    <w:uiPriority w:val="99"/>
    <w:semiHidden/>
    <w:rsid w:val="009D56B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D56BA"/>
    <w:pPr>
      <w:numPr>
        <w:numId w:val="1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D56BA"/>
    <w:pPr>
      <w:numPr>
        <w:numId w:val="2"/>
      </w:numPr>
      <w:contextualSpacing/>
    </w:pPr>
  </w:style>
  <w:style w:type="paragraph" w:styleId="ListNumber2">
    <w:name w:val="List Number 2"/>
    <w:basedOn w:val="H23"/>
    <w:next w:val="Normal"/>
    <w:uiPriority w:val="99"/>
    <w:rsid w:val="009D56BA"/>
    <w:pPr>
      <w:numPr>
        <w:numId w:val="3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D56BA"/>
    <w:pPr>
      <w:numPr>
        <w:numId w:val="4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D56BA"/>
    <w:pPr>
      <w:keepNext/>
      <w:keepLines/>
      <w:numPr>
        <w:numId w:val="5"/>
      </w:numPr>
      <w:tabs>
        <w:tab w:val="left" w:pos="1210"/>
      </w:tabs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D56BA"/>
    <w:pPr>
      <w:numPr>
        <w:numId w:val="6"/>
      </w:numPr>
      <w:tabs>
        <w:tab w:val="left" w:pos="1498"/>
      </w:tabs>
      <w:contextualSpacing/>
    </w:pPr>
  </w:style>
  <w:style w:type="paragraph" w:styleId="NoSpacing">
    <w:name w:val="No Spacing"/>
    <w:basedOn w:val="Normal"/>
    <w:uiPriority w:val="1"/>
    <w:rsid w:val="00C60123"/>
    <w:pPr>
      <w:spacing w:line="240" w:lineRule="auto"/>
    </w:pPr>
  </w:style>
  <w:style w:type="paragraph" w:customStyle="1" w:styleId="Original">
    <w:name w:val="Original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Publication">
    <w:name w:val="Publica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ReleaseDate">
    <w:name w:val="ReleaseDate"/>
    <w:next w:val="Footer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Small">
    <w:name w:val="Small"/>
    <w:basedOn w:val="Normal"/>
    <w:next w:val="Normal"/>
    <w:qFormat/>
    <w:rsid w:val="00C60123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C6012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C60123"/>
  </w:style>
  <w:style w:type="paragraph" w:customStyle="1" w:styleId="TitleH2">
    <w:name w:val="Title_H2"/>
    <w:basedOn w:val="H23"/>
    <w:qFormat/>
    <w:rsid w:val="00C60123"/>
  </w:style>
  <w:style w:type="paragraph" w:customStyle="1" w:styleId="XLarge">
    <w:name w:val="XLarge"/>
    <w:basedOn w:val="HM"/>
    <w:qFormat/>
    <w:rsid w:val="00C6012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semiHidden/>
    <w:rsid w:val="00C601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60123"/>
    <w:rPr>
      <w:rFonts w:ascii="Tahoma" w:eastAsiaTheme="minorHAnsi" w:hAnsi="Tahoma" w:cs="Tahoma"/>
      <w:spacing w:val="4"/>
      <w:w w:val="103"/>
      <w:sz w:val="16"/>
      <w:szCs w:val="16"/>
      <w:lang w:val="es-ES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A1709"/>
    <w:rPr>
      <w:color w:val="0000FF"/>
      <w:u w:val="none"/>
    </w:rPr>
  </w:style>
  <w:style w:type="character" w:styleId="Hyperlink">
    <w:name w:val="Hyperlink"/>
    <w:basedOn w:val="DefaultParagraphFont"/>
    <w:rsid w:val="00871053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z w:val="20"/>
    </w:rPr>
  </w:style>
  <w:style w:type="paragraph" w:customStyle="1" w:styleId="STitleL">
    <w:name w:val="S_Title_L"/>
    <w:basedOn w:val="SM"/>
    <w:next w:val="Normal"/>
    <w:qFormat/>
    <w:rsid w:val="00EA1709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EA1709"/>
    <w:pPr>
      <w:keepNext/>
      <w:keepLines/>
      <w:tabs>
        <w:tab w:val="right" w:leader="dot" w:pos="357"/>
      </w:tabs>
      <w:spacing w:line="390" w:lineRule="exact"/>
      <w:ind w:left="1264" w:right="1264"/>
      <w:outlineLvl w:val="0"/>
    </w:pPr>
    <w:rPr>
      <w:b/>
      <w:spacing w:val="-4"/>
      <w:w w:val="98"/>
      <w:sz w:val="40"/>
    </w:rPr>
  </w:style>
  <w:style w:type="paragraph" w:customStyle="1" w:styleId="STitleS">
    <w:name w:val="S_Title_S"/>
    <w:basedOn w:val="SM"/>
    <w:next w:val="Normal"/>
    <w:qFormat/>
    <w:rsid w:val="00EA1709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rsid w:val="00871053"/>
  </w:style>
  <w:style w:type="paragraph" w:customStyle="1" w:styleId="Sponsors">
    <w:name w:val="Sponsors"/>
    <w:basedOn w:val="H1"/>
    <w:next w:val="Normal"/>
    <w:qFormat/>
    <w:rsid w:val="00B3458F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EA170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SRMeetingInfo">
    <w:name w:val="SR_Meeting_Info"/>
    <w:next w:val="Normal"/>
    <w:qFormat/>
    <w:rsid w:val="00EA170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EA1709"/>
  </w:style>
  <w:style w:type="character" w:styleId="UnresolvedMention">
    <w:name w:val="Unresolved Mention"/>
    <w:basedOn w:val="DefaultParagraphFont"/>
    <w:uiPriority w:val="99"/>
    <w:semiHidden/>
    <w:unhideWhenUsed/>
    <w:rsid w:val="00EA1709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C6012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character" w:customStyle="1" w:styleId="SingleTxtChar">
    <w:name w:val="__Single Txt Char"/>
    <w:link w:val="SingleTxt"/>
    <w:locked/>
    <w:rsid w:val="005219FD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C60123"/>
    <w:pPr>
      <w:spacing w:line="240" w:lineRule="auto"/>
    </w:pPr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C60123"/>
    <w:rPr>
      <w:sz w:val="6"/>
    </w:rPr>
  </w:style>
  <w:style w:type="paragraph" w:customStyle="1" w:styleId="HdBanner">
    <w:name w:val="Hd Banner"/>
    <w:basedOn w:val="Normal"/>
    <w:next w:val="Normal"/>
    <w:qFormat/>
    <w:rsid w:val="00C60123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C60123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C60123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C60123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C60123"/>
    <w:rPr>
      <w:rFonts w:ascii="Cambria" w:eastAsia="Times New Roman" w:hAnsi="Cambria" w:cs="Times New Roman"/>
      <w:b/>
      <w:bCs/>
      <w:i/>
      <w:iCs/>
      <w:spacing w:val="4"/>
      <w:w w:val="103"/>
      <w:sz w:val="20"/>
      <w:lang w:val="es-ES" w:eastAsia="en-US"/>
    </w:rPr>
  </w:style>
  <w:style w:type="character" w:customStyle="1" w:styleId="Heading5Char">
    <w:name w:val="Heading 5 Char"/>
    <w:link w:val="Heading5"/>
    <w:uiPriority w:val="9"/>
    <w:rsid w:val="00C60123"/>
    <w:rPr>
      <w:rFonts w:ascii="Cambria" w:eastAsia="Times New Roman" w:hAnsi="Cambria" w:cs="Times New Roman"/>
      <w:b/>
      <w:bCs/>
      <w:color w:val="7F7F7F"/>
      <w:spacing w:val="4"/>
      <w:w w:val="103"/>
      <w:sz w:val="20"/>
      <w:lang w:val="es-ES" w:eastAsia="en-US"/>
    </w:rPr>
  </w:style>
  <w:style w:type="character" w:customStyle="1" w:styleId="Heading6Char">
    <w:name w:val="Heading 6 Char"/>
    <w:link w:val="Heading6"/>
    <w:uiPriority w:val="9"/>
    <w:rsid w:val="00C60123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lang w:val="es-ES" w:eastAsia="en-US"/>
    </w:rPr>
  </w:style>
  <w:style w:type="character" w:customStyle="1" w:styleId="Heading7Char">
    <w:name w:val="Heading 7 Char"/>
    <w:link w:val="Heading7"/>
    <w:uiPriority w:val="9"/>
    <w:semiHidden/>
    <w:rsid w:val="00C60123"/>
    <w:rPr>
      <w:rFonts w:ascii="Cambria" w:eastAsia="Times New Roman" w:hAnsi="Cambria" w:cs="Times New Roman"/>
      <w:i/>
      <w:iCs/>
      <w:spacing w:val="4"/>
      <w:w w:val="103"/>
      <w:sz w:val="20"/>
      <w:lang w:val="es-ES" w:eastAsia="en-US"/>
    </w:rPr>
  </w:style>
  <w:style w:type="character" w:customStyle="1" w:styleId="Heading8Char">
    <w:name w:val="Heading 8 Char"/>
    <w:link w:val="Heading8"/>
    <w:uiPriority w:val="9"/>
    <w:semiHidden/>
    <w:rsid w:val="00C60123"/>
    <w:rPr>
      <w:rFonts w:ascii="Cambria" w:eastAsia="Times New Roman" w:hAnsi="Cambria" w:cs="Times New Roman"/>
      <w:spacing w:val="4"/>
      <w:w w:val="103"/>
      <w:sz w:val="20"/>
      <w:szCs w:val="20"/>
      <w:lang w:val="es-ES" w:eastAsia="en-US"/>
    </w:rPr>
  </w:style>
  <w:style w:type="character" w:customStyle="1" w:styleId="Heading9Char">
    <w:name w:val="Heading 9 Char"/>
    <w:link w:val="Heading9"/>
    <w:uiPriority w:val="9"/>
    <w:semiHidden/>
    <w:rsid w:val="00C60123"/>
    <w:rPr>
      <w:rFonts w:ascii="Cambria" w:eastAsia="Times New Roman" w:hAnsi="Cambria" w:cs="Times New Roman"/>
      <w:i/>
      <w:iCs/>
      <w:spacing w:val="5"/>
      <w:w w:val="103"/>
      <w:sz w:val="20"/>
      <w:szCs w:val="20"/>
      <w:lang w:val="es-ES" w:eastAsia="en-US"/>
    </w:rPr>
  </w:style>
  <w:style w:type="paragraph" w:customStyle="1" w:styleId="JournalHeading1">
    <w:name w:val="Journal_Heading1"/>
    <w:basedOn w:val="Normal"/>
    <w:next w:val="Normal"/>
    <w:qFormat/>
    <w:rsid w:val="00C60123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C60123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C60123"/>
    <w:pPr>
      <w:keepNext/>
      <w:keepLines/>
      <w:spacing w:before="240"/>
      <w:outlineLvl w:val="3"/>
    </w:pPr>
    <w:rPr>
      <w:i/>
      <w:kern w:val="14"/>
    </w:rPr>
  </w:style>
  <w:style w:type="character" w:styleId="LineNumber">
    <w:name w:val="line number"/>
    <w:qFormat/>
    <w:rsid w:val="00C60123"/>
    <w:rPr>
      <w:sz w:val="14"/>
    </w:rPr>
  </w:style>
  <w:style w:type="paragraph" w:customStyle="1" w:styleId="NormalBullet">
    <w:name w:val="Normal Bullet"/>
    <w:basedOn w:val="Normal"/>
    <w:next w:val="Normal"/>
    <w:qFormat/>
    <w:rsid w:val="00C60123"/>
    <w:pPr>
      <w:keepLines/>
      <w:numPr>
        <w:numId w:val="24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C60123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60123"/>
    <w:pPr>
      <w:outlineLvl w:val="9"/>
    </w:pPr>
    <w:rPr>
      <w:rFonts w:eastAsiaTheme="majorEastAsia" w:cstheme="majorBidi"/>
      <w:lang w:bidi="en-US"/>
    </w:rPr>
  </w:style>
  <w:style w:type="paragraph" w:styleId="PlainText">
    <w:name w:val="Plain Text"/>
    <w:basedOn w:val="Normal"/>
    <w:link w:val="PlainTextChar"/>
    <w:rsid w:val="00871053"/>
    <w:pPr>
      <w:spacing w:line="240" w:lineRule="auto"/>
    </w:pPr>
    <w:rPr>
      <w:rFonts w:ascii="Courier New" w:eastAsia="Times New Roman" w:hAnsi="Courier New"/>
      <w:lang w:eastAsia="en-GB"/>
    </w:rPr>
  </w:style>
  <w:style w:type="character" w:customStyle="1" w:styleId="PlainTextChar">
    <w:name w:val="Plain Text Char"/>
    <w:basedOn w:val="DefaultParagraphFont"/>
    <w:link w:val="PlainText"/>
    <w:rsid w:val="00871053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87105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871053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ED6C7A"/>
    <w:pPr>
      <w:keepNext/>
      <w:keepLines/>
      <w:spacing w:line="270" w:lineRule="exact"/>
      <w:outlineLvl w:val="0"/>
    </w:pPr>
    <w:rPr>
      <w:b/>
      <w:color w:val="0000FF"/>
      <w:kern w:val="14"/>
      <w:sz w:val="24"/>
      <w:szCs w:val="20"/>
    </w:rPr>
  </w:style>
  <w:style w:type="paragraph" w:customStyle="1" w:styleId="BLUEHeadingH2">
    <w:name w:val="BLUE_Heading_H2"/>
    <w:basedOn w:val="BLUEHeadingH1"/>
    <w:next w:val="Normal"/>
    <w:qFormat/>
    <w:rsid w:val="003F75F8"/>
    <w:pPr>
      <w:keepNext w:val="0"/>
      <w:keepLines w:val="0"/>
      <w:spacing w:line="240" w:lineRule="exact"/>
      <w:outlineLvl w:val="1"/>
    </w:pPr>
    <w:rPr>
      <w:sz w:val="20"/>
    </w:rPr>
  </w:style>
  <w:style w:type="paragraph" w:customStyle="1" w:styleId="RepBullet">
    <w:name w:val="Rep_Bullet"/>
    <w:qFormat/>
    <w:rsid w:val="002B723B"/>
    <w:pPr>
      <w:tabs>
        <w:tab w:val="right" w:pos="954"/>
        <w:tab w:val="left" w:pos="1008"/>
        <w:tab w:val="right" w:pos="1685"/>
      </w:tabs>
      <w:spacing w:after="120" w:line="240" w:lineRule="auto"/>
      <w:ind w:left="1008" w:right="432" w:hanging="130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paragraph" w:customStyle="1" w:styleId="RepCtrHdg">
    <w:name w:val="Rep_Ctr_Hdg"/>
    <w:basedOn w:val="Normal"/>
    <w:qFormat/>
    <w:rsid w:val="00C358FE"/>
    <w:pPr>
      <w:spacing w:line="240" w:lineRule="auto"/>
      <w:ind w:left="432" w:right="432"/>
      <w:jc w:val="center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CtrNumberedHdg">
    <w:name w:val="Rep_Ctr_Numbered_Hdg"/>
    <w:basedOn w:val="Normal"/>
    <w:qFormat/>
    <w:rsid w:val="00C358FE"/>
    <w:pPr>
      <w:spacing w:line="240" w:lineRule="auto"/>
      <w:ind w:left="749" w:hanging="749"/>
      <w:jc w:val="center"/>
      <w:outlineLvl w:val="0"/>
    </w:pPr>
    <w:rPr>
      <w:rFonts w:eastAsia="Calibri"/>
      <w:b/>
      <w:bCs/>
      <w:kern w:val="14"/>
      <w:sz w:val="28"/>
      <w:szCs w:val="28"/>
      <w:lang w:val="en-GB"/>
    </w:rPr>
  </w:style>
  <w:style w:type="paragraph" w:customStyle="1" w:styleId="RepFootnote">
    <w:name w:val="Rep_Footnote"/>
    <w:basedOn w:val="FootnoteText"/>
    <w:qFormat/>
    <w:rsid w:val="00C358FE"/>
    <w:pPr>
      <w:widowControl w:val="0"/>
      <w:tabs>
        <w:tab w:val="clear" w:pos="418"/>
        <w:tab w:val="right" w:pos="954"/>
        <w:tab w:val="left" w:pos="1170"/>
        <w:tab w:val="left" w:pos="1440"/>
      </w:tabs>
      <w:ind w:left="1022" w:right="432" w:hanging="590"/>
    </w:pPr>
    <w:rPr>
      <w:rFonts w:eastAsia="Calibri"/>
      <w:spacing w:val="2"/>
      <w:w w:val="103"/>
      <w:kern w:val="14"/>
      <w:szCs w:val="17"/>
      <w:lang w:val="en-GB"/>
    </w:rPr>
  </w:style>
  <w:style w:type="paragraph" w:customStyle="1" w:styleId="RepH1">
    <w:name w:val="Rep_H1"/>
    <w:basedOn w:val="H1"/>
    <w:qFormat/>
    <w:rsid w:val="00C358FE"/>
    <w:pPr>
      <w:tabs>
        <w:tab w:val="clear" w:pos="1022"/>
        <w:tab w:val="left" w:pos="1008"/>
      </w:tabs>
      <w:spacing w:line="240" w:lineRule="auto"/>
      <w:ind w:left="1022" w:right="432" w:hanging="590"/>
    </w:pPr>
    <w:rPr>
      <w:rFonts w:eastAsia="Calibri"/>
      <w:bCs/>
      <w:szCs w:val="24"/>
      <w:lang w:val="en-GB"/>
    </w:rPr>
  </w:style>
  <w:style w:type="paragraph" w:customStyle="1" w:styleId="RepH1Margin">
    <w:name w:val="Rep_H1_Margin"/>
    <w:basedOn w:val="H1"/>
    <w:qFormat/>
    <w:rsid w:val="00C358FE"/>
    <w:pPr>
      <w:ind w:left="432" w:right="432"/>
    </w:pPr>
    <w:rPr>
      <w:rFonts w:eastAsia="Calibri"/>
      <w:szCs w:val="20"/>
      <w:lang w:val="en-GB"/>
    </w:rPr>
  </w:style>
  <w:style w:type="paragraph" w:customStyle="1" w:styleId="RepH2">
    <w:name w:val="Rep_H2"/>
    <w:basedOn w:val="H23"/>
    <w:rsid w:val="00C358FE"/>
    <w:pPr>
      <w:keepNext w:val="0"/>
      <w:keepLines w:val="0"/>
      <w:ind w:left="1008" w:right="432" w:hanging="576"/>
    </w:pPr>
    <w:rPr>
      <w:rFonts w:eastAsia="Calibri"/>
      <w:spacing w:val="4"/>
      <w:szCs w:val="20"/>
      <w:lang w:val="en-US"/>
    </w:rPr>
  </w:style>
  <w:style w:type="paragraph" w:customStyle="1" w:styleId="RepH4">
    <w:name w:val="Rep_H4"/>
    <w:basedOn w:val="H4"/>
    <w:rsid w:val="00C358FE"/>
    <w:pPr>
      <w:tabs>
        <w:tab w:val="clear" w:pos="1022"/>
        <w:tab w:val="left" w:pos="1008"/>
      </w:tabs>
      <w:ind w:left="1022" w:right="432" w:hanging="590"/>
    </w:pPr>
    <w:rPr>
      <w:rFonts w:eastAsia="Calibri"/>
      <w:szCs w:val="20"/>
      <w:lang w:val="en-GB"/>
    </w:rPr>
  </w:style>
  <w:style w:type="paragraph" w:customStyle="1" w:styleId="RepM">
    <w:name w:val="Rep_M"/>
    <w:basedOn w:val="SM"/>
    <w:qFormat/>
    <w:rsid w:val="00C358FE"/>
    <w:rPr>
      <w:rFonts w:eastAsia="Calibri"/>
      <w:noProof/>
      <w:w w:val="100"/>
      <w:szCs w:val="20"/>
      <w:lang w:val="en-GB"/>
    </w:rPr>
  </w:style>
  <w:style w:type="paragraph" w:customStyle="1" w:styleId="RepMainIntro">
    <w:name w:val="Rep_Main_Intro"/>
    <w:basedOn w:val="SingleTxt"/>
    <w:next w:val="H1"/>
    <w:qFormat/>
    <w:rsid w:val="00C358FE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left" w:pos="1008"/>
      </w:tabs>
      <w:spacing w:after="0" w:line="240" w:lineRule="auto"/>
      <w:ind w:left="432" w:right="432"/>
      <w:jc w:val="left"/>
      <w:outlineLvl w:val="0"/>
    </w:pPr>
    <w:rPr>
      <w:rFonts w:eastAsia="Calibri"/>
      <w:b/>
      <w:bCs/>
      <w:sz w:val="28"/>
      <w:szCs w:val="28"/>
      <w:lang w:val="en-GB"/>
    </w:rPr>
  </w:style>
  <w:style w:type="paragraph" w:customStyle="1" w:styleId="RepNumberedH1">
    <w:name w:val="Rep_Numbered_H1"/>
    <w:basedOn w:val="H1"/>
    <w:qFormat/>
    <w:rsid w:val="00C358FE"/>
    <w:pPr>
      <w:tabs>
        <w:tab w:val="left" w:pos="590"/>
      </w:tabs>
      <w:spacing w:line="240" w:lineRule="auto"/>
      <w:ind w:left="1008" w:right="432" w:hanging="576"/>
    </w:pPr>
    <w:rPr>
      <w:rFonts w:eastAsia="Calibri"/>
      <w:bCs/>
      <w:szCs w:val="24"/>
      <w:lang w:val="en-GB"/>
    </w:rPr>
  </w:style>
  <w:style w:type="paragraph" w:customStyle="1" w:styleId="RepNumberedH2">
    <w:name w:val="Rep_Numbered_H2"/>
    <w:basedOn w:val="RepNumberedH1"/>
    <w:qFormat/>
    <w:rsid w:val="00C358FE"/>
    <w:rPr>
      <w:sz w:val="20"/>
      <w:szCs w:val="20"/>
    </w:rPr>
  </w:style>
  <w:style w:type="paragraph" w:customStyle="1" w:styleId="RepPartNumber">
    <w:name w:val="Rep_PartNumber"/>
    <w:basedOn w:val="Normal"/>
    <w:qFormat/>
    <w:rsid w:val="00C358FE"/>
    <w:pPr>
      <w:spacing w:before="2280" w:line="390" w:lineRule="exact"/>
      <w:ind w:right="1267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PartTitle">
    <w:name w:val="Rep_PartTitle"/>
    <w:basedOn w:val="Normal"/>
    <w:qFormat/>
    <w:rsid w:val="00C358FE"/>
    <w:pPr>
      <w:spacing w:line="390" w:lineRule="exact"/>
      <w:ind w:left="1267" w:right="1267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S">
    <w:name w:val="Rep_S"/>
    <w:basedOn w:val="SS"/>
    <w:qFormat/>
    <w:rsid w:val="00C358FE"/>
    <w:rPr>
      <w:rFonts w:eastAsia="Calibri"/>
      <w:szCs w:val="20"/>
      <w:lang w:val="en-GB"/>
    </w:rPr>
  </w:style>
  <w:style w:type="paragraph" w:customStyle="1" w:styleId="RepTableNumber">
    <w:name w:val="Rep_Table_Number"/>
    <w:basedOn w:val="RepH2"/>
    <w:qFormat/>
    <w:rsid w:val="00C358FE"/>
    <w:pPr>
      <w:ind w:left="432" w:firstLine="0"/>
    </w:pPr>
    <w:rPr>
      <w:b w:val="0"/>
      <w:bCs/>
    </w:rPr>
  </w:style>
  <w:style w:type="paragraph" w:customStyle="1" w:styleId="RepTableTitle">
    <w:name w:val="Rep_Table_Title"/>
    <w:basedOn w:val="RepH2"/>
    <w:qFormat/>
    <w:rsid w:val="00C358FE"/>
    <w:pPr>
      <w:ind w:left="432" w:firstLine="0"/>
    </w:pPr>
  </w:style>
  <w:style w:type="paragraph" w:customStyle="1" w:styleId="RepTitleL">
    <w:name w:val="Rep_Title_L"/>
    <w:basedOn w:val="STitleL"/>
    <w:qFormat/>
    <w:rsid w:val="00C358FE"/>
    <w:rPr>
      <w:rFonts w:eastAsia="SimSun"/>
      <w:szCs w:val="20"/>
      <w:lang w:val="en-GB" w:eastAsia="zh-CN"/>
    </w:rPr>
  </w:style>
  <w:style w:type="paragraph" w:customStyle="1" w:styleId="RepTitleM">
    <w:name w:val="Rep_Title_M"/>
    <w:basedOn w:val="STitleM"/>
    <w:qFormat/>
    <w:rsid w:val="00C358FE"/>
    <w:rPr>
      <w:rFonts w:eastAsia="Calibri"/>
      <w:kern w:val="14"/>
      <w:szCs w:val="20"/>
      <w:lang w:val="en-GB"/>
    </w:rPr>
  </w:style>
  <w:style w:type="paragraph" w:customStyle="1" w:styleId="RepertoireFootnoteText">
    <w:name w:val="Repertoire Footnote Text"/>
    <w:basedOn w:val="Normal"/>
    <w:qFormat/>
    <w:rsid w:val="007824E3"/>
    <w:pPr>
      <w:tabs>
        <w:tab w:val="right" w:pos="216"/>
        <w:tab w:val="left" w:pos="288"/>
        <w:tab w:val="right" w:pos="576"/>
        <w:tab w:val="left" w:pos="648"/>
      </w:tabs>
      <w:suppressAutoHyphens w:val="0"/>
      <w:spacing w:line="210" w:lineRule="exact"/>
      <w:ind w:left="648" w:right="432" w:hanging="216"/>
    </w:pPr>
    <w:rPr>
      <w:rFonts w:asciiTheme="majorBidi" w:hAnsiTheme="majorBidi" w:cstheme="majorBidi"/>
      <w:sz w:val="17"/>
      <w:szCs w:val="17"/>
    </w:rPr>
  </w:style>
  <w:style w:type="paragraph" w:customStyle="1" w:styleId="RepSingleText">
    <w:name w:val="Rep_Single_Text"/>
    <w:basedOn w:val="Normal"/>
    <w:qFormat/>
    <w:rsid w:val="00286A95"/>
    <w:pPr>
      <w:tabs>
        <w:tab w:val="left" w:pos="1008"/>
      </w:tabs>
      <w:suppressAutoHyphens w:val="0"/>
      <w:spacing w:after="120" w:line="240" w:lineRule="auto"/>
      <w:ind w:left="432" w:right="432"/>
      <w:jc w:val="both"/>
    </w:pPr>
  </w:style>
  <w:style w:type="paragraph" w:customStyle="1" w:styleId="HeadingT">
    <w:name w:val="Heading T"/>
    <w:basedOn w:val="SingleTxt"/>
    <w:qFormat/>
    <w:rsid w:val="001101D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sz w:val="14"/>
      <w:szCs w:val="14"/>
    </w:rPr>
  </w:style>
  <w:style w:type="paragraph" w:customStyle="1" w:styleId="RepNumbereditals">
    <w:name w:val="Rep_Numbered_itals"/>
    <w:basedOn w:val="SingleTxt"/>
    <w:qFormat/>
    <w:rsid w:val="007874D2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left" w:pos="1008"/>
        <w:tab w:val="left" w:pos="1526"/>
      </w:tabs>
      <w:ind w:left="432" w:right="432"/>
    </w:pPr>
    <w:rPr>
      <w:i/>
      <w:iCs/>
    </w:rPr>
  </w:style>
  <w:style w:type="paragraph" w:customStyle="1" w:styleId="RepTablefootnote">
    <w:name w:val="Rep_Table_footnote"/>
    <w:basedOn w:val="RepNumbereditals"/>
    <w:qFormat/>
    <w:rsid w:val="007E230A"/>
    <w:pPr>
      <w:tabs>
        <w:tab w:val="clear" w:pos="1008"/>
        <w:tab w:val="clear" w:pos="1526"/>
        <w:tab w:val="right" w:pos="216"/>
        <w:tab w:val="left" w:pos="288"/>
        <w:tab w:val="left" w:pos="576"/>
        <w:tab w:val="left" w:pos="648"/>
      </w:tabs>
      <w:ind w:left="216" w:right="0" w:hanging="216"/>
    </w:pPr>
    <w:rPr>
      <w:rFonts w:cs="Times New Roman"/>
      <w:i w:val="0"/>
      <w:iCs w:val="0"/>
      <w:sz w:val="17"/>
      <w:szCs w:val="17"/>
    </w:rPr>
  </w:style>
  <w:style w:type="paragraph" w:styleId="Title">
    <w:name w:val="Title"/>
    <w:basedOn w:val="Normal"/>
    <w:next w:val="Normal"/>
    <w:link w:val="TitleChar"/>
    <w:uiPriority w:val="10"/>
    <w:qFormat/>
    <w:rsid w:val="00CE5B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5B99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5B9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5B99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CE5B9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5B99"/>
    <w:rPr>
      <w:rFonts w:ascii="Times New Roman" w:eastAsiaTheme="minorHAnsi" w:hAnsi="Times New Roman" w:cs="Times New Roman"/>
      <w:i/>
      <w:iCs/>
      <w:color w:val="404040" w:themeColor="text1" w:themeTint="BF"/>
      <w:spacing w:val="4"/>
      <w:w w:val="103"/>
      <w:sz w:val="20"/>
      <w:lang w:val="ru-RU" w:eastAsia="en-US"/>
    </w:rPr>
  </w:style>
  <w:style w:type="paragraph" w:styleId="ListParagraph">
    <w:name w:val="List Paragraph"/>
    <w:basedOn w:val="Normal"/>
    <w:uiPriority w:val="34"/>
    <w:qFormat/>
    <w:rsid w:val="00CE5B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5B9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5B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5B99"/>
    <w:rPr>
      <w:rFonts w:ascii="Times New Roman" w:eastAsiaTheme="minorHAnsi" w:hAnsi="Times New Roman" w:cs="Times New Roman"/>
      <w:i/>
      <w:iCs/>
      <w:color w:val="2F5496" w:themeColor="accent1" w:themeShade="BF"/>
      <w:spacing w:val="4"/>
      <w:w w:val="103"/>
      <w:sz w:val="20"/>
      <w:lang w:val="ru-RU" w:eastAsia="en-US"/>
    </w:rPr>
  </w:style>
  <w:style w:type="character" w:styleId="IntenseReference">
    <w:name w:val="Intense Reference"/>
    <w:basedOn w:val="DefaultParagraphFont"/>
    <w:uiPriority w:val="32"/>
    <w:qFormat/>
    <w:rsid w:val="00CE5B99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08B9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08B9"/>
    <w:rPr>
      <w:rFonts w:ascii="Times New Roman" w:eastAsiaTheme="minorHAnsi" w:hAnsi="Times New Roman" w:cs="Times New Roman"/>
      <w:spacing w:val="4"/>
      <w:w w:val="103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08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08B9"/>
    <w:rPr>
      <w:rFonts w:ascii="Times New Roman" w:eastAsiaTheme="minorHAnsi" w:hAnsi="Times New Roman" w:cs="Times New Roman"/>
      <w:b/>
      <w:bCs/>
      <w:spacing w:val="4"/>
      <w:w w:val="103"/>
      <w:sz w:val="20"/>
      <w:szCs w:val="20"/>
      <w:lang w:val="ru-RU" w:eastAsia="en-US"/>
    </w:rPr>
  </w:style>
  <w:style w:type="paragraph" w:customStyle="1" w:styleId="RepTitleS">
    <w:name w:val="Rep_Title_S"/>
    <w:basedOn w:val="SS"/>
    <w:qFormat/>
    <w:rsid w:val="00695398"/>
    <w:pPr>
      <w:ind w:left="1267" w:right="1267"/>
    </w:pPr>
    <w:rPr>
      <w:rFonts w:eastAsia="Calibri"/>
      <w:szCs w:val="20"/>
      <w:lang w:val="en-GB"/>
      <w14:ligatures w14:val="none"/>
    </w:rPr>
  </w:style>
  <w:style w:type="paragraph" w:customStyle="1" w:styleId="2VerbatimActionLine">
    <w:name w:val="2. Verbatim Action Line"/>
    <w:basedOn w:val="Normal"/>
    <w:qFormat/>
    <w:rsid w:val="00695398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 w:firstLine="475"/>
      <w:jc w:val="both"/>
    </w:pPr>
    <w:rPr>
      <w:rFonts w:asciiTheme="majorBidi" w:hAnsiTheme="majorBidi" w:cstheme="majorBidi"/>
      <w:i/>
      <w:lang w:val="fr-CA"/>
    </w:rPr>
  </w:style>
  <w:style w:type="paragraph" w:customStyle="1" w:styleId="6VerbatimAgendaItem">
    <w:name w:val="6. Verbatim Agenda Item"/>
    <w:basedOn w:val="Normal"/>
    <w:qFormat/>
    <w:rsid w:val="00695398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b/>
      <w:lang w:val="fr-CA"/>
    </w:rPr>
  </w:style>
  <w:style w:type="paragraph" w:customStyle="1" w:styleId="7VerbatimAgendaItemLessSpaceAfter">
    <w:name w:val="7. Verbatim Agenda Item Less Space After"/>
    <w:basedOn w:val="Normal"/>
    <w:qFormat/>
    <w:rsid w:val="00695398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60"/>
      <w:ind w:left="1267" w:right="1267"/>
      <w:jc w:val="both"/>
    </w:pPr>
    <w:rPr>
      <w:b/>
      <w:lang w:val="fr-CA"/>
    </w:rPr>
  </w:style>
  <w:style w:type="paragraph" w:customStyle="1" w:styleId="8VerbatimAgendaabc">
    <w:name w:val="8. Verbatim Agenda (a) (b) (c)"/>
    <w:basedOn w:val="Normal"/>
    <w:qFormat/>
    <w:rsid w:val="00695398"/>
    <w:pPr>
      <w:tabs>
        <w:tab w:val="left" w:pos="1382"/>
        <w:tab w:val="left" w:pos="1742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b/>
      <w:lang w:val="fr-CA"/>
    </w:rPr>
  </w:style>
  <w:style w:type="paragraph" w:customStyle="1" w:styleId="12VerbatimAsteriskStaffMilitaryCommittee">
    <w:name w:val="12. Verbatim Asterisk (Staff Military Committee)"/>
    <w:basedOn w:val="Normal"/>
    <w:qFormat/>
    <w:rsid w:val="00695398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center"/>
    </w:pPr>
    <w:rPr>
      <w:lang w:val="fr-CA"/>
    </w:rPr>
  </w:style>
  <w:style w:type="paragraph" w:customStyle="1" w:styleId="1VerbatimBodyText">
    <w:name w:val="1. Verbatim Body Text"/>
    <w:basedOn w:val="Normal"/>
    <w:qFormat/>
    <w:rsid w:val="00695398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 w:firstLine="475"/>
      <w:jc w:val="both"/>
    </w:pPr>
    <w:rPr>
      <w:lang w:val="fr-CA"/>
    </w:rPr>
  </w:style>
  <w:style w:type="paragraph" w:customStyle="1" w:styleId="3VerbatimBodyTextNoIndent">
    <w:name w:val="3. Verbatim Body Text No Indent"/>
    <w:basedOn w:val="Normal"/>
    <w:qFormat/>
    <w:rsid w:val="00695398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lang w:val="fr-CA"/>
    </w:rPr>
  </w:style>
  <w:style w:type="paragraph" w:customStyle="1" w:styleId="13VerbatimSubAgenda">
    <w:name w:val="13. Verbatim Sub Agenda"/>
    <w:basedOn w:val="Normal"/>
    <w:qFormat/>
    <w:rsid w:val="00695398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742" w:right="1742"/>
      <w:jc w:val="both"/>
    </w:pPr>
    <w:rPr>
      <w:b/>
      <w:lang w:val="fr-CA"/>
    </w:rPr>
  </w:style>
  <w:style w:type="paragraph" w:customStyle="1" w:styleId="9VerbatimInFavourAgainstAbstaining">
    <w:name w:val="9. Verbatim In Favour Against Abstaining"/>
    <w:basedOn w:val="Normal"/>
    <w:qFormat/>
    <w:rsid w:val="00695398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60"/>
      <w:ind w:left="1267" w:right="1267"/>
      <w:jc w:val="both"/>
    </w:pPr>
    <w:rPr>
      <w:i/>
      <w:lang w:val="fr-CA"/>
    </w:rPr>
  </w:style>
  <w:style w:type="paragraph" w:customStyle="1" w:styleId="4VerbatimQuotesBlockTextFirstLineIndent">
    <w:name w:val="4. Verbatim Quotes Block Text First Line Indent"/>
    <w:basedOn w:val="Normal"/>
    <w:qFormat/>
    <w:rsid w:val="00695398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742" w:right="1267" w:firstLine="1267"/>
      <w:jc w:val="both"/>
    </w:pPr>
    <w:rPr>
      <w:lang w:val="fr-CA"/>
    </w:rPr>
  </w:style>
  <w:style w:type="paragraph" w:customStyle="1" w:styleId="5VerbatimQuotesBlockTextNoIndent">
    <w:name w:val="5. Verbatim Quotes Block Text No Indent"/>
    <w:basedOn w:val="Normal"/>
    <w:qFormat/>
    <w:rsid w:val="00695398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742" w:right="1267"/>
      <w:jc w:val="both"/>
    </w:pPr>
    <w:rPr>
      <w:lang w:val="fr-CA"/>
    </w:rPr>
  </w:style>
  <w:style w:type="paragraph" w:customStyle="1" w:styleId="14VerbatimReissueDocument">
    <w:name w:val="14. Verbatim Reissue Document"/>
    <w:basedOn w:val="Normal"/>
    <w:qFormat/>
    <w:rsid w:val="00695398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auto"/>
      <w:ind w:left="1267" w:right="691" w:hanging="576"/>
    </w:pPr>
    <w:rPr>
      <w:sz w:val="17"/>
      <w:lang w:val="fr-CA"/>
    </w:rPr>
  </w:style>
  <w:style w:type="paragraph" w:customStyle="1" w:styleId="11VerbatimSubsequentlyIntendedToVote">
    <w:name w:val="11. Verbatim Subsequently Intended To Vote"/>
    <w:basedOn w:val="Normal"/>
    <w:qFormat/>
    <w:rsid w:val="00695398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before="180" w:after="120"/>
      <w:ind w:left="1742" w:right="1267"/>
      <w:jc w:val="both"/>
    </w:pPr>
    <w:rPr>
      <w:i/>
      <w:lang w:val="fr-CA"/>
    </w:rPr>
  </w:style>
  <w:style w:type="paragraph" w:customStyle="1" w:styleId="10VerbatimVotingGroups">
    <w:name w:val="10. Verbatim Voting Groups"/>
    <w:basedOn w:val="Normal"/>
    <w:qFormat/>
    <w:rsid w:val="00695398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before="240"/>
      <w:ind w:left="1742" w:right="1267"/>
      <w:jc w:val="both"/>
    </w:pPr>
    <w:rPr>
      <w:i/>
      <w:lang w:val="fr-CA"/>
    </w:rPr>
  </w:style>
  <w:style w:type="paragraph" w:styleId="Revision">
    <w:name w:val="Revision"/>
    <w:hidden/>
    <w:uiPriority w:val="99"/>
    <w:semiHidden/>
    <w:rsid w:val="00695398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fr-C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microsoft.com/office/2011/relationships/commentsExtended" Target="commentsExtended.xml"/><Relationship Id="rId26" Type="http://schemas.openxmlformats.org/officeDocument/2006/relationships/hyperlink" Target="https://docs.un.org/ru/A/65/38(supp)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docs.un.org/en/CEDAW/C/ARG/8" TargetMode="Externa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comments" Target="comments.xml"/><Relationship Id="rId25" Type="http://schemas.openxmlformats.org/officeDocument/2006/relationships/hyperlink" Target="https://docs.un.org/ru/CEDAW/C/86/D/127/2018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microsoft.com/office/2018/08/relationships/commentsExtensible" Target="commentsExtensible.xml"/><Relationship Id="rId29" Type="http://schemas.openxmlformats.org/officeDocument/2006/relationships/hyperlink" Target="https://docs.un.org/ru/HRI/GEN/2/Rev.6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hyperlink" Target="https://docs.un.org/ru/CEDAW/C/ARG/7" TargetMode="External"/><Relationship Id="rId32" Type="http://schemas.microsoft.com/office/2011/relationships/people" Target="people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hyperlink" Target="https://docs.un.org/en/CEDAW/C/ARG/CO/7/Add.1" TargetMode="External"/><Relationship Id="rId28" Type="http://schemas.openxmlformats.org/officeDocument/2006/relationships/hyperlink" Target="https://docs.un.org/ru/A/RES/79/165" TargetMode="Externa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yperlink" Target="https://docs.un.org/en/CEDAW/C/ARG/QPR/8" TargetMode="External"/><Relationship Id="rId27" Type="http://schemas.openxmlformats.org/officeDocument/2006/relationships/hyperlink" Target="https://docs.un.org/ru/CEDAW/C/86/D/127/2018" TargetMode="External"/><Relationship Id="rId30" Type="http://schemas.openxmlformats.org/officeDocument/2006/relationships/header" Target="header4.xml"/><Relationship Id="rId8" Type="http://schemas.openxmlformats.org/officeDocument/2006/relationships/webSettings" Target="webSetting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5ec44e-1bab-4c0b-9df0-6ba128686fc9" xsi:nil="true"/>
    <lcf76f155ced4ddcb4097134ff3c332f xmlns="41c8501f-7554-4cfe-b76f-88ff51cf7baf">
      <Terms xmlns="http://schemas.microsoft.com/office/infopath/2007/PartnerControls"/>
    </lcf76f155ced4ddcb4097134ff3c332f>
    <MediaLengthInSeconds xmlns="41c8501f-7554-4cfe-b76f-88ff51cf7baf" xsi:nil="true"/>
    <SharedWithUsers xmlns="32aca14f-6975-493a-b86a-2ec1bd8de72a">
      <UserInfo>
        <DisplayName/>
        <AccountId xsi:nil="true"/>
        <AccountType/>
      </UserInfo>
    </SharedWithUsers>
    <Updated xmlns="41c8501f-7554-4cfe-b76f-88ff51cf7ba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9" ma:contentTypeDescription="Create a new document." ma:contentTypeScope="" ma:versionID="8bafe101affdcae2dbf45279bd6b8bad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37eb6f2746e36decd32525a99ece01cb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Upda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Updated" ma:index="25" nillable="true" ma:displayName="Updated" ma:description="April 24, 2025" ma:format="Dropdown" ma:internalName="Update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1B133-5683-4906-885E-6BE4E0CB42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1EAC4C-543C-4F11-A796-B2F0F86D1E27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41c8501f-7554-4cfe-b76f-88ff51cf7baf"/>
    <ds:schemaRef ds:uri="32aca14f-6975-493a-b86a-2ec1bd8de72a"/>
  </ds:schemaRefs>
</ds:datastoreItem>
</file>

<file path=customXml/itemProps3.xml><?xml version="1.0" encoding="utf-8"?>
<ds:datastoreItem xmlns:ds="http://schemas.openxmlformats.org/officeDocument/2006/customXml" ds:itemID="{CD179378-DBEE-4213-83B7-BC3C6FB00A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15FA9D-EDBF-4EE0-8614-259AAF346D1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25</Pages>
  <Words>8929</Words>
  <Characters>63577</Characters>
  <Application>Microsoft Office Word</Application>
  <DocSecurity>0</DocSecurity>
  <Lines>1246</Lines>
  <Paragraphs>262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Feoktistova</dc:creator>
  <cp:keywords/>
  <dc:description/>
  <cp:lastModifiedBy>Irina Feoktistova</cp:lastModifiedBy>
  <cp:revision>11</cp:revision>
  <cp:lastPrinted>2026-03-24T14:12:00Z</cp:lastPrinted>
  <dcterms:created xsi:type="dcterms:W3CDTF">2026-03-24T02:36:00Z</dcterms:created>
  <dcterms:modified xsi:type="dcterms:W3CDTF">2026-03-24T14:14:00Z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2602562R</vt:lpwstr>
  </property>
  <property fmtid="{D5CDD505-2E9C-101B-9397-08002B2CF9AE}" pid="3" name="ODSRefJobNo">
    <vt:lpwstr>2603626R</vt:lpwstr>
  </property>
  <property fmtid="{D5CDD505-2E9C-101B-9397-08002B2CF9AE}" pid="4" name="Symbol1">
    <vt:lpwstr>CEDAW/C/ARG/CO/8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DocType">
    <vt:lpwstr>S</vt:lpwstr>
  </property>
  <property fmtid="{D5CDD505-2E9C-101B-9397-08002B2CF9AE}" pid="9" name="Language">
    <vt:lpwstr>Russian</vt:lpwstr>
  </property>
  <property fmtid="{D5CDD505-2E9C-101B-9397-08002B2CF9AE}" pid="10" name="Title1">
    <vt:lpwstr>		Заключительные замечания по восьмому периодическому докладу Аргентины</vt:lpwstr>
  </property>
  <property fmtid="{D5CDD505-2E9C-101B-9397-08002B2CF9AE}" pid="11" name="Comment">
    <vt:lpwstr/>
  </property>
  <property fmtid="{D5CDD505-2E9C-101B-9397-08002B2CF9AE}" pid="12" name="DraftPages">
    <vt:lpwstr> </vt:lpwstr>
  </property>
  <property fmtid="{D5CDD505-2E9C-101B-9397-08002B2CF9AE}" pid="13" name="Operator">
    <vt:lpwstr/>
  </property>
</Properties>
</file>