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2190D">
        <w:trPr>
          <w:trHeight w:hRule="exact" w:val="851"/>
        </w:trPr>
        <w:tc>
          <w:tcPr>
            <w:tcW w:w="1280" w:type="dxa"/>
            <w:tcBorders>
              <w:bottom w:val="single" w:sz="4" w:space="0" w:color="auto"/>
            </w:tcBorders>
          </w:tcPr>
          <w:p w:rsidR="00A2190D" w:rsidRDefault="00A2190D">
            <w:pPr>
              <w:rPr>
                <w:rFonts w:hint="eastAsia"/>
              </w:rPr>
            </w:pPr>
          </w:p>
        </w:tc>
        <w:tc>
          <w:tcPr>
            <w:tcW w:w="2273" w:type="dxa"/>
            <w:tcBorders>
              <w:bottom w:val="single" w:sz="4" w:space="0" w:color="auto"/>
            </w:tcBorders>
            <w:vAlign w:val="bottom"/>
          </w:tcPr>
          <w:p w:rsidR="00A2190D" w:rsidRDefault="00A2190D">
            <w:pPr>
              <w:spacing w:after="80" w:line="300" w:lineRule="exact"/>
              <w:rPr>
                <w:rFonts w:ascii="Time New Roman" w:hAnsi="Time New Roman" w:hint="eastAsia"/>
                <w:sz w:val="28"/>
              </w:rPr>
            </w:pPr>
            <w:r>
              <w:rPr>
                <w:rFonts w:ascii="Time New Roman" w:hAnsi="Time New Roman" w:hint="eastAsia"/>
                <w:sz w:val="28"/>
              </w:rPr>
              <w:t>联</w:t>
            </w:r>
            <w:r>
              <w:rPr>
                <w:rFonts w:ascii="Time New Roman" w:hAnsi="Time New Roman" w:hint="eastAsia"/>
                <w:sz w:val="28"/>
              </w:rPr>
              <w:t xml:space="preserve"> </w:t>
            </w:r>
            <w:r>
              <w:rPr>
                <w:rFonts w:ascii="Time New Roman" w:hAnsi="Time New Roman" w:hint="eastAsia"/>
                <w:sz w:val="28"/>
              </w:rPr>
              <w:t>合</w:t>
            </w:r>
            <w:r>
              <w:rPr>
                <w:rFonts w:ascii="Time New Roman" w:hAnsi="Time New Roman" w:hint="eastAsia"/>
                <w:sz w:val="28"/>
              </w:rPr>
              <w:t xml:space="preserve"> </w:t>
            </w:r>
            <w:r>
              <w:rPr>
                <w:rFonts w:ascii="Time New Roman" w:hAnsi="Time New Roman" w:hint="eastAsia"/>
                <w:sz w:val="28"/>
              </w:rPr>
              <w:t>国</w:t>
            </w:r>
          </w:p>
        </w:tc>
        <w:tc>
          <w:tcPr>
            <w:tcW w:w="6086" w:type="dxa"/>
            <w:gridSpan w:val="2"/>
            <w:tcBorders>
              <w:bottom w:val="single" w:sz="4" w:space="0" w:color="auto"/>
            </w:tcBorders>
            <w:vAlign w:val="bottom"/>
          </w:tcPr>
          <w:p w:rsidR="00A2190D" w:rsidRDefault="00A2190D">
            <w:pPr>
              <w:spacing w:line="240" w:lineRule="atLeast"/>
              <w:jc w:val="right"/>
              <w:rPr>
                <w:rFonts w:hint="eastAsia"/>
                <w:szCs w:val="21"/>
              </w:rPr>
            </w:pPr>
            <w:r>
              <w:rPr>
                <w:sz w:val="40"/>
                <w:szCs w:val="40"/>
              </w:rPr>
              <w:t>CRPD</w:t>
            </w:r>
            <w:r>
              <w:rPr>
                <w:sz w:val="20"/>
              </w:rPr>
              <w:t>/C</w:t>
            </w:r>
            <w:r>
              <w:rPr>
                <w:rFonts w:hint="eastAsia"/>
                <w:sz w:val="20"/>
              </w:rPr>
              <w:t>/MEX/1</w:t>
            </w:r>
          </w:p>
        </w:tc>
      </w:tr>
      <w:tr w:rsidR="00A2190D">
        <w:trPr>
          <w:trHeight w:hRule="exact" w:val="2835"/>
        </w:trPr>
        <w:tc>
          <w:tcPr>
            <w:tcW w:w="1280" w:type="dxa"/>
            <w:tcBorders>
              <w:top w:val="single" w:sz="4" w:space="0" w:color="auto"/>
              <w:bottom w:val="single" w:sz="12" w:space="0" w:color="auto"/>
            </w:tcBorders>
          </w:tcPr>
          <w:p w:rsidR="00A2190D" w:rsidRDefault="00A2190D">
            <w:pPr>
              <w:spacing w:line="120" w:lineRule="atLeast"/>
              <w:rPr>
                <w:sz w:val="10"/>
                <w:szCs w:val="10"/>
              </w:rPr>
            </w:pPr>
          </w:p>
          <w:p w:rsidR="00A2190D" w:rsidRDefault="00A2190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40" w:type="dxa"/>
            <w:gridSpan w:val="2"/>
            <w:tcBorders>
              <w:top w:val="single" w:sz="4" w:space="0" w:color="auto"/>
              <w:bottom w:val="single" w:sz="12" w:space="0" w:color="auto"/>
            </w:tcBorders>
          </w:tcPr>
          <w:p w:rsidR="00A2190D" w:rsidRDefault="00A2190D">
            <w:pPr>
              <w:spacing w:before="160" w:line="240" w:lineRule="auto"/>
              <w:rPr>
                <w:rFonts w:hint="eastAsia"/>
                <w:spacing w:val="10"/>
                <w:sz w:val="36"/>
                <w:szCs w:val="36"/>
              </w:rPr>
            </w:pPr>
            <w:r>
              <w:rPr>
                <w:rFonts w:hint="eastAsia"/>
                <w:spacing w:val="10"/>
                <w:sz w:val="36"/>
                <w:szCs w:val="36"/>
              </w:rPr>
              <w:t>残疾人权利公约</w:t>
            </w:r>
          </w:p>
        </w:tc>
        <w:tc>
          <w:tcPr>
            <w:tcW w:w="2819" w:type="dxa"/>
            <w:tcBorders>
              <w:top w:val="single" w:sz="4" w:space="0" w:color="auto"/>
              <w:bottom w:val="single" w:sz="12" w:space="0" w:color="auto"/>
            </w:tcBorders>
          </w:tcPr>
          <w:p w:rsidR="00A2190D" w:rsidRDefault="00A2190D">
            <w:pPr>
              <w:spacing w:before="240" w:line="240" w:lineRule="atLeast"/>
              <w:rPr>
                <w:sz w:val="20"/>
              </w:rPr>
            </w:pPr>
            <w:r>
              <w:rPr>
                <w:sz w:val="20"/>
              </w:rPr>
              <w:t>Distr.: General</w:t>
            </w:r>
          </w:p>
          <w:p w:rsidR="00A2190D" w:rsidRDefault="00A2190D">
            <w:pPr>
              <w:spacing w:line="240" w:lineRule="atLeast"/>
              <w:rPr>
                <w:sz w:val="20"/>
              </w:rPr>
            </w:pPr>
            <w:r>
              <w:rPr>
                <w:rFonts w:hint="eastAsia"/>
                <w:sz w:val="20"/>
              </w:rPr>
              <w:t>7</w:t>
            </w:r>
            <w:r>
              <w:rPr>
                <w:sz w:val="20"/>
              </w:rPr>
              <w:t xml:space="preserve"> </w:t>
            </w:r>
            <w:r>
              <w:rPr>
                <w:rFonts w:hint="eastAsia"/>
                <w:sz w:val="20"/>
              </w:rPr>
              <w:t>February</w:t>
            </w:r>
            <w:r>
              <w:rPr>
                <w:sz w:val="20"/>
              </w:rPr>
              <w:t xml:space="preserve"> 20</w:t>
            </w:r>
            <w:r>
              <w:rPr>
                <w:rFonts w:hint="eastAsia"/>
                <w:sz w:val="20"/>
              </w:rPr>
              <w:t>13</w:t>
            </w:r>
          </w:p>
          <w:p w:rsidR="00A2190D" w:rsidRDefault="00A2190D">
            <w:pPr>
              <w:spacing w:line="240" w:lineRule="atLeast"/>
              <w:rPr>
                <w:sz w:val="20"/>
              </w:rPr>
            </w:pPr>
            <w:r>
              <w:rPr>
                <w:sz w:val="20"/>
              </w:rPr>
              <w:t>Chinese</w:t>
            </w:r>
          </w:p>
          <w:p w:rsidR="00A2190D" w:rsidRDefault="00A2190D">
            <w:pPr>
              <w:spacing w:line="240" w:lineRule="atLeast"/>
              <w:rPr>
                <w:rFonts w:hint="eastAsia"/>
                <w:sz w:val="20"/>
              </w:rPr>
            </w:pPr>
            <w:r>
              <w:rPr>
                <w:sz w:val="20"/>
              </w:rPr>
              <w:t xml:space="preserve">Original: </w:t>
            </w:r>
            <w:r>
              <w:rPr>
                <w:rFonts w:hint="eastAsia"/>
                <w:sz w:val="20"/>
              </w:rPr>
              <w:t>Spanish</w:t>
            </w:r>
          </w:p>
        </w:tc>
      </w:tr>
    </w:tbl>
    <w:p w:rsidR="00A2190D" w:rsidRDefault="00A2190D">
      <w:pPr>
        <w:spacing w:before="120"/>
        <w:rPr>
          <w:rFonts w:hint="eastAsia"/>
          <w:sz w:val="24"/>
          <w:szCs w:val="24"/>
          <w:lang w:val="fr-CH"/>
        </w:rPr>
      </w:pPr>
      <w:r>
        <w:rPr>
          <w:rFonts w:hint="eastAsia"/>
          <w:sz w:val="24"/>
          <w:szCs w:val="24"/>
          <w:lang w:val="fr-CH"/>
        </w:rPr>
        <w:t>残疾人权利委员会</w:t>
      </w:r>
    </w:p>
    <w:p w:rsidR="00A2190D" w:rsidRDefault="00A2190D">
      <w:pPr>
        <w:pStyle w:val="HMGC"/>
        <w:rPr>
          <w:rFonts w:eastAsia="SimSun"/>
        </w:rPr>
      </w:pPr>
      <w:r>
        <w:rPr>
          <w:rFonts w:eastAsia="SimSun" w:hint="eastAsia"/>
        </w:rPr>
        <w:tab/>
      </w:r>
      <w:r>
        <w:rPr>
          <w:rFonts w:eastAsia="SimSun" w:hint="eastAsia"/>
        </w:rPr>
        <w:tab/>
      </w:r>
      <w:r>
        <w:rPr>
          <w:rFonts w:eastAsia="SimSun" w:hint="eastAsia"/>
        </w:rPr>
        <w:t>《残疾人权利公约》的实施情况</w:t>
      </w:r>
    </w:p>
    <w:p w:rsidR="00A2190D" w:rsidRDefault="00A2190D">
      <w:pPr>
        <w:pStyle w:val="HChGC"/>
        <w:rPr>
          <w:rFonts w:eastAsia="SimSun"/>
        </w:rPr>
      </w:pPr>
      <w:r>
        <w:rPr>
          <w:rFonts w:eastAsia="SimSun" w:hint="eastAsia"/>
        </w:rPr>
        <w:tab/>
      </w:r>
      <w:r>
        <w:rPr>
          <w:rFonts w:eastAsia="SimSun" w:hint="eastAsia"/>
        </w:rPr>
        <w:tab/>
      </w:r>
      <w:r>
        <w:rPr>
          <w:rFonts w:eastAsia="SimSun" w:hint="eastAsia"/>
        </w:rPr>
        <w:t>缔约国按照《公约》</w:t>
      </w:r>
      <w:r>
        <w:rPr>
          <w:rFonts w:eastAsia="SimSun"/>
        </w:rPr>
        <w:t>第</w:t>
      </w:r>
      <w:r>
        <w:rPr>
          <w:rFonts w:eastAsia="SimSun" w:hint="eastAsia"/>
        </w:rPr>
        <w:t>三十五</w:t>
      </w:r>
      <w:r>
        <w:rPr>
          <w:rFonts w:eastAsia="SimSun"/>
        </w:rPr>
        <w:t>条提</w:t>
      </w:r>
      <w:r>
        <w:rPr>
          <w:rFonts w:eastAsia="SimSun" w:hint="eastAsia"/>
        </w:rPr>
        <w:t>交的初次报告</w:t>
      </w:r>
    </w:p>
    <w:p w:rsidR="00A2190D" w:rsidRDefault="00A2190D">
      <w:pPr>
        <w:pStyle w:val="HMGC"/>
        <w:rPr>
          <w:rStyle w:val="FootnoteReference"/>
          <w:rFonts w:eastAsia="SimSun"/>
        </w:rPr>
      </w:pPr>
      <w:r>
        <w:rPr>
          <w:rFonts w:eastAsia="SimSun"/>
        </w:rPr>
        <w:tab/>
      </w:r>
      <w:r>
        <w:rPr>
          <w:rFonts w:eastAsia="SimSun"/>
        </w:rPr>
        <w:tab/>
      </w:r>
      <w:r>
        <w:rPr>
          <w:rFonts w:eastAsia="SimSun" w:hint="eastAsia"/>
        </w:rPr>
        <w:t>墨西哥</w:t>
      </w:r>
      <w:r>
        <w:rPr>
          <w:rStyle w:val="FootnoteReference"/>
          <w:rFonts w:eastAsia="SimSun"/>
          <w:position w:val="6"/>
          <w:sz w:val="34"/>
          <w:szCs w:val="34"/>
          <w:vertAlign w:val="baseline"/>
        </w:rPr>
        <w:footnoteReference w:customMarkFollows="1" w:id="1"/>
        <w:t>*</w:t>
      </w:r>
    </w:p>
    <w:p w:rsidR="00A2190D" w:rsidRDefault="00A2190D">
      <w:pPr>
        <w:wordWrap w:val="0"/>
        <w:jc w:val="right"/>
        <w:rPr>
          <w:rFonts w:hint="eastAsia"/>
        </w:rPr>
      </w:pPr>
      <w:r>
        <w:rPr>
          <w:szCs w:val="21"/>
        </w:rPr>
        <w:t>[2011</w:t>
      </w:r>
      <w:r>
        <w:rPr>
          <w:rFonts w:hint="eastAsia"/>
          <w:szCs w:val="21"/>
        </w:rPr>
        <w:t>年</w:t>
      </w:r>
      <w:r>
        <w:rPr>
          <w:rFonts w:hint="eastAsia"/>
          <w:szCs w:val="21"/>
        </w:rPr>
        <w:t>4</w:t>
      </w:r>
      <w:r>
        <w:rPr>
          <w:rFonts w:hint="eastAsia"/>
          <w:szCs w:val="21"/>
        </w:rPr>
        <w:t>月</w:t>
      </w:r>
      <w:r>
        <w:rPr>
          <w:rFonts w:hint="eastAsia"/>
          <w:szCs w:val="21"/>
        </w:rPr>
        <w:t>7</w:t>
      </w:r>
      <w:r>
        <w:rPr>
          <w:rFonts w:hint="eastAsia"/>
          <w:szCs w:val="21"/>
        </w:rPr>
        <w:t>日</w:t>
      </w:r>
      <w:r>
        <w:rPr>
          <w:szCs w:val="21"/>
        </w:rPr>
        <w:t>]</w:t>
      </w:r>
    </w:p>
    <w:p w:rsidR="00A2190D" w:rsidRDefault="00A2190D">
      <w:pPr>
        <w:spacing w:after="120"/>
        <w:rPr>
          <w:sz w:val="28"/>
          <w:szCs w:val="28"/>
        </w:rPr>
      </w:pPr>
    </w:p>
    <w:p w:rsidR="00A2190D" w:rsidRDefault="00A2190D">
      <w:pPr>
        <w:tabs>
          <w:tab w:val="center" w:pos="8505"/>
          <w:tab w:val="right" w:pos="9639"/>
        </w:tabs>
        <w:spacing w:after="120"/>
        <w:ind w:left="488"/>
        <w:rPr>
          <w:rFonts w:hint="eastAsia"/>
          <w:sz w:val="23"/>
          <w:szCs w:val="23"/>
        </w:rPr>
      </w:pPr>
      <w:r>
        <w:rPr>
          <w:sz w:val="18"/>
          <w:szCs w:val="18"/>
          <w:lang w:val="fr-CH"/>
        </w:rPr>
        <w:tab/>
      </w:r>
    </w:p>
    <w:p w:rsidR="00A2190D" w:rsidRDefault="00A2190D">
      <w:pPr>
        <w:spacing w:after="120"/>
        <w:rPr>
          <w:sz w:val="28"/>
          <w:szCs w:val="28"/>
        </w:rPr>
      </w:pPr>
      <w:r>
        <w:rPr>
          <w:szCs w:val="24"/>
        </w:rPr>
        <w:br w:type="page"/>
      </w:r>
      <w:r>
        <w:rPr>
          <w:rFonts w:hint="eastAsia"/>
          <w:sz w:val="28"/>
          <w:szCs w:val="28"/>
        </w:rPr>
        <w:t>目录</w:t>
      </w:r>
    </w:p>
    <w:p w:rsidR="00A2190D" w:rsidRDefault="00A2190D">
      <w:pPr>
        <w:tabs>
          <w:tab w:val="right" w:pos="8789"/>
          <w:tab w:val="right" w:pos="9639"/>
        </w:tabs>
        <w:spacing w:after="120"/>
        <w:ind w:left="488"/>
        <w:rPr>
          <w:sz w:val="23"/>
          <w:szCs w:val="23"/>
        </w:rPr>
      </w:pPr>
      <w:r>
        <w:rPr>
          <w:sz w:val="18"/>
          <w:szCs w:val="18"/>
          <w:lang w:val="fr-CH"/>
        </w:rPr>
        <w:tab/>
      </w:r>
      <w:r>
        <w:rPr>
          <w:rFonts w:hint="eastAsia"/>
          <w:sz w:val="18"/>
          <w:szCs w:val="18"/>
        </w:rPr>
        <w:t>段次</w:t>
      </w:r>
      <w:r>
        <w:rPr>
          <w:sz w:val="23"/>
          <w:szCs w:val="23"/>
        </w:rPr>
        <w:tab/>
      </w:r>
      <w:r>
        <w:rPr>
          <w:rFonts w:hint="eastAsia"/>
          <w:sz w:val="18"/>
          <w:szCs w:val="18"/>
        </w:rPr>
        <w:t>页次</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一</w:t>
      </w:r>
      <w:r>
        <w:rPr>
          <w:rFonts w:hint="eastAsia"/>
        </w:rPr>
        <w:t>.</w:t>
      </w:r>
      <w:r>
        <w:rPr>
          <w:rFonts w:hint="eastAsia"/>
        </w:rPr>
        <w:tab/>
      </w:r>
      <w:r>
        <w:rPr>
          <w:rFonts w:hint="eastAsia"/>
        </w:rPr>
        <w:t>方法</w:t>
      </w:r>
      <w:r>
        <w:rPr>
          <w:rFonts w:hint="eastAsia"/>
        </w:rPr>
        <w:tab/>
      </w:r>
      <w:r>
        <w:rPr>
          <w:rFonts w:hint="eastAsia"/>
        </w:rPr>
        <w:tab/>
      </w:r>
      <w:r>
        <w:rPr>
          <w:rFonts w:hint="eastAsia"/>
        </w:rPr>
        <w:tab/>
        <w:t>1-4</w:t>
      </w:r>
      <w:r>
        <w:rPr>
          <w:rFonts w:hint="eastAsia"/>
        </w:rPr>
        <w:tab/>
      </w:r>
      <w:r>
        <w:t>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二</w:t>
      </w:r>
      <w:r>
        <w:rPr>
          <w:rFonts w:hint="eastAsia"/>
        </w:rPr>
        <w:t>.</w:t>
      </w:r>
      <w:r>
        <w:rPr>
          <w:rFonts w:hint="eastAsia"/>
        </w:rPr>
        <w:tab/>
      </w:r>
      <w:r>
        <w:rPr>
          <w:rFonts w:hint="eastAsia"/>
        </w:rPr>
        <w:t>导言</w:t>
      </w:r>
      <w:r>
        <w:rPr>
          <w:rFonts w:hint="eastAsia"/>
        </w:rPr>
        <w:tab/>
      </w:r>
      <w:r>
        <w:rPr>
          <w:rFonts w:hint="eastAsia"/>
        </w:rPr>
        <w:tab/>
      </w:r>
      <w:r>
        <w:rPr>
          <w:rFonts w:hint="eastAsia"/>
        </w:rPr>
        <w:tab/>
        <w:t>5-6</w:t>
      </w:r>
      <w:r>
        <w:rPr>
          <w:rFonts w:hint="eastAsia"/>
        </w:rPr>
        <w:tab/>
      </w:r>
      <w:r>
        <w:t>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三</w:t>
      </w:r>
      <w:r>
        <w:rPr>
          <w:rFonts w:hint="eastAsia"/>
        </w:rPr>
        <w:t>.</w:t>
      </w:r>
      <w:r>
        <w:rPr>
          <w:rFonts w:hint="eastAsia"/>
        </w:rPr>
        <w:tab/>
      </w:r>
      <w:r>
        <w:rPr>
          <w:rFonts w:hint="eastAsia"/>
        </w:rPr>
        <w:t>《公约》各条的实施</w:t>
      </w:r>
      <w:r>
        <w:rPr>
          <w:rFonts w:hint="eastAsia"/>
        </w:rPr>
        <w:tab/>
      </w:r>
      <w:r>
        <w:rPr>
          <w:rFonts w:hint="eastAsia"/>
        </w:rPr>
        <w:tab/>
        <w:t>7-242</w:t>
      </w:r>
      <w:r>
        <w:rPr>
          <w:rFonts w:hint="eastAsia"/>
        </w:rPr>
        <w:tab/>
      </w:r>
      <w:r>
        <w:t>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第一至四条</w:t>
      </w:r>
      <w:r>
        <w:rPr>
          <w:rFonts w:hint="eastAsia"/>
        </w:rPr>
        <w:tab/>
      </w:r>
      <w:r>
        <w:rPr>
          <w:rFonts w:hint="eastAsia"/>
        </w:rPr>
        <w:tab/>
        <w:t>7-28</w:t>
      </w:r>
      <w:r>
        <w:rPr>
          <w:rFonts w:hint="eastAsia"/>
        </w:rPr>
        <w:tab/>
      </w:r>
      <w:r>
        <w:t>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第五条：平等和不歧视</w:t>
      </w:r>
      <w:r>
        <w:rPr>
          <w:rFonts w:hint="eastAsia"/>
        </w:rPr>
        <w:tab/>
      </w:r>
      <w:r>
        <w:rPr>
          <w:rFonts w:hint="eastAsia"/>
        </w:rPr>
        <w:tab/>
        <w:t>29-33</w:t>
      </w:r>
      <w:r>
        <w:rPr>
          <w:rFonts w:hint="eastAsia"/>
        </w:rPr>
        <w:tab/>
      </w:r>
      <w:r>
        <w:t>7</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第六条：残疾妇女</w:t>
      </w:r>
      <w:r>
        <w:rPr>
          <w:rFonts w:hint="eastAsia"/>
        </w:rPr>
        <w:tab/>
      </w:r>
      <w:r>
        <w:rPr>
          <w:rFonts w:hint="eastAsia"/>
        </w:rPr>
        <w:tab/>
        <w:t>34-41</w:t>
      </w:r>
      <w:r>
        <w:rPr>
          <w:rFonts w:hint="eastAsia"/>
        </w:rPr>
        <w:tab/>
      </w:r>
      <w:r>
        <w:t>8</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第七条：残疾儿童</w:t>
      </w:r>
      <w:r>
        <w:rPr>
          <w:rFonts w:hint="eastAsia"/>
        </w:rPr>
        <w:tab/>
      </w:r>
      <w:r>
        <w:rPr>
          <w:rFonts w:hint="eastAsia"/>
        </w:rPr>
        <w:tab/>
        <w:t>42-50</w:t>
      </w:r>
      <w:r>
        <w:rPr>
          <w:rFonts w:hint="eastAsia"/>
        </w:rPr>
        <w:tab/>
      </w:r>
      <w:r>
        <w:t>9</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第八条：提高认识</w:t>
      </w:r>
      <w:r>
        <w:rPr>
          <w:rFonts w:hint="eastAsia"/>
        </w:rPr>
        <w:tab/>
      </w:r>
      <w:r>
        <w:rPr>
          <w:rFonts w:hint="eastAsia"/>
        </w:rPr>
        <w:tab/>
        <w:t>51-53</w:t>
      </w:r>
      <w:r>
        <w:rPr>
          <w:rFonts w:hint="eastAsia"/>
        </w:rPr>
        <w:tab/>
      </w:r>
      <w:r>
        <w:t>10</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第九条：无障碍</w:t>
      </w:r>
      <w:r>
        <w:rPr>
          <w:rFonts w:hint="eastAsia"/>
        </w:rPr>
        <w:tab/>
      </w:r>
      <w:r>
        <w:rPr>
          <w:rFonts w:hint="eastAsia"/>
        </w:rPr>
        <w:tab/>
        <w:t>54-61</w:t>
      </w:r>
      <w:r>
        <w:rPr>
          <w:rFonts w:hint="eastAsia"/>
        </w:rPr>
        <w:tab/>
      </w:r>
      <w:r>
        <w:t>11</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第十条：生命权</w:t>
      </w:r>
      <w:r>
        <w:rPr>
          <w:rFonts w:hint="eastAsia"/>
        </w:rPr>
        <w:t>.........................................</w:t>
      </w:r>
      <w:r>
        <w:rPr>
          <w:rFonts w:hint="eastAsia"/>
        </w:rPr>
        <w:tab/>
      </w:r>
      <w:r>
        <w:rPr>
          <w:rFonts w:hint="eastAsia"/>
        </w:rPr>
        <w:tab/>
        <w:t>62</w:t>
      </w:r>
      <w:r>
        <w:rPr>
          <w:rFonts w:hint="eastAsia"/>
        </w:rPr>
        <w:tab/>
      </w:r>
      <w:r>
        <w:t>13</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第十一条：危难情况和人道主义紧急情况</w:t>
      </w:r>
      <w:r>
        <w:rPr>
          <w:rFonts w:hint="eastAsia"/>
        </w:rPr>
        <w:tab/>
      </w:r>
      <w:r>
        <w:rPr>
          <w:rFonts w:hint="eastAsia"/>
        </w:rPr>
        <w:tab/>
        <w:t>63-70</w:t>
      </w:r>
      <w:r>
        <w:rPr>
          <w:rFonts w:hint="eastAsia"/>
        </w:rPr>
        <w:tab/>
      </w:r>
      <w:r>
        <w:t>14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第十二条：在法律面前获得平等承认</w:t>
      </w:r>
      <w:r>
        <w:rPr>
          <w:rFonts w:hint="eastAsia"/>
        </w:rPr>
        <w:tab/>
      </w:r>
      <w:r>
        <w:rPr>
          <w:rFonts w:hint="eastAsia"/>
        </w:rPr>
        <w:tab/>
        <w:t>71-77</w:t>
      </w:r>
      <w:r>
        <w:rPr>
          <w:rFonts w:hint="eastAsia"/>
        </w:rPr>
        <w:tab/>
      </w:r>
      <w:r>
        <w:t>14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第十三条：获得司法保护</w:t>
      </w:r>
      <w:r>
        <w:rPr>
          <w:rFonts w:hint="eastAsia"/>
        </w:rPr>
        <w:tab/>
      </w:r>
      <w:r>
        <w:rPr>
          <w:rFonts w:hint="eastAsia"/>
        </w:rPr>
        <w:tab/>
        <w:t>78-88</w:t>
      </w:r>
      <w:r>
        <w:rPr>
          <w:rFonts w:hint="eastAsia"/>
        </w:rPr>
        <w:tab/>
      </w:r>
      <w:r>
        <w:t>15</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第十四条：自由和人身安全</w:t>
      </w:r>
      <w:r>
        <w:rPr>
          <w:rFonts w:hint="eastAsia"/>
        </w:rPr>
        <w:tab/>
      </w:r>
      <w:r>
        <w:rPr>
          <w:rFonts w:hint="eastAsia"/>
        </w:rPr>
        <w:tab/>
        <w:t>89-91</w:t>
      </w:r>
      <w:r>
        <w:rPr>
          <w:rFonts w:hint="eastAsia"/>
        </w:rPr>
        <w:tab/>
      </w:r>
      <w:r>
        <w:t>17</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第十五条：免于酷刑和其他残忍、不人道或有辱人格待遇或处罚</w:t>
      </w:r>
      <w:r>
        <w:rPr>
          <w:rFonts w:hint="eastAsia"/>
        </w:rPr>
        <w:tab/>
      </w:r>
      <w:r>
        <w:rPr>
          <w:rFonts w:hint="eastAsia"/>
        </w:rPr>
        <w:tab/>
        <w:t>92-96</w:t>
      </w:r>
      <w:r>
        <w:rPr>
          <w:rFonts w:hint="eastAsia"/>
        </w:rPr>
        <w:tab/>
      </w:r>
      <w:r>
        <w:t>17</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第十六条：免于剥削、暴力和凌虐</w:t>
      </w:r>
      <w:r>
        <w:rPr>
          <w:rFonts w:hint="eastAsia"/>
        </w:rPr>
        <w:tab/>
      </w:r>
      <w:r>
        <w:rPr>
          <w:rFonts w:hint="eastAsia"/>
        </w:rPr>
        <w:tab/>
        <w:t>97-104</w:t>
      </w:r>
      <w:r>
        <w:rPr>
          <w:rFonts w:hint="eastAsia"/>
        </w:rPr>
        <w:tab/>
      </w:r>
      <w:r>
        <w:t>18</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第十七条：保护人身完整性</w:t>
      </w:r>
      <w:r>
        <w:rPr>
          <w:rFonts w:hint="eastAsia"/>
        </w:rPr>
        <w:tab/>
      </w:r>
      <w:r>
        <w:rPr>
          <w:rFonts w:hint="eastAsia"/>
        </w:rPr>
        <w:tab/>
        <w:t>105-108</w:t>
      </w:r>
      <w:r>
        <w:rPr>
          <w:rFonts w:hint="eastAsia"/>
        </w:rPr>
        <w:tab/>
      </w:r>
      <w:r>
        <w:t>19</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第十八条：迁徙自由和国籍</w:t>
      </w:r>
      <w:r>
        <w:rPr>
          <w:rFonts w:hint="eastAsia"/>
        </w:rPr>
        <w:tab/>
      </w:r>
      <w:r>
        <w:rPr>
          <w:rFonts w:hint="eastAsia"/>
        </w:rPr>
        <w:tab/>
        <w:t>109-112</w:t>
      </w:r>
      <w:r>
        <w:rPr>
          <w:rFonts w:hint="eastAsia"/>
        </w:rPr>
        <w:tab/>
      </w:r>
      <w:r>
        <w:t>19</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第十九条：独立生活和融入社区权</w:t>
      </w:r>
      <w:r>
        <w:rPr>
          <w:rFonts w:hint="eastAsia"/>
        </w:rPr>
        <w:tab/>
      </w:r>
      <w:r>
        <w:rPr>
          <w:rFonts w:hint="eastAsia"/>
        </w:rPr>
        <w:tab/>
        <w:t>113-116</w:t>
      </w:r>
      <w:r>
        <w:rPr>
          <w:rFonts w:hint="eastAsia"/>
        </w:rPr>
        <w:tab/>
      </w:r>
      <w:r>
        <w:t>20</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第二十条：个人行动能力</w:t>
      </w:r>
      <w:r>
        <w:rPr>
          <w:rFonts w:hint="eastAsia"/>
        </w:rPr>
        <w:t>.........................................</w:t>
      </w:r>
      <w:r>
        <w:rPr>
          <w:rFonts w:hint="eastAsia"/>
        </w:rPr>
        <w:tab/>
      </w:r>
      <w:r>
        <w:rPr>
          <w:rFonts w:hint="eastAsia"/>
        </w:rPr>
        <w:tab/>
        <w:t>117-121</w:t>
      </w:r>
      <w:r>
        <w:rPr>
          <w:rFonts w:hint="eastAsia"/>
        </w:rPr>
        <w:tab/>
      </w:r>
      <w:r>
        <w:t>20</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第二十一条：表达意见的自由和获得信息的机会</w:t>
      </w:r>
      <w:r>
        <w:rPr>
          <w:rFonts w:hint="eastAsia"/>
        </w:rPr>
        <w:tab/>
      </w:r>
      <w:r>
        <w:rPr>
          <w:rFonts w:hint="eastAsia"/>
        </w:rPr>
        <w:tab/>
        <w:t>122-128</w:t>
      </w:r>
      <w:r>
        <w:rPr>
          <w:rFonts w:hint="eastAsia"/>
        </w:rPr>
        <w:tab/>
      </w:r>
      <w:r>
        <w:t>21</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第二十二条：尊重隐私</w:t>
      </w:r>
      <w:r>
        <w:rPr>
          <w:rFonts w:hint="eastAsia"/>
        </w:rPr>
        <w:tab/>
      </w:r>
      <w:r>
        <w:rPr>
          <w:rFonts w:hint="eastAsia"/>
        </w:rPr>
        <w:tab/>
        <w:t>129-130</w:t>
      </w:r>
      <w:r>
        <w:rPr>
          <w:rFonts w:hint="eastAsia"/>
        </w:rPr>
        <w:tab/>
      </w:r>
      <w:r>
        <w:t>22</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第二十三条：尊重家居和家庭</w:t>
      </w:r>
      <w:r>
        <w:rPr>
          <w:rFonts w:hint="eastAsia"/>
        </w:rPr>
        <w:tab/>
      </w:r>
      <w:r>
        <w:rPr>
          <w:rFonts w:hint="eastAsia"/>
        </w:rPr>
        <w:tab/>
        <w:t>131-136</w:t>
      </w:r>
      <w:r>
        <w:rPr>
          <w:rFonts w:hint="eastAsia"/>
        </w:rPr>
        <w:tab/>
      </w:r>
      <w:r>
        <w:t>22</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第二十四条：教育</w:t>
      </w:r>
      <w:r>
        <w:rPr>
          <w:rFonts w:hint="eastAsia"/>
        </w:rPr>
        <w:tab/>
      </w:r>
      <w:r>
        <w:rPr>
          <w:rFonts w:hint="eastAsia"/>
        </w:rPr>
        <w:tab/>
        <w:t>137-157</w:t>
      </w:r>
      <w:r>
        <w:rPr>
          <w:rFonts w:hint="eastAsia"/>
        </w:rPr>
        <w:tab/>
      </w:r>
      <w:r>
        <w:t>23</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第二十五条：健康</w:t>
      </w:r>
      <w:r>
        <w:rPr>
          <w:rFonts w:hint="eastAsia"/>
        </w:rPr>
        <w:tab/>
      </w:r>
      <w:r>
        <w:rPr>
          <w:rFonts w:hint="eastAsia"/>
        </w:rPr>
        <w:tab/>
        <w:t>158-175</w:t>
      </w:r>
      <w:r>
        <w:rPr>
          <w:rFonts w:hint="eastAsia"/>
        </w:rPr>
        <w:tab/>
      </w:r>
      <w:r>
        <w:t>26</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第二十六条：恢复训练和康复</w:t>
      </w:r>
      <w:r>
        <w:rPr>
          <w:rFonts w:hint="eastAsia"/>
        </w:rPr>
        <w:tab/>
      </w:r>
      <w:r>
        <w:rPr>
          <w:rFonts w:hint="eastAsia"/>
        </w:rPr>
        <w:tab/>
        <w:t>176-188</w:t>
      </w:r>
      <w:r>
        <w:rPr>
          <w:rFonts w:hint="eastAsia"/>
        </w:rPr>
        <w:tab/>
      </w:r>
      <w:r>
        <w:t>28</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第二十七条：工作和就业</w:t>
      </w:r>
      <w:r>
        <w:rPr>
          <w:rFonts w:hint="eastAsia"/>
        </w:rPr>
        <w:tab/>
      </w:r>
      <w:r>
        <w:rPr>
          <w:rFonts w:hint="eastAsia"/>
        </w:rPr>
        <w:tab/>
        <w:t>189-212</w:t>
      </w:r>
      <w:r>
        <w:rPr>
          <w:rFonts w:hint="eastAsia"/>
        </w:rPr>
        <w:tab/>
      </w:r>
      <w:r>
        <w:t>29</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第二十八条：适足的生活水平和社会保护</w:t>
      </w:r>
      <w:r>
        <w:rPr>
          <w:rFonts w:hint="eastAsia"/>
        </w:rPr>
        <w:tab/>
      </w:r>
      <w:r>
        <w:rPr>
          <w:rFonts w:hint="eastAsia"/>
        </w:rPr>
        <w:tab/>
        <w:t>213-221</w:t>
      </w:r>
      <w:r>
        <w:rPr>
          <w:rFonts w:hint="eastAsia"/>
        </w:rPr>
        <w:tab/>
      </w:r>
      <w:r>
        <w:t>32</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第二十九条：参与政治和公共生活</w:t>
      </w:r>
      <w:r>
        <w:rPr>
          <w:rFonts w:hint="eastAsia"/>
        </w:rPr>
        <w:tab/>
      </w:r>
      <w:r>
        <w:rPr>
          <w:rFonts w:hint="eastAsia"/>
        </w:rPr>
        <w:tab/>
        <w:t>222-229</w:t>
      </w:r>
      <w:r>
        <w:rPr>
          <w:rFonts w:hint="eastAsia"/>
        </w:rPr>
        <w:tab/>
      </w:r>
      <w:r>
        <w:t>34</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第三十条：参与文化生活、娱乐、休闲和体育活动</w:t>
      </w:r>
      <w:r>
        <w:rPr>
          <w:rFonts w:hint="eastAsia"/>
        </w:rPr>
        <w:t>..............</w:t>
      </w:r>
      <w:r>
        <w:rPr>
          <w:rFonts w:hint="eastAsia"/>
        </w:rPr>
        <w:tab/>
      </w:r>
      <w:r>
        <w:rPr>
          <w:rFonts w:hint="eastAsia"/>
        </w:rPr>
        <w:tab/>
        <w:t>230</w:t>
      </w:r>
      <w:r>
        <w:rPr>
          <w:rFonts w:hint="eastAsia"/>
        </w:rPr>
        <w:tab/>
      </w:r>
      <w:r>
        <w:t>35</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第三十一条：统计和数据收集</w:t>
      </w:r>
      <w:r>
        <w:rPr>
          <w:rFonts w:hint="eastAsia"/>
        </w:rPr>
        <w:tab/>
      </w:r>
      <w:r>
        <w:rPr>
          <w:rFonts w:hint="eastAsia"/>
        </w:rPr>
        <w:tab/>
        <w:t>231-234</w:t>
      </w:r>
      <w:r>
        <w:rPr>
          <w:rFonts w:hint="eastAsia"/>
        </w:rPr>
        <w:tab/>
      </w:r>
      <w:r>
        <w:t>35</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第三十二条：国际合作</w:t>
      </w:r>
      <w:r>
        <w:rPr>
          <w:rFonts w:hint="eastAsia"/>
        </w:rPr>
        <w:tab/>
      </w:r>
      <w:r>
        <w:rPr>
          <w:rFonts w:hint="eastAsia"/>
        </w:rPr>
        <w:tab/>
        <w:t>235-239</w:t>
      </w:r>
      <w:r>
        <w:rPr>
          <w:rFonts w:hint="eastAsia"/>
        </w:rPr>
        <w:tab/>
      </w:r>
      <w:r>
        <w:t>36</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ab/>
      </w:r>
      <w:r>
        <w:rPr>
          <w:rFonts w:hint="eastAsia"/>
        </w:rPr>
        <w:t>第三十三条：国内实施和监测</w:t>
      </w:r>
      <w:r>
        <w:rPr>
          <w:rFonts w:hint="eastAsia"/>
        </w:rPr>
        <w:tab/>
      </w:r>
      <w:r>
        <w:rPr>
          <w:rFonts w:hint="eastAsia"/>
        </w:rPr>
        <w:tab/>
        <w:t>240-242</w:t>
      </w:r>
      <w:r>
        <w:rPr>
          <w:rFonts w:hint="eastAsia"/>
        </w:rPr>
        <w:tab/>
      </w:r>
      <w:r>
        <w:t>36</w:t>
      </w:r>
    </w:p>
    <w:p w:rsidR="00A2190D" w:rsidRDefault="00A2190D">
      <w:pPr>
        <w:pStyle w:val="a3"/>
        <w:tabs>
          <w:tab w:val="clear" w:pos="851"/>
          <w:tab w:val="clear" w:pos="1996"/>
          <w:tab w:val="clear" w:pos="7655"/>
          <w:tab w:val="clear" w:pos="8789"/>
          <w:tab w:val="clear" w:pos="9554"/>
          <w:tab w:val="right" w:pos="850"/>
          <w:tab w:val="left" w:pos="1134"/>
          <w:tab w:val="left" w:pos="1565"/>
          <w:tab w:val="right" w:leader="dot" w:pos="7654"/>
          <w:tab w:val="right" w:pos="8787"/>
          <w:tab w:val="right" w:pos="9553"/>
        </w:tabs>
        <w:ind w:right="2551"/>
      </w:pPr>
      <w:r>
        <w:rPr>
          <w:rFonts w:hint="eastAsia"/>
        </w:rPr>
        <w:tab/>
      </w:r>
      <w:r>
        <w:rPr>
          <w:rFonts w:hint="eastAsia"/>
        </w:rPr>
        <w:t>四</w:t>
      </w:r>
      <w:r>
        <w:rPr>
          <w:rFonts w:hint="eastAsia"/>
        </w:rPr>
        <w:t>.</w:t>
      </w:r>
      <w:r>
        <w:rPr>
          <w:rFonts w:hint="eastAsia"/>
        </w:rPr>
        <w:tab/>
      </w:r>
      <w:r>
        <w:rPr>
          <w:rFonts w:hint="eastAsia"/>
        </w:rPr>
        <w:t>结论</w:t>
      </w:r>
      <w:r>
        <w:rPr>
          <w:rFonts w:hint="eastAsia"/>
        </w:rPr>
        <w:tab/>
      </w:r>
      <w:r>
        <w:rPr>
          <w:rFonts w:hint="eastAsia"/>
        </w:rPr>
        <w:tab/>
      </w:r>
      <w:r>
        <w:rPr>
          <w:rFonts w:hint="eastAsia"/>
        </w:rPr>
        <w:tab/>
        <w:t>243-270</w:t>
      </w:r>
      <w:r>
        <w:rPr>
          <w:rFonts w:hint="eastAsia"/>
        </w:rPr>
        <w:tab/>
      </w:r>
      <w:r>
        <w:t>37</w:t>
      </w:r>
    </w:p>
    <w:p w:rsidR="00A2190D" w:rsidRDefault="00A2190D">
      <w:pPr>
        <w:pStyle w:val="a4"/>
        <w:ind w:left="1565"/>
      </w:pPr>
      <w:r>
        <w:rPr>
          <w:rFonts w:hint="eastAsia"/>
        </w:rPr>
        <w:t>附件</w:t>
      </w:r>
      <w:r>
        <w:rPr>
          <w:rStyle w:val="FootnoteReference"/>
          <w:vertAlign w:val="baseline"/>
        </w:rPr>
        <w:footnoteReference w:customMarkFollows="1" w:id="2"/>
        <w:t>**</w:t>
      </w:r>
    </w:p>
    <w:p w:rsidR="00A2190D" w:rsidRDefault="00A2190D">
      <w:pPr>
        <w:pStyle w:val="HChGC"/>
      </w:pPr>
      <w:r>
        <w:br w:type="page"/>
      </w:r>
      <w:r>
        <w:rPr>
          <w:rStyle w:val="FootnoteReference"/>
        </w:rPr>
        <w:t xml:space="preserve"> </w:t>
      </w:r>
      <w:bookmarkStart w:id="0" w:name="_Toc341278105"/>
      <w:r>
        <w:rPr>
          <w:rFonts w:hint="eastAsia"/>
        </w:rPr>
        <w:tab/>
      </w:r>
      <w:r>
        <w:rPr>
          <w:rFonts w:hAnsi="SimHei" w:hint="eastAsia"/>
        </w:rPr>
        <w:t>一</w:t>
      </w:r>
      <w:r>
        <w:rPr>
          <w:rFonts w:hint="eastAsia"/>
        </w:rPr>
        <w:t>.</w:t>
      </w:r>
      <w:bookmarkEnd w:id="0"/>
      <w:r>
        <w:rPr>
          <w:rFonts w:hint="eastAsia"/>
        </w:rPr>
        <w:tab/>
      </w:r>
      <w:r>
        <w:rPr>
          <w:rFonts w:hAnsi="SimHei" w:hint="eastAsia"/>
        </w:rPr>
        <w:t>方法</w:t>
      </w:r>
    </w:p>
    <w:p w:rsidR="00A2190D" w:rsidRDefault="00A2190D">
      <w:pPr>
        <w:pStyle w:val="SingleTxtGC"/>
      </w:pPr>
      <w:bookmarkStart w:id="1" w:name="_Toc341278107"/>
      <w:r>
        <w:t xml:space="preserve">1.  </w:t>
      </w:r>
      <w:r>
        <w:rPr>
          <w:rFonts w:hint="eastAsia"/>
        </w:rPr>
        <w:t>本文件是墨西哥初次报告</w:t>
      </w:r>
      <w:r>
        <w:rPr>
          <w:rFonts w:hint="eastAsia"/>
        </w:rPr>
        <w:t>(</w:t>
      </w:r>
      <w:r>
        <w:rPr>
          <w:rFonts w:hint="eastAsia"/>
        </w:rPr>
        <w:t>参见第</w:t>
      </w:r>
      <w:r>
        <w:t>1</w:t>
      </w:r>
      <w:r>
        <w:rPr>
          <w:rFonts w:hint="eastAsia"/>
        </w:rPr>
        <w:t>号附件</w:t>
      </w:r>
      <w:r>
        <w:rPr>
          <w:rFonts w:hint="eastAsia"/>
        </w:rPr>
        <w:t>)</w:t>
      </w:r>
      <w:r>
        <w:rPr>
          <w:rFonts w:hint="eastAsia"/>
        </w:rPr>
        <w:t>的内容提要，是经联邦行政机构下属机关、立法与司法机关、共和国各实体单位、全国人权委员会、联邦区人权委员会和各学术机构广泛参与后撰写而成的。</w:t>
      </w:r>
    </w:p>
    <w:p w:rsidR="00A2190D" w:rsidRDefault="00A2190D">
      <w:pPr>
        <w:pStyle w:val="SingleTxtGC"/>
      </w:pPr>
      <w:r>
        <w:t xml:space="preserve">2.  </w:t>
      </w:r>
      <w:r>
        <w:rPr>
          <w:rFonts w:hint="eastAsia"/>
        </w:rPr>
        <w:t>初次报告包含了民间社会提供的资料和评论。墨西哥从</w:t>
      </w:r>
      <w:smartTag w:uri="urn:schemas-microsoft-com:office:smarttags" w:element="chsdate">
        <w:smartTagPr>
          <w:attr w:name="IsROCDate" w:val="False"/>
          <w:attr w:name="IsLunarDate" w:val="False"/>
          <w:attr w:name="Day" w:val="22"/>
          <w:attr w:name="Month" w:val="2"/>
          <w:attr w:name="Year" w:val="2011"/>
        </w:smartTagPr>
        <w:r>
          <w:t>2011</w:t>
        </w:r>
        <w:r>
          <w:rPr>
            <w:rFonts w:hint="eastAsia"/>
          </w:rPr>
          <w:t>年</w:t>
        </w:r>
        <w:r>
          <w:t>2</w:t>
        </w:r>
        <w:r>
          <w:rPr>
            <w:rFonts w:hint="eastAsia"/>
          </w:rPr>
          <w:t>月</w:t>
        </w:r>
        <w:r>
          <w:t>22</w:t>
        </w:r>
        <w:r>
          <w:rPr>
            <w:rFonts w:hint="eastAsia"/>
          </w:rPr>
          <w:t>日</w:t>
        </w:r>
      </w:smartTag>
      <w:r>
        <w:rPr>
          <w:rFonts w:hint="eastAsia"/>
        </w:rPr>
        <w:t>至</w:t>
      </w:r>
      <w:smartTag w:uri="urn:schemas-microsoft-com:office:smarttags" w:element="chsdate">
        <w:smartTagPr>
          <w:attr w:name="IsROCDate" w:val="False"/>
          <w:attr w:name="IsLunarDate" w:val="False"/>
          <w:attr w:name="Day" w:val="7"/>
          <w:attr w:name="Month" w:val="3"/>
          <w:attr w:name="Year" w:val="2013"/>
        </w:smartTagPr>
        <w:r>
          <w:t>3</w:t>
        </w:r>
        <w:r>
          <w:rPr>
            <w:rFonts w:hint="eastAsia"/>
          </w:rPr>
          <w:t>月</w:t>
        </w:r>
        <w:r>
          <w:t>7</w:t>
        </w:r>
        <w:r>
          <w:rPr>
            <w:rFonts w:hint="eastAsia"/>
          </w:rPr>
          <w:t>日</w:t>
        </w:r>
      </w:smartTag>
      <w:r>
        <w:rPr>
          <w:rFonts w:hint="eastAsia"/>
        </w:rPr>
        <w:t>通过外交部和目前的全国残疾人发展与融合理事会的因特网网页公开征询意见，获得了民间社会提供的资料和评论。墨西哥同样征求了由联邦政府机构和民间社会组织的代表组成的政府人权政策委员会的残疾人权利工作组的意见。</w:t>
      </w:r>
    </w:p>
    <w:p w:rsidR="00A2190D" w:rsidRDefault="00A2190D">
      <w:pPr>
        <w:pStyle w:val="SingleTxtGC"/>
      </w:pPr>
      <w:r>
        <w:t>3.  2010</w:t>
      </w:r>
      <w:r>
        <w:rPr>
          <w:rFonts w:hint="eastAsia"/>
        </w:rPr>
        <w:t>年</w:t>
      </w:r>
      <w:r>
        <w:t>4</w:t>
      </w:r>
      <w:r>
        <w:rPr>
          <w:rFonts w:hint="eastAsia"/>
        </w:rPr>
        <w:t>月</w:t>
      </w:r>
      <w:r>
        <w:t>27</w:t>
      </w:r>
      <w:r>
        <w:rPr>
          <w:rFonts w:hint="eastAsia"/>
        </w:rPr>
        <w:t>和</w:t>
      </w:r>
      <w:r>
        <w:t>28</w:t>
      </w:r>
      <w:r>
        <w:rPr>
          <w:rFonts w:hint="eastAsia"/>
        </w:rPr>
        <w:t>日，墨西哥在外交部举办了初次报告撰写培训讲习所。工作方法是在该讲习所内，经残疾人权利委员会专家和联合国人权事务高级专员办事处的参与制定的</w:t>
      </w:r>
      <w:r>
        <w:rPr>
          <w:rFonts w:hint="eastAsia"/>
        </w:rPr>
        <w:t>(</w:t>
      </w:r>
      <w:r>
        <w:rPr>
          <w:rFonts w:hint="eastAsia"/>
        </w:rPr>
        <w:t>请参见第</w:t>
      </w:r>
      <w:r>
        <w:rPr>
          <w:rFonts w:hint="eastAsia"/>
        </w:rPr>
        <w:t>2</w:t>
      </w:r>
      <w:r>
        <w:rPr>
          <w:rFonts w:hint="eastAsia"/>
        </w:rPr>
        <w:t>号附件</w:t>
      </w:r>
      <w:r>
        <w:rPr>
          <w:rFonts w:hint="eastAsia"/>
        </w:rPr>
        <w:t>)</w:t>
      </w:r>
      <w:r>
        <w:rPr>
          <w:rFonts w:hint="eastAsia"/>
        </w:rPr>
        <w:t>。</w:t>
      </w:r>
    </w:p>
    <w:p w:rsidR="00A2190D" w:rsidRDefault="00A2190D">
      <w:pPr>
        <w:pStyle w:val="SingleTxtGC"/>
        <w:rPr>
          <w:rFonts w:hint="eastAsia"/>
        </w:rPr>
      </w:pPr>
      <w:r>
        <w:t xml:space="preserve">4.  </w:t>
      </w:r>
      <w:r>
        <w:rPr>
          <w:rFonts w:hint="eastAsia"/>
        </w:rPr>
        <w:t>在撰写报告时，有关方面考虑了缔约国根据《残疾人权利公约》第三十五条第一款提交的条约专要文件准则</w:t>
      </w:r>
      <w:r>
        <w:rPr>
          <w:rFonts w:hint="eastAsia"/>
        </w:rPr>
        <w:t>(</w:t>
      </w:r>
      <w:r>
        <w:t>CRPD/C/2/3</w:t>
      </w:r>
      <w:r>
        <w:rPr>
          <w:rFonts w:hint="eastAsia"/>
        </w:rPr>
        <w:t>)</w:t>
      </w:r>
      <w:r>
        <w:rPr>
          <w:rFonts w:hint="eastAsia"/>
        </w:rPr>
        <w:t>。</w:t>
      </w:r>
    </w:p>
    <w:p w:rsidR="00A2190D" w:rsidRDefault="00A2190D">
      <w:pPr>
        <w:pStyle w:val="HChGC"/>
      </w:pPr>
      <w:r>
        <w:rPr>
          <w:rFonts w:hint="eastAsia"/>
        </w:rPr>
        <w:tab/>
      </w:r>
      <w:r>
        <w:rPr>
          <w:rFonts w:hAnsi="SimHei" w:hint="eastAsia"/>
        </w:rPr>
        <w:t>二</w:t>
      </w:r>
      <w:r>
        <w:rPr>
          <w:rFonts w:hint="eastAsia"/>
        </w:rPr>
        <w:t>.</w:t>
      </w:r>
      <w:r>
        <w:rPr>
          <w:rFonts w:hint="eastAsia"/>
        </w:rPr>
        <w:tab/>
      </w:r>
      <w:r>
        <w:rPr>
          <w:rFonts w:hAnsi="SimHei" w:hint="eastAsia"/>
        </w:rPr>
        <w:t>导言</w:t>
      </w:r>
    </w:p>
    <w:p w:rsidR="00A2190D" w:rsidRDefault="00A2190D">
      <w:pPr>
        <w:pStyle w:val="SingleTxtGC"/>
      </w:pPr>
      <w:bookmarkStart w:id="2" w:name="_Toc341278108"/>
      <w:bookmarkEnd w:id="1"/>
      <w:r>
        <w:t xml:space="preserve">5.  </w:t>
      </w:r>
      <w:r>
        <w:rPr>
          <w:rFonts w:hint="eastAsia"/>
        </w:rPr>
        <w:t>《残疾人权利公约》的执行对墨西哥</w:t>
      </w:r>
      <w:r>
        <w:rPr>
          <w:rFonts w:hint="eastAsia"/>
        </w:rPr>
        <w:t>(</w:t>
      </w:r>
      <w:r>
        <w:rPr>
          <w:rFonts w:hint="eastAsia"/>
        </w:rPr>
        <w:t>包括政府和社会</w:t>
      </w:r>
      <w:r>
        <w:rPr>
          <w:rFonts w:hint="eastAsia"/>
        </w:rPr>
        <w:t>)</w:t>
      </w:r>
      <w:r>
        <w:rPr>
          <w:rFonts w:hint="eastAsia"/>
        </w:rPr>
        <w:t>来说是一项重大挑战，原因是墨西哥引入推进和保护残疾人权利的新范例后带来了一些变化。这样，墨西哥面临的主要任务是确保采取的各项措施是以符合《公约》之下对残疾概念的透彻理解，尤其是纳入一种有关残疾的社会模式，其中，残疾被视为有一定缺陷或受一定限制人士所遇障碍导致的结果，这些障碍妨碍他们与其他人平等地全面参与社会。</w:t>
      </w:r>
    </w:p>
    <w:p w:rsidR="00A2190D" w:rsidRDefault="00A2190D">
      <w:pPr>
        <w:pStyle w:val="SingleTxtGC"/>
      </w:pPr>
      <w:r>
        <w:t xml:space="preserve">6.  </w:t>
      </w:r>
      <w:r>
        <w:rPr>
          <w:rFonts w:hint="eastAsia"/>
        </w:rPr>
        <w:t>在这一框架内，普遍认为墨西哥从整体上来说处在一个属于政府行动中人权观点主流化的、更宽泛的进程的过渡过程中。</w:t>
      </w:r>
    </w:p>
    <w:bookmarkEnd w:id="2"/>
    <w:p w:rsidR="00A2190D" w:rsidRDefault="00A2190D">
      <w:pPr>
        <w:pStyle w:val="HChGC"/>
      </w:pPr>
      <w:r>
        <w:tab/>
      </w:r>
      <w:r>
        <w:rPr>
          <w:rFonts w:hint="eastAsia"/>
        </w:rPr>
        <w:t>三</w:t>
      </w:r>
      <w:r>
        <w:t>.</w:t>
      </w:r>
      <w:r>
        <w:tab/>
      </w:r>
      <w:r>
        <w:rPr>
          <w:rFonts w:hint="eastAsia"/>
        </w:rPr>
        <w:t>《公约》各条的实施</w:t>
      </w:r>
    </w:p>
    <w:p w:rsidR="00A2190D" w:rsidRDefault="00A2190D">
      <w:pPr>
        <w:pStyle w:val="H1GC"/>
      </w:pPr>
      <w:r>
        <w:tab/>
      </w:r>
      <w:r>
        <w:tab/>
      </w:r>
      <w:r>
        <w:rPr>
          <w:rFonts w:hint="eastAsia"/>
        </w:rPr>
        <w:t>第一至四条</w:t>
      </w:r>
    </w:p>
    <w:p w:rsidR="00A2190D" w:rsidRDefault="00A2190D">
      <w:pPr>
        <w:pStyle w:val="H23GC"/>
      </w:pPr>
      <w:r>
        <w:tab/>
      </w:r>
      <w:r>
        <w:tab/>
      </w:r>
      <w:r>
        <w:rPr>
          <w:rFonts w:hint="eastAsia"/>
        </w:rPr>
        <w:t>立法措施</w:t>
      </w:r>
    </w:p>
    <w:p w:rsidR="00A2190D" w:rsidRDefault="00A2190D">
      <w:pPr>
        <w:pStyle w:val="SingleTxtGC"/>
        <w:rPr>
          <w:rStyle w:val="FootnoteReference"/>
        </w:rPr>
      </w:pPr>
      <w:r>
        <w:t xml:space="preserve">7.  </w:t>
      </w:r>
      <w:r>
        <w:rPr>
          <w:rFonts w:hint="eastAsia"/>
        </w:rPr>
        <w:t>旨在确保国家中的平等和不歧视权利的立法转型是从</w:t>
      </w:r>
      <w:r>
        <w:t>2001</w:t>
      </w:r>
      <w:r>
        <w:rPr>
          <w:rFonts w:hint="eastAsia"/>
        </w:rPr>
        <w:t>年《墨西哥合众国宪法》第一条第三款的、旨在禁止出于残疾等原因的一切形式的歧视的修订开始的。此次修订后，</w:t>
      </w:r>
      <w:r>
        <w:t>12</w:t>
      </w:r>
      <w:r>
        <w:rPr>
          <w:rFonts w:hint="eastAsia"/>
        </w:rPr>
        <w:t>个联邦州修订了各自的地区宪法，明确禁止歧视，或明确讲述了平等权。</w:t>
      </w:r>
      <w:r>
        <w:rPr>
          <w:rStyle w:val="FootnoteReference"/>
        </w:rPr>
        <w:footnoteReference w:id="3"/>
      </w:r>
    </w:p>
    <w:p w:rsidR="00A2190D" w:rsidRDefault="00A2190D">
      <w:pPr>
        <w:pStyle w:val="SingleTxtGC"/>
      </w:pPr>
      <w:r>
        <w:t>8.  2003</w:t>
      </w:r>
      <w:r>
        <w:rPr>
          <w:rFonts w:hint="eastAsia"/>
        </w:rPr>
        <w:t>年，墨西哥批准通过了《防止和消除歧视联邦法》</w:t>
      </w:r>
      <w:r>
        <w:rPr>
          <w:rFonts w:hint="eastAsia"/>
        </w:rPr>
        <w:t>(</w:t>
      </w:r>
      <w:r>
        <w:rPr>
          <w:rFonts w:hint="eastAsia"/>
        </w:rPr>
        <w:t>请参见第</w:t>
      </w:r>
      <w:r>
        <w:t>3</w:t>
      </w:r>
      <w:r>
        <w:rPr>
          <w:rFonts w:hint="eastAsia"/>
        </w:rPr>
        <w:t>号附件</w:t>
      </w:r>
      <w:r>
        <w:rPr>
          <w:rFonts w:hint="eastAsia"/>
        </w:rPr>
        <w:t>)</w:t>
      </w:r>
      <w:r>
        <w:rPr>
          <w:rFonts w:hint="eastAsia"/>
        </w:rPr>
        <w:t>。该法律规定所有基于残疾等动机的区别对待、排斥或限制均可理解为歧视，并列举了应禁止的各种歧视行为。该法律还规定了公共机构和联邦当局应采取的、有利于实现历史上就处于弱势地位的不同人群的机会平等的积极措施和补偿措施。</w:t>
      </w:r>
    </w:p>
    <w:p w:rsidR="00A2190D" w:rsidRDefault="00A2190D">
      <w:pPr>
        <w:pStyle w:val="SingleTxtGC"/>
        <w:rPr>
          <w:rStyle w:val="FootnoteReference"/>
        </w:rPr>
      </w:pPr>
      <w:r>
        <w:t xml:space="preserve">9.  </w:t>
      </w:r>
      <w:r>
        <w:rPr>
          <w:rFonts w:hint="eastAsia"/>
        </w:rPr>
        <w:t>同样，共和国的</w:t>
      </w:r>
      <w:r>
        <w:t>17</w:t>
      </w:r>
      <w:r>
        <w:rPr>
          <w:rFonts w:hint="eastAsia"/>
        </w:rPr>
        <w:t>个州批准通过了州一级的防止和消除歧视法。</w:t>
      </w:r>
      <w:r>
        <w:rPr>
          <w:rStyle w:val="FootnoteReference"/>
        </w:rPr>
        <w:footnoteReference w:id="4"/>
      </w:r>
      <w:r>
        <w:rPr>
          <w:rStyle w:val="FootnoteReference"/>
        </w:rPr>
        <w:t xml:space="preserve"> </w:t>
      </w:r>
      <w:r>
        <w:rPr>
          <w:rFonts w:hint="eastAsia"/>
        </w:rPr>
        <w:t>上述所有州级法律均确认可能发生基于残疾的歧视，但其中有</w:t>
      </w:r>
      <w:r>
        <w:t>4</w:t>
      </w:r>
      <w:r>
        <w:rPr>
          <w:rFonts w:hint="eastAsia"/>
        </w:rPr>
        <w:t>个州的法律使用了“不同能力”这一词汇，因此需要对此进行修正。</w:t>
      </w:r>
      <w:r>
        <w:rPr>
          <w:rStyle w:val="FootnoteReference"/>
        </w:rPr>
        <w:footnoteReference w:id="5"/>
      </w:r>
    </w:p>
    <w:p w:rsidR="00A2190D" w:rsidRDefault="00A2190D">
      <w:pPr>
        <w:pStyle w:val="SingleTxtGC"/>
      </w:pPr>
      <w:r>
        <w:t>10.  2011</w:t>
      </w:r>
      <w:r>
        <w:rPr>
          <w:rFonts w:hint="eastAsia"/>
        </w:rPr>
        <w:t>年的《残疾人融合一般法》为调和墨西哥法律与《公约》提供了司法元素</w:t>
      </w:r>
      <w:r>
        <w:rPr>
          <w:rFonts w:hint="eastAsia"/>
        </w:rPr>
        <w:t>(</w:t>
      </w:r>
      <w:r>
        <w:rPr>
          <w:rFonts w:hint="eastAsia"/>
        </w:rPr>
        <w:t>请参见第</w:t>
      </w:r>
      <w:r>
        <w:t>4</w:t>
      </w:r>
      <w:r>
        <w:rPr>
          <w:rFonts w:hint="eastAsia"/>
        </w:rPr>
        <w:t>号附件</w:t>
      </w:r>
      <w:r>
        <w:rPr>
          <w:rFonts w:hint="eastAsia"/>
        </w:rPr>
        <w:t>)</w:t>
      </w:r>
      <w:r>
        <w:rPr>
          <w:rFonts w:hint="eastAsia"/>
        </w:rPr>
        <w:t>。根据《一般法》第</w:t>
      </w:r>
      <w:r>
        <w:t>2</w:t>
      </w:r>
      <w:r>
        <w:rPr>
          <w:rFonts w:hint="eastAsia"/>
        </w:rPr>
        <w:t>条第二十一小节，可将“所有因先天或后天原因有一种或多种永久或短期的、身体、精神、智力或感官方面缺陷，在与人交往中存在障碍，并会在社会环境中因这种障碍阻碍其完全和真正地以与其他人平等的条件融入社会的人士”，均可理解为“残疾人”。</w:t>
      </w:r>
    </w:p>
    <w:p w:rsidR="00A2190D" w:rsidRDefault="00A2190D">
      <w:pPr>
        <w:pStyle w:val="SingleTxtGC"/>
      </w:pPr>
      <w:r>
        <w:t xml:space="preserve">11.  </w:t>
      </w:r>
      <w:r>
        <w:rPr>
          <w:rFonts w:hint="eastAsia"/>
        </w:rPr>
        <w:t>《一般法》从《公约》的新范例和向残疾人提供完整的发展机会与机会平等的需求出发，着手处理残疾人的权利问题。墨西哥建立了由联邦政府下属部门和单位、各联邦州政府和市政府、社会和私人部门中为残疾人提供服务的自然人和法人组成的国家残疾人发展和融入体系。同时，墨西哥建立了全国残疾人发展和融入委员会，作为一个权力下放的、具有法人资格和自有财产的、为实现自身职责可在制定《一般法》相关政策、行动、战略和方案方面享有技术和管理方面自主权的公共机构。</w:t>
      </w:r>
    </w:p>
    <w:p w:rsidR="00A2190D" w:rsidRDefault="00A2190D">
      <w:pPr>
        <w:pStyle w:val="SingleTxtGC"/>
      </w:pPr>
      <w:r>
        <w:t xml:space="preserve">12.  </w:t>
      </w:r>
      <w:r>
        <w:rPr>
          <w:rFonts w:hint="eastAsia"/>
        </w:rPr>
        <w:t>实际上，除了南下加利福尼亚和墨西哥州，共和国的所有实体均有针对残疾人的州级法律</w:t>
      </w:r>
      <w:r>
        <w:rPr>
          <w:rFonts w:hint="eastAsia"/>
        </w:rPr>
        <w:t>(</w:t>
      </w:r>
      <w:r>
        <w:rPr>
          <w:rFonts w:hint="eastAsia"/>
        </w:rPr>
        <w:t>请参见第</w:t>
      </w:r>
      <w:r>
        <w:t>5</w:t>
      </w:r>
      <w:r>
        <w:rPr>
          <w:rFonts w:hint="eastAsia"/>
        </w:rPr>
        <w:t>号附件</w:t>
      </w:r>
      <w:r>
        <w:rPr>
          <w:rFonts w:hint="eastAsia"/>
        </w:rPr>
        <w:t>)</w:t>
      </w:r>
      <w:r>
        <w:rPr>
          <w:rFonts w:hint="eastAsia"/>
        </w:rPr>
        <w:t>。总地来说，上述州级法律正在进行重新审核、或需要进行修改，以便与《公约》保持完全一致，如：下加利福尼亚、坎佩切、瓜纳华托和纳亚里特州的法律还在题目和</w:t>
      </w:r>
      <w:r>
        <w:t>/</w:t>
      </w:r>
      <w:r>
        <w:rPr>
          <w:rFonts w:hint="eastAsia"/>
        </w:rPr>
        <w:t>或内容中使用诸如“不同能力的”和“不具备能力的”这样的错误术语。此外，还需要对某些法律的内容进行修改，如：多个州的残疾人法律将“无障碍”的概念局限于“行动无障碍”。</w:t>
      </w:r>
    </w:p>
    <w:p w:rsidR="00A2190D" w:rsidRDefault="00A2190D">
      <w:pPr>
        <w:pStyle w:val="SingleTxtGC"/>
      </w:pPr>
      <w:r>
        <w:t>13.  2010</w:t>
      </w:r>
      <w:r>
        <w:rPr>
          <w:rFonts w:hint="eastAsia"/>
        </w:rPr>
        <w:t>年制定的《联邦区残疾人纳入发展法》希望将残疾人纳入整个发展进程，并要求首都政府制定方便残疾人使用公共交通的方案</w:t>
      </w:r>
      <w:r>
        <w:rPr>
          <w:rFonts w:hint="eastAsia"/>
        </w:rPr>
        <w:t>(</w:t>
      </w:r>
      <w:r>
        <w:rPr>
          <w:rFonts w:hint="eastAsia"/>
        </w:rPr>
        <w:t>请参见第</w:t>
      </w:r>
      <w:r>
        <w:t>6</w:t>
      </w:r>
      <w:r>
        <w:rPr>
          <w:rFonts w:hint="eastAsia"/>
        </w:rPr>
        <w:t>号附件</w:t>
      </w:r>
      <w:r>
        <w:rPr>
          <w:rFonts w:hint="eastAsia"/>
        </w:rPr>
        <w:t>)</w:t>
      </w:r>
      <w:r>
        <w:rPr>
          <w:rFonts w:hint="eastAsia"/>
        </w:rPr>
        <w:t>。</w:t>
      </w:r>
    </w:p>
    <w:p w:rsidR="00A2190D" w:rsidRDefault="00A2190D">
      <w:pPr>
        <w:pStyle w:val="SingleTxtGC"/>
      </w:pPr>
      <w:r>
        <w:t>14.  2011</w:t>
      </w:r>
      <w:r>
        <w:rPr>
          <w:rFonts w:hint="eastAsia"/>
        </w:rPr>
        <w:t>年</w:t>
      </w:r>
      <w:r>
        <w:t>3</w:t>
      </w:r>
      <w:r>
        <w:rPr>
          <w:rFonts w:hint="eastAsia"/>
        </w:rPr>
        <w:t>月，墨西哥国会最终完成了对《宪法》与人权问题相关的</w:t>
      </w:r>
      <w:r>
        <w:t>11</w:t>
      </w:r>
      <w:r>
        <w:rPr>
          <w:rFonts w:hint="eastAsia"/>
        </w:rPr>
        <w:t>个条目进行修订的联邦流程</w:t>
      </w:r>
      <w:r>
        <w:rPr>
          <w:rFonts w:hint="eastAsia"/>
        </w:rPr>
        <w:t>(</w:t>
      </w:r>
      <w:r>
        <w:rPr>
          <w:rFonts w:hint="eastAsia"/>
        </w:rPr>
        <w:t>请参见第</w:t>
      </w:r>
      <w:r>
        <w:rPr>
          <w:rFonts w:hint="eastAsia"/>
        </w:rPr>
        <w:t>7</w:t>
      </w:r>
      <w:r>
        <w:rPr>
          <w:rFonts w:hint="eastAsia"/>
        </w:rPr>
        <w:t>号附件</w:t>
      </w:r>
      <w:r>
        <w:rPr>
          <w:rFonts w:hint="eastAsia"/>
        </w:rPr>
        <w:t>)</w:t>
      </w:r>
      <w:r>
        <w:rPr>
          <w:rFonts w:hint="eastAsia"/>
        </w:rPr>
        <w:t>。通过这次司法改革，墨西哥法律从原来的双轨制转变成单轨制，从而将国际人权法纳入了国内法。这样，《宪法》和墨西哥签署的、包括《残疾人权利公约》在内的所有国际人权条约所承认的人权就构成了最高法的一部分，任何案件的审理过程都能直接主张人权，各国际人权机构可根据其管辖权对人权进行解释。</w:t>
      </w:r>
    </w:p>
    <w:p w:rsidR="00A2190D" w:rsidRDefault="00A2190D">
      <w:pPr>
        <w:pStyle w:val="SingleTxtGC"/>
      </w:pPr>
      <w:r>
        <w:t xml:space="preserve">15.  </w:t>
      </w:r>
      <w:r>
        <w:rPr>
          <w:rFonts w:hint="eastAsia"/>
        </w:rPr>
        <w:t>从</w:t>
      </w:r>
      <w:r>
        <w:t>2007</w:t>
      </w:r>
      <w:r>
        <w:rPr>
          <w:rFonts w:hint="eastAsia"/>
        </w:rPr>
        <w:t>年起，国家防止和消除歧视理事会开始对墨西哥的法律进行分析，以确定是否有必要对各种联邦法律和地方法律进行统一，并对超过</w:t>
      </w:r>
      <w:r>
        <w:t>550</w:t>
      </w:r>
      <w:r>
        <w:rPr>
          <w:rFonts w:hint="eastAsia"/>
        </w:rPr>
        <w:t>部法律文书进行了修订，提出了超过</w:t>
      </w:r>
      <w:r>
        <w:t>90</w:t>
      </w:r>
      <w:r>
        <w:rPr>
          <w:rFonts w:hint="eastAsia"/>
        </w:rPr>
        <w:t>条立法意见。全国人权委员会、全国残疾人融合理事会也与下属的咨询委员会一起对多部法律法规进行了同样的分析。</w:t>
      </w:r>
    </w:p>
    <w:p w:rsidR="00A2190D" w:rsidRDefault="00A2190D">
      <w:pPr>
        <w:pStyle w:val="H23GC"/>
      </w:pPr>
      <w:r>
        <w:tab/>
      </w:r>
      <w:r>
        <w:tab/>
      </w:r>
      <w:r>
        <w:rPr>
          <w:rFonts w:hint="eastAsia"/>
        </w:rPr>
        <w:t>制定的方案与措施</w:t>
      </w:r>
    </w:p>
    <w:p w:rsidR="00A2190D" w:rsidRDefault="00A2190D">
      <w:pPr>
        <w:pStyle w:val="SingleTxtGC"/>
      </w:pPr>
      <w:r>
        <w:rPr>
          <w:rFonts w:hint="eastAsia"/>
        </w:rPr>
        <w:t>1</w:t>
      </w:r>
      <w:r>
        <w:t xml:space="preserve">6.  </w:t>
      </w:r>
      <w:r>
        <w:rPr>
          <w:rFonts w:hint="eastAsia"/>
        </w:rPr>
        <w:t>墨西哥在残疾人权利方面的公共政策通过《国家发展计划</w:t>
      </w:r>
      <w:r>
        <w:rPr>
          <w:rFonts w:hint="eastAsia"/>
        </w:rPr>
        <w:t>(</w:t>
      </w:r>
      <w:r>
        <w:t>2007-2012</w:t>
      </w:r>
      <w:r>
        <w:rPr>
          <w:rFonts w:hint="eastAsia"/>
        </w:rPr>
        <w:t>年</w:t>
      </w:r>
      <w:r>
        <w:rPr>
          <w:rFonts w:hint="eastAsia"/>
        </w:rPr>
        <w:t>)</w:t>
      </w:r>
      <w:r>
        <w:rPr>
          <w:rFonts w:hint="eastAsia"/>
        </w:rPr>
        <w:t>》和《国家残疾人发展计划</w:t>
      </w:r>
      <w:r>
        <w:rPr>
          <w:rFonts w:hint="eastAsia"/>
        </w:rPr>
        <w:t>(</w:t>
      </w:r>
      <w:r>
        <w:t>2009-2012</w:t>
      </w:r>
      <w:r>
        <w:rPr>
          <w:rFonts w:hint="eastAsia"/>
        </w:rPr>
        <w:t>年</w:t>
      </w:r>
      <w:r>
        <w:rPr>
          <w:rFonts w:hint="eastAsia"/>
        </w:rPr>
        <w:t>)</w:t>
      </w:r>
      <w:r>
        <w:rPr>
          <w:rFonts w:hint="eastAsia"/>
        </w:rPr>
        <w:t>》来发挥作用</w:t>
      </w:r>
      <w:r>
        <w:rPr>
          <w:rFonts w:hint="eastAsia"/>
        </w:rPr>
        <w:t>(</w:t>
      </w:r>
      <w:r>
        <w:rPr>
          <w:rFonts w:hint="eastAsia"/>
        </w:rPr>
        <w:t>请参见第</w:t>
      </w:r>
      <w:r>
        <w:t>8</w:t>
      </w:r>
      <w:r>
        <w:rPr>
          <w:rFonts w:hint="eastAsia"/>
        </w:rPr>
        <w:t>号附件</w:t>
      </w:r>
      <w:r>
        <w:rPr>
          <w:rFonts w:hint="eastAsia"/>
        </w:rPr>
        <w:t>)</w:t>
      </w:r>
      <w:r>
        <w:rPr>
          <w:rFonts w:hint="eastAsia"/>
        </w:rPr>
        <w:t>。除了健康、教育、工作、社会援助和无障碍，《国家残疾人发展计划</w:t>
      </w:r>
      <w:r>
        <w:rPr>
          <w:rFonts w:hint="eastAsia"/>
        </w:rPr>
        <w:t>(</w:t>
      </w:r>
      <w:r>
        <w:t>2009-2012</w:t>
      </w:r>
      <w:r>
        <w:rPr>
          <w:rFonts w:hint="eastAsia"/>
        </w:rPr>
        <w:t>年</w:t>
      </w:r>
      <w:r>
        <w:rPr>
          <w:rFonts w:hint="eastAsia"/>
        </w:rPr>
        <w:t>)</w:t>
      </w:r>
      <w:r>
        <w:rPr>
          <w:rFonts w:hint="eastAsia"/>
        </w:rPr>
        <w:t>》还有史以来第一次将墨西哥从未考虑过的领域纳入残疾人事务工作范围，如：民事和政治权利、司法安全、残疾人参与政治生活、文化和体育。</w:t>
      </w:r>
    </w:p>
    <w:p w:rsidR="00A2190D" w:rsidRDefault="00A2190D">
      <w:pPr>
        <w:pStyle w:val="SingleTxtGC"/>
      </w:pPr>
      <w:r>
        <w:t xml:space="preserve">17.  </w:t>
      </w:r>
      <w:r>
        <w:rPr>
          <w:rFonts w:hint="eastAsia"/>
        </w:rPr>
        <w:t>《国家发展计划</w:t>
      </w:r>
      <w:r>
        <w:rPr>
          <w:rFonts w:hint="eastAsia"/>
        </w:rPr>
        <w:t>(</w:t>
      </w:r>
      <w:r>
        <w:t>2007-2012</w:t>
      </w:r>
      <w:r>
        <w:rPr>
          <w:rFonts w:hint="eastAsia"/>
        </w:rPr>
        <w:t>年</w:t>
      </w:r>
      <w:r>
        <w:rPr>
          <w:rFonts w:hint="eastAsia"/>
        </w:rPr>
        <w:t>)</w:t>
      </w:r>
      <w:r>
        <w:rPr>
          <w:rFonts w:hint="eastAsia"/>
        </w:rPr>
        <w:t>》在其第</w:t>
      </w:r>
      <w:r>
        <w:t>3</w:t>
      </w:r>
      <w:r>
        <w:rPr>
          <w:rFonts w:hint="eastAsia"/>
        </w:rPr>
        <w:t>条工作主线中指出：社会政策的目的是通过机会平等实现全体墨西哥人的人类发展和福利。在这项工作中，将会特别关注包括残疾人在内的弱势群体。</w:t>
      </w:r>
    </w:p>
    <w:p w:rsidR="00A2190D" w:rsidRDefault="00A2190D">
      <w:pPr>
        <w:pStyle w:val="SingleTxtGC"/>
      </w:pPr>
      <w:r>
        <w:t>18.  2008</w:t>
      </w:r>
      <w:r>
        <w:rPr>
          <w:rFonts w:hint="eastAsia"/>
        </w:rPr>
        <w:t>年，墨西哥公布了《国家人权方案</w:t>
      </w:r>
      <w:r>
        <w:rPr>
          <w:rFonts w:hint="eastAsia"/>
        </w:rPr>
        <w:t>(</w:t>
      </w:r>
      <w:r>
        <w:t>2008-2012</w:t>
      </w:r>
      <w:r>
        <w:rPr>
          <w:rFonts w:hint="eastAsia"/>
        </w:rPr>
        <w:t>年</w:t>
      </w:r>
      <w:r>
        <w:rPr>
          <w:rFonts w:hint="eastAsia"/>
        </w:rPr>
        <w:t>)</w:t>
      </w:r>
      <w:r>
        <w:rPr>
          <w:rFonts w:hint="eastAsia"/>
        </w:rPr>
        <w:t>》。这份文书是联邦政府为推进和保护人权而制定的，涉及决策的各方均应参考该文书</w:t>
      </w:r>
      <w:r>
        <w:rPr>
          <w:rFonts w:hint="eastAsia"/>
        </w:rPr>
        <w:t>(</w:t>
      </w:r>
      <w:r>
        <w:rPr>
          <w:rFonts w:hint="eastAsia"/>
        </w:rPr>
        <w:t>请参见第</w:t>
      </w:r>
      <w:r>
        <w:t>9</w:t>
      </w:r>
      <w:r>
        <w:rPr>
          <w:rFonts w:hint="eastAsia"/>
        </w:rPr>
        <w:t>号附件</w:t>
      </w:r>
      <w:r>
        <w:rPr>
          <w:rFonts w:hint="eastAsia"/>
        </w:rPr>
        <w:t>)</w:t>
      </w:r>
      <w:r>
        <w:rPr>
          <w:rFonts w:hint="eastAsia"/>
        </w:rPr>
        <w:t>。</w:t>
      </w:r>
    </w:p>
    <w:p w:rsidR="00A2190D" w:rsidRDefault="00A2190D">
      <w:pPr>
        <w:pStyle w:val="SingleTxtGC"/>
      </w:pPr>
      <w:r>
        <w:t xml:space="preserve">19.  </w:t>
      </w:r>
      <w:r>
        <w:rPr>
          <w:rFonts w:hint="eastAsia"/>
        </w:rPr>
        <w:t>《国家人权方案</w:t>
      </w:r>
      <w:r>
        <w:rPr>
          <w:rFonts w:hint="eastAsia"/>
        </w:rPr>
        <w:t>(</w:t>
      </w:r>
      <w:r>
        <w:t>2008-2012</w:t>
      </w:r>
      <w:r>
        <w:rPr>
          <w:rFonts w:hint="eastAsia"/>
        </w:rPr>
        <w:t>年</w:t>
      </w:r>
      <w:r>
        <w:rPr>
          <w:rFonts w:hint="eastAsia"/>
        </w:rPr>
        <w:t>)</w:t>
      </w:r>
      <w:r>
        <w:rPr>
          <w:rFonts w:hint="eastAsia"/>
        </w:rPr>
        <w:t>》的行动方针包括“遵守墨西哥在人权方面的国际承诺，强化对残疾人的全面关怀机制”和“促进联邦公共行政机构和民间社会形成一种尊重、团结、帮助和保护残疾人权利的文化”。</w:t>
      </w:r>
    </w:p>
    <w:p w:rsidR="00A2190D" w:rsidRDefault="00A2190D">
      <w:pPr>
        <w:pStyle w:val="SingleTxtGC"/>
      </w:pPr>
      <w:r>
        <w:t>20.  2009</w:t>
      </w:r>
      <w:r>
        <w:rPr>
          <w:rFonts w:hint="eastAsia"/>
        </w:rPr>
        <w:t>年</w:t>
      </w:r>
      <w:r>
        <w:t>7</w:t>
      </w:r>
      <w:r>
        <w:rPr>
          <w:rFonts w:hint="eastAsia"/>
        </w:rPr>
        <w:t>月，墨西哥公布了旨在促进残疾人在权利和机会平等的框架内、考虑到性别观点、不歧视地在生活的所有领域实现发展和完全融入社会，从而集中国家的各种政策，引导三级政府的公共和</w:t>
      </w:r>
      <w:r>
        <w:t>/</w:t>
      </w:r>
      <w:r>
        <w:rPr>
          <w:rFonts w:hint="eastAsia"/>
        </w:rPr>
        <w:t>或私人部门各机构的战略行动的《国家残疾人发展计划》。为实现各项目标，《计划》的指导原则与《公约》第三条完全相符。</w:t>
      </w:r>
    </w:p>
    <w:p w:rsidR="00A2190D" w:rsidRDefault="00A2190D">
      <w:pPr>
        <w:pStyle w:val="SingleTxtGC"/>
      </w:pPr>
      <w:r>
        <w:t xml:space="preserve">21.  </w:t>
      </w:r>
      <w:r>
        <w:rPr>
          <w:rFonts w:hint="eastAsia"/>
        </w:rPr>
        <w:t>在制定《国家残疾人发展计划》的过程中考虑了墨西哥通过国家家庭全面发展系统在各地开展的征求意见活动所征集的、来自于全国残疾人组织的各种意见。</w:t>
      </w:r>
    </w:p>
    <w:p w:rsidR="00A2190D" w:rsidRDefault="00A2190D">
      <w:pPr>
        <w:pStyle w:val="SingleTxtGC"/>
      </w:pPr>
      <w:r>
        <w:t xml:space="preserve">22.  </w:t>
      </w:r>
      <w:r>
        <w:rPr>
          <w:rFonts w:hint="eastAsia"/>
        </w:rPr>
        <w:t>该计划承认残疾人仍是处在社会最边缘的弱势群体之一，也是参与政治生活和公共生活、教育、就业和自由移徙等方面存在的歧视行为的受害者。</w:t>
      </w:r>
    </w:p>
    <w:p w:rsidR="00A2190D" w:rsidRDefault="00A2190D">
      <w:pPr>
        <w:pStyle w:val="SingleTxtGC"/>
      </w:pPr>
      <w:r>
        <w:t xml:space="preserve">23.  </w:t>
      </w:r>
      <w:r>
        <w:rPr>
          <w:rFonts w:hint="eastAsia"/>
        </w:rPr>
        <w:t>通过全国残疾人融合理事会的协调，残疾人观点已贯穿包括预算方案在内的各种联邦公共行政机构方案。在</w:t>
      </w:r>
      <w:r>
        <w:t>2010</w:t>
      </w:r>
      <w:r>
        <w:rPr>
          <w:rFonts w:hint="eastAsia"/>
        </w:rPr>
        <w:t>财政年度中，墨西哥为残疾人关怀基金额外划拨了</w:t>
      </w:r>
      <w:r>
        <w:t>2.5</w:t>
      </w:r>
      <w:r>
        <w:rPr>
          <w:rFonts w:hint="eastAsia"/>
        </w:rPr>
        <w:t>亿墨西哥比索的预算，用来支持和开展在后续实施中容易复制的各种特别项目。</w:t>
      </w:r>
    </w:p>
    <w:p w:rsidR="00A2190D" w:rsidRDefault="00A2190D">
      <w:pPr>
        <w:pStyle w:val="SingleTxtGC"/>
      </w:pPr>
      <w:r>
        <w:t xml:space="preserve">24.  </w:t>
      </w:r>
      <w:r>
        <w:rPr>
          <w:rFonts w:hint="eastAsia"/>
        </w:rPr>
        <w:t>共和国的多个实体</w:t>
      </w:r>
      <w:r>
        <w:rPr>
          <w:rFonts w:hint="eastAsia"/>
        </w:rPr>
        <w:t>(</w:t>
      </w:r>
      <w:r>
        <w:rPr>
          <w:rFonts w:hint="eastAsia"/>
        </w:rPr>
        <w:t>南下加利福尼亚、坎佩切、科利马、哈利斯科、纳亚里特、特拉斯卡拉、萨卡特卡斯州和联邦区</w:t>
      </w:r>
      <w:r>
        <w:rPr>
          <w:rFonts w:hint="eastAsia"/>
        </w:rPr>
        <w:t>)</w:t>
      </w:r>
      <w:r>
        <w:rPr>
          <w:rFonts w:hint="eastAsia"/>
        </w:rPr>
        <w:t>都有专门负责协调残疾人事务行动的机构。</w:t>
      </w:r>
    </w:p>
    <w:p w:rsidR="00A2190D" w:rsidRDefault="00A2190D">
      <w:pPr>
        <w:pStyle w:val="SingleTxtGC"/>
      </w:pPr>
      <w:r>
        <w:t xml:space="preserve">25.  </w:t>
      </w:r>
      <w:smartTag w:uri="urn:schemas-microsoft-com:office:smarttags" w:element="chsdate">
        <w:smartTagPr>
          <w:attr w:name="IsROCDate" w:val="False"/>
          <w:attr w:name="IsLunarDate" w:val="False"/>
          <w:attr w:name="Day" w:val="17"/>
          <w:attr w:name="Month" w:val="3"/>
          <w:attr w:name="Year" w:val="2010"/>
        </w:smartTagPr>
        <w:r>
          <w:t>2010</w:t>
        </w:r>
        <w:r>
          <w:rPr>
            <w:rFonts w:hint="eastAsia"/>
          </w:rPr>
          <w:t>年</w:t>
        </w:r>
        <w:r>
          <w:t>3</w:t>
        </w:r>
        <w:r>
          <w:rPr>
            <w:rFonts w:hint="eastAsia"/>
          </w:rPr>
          <w:t>月</w:t>
        </w:r>
        <w:r>
          <w:t>17</w:t>
        </w:r>
        <w:r>
          <w:rPr>
            <w:rFonts w:hint="eastAsia"/>
          </w:rPr>
          <w:t>日</w:t>
        </w:r>
      </w:smartTag>
      <w:r>
        <w:rPr>
          <w:rFonts w:hint="eastAsia"/>
        </w:rPr>
        <w:t>，国家防止和消除歧视理事会的管理委员会批准通过了《国家防止和消除歧视计划</w:t>
      </w:r>
      <w:r>
        <w:rPr>
          <w:rFonts w:hint="eastAsia"/>
        </w:rPr>
        <w:t>(</w:t>
      </w:r>
      <w:r>
        <w:t>2010-2012</w:t>
      </w:r>
      <w:r>
        <w:rPr>
          <w:rFonts w:hint="eastAsia"/>
        </w:rPr>
        <w:t>年</w:t>
      </w:r>
      <w:r>
        <w:rPr>
          <w:rFonts w:hint="eastAsia"/>
        </w:rPr>
        <w:t>)</w:t>
      </w:r>
      <w:r>
        <w:rPr>
          <w:rFonts w:hint="eastAsia"/>
        </w:rPr>
        <w:t>》草案，提出了一系列行动目标、策略和方针，以明确联邦公共行政机构在反歧视方面取得的各种进步。</w:t>
      </w:r>
    </w:p>
    <w:p w:rsidR="00A2190D" w:rsidRDefault="00A2190D">
      <w:pPr>
        <w:pStyle w:val="SingleTxtGC"/>
      </w:pPr>
      <w:r>
        <w:t xml:space="preserve">26.  </w:t>
      </w:r>
      <w:r>
        <w:rPr>
          <w:rFonts w:hint="eastAsia"/>
        </w:rPr>
        <w:t>墨西哥还努力采取措施，实现通过建设农村和城市社区中的无障碍社会基础设施，推动残疾人在社会和经济领域行使各项权利；建设无障碍设计的公共空间；对残疾儿童进行照顾和关怀，主张最贫困母亲可以进入劳动力市场；在墨西哥的边缘社区建设残疾人康复基础设施；推动由民间社会组织的群体和可能产生就业机会与收入的项目的残疾人关怀组织的参与；推动旨在宣传残疾人群体融入社会的社会宣传方案等目标。</w:t>
      </w:r>
    </w:p>
    <w:p w:rsidR="00A2190D" w:rsidRDefault="00A2190D">
      <w:pPr>
        <w:pStyle w:val="SingleTxtGC"/>
      </w:pPr>
      <w:r>
        <w:t xml:space="preserve">27.  </w:t>
      </w:r>
      <w:r>
        <w:rPr>
          <w:rFonts w:hint="eastAsia"/>
        </w:rPr>
        <w:t>《残疾人关怀方案》和《弱势家庭和人口关怀方案》是国家家庭全面发展系统中残疾人关怀政策的两个指导性方案。</w:t>
      </w:r>
    </w:p>
    <w:p w:rsidR="00A2190D" w:rsidRDefault="00A2190D">
      <w:pPr>
        <w:pStyle w:val="SingleTxtGC"/>
        <w:rPr>
          <w:rFonts w:eastAsia="SimHei"/>
        </w:rPr>
      </w:pPr>
      <w:r>
        <w:rPr>
          <w:rFonts w:eastAsia="SimHei" w:hint="eastAsia"/>
          <w:lang w:val="zh-CN"/>
        </w:rPr>
        <w:t>《残疾人关怀方案》预算及其占国家家庭全面发展系统年度预算的比例</w:t>
      </w:r>
      <w:r>
        <w:rPr>
          <w:rFonts w:eastAsia="SimHei"/>
        </w:rPr>
        <w:br/>
      </w:r>
      <w:r>
        <w:rPr>
          <w:rFonts w:eastAsia="SimHei" w:hint="eastAsia"/>
          <w:lang w:val="zh-CN"/>
        </w:rPr>
        <w:t>(</w:t>
      </w:r>
      <w:r>
        <w:rPr>
          <w:rFonts w:eastAsia="SimHei" w:hint="eastAsia"/>
          <w:lang w:val="zh-CN"/>
        </w:rPr>
        <w:t>单位：百万比索</w:t>
      </w:r>
      <w:r>
        <w:rPr>
          <w:rFonts w:eastAsia="SimHei" w:hint="eastAsia"/>
          <w:lang w:val="zh-CN"/>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86"/>
        <w:gridCol w:w="2401"/>
        <w:gridCol w:w="2141"/>
        <w:gridCol w:w="2142"/>
      </w:tblGrid>
      <w:tr w:rsidR="00A2190D">
        <w:tc>
          <w:tcPr>
            <w:tcW w:w="686" w:type="dxa"/>
            <w:tcBorders>
              <w:top w:val="single" w:sz="4" w:space="0" w:color="auto"/>
              <w:bottom w:val="single" w:sz="12" w:space="0" w:color="auto"/>
            </w:tcBorders>
            <w:shd w:val="clear" w:color="auto" w:fill="auto"/>
          </w:tcPr>
          <w:p w:rsidR="00A2190D" w:rsidRDefault="00A2190D">
            <w:pPr>
              <w:pStyle w:val="a2"/>
              <w:rPr>
                <w:rFonts w:hint="eastAsia"/>
              </w:rPr>
            </w:pPr>
            <w:r>
              <w:rPr>
                <w:rFonts w:hint="eastAsia"/>
                <w:lang w:val="zh-CN"/>
              </w:rPr>
              <w:t>年份</w:t>
            </w:r>
          </w:p>
        </w:tc>
        <w:tc>
          <w:tcPr>
            <w:tcW w:w="2401" w:type="dxa"/>
            <w:tcBorders>
              <w:top w:val="single" w:sz="4" w:space="0" w:color="auto"/>
              <w:bottom w:val="single" w:sz="12" w:space="0" w:color="auto"/>
            </w:tcBorders>
            <w:shd w:val="clear" w:color="auto" w:fill="auto"/>
          </w:tcPr>
          <w:p w:rsidR="00A2190D" w:rsidRDefault="00A2190D" w:rsidP="00300720">
            <w:pPr>
              <w:pStyle w:val="a2"/>
              <w:jc w:val="right"/>
              <w:rPr>
                <w:bCs/>
                <w:lang w:val="es-MX"/>
              </w:rPr>
            </w:pPr>
            <w:r>
              <w:rPr>
                <w:rFonts w:hint="eastAsia"/>
                <w:lang w:val="zh-CN"/>
              </w:rPr>
              <w:t>国家家庭全面发展系统预算</w:t>
            </w:r>
            <w:r>
              <w:br/>
            </w:r>
            <w:r>
              <w:rPr>
                <w:bCs/>
                <w:lang w:val="es-MX"/>
              </w:rPr>
              <w:t>(A)</w:t>
            </w:r>
          </w:p>
        </w:tc>
        <w:tc>
          <w:tcPr>
            <w:tcW w:w="2141" w:type="dxa"/>
            <w:tcBorders>
              <w:top w:val="single" w:sz="4" w:space="0" w:color="auto"/>
              <w:bottom w:val="single" w:sz="12" w:space="0" w:color="auto"/>
            </w:tcBorders>
            <w:shd w:val="clear" w:color="auto" w:fill="auto"/>
          </w:tcPr>
          <w:p w:rsidR="00A2190D" w:rsidRDefault="00A2190D" w:rsidP="00300720">
            <w:pPr>
              <w:pStyle w:val="a2"/>
              <w:jc w:val="right"/>
              <w:rPr>
                <w:bCs/>
                <w:lang w:val="es-MX"/>
              </w:rPr>
            </w:pPr>
            <w:r>
              <w:rPr>
                <w:rFonts w:hint="eastAsia"/>
                <w:lang w:val="zh-CN"/>
              </w:rPr>
              <w:t>《残疾人关怀方案》预算</w:t>
            </w:r>
            <w:r>
              <w:br/>
            </w:r>
            <w:r>
              <w:rPr>
                <w:bCs/>
                <w:lang w:val="es-MX"/>
              </w:rPr>
              <w:t>(B)</w:t>
            </w:r>
          </w:p>
        </w:tc>
        <w:tc>
          <w:tcPr>
            <w:tcW w:w="2142" w:type="dxa"/>
            <w:tcBorders>
              <w:top w:val="single" w:sz="4" w:space="0" w:color="auto"/>
              <w:bottom w:val="single" w:sz="12" w:space="0" w:color="auto"/>
            </w:tcBorders>
            <w:shd w:val="clear" w:color="auto" w:fill="auto"/>
          </w:tcPr>
          <w:p w:rsidR="00A2190D" w:rsidRDefault="00A2190D" w:rsidP="00300720">
            <w:pPr>
              <w:pStyle w:val="a2"/>
              <w:jc w:val="right"/>
              <w:rPr>
                <w:bCs/>
                <w:lang w:val="es-MX"/>
              </w:rPr>
            </w:pPr>
            <w:r>
              <w:rPr>
                <w:rFonts w:hint="eastAsia"/>
                <w:lang w:val="zh-CN"/>
              </w:rPr>
              <w:t>《方案》预算所占比例</w:t>
            </w:r>
            <w:r>
              <w:br/>
            </w:r>
            <w:r>
              <w:rPr>
                <w:bCs/>
                <w:lang w:val="es-MX"/>
              </w:rPr>
              <w:t>(C)= B/A</w:t>
            </w:r>
          </w:p>
        </w:tc>
      </w:tr>
      <w:tr w:rsidR="00A2190D">
        <w:tc>
          <w:tcPr>
            <w:tcW w:w="686" w:type="dxa"/>
            <w:tcBorders>
              <w:top w:val="single" w:sz="12" w:space="0" w:color="auto"/>
            </w:tcBorders>
            <w:shd w:val="clear" w:color="auto" w:fill="auto"/>
          </w:tcPr>
          <w:p w:rsidR="00A2190D" w:rsidRDefault="00A2190D">
            <w:pPr>
              <w:pStyle w:val="a6"/>
              <w:suppressAutoHyphens w:val="0"/>
              <w:rPr>
                <w:lang w:val="es-MX"/>
              </w:rPr>
            </w:pPr>
            <w:r>
              <w:rPr>
                <w:lang w:val="es-MX"/>
              </w:rPr>
              <w:t>2008</w:t>
            </w:r>
          </w:p>
        </w:tc>
        <w:tc>
          <w:tcPr>
            <w:tcW w:w="2401" w:type="dxa"/>
            <w:tcBorders>
              <w:top w:val="single" w:sz="12" w:space="0" w:color="auto"/>
            </w:tcBorders>
            <w:shd w:val="clear" w:color="auto" w:fill="auto"/>
          </w:tcPr>
          <w:p w:rsidR="00A2190D" w:rsidRDefault="00A2190D" w:rsidP="00300720">
            <w:pPr>
              <w:pStyle w:val="a6"/>
              <w:suppressAutoHyphens w:val="0"/>
              <w:jc w:val="right"/>
              <w:rPr>
                <w:lang w:val="es-MX"/>
              </w:rPr>
            </w:pPr>
            <w:r>
              <w:rPr>
                <w:lang w:val="es-MX"/>
              </w:rPr>
              <w:t>1 604.6</w:t>
            </w:r>
          </w:p>
        </w:tc>
        <w:tc>
          <w:tcPr>
            <w:tcW w:w="2141" w:type="dxa"/>
            <w:tcBorders>
              <w:top w:val="single" w:sz="12" w:space="0" w:color="auto"/>
            </w:tcBorders>
            <w:shd w:val="clear" w:color="auto" w:fill="auto"/>
          </w:tcPr>
          <w:p w:rsidR="00A2190D" w:rsidRDefault="00A2190D" w:rsidP="00300720">
            <w:pPr>
              <w:pStyle w:val="a6"/>
              <w:suppressAutoHyphens w:val="0"/>
              <w:jc w:val="right"/>
              <w:rPr>
                <w:lang w:val="es-MX"/>
              </w:rPr>
            </w:pPr>
            <w:r>
              <w:rPr>
                <w:lang w:val="es-MX"/>
              </w:rPr>
              <w:t>332.8</w:t>
            </w:r>
          </w:p>
        </w:tc>
        <w:tc>
          <w:tcPr>
            <w:tcW w:w="2142" w:type="dxa"/>
            <w:tcBorders>
              <w:top w:val="single" w:sz="12" w:space="0" w:color="auto"/>
            </w:tcBorders>
            <w:shd w:val="clear" w:color="auto" w:fill="auto"/>
          </w:tcPr>
          <w:p w:rsidR="00A2190D" w:rsidRDefault="00A2190D" w:rsidP="00300720">
            <w:pPr>
              <w:pStyle w:val="a6"/>
              <w:suppressAutoHyphens w:val="0"/>
              <w:jc w:val="right"/>
              <w:rPr>
                <w:lang w:val="es-MX"/>
              </w:rPr>
            </w:pPr>
            <w:r>
              <w:rPr>
                <w:lang w:val="es-MX"/>
              </w:rPr>
              <w:t>20.7%</w:t>
            </w:r>
          </w:p>
        </w:tc>
      </w:tr>
      <w:tr w:rsidR="00A2190D">
        <w:tc>
          <w:tcPr>
            <w:tcW w:w="686" w:type="dxa"/>
            <w:shd w:val="clear" w:color="auto" w:fill="auto"/>
          </w:tcPr>
          <w:p w:rsidR="00A2190D" w:rsidRDefault="00A2190D">
            <w:pPr>
              <w:pStyle w:val="a6"/>
              <w:suppressAutoHyphens w:val="0"/>
              <w:rPr>
                <w:lang w:val="es-MX"/>
              </w:rPr>
            </w:pPr>
            <w:r>
              <w:rPr>
                <w:lang w:val="es-MX"/>
              </w:rPr>
              <w:t>2009</w:t>
            </w:r>
          </w:p>
        </w:tc>
        <w:tc>
          <w:tcPr>
            <w:tcW w:w="2401" w:type="dxa"/>
            <w:shd w:val="clear" w:color="auto" w:fill="auto"/>
          </w:tcPr>
          <w:p w:rsidR="00A2190D" w:rsidRDefault="00A2190D" w:rsidP="00300720">
            <w:pPr>
              <w:pStyle w:val="a6"/>
              <w:suppressAutoHyphens w:val="0"/>
              <w:jc w:val="right"/>
              <w:rPr>
                <w:lang w:val="es-MX"/>
              </w:rPr>
            </w:pPr>
            <w:r>
              <w:rPr>
                <w:lang w:val="es-MX"/>
              </w:rPr>
              <w:t>1 668.7</w:t>
            </w:r>
          </w:p>
        </w:tc>
        <w:tc>
          <w:tcPr>
            <w:tcW w:w="2141" w:type="dxa"/>
            <w:shd w:val="clear" w:color="auto" w:fill="auto"/>
          </w:tcPr>
          <w:p w:rsidR="00A2190D" w:rsidRDefault="00A2190D" w:rsidP="00300720">
            <w:pPr>
              <w:pStyle w:val="a6"/>
              <w:suppressAutoHyphens w:val="0"/>
              <w:jc w:val="right"/>
              <w:rPr>
                <w:lang w:val="es-MX"/>
              </w:rPr>
            </w:pPr>
            <w:r>
              <w:rPr>
                <w:lang w:val="es-MX"/>
              </w:rPr>
              <w:t>486.4</w:t>
            </w:r>
          </w:p>
        </w:tc>
        <w:tc>
          <w:tcPr>
            <w:tcW w:w="2142" w:type="dxa"/>
            <w:shd w:val="clear" w:color="auto" w:fill="auto"/>
          </w:tcPr>
          <w:p w:rsidR="00A2190D" w:rsidRDefault="00A2190D" w:rsidP="00300720">
            <w:pPr>
              <w:pStyle w:val="a6"/>
              <w:suppressAutoHyphens w:val="0"/>
              <w:jc w:val="right"/>
              <w:rPr>
                <w:lang w:val="es-MX"/>
              </w:rPr>
            </w:pPr>
            <w:r>
              <w:rPr>
                <w:lang w:val="es-MX"/>
              </w:rPr>
              <w:t>29.1%</w:t>
            </w:r>
          </w:p>
        </w:tc>
      </w:tr>
      <w:tr w:rsidR="00A2190D">
        <w:tc>
          <w:tcPr>
            <w:tcW w:w="686" w:type="dxa"/>
            <w:tcBorders>
              <w:bottom w:val="single" w:sz="12" w:space="0" w:color="auto"/>
            </w:tcBorders>
            <w:shd w:val="clear" w:color="auto" w:fill="auto"/>
          </w:tcPr>
          <w:p w:rsidR="00A2190D" w:rsidRDefault="00A2190D">
            <w:pPr>
              <w:pStyle w:val="a6"/>
              <w:suppressAutoHyphens w:val="0"/>
              <w:rPr>
                <w:lang w:val="es-MX"/>
              </w:rPr>
            </w:pPr>
            <w:r>
              <w:rPr>
                <w:lang w:val="es-MX"/>
              </w:rPr>
              <w:t>2010</w:t>
            </w:r>
          </w:p>
        </w:tc>
        <w:tc>
          <w:tcPr>
            <w:tcW w:w="2401" w:type="dxa"/>
            <w:tcBorders>
              <w:bottom w:val="single" w:sz="12" w:space="0" w:color="auto"/>
            </w:tcBorders>
            <w:shd w:val="clear" w:color="auto" w:fill="auto"/>
          </w:tcPr>
          <w:p w:rsidR="00A2190D" w:rsidRDefault="00A2190D" w:rsidP="00300720">
            <w:pPr>
              <w:pStyle w:val="a6"/>
              <w:suppressAutoHyphens w:val="0"/>
              <w:jc w:val="right"/>
              <w:rPr>
                <w:lang w:val="es-MX"/>
              </w:rPr>
            </w:pPr>
            <w:r>
              <w:rPr>
                <w:lang w:val="es-MX"/>
              </w:rPr>
              <w:t>1 668.5</w:t>
            </w:r>
          </w:p>
        </w:tc>
        <w:tc>
          <w:tcPr>
            <w:tcW w:w="2141" w:type="dxa"/>
            <w:tcBorders>
              <w:bottom w:val="single" w:sz="12" w:space="0" w:color="auto"/>
            </w:tcBorders>
            <w:shd w:val="clear" w:color="auto" w:fill="auto"/>
          </w:tcPr>
          <w:p w:rsidR="00A2190D" w:rsidRDefault="00A2190D" w:rsidP="00300720">
            <w:pPr>
              <w:pStyle w:val="a6"/>
              <w:suppressAutoHyphens w:val="0"/>
              <w:jc w:val="right"/>
              <w:rPr>
                <w:lang w:val="es-MX"/>
              </w:rPr>
            </w:pPr>
            <w:r>
              <w:rPr>
                <w:lang w:val="es-MX"/>
              </w:rPr>
              <w:t>234.4</w:t>
            </w:r>
          </w:p>
        </w:tc>
        <w:tc>
          <w:tcPr>
            <w:tcW w:w="2142" w:type="dxa"/>
            <w:tcBorders>
              <w:bottom w:val="single" w:sz="12" w:space="0" w:color="auto"/>
            </w:tcBorders>
            <w:shd w:val="clear" w:color="auto" w:fill="auto"/>
          </w:tcPr>
          <w:p w:rsidR="00A2190D" w:rsidRDefault="00A2190D" w:rsidP="00300720">
            <w:pPr>
              <w:pStyle w:val="a6"/>
              <w:suppressAutoHyphens w:val="0"/>
              <w:jc w:val="right"/>
              <w:rPr>
                <w:lang w:val="es-MX"/>
              </w:rPr>
            </w:pPr>
            <w:r>
              <w:rPr>
                <w:lang w:val="es-MX"/>
              </w:rPr>
              <w:t>14.0%</w:t>
            </w:r>
          </w:p>
        </w:tc>
      </w:tr>
    </w:tbl>
    <w:p w:rsidR="00A2190D" w:rsidRDefault="00A2190D">
      <w:pPr>
        <w:pStyle w:val="SingleTxtGC"/>
        <w:spacing w:after="0" w:line="200" w:lineRule="exact"/>
      </w:pPr>
    </w:p>
    <w:p w:rsidR="00A2190D" w:rsidRDefault="00A2190D">
      <w:pPr>
        <w:pStyle w:val="SingleTxtGC"/>
      </w:pPr>
      <w:r>
        <w:t xml:space="preserve">28.  </w:t>
      </w:r>
      <w:r>
        <w:rPr>
          <w:rFonts w:hint="eastAsia"/>
        </w:rPr>
        <w:t>《联邦区人权计划》在残疾人权利方面有内容广泛和丰富的一章，其行动方针旨在执行《公约》。该计划由各有关公共机构、公共自治机构和国际人权机构，民间社会组织、学术组织和代表《公约》内容实施模式的组织参与并协商一致，而且对行政单位有强制性。</w:t>
      </w:r>
    </w:p>
    <w:p w:rsidR="00A2190D" w:rsidRDefault="00A2190D">
      <w:pPr>
        <w:pStyle w:val="H1GC"/>
      </w:pPr>
      <w:r>
        <w:tab/>
      </w:r>
      <w:r>
        <w:tab/>
      </w:r>
      <w:r>
        <w:rPr>
          <w:rFonts w:hint="eastAsia"/>
        </w:rPr>
        <w:t>第五条</w:t>
      </w:r>
      <w:r>
        <w:rPr>
          <w:rFonts w:hint="eastAsia"/>
        </w:rPr>
        <w:br/>
      </w:r>
      <w:r>
        <w:rPr>
          <w:rFonts w:hint="eastAsia"/>
        </w:rPr>
        <w:t>平等和不歧视</w:t>
      </w:r>
    </w:p>
    <w:p w:rsidR="00A2190D" w:rsidRDefault="00A2190D">
      <w:pPr>
        <w:pStyle w:val="SingleTxtGC"/>
      </w:pPr>
      <w:r>
        <w:t xml:space="preserve">29.  </w:t>
      </w:r>
      <w:r>
        <w:rPr>
          <w:rFonts w:hint="eastAsia"/>
        </w:rPr>
        <w:t>所有人均可向国家防止和消除歧视理事会提出申诉或投诉。这些非司法机制保护平等和不歧视的权利，并基于各方的善意。申诉适用于行使职权或与职权目的有关的联邦公务员；投诉适用于个人。投诉应包括调解流程。如申诉中未进行调解，可以继续调查，直至发布民事或刑事处理决定。</w:t>
      </w:r>
    </w:p>
    <w:p w:rsidR="00A2190D" w:rsidRDefault="00A2190D">
      <w:pPr>
        <w:pStyle w:val="SingleTxtGC"/>
        <w:rPr>
          <w:rStyle w:val="FootnoteReference"/>
        </w:rPr>
      </w:pPr>
      <w:r>
        <w:t>30.  2008</w:t>
      </w:r>
      <w:r>
        <w:rPr>
          <w:rFonts w:hint="eastAsia"/>
        </w:rPr>
        <w:t>年至</w:t>
      </w:r>
      <w:r>
        <w:t>2010</w:t>
      </w:r>
      <w:r>
        <w:rPr>
          <w:rFonts w:hint="eastAsia"/>
        </w:rPr>
        <w:t>年期间，国家防止和消除歧视理事会专门负责处理投诉和申诉的机构共处理了</w:t>
      </w:r>
      <w:r>
        <w:t>163</w:t>
      </w:r>
      <w:r>
        <w:rPr>
          <w:rFonts w:hint="eastAsia"/>
        </w:rPr>
        <w:t>起与残疾人有关的申诉和投诉</w:t>
      </w:r>
      <w:r>
        <w:rPr>
          <w:rFonts w:hint="eastAsia"/>
        </w:rPr>
        <w:t>(</w:t>
      </w:r>
      <w:r>
        <w:rPr>
          <w:rFonts w:hint="eastAsia"/>
        </w:rPr>
        <w:t>请参见第</w:t>
      </w:r>
      <w:r>
        <w:t>10</w:t>
      </w:r>
      <w:r>
        <w:rPr>
          <w:rFonts w:hint="eastAsia"/>
        </w:rPr>
        <w:t>号附件</w:t>
      </w:r>
      <w:r>
        <w:rPr>
          <w:rFonts w:hint="eastAsia"/>
        </w:rPr>
        <w:t>)</w:t>
      </w:r>
      <w:r>
        <w:rPr>
          <w:rFonts w:hint="eastAsia"/>
        </w:rPr>
        <w:t>。其中，肢体残疾人提出的投诉数量大大超过了智力和感官</w:t>
      </w:r>
      <w:r>
        <w:rPr>
          <w:rFonts w:hint="eastAsia"/>
        </w:rPr>
        <w:t>(</w:t>
      </w:r>
      <w:r>
        <w:rPr>
          <w:rFonts w:hint="eastAsia"/>
        </w:rPr>
        <w:t>视觉或听觉</w:t>
      </w:r>
      <w:r>
        <w:rPr>
          <w:rFonts w:hint="eastAsia"/>
        </w:rPr>
        <w:t>)</w:t>
      </w:r>
      <w:r>
        <w:rPr>
          <w:rFonts w:hint="eastAsia"/>
        </w:rPr>
        <w:t>残疾人的投诉量。</w:t>
      </w:r>
      <w:r>
        <w:rPr>
          <w:rStyle w:val="FootnoteReference"/>
        </w:rPr>
        <w:footnoteReference w:id="6"/>
      </w:r>
    </w:p>
    <w:p w:rsidR="00A2190D" w:rsidRDefault="00A2190D">
      <w:pPr>
        <w:pStyle w:val="SingleTxtGC"/>
        <w:rPr>
          <w:rStyle w:val="FootnoteReference"/>
        </w:rPr>
      </w:pPr>
      <w:r>
        <w:t xml:space="preserve">31.  </w:t>
      </w:r>
      <w:r>
        <w:rPr>
          <w:rFonts w:hint="eastAsia"/>
        </w:rPr>
        <w:t>在国家防止和消除歧视理事会于</w:t>
      </w:r>
      <w:smartTag w:uri="urn:schemas-microsoft-com:office:smarttags" w:element="chsdate">
        <w:smartTagPr>
          <w:attr w:name="IsROCDate" w:val="False"/>
          <w:attr w:name="IsLunarDate" w:val="False"/>
          <w:attr w:name="Day" w:val="1"/>
          <w:attr w:name="Month" w:val="1"/>
          <w:attr w:name="Year" w:val="2008"/>
        </w:smartTagPr>
        <w:r>
          <w:t>2008</w:t>
        </w:r>
        <w:r>
          <w:rPr>
            <w:rFonts w:hint="eastAsia"/>
          </w:rPr>
          <w:t>年</w:t>
        </w:r>
        <w:r>
          <w:t>1</w:t>
        </w:r>
        <w:r>
          <w:rPr>
            <w:rFonts w:hint="eastAsia"/>
          </w:rPr>
          <w:t>月</w:t>
        </w:r>
        <w:r>
          <w:t>1</w:t>
        </w:r>
        <w:r>
          <w:rPr>
            <w:rFonts w:hint="eastAsia"/>
          </w:rPr>
          <w:t>日</w:t>
        </w:r>
      </w:smartTag>
      <w:r>
        <w:rPr>
          <w:rFonts w:hint="eastAsia"/>
        </w:rPr>
        <w:t>至</w:t>
      </w:r>
      <w:smartTag w:uri="urn:schemas-microsoft-com:office:smarttags" w:element="chsdate">
        <w:smartTagPr>
          <w:attr w:name="IsROCDate" w:val="False"/>
          <w:attr w:name="IsLunarDate" w:val="False"/>
          <w:attr w:name="Day" w:val="31"/>
          <w:attr w:name="Month" w:val="5"/>
          <w:attr w:name="Year" w:val="2010"/>
        </w:smartTagPr>
        <w:r>
          <w:t>2010</w:t>
        </w:r>
        <w:r>
          <w:rPr>
            <w:rFonts w:hint="eastAsia"/>
          </w:rPr>
          <w:t>年</w:t>
        </w:r>
        <w:r>
          <w:t>5</w:t>
        </w:r>
        <w:r>
          <w:rPr>
            <w:rFonts w:hint="eastAsia"/>
          </w:rPr>
          <w:t>月</w:t>
        </w:r>
        <w:r>
          <w:t>31</w:t>
        </w:r>
        <w:r>
          <w:rPr>
            <w:rFonts w:hint="eastAsia"/>
          </w:rPr>
          <w:t>日</w:t>
        </w:r>
      </w:smartTag>
      <w:r>
        <w:rPr>
          <w:rFonts w:hint="eastAsia"/>
        </w:rPr>
        <w:t>间收到的申诉中，有</w:t>
      </w:r>
      <w:r>
        <w:t>21</w:t>
      </w:r>
      <w:r>
        <w:rPr>
          <w:rFonts w:hint="eastAsia"/>
        </w:rPr>
        <w:t>起被界定为涉嫌出于残疾原因的歧视行为。</w:t>
      </w:r>
      <w:r>
        <w:rPr>
          <w:rStyle w:val="FootnoteReference"/>
        </w:rPr>
        <w:footnoteReference w:id="7"/>
      </w:r>
    </w:p>
    <w:p w:rsidR="00A2190D" w:rsidRDefault="00A2190D">
      <w:pPr>
        <w:pStyle w:val="SingleTxtGC"/>
      </w:pPr>
      <w:r>
        <w:t xml:space="preserve">32.  </w:t>
      </w:r>
      <w:r>
        <w:rPr>
          <w:rFonts w:hint="eastAsia"/>
        </w:rPr>
        <w:t>国家防止和消除歧视理事会</w:t>
      </w:r>
      <w:r>
        <w:t>2010</w:t>
      </w:r>
      <w:r>
        <w:rPr>
          <w:rFonts w:hint="eastAsia"/>
        </w:rPr>
        <w:t>年收到的投诉和申诉显示，涉及申诉的残疾人权利有：公共场所的无障碍通行；教育和</w:t>
      </w:r>
      <w:r>
        <w:t>/</w:t>
      </w:r>
      <w:r>
        <w:rPr>
          <w:rFonts w:hint="eastAsia"/>
        </w:rPr>
        <w:t>或提供教育服务；工作权及与其相关的各种形式，如提升、培训或工作时间；体面待遇和机会平等；娱乐和</w:t>
      </w:r>
      <w:r>
        <w:t>/</w:t>
      </w:r>
      <w:r>
        <w:rPr>
          <w:rFonts w:hint="eastAsia"/>
        </w:rPr>
        <w:t>或消遣；儿童权利；老年人权利。</w:t>
      </w:r>
    </w:p>
    <w:p w:rsidR="00A2190D" w:rsidRDefault="00A2190D">
      <w:pPr>
        <w:pStyle w:val="SingleTxtGC"/>
      </w:pPr>
      <w:r>
        <w:t xml:space="preserve">33.  </w:t>
      </w:r>
      <w:r>
        <w:rPr>
          <w:rFonts w:hint="eastAsia"/>
        </w:rPr>
        <w:t>全国人权委员会有一个部门负责接待和处理投诉。</w:t>
      </w:r>
      <w:r>
        <w:t>2010</w:t>
      </w:r>
      <w:r>
        <w:rPr>
          <w:rFonts w:hint="eastAsia"/>
        </w:rPr>
        <w:t>年底，有报告说委员会接受和处理了约</w:t>
      </w:r>
      <w:r>
        <w:t>400</w:t>
      </w:r>
      <w:r>
        <w:rPr>
          <w:rFonts w:hint="eastAsia"/>
        </w:rPr>
        <w:t>起涉嫌侵犯残疾人权利的投诉，并对这些投诉进行了分类。此外，委员会还对</w:t>
      </w:r>
      <w:r>
        <w:t>5</w:t>
      </w:r>
      <w:r>
        <w:rPr>
          <w:rFonts w:hint="eastAsia"/>
        </w:rPr>
        <w:t>部使用歧视性词汇的法律提起了违宪诉讼。</w:t>
      </w:r>
    </w:p>
    <w:p w:rsidR="00A2190D" w:rsidRDefault="00A2190D">
      <w:pPr>
        <w:pStyle w:val="H1GC"/>
        <w:rPr>
          <w:rStyle w:val="FootnoteReference"/>
        </w:rPr>
      </w:pPr>
      <w:r>
        <w:tab/>
      </w:r>
      <w:r>
        <w:tab/>
      </w:r>
      <w:r>
        <w:rPr>
          <w:rFonts w:hint="eastAsia"/>
        </w:rPr>
        <w:t>第六条</w:t>
      </w:r>
      <w:r>
        <w:rPr>
          <w:rFonts w:hint="eastAsia"/>
        </w:rPr>
        <w:br/>
      </w:r>
      <w:r>
        <w:rPr>
          <w:rFonts w:hint="eastAsia"/>
        </w:rPr>
        <w:t>残疾妇女</w:t>
      </w:r>
      <w:r>
        <w:rPr>
          <w:rStyle w:val="FootnoteReference"/>
        </w:rPr>
        <w:footnoteReference w:id="8"/>
      </w:r>
    </w:p>
    <w:p w:rsidR="00A2190D" w:rsidRDefault="00A2190D">
      <w:pPr>
        <w:pStyle w:val="SingleTxtGC"/>
      </w:pPr>
      <w:r>
        <w:t xml:space="preserve">34.  </w:t>
      </w:r>
      <w:r>
        <w:rPr>
          <w:rFonts w:hint="eastAsia"/>
        </w:rPr>
        <w:t>旨在增进和保护妇女人权和基本自由的公共策略和政策的内容来自于各种国内法律</w:t>
      </w:r>
      <w:r>
        <w:rPr>
          <w:rStyle w:val="FootnoteReference"/>
        </w:rPr>
        <w:footnoteReference w:id="9"/>
      </w:r>
      <w:r>
        <w:rPr>
          <w:rFonts w:hint="eastAsia"/>
        </w:rPr>
        <w:t>，更是来自于墨西哥批准的多部国际文书</w:t>
      </w:r>
      <w:r>
        <w:rPr>
          <w:rStyle w:val="FootnoteReference"/>
        </w:rPr>
        <w:footnoteReference w:id="10"/>
      </w:r>
      <w:r>
        <w:rPr>
          <w:rFonts w:hint="eastAsia"/>
        </w:rPr>
        <w:t>和这些国际文书</w:t>
      </w:r>
      <w:r>
        <w:rPr>
          <w:rStyle w:val="FootnoteReference"/>
        </w:rPr>
        <w:footnoteReference w:id="11"/>
      </w:r>
      <w:r>
        <w:rPr>
          <w:rStyle w:val="FootnoteReference"/>
        </w:rPr>
        <w:t xml:space="preserve"> </w:t>
      </w:r>
      <w:r>
        <w:rPr>
          <w:rFonts w:hint="eastAsia"/>
        </w:rPr>
        <w:t>的监测机制发出的建议。</w:t>
      </w:r>
    </w:p>
    <w:p w:rsidR="00A2190D" w:rsidRDefault="00A2190D">
      <w:pPr>
        <w:pStyle w:val="SingleTxtGC"/>
      </w:pPr>
      <w:r>
        <w:t xml:space="preserve">35.  </w:t>
      </w:r>
      <w:r>
        <w:rPr>
          <w:rFonts w:hint="eastAsia"/>
        </w:rPr>
        <w:t>目前已有</w:t>
      </w:r>
      <w:r>
        <w:t>9</w:t>
      </w:r>
      <w:r>
        <w:rPr>
          <w:rFonts w:hint="eastAsia"/>
        </w:rPr>
        <w:t>部新的联邦法律对残疾儿童和妇女的权利进行了保护</w:t>
      </w:r>
      <w:r>
        <w:rPr>
          <w:rFonts w:hint="eastAsia"/>
        </w:rPr>
        <w:t>(</w:t>
      </w:r>
      <w:r>
        <w:rPr>
          <w:rFonts w:hint="eastAsia"/>
        </w:rPr>
        <w:t>请参见第</w:t>
      </w:r>
      <w:r>
        <w:t>11</w:t>
      </w:r>
      <w:r>
        <w:rPr>
          <w:rFonts w:hint="eastAsia"/>
        </w:rPr>
        <w:t>号附件</w:t>
      </w:r>
      <w:r>
        <w:rPr>
          <w:rFonts w:hint="eastAsia"/>
        </w:rPr>
        <w:t>)</w:t>
      </w:r>
      <w:r>
        <w:rPr>
          <w:rFonts w:hint="eastAsia"/>
        </w:rPr>
        <w:t>，并承认残疾儿童和妇女在行使权利时面临双重歧视和多重障碍。此外，</w:t>
      </w:r>
      <w:r>
        <w:t>19</w:t>
      </w:r>
      <w:r>
        <w:rPr>
          <w:rFonts w:hint="eastAsia"/>
        </w:rPr>
        <w:t>个联邦实体制定了男女平等法。其中，</w:t>
      </w:r>
      <w:r>
        <w:t>1</w:t>
      </w:r>
      <w:r>
        <w:rPr>
          <w:rFonts w:hint="eastAsia"/>
        </w:rPr>
        <w:t>个联邦实体有具体的管理条例，</w:t>
      </w:r>
      <w:r>
        <w:t>5</w:t>
      </w:r>
      <w:r>
        <w:rPr>
          <w:rFonts w:hint="eastAsia"/>
        </w:rPr>
        <w:t>个联邦实体有州级体系。</w:t>
      </w:r>
    </w:p>
    <w:p w:rsidR="00A2190D" w:rsidRDefault="00A2190D">
      <w:pPr>
        <w:pStyle w:val="SingleTxtGC"/>
      </w:pPr>
      <w:r>
        <w:t xml:space="preserve">36.  </w:t>
      </w:r>
      <w:r>
        <w:rPr>
          <w:rFonts w:hint="eastAsia"/>
        </w:rPr>
        <w:t>国家政策是在《国家男女平等方案》</w:t>
      </w:r>
      <w:r>
        <w:rPr>
          <w:rFonts w:hint="eastAsia"/>
        </w:rPr>
        <w:t>(</w:t>
      </w:r>
      <w:r>
        <w:rPr>
          <w:rFonts w:hint="eastAsia"/>
        </w:rPr>
        <w:t>请参见第</w:t>
      </w:r>
      <w:r>
        <w:t>12</w:t>
      </w:r>
      <w:r>
        <w:rPr>
          <w:rFonts w:hint="eastAsia"/>
        </w:rPr>
        <w:t>号附件</w:t>
      </w:r>
      <w:r>
        <w:rPr>
          <w:rFonts w:hint="eastAsia"/>
        </w:rPr>
        <w:t>)</w:t>
      </w:r>
      <w:r>
        <w:rPr>
          <w:rFonts w:hint="eastAsia"/>
        </w:rPr>
        <w:t>中进行定义的，并由国家男女平等体系负责导入。</w:t>
      </w:r>
      <w:r>
        <w:rPr>
          <w:rStyle w:val="FootnoteReference"/>
        </w:rPr>
        <w:footnoteReference w:id="12"/>
      </w:r>
      <w:r>
        <w:rPr>
          <w:rStyle w:val="FootnoteReference"/>
        </w:rPr>
        <w:t xml:space="preserve"> </w:t>
      </w:r>
      <w:r>
        <w:rPr>
          <w:rFonts w:hint="eastAsia"/>
        </w:rPr>
        <w:t>该体系由国家妇女委员会负责协调，由联邦公共行政机构的下属部门和机构，及各州、联邦区和市当局组成。</w:t>
      </w:r>
    </w:p>
    <w:p w:rsidR="00A2190D" w:rsidRDefault="00A2190D">
      <w:pPr>
        <w:pStyle w:val="SingleTxtGC"/>
      </w:pPr>
      <w:r>
        <w:t xml:space="preserve">37.  </w:t>
      </w:r>
      <w:r>
        <w:rPr>
          <w:rFonts w:hint="eastAsia"/>
        </w:rPr>
        <w:t>《国家残疾人发展计划》的第</w:t>
      </w:r>
      <w:r>
        <w:t>1</w:t>
      </w:r>
      <w:r>
        <w:rPr>
          <w:rFonts w:hint="eastAsia"/>
        </w:rPr>
        <w:t>号目标是“在大众中主张文化的转变，以帮助残疾人充分行使各项权利和享受机会平等，并特别关注与性别有关的问题”。</w:t>
      </w:r>
    </w:p>
    <w:p w:rsidR="00A2190D" w:rsidRDefault="00A2190D">
      <w:pPr>
        <w:pStyle w:val="SingleTxtGC"/>
      </w:pPr>
      <w:r>
        <w:t xml:space="preserve">38.  </w:t>
      </w:r>
      <w:r>
        <w:rPr>
          <w:rFonts w:hint="eastAsia"/>
        </w:rPr>
        <w:t>针对男女平等就业的墨西哥</w:t>
      </w:r>
      <w:r>
        <w:t>NMX-R-025-SCFI-2009</w:t>
      </w:r>
      <w:r>
        <w:rPr>
          <w:rFonts w:hint="eastAsia"/>
        </w:rPr>
        <w:t>号标准是平等就业方面唯一的世界级认证文书，可用于对公共和私人组织在其内部工作场所采用的平等就业政策进行评估。</w:t>
      </w:r>
    </w:p>
    <w:p w:rsidR="00A2190D" w:rsidRDefault="00A2190D">
      <w:pPr>
        <w:pStyle w:val="SingleTxtGC"/>
      </w:pPr>
      <w:r>
        <w:t xml:space="preserve">39.  </w:t>
      </w:r>
      <w:r>
        <w:rPr>
          <w:rFonts w:hint="eastAsia"/>
        </w:rPr>
        <w:t>劳动和社会福利部在</w:t>
      </w:r>
      <w:r>
        <w:t>2008</w:t>
      </w:r>
      <w:r>
        <w:rPr>
          <w:rFonts w:hint="eastAsia"/>
        </w:rPr>
        <w:t>年至</w:t>
      </w:r>
      <w:r>
        <w:t>2010</w:t>
      </w:r>
      <w:r>
        <w:rPr>
          <w:rFonts w:hint="eastAsia"/>
        </w:rPr>
        <w:t>年期间，通过国家就业局总协调处接待了</w:t>
      </w:r>
      <w:r>
        <w:t>30</w:t>
      </w:r>
      <w:r>
        <w:rPr>
          <w:rFonts w:hint="eastAsia"/>
        </w:rPr>
        <w:t>,</w:t>
      </w:r>
      <w:r>
        <w:t>331</w:t>
      </w:r>
      <w:r>
        <w:rPr>
          <w:rFonts w:hint="eastAsia"/>
        </w:rPr>
        <w:t>名残疾妇女，并为其中的</w:t>
      </w:r>
      <w:r>
        <w:t>8</w:t>
      </w:r>
      <w:r>
        <w:rPr>
          <w:rFonts w:hint="eastAsia"/>
        </w:rPr>
        <w:t>,</w:t>
      </w:r>
      <w:r>
        <w:t>837</w:t>
      </w:r>
      <w:r>
        <w:rPr>
          <w:rFonts w:hint="eastAsia"/>
        </w:rPr>
        <w:t>人安排了工作</w:t>
      </w:r>
      <w:r>
        <w:rPr>
          <w:rFonts w:hint="eastAsia"/>
        </w:rPr>
        <w:t>(</w:t>
      </w:r>
      <w:r>
        <w:rPr>
          <w:rFonts w:hint="eastAsia"/>
        </w:rPr>
        <w:t>请参见第</w:t>
      </w:r>
      <w:r>
        <w:t>13</w:t>
      </w:r>
      <w:r>
        <w:rPr>
          <w:rFonts w:hint="eastAsia"/>
        </w:rPr>
        <w:t>号附件</w:t>
      </w:r>
      <w:r>
        <w:rPr>
          <w:rFonts w:hint="eastAsia"/>
        </w:rPr>
        <w:t>)</w:t>
      </w:r>
      <w:r>
        <w:rPr>
          <w:rFonts w:hint="eastAsia"/>
        </w:rPr>
        <w:t>。</w:t>
      </w:r>
      <w:r>
        <w:t>2009</w:t>
      </w:r>
      <w:r>
        <w:rPr>
          <w:rFonts w:hint="eastAsia"/>
        </w:rPr>
        <w:t>年至</w:t>
      </w:r>
      <w:r>
        <w:t>2010</w:t>
      </w:r>
      <w:r>
        <w:rPr>
          <w:rFonts w:hint="eastAsia"/>
        </w:rPr>
        <w:t>年，墨西哥通过国家劳动联系网接待了</w:t>
      </w:r>
      <w:r>
        <w:t>10 278</w:t>
      </w:r>
      <w:r>
        <w:rPr>
          <w:rFonts w:hint="eastAsia"/>
        </w:rPr>
        <w:t>名残疾妇女，并为其中的</w:t>
      </w:r>
      <w:r>
        <w:t>1</w:t>
      </w:r>
      <w:r>
        <w:rPr>
          <w:rFonts w:hint="eastAsia"/>
        </w:rPr>
        <w:t>,</w:t>
      </w:r>
      <w:r>
        <w:t>704</w:t>
      </w:r>
      <w:r>
        <w:rPr>
          <w:rFonts w:hint="eastAsia"/>
        </w:rPr>
        <w:t>人安排了工作</w:t>
      </w:r>
      <w:r>
        <w:rPr>
          <w:rFonts w:hint="eastAsia"/>
        </w:rPr>
        <w:t>(</w:t>
      </w:r>
      <w:r>
        <w:rPr>
          <w:rFonts w:hint="eastAsia"/>
        </w:rPr>
        <w:t>请参见第</w:t>
      </w:r>
      <w:r>
        <w:t>14</w:t>
      </w:r>
      <w:r>
        <w:rPr>
          <w:rFonts w:hint="eastAsia"/>
        </w:rPr>
        <w:t>号附件</w:t>
      </w:r>
      <w:r>
        <w:rPr>
          <w:rFonts w:hint="eastAsia"/>
        </w:rPr>
        <w:t>)</w:t>
      </w:r>
      <w:r>
        <w:rPr>
          <w:rFonts w:hint="eastAsia"/>
        </w:rPr>
        <w:t>。同样在</w:t>
      </w:r>
      <w:r>
        <w:t>2009</w:t>
      </w:r>
      <w:r>
        <w:rPr>
          <w:rFonts w:hint="eastAsia"/>
        </w:rPr>
        <w:t>年至</w:t>
      </w:r>
      <w:r>
        <w:t>2010</w:t>
      </w:r>
      <w:r>
        <w:rPr>
          <w:rFonts w:hint="eastAsia"/>
        </w:rPr>
        <w:t>年，培训总局向</w:t>
      </w:r>
      <w:r>
        <w:t>215</w:t>
      </w:r>
      <w:r>
        <w:rPr>
          <w:rFonts w:hint="eastAsia"/>
        </w:rPr>
        <w:t>名残疾妇女提供了远程培训，并向</w:t>
      </w:r>
      <w:r>
        <w:t>30</w:t>
      </w:r>
      <w:r>
        <w:rPr>
          <w:rFonts w:hint="eastAsia"/>
        </w:rPr>
        <w:t>名残疾妇女提供了现场培训</w:t>
      </w:r>
      <w:r>
        <w:rPr>
          <w:rFonts w:hint="eastAsia"/>
        </w:rPr>
        <w:t>(</w:t>
      </w:r>
      <w:r>
        <w:rPr>
          <w:rFonts w:hint="eastAsia"/>
        </w:rPr>
        <w:t>请参见第</w:t>
      </w:r>
      <w:r>
        <w:t>15</w:t>
      </w:r>
      <w:r>
        <w:rPr>
          <w:rFonts w:hint="eastAsia"/>
        </w:rPr>
        <w:t>号附件</w:t>
      </w:r>
      <w:r>
        <w:rPr>
          <w:rFonts w:hint="eastAsia"/>
        </w:rPr>
        <w:t>)</w:t>
      </w:r>
      <w:r>
        <w:rPr>
          <w:rFonts w:hint="eastAsia"/>
        </w:rPr>
        <w:t>。最后，联邦劳动保护办事处在</w:t>
      </w:r>
      <w:r>
        <w:t>2008</w:t>
      </w:r>
      <w:r>
        <w:rPr>
          <w:rFonts w:hint="eastAsia"/>
        </w:rPr>
        <w:t>年至</w:t>
      </w:r>
      <w:r>
        <w:t>2010</w:t>
      </w:r>
      <w:r>
        <w:rPr>
          <w:rFonts w:hint="eastAsia"/>
        </w:rPr>
        <w:t>年期间共向残疾妇女提供了</w:t>
      </w:r>
      <w:r>
        <w:t>16</w:t>
      </w:r>
      <w:r>
        <w:rPr>
          <w:rFonts w:hint="eastAsia"/>
        </w:rPr>
        <w:t>次咨询，并提起了</w:t>
      </w:r>
      <w:r>
        <w:t>9</w:t>
      </w:r>
      <w:r>
        <w:rPr>
          <w:rFonts w:hint="eastAsia"/>
        </w:rPr>
        <w:t>次与残疾妇女有关的诉讼</w:t>
      </w:r>
      <w:r>
        <w:rPr>
          <w:rFonts w:hint="eastAsia"/>
        </w:rPr>
        <w:t>(</w:t>
      </w:r>
      <w:r>
        <w:rPr>
          <w:rFonts w:hint="eastAsia"/>
        </w:rPr>
        <w:t>请参见第</w:t>
      </w:r>
      <w:r>
        <w:t>16</w:t>
      </w:r>
      <w:r>
        <w:rPr>
          <w:rFonts w:hint="eastAsia"/>
        </w:rPr>
        <w:t>号附件</w:t>
      </w:r>
      <w:r>
        <w:rPr>
          <w:rFonts w:hint="eastAsia"/>
        </w:rPr>
        <w:t>)</w:t>
      </w:r>
      <w:r>
        <w:rPr>
          <w:rFonts w:hint="eastAsia"/>
        </w:rPr>
        <w:t>。</w:t>
      </w:r>
    </w:p>
    <w:p w:rsidR="00A2190D" w:rsidRDefault="00A2190D">
      <w:pPr>
        <w:pStyle w:val="SingleTxtGC"/>
      </w:pPr>
      <w:r>
        <w:t xml:space="preserve">40.  </w:t>
      </w:r>
      <w:r>
        <w:rPr>
          <w:rFonts w:hint="eastAsia"/>
        </w:rPr>
        <w:t>全国妇女委员会通过“支持公平基金”，向为残疾人工作的民间社会组织发起的项目提供资助</w:t>
      </w:r>
      <w:r>
        <w:rPr>
          <w:rFonts w:hint="eastAsia"/>
        </w:rPr>
        <w:t>(</w:t>
      </w:r>
      <w:r>
        <w:rPr>
          <w:rFonts w:hint="eastAsia"/>
        </w:rPr>
        <w:t>请参见第</w:t>
      </w:r>
      <w:r>
        <w:t>17</w:t>
      </w:r>
      <w:r>
        <w:rPr>
          <w:rFonts w:hint="eastAsia"/>
        </w:rPr>
        <w:t>号附件</w:t>
      </w:r>
      <w:r>
        <w:rPr>
          <w:rFonts w:hint="eastAsia"/>
        </w:rPr>
        <w:t>)</w:t>
      </w:r>
      <w:r>
        <w:rPr>
          <w:rFonts w:hint="eastAsia"/>
        </w:rPr>
        <w:t>。</w:t>
      </w:r>
    </w:p>
    <w:p w:rsidR="00A2190D" w:rsidRDefault="00A2190D">
      <w:pPr>
        <w:pStyle w:val="SingleTxtGC"/>
      </w:pPr>
      <w:r>
        <w:t xml:space="preserve">41.  </w:t>
      </w:r>
      <w:r>
        <w:rPr>
          <w:rFonts w:hint="eastAsia"/>
        </w:rPr>
        <w:t>全国土著人民发展委员会制定的《土著妇女生产组织方案》的目的是为居住在偏远和极度偏远地区的土著妇女创造更好的生活条件与社会地位，推动和强化土著妇女的组织，并通过制定生产计划帮助她们参与决策。</w:t>
      </w:r>
    </w:p>
    <w:p w:rsidR="00A2190D" w:rsidRDefault="00A2190D">
      <w:pPr>
        <w:pStyle w:val="H1GC"/>
      </w:pPr>
      <w:r>
        <w:tab/>
      </w:r>
      <w:r>
        <w:tab/>
      </w:r>
      <w:r>
        <w:rPr>
          <w:rFonts w:hint="eastAsia"/>
        </w:rPr>
        <w:t>第七条</w:t>
      </w:r>
      <w:r>
        <w:rPr>
          <w:rFonts w:hint="eastAsia"/>
        </w:rPr>
        <w:br/>
      </w:r>
      <w:r>
        <w:rPr>
          <w:rFonts w:hint="eastAsia"/>
        </w:rPr>
        <w:t>残疾儿童</w:t>
      </w:r>
    </w:p>
    <w:p w:rsidR="00A2190D" w:rsidRDefault="00A2190D">
      <w:pPr>
        <w:pStyle w:val="SingleTxtGC"/>
      </w:pPr>
      <w:r>
        <w:t xml:space="preserve">42.  </w:t>
      </w:r>
      <w:r>
        <w:rPr>
          <w:rFonts w:hint="eastAsia"/>
        </w:rPr>
        <w:t>《墨西哥宪法》第</w:t>
      </w:r>
      <w:r>
        <w:rPr>
          <w:rFonts w:hint="eastAsia"/>
        </w:rPr>
        <w:t>4</w:t>
      </w:r>
      <w:r>
        <w:rPr>
          <w:rFonts w:hint="eastAsia"/>
        </w:rPr>
        <w:t>条将满足儿童食品、健康、教育和对全面发展有益的娱乐需求的权利从人权的角度提升到了宪法级别。宪法中的有关规定承认存在特定和自主的一组权利；明确了国家有义务提供必要的资源和帮助，尊重儿童的尊严、并使他们有效行使自己的权利；规定儿童的父母、监护人和托管人有责任保护儿童权利；规定国家有义务向个人提供便利，以便共同帮助儿童和未成年人实现自己的权利。</w:t>
      </w:r>
    </w:p>
    <w:p w:rsidR="00A2190D" w:rsidRDefault="00A2190D">
      <w:pPr>
        <w:pStyle w:val="SingleTxtGC"/>
      </w:pPr>
      <w:r>
        <w:t xml:space="preserve">43.  </w:t>
      </w:r>
      <w:r>
        <w:rPr>
          <w:rFonts w:hint="eastAsia"/>
        </w:rPr>
        <w:t>《儿童和未成年人权利保护法》是根据《宪法》第</w:t>
      </w:r>
      <w:r>
        <w:rPr>
          <w:rFonts w:hint="eastAsia"/>
        </w:rPr>
        <w:t>4</w:t>
      </w:r>
      <w:r>
        <w:rPr>
          <w:rFonts w:hint="eastAsia"/>
        </w:rPr>
        <w:t>条制定的，其目的是确保墨西哥儿童的充分和全面发展。该法律承认残疾儿童和未成年人的权利，并强调该人群有权充分发挥自身技能和享受可接纳他们融入社会的生活。</w:t>
      </w:r>
    </w:p>
    <w:p w:rsidR="00A2190D" w:rsidRDefault="00A2190D">
      <w:pPr>
        <w:pStyle w:val="SingleTxtGC"/>
      </w:pPr>
      <w:r>
        <w:t xml:space="preserve">44.  </w:t>
      </w:r>
      <w:r>
        <w:rPr>
          <w:rFonts w:hint="eastAsia"/>
        </w:rPr>
        <w:t>《防止和消除歧视联邦法》在第</w:t>
      </w:r>
      <w:r>
        <w:t>11</w:t>
      </w:r>
      <w:r>
        <w:rPr>
          <w:rFonts w:hint="eastAsia"/>
        </w:rPr>
        <w:t>和第</w:t>
      </w:r>
      <w:r>
        <w:t>13</w:t>
      </w:r>
      <w:r>
        <w:rPr>
          <w:rFonts w:hint="eastAsia"/>
        </w:rPr>
        <w:t>条中列入了一系列有利于残疾儿童机会平等的扶持性和补偿性措施。</w:t>
      </w:r>
    </w:p>
    <w:p w:rsidR="00A2190D" w:rsidRDefault="00A2190D">
      <w:pPr>
        <w:pStyle w:val="SingleTxtGC"/>
      </w:pPr>
      <w:r>
        <w:t xml:space="preserve">45.  </w:t>
      </w:r>
      <w:r>
        <w:rPr>
          <w:rFonts w:hint="eastAsia"/>
        </w:rPr>
        <w:t>到目前为止，共和国共有</w:t>
      </w:r>
      <w:r>
        <w:t>19</w:t>
      </w:r>
      <w:r>
        <w:rPr>
          <w:rFonts w:hint="eastAsia"/>
        </w:rPr>
        <w:t>个州在州级宪法中提到了儿童的最高利益；所有联邦实体均有与《儿童和未成年人权利保护法》一致的《保护儿童法》；</w:t>
      </w:r>
      <w:r>
        <w:t>15</w:t>
      </w:r>
      <w:r>
        <w:rPr>
          <w:rFonts w:hint="eastAsia"/>
        </w:rPr>
        <w:t>个联邦实体通过妇女生活免受暴力困扰的州级法律，对女童给予特别保护</w:t>
      </w:r>
      <w:r>
        <w:rPr>
          <w:rFonts w:hint="eastAsia"/>
        </w:rPr>
        <w:t>(</w:t>
      </w:r>
      <w:r>
        <w:rPr>
          <w:rFonts w:hint="eastAsia"/>
        </w:rPr>
        <w:t>请参见第</w:t>
      </w:r>
      <w:r>
        <w:t>18</w:t>
      </w:r>
      <w:r>
        <w:rPr>
          <w:rFonts w:hint="eastAsia"/>
        </w:rPr>
        <w:t>号附件</w:t>
      </w:r>
      <w:r>
        <w:rPr>
          <w:rFonts w:hint="eastAsia"/>
        </w:rPr>
        <w:t>)</w:t>
      </w:r>
      <w:r>
        <w:rPr>
          <w:rFonts w:hint="eastAsia"/>
        </w:rPr>
        <w:t>。</w:t>
      </w:r>
    </w:p>
    <w:p w:rsidR="00A2190D" w:rsidRDefault="00A2190D">
      <w:pPr>
        <w:pStyle w:val="SingleTxtGC"/>
      </w:pPr>
      <w:r>
        <w:t xml:space="preserve">46.  </w:t>
      </w:r>
      <w:r>
        <w:rPr>
          <w:rFonts w:hint="eastAsia"/>
        </w:rPr>
        <w:t>墨西哥社会保障局通过一体化幼儿园中的教育整合模式，在全国范围内向</w:t>
      </w:r>
      <w:r>
        <w:t>3 330</w:t>
      </w:r>
      <w:r>
        <w:rPr>
          <w:rFonts w:hint="eastAsia"/>
        </w:rPr>
        <w:t>名残疾儿童提供了服务。在机构宣传的方针下，墨西哥在全国范围内开展了一个与残疾儿童共存和整合有关的访问计划。墨西哥根据《公约》更新了与在一体化幼儿园中关怀残疾儿童有关的</w:t>
      </w:r>
      <w:smartTag w:uri="urn:schemas-microsoft-com:office:smarttags" w:element="chsdate">
        <w:smartTagPr>
          <w:attr w:name="IsROCDate" w:val="False"/>
          <w:attr w:name="IsLunarDate" w:val="False"/>
          <w:attr w:name="Day" w:val="11"/>
          <w:attr w:name="Month" w:val="1"/>
          <w:attr w:name="Year" w:val="3000"/>
        </w:smartTagPr>
        <w:r>
          <w:t>3000-001-0011</w:t>
        </w:r>
      </w:smartTag>
      <w:r>
        <w:rPr>
          <w:rFonts w:hint="eastAsia"/>
        </w:rPr>
        <w:t>号标准。</w:t>
      </w:r>
    </w:p>
    <w:p w:rsidR="00A2190D" w:rsidRDefault="00A2190D">
      <w:pPr>
        <w:pStyle w:val="SingleTxtGC"/>
      </w:pPr>
      <w:r>
        <w:t>47.  2010</w:t>
      </w:r>
      <w:r>
        <w:rPr>
          <w:rFonts w:hint="eastAsia"/>
        </w:rPr>
        <w:t>年</w:t>
      </w:r>
      <w:r>
        <w:t>6</w:t>
      </w:r>
      <w:r>
        <w:rPr>
          <w:rFonts w:hint="eastAsia"/>
        </w:rPr>
        <w:t>月，社会发展部的《支持就业母亲的托儿所计划》通过</w:t>
      </w:r>
      <w:r>
        <w:t>1</w:t>
      </w:r>
      <w:r>
        <w:rPr>
          <w:rFonts w:hint="eastAsia"/>
        </w:rPr>
        <w:t>,</w:t>
      </w:r>
      <w:r>
        <w:t>775</w:t>
      </w:r>
      <w:r>
        <w:rPr>
          <w:rFonts w:hint="eastAsia"/>
        </w:rPr>
        <w:t>座托儿所关怀了</w:t>
      </w:r>
      <w:r>
        <w:t>2,441</w:t>
      </w:r>
      <w:r>
        <w:rPr>
          <w:rFonts w:hint="eastAsia"/>
        </w:rPr>
        <w:t>名残疾儿童。</w:t>
      </w:r>
      <w:r>
        <w:t>2008</w:t>
      </w:r>
      <w:r>
        <w:rPr>
          <w:rFonts w:hint="eastAsia"/>
        </w:rPr>
        <w:t>年至</w:t>
      </w:r>
      <w:r>
        <w:t>2010</w:t>
      </w:r>
      <w:r>
        <w:rPr>
          <w:rFonts w:hint="eastAsia"/>
        </w:rPr>
        <w:t>年</w:t>
      </w:r>
      <w:r>
        <w:t>6</w:t>
      </w:r>
      <w:r>
        <w:rPr>
          <w:rFonts w:hint="eastAsia"/>
        </w:rPr>
        <w:t>月，帮助脑性瘫痪者协会共培训了</w:t>
      </w:r>
      <w:r>
        <w:t>1</w:t>
      </w:r>
      <w:r>
        <w:rPr>
          <w:rFonts w:hint="eastAsia"/>
        </w:rPr>
        <w:t>,</w:t>
      </w:r>
      <w:r>
        <w:t>455</w:t>
      </w:r>
      <w:r>
        <w:rPr>
          <w:rFonts w:hint="eastAsia"/>
        </w:rPr>
        <w:t>名幼儿园负责人，帮助贫困家庭中无法在公共社会保障机构中获得托儿服务的就业年龄段妇女在确信其子女受到良好照料的情况下进行学习或进入劳动力市场。</w:t>
      </w:r>
    </w:p>
    <w:p w:rsidR="00A2190D" w:rsidRDefault="00A2190D">
      <w:pPr>
        <w:pStyle w:val="SingleTxtGC"/>
      </w:pPr>
      <w:r>
        <w:t>48.  2010</w:t>
      </w:r>
      <w:r>
        <w:rPr>
          <w:rFonts w:hint="eastAsia"/>
        </w:rPr>
        <w:t>年</w:t>
      </w:r>
      <w:r>
        <w:t>6</w:t>
      </w:r>
      <w:r>
        <w:rPr>
          <w:rFonts w:hint="eastAsia"/>
        </w:rPr>
        <w:t>月，国家防止和消除歧视理事会正式提出申诉，原因是理事会认为劳动者社会保障与服务国家委员会的《儿童福利和发展幼儿园管理条例》会因健康和</w:t>
      </w:r>
      <w:r>
        <w:t>/</w:t>
      </w:r>
      <w:r>
        <w:rPr>
          <w:rFonts w:hint="eastAsia"/>
        </w:rPr>
        <w:t>或残疾条件对儿童的入园与否或入园时间设置各种限制条件。目前，双方代表正达成协议对《管理条例》进行修改，以确保相关儿童在入园条件和入园时间方面的不歧视权。</w:t>
      </w:r>
    </w:p>
    <w:p w:rsidR="00A2190D" w:rsidRDefault="00A2190D">
      <w:pPr>
        <w:pStyle w:val="SingleTxtGC"/>
      </w:pPr>
      <w:r>
        <w:t xml:space="preserve">49.  </w:t>
      </w:r>
      <w:r>
        <w:rPr>
          <w:rFonts w:hint="eastAsia"/>
        </w:rPr>
        <w:t>公共教育部与支持青年人在包容、公平和民主参与的教育环境中全面发展的民间社会组织一起，制定了《帮助青年学生制定人生规划和防范危险情况计划》</w:t>
      </w:r>
      <w:r>
        <w:rPr>
          <w:rFonts w:hint="eastAsia"/>
        </w:rPr>
        <w:t>(</w:t>
      </w:r>
      <w:r>
        <w:t>Contruye-T</w:t>
      </w:r>
      <w:r>
        <w:rPr>
          <w:rFonts w:hint="eastAsia"/>
        </w:rPr>
        <w:t>计划</w:t>
      </w:r>
      <w:r>
        <w:rPr>
          <w:rFonts w:hint="eastAsia"/>
        </w:rPr>
        <w:t>)</w:t>
      </w:r>
      <w:r>
        <w:rPr>
          <w:rFonts w:hint="eastAsia"/>
        </w:rPr>
        <w:t>。目前，该计划正在全国</w:t>
      </w:r>
      <w:r>
        <w:t>1,686</w:t>
      </w:r>
      <w:r>
        <w:rPr>
          <w:rFonts w:hint="eastAsia"/>
        </w:rPr>
        <w:t>所高中开展，共有约</w:t>
      </w:r>
      <w:r>
        <w:t>150</w:t>
      </w:r>
      <w:r>
        <w:rPr>
          <w:rFonts w:hint="eastAsia"/>
        </w:rPr>
        <w:t>万名学生受益。</w:t>
      </w:r>
    </w:p>
    <w:p w:rsidR="00A2190D" w:rsidRDefault="00A2190D">
      <w:pPr>
        <w:pStyle w:val="SingleTxtGC"/>
      </w:pPr>
      <w:r>
        <w:t xml:space="preserve">50.  </w:t>
      </w:r>
      <w:r>
        <w:rPr>
          <w:rFonts w:hint="eastAsia"/>
        </w:rPr>
        <w:t>在本报告的其他章节中，还有其他有利于残疾儿童的信息。</w:t>
      </w:r>
    </w:p>
    <w:p w:rsidR="00A2190D" w:rsidRDefault="00A2190D">
      <w:pPr>
        <w:pStyle w:val="H1GC"/>
      </w:pPr>
      <w:r>
        <w:tab/>
      </w:r>
      <w:r>
        <w:tab/>
      </w:r>
      <w:r>
        <w:rPr>
          <w:rFonts w:hint="eastAsia"/>
        </w:rPr>
        <w:t>第八条</w:t>
      </w:r>
      <w:r>
        <w:rPr>
          <w:rFonts w:hint="eastAsia"/>
        </w:rPr>
        <w:br/>
      </w:r>
      <w:r>
        <w:rPr>
          <w:rFonts w:hint="eastAsia"/>
        </w:rPr>
        <w:t>提高认识</w:t>
      </w:r>
    </w:p>
    <w:p w:rsidR="00A2190D" w:rsidRDefault="00A2190D">
      <w:pPr>
        <w:pStyle w:val="SingleTxtGC"/>
      </w:pPr>
      <w:r>
        <w:t xml:space="preserve">51.  </w:t>
      </w:r>
      <w:r>
        <w:rPr>
          <w:rFonts w:hint="eastAsia"/>
        </w:rPr>
        <w:t>全国残疾人融合理事会认为，要实现墨西哥残疾人完全融入社会，首当其冲的领域之一就是提高认识。《国家残疾人发展计划》第</w:t>
      </w:r>
      <w:r>
        <w:t>1.2</w:t>
      </w:r>
      <w:r>
        <w:rPr>
          <w:rFonts w:hint="eastAsia"/>
        </w:rPr>
        <w:t>条策略指出：为便于残疾人融入墨西哥的社会和生产生活，基本的一条就是提高全民的认识，并倡导一种融合及尊重、认可残疾人权利的文化。</w:t>
      </w:r>
    </w:p>
    <w:p w:rsidR="00A2190D" w:rsidRDefault="00A2190D">
      <w:pPr>
        <w:pStyle w:val="SingleTxtGC"/>
      </w:pPr>
      <w:r>
        <w:t xml:space="preserve">52.  </w:t>
      </w:r>
      <w:r>
        <w:rPr>
          <w:rFonts w:hint="eastAsia"/>
        </w:rPr>
        <w:t>政府人权政策委员会的弱势人群权利小组委员会要求联邦公共行政机构的下属部门和联邦实体倡导其属下所有政府官员和公务员正确使用与残疾人有关的术语。</w:t>
      </w:r>
    </w:p>
    <w:p w:rsidR="00A2190D" w:rsidRDefault="00A2190D">
      <w:pPr>
        <w:pStyle w:val="SingleTxtGC"/>
      </w:pPr>
      <w:r>
        <w:t xml:space="preserve">53.  </w:t>
      </w:r>
      <w:r>
        <w:rPr>
          <w:rFonts w:hint="eastAsia"/>
        </w:rPr>
        <w:t>在第</w:t>
      </w:r>
      <w:r>
        <w:t>19</w:t>
      </w:r>
      <w:r>
        <w:rPr>
          <w:rFonts w:hint="eastAsia"/>
        </w:rPr>
        <w:t>号附件中报告了为在墨西哥倡导残疾观点、并通过这一倡导行动持续推动文化转变、以求在下一代人中产生直接效果所采取的主要行动。</w:t>
      </w:r>
    </w:p>
    <w:p w:rsidR="00A2190D" w:rsidRDefault="00A2190D">
      <w:pPr>
        <w:pStyle w:val="H1GC"/>
      </w:pPr>
      <w:r>
        <w:tab/>
      </w:r>
      <w:r>
        <w:tab/>
      </w:r>
      <w:r>
        <w:rPr>
          <w:rFonts w:hint="eastAsia"/>
        </w:rPr>
        <w:t>第九条</w:t>
      </w:r>
      <w:r>
        <w:rPr>
          <w:rFonts w:hint="eastAsia"/>
        </w:rPr>
        <w:br/>
      </w:r>
      <w:r>
        <w:rPr>
          <w:rFonts w:hint="eastAsia"/>
        </w:rPr>
        <w:t>无障碍</w:t>
      </w:r>
    </w:p>
    <w:p w:rsidR="00A2190D" w:rsidRDefault="00A2190D">
      <w:pPr>
        <w:pStyle w:val="SingleTxtGC"/>
      </w:pPr>
      <w:r>
        <w:t xml:space="preserve">54.  </w:t>
      </w:r>
      <w:r>
        <w:rPr>
          <w:rFonts w:hint="eastAsia"/>
        </w:rPr>
        <w:t>为实现公共建筑物的无障碍通行，墨西哥采取的第一项官方举措是于</w:t>
      </w:r>
      <w:r>
        <w:t>1990</w:t>
      </w:r>
      <w:r>
        <w:rPr>
          <w:rFonts w:hint="eastAsia"/>
        </w:rPr>
        <w:t>年底成立无障碍问题跨机构工作组。工作组成立后，各机构开始采取措施确保残疾人在其设施内无障碍通行，并开始采取一些虽已产生实际效果、但无法量化的策略。</w:t>
      </w:r>
    </w:p>
    <w:p w:rsidR="00A2190D" w:rsidRDefault="00A2190D">
      <w:pPr>
        <w:pStyle w:val="SingleTxtGC"/>
      </w:pPr>
      <w:r>
        <w:t xml:space="preserve">55.  </w:t>
      </w:r>
      <w:r>
        <w:rPr>
          <w:rFonts w:hint="eastAsia"/>
        </w:rPr>
        <w:t>虽然并没有联邦公共行政机构的所有建筑物内实际无障碍通行条件的统计数据，但应指出的是，墨西哥目前处在公共机构建筑物引入肢体残疾人无障碍通行基本元素的初级阶段；同时，某些机构已在使用视觉和听觉残疾人的无障碍通行元素。</w:t>
      </w:r>
    </w:p>
    <w:p w:rsidR="00A2190D" w:rsidRDefault="00A2190D">
      <w:pPr>
        <w:pStyle w:val="SingleTxtGC"/>
      </w:pPr>
      <w:r>
        <w:t xml:space="preserve">56.  </w:t>
      </w:r>
      <w:r>
        <w:rPr>
          <w:rFonts w:hint="eastAsia"/>
        </w:rPr>
        <w:t>国有资产管理和评估研究所的联邦建筑物无障碍体系集中对所有联邦建筑物中约</w:t>
      </w:r>
      <w:r>
        <w:t>10%</w:t>
      </w:r>
      <w:r>
        <w:rPr>
          <w:rFonts w:hint="eastAsia"/>
        </w:rPr>
        <w:t>，即</w:t>
      </w:r>
      <w:r>
        <w:t>4</w:t>
      </w:r>
      <w:r>
        <w:rPr>
          <w:rFonts w:hint="eastAsia"/>
        </w:rPr>
        <w:t>,</w:t>
      </w:r>
      <w:r>
        <w:t>258</w:t>
      </w:r>
      <w:r>
        <w:rPr>
          <w:rFonts w:hint="eastAsia"/>
        </w:rPr>
        <w:t>座联邦建筑物的无障碍通行情况进行了评估。</w:t>
      </w:r>
      <w:r>
        <w:rPr>
          <w:rStyle w:val="FootnoteReference"/>
        </w:rPr>
        <w:footnoteReference w:id="13"/>
      </w:r>
      <w:r>
        <w:rPr>
          <w:rStyle w:val="FootnoteReference"/>
        </w:rPr>
        <w:t xml:space="preserve"> </w:t>
      </w:r>
      <w:r>
        <w:rPr>
          <w:rFonts w:hint="eastAsia"/>
        </w:rPr>
        <w:t>其中的</w:t>
      </w:r>
      <w:r>
        <w:t>2 544</w:t>
      </w:r>
      <w:r>
        <w:rPr>
          <w:rFonts w:hint="eastAsia"/>
        </w:rPr>
        <w:t>次评估显示，</w:t>
      </w:r>
      <w:r>
        <w:t>35%</w:t>
      </w:r>
      <w:r>
        <w:rPr>
          <w:rFonts w:hint="eastAsia"/>
        </w:rPr>
        <w:t>的无障碍设施有所进步，并认为虽然联邦建筑物已在诸如轮椅坡道或残疾人车位、以及少量的残疾人专用护理室、专用卫生间和专用标识等基础服务设施方面取得了进步，但联邦建筑物总体而言仍未全面满足无障碍通行的要求。</w:t>
      </w:r>
    </w:p>
    <w:p w:rsidR="00A2190D" w:rsidRDefault="00A2190D">
      <w:pPr>
        <w:pStyle w:val="SingleTxtGC"/>
      </w:pPr>
      <w:r>
        <w:t xml:space="preserve">57.  </w:t>
      </w:r>
      <w:r>
        <w:rPr>
          <w:rFonts w:hint="eastAsia"/>
        </w:rPr>
        <w:t>各机构在无障碍通行方面面临的主要障碍是缺乏资金对现有设施和通行能力进行改造和提升。各下属机构没有预算在联邦建筑物内外部建设残疾人通道和设施。</w:t>
      </w:r>
    </w:p>
    <w:p w:rsidR="00A2190D" w:rsidRDefault="00A2190D">
      <w:pPr>
        <w:pStyle w:val="SingleTxtGC"/>
      </w:pPr>
      <w:r>
        <w:t xml:space="preserve">58.  </w:t>
      </w:r>
      <w:r>
        <w:rPr>
          <w:rFonts w:hint="eastAsia"/>
        </w:rPr>
        <w:t>另一个严重制约因素是没有专门的标准，来统一和整合三级政府的各项标准中制定的各种技术规范。</w:t>
      </w:r>
    </w:p>
    <w:p w:rsidR="00A2190D" w:rsidRDefault="00A2190D">
      <w:pPr>
        <w:pStyle w:val="SingleTxtGC"/>
      </w:pPr>
      <w:r>
        <w:t xml:space="preserve">59.  </w:t>
      </w:r>
      <w:r>
        <w:rPr>
          <w:rFonts w:hint="eastAsia"/>
        </w:rPr>
        <w:t>为此，全国残疾人融合理事会于</w:t>
      </w:r>
      <w:r>
        <w:t>2009</w:t>
      </w:r>
      <w:r>
        <w:rPr>
          <w:rFonts w:hint="eastAsia"/>
        </w:rPr>
        <w:t>年参与了医院无障碍通行方面的</w:t>
      </w:r>
      <w:r>
        <w:t>NOM 233-SSA1-2008</w:t>
      </w:r>
      <w:r>
        <w:rPr>
          <w:rFonts w:hint="eastAsia"/>
        </w:rPr>
        <w:t>标准、《联邦区建筑物管理条例》和《国家学校体育设施研究院无障碍通行标准》的更新进程。同时，墨西哥还建立了无障碍和通用设计委员会。</w:t>
      </w:r>
    </w:p>
    <w:p w:rsidR="00A2190D" w:rsidRDefault="00A2190D">
      <w:pPr>
        <w:pStyle w:val="SingleTxtGC"/>
      </w:pPr>
      <w:r>
        <w:t xml:space="preserve">60.  </w:t>
      </w:r>
      <w:r>
        <w:rPr>
          <w:rFonts w:hint="eastAsia"/>
        </w:rPr>
        <w:t>国家防止和消除歧视理事会参与了各种跨机构协调进程，如联邦区家庭全面发展系统的倡导残疾人融入和发展委员会的无障碍通行和交通圆桌会议。在与大都市自治大学协调制定《建筑法规框架》建议稿的过程中，理事会也履行了发表司法意见的义务。</w:t>
      </w:r>
    </w:p>
    <w:p w:rsidR="00A2190D" w:rsidRDefault="00A2190D">
      <w:pPr>
        <w:pStyle w:val="SingleTxtGC"/>
        <w:rPr>
          <w:rFonts w:hint="eastAsia"/>
        </w:rPr>
      </w:pPr>
      <w:r>
        <w:t xml:space="preserve">61.  </w:t>
      </w:r>
      <w:r>
        <w:rPr>
          <w:rFonts w:hint="eastAsia"/>
        </w:rPr>
        <w:t>尽管存在上述种种问题，墨西哥仍有一些不错的做法。在第</w:t>
      </w:r>
      <w:r>
        <w:t>20</w:t>
      </w:r>
      <w:r>
        <w:rPr>
          <w:rFonts w:hint="eastAsia"/>
        </w:rPr>
        <w:t>号附件中将提交墨西哥采取的主要措施的报告，其中值得强调的有：</w:t>
      </w:r>
    </w:p>
    <w:p w:rsidR="00A2190D" w:rsidRDefault="00A2190D">
      <w:pPr>
        <w:pStyle w:val="SingleTxtGC"/>
        <w:numPr>
          <w:ilvl w:val="0"/>
          <w:numId w:val="18"/>
        </w:numPr>
      </w:pPr>
      <w:r>
        <w:rPr>
          <w:rFonts w:hint="eastAsia"/>
        </w:rPr>
        <w:t>共和国的</w:t>
      </w:r>
      <w:r>
        <w:t>17</w:t>
      </w:r>
      <w:r>
        <w:rPr>
          <w:rFonts w:hint="eastAsia"/>
        </w:rPr>
        <w:t>个实体考虑在其法律中设立便于残疾人进入其建筑物和其他向公众开放的设施的规定。</w:t>
      </w:r>
      <w:r>
        <w:rPr>
          <w:rStyle w:val="FootnoteReference"/>
        </w:rPr>
        <w:footnoteReference w:id="14"/>
      </w:r>
    </w:p>
    <w:p w:rsidR="00A2190D" w:rsidRDefault="00A2190D">
      <w:pPr>
        <w:pStyle w:val="SingleTxtGC"/>
        <w:numPr>
          <w:ilvl w:val="0"/>
          <w:numId w:val="18"/>
        </w:numPr>
      </w:pPr>
      <w:r>
        <w:t>2011</w:t>
      </w:r>
      <w:r>
        <w:rPr>
          <w:rFonts w:hint="eastAsia"/>
        </w:rPr>
        <w:t>财政年度的联邦预算支出设立了一笔用来向各联邦机构提供资源的资金，目的是倡导无障碍公共交通。</w:t>
      </w:r>
    </w:p>
    <w:p w:rsidR="00A2190D" w:rsidRDefault="00A2190D">
      <w:pPr>
        <w:pStyle w:val="SingleTxtGC"/>
        <w:numPr>
          <w:ilvl w:val="0"/>
          <w:numId w:val="18"/>
        </w:numPr>
      </w:pPr>
      <w:r>
        <w:rPr>
          <w:rFonts w:hint="eastAsia"/>
        </w:rPr>
        <w:t>小学五、六年级共有</w:t>
      </w:r>
      <w:r>
        <w:t>146 996</w:t>
      </w:r>
      <w:r>
        <w:rPr>
          <w:rFonts w:hint="eastAsia"/>
        </w:rPr>
        <w:t>间教室引入了帮助残疾学生就学的设施或工具；中学一年级有</w:t>
      </w:r>
      <w:r>
        <w:t>14 087</w:t>
      </w:r>
      <w:r>
        <w:rPr>
          <w:rFonts w:hint="eastAsia"/>
        </w:rPr>
        <w:t>间教室配备了一定的科技资源。</w:t>
      </w:r>
    </w:p>
    <w:p w:rsidR="00A2190D" w:rsidRDefault="00A2190D">
      <w:pPr>
        <w:pStyle w:val="SingleTxtGC"/>
        <w:numPr>
          <w:ilvl w:val="0"/>
          <w:numId w:val="18"/>
        </w:numPr>
      </w:pPr>
      <w:r>
        <w:t>2010</w:t>
      </w:r>
      <w:r>
        <w:rPr>
          <w:rFonts w:hint="eastAsia"/>
        </w:rPr>
        <w:t>财政年度，国家教育基础设施委员会考虑在全国</w:t>
      </w:r>
      <w:r>
        <w:t>3 480</w:t>
      </w:r>
      <w:r>
        <w:rPr>
          <w:rFonts w:hint="eastAsia"/>
        </w:rPr>
        <w:t>所学校中建设或改造供残疾学生使用的斜坡，并制定了便于残疾学生进入教育设施、及在教育设施内通行和停留的相关标准</w:t>
      </w:r>
      <w:r>
        <w:rPr>
          <w:rFonts w:hint="eastAsia"/>
        </w:rPr>
        <w:t>(</w:t>
      </w:r>
      <w:r>
        <w:rPr>
          <w:rFonts w:hint="eastAsia"/>
        </w:rPr>
        <w:t>请参见第</w:t>
      </w:r>
      <w:r>
        <w:t>21</w:t>
      </w:r>
      <w:r>
        <w:rPr>
          <w:rFonts w:hint="eastAsia"/>
        </w:rPr>
        <w:t>号附件</w:t>
      </w:r>
      <w:r>
        <w:rPr>
          <w:rFonts w:hint="eastAsia"/>
        </w:rPr>
        <w:t>)</w:t>
      </w:r>
      <w:r>
        <w:rPr>
          <w:rFonts w:hint="eastAsia"/>
        </w:rPr>
        <w:t>。</w:t>
      </w:r>
    </w:p>
    <w:p w:rsidR="00A2190D" w:rsidRDefault="00A2190D">
      <w:pPr>
        <w:pStyle w:val="SingleTxtGC"/>
        <w:numPr>
          <w:ilvl w:val="0"/>
          <w:numId w:val="18"/>
        </w:numPr>
      </w:pPr>
      <w:r>
        <w:rPr>
          <w:rFonts w:hint="eastAsia"/>
        </w:rPr>
        <w:t>公共教育部的科技委员会通过努力，向残疾学生提供了接受高等教育的机会。到</w:t>
      </w:r>
      <w:r>
        <w:t>2010</w:t>
      </w:r>
      <w:r>
        <w:rPr>
          <w:rFonts w:hint="eastAsia"/>
        </w:rPr>
        <w:t>年</w:t>
      </w:r>
      <w:r>
        <w:t>7</w:t>
      </w:r>
      <w:r>
        <w:rPr>
          <w:rFonts w:hint="eastAsia"/>
        </w:rPr>
        <w:t>月，</w:t>
      </w:r>
      <w:r>
        <w:t>106</w:t>
      </w:r>
      <w:r>
        <w:rPr>
          <w:rFonts w:hint="eastAsia"/>
        </w:rPr>
        <w:t>所学校取得了上述进步。</w:t>
      </w:r>
    </w:p>
    <w:p w:rsidR="00A2190D" w:rsidRDefault="00A2190D">
      <w:pPr>
        <w:pStyle w:val="SingleTxtGC"/>
        <w:numPr>
          <w:ilvl w:val="0"/>
          <w:numId w:val="18"/>
        </w:numPr>
      </w:pPr>
      <w:r>
        <w:rPr>
          <w:rFonts w:hint="eastAsia"/>
        </w:rPr>
        <w:t>为了融入残疾人或传授与残疾人问题有关的课程，墨西哥主要的公立和私立高等教育机构均有相应的学科与计划，或对学校建筑和课程做出调整。</w:t>
      </w:r>
    </w:p>
    <w:p w:rsidR="00A2190D" w:rsidRDefault="00A2190D">
      <w:pPr>
        <w:pStyle w:val="SingleTxtGC"/>
        <w:numPr>
          <w:ilvl w:val="0"/>
          <w:numId w:val="18"/>
        </w:numPr>
      </w:pPr>
      <w:r>
        <w:t>2008</w:t>
      </w:r>
      <w:r>
        <w:rPr>
          <w:rFonts w:hint="eastAsia"/>
        </w:rPr>
        <w:t>年以来，墨西哥对医疗卫生领域的机构投入资金，目的是改善各所国家医疗卫生研究院的无障碍通行条件和设施。</w:t>
      </w:r>
    </w:p>
    <w:p w:rsidR="00A2190D" w:rsidRDefault="00A2190D">
      <w:pPr>
        <w:pStyle w:val="SingleTxtGC"/>
        <w:numPr>
          <w:ilvl w:val="0"/>
          <w:numId w:val="18"/>
        </w:numPr>
      </w:pPr>
      <w:r>
        <w:rPr>
          <w:rFonts w:hint="eastAsia"/>
        </w:rPr>
        <w:t>墨西哥社会保障局发布了由民间社会参与制定的“残疾人无障碍通行标准”，并建立了旨在保障残疾人全面无障碍通行的、目前已在</w:t>
      </w:r>
      <w:r>
        <w:t>16</w:t>
      </w:r>
      <w:r>
        <w:rPr>
          <w:rFonts w:hint="eastAsia"/>
        </w:rPr>
        <w:t>家地区级总医院落实的残疾人专用护理室原型。</w:t>
      </w:r>
    </w:p>
    <w:p w:rsidR="00A2190D" w:rsidRDefault="00A2190D">
      <w:pPr>
        <w:pStyle w:val="SingleTxtGC"/>
        <w:numPr>
          <w:ilvl w:val="0"/>
          <w:numId w:val="18"/>
        </w:numPr>
      </w:pPr>
      <w:r>
        <w:rPr>
          <w:rFonts w:hint="eastAsia"/>
        </w:rPr>
        <w:t>劳动者社会保障与服务国家委员会制定了下列文件：《残疾人在机构单位中无障碍通行、行动和逗留情况评价指南》，《劳动者社会保障与服务国家委员会设计标准》，《劳动者社会保障与服务国家委员会帮助残疾人的建筑结构设计标准》。</w:t>
      </w:r>
    </w:p>
    <w:p w:rsidR="00A2190D" w:rsidRDefault="00A2190D">
      <w:pPr>
        <w:pStyle w:val="SingleTxtGC"/>
        <w:numPr>
          <w:ilvl w:val="0"/>
          <w:numId w:val="18"/>
        </w:numPr>
      </w:pPr>
      <w:r>
        <w:t>2010</w:t>
      </w:r>
      <w:r>
        <w:rPr>
          <w:rFonts w:hint="eastAsia"/>
        </w:rPr>
        <w:t>年，劳动者社会保障与服务国家委员会住房基金增加了针对残疾人办理按揭手续的优先和特快登记与关怀机制。</w:t>
      </w:r>
    </w:p>
    <w:p w:rsidR="00A2190D" w:rsidRDefault="00A2190D">
      <w:pPr>
        <w:pStyle w:val="SingleTxtGC"/>
        <w:numPr>
          <w:ilvl w:val="0"/>
          <w:numId w:val="18"/>
        </w:numPr>
      </w:pPr>
      <w:r>
        <w:t>2010</w:t>
      </w:r>
      <w:r>
        <w:rPr>
          <w:rFonts w:hint="eastAsia"/>
        </w:rPr>
        <w:t>年初，国家人民住房基金信托基金和全国残疾人融合理事会为贫困家庭和有残疾成员的家庭制定了经济适用房模式。</w:t>
      </w:r>
    </w:p>
    <w:p w:rsidR="00A2190D" w:rsidRDefault="00A2190D">
      <w:pPr>
        <w:pStyle w:val="SingleTxtGC"/>
        <w:numPr>
          <w:ilvl w:val="0"/>
          <w:numId w:val="18"/>
        </w:numPr>
      </w:pPr>
      <w:r>
        <w:rPr>
          <w:rFonts w:hint="eastAsia"/>
        </w:rPr>
        <w:t>通信与交通部在地面交通、海运和航运、道路和旅游业中倡导使城市建筑无障碍的文化</w:t>
      </w:r>
      <w:r>
        <w:rPr>
          <w:rFonts w:hint="eastAsia"/>
        </w:rPr>
        <w:t>(</w:t>
      </w:r>
      <w:r>
        <w:rPr>
          <w:rFonts w:hint="eastAsia"/>
        </w:rPr>
        <w:t>请参见第</w:t>
      </w:r>
      <w:r>
        <w:t>2</w:t>
      </w:r>
      <w:r>
        <w:rPr>
          <w:rFonts w:hint="eastAsia"/>
        </w:rPr>
        <w:t>2</w:t>
      </w:r>
      <w:r>
        <w:rPr>
          <w:rFonts w:hint="eastAsia"/>
        </w:rPr>
        <w:t>号附件</w:t>
      </w:r>
      <w:r>
        <w:rPr>
          <w:rFonts w:hint="eastAsia"/>
        </w:rPr>
        <w:t>)</w:t>
      </w:r>
      <w:r>
        <w:rPr>
          <w:rFonts w:hint="eastAsia"/>
        </w:rPr>
        <w:t>。</w:t>
      </w:r>
    </w:p>
    <w:p w:rsidR="00A2190D" w:rsidRDefault="00A2190D">
      <w:pPr>
        <w:pStyle w:val="SingleTxtGC"/>
        <w:numPr>
          <w:ilvl w:val="0"/>
          <w:numId w:val="18"/>
        </w:numPr>
      </w:pPr>
      <w:r>
        <w:rPr>
          <w:rFonts w:hint="eastAsia"/>
        </w:rPr>
        <w:t>全国大部分机场可供肢体残疾人通行。目前，墨西哥正在对各联邦单位的主要巴士枢纽站进行无障碍设施的改造。</w:t>
      </w:r>
    </w:p>
    <w:p w:rsidR="00A2190D" w:rsidRDefault="00A2190D">
      <w:pPr>
        <w:pStyle w:val="SingleTxtGC"/>
        <w:numPr>
          <w:ilvl w:val="0"/>
          <w:numId w:val="18"/>
        </w:numPr>
      </w:pPr>
      <w:r>
        <w:rPr>
          <w:rFonts w:hint="eastAsia"/>
        </w:rPr>
        <w:t>在墨西哥城，新的大客流地下巴士整体客运体系考虑对现有的</w:t>
      </w:r>
      <w:r>
        <w:t>2</w:t>
      </w:r>
      <w:r>
        <w:rPr>
          <w:rFonts w:hint="eastAsia"/>
        </w:rPr>
        <w:t>条线路的车站和车辆实现无障碍通行，并使另外</w:t>
      </w:r>
      <w:r>
        <w:t>2</w:t>
      </w:r>
      <w:r>
        <w:rPr>
          <w:rFonts w:hint="eastAsia"/>
        </w:rPr>
        <w:t>条线路与地铁</w:t>
      </w:r>
      <w:r>
        <w:t>12</w:t>
      </w:r>
      <w:r>
        <w:rPr>
          <w:rFonts w:hint="eastAsia"/>
        </w:rPr>
        <w:t>号线一样实现</w:t>
      </w:r>
      <w:r>
        <w:t>100%</w:t>
      </w:r>
      <w:r>
        <w:rPr>
          <w:rFonts w:hint="eastAsia"/>
        </w:rPr>
        <w:t>无障碍通行。通信与交通部负责的市郊列车同样是</w:t>
      </w:r>
      <w:r>
        <w:t>100%</w:t>
      </w:r>
      <w:r>
        <w:rPr>
          <w:rFonts w:hint="eastAsia"/>
        </w:rPr>
        <w:t>无障碍通行。</w:t>
      </w:r>
    </w:p>
    <w:p w:rsidR="00A2190D" w:rsidRDefault="00A2190D">
      <w:pPr>
        <w:pStyle w:val="SingleTxtGC"/>
        <w:numPr>
          <w:ilvl w:val="0"/>
          <w:numId w:val="18"/>
        </w:numPr>
      </w:pPr>
      <w:r>
        <w:rPr>
          <w:rFonts w:hint="eastAsia"/>
        </w:rPr>
        <w:t>莱昂、瓜达拉哈拉市和联邦区均至少拥有一条供残疾人无障碍通行的交通线路。恰帕斯、科利马、墨西哥州、塔巴斯科等州也采取了旨在改善建筑、城市和交通设施无障碍通行情况的专门行动。</w:t>
      </w:r>
    </w:p>
    <w:p w:rsidR="00A2190D" w:rsidRDefault="00A2190D">
      <w:pPr>
        <w:pStyle w:val="SingleTxtGC"/>
        <w:numPr>
          <w:ilvl w:val="0"/>
          <w:numId w:val="18"/>
        </w:numPr>
      </w:pPr>
      <w:r>
        <w:rPr>
          <w:rFonts w:hint="eastAsia"/>
        </w:rPr>
        <w:t>全国各地都有无障碍酒店，这些酒店的公共活动区及</w:t>
      </w:r>
      <w:r>
        <w:t>1</w:t>
      </w:r>
      <w:r>
        <w:rPr>
          <w:rFonts w:hint="eastAsia"/>
        </w:rPr>
        <w:t>或</w:t>
      </w:r>
      <w:r>
        <w:t>2</w:t>
      </w:r>
      <w:r>
        <w:rPr>
          <w:rFonts w:hint="eastAsia"/>
        </w:rPr>
        <w:t>间房间有一定的无障碍设施。在这方面，旅游部特别强调了坎昆、巴亚尔塔港和墨西哥城这些旅游目的地。</w:t>
      </w:r>
    </w:p>
    <w:p w:rsidR="00A2190D" w:rsidRDefault="00A2190D">
      <w:pPr>
        <w:pStyle w:val="SingleTxtGC"/>
        <w:numPr>
          <w:ilvl w:val="0"/>
          <w:numId w:val="18"/>
        </w:numPr>
      </w:pPr>
      <w:r>
        <w:rPr>
          <w:rFonts w:hint="eastAsia"/>
        </w:rPr>
        <w:t>旅行社系统</w:t>
      </w:r>
      <w:r>
        <w:t>TURISSSTE</w:t>
      </w:r>
      <w:r>
        <w:rPr>
          <w:rFonts w:hint="eastAsia"/>
        </w:rPr>
        <w:t>倡导为通过航空、地面或水路交通出行的残疾人提供特别优惠或免费的旅游和娱乐活动。</w:t>
      </w:r>
    </w:p>
    <w:p w:rsidR="00A2190D" w:rsidRDefault="00A2190D">
      <w:pPr>
        <w:pStyle w:val="SingleTxtGC"/>
        <w:numPr>
          <w:ilvl w:val="0"/>
          <w:numId w:val="18"/>
        </w:numPr>
      </w:pPr>
      <w:r>
        <w:rPr>
          <w:rFonts w:hint="eastAsia"/>
        </w:rPr>
        <w:t>墨西哥在城市和建筑领域外还采取了其他的无障碍措施。伊斯塔</w:t>
      </w:r>
      <w:r>
        <w:t>-</w:t>
      </w:r>
      <w:r>
        <w:rPr>
          <w:rFonts w:hint="eastAsia"/>
        </w:rPr>
        <w:t>波波国家公园中的科尔特斯道路有一片无障碍娱乐区；</w:t>
      </w:r>
      <w:r>
        <w:t>16</w:t>
      </w:r>
      <w:r>
        <w:rPr>
          <w:rFonts w:hint="eastAsia"/>
        </w:rPr>
        <w:t>个考古遗址设计了包括斜坡和参观道路在内的无障碍路线。</w:t>
      </w:r>
    </w:p>
    <w:p w:rsidR="00A2190D" w:rsidRDefault="00A2190D">
      <w:pPr>
        <w:pStyle w:val="SingleTxtGC"/>
        <w:numPr>
          <w:ilvl w:val="0"/>
          <w:numId w:val="18"/>
        </w:numPr>
      </w:pPr>
      <w:r>
        <w:rPr>
          <w:rFonts w:hint="eastAsia"/>
        </w:rPr>
        <w:t>墨西哥制定了残疾人参观博物馆的无障碍设施最低标准。</w:t>
      </w:r>
    </w:p>
    <w:p w:rsidR="00A2190D" w:rsidRDefault="00A2190D">
      <w:pPr>
        <w:pStyle w:val="SingleTxtGC"/>
        <w:numPr>
          <w:ilvl w:val="0"/>
          <w:numId w:val="18"/>
        </w:numPr>
      </w:pPr>
      <w:r>
        <w:rPr>
          <w:rFonts w:hint="eastAsia"/>
        </w:rPr>
        <w:t>墨西哥残奥中心拥有</w:t>
      </w:r>
      <w:r>
        <w:t>6 000</w:t>
      </w:r>
      <w:r>
        <w:rPr>
          <w:rFonts w:hint="eastAsia"/>
        </w:rPr>
        <w:t>平方米土地，建筑面积为</w:t>
      </w:r>
      <w:r>
        <w:t>3 000</w:t>
      </w:r>
      <w:r>
        <w:rPr>
          <w:rFonts w:hint="eastAsia"/>
        </w:rPr>
        <w:t>平方米，可开展</w:t>
      </w:r>
      <w:r>
        <w:t>19</w:t>
      </w:r>
      <w:r>
        <w:rPr>
          <w:rFonts w:hint="eastAsia"/>
        </w:rPr>
        <w:t>种体育项目。</w:t>
      </w:r>
    </w:p>
    <w:p w:rsidR="00A2190D" w:rsidRDefault="00A2190D">
      <w:pPr>
        <w:pStyle w:val="SingleTxtGC"/>
        <w:numPr>
          <w:ilvl w:val="0"/>
          <w:numId w:val="18"/>
        </w:numPr>
      </w:pPr>
      <w:r>
        <w:t>2009</w:t>
      </w:r>
      <w:r>
        <w:rPr>
          <w:rFonts w:hint="eastAsia"/>
        </w:rPr>
        <w:t>年，全国人权委员会通过同墨西哥共和国建筑学院联合会和自由通行组织民间联合会的合作，撰写了针对不同联邦实体的</w:t>
      </w:r>
      <w:r>
        <w:t>72</w:t>
      </w:r>
      <w:r>
        <w:rPr>
          <w:rFonts w:hint="eastAsia"/>
        </w:rPr>
        <w:t>座联邦政府建筑物的《全国联邦公共行政机构建筑物无障碍通行情况分析样本》。</w:t>
      </w:r>
      <w:r>
        <w:rPr>
          <w:rStyle w:val="FootnoteReference"/>
        </w:rPr>
        <w:footnoteReference w:id="15"/>
      </w:r>
      <w:r>
        <w:rPr>
          <w:rStyle w:val="FootnoteReference"/>
        </w:rPr>
        <w:t xml:space="preserve"> </w:t>
      </w:r>
      <w:r>
        <w:rPr>
          <w:rFonts w:hint="eastAsia"/>
        </w:rPr>
        <w:t>委员会还提出开展与在公共和公用建筑物中向视觉残疾人提供动物援助</w:t>
      </w:r>
      <w:r>
        <w:rPr>
          <w:rFonts w:hint="eastAsia"/>
        </w:rPr>
        <w:t>(</w:t>
      </w:r>
      <w:r>
        <w:rPr>
          <w:rFonts w:hint="eastAsia"/>
        </w:rPr>
        <w:t>导盲犬</w:t>
      </w:r>
      <w:r>
        <w:rPr>
          <w:rFonts w:hint="eastAsia"/>
        </w:rPr>
        <w:t>)</w:t>
      </w:r>
      <w:r>
        <w:rPr>
          <w:rFonts w:hint="eastAsia"/>
        </w:rPr>
        <w:t>有关的宣传行动。</w:t>
      </w:r>
    </w:p>
    <w:p w:rsidR="00A2190D" w:rsidRDefault="00A2190D">
      <w:pPr>
        <w:pStyle w:val="H1GC"/>
      </w:pPr>
      <w:r>
        <w:tab/>
      </w:r>
      <w:r>
        <w:tab/>
      </w:r>
      <w:r>
        <w:rPr>
          <w:rFonts w:hint="eastAsia"/>
        </w:rPr>
        <w:t>第十条</w:t>
      </w:r>
      <w:r>
        <w:rPr>
          <w:rFonts w:hint="eastAsia"/>
        </w:rPr>
        <w:br/>
      </w:r>
      <w:r>
        <w:rPr>
          <w:rFonts w:hint="eastAsia"/>
        </w:rPr>
        <w:t>生命权</w:t>
      </w:r>
    </w:p>
    <w:p w:rsidR="00A2190D" w:rsidRDefault="00A2190D">
      <w:pPr>
        <w:pStyle w:val="SingleTxtGC"/>
      </w:pPr>
      <w:r>
        <w:t xml:space="preserve">62.  </w:t>
      </w:r>
      <w:r>
        <w:rPr>
          <w:rFonts w:hint="eastAsia"/>
        </w:rPr>
        <w:t>《墨西哥合众国政治宪法》保护生命权，并在第一条中规定任何人的生命权和其他权利一样，不得被剥夺。此外，根据政治宪法，墨西哥是在任何条件下保障基本权利的各种国际条约的缔约国。</w:t>
      </w:r>
    </w:p>
    <w:p w:rsidR="00A2190D" w:rsidRDefault="00A2190D">
      <w:pPr>
        <w:pStyle w:val="H1GC"/>
      </w:pPr>
      <w:r>
        <w:tab/>
      </w:r>
      <w:r>
        <w:tab/>
      </w:r>
      <w:r>
        <w:rPr>
          <w:rFonts w:hint="eastAsia"/>
        </w:rPr>
        <w:t>第十一条</w:t>
      </w:r>
      <w:r>
        <w:rPr>
          <w:rFonts w:hint="eastAsia"/>
        </w:rPr>
        <w:br/>
      </w:r>
      <w:r>
        <w:rPr>
          <w:rFonts w:hint="eastAsia"/>
        </w:rPr>
        <w:t>危难情况和人道主义紧急情况</w:t>
      </w:r>
    </w:p>
    <w:p w:rsidR="00A2190D" w:rsidRDefault="00A2190D">
      <w:pPr>
        <w:pStyle w:val="SingleTxtGC"/>
      </w:pPr>
      <w:r>
        <w:t xml:space="preserve">63.  </w:t>
      </w:r>
      <w:r>
        <w:rPr>
          <w:rFonts w:hint="eastAsia"/>
        </w:rPr>
        <w:t>墨西哥有专门的机构、方案和法规框架来应对危难情况和人道主义紧急情况。在这一背景下，墨西哥会在实施的初始阶段考虑残疾观点，并要求深化国家标准和协议的制定或更新工作。但是，下面将介绍墨西哥取得的一些重要进步。</w:t>
      </w:r>
    </w:p>
    <w:p w:rsidR="00A2190D" w:rsidRDefault="00A2190D">
      <w:pPr>
        <w:pStyle w:val="SingleTxtGC"/>
      </w:pPr>
      <w:r>
        <w:t xml:space="preserve">64.  </w:t>
      </w:r>
      <w:r>
        <w:rPr>
          <w:rFonts w:hint="eastAsia"/>
        </w:rPr>
        <w:t>《民防法》优先向社会弱势群体和贫困人群提供保护，其中就包括残疾人；《国家民防计划</w:t>
      </w:r>
      <w:r>
        <w:rPr>
          <w:rFonts w:hint="eastAsia"/>
        </w:rPr>
        <w:t>(</w:t>
      </w:r>
      <w:r>
        <w:t>2008-2012</w:t>
      </w:r>
      <w:r>
        <w:rPr>
          <w:rFonts w:hint="eastAsia"/>
        </w:rPr>
        <w:t>年</w:t>
      </w:r>
      <w:r>
        <w:rPr>
          <w:rFonts w:hint="eastAsia"/>
        </w:rPr>
        <w:t>)</w:t>
      </w:r>
      <w:r>
        <w:rPr>
          <w:rFonts w:hint="eastAsia"/>
        </w:rPr>
        <w:t>》是一个通过社区、有组织的社会团体和当局的参与，使得墨西哥民防公共政策更有效和完善的政府规划工具。</w:t>
      </w:r>
    </w:p>
    <w:p w:rsidR="00A2190D" w:rsidRDefault="00A2190D">
      <w:pPr>
        <w:pStyle w:val="SingleTxtGC"/>
      </w:pPr>
      <w:r>
        <w:t xml:space="preserve">65.  </w:t>
      </w:r>
      <w:r>
        <w:rPr>
          <w:rFonts w:hint="eastAsia"/>
        </w:rPr>
        <w:t>国家民防和防灾标准化咨询委员会于</w:t>
      </w:r>
      <w:r>
        <w:t>2010</w:t>
      </w:r>
      <w:r>
        <w:rPr>
          <w:rFonts w:hint="eastAsia"/>
        </w:rPr>
        <w:t>年专门设立的一个旨在改善现有关怀水准的工作组有权在民防方面提出建议，对处于紧急情况中的残疾人进行照顾和关怀。</w:t>
      </w:r>
    </w:p>
    <w:p w:rsidR="00A2190D" w:rsidRDefault="00A2190D">
      <w:pPr>
        <w:pStyle w:val="SingleTxtGC"/>
      </w:pPr>
      <w:r>
        <w:t>66.  2008</w:t>
      </w:r>
      <w:r>
        <w:rPr>
          <w:rFonts w:hint="eastAsia"/>
        </w:rPr>
        <w:t>年，卫生部更新了《灾难状态医疗保健手册》。该手册包含了全国各紧急服务点在选择避难地点时应考虑到的临时避难所无障碍通行最低规范。</w:t>
      </w:r>
    </w:p>
    <w:p w:rsidR="00A2190D" w:rsidRDefault="00A2190D">
      <w:pPr>
        <w:pStyle w:val="SingleTxtGC"/>
      </w:pPr>
      <w:r>
        <w:t xml:space="preserve">67.  </w:t>
      </w:r>
      <w:r>
        <w:rPr>
          <w:rFonts w:hint="eastAsia"/>
        </w:rPr>
        <w:t>墨西哥共和国的某些联邦实体已在其民防计划中加入了针对残疾人的特别行动。</w:t>
      </w:r>
    </w:p>
    <w:p w:rsidR="00A2190D" w:rsidRDefault="00A2190D">
      <w:pPr>
        <w:pStyle w:val="SingleTxtGC"/>
      </w:pPr>
      <w:r>
        <w:t>68.  2010</w:t>
      </w:r>
      <w:r>
        <w:rPr>
          <w:rFonts w:hint="eastAsia"/>
        </w:rPr>
        <w:t>年批准通过的《避难和补充保护法》确保所有难民和申请避难者在不受任何歧视的情况下，享受墨西哥《宪法》、法律及墨西哥作为缔约国的所有国际条约规定的各种保障和自由。</w:t>
      </w:r>
    </w:p>
    <w:p w:rsidR="00A2190D" w:rsidRDefault="00A2190D">
      <w:pPr>
        <w:pStyle w:val="SingleTxtGC"/>
      </w:pPr>
      <w:r>
        <w:t xml:space="preserve">69.  </w:t>
      </w:r>
      <w:r>
        <w:rPr>
          <w:rFonts w:hint="eastAsia"/>
        </w:rPr>
        <w:t>墨西哥难民援助委员会具备相应的组织结构，以适当的方式来关怀残疾难民。该委员会与国家移徙委员会共同针对《人口一般法》及其管理条例发布了旨在增加有残疾的难民和申请避难者获得关怀和援助机会的补充规定。如确认移徙站中有一名残疾人，墨西哥难民援助委员会将向国家移徙委员会建议解除看管，以确保将残疾难民或申请者安置在某个可以对其进行适当照料的地方。</w:t>
      </w:r>
    </w:p>
    <w:p w:rsidR="00A2190D" w:rsidRDefault="00A2190D">
      <w:pPr>
        <w:pStyle w:val="SingleTxtGC"/>
      </w:pPr>
      <w:r>
        <w:t xml:space="preserve">70.  </w:t>
      </w:r>
      <w:r>
        <w:rPr>
          <w:rFonts w:hint="eastAsia"/>
        </w:rPr>
        <w:t>根据内政部和国家医疗卫生社会保护委员会之间的协议，难民可加入针对没有其他免费保障的社会保障机制</w:t>
      </w:r>
      <w:r>
        <w:rPr>
          <w:rFonts w:hint="eastAsia"/>
        </w:rPr>
        <w:t>(</w:t>
      </w:r>
      <w:r>
        <w:rPr>
          <w:rFonts w:hint="eastAsia"/>
        </w:rPr>
        <w:t>即：大众保险</w:t>
      </w:r>
      <w:r>
        <w:rPr>
          <w:rFonts w:hint="eastAsia"/>
        </w:rPr>
        <w:t>)</w:t>
      </w:r>
      <w:r>
        <w:rPr>
          <w:rFonts w:hint="eastAsia"/>
        </w:rPr>
        <w:t>，以确保其接受医疗护理和医院服务。</w:t>
      </w:r>
    </w:p>
    <w:p w:rsidR="00A2190D" w:rsidRDefault="00A2190D">
      <w:pPr>
        <w:pStyle w:val="H1GC"/>
      </w:pPr>
      <w:r>
        <w:tab/>
      </w:r>
      <w:r>
        <w:tab/>
      </w:r>
      <w:r>
        <w:rPr>
          <w:rFonts w:hint="eastAsia"/>
        </w:rPr>
        <w:t>第十二条</w:t>
      </w:r>
      <w:r>
        <w:rPr>
          <w:rFonts w:hint="eastAsia"/>
        </w:rPr>
        <w:br/>
      </w:r>
      <w:r>
        <w:rPr>
          <w:rFonts w:hint="eastAsia"/>
        </w:rPr>
        <w:t>在法律面前获得平等承认</w:t>
      </w:r>
    </w:p>
    <w:p w:rsidR="00A2190D" w:rsidRDefault="00A2190D">
      <w:pPr>
        <w:pStyle w:val="SingleTxtGC"/>
      </w:pPr>
      <w:r>
        <w:t xml:space="preserve">71.  </w:t>
      </w:r>
      <w:r>
        <w:rPr>
          <w:rFonts w:hint="eastAsia"/>
        </w:rPr>
        <w:t>在墨西哥，根据《联邦民法典》第</w:t>
      </w:r>
      <w:r>
        <w:t>22</w:t>
      </w:r>
      <w:r>
        <w:rPr>
          <w:rFonts w:hint="eastAsia"/>
        </w:rPr>
        <w:t>条，“自然人在出生时即获得法律行为能力，直至其死亡”。但是，如同《联邦民法典》第</w:t>
      </w:r>
      <w:r>
        <w:t>450</w:t>
      </w:r>
      <w:r>
        <w:rPr>
          <w:rFonts w:hint="eastAsia"/>
        </w:rPr>
        <w:t>条一样，各联邦实体的民法典、家庭法和诉讼法仍在继续限制残疾人的法律行为能力。</w:t>
      </w:r>
    </w:p>
    <w:p w:rsidR="00A2190D" w:rsidRDefault="00A2190D">
      <w:pPr>
        <w:pStyle w:val="SingleTxtGC"/>
      </w:pPr>
      <w:r>
        <w:t xml:space="preserve">72.  </w:t>
      </w:r>
      <w:r>
        <w:rPr>
          <w:rFonts w:hint="eastAsia"/>
        </w:rPr>
        <w:t>《联邦民法典》第</w:t>
      </w:r>
      <w:r>
        <w:t>23</w:t>
      </w:r>
      <w:r>
        <w:rPr>
          <w:rFonts w:hint="eastAsia"/>
        </w:rPr>
        <w:t>条还有另外的限制，具体规定如下：“法律规定的剥夺权利或其他无能力</w:t>
      </w:r>
      <w:r>
        <w:rPr>
          <w:rFonts w:hint="eastAsia"/>
        </w:rPr>
        <w:t>(</w:t>
      </w:r>
      <w:r>
        <w:rPr>
          <w:rFonts w:hint="eastAsia"/>
        </w:rPr>
        <w:t>原文如此</w:t>
      </w:r>
      <w:r>
        <w:rPr>
          <w:rFonts w:hint="eastAsia"/>
        </w:rPr>
        <w:t>)</w:t>
      </w:r>
      <w:r>
        <w:rPr>
          <w:rFonts w:hint="eastAsia"/>
        </w:rPr>
        <w:t>状态是对司法身份的限制。这种状态不应损害人的尊严，也不应侵害家庭的完整；但是，无能力者</w:t>
      </w:r>
      <w:r>
        <w:rPr>
          <w:rFonts w:hint="eastAsia"/>
        </w:rPr>
        <w:t>(</w:t>
      </w:r>
      <w:r>
        <w:rPr>
          <w:rFonts w:hint="eastAsia"/>
        </w:rPr>
        <w:t>原文如此</w:t>
      </w:r>
      <w:r>
        <w:rPr>
          <w:rFonts w:hint="eastAsia"/>
        </w:rPr>
        <w:t>)</w:t>
      </w:r>
      <w:r>
        <w:rPr>
          <w:rFonts w:hint="eastAsia"/>
        </w:rPr>
        <w:t>应通过其代表或代理人行使权利或签订合约。”</w:t>
      </w:r>
    </w:p>
    <w:p w:rsidR="00A2190D" w:rsidRDefault="00A2190D">
      <w:pPr>
        <w:pStyle w:val="SingleTxtGC"/>
        <w:rPr>
          <w:rStyle w:val="FootnoteReference"/>
        </w:rPr>
      </w:pPr>
      <w:r>
        <w:t xml:space="preserve">73.  </w:t>
      </w:r>
      <w:r>
        <w:rPr>
          <w:rFonts w:hint="eastAsia"/>
        </w:rPr>
        <w:t>需要补充的是，多部国家级诉讼法中常见的、对剥夺权利的宣判过程进行规范的某些规定，已被国家最高法院以违反宪法规定的正当程序的基本原则、尤其是确保听证权利为由宣布为违宪。</w:t>
      </w:r>
      <w:r>
        <w:rPr>
          <w:rStyle w:val="FootnoteReference"/>
        </w:rPr>
        <w:footnoteReference w:id="16"/>
      </w:r>
    </w:p>
    <w:p w:rsidR="00A2190D" w:rsidRDefault="00A2190D">
      <w:pPr>
        <w:pStyle w:val="SingleTxtGC"/>
      </w:pPr>
      <w:r>
        <w:t xml:space="preserve">74.  </w:t>
      </w:r>
      <w:r>
        <w:rPr>
          <w:rFonts w:hint="eastAsia"/>
        </w:rPr>
        <w:t>全国残疾人融合理事会和国家防止和消除歧视理事会均认为，为了遵守《残疾人权利公约》，有必要消除这类限制。《残疾人权利公约》是目前对残疾人权利提供最高级别保护的法令，因此应超越任何其他相关法令。落实意愿表达援助系统、并同步消除对法律行为能力的限制是墨西哥在将来必须面对的挑战。</w:t>
      </w:r>
    </w:p>
    <w:p w:rsidR="00A2190D" w:rsidRDefault="00A2190D">
      <w:pPr>
        <w:pStyle w:val="SingleTxtGC"/>
      </w:pPr>
      <w:r>
        <w:t>75.  2010</w:t>
      </w:r>
      <w:r>
        <w:rPr>
          <w:rFonts w:hint="eastAsia"/>
        </w:rPr>
        <w:t>年，为认定国家的民法典在法律行为能力方面的立法改革模式应包含的元素，墨西哥举办了</w:t>
      </w:r>
      <w:r>
        <w:t>2</w:t>
      </w:r>
      <w:r>
        <w:rPr>
          <w:rFonts w:hint="eastAsia"/>
        </w:rPr>
        <w:t>场研讨会；期间，出现了名为《关于在墨西哥实施</w:t>
      </w:r>
      <w:r>
        <w:t>&lt;</w:t>
      </w:r>
      <w:r>
        <w:rPr>
          <w:rFonts w:hint="eastAsia"/>
        </w:rPr>
        <w:t>残疾人权利公约</w:t>
      </w:r>
      <w:r>
        <w:t>&gt;</w:t>
      </w:r>
      <w:r>
        <w:rPr>
          <w:rFonts w:hint="eastAsia"/>
        </w:rPr>
        <w:t>第十二条的建议》的文件。此外，全国人权委员会及塔巴斯科州的司法机关和家庭全面发展系统举办了“残疾人人权分析论坛”；全国人权委员会出版了一本名为《残疾人的法律行为能力》的书。</w:t>
      </w:r>
    </w:p>
    <w:p w:rsidR="00A2190D" w:rsidRDefault="00A2190D">
      <w:pPr>
        <w:pStyle w:val="SingleTxtGC"/>
      </w:pPr>
      <w:r>
        <w:t xml:space="preserve">76.  </w:t>
      </w:r>
      <w:r>
        <w:rPr>
          <w:rFonts w:hint="eastAsia"/>
        </w:rPr>
        <w:t>另一方面，墨西哥的司法体系保护所有人在不受利益冲突、胁迫、伤害、错误、欺诈、暴力和通过常规失效体系、刑事责任及民事权利手续造成的不完善法律行为的侵害的情况下，行使法律行为能力。</w:t>
      </w:r>
    </w:p>
    <w:p w:rsidR="00A2190D" w:rsidRDefault="00A2190D">
      <w:pPr>
        <w:pStyle w:val="SingleTxtGC"/>
      </w:pPr>
      <w:r>
        <w:t xml:space="preserve">77.  </w:t>
      </w:r>
      <w:r>
        <w:rPr>
          <w:rFonts w:hint="eastAsia"/>
        </w:rPr>
        <w:t>住房和公共信贷部认为，在金融和税收方面，不存在任何出于残疾原因对主体的权利进行限制的规定，也就是说，残疾人与其他个人一样，享受和具有金融系统适用法规中的各项权利和义务。在金融部门中，也没有在相关法规对普通用户或公共投资者制定的保护措施之外，专门针对残疾人制定特别的维权措施。但是，诸如阻止盲人或视觉残疾人成为银行账户持有人的情况仍持续发生。</w:t>
      </w:r>
    </w:p>
    <w:p w:rsidR="00A2190D" w:rsidRDefault="00A2190D">
      <w:pPr>
        <w:pStyle w:val="H1GC"/>
      </w:pPr>
      <w:r>
        <w:tab/>
      </w:r>
      <w:r>
        <w:tab/>
      </w:r>
      <w:r>
        <w:rPr>
          <w:rFonts w:hint="eastAsia"/>
        </w:rPr>
        <w:t>第十三条</w:t>
      </w:r>
      <w:r>
        <w:rPr>
          <w:rFonts w:hint="eastAsia"/>
        </w:rPr>
        <w:br/>
      </w:r>
      <w:r>
        <w:rPr>
          <w:rFonts w:hint="eastAsia"/>
        </w:rPr>
        <w:t>获得司法保护</w:t>
      </w:r>
    </w:p>
    <w:p w:rsidR="00A2190D" w:rsidRDefault="00A2190D">
      <w:pPr>
        <w:pStyle w:val="SingleTxtGC"/>
        <w:rPr>
          <w:rStyle w:val="FootnoteReference"/>
        </w:rPr>
      </w:pPr>
      <w:r>
        <w:t xml:space="preserve">78.  </w:t>
      </w:r>
      <w:r>
        <w:rPr>
          <w:rFonts w:hint="eastAsia"/>
        </w:rPr>
        <w:t>联邦司法机关决定积极参与有关弱势群体获得司法保护的《巴西利亚规则》的实施，以便减少墨西哥的社会不平等现象。</w:t>
      </w:r>
      <w:r>
        <w:rPr>
          <w:rStyle w:val="FootnoteReference"/>
        </w:rPr>
        <w:footnoteReference w:id="17"/>
      </w:r>
    </w:p>
    <w:p w:rsidR="00A2190D" w:rsidRDefault="00A2190D">
      <w:pPr>
        <w:pStyle w:val="SingleTxtGC"/>
        <w:tabs>
          <w:tab w:val="clear" w:pos="1134"/>
          <w:tab w:val="left" w:pos="1040"/>
        </w:tabs>
        <w:ind w:hanging="94"/>
        <w:rPr>
          <w:rStyle w:val="FootnoteReference"/>
        </w:rPr>
      </w:pPr>
      <w:r>
        <w:t xml:space="preserve">79.  </w:t>
      </w:r>
      <w:r>
        <w:rPr>
          <w:rFonts w:hint="eastAsia"/>
        </w:rPr>
        <w:t>在国家最高法院的的推动下，墨西哥司法传播协会在</w:t>
      </w:r>
      <w:r>
        <w:t>2009</w:t>
      </w:r>
      <w:r>
        <w:rPr>
          <w:rFonts w:hint="eastAsia"/>
        </w:rPr>
        <w:t>年</w:t>
      </w:r>
      <w:r>
        <w:t>10</w:t>
      </w:r>
      <w:r>
        <w:rPr>
          <w:rFonts w:hint="eastAsia"/>
        </w:rPr>
        <w:t>月召开的第四次普通大会上通过了承认所有使用司法保护者“有权获得和接受免费、公正和没有任何出于［……］残疾［……］原因、且以消除或损害人的权利和自由为目的的歧视的司法服务”的《墨西哥使用司法保护者权利与义务宪章》。</w:t>
      </w:r>
      <w:r>
        <w:rPr>
          <w:rStyle w:val="FootnoteReference"/>
        </w:rPr>
        <w:footnoteReference w:id="18"/>
      </w:r>
    </w:p>
    <w:p w:rsidR="00A2190D" w:rsidRDefault="00A2190D">
      <w:pPr>
        <w:pStyle w:val="SingleTxtGC"/>
      </w:pPr>
      <w:r>
        <w:t xml:space="preserve">80.  </w:t>
      </w:r>
      <w:r>
        <w:rPr>
          <w:rFonts w:hint="eastAsia"/>
        </w:rPr>
        <w:t>《残疾人融合一般法》规定，行政管理和司法服务机构应针对不同的残疾类型配备特殊的专业人员及墨西哥手语翻译，并应对其工作人员开展照顾残疾人方面的宣传和培训计划。联邦行政机关和各联邦实体政府将倡导为在各自的管辖权内照顾残疾人而提供各种交流和通信资源，以及必要的技术支持和人力支持。</w:t>
      </w:r>
    </w:p>
    <w:p w:rsidR="00A2190D" w:rsidRDefault="00A2190D">
      <w:pPr>
        <w:pStyle w:val="SingleTxtGC"/>
      </w:pPr>
      <w:r>
        <w:t>81.  2010</w:t>
      </w:r>
      <w:r>
        <w:rPr>
          <w:rFonts w:hint="eastAsia"/>
        </w:rPr>
        <w:t>年，全国残疾人融合理事会与其他机构一起举办了由国内外专家参加的、残疾人获得司法保护权方面的研讨会。通过上述行动，墨西哥产生了名为《残疾人获得司法保护权的基本原则》的文件，并以此文件对提供司法管理、代理和服务的当局的工作进行指导</w:t>
      </w:r>
      <w:r>
        <w:rPr>
          <w:rFonts w:hint="eastAsia"/>
        </w:rPr>
        <w:t>(</w:t>
      </w:r>
      <w:r>
        <w:rPr>
          <w:rFonts w:hint="eastAsia"/>
        </w:rPr>
        <w:t>请参见第</w:t>
      </w:r>
      <w:r>
        <w:t>24</w:t>
      </w:r>
      <w:r>
        <w:rPr>
          <w:rFonts w:hint="eastAsia"/>
        </w:rPr>
        <w:t>号附件</w:t>
      </w:r>
      <w:r>
        <w:rPr>
          <w:rFonts w:hint="eastAsia"/>
        </w:rPr>
        <w:t>)</w:t>
      </w:r>
      <w:r>
        <w:rPr>
          <w:rFonts w:hint="eastAsia"/>
        </w:rPr>
        <w:t>。</w:t>
      </w:r>
    </w:p>
    <w:p w:rsidR="00A2190D" w:rsidRDefault="00A2190D">
      <w:pPr>
        <w:pStyle w:val="SingleTxtGC"/>
      </w:pPr>
      <w:r>
        <w:t>82.  2010</w:t>
      </w:r>
      <w:r>
        <w:rPr>
          <w:rFonts w:hint="eastAsia"/>
        </w:rPr>
        <w:t>年</w:t>
      </w:r>
      <w:r>
        <w:t>1</w:t>
      </w:r>
      <w:r>
        <w:rPr>
          <w:rFonts w:hint="eastAsia"/>
        </w:rPr>
        <w:t>月，墨西哥成立了由内政部、全国人权委员会、国家防止和消除歧视理事会、国家家庭全面发展系统、联合国开发计划署</w:t>
      </w:r>
      <w:r>
        <w:rPr>
          <w:rFonts w:hint="eastAsia"/>
        </w:rPr>
        <w:t>(</w:t>
      </w:r>
      <w:r>
        <w:rPr>
          <w:rFonts w:hint="eastAsia"/>
        </w:rPr>
        <w:t>开发署</w:t>
      </w:r>
      <w:r>
        <w:rPr>
          <w:rFonts w:hint="eastAsia"/>
        </w:rPr>
        <w:t>)</w:t>
      </w:r>
      <w:r>
        <w:rPr>
          <w:rFonts w:hint="eastAsia"/>
        </w:rPr>
        <w:t>、残疾人民间社会组织等组成的司法安全和获得司法保护委员会，隶属于全国残疾人融合理事会。</w:t>
      </w:r>
    </w:p>
    <w:p w:rsidR="00A2190D" w:rsidRDefault="00A2190D">
      <w:pPr>
        <w:pStyle w:val="SingleTxtGC"/>
      </w:pPr>
      <w:r>
        <w:t xml:space="preserve">83.  </w:t>
      </w:r>
      <w:r>
        <w:rPr>
          <w:rFonts w:hint="eastAsia"/>
        </w:rPr>
        <w:t>国家防止和消除歧视理事会对代表大会上提出的多项行动提出了评论、意见和建议</w:t>
      </w:r>
      <w:r>
        <w:rPr>
          <w:rFonts w:hint="eastAsia"/>
        </w:rPr>
        <w:t>(</w:t>
      </w:r>
      <w:r>
        <w:rPr>
          <w:rFonts w:hint="eastAsia"/>
        </w:rPr>
        <w:t>请参见第</w:t>
      </w:r>
      <w:r>
        <w:t>25</w:t>
      </w:r>
      <w:r>
        <w:rPr>
          <w:rFonts w:hint="eastAsia"/>
        </w:rPr>
        <w:t>号附件</w:t>
      </w:r>
      <w:r>
        <w:rPr>
          <w:rFonts w:hint="eastAsia"/>
        </w:rPr>
        <w:t>)</w:t>
      </w:r>
      <w:r>
        <w:rPr>
          <w:rFonts w:hint="eastAsia"/>
        </w:rPr>
        <w:t>。</w:t>
      </w:r>
    </w:p>
    <w:p w:rsidR="00A2190D" w:rsidRDefault="00A2190D">
      <w:pPr>
        <w:pStyle w:val="SingleTxtGC"/>
      </w:pPr>
      <w:r>
        <w:t xml:space="preserve">84.  </w:t>
      </w:r>
      <w:r>
        <w:rPr>
          <w:rFonts w:hint="eastAsia"/>
        </w:rPr>
        <w:t>由国家保护金融服务用户委员会确立的，旨在提供免费辩护服务的工作基础和标准规定，应优先向肢体残疾人或身患绝症者提供免费辩护服务。国家保护金融服务用户委员会还打算向各金融机构建议，在金融产品或服务的签约过程中向残疾人提供平等的待遇。</w:t>
      </w:r>
    </w:p>
    <w:p w:rsidR="00A2190D" w:rsidRDefault="00A2190D">
      <w:pPr>
        <w:pStyle w:val="SingleTxtGC"/>
      </w:pPr>
      <w:r>
        <w:t xml:space="preserve">85.  </w:t>
      </w:r>
      <w:r>
        <w:rPr>
          <w:rFonts w:hint="eastAsia"/>
        </w:rPr>
        <w:t>在犯罪行为受害者全面关怀体系内，公共安全部实施了《免费法律指导计划》，共和国总检察长办公室强化了有助于检察院照顾残疾人的各项计划；总检察长办公室查访了全国</w:t>
      </w:r>
      <w:r>
        <w:t>66</w:t>
      </w:r>
      <w:r>
        <w:rPr>
          <w:rFonts w:hint="eastAsia"/>
        </w:rPr>
        <w:t>座监狱，目的是向因犯有联邦法律规定的某种罪行而被起诉和判刑的土著人提供司法保障，并特别关注残疾人；总检察长办公室还与预防和社会康复独立管理机构协商，争取到了</w:t>
      </w:r>
      <w:r>
        <w:t>256</w:t>
      </w:r>
      <w:r>
        <w:rPr>
          <w:rFonts w:hint="eastAsia"/>
        </w:rPr>
        <w:t>项法律上的好处。总检察长办公室还向到现场的残疾人提供法律和社会问题指导。</w:t>
      </w:r>
    </w:p>
    <w:p w:rsidR="00A2190D" w:rsidRDefault="00A2190D">
      <w:pPr>
        <w:pStyle w:val="SingleTxtGC"/>
      </w:pPr>
      <w:r>
        <w:t xml:space="preserve">86.  </w:t>
      </w:r>
      <w:r>
        <w:rPr>
          <w:rFonts w:hint="eastAsia"/>
        </w:rPr>
        <w:t>国家防止和消除歧视理事会对联邦公共行政管理机构的多个下属部门和联邦下属的多个州进行了司法管理方面的培训</w:t>
      </w:r>
      <w:r>
        <w:rPr>
          <w:rFonts w:hint="eastAsia"/>
        </w:rPr>
        <w:t>(</w:t>
      </w:r>
      <w:r>
        <w:rPr>
          <w:rFonts w:hint="eastAsia"/>
        </w:rPr>
        <w:t>请参见第</w:t>
      </w:r>
      <w:r>
        <w:t>26</w:t>
      </w:r>
      <w:r>
        <w:rPr>
          <w:rFonts w:hint="eastAsia"/>
        </w:rPr>
        <w:t>号附件</w:t>
      </w:r>
      <w:r>
        <w:rPr>
          <w:rFonts w:hint="eastAsia"/>
        </w:rPr>
        <w:t>)</w:t>
      </w:r>
      <w:r>
        <w:rPr>
          <w:rFonts w:hint="eastAsia"/>
        </w:rPr>
        <w:t>。</w:t>
      </w:r>
    </w:p>
    <w:p w:rsidR="00A2190D" w:rsidRDefault="00A2190D">
      <w:pPr>
        <w:pStyle w:val="SingleTxtGC"/>
      </w:pPr>
      <w:r>
        <w:t>87.</w:t>
      </w:r>
      <w:r>
        <w:rPr>
          <w:rFonts w:hint="eastAsia"/>
        </w:rPr>
        <w:t xml:space="preserve">  </w:t>
      </w:r>
      <w:r>
        <w:rPr>
          <w:rFonts w:hint="eastAsia"/>
        </w:rPr>
        <w:t>在全国人权委员会、联合国人权事务高级专员办公室、公共安全部、国际移民组织、无国界</w:t>
      </w:r>
      <w:r>
        <w:t>IAP</w:t>
      </w:r>
      <w:r>
        <w:rPr>
          <w:rFonts w:hint="eastAsia"/>
        </w:rPr>
        <w:t>、墨西哥国立自治大学和伊比利亚美洲大学的帮助下，公共安全部与专注人权事务的民间社会组织一起对公共安全部、地方行政机构和联邦监狱体系的工作人员进行了培训。目前，该部已对</w:t>
      </w:r>
      <w:r>
        <w:t>63</w:t>
      </w:r>
      <w:r>
        <w:rPr>
          <w:rFonts w:hint="eastAsia"/>
        </w:rPr>
        <w:t>,</w:t>
      </w:r>
      <w:r>
        <w:t>396</w:t>
      </w:r>
      <w:r>
        <w:rPr>
          <w:rFonts w:hint="eastAsia"/>
        </w:rPr>
        <w:t>名公务员进行了处理残疾人权利问题方面的培训。同时，还通过</w:t>
      </w:r>
      <w:r>
        <w:t>12</w:t>
      </w:r>
      <w:r>
        <w:rPr>
          <w:rFonts w:hint="eastAsia"/>
        </w:rPr>
        <w:t>次视频会议对</w:t>
      </w:r>
      <w:r>
        <w:t>26</w:t>
      </w:r>
      <w:r>
        <w:rPr>
          <w:rFonts w:hint="eastAsia"/>
        </w:rPr>
        <w:t>,</w:t>
      </w:r>
      <w:r>
        <w:t>996</w:t>
      </w:r>
      <w:r>
        <w:rPr>
          <w:rFonts w:hint="eastAsia"/>
        </w:rPr>
        <w:t>名公务员进行了培训。</w:t>
      </w:r>
    </w:p>
    <w:p w:rsidR="00A2190D" w:rsidRDefault="00A2190D">
      <w:pPr>
        <w:pStyle w:val="SingleTxtGC"/>
      </w:pPr>
      <w:r>
        <w:t xml:space="preserve">88.  </w:t>
      </w:r>
      <w:r>
        <w:rPr>
          <w:rFonts w:hint="eastAsia"/>
        </w:rPr>
        <w:t>共和国总检察长办公室在工作人员的《职业化教育机构日程》内，举办了“不歧视和残疾人权利研讨会”，并通过该研讨会讨论《残疾人权利公约》。</w:t>
      </w:r>
    </w:p>
    <w:p w:rsidR="00A2190D" w:rsidRDefault="00A2190D">
      <w:pPr>
        <w:pStyle w:val="H1GC"/>
      </w:pPr>
      <w:r>
        <w:tab/>
      </w:r>
      <w:r>
        <w:tab/>
      </w:r>
      <w:r>
        <w:rPr>
          <w:rFonts w:hint="eastAsia"/>
        </w:rPr>
        <w:t>第十四条</w:t>
      </w:r>
      <w:r>
        <w:rPr>
          <w:rFonts w:hint="eastAsia"/>
        </w:rPr>
        <w:br/>
      </w:r>
      <w:r>
        <w:rPr>
          <w:rFonts w:hint="eastAsia"/>
        </w:rPr>
        <w:t>自由和人身安全</w:t>
      </w:r>
    </w:p>
    <w:p w:rsidR="00A2190D" w:rsidRDefault="00A2190D">
      <w:pPr>
        <w:pStyle w:val="SingleTxtGC"/>
      </w:pPr>
      <w:r>
        <w:t xml:space="preserve">89.  </w:t>
      </w:r>
      <w:r>
        <w:rPr>
          <w:rFonts w:hint="eastAsia"/>
        </w:rPr>
        <w:t>共和国总检察长办公室对各检察机关中被置于联邦检察院控制下的人员。主要功能是对尊重人权的情况进行监督的被拘留者护理室特别强调对残疾人的接待和关心。</w:t>
      </w:r>
    </w:p>
    <w:p w:rsidR="00A2190D" w:rsidRDefault="00A2190D">
      <w:pPr>
        <w:pStyle w:val="SingleTxtGC"/>
      </w:pPr>
      <w:r>
        <w:t xml:space="preserve">90.  </w:t>
      </w:r>
      <w:r>
        <w:rPr>
          <w:rFonts w:hint="eastAsia"/>
        </w:rPr>
        <w:t>根据机构政策，被判处剥夺自由的精神残疾人可不必呆在联邦社会康复中心里，而可以被监禁在联邦实体、即各州的康复中心中，除非联邦心理康复中心具备监禁该犯人的最佳设施。</w:t>
      </w:r>
    </w:p>
    <w:p w:rsidR="00A2190D" w:rsidRDefault="00A2190D">
      <w:pPr>
        <w:pStyle w:val="SingleTxtGC"/>
      </w:pPr>
      <w:r>
        <w:t xml:space="preserve">91.  </w:t>
      </w:r>
      <w:r>
        <w:rPr>
          <w:rFonts w:hint="eastAsia"/>
        </w:rPr>
        <w:t>公共安全部和联邦警察有一个名为“向在执行任务时致残的警察及其家属提供心理援助和法律指导小队”的项目。该项目的目标是使那些在行使警察职责时，因对抗、冲突或其他暴力行为导致肢体残疾的人在心理和情感上实现康复。</w:t>
      </w:r>
    </w:p>
    <w:p w:rsidR="00A2190D" w:rsidRDefault="00A2190D">
      <w:pPr>
        <w:pStyle w:val="H1GC"/>
      </w:pPr>
      <w:r>
        <w:tab/>
      </w:r>
      <w:r>
        <w:tab/>
      </w:r>
      <w:r>
        <w:rPr>
          <w:rFonts w:hint="eastAsia"/>
        </w:rPr>
        <w:t>第十五条</w:t>
      </w:r>
      <w:r>
        <w:rPr>
          <w:rFonts w:hint="eastAsia"/>
        </w:rPr>
        <w:br/>
      </w:r>
      <w:r>
        <w:rPr>
          <w:rFonts w:hint="eastAsia"/>
        </w:rPr>
        <w:t>免于酷刑和其他残忍、不人道或有辱人格的待遇或处罚</w:t>
      </w:r>
    </w:p>
    <w:p w:rsidR="00A2190D" w:rsidRDefault="00A2190D">
      <w:pPr>
        <w:pStyle w:val="SingleTxtGC"/>
        <w:rPr>
          <w:rStyle w:val="FootnoteReference"/>
        </w:rPr>
      </w:pPr>
      <w:r>
        <w:t xml:space="preserve">92.  </w:t>
      </w:r>
      <w:r>
        <w:rPr>
          <w:rFonts w:hint="eastAsia"/>
        </w:rPr>
        <w:t>联邦和州级法律均对可能造成残忍、不人道或有辱人格待遇或处罚的酷刑和伤害行为进行了界定；多部地方级法律也规定，针对残疾人所犯的这类罪行将罪加一等。</w:t>
      </w:r>
      <w:r>
        <w:rPr>
          <w:rStyle w:val="FootnoteReference"/>
        </w:rPr>
        <w:footnoteReference w:id="19"/>
      </w:r>
    </w:p>
    <w:p w:rsidR="00A2190D" w:rsidRDefault="00A2190D">
      <w:pPr>
        <w:pStyle w:val="SingleTxtGC"/>
      </w:pPr>
      <w:r>
        <w:t xml:space="preserve">93.  </w:t>
      </w:r>
      <w:r>
        <w:rPr>
          <w:rFonts w:hint="eastAsia"/>
        </w:rPr>
        <w:t>此外，墨西哥还有一些执行防止医学或科学实验涉及精神残疾人的标准的行政和立法措施。由国家生物伦理委员会担保的研究伦理委员会负责对各种研究项目进行审查与评估，以确保这些项目符合人权方面的国际标准。</w:t>
      </w:r>
    </w:p>
    <w:p w:rsidR="00A2190D" w:rsidRDefault="00A2190D">
      <w:pPr>
        <w:pStyle w:val="SingleTxtGC"/>
        <w:rPr>
          <w:rStyle w:val="FootnoteReference"/>
        </w:rPr>
      </w:pPr>
      <w:r>
        <w:t xml:space="preserve">94.  </w:t>
      </w:r>
      <w:r>
        <w:rPr>
          <w:rFonts w:hint="eastAsia"/>
        </w:rPr>
        <w:t>同时，墨西哥官方标准</w:t>
      </w:r>
      <w:r>
        <w:t>NOM-025-SSA2-1994</w:t>
      </w:r>
      <w:r>
        <w:rPr>
          <w:rFonts w:hint="eastAsia"/>
        </w:rPr>
        <w:t>规定，住院的残疾人可拒绝以主体身份参加科学研究活动，院方也不得以此为由降低护理水平或品质。</w:t>
      </w:r>
      <w:r>
        <w:rPr>
          <w:rStyle w:val="FootnoteReference"/>
        </w:rPr>
        <w:footnoteReference w:id="20"/>
      </w:r>
    </w:p>
    <w:p w:rsidR="00A2190D" w:rsidRDefault="00A2190D">
      <w:pPr>
        <w:pStyle w:val="SingleTxtGC"/>
        <w:rPr>
          <w:rStyle w:val="FootnoteReference"/>
        </w:rPr>
      </w:pPr>
      <w:r>
        <w:t xml:space="preserve">95.  </w:t>
      </w:r>
      <w:r>
        <w:rPr>
          <w:rFonts w:hint="eastAsia"/>
        </w:rPr>
        <w:t>根据其在国家防止酷刑机制中的职能，全国人权委员会对联邦政府属下的</w:t>
      </w:r>
      <w:r>
        <w:t>8</w:t>
      </w:r>
      <w:r>
        <w:rPr>
          <w:rFonts w:hint="eastAsia"/>
        </w:rPr>
        <w:t>家精神病医院、及</w:t>
      </w:r>
      <w:r>
        <w:t>3</w:t>
      </w:r>
      <w:r>
        <w:rPr>
          <w:rFonts w:hint="eastAsia"/>
        </w:rPr>
        <w:t>家坐落在联邦区的收治精神残疾人的私人诊所进行了初次监测查访。在查访过程中，全国人权委员会主要针对强制和非自愿入院的病人的情况，对</w:t>
      </w:r>
      <w:r>
        <w:t>NOM-025-SSA2-1994</w:t>
      </w:r>
      <w:r>
        <w:rPr>
          <w:rFonts w:hint="eastAsia"/>
        </w:rPr>
        <w:t>标准有关规定的执行情况进行了检查。</w:t>
      </w:r>
      <w:r>
        <w:rPr>
          <w:rStyle w:val="FootnoteReference"/>
        </w:rPr>
        <w:footnoteReference w:id="21"/>
      </w:r>
    </w:p>
    <w:p w:rsidR="00A2190D" w:rsidRDefault="00A2190D">
      <w:pPr>
        <w:pStyle w:val="SingleTxtGC"/>
      </w:pPr>
      <w:r>
        <w:t xml:space="preserve">96.  </w:t>
      </w:r>
      <w:r>
        <w:rPr>
          <w:rFonts w:hint="eastAsia"/>
        </w:rPr>
        <w:t>卫生部对附属单位的工作人员进行了禁止对精神卫生机构收治的患者施以酷刑和有辱人格待遇的培训。墨西哥组织了</w:t>
      </w:r>
      <w:r>
        <w:t>3</w:t>
      </w:r>
      <w:r>
        <w:rPr>
          <w:rFonts w:hint="eastAsia"/>
        </w:rPr>
        <w:t>次由全国各医疗单位、全国人权委员会、泛美卫生组织</w:t>
      </w:r>
      <w:r>
        <w:t>-</w:t>
      </w:r>
      <w:r>
        <w:rPr>
          <w:rFonts w:hint="eastAsia"/>
        </w:rPr>
        <w:t>世界卫生组织和卫生部的精神病护理院共</w:t>
      </w:r>
      <w:r>
        <w:t>400</w:t>
      </w:r>
      <w:r>
        <w:rPr>
          <w:rFonts w:hint="eastAsia"/>
        </w:rPr>
        <w:t>多人参加的培训活动。</w:t>
      </w:r>
    </w:p>
    <w:p w:rsidR="00A2190D" w:rsidRDefault="00A2190D">
      <w:pPr>
        <w:pStyle w:val="H1GC"/>
      </w:pPr>
      <w:r>
        <w:tab/>
      </w:r>
      <w:r>
        <w:tab/>
      </w:r>
      <w:r>
        <w:rPr>
          <w:rFonts w:hint="eastAsia"/>
        </w:rPr>
        <w:t>第十六条</w:t>
      </w:r>
      <w:r>
        <w:rPr>
          <w:rFonts w:hint="eastAsia"/>
        </w:rPr>
        <w:br/>
      </w:r>
      <w:r>
        <w:rPr>
          <w:rFonts w:hint="eastAsia"/>
        </w:rPr>
        <w:t>免于剥削、暴力和凌虐</w:t>
      </w:r>
    </w:p>
    <w:p w:rsidR="00A2190D" w:rsidRDefault="00A2190D">
      <w:pPr>
        <w:pStyle w:val="SingleTxtGC"/>
        <w:rPr>
          <w:rStyle w:val="FootnoteReference"/>
        </w:rPr>
      </w:pPr>
      <w:r>
        <w:t xml:space="preserve">97.  </w:t>
      </w:r>
      <w:r>
        <w:rPr>
          <w:rFonts w:hint="eastAsia"/>
        </w:rPr>
        <w:t>联邦和地方法律制定了多种罪名，对剥削、暴力和凌虐行为进行惩罚。《联邦刑法典》规定，如负责照顾残疾人的人员犯有腐败、色情旅游、剥削、拉皮条和贩卖未成年人的罪行，就应当加重处罚。</w:t>
      </w:r>
      <w:r>
        <w:rPr>
          <w:rStyle w:val="FootnoteReference"/>
        </w:rPr>
        <w:footnoteReference w:id="22"/>
      </w:r>
      <w:r>
        <w:rPr>
          <w:rStyle w:val="FootnoteReference"/>
        </w:rPr>
        <w:t xml:space="preserve"> </w:t>
      </w:r>
      <w:r>
        <w:rPr>
          <w:rFonts w:hint="eastAsia"/>
        </w:rPr>
        <w:t>同时，多部地方刑法典规定，对未成年人或残疾人的劳动力剥削属于犯罪行为。</w:t>
      </w:r>
      <w:r>
        <w:rPr>
          <w:rStyle w:val="FootnoteReference"/>
        </w:rPr>
        <w:footnoteReference w:id="23"/>
      </w:r>
    </w:p>
    <w:p w:rsidR="00A2190D" w:rsidRDefault="00A2190D">
      <w:pPr>
        <w:pStyle w:val="SingleTxtGC"/>
      </w:pPr>
      <w:r>
        <w:t xml:space="preserve">98.  </w:t>
      </w:r>
      <w:r>
        <w:rPr>
          <w:rFonts w:hint="eastAsia"/>
        </w:rPr>
        <w:t>政府人权政策委员会的残疾人权利工作组建立了一个工作小组，该小组的目的是对可避免残疾人成为暴力、身体或精神凌辱、疏忽或忽视、虐待和性剥削的受害者的各种措施进行分析。</w:t>
      </w:r>
    </w:p>
    <w:p w:rsidR="00A2190D" w:rsidRDefault="00A2190D">
      <w:pPr>
        <w:pStyle w:val="SingleTxtGC"/>
      </w:pPr>
      <w:r>
        <w:t xml:space="preserve">99.  </w:t>
      </w:r>
      <w:r>
        <w:rPr>
          <w:rFonts w:hint="eastAsia"/>
        </w:rPr>
        <w:t>墨西哥通过“拉蒙·德拉富恩特”国家精神病学研究所开展了旨在制定预防和处理模式的调查和培训，并对讲师进行如何照料不同性别的剥削、暴力和凌辱受害者的培训。</w:t>
      </w:r>
    </w:p>
    <w:p w:rsidR="00A2190D" w:rsidRDefault="00A2190D">
      <w:pPr>
        <w:pStyle w:val="SingleTxtGC"/>
      </w:pPr>
      <w:r>
        <w:t>100.</w:t>
      </w:r>
      <w:r>
        <w:rPr>
          <w:rFonts w:hint="eastAsia"/>
        </w:rPr>
        <w:t xml:space="preserve">  </w:t>
      </w:r>
      <w:r>
        <w:rPr>
          <w:rFonts w:hint="eastAsia"/>
        </w:rPr>
        <w:t>墨西哥社会保障局制定了一个优先向残疾人提供免费社会服务和福利的计划，并使该计划对防止与性别、年龄和残疾情况有关的暴力和凌辱有所贡献。同样，为了对所有与残疾人权利有关的计划和行动进行监测，墨西哥还成立了</w:t>
      </w:r>
      <w:r>
        <w:t>35</w:t>
      </w:r>
      <w:r>
        <w:rPr>
          <w:rFonts w:hint="eastAsia"/>
        </w:rPr>
        <w:t>个市级委员会。</w:t>
      </w:r>
    </w:p>
    <w:p w:rsidR="00A2190D" w:rsidRDefault="00A2190D">
      <w:pPr>
        <w:pStyle w:val="SingleTxtGC"/>
      </w:pPr>
      <w:r>
        <w:t>101.</w:t>
      </w:r>
      <w:r>
        <w:rPr>
          <w:rFonts w:hint="eastAsia"/>
        </w:rPr>
        <w:t xml:space="preserve">  </w:t>
      </w:r>
      <w:r>
        <w:rPr>
          <w:rFonts w:hint="eastAsia"/>
        </w:rPr>
        <w:t>劳动者社会保障与服务国家委员会有一名持证培训教师，来培训对夫妻暴力施暴者和受害者进行再教育的工作组老师。为确认暴力、虐待和凌辱的危险，墨西哥在全国范围内使用了筛选卡片，并针对残疾老人照料者开展了一年两次的、涉及防止虐待、照顾方式和性别公平重要性的课程。</w:t>
      </w:r>
    </w:p>
    <w:p w:rsidR="00A2190D" w:rsidRDefault="00A2190D">
      <w:pPr>
        <w:pStyle w:val="SingleTxtGC"/>
      </w:pPr>
      <w:r>
        <w:t>102.</w:t>
      </w:r>
      <w:r>
        <w:rPr>
          <w:rFonts w:hint="eastAsia"/>
        </w:rPr>
        <w:t xml:space="preserve">  </w:t>
      </w:r>
      <w:r>
        <w:rPr>
          <w:rFonts w:hint="eastAsia"/>
        </w:rPr>
        <w:t>通过国家性别公平中心，墨西哥对关于“家庭暴力、性暴力和针对妇女的暴力”的</w:t>
      </w:r>
      <w:r>
        <w:t>NOM-046-SSA2-2005</w:t>
      </w:r>
      <w:r>
        <w:rPr>
          <w:rFonts w:hint="eastAsia"/>
        </w:rPr>
        <w:t>标准的执行情况进行了检查，并修改了《防止和关注家庭暴力与性暴力综合模式操作手册》。上述两份文书均认为残疾人是受暴力侵害的高危人群。</w:t>
      </w:r>
    </w:p>
    <w:p w:rsidR="00A2190D" w:rsidRDefault="00A2190D">
      <w:pPr>
        <w:pStyle w:val="SingleTxtGC"/>
      </w:pPr>
      <w:r>
        <w:t>103.</w:t>
      </w:r>
      <w:r>
        <w:rPr>
          <w:rFonts w:hint="eastAsia"/>
        </w:rPr>
        <w:t xml:space="preserve">  </w:t>
      </w:r>
      <w:r>
        <w:rPr>
          <w:rFonts w:hint="eastAsia"/>
        </w:rPr>
        <w:t>共和国总检察长办公室建立了联邦检察院照顾精神残疾人特别办事处。该办事处自</w:t>
      </w:r>
      <w:r>
        <w:t>1995</w:t>
      </w:r>
      <w:r>
        <w:rPr>
          <w:rFonts w:hint="eastAsia"/>
        </w:rPr>
        <w:t>年起与联邦检察院调解办事处合并为联邦检察院特别调解办事处。</w:t>
      </w:r>
    </w:p>
    <w:p w:rsidR="00A2190D" w:rsidRDefault="00A2190D">
      <w:pPr>
        <w:pStyle w:val="SingleTxtGC"/>
      </w:pPr>
      <w:r>
        <w:t>104.</w:t>
      </w:r>
      <w:r>
        <w:rPr>
          <w:rFonts w:hint="eastAsia"/>
        </w:rPr>
        <w:t xml:space="preserve">  </w:t>
      </w:r>
      <w:r>
        <w:rPr>
          <w:rFonts w:hint="eastAsia"/>
        </w:rPr>
        <w:t>根据《防止和消除歧视联邦法》，共和国总检察长办公室于</w:t>
      </w:r>
      <w:r>
        <w:t>2005</w:t>
      </w:r>
      <w:r>
        <w:rPr>
          <w:rFonts w:hint="eastAsia"/>
        </w:rPr>
        <w:t>年同国家防止和消除歧视理事会签署了旨在对检察院工作人员进行在与一般人的关系中尊重人权、并特别平等对待残疾人方面进行教育的《总体合作协议》。</w:t>
      </w:r>
    </w:p>
    <w:p w:rsidR="00A2190D" w:rsidRDefault="00A2190D">
      <w:pPr>
        <w:pStyle w:val="H1GC"/>
      </w:pPr>
      <w:r>
        <w:tab/>
      </w:r>
      <w:r>
        <w:tab/>
      </w:r>
      <w:r>
        <w:rPr>
          <w:rFonts w:hint="eastAsia"/>
        </w:rPr>
        <w:t>第十七条</w:t>
      </w:r>
      <w:r>
        <w:rPr>
          <w:rFonts w:hint="eastAsia"/>
        </w:rPr>
        <w:br/>
      </w:r>
      <w:r>
        <w:rPr>
          <w:rFonts w:hint="eastAsia"/>
        </w:rPr>
        <w:t>保护人身完整性</w:t>
      </w:r>
    </w:p>
    <w:p w:rsidR="00A2190D" w:rsidRDefault="00A2190D">
      <w:pPr>
        <w:pStyle w:val="SingleTxtGC"/>
        <w:rPr>
          <w:rStyle w:val="FootnoteReference"/>
        </w:rPr>
      </w:pPr>
      <w:r>
        <w:t>105.</w:t>
      </w:r>
      <w:r>
        <w:rPr>
          <w:rFonts w:hint="eastAsia"/>
        </w:rPr>
        <w:t xml:space="preserve">  </w:t>
      </w:r>
      <w:r>
        <w:rPr>
          <w:rFonts w:hint="eastAsia"/>
        </w:rPr>
        <w:t>墨西哥官方标准</w:t>
      </w:r>
      <w:r>
        <w:t>NOM-025-SSA2-1994</w:t>
      </w:r>
      <w:r>
        <w:rPr>
          <w:rFonts w:hint="eastAsia"/>
        </w:rPr>
        <w:t>规定，残疾人应受到心理健康工作人员有尊严和人道的待遇。</w:t>
      </w:r>
      <w:r>
        <w:rPr>
          <w:rStyle w:val="FootnoteReference"/>
        </w:rPr>
        <w:footnoteReference w:id="24"/>
      </w:r>
      <w:r>
        <w:rPr>
          <w:rStyle w:val="FootnoteReference"/>
        </w:rPr>
        <w:t xml:space="preserve"> </w:t>
      </w:r>
      <w:r>
        <w:rPr>
          <w:rFonts w:hint="eastAsia"/>
        </w:rPr>
        <w:t>同时，应“根据心理健康专业人员相关的道德标准”进行专门的医疗护理。</w:t>
      </w:r>
      <w:r>
        <w:rPr>
          <w:rStyle w:val="FootnoteReference"/>
        </w:rPr>
        <w:footnoteReference w:id="25"/>
      </w:r>
    </w:p>
    <w:p w:rsidR="00A2190D" w:rsidRDefault="00A2190D">
      <w:pPr>
        <w:pStyle w:val="SingleTxtGC"/>
      </w:pPr>
      <w:r>
        <w:t>106.</w:t>
      </w:r>
      <w:r>
        <w:rPr>
          <w:rFonts w:hint="eastAsia"/>
        </w:rPr>
        <w:t xml:space="preserve">  </w:t>
      </w:r>
      <w:r>
        <w:rPr>
          <w:rFonts w:hint="eastAsia"/>
        </w:rPr>
        <w:t>《医疗卫生一般法》及其管理条例</w:t>
      </w:r>
      <w:r>
        <w:rPr>
          <w:rFonts w:hint="eastAsia"/>
        </w:rPr>
        <w:t>(</w:t>
      </w:r>
      <w:r>
        <w:rPr>
          <w:rFonts w:hint="eastAsia"/>
        </w:rPr>
        <w:t>如：关于医疗记录的</w:t>
      </w:r>
      <w:r>
        <w:t>NOM-168-SSA1-1998</w:t>
      </w:r>
      <w:r>
        <w:rPr>
          <w:rFonts w:hint="eastAsia"/>
        </w:rPr>
        <w:t>标准</w:t>
      </w:r>
      <w:r>
        <w:rPr>
          <w:rFonts w:hint="eastAsia"/>
        </w:rPr>
        <w:t>)</w:t>
      </w:r>
      <w:r>
        <w:rPr>
          <w:rFonts w:hint="eastAsia"/>
        </w:rPr>
        <w:t>对情况告知同意书的使用进行了规定。使用医疗服务者或其法定代表通过签署这种书面文件，表示其通过一定的情况告知过程，已知晓以诊断、治疗或康复为目的的某种医疗程序或手术过程中可能存在的风险与好处</w:t>
      </w:r>
      <w:r>
        <w:rPr>
          <w:rFonts w:hint="eastAsia"/>
        </w:rPr>
        <w:t>(</w:t>
      </w:r>
      <w:r>
        <w:rPr>
          <w:rFonts w:hint="eastAsia"/>
        </w:rPr>
        <w:t>请参见第</w:t>
      </w:r>
      <w:r>
        <w:t>27</w:t>
      </w:r>
      <w:r>
        <w:rPr>
          <w:rFonts w:hint="eastAsia"/>
        </w:rPr>
        <w:t>号附件</w:t>
      </w:r>
      <w:r>
        <w:rPr>
          <w:rFonts w:hint="eastAsia"/>
        </w:rPr>
        <w:t>)</w:t>
      </w:r>
      <w:r>
        <w:rPr>
          <w:rFonts w:hint="eastAsia"/>
        </w:rPr>
        <w:t>。</w:t>
      </w:r>
    </w:p>
    <w:p w:rsidR="00A2190D" w:rsidRDefault="00A2190D">
      <w:pPr>
        <w:pStyle w:val="SingleTxtGC"/>
      </w:pPr>
      <w:r>
        <w:t>107.</w:t>
      </w:r>
      <w:r>
        <w:rPr>
          <w:rFonts w:hint="eastAsia"/>
        </w:rPr>
        <w:t xml:space="preserve">  </w:t>
      </w:r>
      <w:r>
        <w:rPr>
          <w:rFonts w:hint="eastAsia"/>
        </w:rPr>
        <w:t>为及时向残疾人通报其诊断和治疗情况，国家家庭全面发展系统在康复中心中根据</w:t>
      </w:r>
      <w:r>
        <w:t>NOM-168-SSA1-1998</w:t>
      </w:r>
      <w:r>
        <w:rPr>
          <w:rFonts w:hint="eastAsia"/>
        </w:rPr>
        <w:t>标准使用了情况告知同意书</w:t>
      </w:r>
      <w:r>
        <w:rPr>
          <w:rFonts w:hint="eastAsia"/>
        </w:rPr>
        <w:t>(</w:t>
      </w:r>
      <w:r>
        <w:rPr>
          <w:rFonts w:hint="eastAsia"/>
        </w:rPr>
        <w:t>请参见第</w:t>
      </w:r>
      <w:r>
        <w:t>28</w:t>
      </w:r>
      <w:r>
        <w:rPr>
          <w:rFonts w:hint="eastAsia"/>
        </w:rPr>
        <w:t>号附件</w:t>
      </w:r>
      <w:r>
        <w:rPr>
          <w:rFonts w:hint="eastAsia"/>
        </w:rPr>
        <w:t>)</w:t>
      </w:r>
      <w:r>
        <w:rPr>
          <w:rFonts w:hint="eastAsia"/>
        </w:rPr>
        <w:t>；海军部也有应获得医疗服务使用人同意的相关标准，并制定了《患者权利十诫》；“拉蒙·德拉富恩特”国家精神病学研究所规定，医疗服务使用人只能在本人同意和自愿的情况下入院。</w:t>
      </w:r>
    </w:p>
    <w:p w:rsidR="00A2190D" w:rsidRDefault="00A2190D">
      <w:pPr>
        <w:pStyle w:val="SingleTxtGC"/>
      </w:pPr>
      <w:r>
        <w:t>108.</w:t>
      </w:r>
      <w:r>
        <w:rPr>
          <w:rFonts w:hint="eastAsia"/>
        </w:rPr>
        <w:t xml:space="preserve">  </w:t>
      </w:r>
      <w:r>
        <w:t>2008</w:t>
      </w:r>
      <w:r>
        <w:rPr>
          <w:rFonts w:hint="eastAsia"/>
        </w:rPr>
        <w:t>年，政府人权政策委员会向卫生部发出了修改</w:t>
      </w:r>
      <w:r>
        <w:t>NOM-025-SSA2-1994</w:t>
      </w:r>
      <w:r>
        <w:rPr>
          <w:rFonts w:hint="eastAsia"/>
        </w:rPr>
        <w:t>标准的建议。该建议希望消除综合医疗精神病医院的非自愿入院现象，并建立对个人进行监测的多学科队伍。卫生部已开始研究在现行法律框架内在精神或心理残疾人护理方面进行改革的可行性，并在评估提出可作为该领域专门法的新法律的可能性。</w:t>
      </w:r>
    </w:p>
    <w:p w:rsidR="00A2190D" w:rsidRDefault="00A2190D">
      <w:pPr>
        <w:pStyle w:val="H1GC"/>
      </w:pPr>
      <w:r>
        <w:tab/>
      </w:r>
      <w:r>
        <w:tab/>
      </w:r>
      <w:r>
        <w:rPr>
          <w:rFonts w:hint="eastAsia"/>
        </w:rPr>
        <w:t>第十八条</w:t>
      </w:r>
      <w:r>
        <w:br/>
      </w:r>
      <w:r>
        <w:rPr>
          <w:rFonts w:hint="eastAsia"/>
        </w:rPr>
        <w:t>迁徙自由和国籍</w:t>
      </w:r>
    </w:p>
    <w:p w:rsidR="00A2190D" w:rsidRDefault="00A2190D">
      <w:pPr>
        <w:pStyle w:val="SingleTxtGC"/>
      </w:pPr>
      <w:r>
        <w:t>109.</w:t>
      </w:r>
      <w:r>
        <w:rPr>
          <w:rFonts w:hint="eastAsia"/>
        </w:rPr>
        <w:t xml:space="preserve">  </w:t>
      </w:r>
      <w:r>
        <w:rPr>
          <w:rFonts w:hint="eastAsia"/>
        </w:rPr>
        <w:t>墨西哥对残疾人的国籍和公民身份没有特别的限制和规定。</w:t>
      </w:r>
      <w:r>
        <w:rPr>
          <w:rStyle w:val="FootnoteReference"/>
        </w:rPr>
        <w:footnoteReference w:id="26"/>
      </w:r>
      <w:r>
        <w:rPr>
          <w:rStyle w:val="FootnoteReference"/>
        </w:rPr>
        <w:t xml:space="preserve"> </w:t>
      </w:r>
      <w:r>
        <w:rPr>
          <w:rFonts w:hint="eastAsia"/>
        </w:rPr>
        <w:t>《墨西哥合众国政治宪法》第</w:t>
      </w:r>
      <w:r>
        <w:rPr>
          <w:rFonts w:hint="eastAsia"/>
        </w:rPr>
        <w:t>30</w:t>
      </w:r>
      <w:r>
        <w:rPr>
          <w:rFonts w:hint="eastAsia"/>
        </w:rPr>
        <w:t>条规定，可通过出生或归化方式获得墨西哥国籍。同样，《政治宪法》第</w:t>
      </w:r>
      <w:r>
        <w:rPr>
          <w:rFonts w:hint="eastAsia"/>
        </w:rPr>
        <w:t>11</w:t>
      </w:r>
      <w:r>
        <w:rPr>
          <w:rFonts w:hint="eastAsia"/>
        </w:rPr>
        <w:t>条规定，所有人</w:t>
      </w:r>
      <w:r>
        <w:rPr>
          <w:rFonts w:hint="eastAsia"/>
        </w:rPr>
        <w:t>(</w:t>
      </w:r>
      <w:r>
        <w:rPr>
          <w:rFonts w:hint="eastAsia"/>
        </w:rPr>
        <w:t>原文如此</w:t>
      </w:r>
      <w:r>
        <w:rPr>
          <w:rFonts w:hint="eastAsia"/>
        </w:rPr>
        <w:t>)</w:t>
      </w:r>
      <w:r>
        <w:rPr>
          <w:rFonts w:hint="eastAsia"/>
        </w:rPr>
        <w:t>无需持有安全证、护照、通行证或其他类似证件，均有权出入共和国、在共和国领土上旅行和改变居所</w:t>
      </w:r>
      <w:r>
        <w:rPr>
          <w:rFonts w:ascii="SimSun" w:hAnsi="SimSun" w:cs="SimSun" w:hint="eastAsia"/>
          <w:spacing w:val="-60"/>
        </w:rPr>
        <w:t>―</w:t>
      </w:r>
      <w:r>
        <w:rPr>
          <w:rFonts w:ascii="SimSun" w:hAnsi="SimSun" w:cs="SimSun" w:hint="eastAsia"/>
          <w:spacing w:val="10"/>
        </w:rPr>
        <w:t>―</w:t>
      </w:r>
      <w:r>
        <w:rPr>
          <w:rFonts w:hint="eastAsia"/>
        </w:rPr>
        <w:t>这符合《公约》第十八条第一款的规定。</w:t>
      </w:r>
    </w:p>
    <w:p w:rsidR="00A2190D" w:rsidRDefault="00A2190D">
      <w:pPr>
        <w:pStyle w:val="SingleTxtGC"/>
      </w:pPr>
      <w:r>
        <w:t>110.</w:t>
      </w:r>
      <w:r>
        <w:rPr>
          <w:rFonts w:hint="eastAsia"/>
        </w:rPr>
        <w:t xml:space="preserve">  </w:t>
      </w:r>
      <w:r>
        <w:rPr>
          <w:rFonts w:hint="eastAsia"/>
        </w:rPr>
        <w:t>为使《护照、身份证和旅游证件管理条例》与《公约》第十八条，特别是该条第一款第</w:t>
      </w:r>
      <w:r>
        <w:rPr>
          <w:rFonts w:hint="eastAsia"/>
        </w:rPr>
        <w:t>(</w:t>
      </w:r>
      <w:r>
        <w:rPr>
          <w:rFonts w:hint="eastAsia"/>
        </w:rPr>
        <w:t>二</w:t>
      </w:r>
      <w:r>
        <w:rPr>
          <w:rFonts w:hint="eastAsia"/>
        </w:rPr>
        <w:t>)</w:t>
      </w:r>
      <w:r>
        <w:rPr>
          <w:rFonts w:hint="eastAsia"/>
        </w:rPr>
        <w:t>项保持一致，在与民间社会组织开展咨询后，墨西哥编制了改条例的修订案，修订案将在近期发布。</w:t>
      </w:r>
    </w:p>
    <w:p w:rsidR="00A2190D" w:rsidRDefault="00A2190D">
      <w:pPr>
        <w:pStyle w:val="SingleTxtGC"/>
      </w:pPr>
      <w:r>
        <w:t>111.</w:t>
      </w:r>
      <w:r>
        <w:rPr>
          <w:rFonts w:hint="eastAsia"/>
        </w:rPr>
        <w:t xml:space="preserve">  </w:t>
      </w:r>
      <w:r>
        <w:rPr>
          <w:rFonts w:hint="eastAsia"/>
        </w:rPr>
        <w:t>另一方面，墨西哥在残疾人应于出生日在相应的民事登记处登记，或者残疾人与其父母相认、并按适用法律规定由父母照顾方面并不存在限制。</w:t>
      </w:r>
    </w:p>
    <w:p w:rsidR="00A2190D" w:rsidRDefault="00A2190D">
      <w:pPr>
        <w:pStyle w:val="SingleTxtGC"/>
      </w:pPr>
      <w:r>
        <w:t>112.</w:t>
      </w:r>
      <w:r>
        <w:rPr>
          <w:rFonts w:hint="eastAsia"/>
        </w:rPr>
        <w:t xml:space="preserve">  </w:t>
      </w:r>
      <w:r>
        <w:rPr>
          <w:rFonts w:hint="eastAsia"/>
        </w:rPr>
        <w:t>在选择居所自由方面，所有残疾老人，只要未处于被剥夺权利状态，均享有以与其他人平等的条件选择居所的自由。</w:t>
      </w:r>
    </w:p>
    <w:p w:rsidR="00A2190D" w:rsidRDefault="00A2190D">
      <w:pPr>
        <w:pStyle w:val="H1GC"/>
      </w:pPr>
      <w:r>
        <w:tab/>
      </w:r>
      <w:r>
        <w:tab/>
      </w:r>
      <w:r>
        <w:rPr>
          <w:rFonts w:hint="eastAsia"/>
        </w:rPr>
        <w:t>第十九条</w:t>
      </w:r>
      <w:r>
        <w:rPr>
          <w:rFonts w:hint="eastAsia"/>
        </w:rPr>
        <w:br/>
      </w:r>
      <w:r>
        <w:rPr>
          <w:rFonts w:hint="eastAsia"/>
        </w:rPr>
        <w:t>独立生活和融入社区权</w:t>
      </w:r>
    </w:p>
    <w:p w:rsidR="00A2190D" w:rsidRDefault="00A2190D">
      <w:pPr>
        <w:pStyle w:val="SingleTxtGC"/>
      </w:pPr>
      <w:r>
        <w:t>113</w:t>
      </w:r>
      <w:r>
        <w:rPr>
          <w:rFonts w:hint="eastAsia"/>
        </w:rPr>
        <w:t xml:space="preserve">  </w:t>
      </w:r>
      <w:r>
        <w:rPr>
          <w:rFonts w:hint="eastAsia"/>
        </w:rPr>
        <w:t>国家家庭全面发展系统负责根据《国家发展计划</w:t>
      </w:r>
      <w:r>
        <w:rPr>
          <w:rFonts w:hint="eastAsia"/>
        </w:rPr>
        <w:t>(</w:t>
      </w:r>
      <w:r>
        <w:t>2007-2012</w:t>
      </w:r>
      <w:r>
        <w:rPr>
          <w:rFonts w:hint="eastAsia"/>
        </w:rPr>
        <w:t>年</w:t>
      </w:r>
      <w:r>
        <w:rPr>
          <w:rFonts w:hint="eastAsia"/>
        </w:rPr>
        <w:t>)</w:t>
      </w:r>
      <w:r>
        <w:rPr>
          <w:rFonts w:hint="eastAsia"/>
        </w:rPr>
        <w:t>》的指导和战略目标，协调各种着力于个人、家庭和社区发展的社会援助行动。</w:t>
      </w:r>
    </w:p>
    <w:p w:rsidR="00A2190D" w:rsidRDefault="00A2190D">
      <w:pPr>
        <w:pStyle w:val="SingleTxtGC"/>
      </w:pPr>
      <w:r>
        <w:t>114.</w:t>
      </w:r>
      <w:r>
        <w:rPr>
          <w:rFonts w:hint="eastAsia"/>
        </w:rPr>
        <w:t xml:space="preserve">  </w:t>
      </w:r>
      <w:r>
        <w:rPr>
          <w:rFonts w:hint="eastAsia"/>
        </w:rPr>
        <w:t>在这一背景下，《残疾人关怀方案操作规定》会考虑家庭和社区发展所需的各种行动。因此，墨西哥对基于社区的、旨在让残疾人在其社区范围内充分享受权利和生活的康复计划给予了支持。</w:t>
      </w:r>
    </w:p>
    <w:p w:rsidR="00A2190D" w:rsidRDefault="00A2190D">
      <w:pPr>
        <w:pStyle w:val="SingleTxtGC"/>
      </w:pPr>
      <w:r>
        <w:t>115.</w:t>
      </w:r>
      <w:r>
        <w:rPr>
          <w:rFonts w:hint="eastAsia"/>
        </w:rPr>
        <w:t xml:space="preserve">  </w:t>
      </w:r>
      <w:r>
        <w:rPr>
          <w:rFonts w:hint="eastAsia"/>
        </w:rPr>
        <w:t>同样，国家家庭全面发展系统向致力于改变社区对残疾人的态度和行为的民间社会组织提供了专项援助。</w:t>
      </w:r>
    </w:p>
    <w:p w:rsidR="00A2190D" w:rsidRDefault="00A2190D">
      <w:pPr>
        <w:pStyle w:val="SingleTxtGC"/>
      </w:pPr>
      <w:r>
        <w:t>116.</w:t>
      </w:r>
      <w:r>
        <w:rPr>
          <w:rFonts w:hint="eastAsia"/>
        </w:rPr>
        <w:t xml:space="preserve">  </w:t>
      </w:r>
      <w:r>
        <w:rPr>
          <w:rFonts w:hint="eastAsia"/>
        </w:rPr>
        <w:t>为了努力建立一种确保残疾人在社区内行使权利的社会融合模式，</w:t>
      </w:r>
      <w:r>
        <w:t>2010</w:t>
      </w:r>
      <w:r>
        <w:rPr>
          <w:rFonts w:hint="eastAsia"/>
        </w:rPr>
        <w:t>年，瓦哈卡州举办了主题为“在国际发展策略框架内社区康复”的第二届社区康复洲际大会。</w:t>
      </w:r>
    </w:p>
    <w:p w:rsidR="00A2190D" w:rsidRDefault="00A2190D">
      <w:pPr>
        <w:pStyle w:val="H1GC"/>
      </w:pPr>
      <w:r>
        <w:tab/>
      </w:r>
      <w:r>
        <w:tab/>
      </w:r>
      <w:r>
        <w:rPr>
          <w:rFonts w:hint="eastAsia"/>
        </w:rPr>
        <w:t>第二十条</w:t>
      </w:r>
      <w:r>
        <w:rPr>
          <w:rFonts w:hint="eastAsia"/>
        </w:rPr>
        <w:br/>
      </w:r>
      <w:r>
        <w:rPr>
          <w:rFonts w:hint="eastAsia"/>
        </w:rPr>
        <w:t>个人行动能力</w:t>
      </w:r>
    </w:p>
    <w:p w:rsidR="00A2190D" w:rsidRDefault="00A2190D">
      <w:pPr>
        <w:pStyle w:val="SingleTxtGC"/>
      </w:pPr>
      <w:r>
        <w:t>117.</w:t>
      </w:r>
      <w:r>
        <w:rPr>
          <w:rFonts w:hint="eastAsia"/>
        </w:rPr>
        <w:t xml:space="preserve">  </w:t>
      </w:r>
      <w:r>
        <w:rPr>
          <w:rFonts w:hint="eastAsia"/>
        </w:rPr>
        <w:t>自</w:t>
      </w:r>
      <w:r>
        <w:t>2008</w:t>
      </w:r>
      <w:r>
        <w:rPr>
          <w:rFonts w:hint="eastAsia"/>
        </w:rPr>
        <w:t>年起，社会发展部负责的各项“移民居住环境和</w:t>
      </w:r>
      <w:r>
        <w:t>3X1</w:t>
      </w:r>
      <w:r>
        <w:rPr>
          <w:rFonts w:hint="eastAsia"/>
        </w:rPr>
        <w:t>”计划会协助建设各种社会基础设施，以便残疾人实现自由交通。为使居住在城市边缘地区的残疾人受益，这些计划还会协助建设、扩建、改建基础康复设施和社区发展中心，并为这些场所提供各种设备。</w:t>
      </w:r>
    </w:p>
    <w:p w:rsidR="00A2190D" w:rsidRDefault="00A2190D">
      <w:pPr>
        <w:pStyle w:val="SingleTxtGC"/>
      </w:pPr>
      <w:r>
        <w:t>118.</w:t>
      </w:r>
      <w:r>
        <w:rPr>
          <w:rFonts w:hint="eastAsia"/>
        </w:rPr>
        <w:t xml:space="preserve">  </w:t>
      </w:r>
      <w:r>
        <w:rPr>
          <w:rFonts w:hint="eastAsia"/>
        </w:rPr>
        <w:t>国家住房委员会在《高适应性和无障碍房屋的设计与建设标准》中加入了无障碍道路的内容，以便为居住区和城市环境中的公共区域和道路的使用者提供更好的通行选择。</w:t>
      </w:r>
    </w:p>
    <w:p w:rsidR="00A2190D" w:rsidRDefault="00A2190D">
      <w:pPr>
        <w:pStyle w:val="SingleTxtGC"/>
      </w:pPr>
      <w:r>
        <w:t>119.</w:t>
      </w:r>
      <w:r>
        <w:rPr>
          <w:rFonts w:hint="eastAsia"/>
        </w:rPr>
        <w:t xml:space="preserve">  </w:t>
      </w:r>
      <w:r>
        <w:rPr>
          <w:rFonts w:hint="eastAsia"/>
        </w:rPr>
        <w:t>以国家家庭全面发展系统通过各个发展系统制定的政策为基础，各州政府都有向永久残疾人和贫困残疾人提供功能性援助，从而改善他们的生活质量并实现完全融入社会的计划。</w:t>
      </w:r>
    </w:p>
    <w:p w:rsidR="00A2190D" w:rsidRDefault="00A2190D">
      <w:pPr>
        <w:pStyle w:val="SingleTxtGC"/>
        <w:rPr>
          <w:rFonts w:hint="eastAsia"/>
        </w:rPr>
      </w:pPr>
      <w:r>
        <w:t>120.</w:t>
      </w:r>
      <w:r>
        <w:rPr>
          <w:rFonts w:hint="eastAsia"/>
        </w:rPr>
        <w:t xml:space="preserve">  </w:t>
      </w:r>
      <w:r>
        <w:rPr>
          <w:rFonts w:hint="eastAsia"/>
        </w:rPr>
        <w:t>此外，各州的家庭全面发展系统会根据国家家庭全面发展政策，提供各种旨在使残疾人独立开展各项日常活动的康复治疗、并设立了理疗和职业病治疗专场，从而改善了残疾人的个人行动能力。</w:t>
      </w:r>
    </w:p>
    <w:tbl>
      <w:tblPr>
        <w:tblW w:w="7370" w:type="dxa"/>
        <w:tblInd w:w="1134" w:type="dxa"/>
        <w:tblLayout w:type="fixed"/>
        <w:tblCellMar>
          <w:left w:w="0" w:type="dxa"/>
          <w:right w:w="0" w:type="dxa"/>
        </w:tblCellMar>
        <w:tblLook w:val="00A0"/>
      </w:tblPr>
      <w:tblGrid>
        <w:gridCol w:w="927"/>
        <w:gridCol w:w="3398"/>
        <w:gridCol w:w="3045"/>
      </w:tblGrid>
      <w:tr w:rsidR="00A2190D">
        <w:tc>
          <w:tcPr>
            <w:tcW w:w="927" w:type="dxa"/>
            <w:tcBorders>
              <w:top w:val="single" w:sz="4" w:space="0" w:color="auto"/>
              <w:bottom w:val="single" w:sz="12" w:space="0" w:color="auto"/>
            </w:tcBorders>
            <w:shd w:val="clear" w:color="auto" w:fill="auto"/>
            <w:vAlign w:val="bottom"/>
          </w:tcPr>
          <w:p w:rsidR="00A2190D" w:rsidRDefault="00A2190D">
            <w:pPr>
              <w:pStyle w:val="a2"/>
              <w:ind w:right="0"/>
              <w:rPr>
                <w:rFonts w:hint="eastAsia"/>
              </w:rPr>
            </w:pPr>
            <w:r>
              <w:rPr>
                <w:rFonts w:hint="eastAsia"/>
                <w:lang w:val="zh-CN"/>
              </w:rPr>
              <w:t>年份</w:t>
            </w:r>
          </w:p>
        </w:tc>
        <w:tc>
          <w:tcPr>
            <w:tcW w:w="3398" w:type="dxa"/>
            <w:tcBorders>
              <w:top w:val="single" w:sz="4" w:space="0" w:color="auto"/>
              <w:bottom w:val="single" w:sz="12" w:space="0" w:color="auto"/>
            </w:tcBorders>
            <w:shd w:val="clear" w:color="auto" w:fill="auto"/>
            <w:vAlign w:val="bottom"/>
          </w:tcPr>
          <w:p w:rsidR="00A2190D" w:rsidRDefault="00A2190D">
            <w:pPr>
              <w:pStyle w:val="a2"/>
              <w:ind w:right="0"/>
              <w:jc w:val="right"/>
              <w:rPr>
                <w:rFonts w:hint="eastAsia"/>
              </w:rPr>
            </w:pPr>
            <w:r>
              <w:rPr>
                <w:rFonts w:hint="eastAsia"/>
                <w:lang w:val="zh-CN"/>
              </w:rPr>
              <w:t>受照顾和护理的人数</w:t>
            </w:r>
          </w:p>
        </w:tc>
        <w:tc>
          <w:tcPr>
            <w:tcW w:w="3045" w:type="dxa"/>
            <w:tcBorders>
              <w:top w:val="single" w:sz="4" w:space="0" w:color="auto"/>
              <w:bottom w:val="single" w:sz="12" w:space="0" w:color="auto"/>
            </w:tcBorders>
            <w:shd w:val="clear" w:color="auto" w:fill="auto"/>
            <w:vAlign w:val="bottom"/>
          </w:tcPr>
          <w:p w:rsidR="00A2190D" w:rsidRDefault="00A2190D">
            <w:pPr>
              <w:pStyle w:val="a2"/>
              <w:ind w:right="0"/>
              <w:jc w:val="right"/>
              <w:rPr>
                <w:rFonts w:hint="eastAsia"/>
              </w:rPr>
            </w:pPr>
            <w:r>
              <w:rPr>
                <w:rFonts w:hint="eastAsia"/>
                <w:lang w:val="zh-CN"/>
              </w:rPr>
              <w:t>受照顾和护理人次</w:t>
            </w:r>
          </w:p>
        </w:tc>
      </w:tr>
      <w:tr w:rsidR="00A2190D">
        <w:tc>
          <w:tcPr>
            <w:tcW w:w="927" w:type="dxa"/>
            <w:tcBorders>
              <w:top w:val="single" w:sz="12" w:space="0" w:color="auto"/>
            </w:tcBorders>
            <w:shd w:val="clear" w:color="auto" w:fill="auto"/>
          </w:tcPr>
          <w:p w:rsidR="00A2190D" w:rsidRDefault="00A2190D">
            <w:pPr>
              <w:pStyle w:val="a7"/>
              <w:rPr>
                <w:szCs w:val="18"/>
                <w:lang w:val="es-MX"/>
              </w:rPr>
            </w:pPr>
            <w:r>
              <w:rPr>
                <w:szCs w:val="18"/>
                <w:lang w:val="es-MX"/>
              </w:rPr>
              <w:t>2008</w:t>
            </w:r>
          </w:p>
        </w:tc>
        <w:tc>
          <w:tcPr>
            <w:tcW w:w="3398" w:type="dxa"/>
            <w:tcBorders>
              <w:top w:val="single" w:sz="12" w:space="0" w:color="auto"/>
            </w:tcBorders>
            <w:shd w:val="clear" w:color="auto" w:fill="auto"/>
          </w:tcPr>
          <w:p w:rsidR="00A2190D" w:rsidRDefault="00A2190D">
            <w:pPr>
              <w:pStyle w:val="a7"/>
              <w:ind w:right="0"/>
              <w:jc w:val="right"/>
              <w:rPr>
                <w:szCs w:val="18"/>
                <w:lang w:val="es-MX"/>
              </w:rPr>
            </w:pPr>
            <w:r>
              <w:rPr>
                <w:szCs w:val="18"/>
              </w:rPr>
              <w:t>45 024</w:t>
            </w:r>
          </w:p>
        </w:tc>
        <w:tc>
          <w:tcPr>
            <w:tcW w:w="3045" w:type="dxa"/>
            <w:tcBorders>
              <w:top w:val="single" w:sz="12" w:space="0" w:color="auto"/>
            </w:tcBorders>
            <w:shd w:val="clear" w:color="auto" w:fill="auto"/>
          </w:tcPr>
          <w:p w:rsidR="00A2190D" w:rsidRDefault="00A2190D">
            <w:pPr>
              <w:pStyle w:val="a7"/>
              <w:ind w:right="0"/>
              <w:jc w:val="right"/>
              <w:rPr>
                <w:szCs w:val="18"/>
                <w:lang w:val="es-MX"/>
              </w:rPr>
            </w:pPr>
            <w:r>
              <w:rPr>
                <w:szCs w:val="18"/>
              </w:rPr>
              <w:t>1 864 378</w:t>
            </w:r>
          </w:p>
        </w:tc>
      </w:tr>
      <w:tr w:rsidR="00A2190D">
        <w:tc>
          <w:tcPr>
            <w:tcW w:w="927" w:type="dxa"/>
            <w:shd w:val="clear" w:color="auto" w:fill="auto"/>
          </w:tcPr>
          <w:p w:rsidR="00A2190D" w:rsidRDefault="00A2190D">
            <w:pPr>
              <w:pStyle w:val="a7"/>
              <w:rPr>
                <w:szCs w:val="18"/>
                <w:lang w:val="es-MX"/>
              </w:rPr>
            </w:pPr>
            <w:r>
              <w:rPr>
                <w:szCs w:val="18"/>
                <w:lang w:val="es-MX"/>
              </w:rPr>
              <w:t>2009</w:t>
            </w:r>
          </w:p>
        </w:tc>
        <w:tc>
          <w:tcPr>
            <w:tcW w:w="3398" w:type="dxa"/>
            <w:shd w:val="clear" w:color="auto" w:fill="auto"/>
          </w:tcPr>
          <w:p w:rsidR="00A2190D" w:rsidRDefault="00A2190D">
            <w:pPr>
              <w:pStyle w:val="a7"/>
              <w:ind w:right="0"/>
              <w:jc w:val="right"/>
              <w:rPr>
                <w:szCs w:val="18"/>
                <w:lang w:val="es-MX"/>
              </w:rPr>
            </w:pPr>
            <w:r>
              <w:rPr>
                <w:szCs w:val="18"/>
              </w:rPr>
              <w:t>53 995</w:t>
            </w:r>
          </w:p>
        </w:tc>
        <w:tc>
          <w:tcPr>
            <w:tcW w:w="3045" w:type="dxa"/>
            <w:shd w:val="clear" w:color="auto" w:fill="auto"/>
          </w:tcPr>
          <w:p w:rsidR="00A2190D" w:rsidRDefault="00A2190D">
            <w:pPr>
              <w:pStyle w:val="a7"/>
              <w:ind w:right="0"/>
              <w:jc w:val="right"/>
              <w:rPr>
                <w:szCs w:val="18"/>
                <w:lang w:val="es-MX"/>
              </w:rPr>
            </w:pPr>
            <w:r>
              <w:rPr>
                <w:szCs w:val="18"/>
              </w:rPr>
              <w:t>2 149 060</w:t>
            </w:r>
          </w:p>
        </w:tc>
      </w:tr>
      <w:tr w:rsidR="00A2190D">
        <w:tc>
          <w:tcPr>
            <w:tcW w:w="927" w:type="dxa"/>
            <w:tcBorders>
              <w:bottom w:val="single" w:sz="12" w:space="0" w:color="auto"/>
            </w:tcBorders>
            <w:shd w:val="clear" w:color="auto" w:fill="auto"/>
          </w:tcPr>
          <w:p w:rsidR="00A2190D" w:rsidRDefault="00A2190D">
            <w:pPr>
              <w:pStyle w:val="a7"/>
              <w:rPr>
                <w:szCs w:val="18"/>
                <w:lang w:val="es-MX"/>
              </w:rPr>
            </w:pPr>
            <w:r>
              <w:rPr>
                <w:szCs w:val="18"/>
                <w:lang w:val="es-MX"/>
              </w:rPr>
              <w:t>2010</w:t>
            </w:r>
          </w:p>
        </w:tc>
        <w:tc>
          <w:tcPr>
            <w:tcW w:w="3398" w:type="dxa"/>
            <w:tcBorders>
              <w:bottom w:val="single" w:sz="12" w:space="0" w:color="auto"/>
            </w:tcBorders>
            <w:shd w:val="clear" w:color="auto" w:fill="auto"/>
          </w:tcPr>
          <w:p w:rsidR="00A2190D" w:rsidRDefault="00A2190D">
            <w:pPr>
              <w:pStyle w:val="a7"/>
              <w:ind w:right="0"/>
              <w:jc w:val="right"/>
              <w:rPr>
                <w:szCs w:val="18"/>
                <w:lang w:val="es-MX"/>
              </w:rPr>
            </w:pPr>
            <w:r>
              <w:rPr>
                <w:szCs w:val="18"/>
              </w:rPr>
              <w:t>56 637</w:t>
            </w:r>
          </w:p>
        </w:tc>
        <w:tc>
          <w:tcPr>
            <w:tcW w:w="3045" w:type="dxa"/>
            <w:tcBorders>
              <w:bottom w:val="single" w:sz="12" w:space="0" w:color="auto"/>
            </w:tcBorders>
            <w:shd w:val="clear" w:color="auto" w:fill="auto"/>
          </w:tcPr>
          <w:p w:rsidR="00A2190D" w:rsidRDefault="00A2190D">
            <w:pPr>
              <w:pStyle w:val="a7"/>
              <w:ind w:right="0"/>
              <w:jc w:val="right"/>
              <w:rPr>
                <w:szCs w:val="18"/>
                <w:lang w:val="es-MX"/>
              </w:rPr>
            </w:pPr>
            <w:r>
              <w:rPr>
                <w:szCs w:val="18"/>
              </w:rPr>
              <w:t>2 257 134</w:t>
            </w:r>
          </w:p>
        </w:tc>
      </w:tr>
    </w:tbl>
    <w:p w:rsidR="00A2190D" w:rsidRDefault="00A2190D">
      <w:pPr>
        <w:pStyle w:val="SingleTxtGC"/>
        <w:spacing w:beforeLines="50"/>
      </w:pPr>
      <w:r>
        <w:t>121.</w:t>
      </w:r>
      <w:r>
        <w:rPr>
          <w:rFonts w:hint="eastAsia"/>
        </w:rPr>
        <w:t xml:space="preserve">  </w:t>
      </w:r>
      <w:r>
        <w:rPr>
          <w:rFonts w:hint="eastAsia"/>
        </w:rPr>
        <w:t>为提高残疾人的独立行动能力</w:t>
      </w:r>
      <w:r>
        <w:rPr>
          <w:rFonts w:hint="eastAsia"/>
        </w:rPr>
        <w:t>(</w:t>
      </w:r>
      <w:r>
        <w:rPr>
          <w:rFonts w:hint="eastAsia"/>
        </w:rPr>
        <w:t>无论是否使用技术援助手段</w:t>
      </w:r>
      <w:r>
        <w:rPr>
          <w:rFonts w:hint="eastAsia"/>
        </w:rPr>
        <w:t>)</w:t>
      </w:r>
      <w:r>
        <w:rPr>
          <w:rFonts w:hint="eastAsia"/>
        </w:rPr>
        <w:t>，国家康复研究所也提供同样的服务。该研究所有一个矫形器和假肢实验室，会协调假肢信托基金向在墨西哥社会保障局和劳动者社会保障与服务国家委员会领取养老金的退休人员提供假肢和矫形器具，并正在推动各方面将这项服务拓展至无社会保障人群。</w:t>
      </w:r>
    </w:p>
    <w:p w:rsidR="00A2190D" w:rsidRDefault="00A2190D">
      <w:pPr>
        <w:pStyle w:val="H1GC"/>
      </w:pPr>
      <w:r>
        <w:tab/>
      </w:r>
      <w:r>
        <w:tab/>
      </w:r>
      <w:r>
        <w:rPr>
          <w:rFonts w:hint="eastAsia"/>
        </w:rPr>
        <w:t>第二十一条</w:t>
      </w:r>
      <w:r>
        <w:br/>
      </w:r>
      <w:r>
        <w:rPr>
          <w:rFonts w:hint="eastAsia"/>
        </w:rPr>
        <w:t>表达意见的自由和获得信息的机会</w:t>
      </w:r>
    </w:p>
    <w:p w:rsidR="00A2190D" w:rsidRDefault="00A2190D">
      <w:pPr>
        <w:pStyle w:val="SingleTxtGC"/>
      </w:pPr>
      <w:r>
        <w:t>122.</w:t>
      </w:r>
      <w:r>
        <w:rPr>
          <w:rFonts w:hint="eastAsia"/>
        </w:rPr>
        <w:t xml:space="preserve">  </w:t>
      </w:r>
      <w:r>
        <w:rPr>
          <w:rFonts w:hint="eastAsia"/>
        </w:rPr>
        <w:t>《墨西哥合众国政治宪法》第</w:t>
      </w:r>
      <w:r>
        <w:rPr>
          <w:rFonts w:hint="eastAsia"/>
        </w:rPr>
        <w:t>6</w:t>
      </w:r>
      <w:r>
        <w:rPr>
          <w:rFonts w:hint="eastAsia"/>
        </w:rPr>
        <w:t>条规定人们有表达意见的自由和获得信息的机会。</w:t>
      </w:r>
    </w:p>
    <w:p w:rsidR="00A2190D" w:rsidRDefault="00A2190D">
      <w:pPr>
        <w:pStyle w:val="SingleTxtGC"/>
      </w:pPr>
      <w:r>
        <w:t>123.</w:t>
      </w:r>
      <w:r>
        <w:rPr>
          <w:rFonts w:hint="eastAsia"/>
        </w:rPr>
        <w:t xml:space="preserve">  </w:t>
      </w:r>
      <w:r>
        <w:rPr>
          <w:rFonts w:hint="eastAsia"/>
        </w:rPr>
        <w:t>《政府公共信息透明化与公开化联邦法》规定，在不违反其他法律的情况下，接到提供公共信息申请后，应以申请人可以理解的形式和格式提供。如有关方面提供的形式或格式无法理解，可由联邦信息获取和数据保护委员会或申请人提出审核程序。</w:t>
      </w:r>
    </w:p>
    <w:p w:rsidR="00A2190D" w:rsidRDefault="00A2190D">
      <w:pPr>
        <w:pStyle w:val="SingleTxtGC"/>
      </w:pPr>
      <w:r>
        <w:t>124.</w:t>
      </w:r>
      <w:r>
        <w:rPr>
          <w:rFonts w:hint="eastAsia"/>
        </w:rPr>
        <w:t xml:space="preserve">  </w:t>
      </w:r>
      <w:r>
        <w:rPr>
          <w:rFonts w:hint="eastAsia"/>
        </w:rPr>
        <w:t>各州也有类似法律。例如，认可获得信息是人类固有权利的塔巴斯科州规定了该州为确保这项权利而应履行的各种基本义务。</w:t>
      </w:r>
    </w:p>
    <w:p w:rsidR="00A2190D" w:rsidRDefault="00A2190D">
      <w:pPr>
        <w:pStyle w:val="SingleTxtGC"/>
      </w:pPr>
      <w:r>
        <w:t>125.</w:t>
      </w:r>
      <w:r>
        <w:rPr>
          <w:rFonts w:hint="eastAsia"/>
        </w:rPr>
        <w:t xml:space="preserve">  </w:t>
      </w:r>
      <w:r>
        <w:rPr>
          <w:rFonts w:hint="eastAsia"/>
        </w:rPr>
        <w:t>另一方面，墨西哥已开始实施可使全体居民获得信息的语言政策。</w:t>
      </w:r>
      <w:r>
        <w:t>2009</w:t>
      </w:r>
      <w:r>
        <w:rPr>
          <w:rFonts w:hint="eastAsia"/>
        </w:rPr>
        <w:t>年的《墨西哥手语与西班牙语互译职业能力技术规范》对提供翻译、同声传译、交替传译和视译的条件进行了规定；在开展各种墨西哥手语至西班牙语翻译的培训项目时可参照该规范。该规范对应于墨西哥的聋人群体的一项迫切需求，因为各方普遍认为，聋人应在各领域广泛使用翻译来打破沟通障碍和确保融入社会。</w:t>
      </w:r>
    </w:p>
    <w:p w:rsidR="00A2190D" w:rsidRDefault="00A2190D">
      <w:pPr>
        <w:pStyle w:val="SingleTxtGC"/>
      </w:pPr>
      <w:r>
        <w:t>126.</w:t>
      </w:r>
      <w:r>
        <w:rPr>
          <w:rFonts w:hint="eastAsia"/>
        </w:rPr>
        <w:t xml:space="preserve">  </w:t>
      </w:r>
      <w:r>
        <w:rPr>
          <w:rFonts w:hint="eastAsia"/>
        </w:rPr>
        <w:t>截至</w:t>
      </w:r>
      <w:r>
        <w:t>2010</w:t>
      </w:r>
      <w:r>
        <w:rPr>
          <w:rFonts w:hint="eastAsia"/>
        </w:rPr>
        <w:t>年</w:t>
      </w:r>
      <w:r>
        <w:t>12</w:t>
      </w:r>
      <w:r>
        <w:rPr>
          <w:rFonts w:hint="eastAsia"/>
        </w:rPr>
        <w:t>月，墨西哥根据该规范登记了</w:t>
      </w:r>
      <w:r>
        <w:t>41</w:t>
      </w:r>
      <w:r>
        <w:rPr>
          <w:rFonts w:hint="eastAsia"/>
        </w:rPr>
        <w:t>名翻译，另有</w:t>
      </w:r>
      <w:r>
        <w:t>19</w:t>
      </w:r>
      <w:r>
        <w:rPr>
          <w:rFonts w:hint="eastAsia"/>
        </w:rPr>
        <w:t>名翻译已通过认证、正在等待登记。此外，还有</w:t>
      </w:r>
      <w:r>
        <w:t>150</w:t>
      </w:r>
      <w:r>
        <w:rPr>
          <w:rFonts w:hint="eastAsia"/>
        </w:rPr>
        <w:t>人为候选登记人、或已开始登记流程。</w:t>
      </w:r>
    </w:p>
    <w:p w:rsidR="00A2190D" w:rsidRDefault="00A2190D">
      <w:pPr>
        <w:pStyle w:val="SingleTxtGC"/>
      </w:pPr>
      <w:r>
        <w:t>127.</w:t>
      </w:r>
      <w:r>
        <w:rPr>
          <w:rFonts w:hint="eastAsia"/>
        </w:rPr>
        <w:t xml:space="preserve">  </w:t>
      </w:r>
      <w:r>
        <w:rPr>
          <w:rFonts w:hint="eastAsia"/>
        </w:rPr>
        <w:t>国立理工学院电视台</w:t>
      </w:r>
      <w:r>
        <w:t>11</w:t>
      </w:r>
      <w:r>
        <w:rPr>
          <w:rFonts w:hint="eastAsia"/>
        </w:rPr>
        <w:t>频道已开始播放一部配有墨西哥手语翻译的新闻纪录片。</w:t>
      </w:r>
    </w:p>
    <w:p w:rsidR="00A2190D" w:rsidRDefault="00A2190D">
      <w:pPr>
        <w:pStyle w:val="SingleTxtGC"/>
      </w:pPr>
      <w:r>
        <w:t>128.</w:t>
      </w:r>
      <w:r>
        <w:rPr>
          <w:rFonts w:hint="eastAsia"/>
        </w:rPr>
        <w:t xml:space="preserve">  </w:t>
      </w:r>
      <w:r>
        <w:rPr>
          <w:rFonts w:hint="eastAsia"/>
        </w:rPr>
        <w:t>墨西哥通过总统府因特网系统，对旨在确保政府电子网站在满足“万维网联盟”可访问性指南的基础上向公民提供可访问的网页的《网站改善计划》中的各项行动进行了评估。评估活动结束后，墨西哥对联邦公共行政管理机构的电子网站进行了修改，建议有视觉或听觉残疾的使用者可通过适当方式查询这些网站</w:t>
      </w:r>
      <w:r>
        <w:rPr>
          <w:rFonts w:hint="eastAsia"/>
        </w:rPr>
        <w:t>(</w:t>
      </w:r>
      <w:r>
        <w:rPr>
          <w:rFonts w:hint="eastAsia"/>
        </w:rPr>
        <w:t>请参见第</w:t>
      </w:r>
      <w:r>
        <w:t>29</w:t>
      </w:r>
      <w:r>
        <w:rPr>
          <w:rFonts w:hint="eastAsia"/>
        </w:rPr>
        <w:t>号附件</w:t>
      </w:r>
      <w:r>
        <w:rPr>
          <w:rFonts w:hint="eastAsia"/>
        </w:rPr>
        <w:t>)</w:t>
      </w:r>
      <w:r>
        <w:rPr>
          <w:rFonts w:hint="eastAsia"/>
        </w:rPr>
        <w:t>。</w:t>
      </w:r>
    </w:p>
    <w:p w:rsidR="00A2190D" w:rsidRDefault="00A2190D">
      <w:pPr>
        <w:pStyle w:val="H1GC"/>
      </w:pPr>
      <w:r>
        <w:tab/>
      </w:r>
      <w:r>
        <w:tab/>
      </w:r>
      <w:r>
        <w:rPr>
          <w:rFonts w:hint="eastAsia"/>
        </w:rPr>
        <w:t>第二十二条</w:t>
      </w:r>
      <w:r>
        <w:br/>
      </w:r>
      <w:r>
        <w:rPr>
          <w:rFonts w:hint="eastAsia"/>
        </w:rPr>
        <w:t>尊重隐私</w:t>
      </w:r>
    </w:p>
    <w:p w:rsidR="00A2190D" w:rsidRDefault="00A2190D">
      <w:pPr>
        <w:pStyle w:val="SingleTxtGC"/>
      </w:pPr>
      <w:r>
        <w:t>129.</w:t>
      </w:r>
      <w:r>
        <w:rPr>
          <w:rFonts w:hint="eastAsia"/>
        </w:rPr>
        <w:t xml:space="preserve">  </w:t>
      </w:r>
      <w:r>
        <w:rPr>
          <w:rFonts w:hint="eastAsia"/>
        </w:rPr>
        <w:t>个人信息、医疗信息、行政管理信息及所有与残疾人护理有关的信息均依法受到保护。</w:t>
      </w:r>
      <w:r>
        <w:t>NOM-168–SSA1-1998</w:t>
      </w:r>
      <w:r>
        <w:rPr>
          <w:rFonts w:hint="eastAsia"/>
        </w:rPr>
        <w:t>标准规定，所有医疗护理机构的医疗记录中的信息应以谨慎和保密方式使用，且只能通过主管当局或国家医疗仲裁委员会的指令方可向第三方透露。</w:t>
      </w:r>
    </w:p>
    <w:p w:rsidR="00A2190D" w:rsidRDefault="00A2190D">
      <w:pPr>
        <w:pStyle w:val="SingleTxtGC"/>
      </w:pPr>
      <w:r>
        <w:t>130.</w:t>
      </w:r>
      <w:r>
        <w:rPr>
          <w:rFonts w:hint="eastAsia"/>
        </w:rPr>
        <w:t xml:space="preserve">  </w:t>
      </w:r>
      <w:r>
        <w:rPr>
          <w:rFonts w:hint="eastAsia"/>
        </w:rPr>
        <w:t>指导国家统计和地理信息系统，并通过该系统指导诸如人口普查、行政登记和调查的各种信息来源的原则为：无障碍</w:t>
      </w:r>
      <w:r>
        <w:rPr>
          <w:rFonts w:hint="eastAsia"/>
        </w:rPr>
        <w:t>(</w:t>
      </w:r>
      <w:r>
        <w:rPr>
          <w:rFonts w:hint="eastAsia"/>
        </w:rPr>
        <w:t>获取</w:t>
      </w:r>
      <w:r>
        <w:rPr>
          <w:rFonts w:hint="eastAsia"/>
        </w:rPr>
        <w:t>)</w:t>
      </w:r>
      <w:r>
        <w:rPr>
          <w:rFonts w:hint="eastAsia"/>
        </w:rPr>
        <w:t>、透明、客观和独立。同时，墨西哥还制定了在信息保密和储存时、以及向行政或司法当局举报时，提供信息者可以忽略上述原则的标准</w:t>
      </w:r>
      <w:r>
        <w:rPr>
          <w:rFonts w:hint="eastAsia"/>
        </w:rPr>
        <w:t>(</w:t>
      </w:r>
      <w:r>
        <w:rPr>
          <w:rFonts w:hint="eastAsia"/>
        </w:rPr>
        <w:t>请参见第</w:t>
      </w:r>
      <w:r>
        <w:t>30</w:t>
      </w:r>
      <w:r>
        <w:rPr>
          <w:rFonts w:hint="eastAsia"/>
        </w:rPr>
        <w:t>号附件</w:t>
      </w:r>
      <w:r>
        <w:rPr>
          <w:rFonts w:hint="eastAsia"/>
        </w:rPr>
        <w:t>)</w:t>
      </w:r>
      <w:r>
        <w:rPr>
          <w:rFonts w:hint="eastAsia"/>
        </w:rPr>
        <w:t>。</w:t>
      </w:r>
    </w:p>
    <w:p w:rsidR="00A2190D" w:rsidRDefault="00A2190D">
      <w:pPr>
        <w:pStyle w:val="H1GC"/>
      </w:pPr>
      <w:r>
        <w:tab/>
      </w:r>
      <w:r>
        <w:tab/>
      </w:r>
      <w:r>
        <w:rPr>
          <w:rFonts w:hint="eastAsia"/>
        </w:rPr>
        <w:t>第二十三条</w:t>
      </w:r>
      <w:r>
        <w:br/>
      </w:r>
      <w:r>
        <w:rPr>
          <w:rFonts w:hint="eastAsia"/>
        </w:rPr>
        <w:t>尊重家居和家庭</w:t>
      </w:r>
    </w:p>
    <w:p w:rsidR="00A2190D" w:rsidRDefault="00A2190D">
      <w:pPr>
        <w:pStyle w:val="SingleTxtGC"/>
        <w:rPr>
          <w:rStyle w:val="FootnoteReference"/>
        </w:rPr>
      </w:pPr>
      <w:r>
        <w:t>131.</w:t>
      </w:r>
      <w:r>
        <w:rPr>
          <w:rFonts w:hint="eastAsia"/>
        </w:rPr>
        <w:t xml:space="preserve">  </w:t>
      </w:r>
      <w:r>
        <w:rPr>
          <w:rFonts w:hint="eastAsia"/>
        </w:rPr>
        <w:t>从适用的地方级法规来说，除了处于被剥夺权利状态之外的其他所有残疾人均可表明其意愿并结婚，行使做父母的权利；生育后代后，对子女也有权进行教育、保护和监护。</w:t>
      </w:r>
      <w:r>
        <w:rPr>
          <w:rStyle w:val="FootnoteReference"/>
        </w:rPr>
        <w:footnoteReference w:id="27"/>
      </w:r>
      <w:r>
        <w:rPr>
          <w:rStyle w:val="FootnoteReference"/>
        </w:rPr>
        <w:t xml:space="preserve"> </w:t>
      </w:r>
      <w:r>
        <w:rPr>
          <w:rFonts w:hint="eastAsia"/>
        </w:rPr>
        <w:t>另一方面，无论未成年人是否为残疾人，父母或对某个未成年人行使监护权者均应负责对未成年人进行登记，并负责他的教育、成长和社会融合。</w:t>
      </w:r>
      <w:r>
        <w:rPr>
          <w:rStyle w:val="FootnoteReference"/>
        </w:rPr>
        <w:footnoteReference w:id="28"/>
      </w:r>
    </w:p>
    <w:p w:rsidR="00A2190D" w:rsidRDefault="00A2190D">
      <w:pPr>
        <w:pStyle w:val="SingleTxtGC"/>
        <w:rPr>
          <w:rStyle w:val="FootnoteReference"/>
        </w:rPr>
      </w:pPr>
      <w:r>
        <w:t>132.</w:t>
      </w:r>
      <w:r>
        <w:rPr>
          <w:rFonts w:hint="eastAsia"/>
        </w:rPr>
        <w:t xml:space="preserve">  </w:t>
      </w:r>
      <w:r>
        <w:rPr>
          <w:rFonts w:hint="eastAsia"/>
        </w:rPr>
        <w:t>为确保残疾人不会与其家人分离，国家家庭全面发展系统实施了作为《弱势家庭和人口关怀方案》组成部分的《无依靠人士和家庭关怀次级方案》。</w:t>
      </w:r>
      <w:r>
        <w:rPr>
          <w:rStyle w:val="FootnoteReference"/>
        </w:rPr>
        <w:footnoteReference w:id="29"/>
      </w:r>
    </w:p>
    <w:p w:rsidR="00A2190D" w:rsidRDefault="00A2190D">
      <w:pPr>
        <w:pStyle w:val="SingleTxtGC"/>
      </w:pPr>
      <w:r>
        <w:t>133.</w:t>
      </w:r>
      <w:r>
        <w:rPr>
          <w:rFonts w:hint="eastAsia"/>
        </w:rPr>
        <w:t xml:space="preserve">  </w:t>
      </w:r>
      <w:r>
        <w:rPr>
          <w:rFonts w:hint="eastAsia"/>
        </w:rPr>
        <w:t>国家家庭全面发展系统的《有残疾子女的家庭学校计划》的总体目标是将残疾儿童的父母纳入综合康复治疗，使他们获得与残疾有关的各种信息，并知道为了使他们的子女完全融入社会该做和不该做什么。</w:t>
      </w:r>
      <w:r>
        <w:t>2008</w:t>
      </w:r>
      <w:r>
        <w:rPr>
          <w:rFonts w:hint="eastAsia"/>
        </w:rPr>
        <w:t>年、</w:t>
      </w:r>
      <w:r>
        <w:t>2009</w:t>
      </w:r>
      <w:r>
        <w:rPr>
          <w:rFonts w:hint="eastAsia"/>
        </w:rPr>
        <w:t>年和</w:t>
      </w:r>
      <w:r>
        <w:t>2010</w:t>
      </w:r>
      <w:r>
        <w:rPr>
          <w:rFonts w:hint="eastAsia"/>
        </w:rPr>
        <w:t>年，墨西哥在这方面分别开课</w:t>
      </w:r>
      <w:r>
        <w:t>334</w:t>
      </w:r>
      <w:r>
        <w:rPr>
          <w:rFonts w:hint="eastAsia"/>
        </w:rPr>
        <w:t>、</w:t>
      </w:r>
      <w:r>
        <w:t>252</w:t>
      </w:r>
      <w:r>
        <w:rPr>
          <w:rFonts w:hint="eastAsia"/>
        </w:rPr>
        <w:t>次和</w:t>
      </w:r>
      <w:r>
        <w:t>1</w:t>
      </w:r>
      <w:r>
        <w:rPr>
          <w:rFonts w:hint="eastAsia"/>
        </w:rPr>
        <w:t>,</w:t>
      </w:r>
      <w:r>
        <w:t>303</w:t>
      </w:r>
      <w:r>
        <w:rPr>
          <w:rFonts w:hint="eastAsia"/>
        </w:rPr>
        <w:t>次，参加课程的人数分别为</w:t>
      </w:r>
      <w:r>
        <w:t>11</w:t>
      </w:r>
      <w:r>
        <w:rPr>
          <w:rFonts w:hint="eastAsia"/>
        </w:rPr>
        <w:t>,</w:t>
      </w:r>
      <w:r>
        <w:t>874</w:t>
      </w:r>
      <w:r>
        <w:rPr>
          <w:rFonts w:hint="eastAsia"/>
        </w:rPr>
        <w:t>人、</w:t>
      </w:r>
      <w:r>
        <w:t>5</w:t>
      </w:r>
      <w:r>
        <w:rPr>
          <w:rFonts w:hint="eastAsia"/>
        </w:rPr>
        <w:t>,</w:t>
      </w:r>
      <w:r>
        <w:t>724</w:t>
      </w:r>
      <w:r>
        <w:rPr>
          <w:rFonts w:hint="eastAsia"/>
        </w:rPr>
        <w:t>人和</w:t>
      </w:r>
      <w:r>
        <w:t>7</w:t>
      </w:r>
      <w:r>
        <w:rPr>
          <w:rFonts w:hint="eastAsia"/>
        </w:rPr>
        <w:t>,</w:t>
      </w:r>
      <w:r>
        <w:t>531</w:t>
      </w:r>
      <w:r>
        <w:rPr>
          <w:rFonts w:hint="eastAsia"/>
        </w:rPr>
        <w:t>人。同时，各州的家庭全面发展系统和国防部也有针对家庭中有残疾子女的父母的学校计划。</w:t>
      </w:r>
    </w:p>
    <w:p w:rsidR="00A2190D" w:rsidRDefault="00A2190D">
      <w:pPr>
        <w:pStyle w:val="SingleTxtGC"/>
      </w:pPr>
      <w:r>
        <w:t>134.</w:t>
      </w:r>
      <w:r>
        <w:rPr>
          <w:rFonts w:hint="eastAsia"/>
        </w:rPr>
        <w:t xml:space="preserve">  </w:t>
      </w:r>
      <w:r>
        <w:rPr>
          <w:rFonts w:hint="eastAsia"/>
        </w:rPr>
        <w:t>墨西哥社会保障局开展了性教育行动，以倡导在包括残疾人在内的全体居民中使用避孕措施。</w:t>
      </w:r>
    </w:p>
    <w:p w:rsidR="00A2190D" w:rsidRDefault="00A2190D">
      <w:pPr>
        <w:pStyle w:val="SingleTxtGC"/>
      </w:pPr>
      <w:r>
        <w:t>135.</w:t>
      </w:r>
      <w:r>
        <w:rPr>
          <w:rFonts w:hint="eastAsia"/>
        </w:rPr>
        <w:t xml:space="preserve">  </w:t>
      </w:r>
      <w:r>
        <w:rPr>
          <w:rFonts w:hint="eastAsia"/>
        </w:rPr>
        <w:t>卫生部的计划生育方案是针对所有居民的，国家卫生体系的服务对所有居民都是免费的。为了让人们自由选择避孕方式，选择绝育手术的申请人必须在咨询有关部门并签署知情告知书后，方可实施手术。对那些被剥夺权利的残疾人，应由其监护人做出决定。</w:t>
      </w:r>
    </w:p>
    <w:p w:rsidR="00A2190D" w:rsidRDefault="00A2190D">
      <w:pPr>
        <w:pStyle w:val="SingleTxtGC"/>
      </w:pPr>
      <w:r>
        <w:t>136.</w:t>
      </w:r>
      <w:r>
        <w:rPr>
          <w:rFonts w:hint="eastAsia"/>
        </w:rPr>
        <w:t xml:space="preserve">  </w:t>
      </w:r>
      <w:r>
        <w:rPr>
          <w:rFonts w:hint="eastAsia"/>
        </w:rPr>
        <w:t>劳动者社会保障与服务国家委员会在所有的国家级医疗机构提供无区别的计划生育和生育健康计划，并向残疾人提供参与健康继续教育、加入互助小组和参加健康博览会的机会，以此优先照顾残疾人。</w:t>
      </w:r>
    </w:p>
    <w:p w:rsidR="00A2190D" w:rsidRDefault="00A2190D">
      <w:pPr>
        <w:pStyle w:val="H1GC"/>
      </w:pPr>
      <w:r>
        <w:tab/>
      </w:r>
      <w:r>
        <w:tab/>
      </w:r>
      <w:r>
        <w:rPr>
          <w:rFonts w:hint="eastAsia"/>
        </w:rPr>
        <w:t>第二十四条</w:t>
      </w:r>
      <w:r>
        <w:br/>
      </w:r>
      <w:r>
        <w:rPr>
          <w:rFonts w:hint="eastAsia"/>
        </w:rPr>
        <w:t>教育</w:t>
      </w:r>
    </w:p>
    <w:p w:rsidR="00A2190D" w:rsidRDefault="00A2190D">
      <w:pPr>
        <w:pStyle w:val="SingleTxtGC"/>
      </w:pPr>
      <w:r>
        <w:t>137.</w:t>
      </w:r>
      <w:r>
        <w:rPr>
          <w:rFonts w:hint="eastAsia"/>
        </w:rPr>
        <w:t xml:space="preserve">  </w:t>
      </w:r>
      <w:r>
        <w:rPr>
          <w:rFonts w:hint="eastAsia"/>
        </w:rPr>
        <w:t>目前，墨西哥对国家教育体系是否有必要向着以常规教育为主、辅以特殊教育和土著教育的全纳教育模式转变存在争议。</w:t>
      </w:r>
    </w:p>
    <w:p w:rsidR="00A2190D" w:rsidRDefault="00A2190D">
      <w:pPr>
        <w:pStyle w:val="SingleTxtGC"/>
      </w:pPr>
      <w:r>
        <w:t>138.</w:t>
      </w:r>
      <w:r>
        <w:rPr>
          <w:rFonts w:hint="eastAsia"/>
        </w:rPr>
        <w:t xml:space="preserve">  </w:t>
      </w:r>
      <w:r>
        <w:rPr>
          <w:rFonts w:hint="eastAsia"/>
        </w:rPr>
        <w:t>普遍认为，虽然对教育体系转变的认识过程已经开始，但今后几年中，一定会出现教育整合和全纳教育模式并存的情况。</w:t>
      </w:r>
    </w:p>
    <w:p w:rsidR="00A2190D" w:rsidRDefault="00A2190D">
      <w:pPr>
        <w:pStyle w:val="SingleTxtGC"/>
      </w:pPr>
      <w:r>
        <w:t>139.</w:t>
      </w:r>
      <w:r>
        <w:rPr>
          <w:rFonts w:hint="eastAsia"/>
        </w:rPr>
        <w:t xml:space="preserve">  </w:t>
      </w:r>
      <w:r>
        <w:t>2002</w:t>
      </w:r>
      <w:r>
        <w:rPr>
          <w:rFonts w:hint="eastAsia"/>
        </w:rPr>
        <w:t>年，公共教育部实施了《特殊教育和教育整合强化计划》。这是一项全国性计划，</w:t>
      </w:r>
      <w:r>
        <w:t>32</w:t>
      </w:r>
      <w:r>
        <w:rPr>
          <w:rFonts w:hint="eastAsia"/>
        </w:rPr>
        <w:t>个联邦实体在完全尊重教育联邦制的基础上参与该计划，并认为特殊教育机构的创立和同供职于这些机构中的教师和跨学科人才签约是每个联邦实体的权力。</w:t>
      </w:r>
    </w:p>
    <w:p w:rsidR="00A2190D" w:rsidRDefault="00A2190D">
      <w:pPr>
        <w:pStyle w:val="SingleTxtGC"/>
        <w:rPr>
          <w:rStyle w:val="FootnoteReference"/>
        </w:rPr>
      </w:pPr>
      <w:r>
        <w:t>140.</w:t>
      </w:r>
      <w:r>
        <w:rPr>
          <w:rFonts w:hint="eastAsia"/>
        </w:rPr>
        <w:t xml:space="preserve">  </w:t>
      </w:r>
      <w:r>
        <w:t>2007-2012</w:t>
      </w:r>
      <w:r>
        <w:rPr>
          <w:rFonts w:hint="eastAsia"/>
        </w:rPr>
        <w:t>年期间，《特殊教育和教育整合强化计划》的行动方针是：通过改善基础教育课程设置、基础教育学校控制标准、</w:t>
      </w:r>
      <w:r>
        <w:t>911</w:t>
      </w:r>
      <w:r>
        <w:rPr>
          <w:rFonts w:hint="eastAsia"/>
        </w:rPr>
        <w:t>统计工具设计及提出立法建议，强化教育服务过程的政策和法规框架。同样，该计划通过向联邦机构注入经济资源，重点推动强化基础教育学校和特殊教育设施。特殊教育提供下列教育服务：</w:t>
      </w:r>
      <w:r>
        <w:rPr>
          <w:rStyle w:val="FootnoteReference"/>
        </w:rPr>
        <w:footnoteReference w:id="30"/>
      </w:r>
    </w:p>
    <w:p w:rsidR="00A2190D" w:rsidRDefault="00A2190D">
      <w:pPr>
        <w:pStyle w:val="SingleTxtGC"/>
        <w:numPr>
          <w:ilvl w:val="0"/>
          <w:numId w:val="19"/>
        </w:numPr>
        <w:ind w:left="1134"/>
      </w:pPr>
      <w:r>
        <w:rPr>
          <w:rFonts w:hint="eastAsia"/>
        </w:rPr>
        <w:t>援助服务：常规教育援助服务机构和学前教育心理辅导中心在普通学校的范围内，向接受初始教育和基础教育的残疾学生提供必要的理论和学习方法方面的援助。</w:t>
      </w:r>
    </w:p>
    <w:p w:rsidR="00A2190D" w:rsidRDefault="00A2190D">
      <w:pPr>
        <w:pStyle w:val="SingleTxtGC"/>
        <w:numPr>
          <w:ilvl w:val="0"/>
          <w:numId w:val="19"/>
        </w:numPr>
        <w:ind w:left="1134"/>
      </w:pPr>
      <w:r>
        <w:rPr>
          <w:rFonts w:hint="eastAsia"/>
        </w:rPr>
        <w:t>学校服务：多重服务中心向残疾儿童和青年提供启蒙、学前、初级、中等教育、及高质量的生活和工作培训。同时，该中心还向</w:t>
      </w:r>
      <w:r>
        <w:t>15</w:t>
      </w:r>
      <w:r>
        <w:rPr>
          <w:rFonts w:hint="eastAsia"/>
        </w:rPr>
        <w:t>至</w:t>
      </w:r>
      <w:r>
        <w:t>22</w:t>
      </w:r>
      <w:r>
        <w:rPr>
          <w:rFonts w:hint="eastAsia"/>
        </w:rPr>
        <w:t>岁的学生提供工作培训。</w:t>
      </w:r>
    </w:p>
    <w:p w:rsidR="00A2190D" w:rsidRDefault="00A2190D">
      <w:pPr>
        <w:pStyle w:val="SingleTxtGC"/>
        <w:numPr>
          <w:ilvl w:val="0"/>
          <w:numId w:val="19"/>
        </w:numPr>
        <w:ind w:left="1134"/>
      </w:pPr>
      <w:r>
        <w:rPr>
          <w:rFonts w:hint="eastAsia"/>
        </w:rPr>
        <w:t>指导服务：教育整合资源与信息中心和公共指导机构向国家教育体系工作人员、有关家庭和社区提供教育选择和针对需要特殊教育的学生的照顾策略的信息、咨询和培训。</w:t>
      </w:r>
    </w:p>
    <w:p w:rsidR="00A2190D" w:rsidRDefault="00A2190D">
      <w:pPr>
        <w:pStyle w:val="SingleTxtGC"/>
      </w:pPr>
      <w:r>
        <w:t>141.</w:t>
      </w:r>
      <w:r>
        <w:rPr>
          <w:rFonts w:hint="eastAsia"/>
        </w:rPr>
        <w:t xml:space="preserve">  </w:t>
      </w:r>
      <w:r>
        <w:t>2009</w:t>
      </w:r>
      <w:r>
        <w:rPr>
          <w:rFonts w:hint="eastAsia"/>
        </w:rPr>
        <w:t>年，公共教育部草拟了一份名为《墨西哥基础教育学校中照顾残疾学生的全纳教育趋势定性分析》的内部文件，目的是获取在残疾学生全纳教育方面所取得进步的相关信息。</w:t>
      </w:r>
    </w:p>
    <w:p w:rsidR="00A2190D" w:rsidRDefault="00A2190D">
      <w:pPr>
        <w:pStyle w:val="SingleTxtGC"/>
        <w:rPr>
          <w:rStyle w:val="FootnoteReference"/>
        </w:rPr>
      </w:pPr>
      <w:r>
        <w:t>142.</w:t>
      </w:r>
      <w:r>
        <w:rPr>
          <w:rFonts w:hint="eastAsia"/>
        </w:rPr>
        <w:t xml:space="preserve">  </w:t>
      </w:r>
      <w:r>
        <w:rPr>
          <w:rFonts w:hint="eastAsia"/>
        </w:rPr>
        <w:t>考虑到民间社会在强化措施、推动残疾学生入学并在整个国家教育体系中长期学习和完成学业方面的担忧和关切，</w:t>
      </w:r>
      <w:r>
        <w:t>2010</w:t>
      </w:r>
      <w:r>
        <w:rPr>
          <w:rFonts w:hint="eastAsia"/>
        </w:rPr>
        <w:t>年，全国残疾人融合理事会和公共教育部制定了下列文件，有关方面目前正在研究和评估这些文件更好的实施方式：</w:t>
      </w:r>
      <w:r>
        <w:t>(a</w:t>
      </w:r>
      <w:r>
        <w:rPr>
          <w:rFonts w:hint="eastAsia"/>
        </w:rPr>
        <w:t>)</w:t>
      </w:r>
      <w:r>
        <w:t xml:space="preserve"> </w:t>
      </w:r>
      <w:r>
        <w:rPr>
          <w:rFonts w:hint="eastAsia"/>
        </w:rPr>
        <w:t>《国家强化全纳教育行动计划》</w:t>
      </w:r>
      <w:r>
        <w:rPr>
          <w:rFonts w:hint="eastAsia"/>
        </w:rPr>
        <w:t>(</w:t>
      </w:r>
      <w:r>
        <w:rPr>
          <w:rFonts w:hint="eastAsia"/>
        </w:rPr>
        <w:t>建议稿</w:t>
      </w:r>
      <w:r>
        <w:rPr>
          <w:rFonts w:hint="eastAsia"/>
        </w:rPr>
        <w:t>)</w:t>
      </w:r>
      <w:r>
        <w:rPr>
          <w:rFonts w:hint="eastAsia"/>
        </w:rPr>
        <w:t>；</w:t>
      </w:r>
      <w:r>
        <w:t>(b</w:t>
      </w:r>
      <w:r>
        <w:rPr>
          <w:rFonts w:hint="eastAsia"/>
        </w:rPr>
        <w:t>)</w:t>
      </w:r>
      <w:r>
        <w:t xml:space="preserve"> </w:t>
      </w:r>
      <w:r>
        <w:rPr>
          <w:rFonts w:hint="eastAsia"/>
        </w:rPr>
        <w:t>名为《面向全纳教育的普通全纳教育学校模式和发展中心的定义》的指南建议。</w:t>
      </w:r>
      <w:r>
        <w:rPr>
          <w:rStyle w:val="FootnoteReference"/>
        </w:rPr>
        <w:footnoteReference w:id="31"/>
      </w:r>
    </w:p>
    <w:p w:rsidR="00A2190D" w:rsidRDefault="00A2190D">
      <w:pPr>
        <w:pStyle w:val="SingleTxtGC"/>
      </w:pPr>
      <w:r>
        <w:t>143.</w:t>
      </w:r>
      <w:r>
        <w:rPr>
          <w:rFonts w:hint="eastAsia"/>
        </w:rPr>
        <w:t xml:space="preserve">  </w:t>
      </w:r>
      <w:r>
        <w:rPr>
          <w:rFonts w:hint="eastAsia"/>
        </w:rPr>
        <w:t>与此同时，联邦区教育机构联邦管理局针对残疾儿童和青年开展了下列工作：</w:t>
      </w:r>
      <w:r>
        <w:t>(a</w:t>
      </w:r>
      <w:r>
        <w:rPr>
          <w:rFonts w:hint="eastAsia"/>
        </w:rPr>
        <w:t>)</w:t>
      </w:r>
      <w:r>
        <w:t xml:space="preserve"> </w:t>
      </w:r>
      <w:r>
        <w:rPr>
          <w:rFonts w:hint="eastAsia"/>
        </w:rPr>
        <w:t>制定数学教育策略；</w:t>
      </w:r>
      <w:r>
        <w:t>(b</w:t>
      </w:r>
      <w:r>
        <w:rPr>
          <w:rFonts w:hint="eastAsia"/>
        </w:rPr>
        <w:t>)</w:t>
      </w:r>
      <w:r>
        <w:t xml:space="preserve"> </w:t>
      </w:r>
      <w:r>
        <w:rPr>
          <w:rFonts w:hint="eastAsia"/>
        </w:rPr>
        <w:t>引入重点为同所有教育机构开展合作、及主张所有学生都参与的方法论的特有策略。</w:t>
      </w:r>
    </w:p>
    <w:p w:rsidR="00A2190D" w:rsidRDefault="00A2190D">
      <w:pPr>
        <w:pStyle w:val="SingleTxtGC"/>
      </w:pPr>
      <w:r>
        <w:t>144.</w:t>
      </w:r>
      <w:r>
        <w:rPr>
          <w:rFonts w:hint="eastAsia"/>
        </w:rPr>
        <w:t xml:space="preserve">  </w:t>
      </w:r>
      <w:r>
        <w:rPr>
          <w:rFonts w:hint="eastAsia"/>
        </w:rPr>
        <w:t>特殊教育资源数字中心有一个专门的会议空间，供对全纳教育话题感兴趣的人们使用。</w:t>
      </w:r>
      <w:r>
        <w:rPr>
          <w:rStyle w:val="FootnoteReference"/>
        </w:rPr>
        <w:footnoteReference w:id="32"/>
      </w:r>
      <w:r>
        <w:rPr>
          <w:rStyle w:val="FootnoteReference"/>
        </w:rPr>
        <w:t xml:space="preserve"> </w:t>
      </w:r>
      <w:r>
        <w:rPr>
          <w:rFonts w:hint="eastAsia"/>
        </w:rPr>
        <w:t>该中心倡议对教师、管理人员和技术顾问进行继续和长期的培训，并在行政管理方面提供支持。</w:t>
      </w:r>
    </w:p>
    <w:p w:rsidR="00A2190D" w:rsidRDefault="00A2190D">
      <w:pPr>
        <w:pStyle w:val="SingleTxtGC"/>
      </w:pPr>
      <w:r>
        <w:t>145.</w:t>
      </w:r>
      <w:r>
        <w:rPr>
          <w:rFonts w:hint="eastAsia"/>
        </w:rPr>
        <w:t xml:space="preserve">  </w:t>
      </w:r>
      <w:r>
        <w:rPr>
          <w:rFonts w:hint="eastAsia"/>
        </w:rPr>
        <w:t>另一个实质性计划则是目标为从普通和</w:t>
      </w:r>
      <w:r>
        <w:t>/</w:t>
      </w:r>
      <w:r>
        <w:rPr>
          <w:rFonts w:hint="eastAsia"/>
        </w:rPr>
        <w:t>或特殊学校的初始阶段就推行机会平等的全纳教育、根据实际情况促进残疾儿童在幼儿阶段的成长并帮助他们适应社会环境的《国家家庭全面发展系统未成年残疾人的全纳教育》。</w:t>
      </w:r>
      <w:r>
        <w:t>2010</w:t>
      </w:r>
      <w:r>
        <w:rPr>
          <w:rFonts w:hint="eastAsia"/>
        </w:rPr>
        <w:t>年，《全纳教育》计划惠及</w:t>
      </w:r>
      <w:r>
        <w:t>1</w:t>
      </w:r>
      <w:r>
        <w:rPr>
          <w:rFonts w:hint="eastAsia"/>
        </w:rPr>
        <w:t>,</w:t>
      </w:r>
      <w:r>
        <w:t>073</w:t>
      </w:r>
      <w:r>
        <w:rPr>
          <w:rFonts w:hint="eastAsia"/>
        </w:rPr>
        <w:t>名未成年残疾人</w:t>
      </w:r>
      <w:r>
        <w:rPr>
          <w:rFonts w:hint="eastAsia"/>
        </w:rPr>
        <w:t>(</w:t>
      </w:r>
      <w:r>
        <w:t>34%</w:t>
      </w:r>
      <w:r>
        <w:rPr>
          <w:rFonts w:hint="eastAsia"/>
        </w:rPr>
        <w:t>为女生，</w:t>
      </w:r>
      <w:r>
        <w:t>66%</w:t>
      </w:r>
      <w:r>
        <w:rPr>
          <w:rFonts w:hint="eastAsia"/>
        </w:rPr>
        <w:t>为男生；所有残疾学生中，</w:t>
      </w:r>
      <w:r>
        <w:t>36%</w:t>
      </w:r>
      <w:r>
        <w:rPr>
          <w:rFonts w:hint="eastAsia"/>
        </w:rPr>
        <w:t>就读于特殊学校，</w:t>
      </w:r>
      <w:r>
        <w:t>64%</w:t>
      </w:r>
      <w:r>
        <w:rPr>
          <w:rFonts w:hint="eastAsia"/>
        </w:rPr>
        <w:t>就读于普通学校</w:t>
      </w:r>
      <w:r>
        <w:rPr>
          <w:rFonts w:hint="eastAsia"/>
        </w:rPr>
        <w:t>)</w:t>
      </w:r>
      <w:r>
        <w:rPr>
          <w:rFonts w:hint="eastAsia"/>
        </w:rPr>
        <w:t>。同时，以康复和教育融合为目标的“盖比·布里莫”关爱、调研和培训模式国家中心作为全国唯一的这类机构，与国家家庭全面发展体系和公共教育部共同开展工作。</w:t>
      </w:r>
    </w:p>
    <w:p w:rsidR="00A2190D" w:rsidRDefault="00A2190D">
      <w:pPr>
        <w:pStyle w:val="SingleTxtGC"/>
      </w:pPr>
      <w:r>
        <w:t>146.</w:t>
      </w:r>
      <w:r>
        <w:rPr>
          <w:rFonts w:hint="eastAsia"/>
        </w:rPr>
        <w:t xml:space="preserve">  </w:t>
      </w:r>
      <w:r>
        <w:rPr>
          <w:rFonts w:hint="eastAsia"/>
        </w:rPr>
        <w:t>国家教育发展委员会的《社区教育融合计划》的目标是通过在课堂、社区和跨机构援助网络设施中开展行动，确保墨西哥最落后社区中学生的教育质量。</w:t>
      </w:r>
    </w:p>
    <w:p w:rsidR="00A2190D" w:rsidRDefault="00A2190D">
      <w:pPr>
        <w:pStyle w:val="SingleTxtGC"/>
        <w:rPr>
          <w:rStyle w:val="FootnoteReference"/>
        </w:rPr>
      </w:pPr>
      <w:r>
        <w:t>147.</w:t>
      </w:r>
      <w:r>
        <w:rPr>
          <w:rFonts w:hint="eastAsia"/>
        </w:rPr>
        <w:t xml:space="preserve">  </w:t>
      </w:r>
      <w:r>
        <w:rPr>
          <w:rFonts w:hint="eastAsia"/>
        </w:rPr>
        <w:t>国家免费课本委员会为小学一至六年级的学生印制和发放各种必要的盲文教材。</w:t>
      </w:r>
      <w:r>
        <w:rPr>
          <w:rStyle w:val="FootnoteReference"/>
        </w:rPr>
        <w:footnoteReference w:id="33"/>
      </w:r>
    </w:p>
    <w:p w:rsidR="00A2190D" w:rsidRDefault="00A2190D">
      <w:pPr>
        <w:pStyle w:val="SingleTxtGC"/>
      </w:pPr>
      <w:r>
        <w:t>148.</w:t>
      </w:r>
      <w:r>
        <w:rPr>
          <w:rFonts w:hint="eastAsia"/>
        </w:rPr>
        <w:t xml:space="preserve">  </w:t>
      </w:r>
      <w:r>
        <w:rPr>
          <w:rFonts w:hint="eastAsia"/>
        </w:rPr>
        <w:t>从</w:t>
      </w:r>
      <w:r>
        <w:t>2008</w:t>
      </w:r>
      <w:r>
        <w:rPr>
          <w:rFonts w:hint="eastAsia"/>
        </w:rPr>
        <w:t>年起，公共教育部开始筹划针对残疾学生的未入学中学毕业生项目。</w:t>
      </w:r>
      <w:r>
        <w:rPr>
          <w:rStyle w:val="FootnoteReference"/>
        </w:rPr>
        <w:footnoteReference w:id="34"/>
      </w:r>
      <w:r>
        <w:rPr>
          <w:rStyle w:val="FootnoteReference"/>
        </w:rPr>
        <w:t xml:space="preserve"> </w:t>
      </w:r>
      <w:r>
        <w:rPr>
          <w:rFonts w:hint="eastAsia"/>
        </w:rPr>
        <w:t>该项目是在为对完成学业时间或年龄进行限定的《公开预科规范》框架内的弹性学习模式下开展的。至</w:t>
      </w:r>
      <w:r>
        <w:t>2010</w:t>
      </w:r>
      <w:r>
        <w:rPr>
          <w:rFonts w:hint="eastAsia"/>
        </w:rPr>
        <w:t>年</w:t>
      </w:r>
      <w:r>
        <w:t>6</w:t>
      </w:r>
      <w:r>
        <w:rPr>
          <w:rFonts w:hint="eastAsia"/>
        </w:rPr>
        <w:t>月，该项目登记的学生来自</w:t>
      </w:r>
      <w:r>
        <w:t>46</w:t>
      </w:r>
      <w:r>
        <w:rPr>
          <w:rFonts w:hint="eastAsia"/>
        </w:rPr>
        <w:t>个关怀中心，登记人数上升至</w:t>
      </w:r>
      <w:r>
        <w:t>2</w:t>
      </w:r>
      <w:r>
        <w:rPr>
          <w:rFonts w:hint="eastAsia"/>
        </w:rPr>
        <w:t>,</w:t>
      </w:r>
      <w:r>
        <w:t>429</w:t>
      </w:r>
      <w:r>
        <w:rPr>
          <w:rFonts w:hint="eastAsia"/>
        </w:rPr>
        <w:t>人。</w:t>
      </w:r>
    </w:p>
    <w:p w:rsidR="00A2190D" w:rsidRDefault="00A2190D">
      <w:pPr>
        <w:pStyle w:val="SingleTxtGC"/>
      </w:pPr>
      <w:r>
        <w:t>149.</w:t>
      </w:r>
      <w:r>
        <w:rPr>
          <w:rFonts w:hint="eastAsia"/>
        </w:rPr>
        <w:t xml:space="preserve">  </w:t>
      </w:r>
      <w:r>
        <w:rPr>
          <w:rFonts w:hint="eastAsia"/>
        </w:rPr>
        <w:t>墨西哥有</w:t>
      </w:r>
      <w:r>
        <w:t>17</w:t>
      </w:r>
      <w:r>
        <w:rPr>
          <w:rFonts w:hint="eastAsia"/>
        </w:rPr>
        <w:t>所私立机构和</w:t>
      </w:r>
      <w:r>
        <w:t>46</w:t>
      </w:r>
      <w:r>
        <w:rPr>
          <w:rFonts w:hint="eastAsia"/>
        </w:rPr>
        <w:t>所公立机构共设立了</w:t>
      </w:r>
      <w:r>
        <w:t>113</w:t>
      </w:r>
      <w:r>
        <w:rPr>
          <w:rFonts w:hint="eastAsia"/>
        </w:rPr>
        <w:t>个旨在培养残疾人事务专业人才的硕士学位。其中，</w:t>
      </w:r>
      <w:r>
        <w:t>82</w:t>
      </w:r>
      <w:r>
        <w:rPr>
          <w:rFonts w:hint="eastAsia"/>
        </w:rPr>
        <w:t>个硕士学位由公立机构设立。</w:t>
      </w:r>
      <w:r>
        <w:t>58</w:t>
      </w:r>
      <w:r>
        <w:rPr>
          <w:rFonts w:hint="eastAsia"/>
        </w:rPr>
        <w:t>所师范院校同样开设了特殊教育硕士学位课程。</w:t>
      </w:r>
    </w:p>
    <w:p w:rsidR="00A2190D" w:rsidRDefault="00A2190D">
      <w:pPr>
        <w:pStyle w:val="SingleTxtGC"/>
      </w:pPr>
      <w:r>
        <w:t>150.</w:t>
      </w:r>
      <w:r>
        <w:rPr>
          <w:rFonts w:hint="eastAsia"/>
        </w:rPr>
        <w:t xml:space="preserve">  </w:t>
      </w:r>
      <w:r>
        <w:t>2009</w:t>
      </w:r>
      <w:r>
        <w:rPr>
          <w:rFonts w:hint="eastAsia"/>
        </w:rPr>
        <w:t>年，墨西哥第一次发布了“公开和远程高等教育体系”的通知。至</w:t>
      </w:r>
      <w:r>
        <w:t>2010</w:t>
      </w:r>
      <w:r>
        <w:rPr>
          <w:rFonts w:hint="eastAsia"/>
        </w:rPr>
        <w:t>年</w:t>
      </w:r>
      <w:r>
        <w:t>7</w:t>
      </w:r>
      <w:r>
        <w:rPr>
          <w:rFonts w:hint="eastAsia"/>
        </w:rPr>
        <w:t>月，该体系已注册了各个专业的</w:t>
      </w:r>
      <w:r>
        <w:t>11,072</w:t>
      </w:r>
      <w:r>
        <w:rPr>
          <w:rFonts w:hint="eastAsia"/>
        </w:rPr>
        <w:t>名公共科目学生，其中</w:t>
      </w:r>
      <w:r>
        <w:t>1.6%</w:t>
      </w:r>
      <w:r>
        <w:rPr>
          <w:rFonts w:hint="eastAsia"/>
        </w:rPr>
        <w:t>为视觉、肢体和听觉残疾人。在这些残疾学生中，</w:t>
      </w:r>
      <w:r>
        <w:t>92</w:t>
      </w:r>
      <w:r>
        <w:rPr>
          <w:rFonts w:hint="eastAsia"/>
        </w:rPr>
        <w:t>人为女性，</w:t>
      </w:r>
      <w:r>
        <w:t>94</w:t>
      </w:r>
      <w:r>
        <w:rPr>
          <w:rFonts w:hint="eastAsia"/>
        </w:rPr>
        <w:t>人为男性。</w:t>
      </w:r>
    </w:p>
    <w:p w:rsidR="00A2190D" w:rsidRDefault="00A2190D">
      <w:pPr>
        <w:pStyle w:val="SingleTxtGC"/>
      </w:pPr>
      <w:r>
        <w:t>151.</w:t>
      </w:r>
      <w:r>
        <w:rPr>
          <w:rFonts w:hint="eastAsia"/>
        </w:rPr>
        <w:t xml:space="preserve">  </w:t>
      </w:r>
      <w:r>
        <w:rPr>
          <w:rFonts w:hint="eastAsia"/>
        </w:rPr>
        <w:t>相应地，墨西哥全国共有</w:t>
      </w:r>
      <w:r>
        <w:t>134</w:t>
      </w:r>
      <w:r>
        <w:rPr>
          <w:rFonts w:hint="eastAsia"/>
        </w:rPr>
        <w:t>个配备了照顾残疾学生的软硬件基础设施、并在一定范围内实现无障碍通行的大学援助与就学中心。</w:t>
      </w:r>
    </w:p>
    <w:p w:rsidR="00A2190D" w:rsidRDefault="00A2190D">
      <w:pPr>
        <w:pStyle w:val="SingleTxtGC"/>
      </w:pPr>
      <w:r>
        <w:t>152.</w:t>
      </w:r>
      <w:r>
        <w:rPr>
          <w:rFonts w:hint="eastAsia"/>
        </w:rPr>
        <w:t xml:space="preserve">  </w:t>
      </w:r>
      <w:r>
        <w:rPr>
          <w:rFonts w:hint="eastAsia"/>
        </w:rPr>
        <w:t>国立理工学院共有</w:t>
      </w:r>
      <w:r>
        <w:t>2,037</w:t>
      </w:r>
      <w:r>
        <w:rPr>
          <w:rFonts w:hint="eastAsia"/>
        </w:rPr>
        <w:t>名残疾学生，而学习最优秀的残疾学生中</w:t>
      </w:r>
      <w:r>
        <w:t>65%</w:t>
      </w:r>
      <w:r>
        <w:rPr>
          <w:rFonts w:hint="eastAsia"/>
        </w:rPr>
        <w:t>为男性，</w:t>
      </w:r>
      <w:r>
        <w:t>72%</w:t>
      </w:r>
      <w:r>
        <w:rPr>
          <w:rFonts w:hint="eastAsia"/>
        </w:rPr>
        <w:t>为视觉残疾人。</w:t>
      </w:r>
    </w:p>
    <w:p w:rsidR="00A2190D" w:rsidRDefault="00A2190D">
      <w:pPr>
        <w:pStyle w:val="SingleTxtGC"/>
      </w:pPr>
      <w:r>
        <w:t>153.</w:t>
      </w:r>
      <w:r>
        <w:rPr>
          <w:rFonts w:hint="eastAsia"/>
        </w:rPr>
        <w:t xml:space="preserve">  </w:t>
      </w:r>
      <w:r>
        <w:rPr>
          <w:rFonts w:hint="eastAsia"/>
        </w:rPr>
        <w:t>在州一级，国家康复研究所和新莱昂州有过“我们在医院中继续学习……”项目；科利马州为教师举办过墨西哥手语讲堂；恰帕斯州制定过“无障碍学习、计划、建筑和设施的规范和标准”</w:t>
      </w:r>
      <w:r>
        <w:rPr>
          <w:rFonts w:hint="eastAsia"/>
        </w:rPr>
        <w:t>(</w:t>
      </w:r>
      <w:r>
        <w:rPr>
          <w:rFonts w:hint="eastAsia"/>
        </w:rPr>
        <w:t>请参见第</w:t>
      </w:r>
      <w:r>
        <w:t>31</w:t>
      </w:r>
      <w:r>
        <w:rPr>
          <w:rFonts w:hint="eastAsia"/>
        </w:rPr>
        <w:t>号附件</w:t>
      </w:r>
      <w:r>
        <w:rPr>
          <w:rFonts w:hint="eastAsia"/>
        </w:rPr>
        <w:t>)</w:t>
      </w:r>
      <w:r>
        <w:rPr>
          <w:rFonts w:hint="eastAsia"/>
        </w:rPr>
        <w:t>。</w:t>
      </w:r>
    </w:p>
    <w:p w:rsidR="00A2190D" w:rsidRDefault="00A2190D">
      <w:pPr>
        <w:pStyle w:val="SingleTxtGC"/>
      </w:pPr>
      <w:r>
        <w:t>154.</w:t>
      </w:r>
      <w:r>
        <w:rPr>
          <w:rFonts w:hint="eastAsia"/>
        </w:rPr>
        <w:t xml:space="preserve">  </w:t>
      </w:r>
      <w:r>
        <w:t>2005</w:t>
      </w:r>
      <w:r>
        <w:rPr>
          <w:rFonts w:hint="eastAsia"/>
        </w:rPr>
        <w:t>年，国家成人教育研究所和国家生活与工作教育委员会启动了“让电脑说话”战略，其目的是增加视觉残疾人接受基础教育、中高等教育、职业教育、科技扫盲课程和生活课程的入学和毕业机会及学习时间。</w:t>
      </w:r>
    </w:p>
    <w:p w:rsidR="00A2190D" w:rsidRDefault="00A2190D">
      <w:pPr>
        <w:pStyle w:val="SingleTxtGC"/>
      </w:pPr>
      <w:r>
        <w:t>155.</w:t>
      </w:r>
      <w:r>
        <w:rPr>
          <w:rFonts w:hint="eastAsia"/>
        </w:rPr>
        <w:t xml:space="preserve">  </w:t>
      </w:r>
      <w:r>
        <w:rPr>
          <w:rFonts w:hint="eastAsia"/>
        </w:rPr>
        <w:t>国家成人教育研究所制定了残疾人融入计划，希望使视觉和肢体残疾人通过生活与工作教育模式的各种课程完成基础教育。</w:t>
      </w:r>
    </w:p>
    <w:p w:rsidR="00A2190D" w:rsidRDefault="00A2190D">
      <w:pPr>
        <w:pStyle w:val="SingleTxtGC"/>
      </w:pPr>
      <w:r>
        <w:t>156.</w:t>
      </w:r>
      <w:r>
        <w:rPr>
          <w:rFonts w:hint="eastAsia"/>
        </w:rPr>
        <w:t xml:space="preserve">  </w:t>
      </w:r>
      <w:r>
        <w:rPr>
          <w:rFonts w:hint="eastAsia"/>
        </w:rPr>
        <w:t>在《成年残疾人和教育滞后家庭虚拟学习中心协议》中，国家成人教育研究所和国家家庭全面发展体系承诺对残疾人进行照顾。签订该协议后，国家成人教育研究所在分布于墨西哥</w:t>
      </w:r>
      <w:r>
        <w:t>7</w:t>
      </w:r>
      <w:r>
        <w:rPr>
          <w:rFonts w:hint="eastAsia"/>
        </w:rPr>
        <w:t>个州的</w:t>
      </w:r>
      <w:r>
        <w:t>7</w:t>
      </w:r>
      <w:r>
        <w:rPr>
          <w:rFonts w:hint="eastAsia"/>
        </w:rPr>
        <w:t>个国家家庭全面发展体系综合康复中心里设立了</w:t>
      </w:r>
      <w:r>
        <w:t>20</w:t>
      </w:r>
      <w:r>
        <w:rPr>
          <w:rFonts w:hint="eastAsia"/>
        </w:rPr>
        <w:t>个社区广场。通过该计划，平均每月有</w:t>
      </w:r>
      <w:r>
        <w:t>1,854</w:t>
      </w:r>
      <w:r>
        <w:rPr>
          <w:rFonts w:hint="eastAsia"/>
        </w:rPr>
        <w:t>名残疾人及其家属得到照顾。</w:t>
      </w:r>
    </w:p>
    <w:p w:rsidR="00A2190D" w:rsidRDefault="00A2190D">
      <w:pPr>
        <w:pStyle w:val="SingleTxtGC"/>
      </w:pPr>
      <w:r>
        <w:t>157.</w:t>
      </w:r>
      <w:r>
        <w:rPr>
          <w:rFonts w:hint="eastAsia"/>
        </w:rPr>
        <w:t xml:space="preserve">  </w:t>
      </w:r>
      <w:r>
        <w:t>2008</w:t>
      </w:r>
      <w:r>
        <w:rPr>
          <w:rFonts w:hint="eastAsia"/>
        </w:rPr>
        <w:t>年，国家成人教育研究所与国家互助基金签订协议，由国家成人教育研究所从</w:t>
      </w:r>
      <w:r>
        <w:t>2009</w:t>
      </w:r>
      <w:r>
        <w:rPr>
          <w:rFonts w:hint="eastAsia"/>
        </w:rPr>
        <w:t>年起参加全国残疾社会企业家大会，并倡导针对残疾人的教育服务。</w:t>
      </w:r>
    </w:p>
    <w:p w:rsidR="00A2190D" w:rsidRDefault="00A2190D">
      <w:pPr>
        <w:pStyle w:val="H1GC"/>
      </w:pPr>
      <w:r>
        <w:tab/>
      </w:r>
      <w:r>
        <w:tab/>
      </w:r>
      <w:r>
        <w:rPr>
          <w:rFonts w:hint="eastAsia"/>
        </w:rPr>
        <w:t>第二十五条</w:t>
      </w:r>
      <w:r>
        <w:br/>
      </w:r>
      <w:r>
        <w:rPr>
          <w:rFonts w:hint="eastAsia"/>
        </w:rPr>
        <w:t>健康</w:t>
      </w:r>
    </w:p>
    <w:p w:rsidR="00A2190D" w:rsidRDefault="00A2190D">
      <w:pPr>
        <w:pStyle w:val="SingleTxtGC"/>
        <w:rPr>
          <w:rStyle w:val="FootnoteReference"/>
        </w:rPr>
      </w:pPr>
      <w:r>
        <w:t>158.</w:t>
      </w:r>
      <w:r>
        <w:rPr>
          <w:rFonts w:hint="eastAsia"/>
        </w:rPr>
        <w:t xml:space="preserve">  </w:t>
      </w:r>
      <w:r>
        <w:rPr>
          <w:rFonts w:hint="eastAsia"/>
        </w:rPr>
        <w:t>《墨西哥合众国政治宪法》第</w:t>
      </w:r>
      <w:r>
        <w:t>4</w:t>
      </w:r>
      <w:r>
        <w:rPr>
          <w:rFonts w:hint="eastAsia"/>
        </w:rPr>
        <w:t>条规定了保护健康的权利。</w:t>
      </w:r>
      <w:r>
        <w:rPr>
          <w:rStyle w:val="FootnoteReference"/>
        </w:rPr>
        <w:footnoteReference w:id="35"/>
      </w:r>
    </w:p>
    <w:p w:rsidR="00A2190D" w:rsidRDefault="00A2190D">
      <w:pPr>
        <w:pStyle w:val="SingleTxtGC"/>
      </w:pPr>
      <w:r>
        <w:t>159.</w:t>
      </w:r>
      <w:r>
        <w:rPr>
          <w:rFonts w:hint="eastAsia"/>
        </w:rPr>
        <w:t xml:space="preserve">  </w:t>
      </w:r>
      <w:r>
        <w:rPr>
          <w:rFonts w:hint="eastAsia"/>
        </w:rPr>
        <w:t>《国家健康计划</w:t>
      </w:r>
      <w:r>
        <w:rPr>
          <w:rFonts w:hint="eastAsia"/>
        </w:rPr>
        <w:t>(</w:t>
      </w:r>
      <w:r>
        <w:t>2007-2012</w:t>
      </w:r>
      <w:r>
        <w:rPr>
          <w:rFonts w:hint="eastAsia"/>
        </w:rPr>
        <w:t>年</w:t>
      </w:r>
      <w:r>
        <w:rPr>
          <w:rFonts w:hint="eastAsia"/>
        </w:rPr>
        <w:t>)</w:t>
      </w:r>
      <w:r>
        <w:rPr>
          <w:rFonts w:hint="eastAsia"/>
        </w:rPr>
        <w:t>》将加强对残疾人的关怀、照顾和全面康复。此外，《残疾人健康全面关怀专题行动计划</w:t>
      </w:r>
      <w:r>
        <w:rPr>
          <w:rFonts w:hint="eastAsia"/>
        </w:rPr>
        <w:t>(</w:t>
      </w:r>
      <w:r>
        <w:t>2007-2012</w:t>
      </w:r>
      <w:r>
        <w:rPr>
          <w:rFonts w:hint="eastAsia"/>
        </w:rPr>
        <w:t>年</w:t>
      </w:r>
      <w:r>
        <w:rPr>
          <w:rFonts w:hint="eastAsia"/>
        </w:rPr>
        <w:t>)</w:t>
      </w:r>
      <w:r>
        <w:rPr>
          <w:rFonts w:hint="eastAsia"/>
        </w:rPr>
        <w:t>》的总体目标是在不歧视的情况下，帮助残疾人享受可能获得的最高等级的健康权。</w:t>
      </w:r>
    </w:p>
    <w:p w:rsidR="00A2190D" w:rsidRDefault="00A2190D">
      <w:pPr>
        <w:pStyle w:val="SingleTxtGC"/>
        <w:rPr>
          <w:rStyle w:val="FootnoteReference"/>
        </w:rPr>
      </w:pPr>
      <w:r>
        <w:t>160.</w:t>
      </w:r>
      <w:r>
        <w:rPr>
          <w:rFonts w:hint="eastAsia"/>
        </w:rPr>
        <w:t xml:space="preserve">  </w:t>
      </w:r>
      <w:r>
        <w:rPr>
          <w:rFonts w:hint="eastAsia"/>
        </w:rPr>
        <w:t>卫生部制定了《新生儿听力筛查和早期干预计划》，并在《城外手术实行方案》内进行了</w:t>
      </w:r>
      <w:r>
        <w:t>20,449</w:t>
      </w:r>
      <w:r>
        <w:rPr>
          <w:rFonts w:hint="eastAsia"/>
        </w:rPr>
        <w:t>次手术，其中需要强调的有白内障、翼状胬肉和斜视手术。</w:t>
      </w:r>
      <w:r>
        <w:rPr>
          <w:rStyle w:val="FootnoteReference"/>
        </w:rPr>
        <w:footnoteReference w:id="36"/>
      </w:r>
    </w:p>
    <w:p w:rsidR="00A2190D" w:rsidRDefault="00A2190D">
      <w:pPr>
        <w:pStyle w:val="SingleTxtGC"/>
      </w:pPr>
      <w:r>
        <w:t>161.</w:t>
      </w:r>
      <w:r>
        <w:rPr>
          <w:rFonts w:hint="eastAsia"/>
        </w:rPr>
        <w:t xml:space="preserve">  </w:t>
      </w:r>
      <w:r>
        <w:rPr>
          <w:rFonts w:hint="eastAsia"/>
        </w:rPr>
        <w:t>《残疾人关怀方案》的目标是通过集中干预、提供关怀和康复服务、制定州级和市级家庭全面发展体系及倡导残疾人社会发展的民间社会组织的规划，力求减少残疾人在健康方面的差距或不平等。</w:t>
      </w:r>
    </w:p>
    <w:p w:rsidR="00A2190D" w:rsidRDefault="00A2190D">
      <w:pPr>
        <w:pStyle w:val="SingleTxtGC"/>
      </w:pPr>
      <w:r>
        <w:t>162.</w:t>
      </w:r>
      <w:r>
        <w:rPr>
          <w:rFonts w:hint="eastAsia"/>
        </w:rPr>
        <w:t xml:space="preserve">  </w:t>
      </w:r>
      <w:r>
        <w:rPr>
          <w:rFonts w:hint="eastAsia"/>
        </w:rPr>
        <w:t>国家家庭全面发展体系汇编了一份名为《面向肢体残疾人及其家庭的社会模式；</w:t>
      </w:r>
      <w:r>
        <w:t>20</w:t>
      </w:r>
      <w:r>
        <w:rPr>
          <w:rFonts w:hint="eastAsia"/>
        </w:rPr>
        <w:t>家国家家庭全面发展体系机构和民间社会组织中的最佳恢复实践》的文件，并通过该文件复制和优化州、市两级家庭全面发展体系和关怀中心及民间社会组织最成功的关怀模式和做法。</w:t>
      </w:r>
    </w:p>
    <w:p w:rsidR="00A2190D" w:rsidRDefault="00A2190D">
      <w:pPr>
        <w:pStyle w:val="SingleTxtGC"/>
      </w:pPr>
      <w:r>
        <w:t>163.</w:t>
      </w:r>
      <w:r>
        <w:rPr>
          <w:rFonts w:hint="eastAsia"/>
        </w:rPr>
        <w:t xml:space="preserve">  </w:t>
      </w:r>
      <w:r>
        <w:rPr>
          <w:rFonts w:hint="eastAsia"/>
        </w:rPr>
        <w:t>旨在向残疾人提供更好服务的机构基础设施强化措施使得墨西哥社会保障局的服务使用数量有所上升。</w:t>
      </w:r>
      <w:r>
        <w:t>2009</w:t>
      </w:r>
      <w:r>
        <w:rPr>
          <w:rFonts w:hint="eastAsia"/>
        </w:rPr>
        <w:t>年的报告得出下列数据：</w:t>
      </w:r>
    </w:p>
    <w:tbl>
      <w:tblPr>
        <w:tblW w:w="7370" w:type="dxa"/>
        <w:tblInd w:w="1134" w:type="dxa"/>
        <w:tblLayout w:type="fixed"/>
        <w:tblCellMar>
          <w:left w:w="0" w:type="dxa"/>
          <w:right w:w="0" w:type="dxa"/>
        </w:tblCellMar>
        <w:tblLook w:val="01E0"/>
      </w:tblPr>
      <w:tblGrid>
        <w:gridCol w:w="4952"/>
        <w:gridCol w:w="2418"/>
      </w:tblGrid>
      <w:tr w:rsidR="00A2190D">
        <w:tc>
          <w:tcPr>
            <w:tcW w:w="4952" w:type="dxa"/>
            <w:tcBorders>
              <w:top w:val="single" w:sz="4" w:space="0" w:color="auto"/>
              <w:bottom w:val="single" w:sz="12" w:space="0" w:color="auto"/>
            </w:tcBorders>
            <w:shd w:val="clear" w:color="auto" w:fill="auto"/>
            <w:vAlign w:val="bottom"/>
          </w:tcPr>
          <w:p w:rsidR="00A2190D" w:rsidRDefault="00A2190D">
            <w:pPr>
              <w:pStyle w:val="a2"/>
              <w:pageBreakBefore/>
              <w:ind w:right="0"/>
              <w:rPr>
                <w:rFonts w:hint="eastAsia"/>
              </w:rPr>
            </w:pPr>
            <w:r>
              <w:rPr>
                <w:rFonts w:hint="eastAsia"/>
                <w:lang w:val="zh-CN"/>
              </w:rPr>
              <w:t>行动</w:t>
            </w:r>
          </w:p>
        </w:tc>
        <w:tc>
          <w:tcPr>
            <w:tcW w:w="2418" w:type="dxa"/>
            <w:tcBorders>
              <w:top w:val="single" w:sz="4" w:space="0" w:color="auto"/>
              <w:bottom w:val="single" w:sz="12" w:space="0" w:color="auto"/>
            </w:tcBorders>
            <w:shd w:val="clear" w:color="auto" w:fill="auto"/>
            <w:vAlign w:val="bottom"/>
          </w:tcPr>
          <w:p w:rsidR="00A2190D" w:rsidRDefault="00A2190D">
            <w:pPr>
              <w:pStyle w:val="a2"/>
              <w:ind w:right="0"/>
              <w:jc w:val="right"/>
              <w:rPr>
                <w:rFonts w:hint="eastAsia"/>
              </w:rPr>
            </w:pPr>
            <w:r>
              <w:rPr>
                <w:rFonts w:hint="eastAsia"/>
                <w:lang w:val="zh-CN"/>
              </w:rPr>
              <w:t>数量</w:t>
            </w:r>
          </w:p>
        </w:tc>
      </w:tr>
      <w:tr w:rsidR="00A2190D">
        <w:tc>
          <w:tcPr>
            <w:tcW w:w="4952" w:type="dxa"/>
            <w:tcBorders>
              <w:top w:val="single" w:sz="12" w:space="0" w:color="auto"/>
            </w:tcBorders>
            <w:shd w:val="clear" w:color="auto" w:fill="auto"/>
          </w:tcPr>
          <w:p w:rsidR="00A2190D" w:rsidRDefault="00A2190D">
            <w:pPr>
              <w:pStyle w:val="a7"/>
              <w:rPr>
                <w:rFonts w:hint="eastAsia"/>
              </w:rPr>
            </w:pPr>
            <w:r>
              <w:rPr>
                <w:rFonts w:hint="eastAsia"/>
                <w:lang w:val="zh-CN"/>
              </w:rPr>
              <w:t>医疗咨询</w:t>
            </w:r>
          </w:p>
        </w:tc>
        <w:tc>
          <w:tcPr>
            <w:tcW w:w="2418" w:type="dxa"/>
            <w:tcBorders>
              <w:top w:val="single" w:sz="12" w:space="0" w:color="auto"/>
            </w:tcBorders>
            <w:shd w:val="clear" w:color="auto" w:fill="auto"/>
          </w:tcPr>
          <w:p w:rsidR="00A2190D" w:rsidRDefault="00A2190D">
            <w:pPr>
              <w:pStyle w:val="a7"/>
              <w:ind w:right="0"/>
              <w:jc w:val="right"/>
            </w:pPr>
            <w:r>
              <w:t>7 980 679</w:t>
            </w:r>
          </w:p>
        </w:tc>
      </w:tr>
      <w:tr w:rsidR="00A2190D">
        <w:tc>
          <w:tcPr>
            <w:tcW w:w="4952" w:type="dxa"/>
            <w:shd w:val="clear" w:color="auto" w:fill="auto"/>
          </w:tcPr>
          <w:p w:rsidR="00A2190D" w:rsidRDefault="00A2190D">
            <w:pPr>
              <w:pStyle w:val="a7"/>
              <w:rPr>
                <w:rFonts w:hint="eastAsia"/>
              </w:rPr>
            </w:pPr>
            <w:r>
              <w:rPr>
                <w:rFonts w:hint="eastAsia"/>
                <w:lang w:val="zh-CN"/>
              </w:rPr>
              <w:t>肌电图研究</w:t>
            </w:r>
          </w:p>
        </w:tc>
        <w:tc>
          <w:tcPr>
            <w:tcW w:w="2418" w:type="dxa"/>
            <w:shd w:val="clear" w:color="auto" w:fill="auto"/>
          </w:tcPr>
          <w:p w:rsidR="00A2190D" w:rsidRDefault="00A2190D">
            <w:pPr>
              <w:pStyle w:val="a7"/>
              <w:ind w:right="0"/>
              <w:jc w:val="right"/>
            </w:pPr>
            <w:r>
              <w:t>74 159</w:t>
            </w:r>
          </w:p>
        </w:tc>
      </w:tr>
      <w:tr w:rsidR="00A2190D">
        <w:tc>
          <w:tcPr>
            <w:tcW w:w="4952" w:type="dxa"/>
            <w:shd w:val="clear" w:color="auto" w:fill="auto"/>
          </w:tcPr>
          <w:p w:rsidR="00A2190D" w:rsidRDefault="00A2190D">
            <w:pPr>
              <w:pStyle w:val="a7"/>
              <w:rPr>
                <w:rFonts w:hint="eastAsia"/>
              </w:rPr>
            </w:pPr>
            <w:r>
              <w:rPr>
                <w:rFonts w:hint="eastAsia"/>
                <w:lang w:val="zh-CN"/>
              </w:rPr>
              <w:t>诱发电位研究</w:t>
            </w:r>
          </w:p>
        </w:tc>
        <w:tc>
          <w:tcPr>
            <w:tcW w:w="2418" w:type="dxa"/>
            <w:shd w:val="clear" w:color="auto" w:fill="auto"/>
          </w:tcPr>
          <w:p w:rsidR="00A2190D" w:rsidRDefault="00A2190D">
            <w:pPr>
              <w:pStyle w:val="a7"/>
              <w:ind w:right="0"/>
              <w:jc w:val="right"/>
            </w:pPr>
            <w:r>
              <w:t>14 007</w:t>
            </w:r>
          </w:p>
        </w:tc>
      </w:tr>
      <w:tr w:rsidR="00A2190D">
        <w:tc>
          <w:tcPr>
            <w:tcW w:w="4952" w:type="dxa"/>
            <w:shd w:val="clear" w:color="auto" w:fill="auto"/>
          </w:tcPr>
          <w:p w:rsidR="00A2190D" w:rsidRDefault="00A2190D">
            <w:pPr>
              <w:pStyle w:val="a7"/>
              <w:rPr>
                <w:rFonts w:hint="eastAsia"/>
              </w:rPr>
            </w:pPr>
            <w:r>
              <w:rPr>
                <w:rFonts w:hint="eastAsia"/>
                <w:lang w:val="zh-CN"/>
              </w:rPr>
              <w:t>职业再教育场次</w:t>
            </w:r>
          </w:p>
        </w:tc>
        <w:tc>
          <w:tcPr>
            <w:tcW w:w="2418" w:type="dxa"/>
            <w:shd w:val="clear" w:color="auto" w:fill="auto"/>
          </w:tcPr>
          <w:p w:rsidR="00A2190D" w:rsidRDefault="00A2190D">
            <w:pPr>
              <w:pStyle w:val="a7"/>
              <w:ind w:right="0"/>
              <w:jc w:val="right"/>
            </w:pPr>
            <w:r>
              <w:t>51 127</w:t>
            </w:r>
          </w:p>
        </w:tc>
      </w:tr>
      <w:tr w:rsidR="00A2190D">
        <w:tc>
          <w:tcPr>
            <w:tcW w:w="4952" w:type="dxa"/>
            <w:shd w:val="clear" w:color="auto" w:fill="auto"/>
          </w:tcPr>
          <w:p w:rsidR="00A2190D" w:rsidRDefault="00A2190D">
            <w:pPr>
              <w:pStyle w:val="a7"/>
              <w:rPr>
                <w:rFonts w:hint="eastAsia"/>
              </w:rPr>
            </w:pPr>
            <w:r>
              <w:rPr>
                <w:rFonts w:hint="eastAsia"/>
                <w:lang w:val="zh-CN"/>
              </w:rPr>
              <w:t>言语治疗</w:t>
            </w:r>
          </w:p>
        </w:tc>
        <w:tc>
          <w:tcPr>
            <w:tcW w:w="2418" w:type="dxa"/>
            <w:shd w:val="clear" w:color="auto" w:fill="auto"/>
          </w:tcPr>
          <w:p w:rsidR="00A2190D" w:rsidRDefault="00A2190D">
            <w:pPr>
              <w:pStyle w:val="a7"/>
              <w:ind w:right="0"/>
              <w:jc w:val="right"/>
            </w:pPr>
            <w:r>
              <w:t>94 120</w:t>
            </w:r>
          </w:p>
        </w:tc>
      </w:tr>
      <w:tr w:rsidR="00A2190D">
        <w:tc>
          <w:tcPr>
            <w:tcW w:w="4952" w:type="dxa"/>
            <w:shd w:val="clear" w:color="auto" w:fill="auto"/>
          </w:tcPr>
          <w:p w:rsidR="00A2190D" w:rsidRDefault="00A2190D">
            <w:pPr>
              <w:pStyle w:val="a7"/>
              <w:rPr>
                <w:rFonts w:hint="eastAsia"/>
              </w:rPr>
            </w:pPr>
            <w:r>
              <w:rPr>
                <w:rFonts w:hint="eastAsia"/>
                <w:lang w:val="zh-CN"/>
              </w:rPr>
              <w:t>职能治疗</w:t>
            </w:r>
          </w:p>
        </w:tc>
        <w:tc>
          <w:tcPr>
            <w:tcW w:w="2418" w:type="dxa"/>
            <w:shd w:val="clear" w:color="auto" w:fill="auto"/>
          </w:tcPr>
          <w:p w:rsidR="00A2190D" w:rsidRDefault="00A2190D">
            <w:pPr>
              <w:pStyle w:val="a7"/>
              <w:ind w:right="0"/>
              <w:jc w:val="right"/>
            </w:pPr>
            <w:r>
              <w:t>942 789</w:t>
            </w:r>
          </w:p>
        </w:tc>
      </w:tr>
      <w:tr w:rsidR="00A2190D">
        <w:tc>
          <w:tcPr>
            <w:tcW w:w="4952" w:type="dxa"/>
            <w:shd w:val="clear" w:color="auto" w:fill="auto"/>
          </w:tcPr>
          <w:p w:rsidR="00A2190D" w:rsidRDefault="00A2190D">
            <w:pPr>
              <w:pStyle w:val="a7"/>
              <w:rPr>
                <w:rFonts w:hint="eastAsia"/>
              </w:rPr>
            </w:pPr>
            <w:r>
              <w:rPr>
                <w:rFonts w:hint="eastAsia"/>
                <w:lang w:val="zh-CN"/>
              </w:rPr>
              <w:t>娱乐治疗</w:t>
            </w:r>
          </w:p>
        </w:tc>
        <w:tc>
          <w:tcPr>
            <w:tcW w:w="2418" w:type="dxa"/>
            <w:shd w:val="clear" w:color="auto" w:fill="auto"/>
          </w:tcPr>
          <w:p w:rsidR="00A2190D" w:rsidRDefault="00A2190D">
            <w:pPr>
              <w:pStyle w:val="a7"/>
              <w:ind w:right="0"/>
              <w:jc w:val="right"/>
            </w:pPr>
            <w:r>
              <w:t>23 607</w:t>
            </w:r>
          </w:p>
        </w:tc>
      </w:tr>
      <w:tr w:rsidR="00A2190D">
        <w:tc>
          <w:tcPr>
            <w:tcW w:w="4952" w:type="dxa"/>
            <w:tcBorders>
              <w:bottom w:val="single" w:sz="12" w:space="0" w:color="auto"/>
            </w:tcBorders>
            <w:shd w:val="clear" w:color="auto" w:fill="auto"/>
          </w:tcPr>
          <w:p w:rsidR="00A2190D" w:rsidRDefault="00A2190D">
            <w:pPr>
              <w:pStyle w:val="a7"/>
              <w:rPr>
                <w:rFonts w:hint="eastAsia"/>
              </w:rPr>
            </w:pPr>
            <w:r>
              <w:rPr>
                <w:rFonts w:hint="eastAsia"/>
                <w:lang w:val="zh-CN"/>
              </w:rPr>
              <w:t>理疗</w:t>
            </w:r>
          </w:p>
        </w:tc>
        <w:tc>
          <w:tcPr>
            <w:tcW w:w="2418" w:type="dxa"/>
            <w:tcBorders>
              <w:bottom w:val="single" w:sz="12" w:space="0" w:color="auto"/>
            </w:tcBorders>
            <w:shd w:val="clear" w:color="auto" w:fill="auto"/>
          </w:tcPr>
          <w:p w:rsidR="00A2190D" w:rsidRDefault="00A2190D">
            <w:pPr>
              <w:pStyle w:val="a7"/>
              <w:ind w:right="0"/>
              <w:jc w:val="right"/>
            </w:pPr>
            <w:r>
              <w:t>7 646 196</w:t>
            </w:r>
          </w:p>
        </w:tc>
      </w:tr>
    </w:tbl>
    <w:p w:rsidR="00A2190D" w:rsidRDefault="00A2190D">
      <w:pPr>
        <w:pStyle w:val="SingleTxtGC"/>
        <w:spacing w:after="0" w:line="200" w:lineRule="exact"/>
        <w:rPr>
          <w:lang w:val="es-MX" w:eastAsia="en-US"/>
        </w:rPr>
      </w:pPr>
    </w:p>
    <w:p w:rsidR="00A2190D" w:rsidRDefault="00A2190D">
      <w:pPr>
        <w:pStyle w:val="SingleTxtGC"/>
      </w:pPr>
      <w:r>
        <w:t>164.</w:t>
      </w:r>
      <w:r>
        <w:rPr>
          <w:rFonts w:hint="eastAsia"/>
        </w:rPr>
        <w:t xml:space="preserve">  </w:t>
      </w:r>
      <w:r>
        <w:rPr>
          <w:rFonts w:hint="eastAsia"/>
        </w:rPr>
        <w:t>为履行《千年发展目标》中的第四项，劳动者社会保障与服务国家委员会从</w:t>
      </w:r>
      <w:r>
        <w:t>2008</w:t>
      </w:r>
      <w:r>
        <w:rPr>
          <w:rFonts w:hint="eastAsia"/>
        </w:rPr>
        <w:t>年开始扩大新生儿疾病筛查的范围。为履行《千年发展目标》中的第五和第六项，墨西哥在《生命平等开端行动计划》的基础上制定了《初级保健中的产前护理计划》，同时还制定了《防止艾滋病毒感染计划》和《健康老龄化机构计划》。</w:t>
      </w:r>
    </w:p>
    <w:p w:rsidR="00A2190D" w:rsidRDefault="00A2190D">
      <w:pPr>
        <w:pStyle w:val="SingleTxtGC"/>
      </w:pPr>
      <w:r>
        <w:t>165.</w:t>
      </w:r>
      <w:r>
        <w:rPr>
          <w:rFonts w:hint="eastAsia"/>
        </w:rPr>
        <w:t xml:space="preserve">  </w:t>
      </w:r>
      <w:r>
        <w:rPr>
          <w:rFonts w:hint="eastAsia"/>
        </w:rPr>
        <w:t>大众保险主要向所有因工作条件所限无法获得社会医疗保险、且提出申请的墨西哥人提供医疗卫生方面的资助，并重点关注最弱势人群。截至</w:t>
      </w:r>
      <w:r>
        <w:t>2010</w:t>
      </w:r>
      <w:r>
        <w:rPr>
          <w:rFonts w:hint="eastAsia"/>
        </w:rPr>
        <w:t>年</w:t>
      </w:r>
      <w:r>
        <w:t>6</w:t>
      </w:r>
      <w:r>
        <w:rPr>
          <w:rFonts w:hint="eastAsia"/>
        </w:rPr>
        <w:t>月，共有</w:t>
      </w:r>
      <w:r>
        <w:t>277,121</w:t>
      </w:r>
      <w:r>
        <w:rPr>
          <w:rFonts w:hint="eastAsia"/>
        </w:rPr>
        <w:t>名残疾人加入了大众保险。</w:t>
      </w:r>
    </w:p>
    <w:p w:rsidR="00A2190D" w:rsidRDefault="00A2190D">
      <w:pPr>
        <w:pStyle w:val="SingleTxtGC"/>
      </w:pPr>
      <w:r>
        <w:t>166.</w:t>
      </w:r>
      <w:r>
        <w:rPr>
          <w:rFonts w:hint="eastAsia"/>
        </w:rPr>
        <w:t xml:space="preserve">  </w:t>
      </w:r>
      <w:r>
        <w:t>2008</w:t>
      </w:r>
      <w:r>
        <w:rPr>
          <w:rFonts w:hint="eastAsia"/>
        </w:rPr>
        <w:t>年，国防部的医疗援助体系共收治了</w:t>
      </w:r>
      <w:r>
        <w:t>352,277</w:t>
      </w:r>
      <w:r>
        <w:rPr>
          <w:rFonts w:hint="eastAsia"/>
        </w:rPr>
        <w:t>名理疗和康复患者。</w:t>
      </w:r>
      <w:r>
        <w:t>2009</w:t>
      </w:r>
      <w:r>
        <w:rPr>
          <w:rFonts w:hint="eastAsia"/>
        </w:rPr>
        <w:t>年和</w:t>
      </w:r>
      <w:r>
        <w:t>2010</w:t>
      </w:r>
      <w:r>
        <w:rPr>
          <w:rFonts w:hint="eastAsia"/>
        </w:rPr>
        <w:t>年又分别收治了</w:t>
      </w:r>
      <w:r>
        <w:t>471,283</w:t>
      </w:r>
      <w:r>
        <w:rPr>
          <w:rFonts w:hint="eastAsia"/>
        </w:rPr>
        <w:t>名和</w:t>
      </w:r>
      <w:r>
        <w:t>45,716</w:t>
      </w:r>
      <w:r>
        <w:rPr>
          <w:rFonts w:hint="eastAsia"/>
        </w:rPr>
        <w:t>名这类患者。其中，</w:t>
      </w:r>
      <w:r>
        <w:t>7,449</w:t>
      </w:r>
      <w:r>
        <w:rPr>
          <w:rFonts w:hint="eastAsia"/>
        </w:rPr>
        <w:t>名为残疾人。</w:t>
      </w:r>
    </w:p>
    <w:p w:rsidR="00A2190D" w:rsidRDefault="00A2190D">
      <w:pPr>
        <w:pStyle w:val="SingleTxtGC"/>
      </w:pPr>
      <w:r>
        <w:t>167</w:t>
      </w:r>
      <w:r>
        <w:rPr>
          <w:rFonts w:hint="eastAsia"/>
        </w:rPr>
        <w:t xml:space="preserve">  </w:t>
      </w:r>
      <w:r>
        <w:rPr>
          <w:rFonts w:hint="eastAsia"/>
        </w:rPr>
        <w:t>国家康复研究所协调卫生部门的不同机构对收治的理疗和综合康复残疾患者提供免费治疗，或根据相关部门的社会经济学研究收取最低费用。</w:t>
      </w:r>
    </w:p>
    <w:p w:rsidR="00A2190D" w:rsidRDefault="00A2190D">
      <w:pPr>
        <w:pStyle w:val="SingleTxtGC"/>
      </w:pPr>
      <w:r>
        <w:t>168.</w:t>
      </w:r>
      <w:r>
        <w:rPr>
          <w:rFonts w:hint="eastAsia"/>
        </w:rPr>
        <w:t xml:space="preserve">  </w:t>
      </w:r>
      <w:r>
        <w:rPr>
          <w:rFonts w:hint="eastAsia"/>
        </w:rPr>
        <w:t>共和国各实体实施了各种推动健康文化、计划生育、残疾人疾病早期发现并预防残疾人慢性退行性疾病的计划，如关注残疾人的诊断和健康评估，鼓励残疾人实现独立的多因素康复及融入社会和劳动力市场计划。</w:t>
      </w:r>
    </w:p>
    <w:p w:rsidR="00A2190D" w:rsidRDefault="00A2190D">
      <w:pPr>
        <w:pStyle w:val="H23GC"/>
      </w:pPr>
      <w:r>
        <w:tab/>
      </w:r>
      <w:r>
        <w:tab/>
      </w:r>
      <w:r>
        <w:rPr>
          <w:rFonts w:hint="eastAsia"/>
        </w:rPr>
        <w:t>心理健康</w:t>
      </w:r>
    </w:p>
    <w:p w:rsidR="00A2190D" w:rsidRDefault="00A2190D">
      <w:pPr>
        <w:pStyle w:val="SingleTxtGC"/>
      </w:pPr>
      <w:r>
        <w:t>169.</w:t>
      </w:r>
      <w:r>
        <w:rPr>
          <w:rFonts w:hint="eastAsia"/>
        </w:rPr>
        <w:t xml:space="preserve">  </w:t>
      </w:r>
      <w:r>
        <w:rPr>
          <w:rFonts w:hint="eastAsia"/>
        </w:rPr>
        <w:t>联邦政府制定了《关注心理健康专题行动计划</w:t>
      </w:r>
      <w:r>
        <w:rPr>
          <w:rFonts w:hint="eastAsia"/>
        </w:rPr>
        <w:t>(</w:t>
      </w:r>
      <w:r>
        <w:t>2007-2012</w:t>
      </w:r>
      <w:r>
        <w:rPr>
          <w:rFonts w:hint="eastAsia"/>
        </w:rPr>
        <w:t>年</w:t>
      </w:r>
      <w:r>
        <w:rPr>
          <w:rFonts w:hint="eastAsia"/>
        </w:rPr>
        <w:t>)</w:t>
      </w:r>
      <w:r>
        <w:rPr>
          <w:rFonts w:hint="eastAsia"/>
        </w:rPr>
        <w:t>》，其目的是通过推进各种可以保障有尊严的交往、消除心理健康服务使用者的羞辱感和歧视、并以持续和高质量的综合性社区服务帮助他们重新融入社会的政策和项目，来改善人们的心理健康水平。</w:t>
      </w:r>
    </w:p>
    <w:p w:rsidR="00A2190D" w:rsidRDefault="00A2190D">
      <w:pPr>
        <w:pStyle w:val="SingleTxtGC"/>
      </w:pPr>
      <w:r>
        <w:t>170.</w:t>
      </w:r>
      <w:r>
        <w:rPr>
          <w:rFonts w:hint="eastAsia"/>
        </w:rPr>
        <w:t xml:space="preserve">  </w:t>
      </w:r>
      <w:r>
        <w:rPr>
          <w:rFonts w:hint="eastAsia"/>
        </w:rPr>
        <w:t>在由专业人士和民间社会代表组成的同业团体的支持下，依托临床和经济研究，墨西哥从</w:t>
      </w:r>
      <w:r>
        <w:t>2010</w:t>
      </w:r>
      <w:r>
        <w:rPr>
          <w:rFonts w:hint="eastAsia"/>
        </w:rPr>
        <w:t>年起，落实并授权对大众保险的通用目录中的精神障碍优先实施明确的护理干预措施。这一举措在精神健康的投入和支出方面建立了一个很好的先例。这些干预措施包括相关人群目前需要的预防、治疗和康复行动，具体包括：注意力缺陷障碍和多动症，广泛性发育障碍</w:t>
      </w:r>
      <w:r>
        <w:rPr>
          <w:rFonts w:hint="eastAsia"/>
        </w:rPr>
        <w:t>(</w:t>
      </w:r>
      <w:r>
        <w:rPr>
          <w:rFonts w:hint="eastAsia"/>
        </w:rPr>
        <w:t>自闭症</w:t>
      </w:r>
      <w:r>
        <w:rPr>
          <w:rFonts w:hint="eastAsia"/>
        </w:rPr>
        <w:t>)</w:t>
      </w:r>
      <w:r>
        <w:rPr>
          <w:rFonts w:hint="eastAsia"/>
        </w:rPr>
        <w:t>，情感性精神障碍</w:t>
      </w:r>
      <w:r>
        <w:rPr>
          <w:rFonts w:hint="eastAsia"/>
        </w:rPr>
        <w:t>(</w:t>
      </w:r>
      <w:r>
        <w:rPr>
          <w:rFonts w:hint="eastAsia"/>
        </w:rPr>
        <w:t>精神抑郁症、抑郁症和双向情感障碍</w:t>
      </w:r>
      <w:r>
        <w:rPr>
          <w:rFonts w:hint="eastAsia"/>
        </w:rPr>
        <w:t>)</w:t>
      </w:r>
      <w:r>
        <w:rPr>
          <w:rFonts w:hint="eastAsia"/>
        </w:rPr>
        <w:t>，焦虑障碍</w:t>
      </w:r>
      <w:r>
        <w:rPr>
          <w:rFonts w:hint="eastAsia"/>
        </w:rPr>
        <w:t>(</w:t>
      </w:r>
      <w:r>
        <w:rPr>
          <w:rFonts w:hint="eastAsia"/>
        </w:rPr>
        <w:t>广泛性焦虑症、恐慌和严重压力反应</w:t>
      </w:r>
      <w:r>
        <w:rPr>
          <w:rFonts w:hint="eastAsia"/>
        </w:rPr>
        <w:t>)</w:t>
      </w:r>
      <w:r>
        <w:rPr>
          <w:rFonts w:hint="eastAsia"/>
        </w:rPr>
        <w:t>，精神障碍</w:t>
      </w:r>
      <w:r>
        <w:rPr>
          <w:rFonts w:hint="eastAsia"/>
        </w:rPr>
        <w:t>(</w:t>
      </w:r>
      <w:r>
        <w:rPr>
          <w:rFonts w:hint="eastAsia"/>
        </w:rPr>
        <w:t>精神分裂症、妄想症、精神病和分裂症</w:t>
      </w:r>
      <w:r>
        <w:rPr>
          <w:rFonts w:hint="eastAsia"/>
        </w:rPr>
        <w:t>)</w:t>
      </w:r>
      <w:r>
        <w:rPr>
          <w:rFonts w:hint="eastAsia"/>
        </w:rPr>
        <w:t>和癫痫的诊断与治疗。</w:t>
      </w:r>
    </w:p>
    <w:p w:rsidR="00A2190D" w:rsidRDefault="00A2190D">
      <w:pPr>
        <w:pStyle w:val="SingleTxtGC"/>
      </w:pPr>
      <w:r>
        <w:t>171.</w:t>
      </w:r>
      <w:r>
        <w:rPr>
          <w:rFonts w:hint="eastAsia"/>
        </w:rPr>
        <w:t xml:space="preserve">  </w:t>
      </w:r>
      <w:r>
        <w:rPr>
          <w:rFonts w:hint="eastAsia"/>
        </w:rPr>
        <w:t>社区精神健康护理的范围在逐渐扩大。目前，墨西哥通过分布在所有联邦实体中的</w:t>
      </w:r>
      <w:r>
        <w:t>330</w:t>
      </w:r>
      <w:r>
        <w:rPr>
          <w:rFonts w:hint="eastAsia"/>
        </w:rPr>
        <w:t>家专业毒瘾治疗医疗机构和</w:t>
      </w:r>
      <w:r>
        <w:t>34</w:t>
      </w:r>
      <w:r>
        <w:rPr>
          <w:rFonts w:hint="eastAsia"/>
        </w:rPr>
        <w:t>家专业精神健康治疗医疗机构提供社区精神健康服务。</w:t>
      </w:r>
    </w:p>
    <w:p w:rsidR="00A2190D" w:rsidRDefault="00A2190D">
      <w:pPr>
        <w:pStyle w:val="SingleTxtGC"/>
      </w:pPr>
      <w:r>
        <w:t>172.</w:t>
      </w:r>
      <w:r>
        <w:rPr>
          <w:rFonts w:hint="eastAsia"/>
        </w:rPr>
        <w:t xml:space="preserve">  </w:t>
      </w:r>
      <w:r>
        <w:rPr>
          <w:rFonts w:hint="eastAsia"/>
        </w:rPr>
        <w:t>为了倡导在精神健康和残疾问题上尊重人权，全国人权委员会、泛美卫生组织</w:t>
      </w:r>
      <w:r>
        <w:t>-</w:t>
      </w:r>
      <w:r>
        <w:rPr>
          <w:rFonts w:hint="eastAsia"/>
        </w:rPr>
        <w:t>世卫组织和卫生部针对精神健康工作人员举办了“精神残疾人人权和基本自由培训讲堂”。</w:t>
      </w:r>
    </w:p>
    <w:p w:rsidR="00A2190D" w:rsidRDefault="00A2190D">
      <w:pPr>
        <w:pStyle w:val="SingleTxtGC"/>
      </w:pPr>
      <w:r>
        <w:t>173.</w:t>
      </w:r>
      <w:r>
        <w:rPr>
          <w:rFonts w:hint="eastAsia"/>
        </w:rPr>
        <w:t xml:space="preserve">  </w:t>
      </w:r>
      <w:r>
        <w:rPr>
          <w:rFonts w:hint="eastAsia"/>
        </w:rPr>
        <w:t>为使精神健康方面的法规框架符合人权标准，墨西哥正在研究对在卫生部门的各机构提供精神健康和精神病方面的服务的法律规定进行更新的方案。</w:t>
      </w:r>
    </w:p>
    <w:p w:rsidR="00A2190D" w:rsidRDefault="00A2190D">
      <w:pPr>
        <w:pStyle w:val="SingleTxtGC"/>
      </w:pPr>
      <w:r>
        <w:t>174</w:t>
      </w:r>
      <w:r>
        <w:rPr>
          <w:rFonts w:hint="eastAsia"/>
        </w:rPr>
        <w:t xml:space="preserve">  </w:t>
      </w:r>
      <w:r>
        <w:rPr>
          <w:rFonts w:hint="eastAsia"/>
        </w:rPr>
        <w:t>为制定可确保被遗弃的、有精神障碍和神经系统疾病的残疾患者获得他们需要的、适当的照料，并充分尊重他们的权利，墨西哥将实行一个不强求对患者进行收治的试点计划，即不强制将患者收治在医院中，而可以让患者在由残疾人权利国际组织担任顾问的社区精神卫生中心接受治疗。</w:t>
      </w:r>
    </w:p>
    <w:p w:rsidR="00A2190D" w:rsidRDefault="00A2190D">
      <w:pPr>
        <w:pStyle w:val="SingleTxtGC"/>
      </w:pPr>
      <w:r>
        <w:t>175.</w:t>
      </w:r>
      <w:r>
        <w:rPr>
          <w:rFonts w:hint="eastAsia"/>
        </w:rPr>
        <w:t xml:space="preserve">  </w:t>
      </w:r>
      <w:r>
        <w:rPr>
          <w:rFonts w:hint="eastAsia"/>
        </w:rPr>
        <w:t>卫生部正式请求泛美卫生组织在人权标准的框架内，对墨西哥的精神健康服务与设施的组织和功能进行评估。</w:t>
      </w:r>
    </w:p>
    <w:p w:rsidR="00A2190D" w:rsidRDefault="00A2190D">
      <w:pPr>
        <w:pStyle w:val="H1GC"/>
      </w:pPr>
      <w:r>
        <w:tab/>
      </w:r>
      <w:r>
        <w:tab/>
      </w:r>
      <w:r>
        <w:rPr>
          <w:rFonts w:hint="eastAsia"/>
        </w:rPr>
        <w:t>第二十六条</w:t>
      </w:r>
      <w:r>
        <w:br/>
      </w:r>
      <w:r>
        <w:rPr>
          <w:rFonts w:hint="eastAsia"/>
        </w:rPr>
        <w:t>适应训练和康复</w:t>
      </w:r>
    </w:p>
    <w:p w:rsidR="00A2190D" w:rsidRDefault="00A2190D">
      <w:pPr>
        <w:pStyle w:val="SingleTxtGC"/>
      </w:pPr>
      <w:r>
        <w:t>176.</w:t>
      </w:r>
      <w:r>
        <w:rPr>
          <w:rFonts w:hint="eastAsia"/>
        </w:rPr>
        <w:t xml:space="preserve">  </w:t>
      </w:r>
      <w:r>
        <w:rPr>
          <w:rFonts w:hint="eastAsia"/>
        </w:rPr>
        <w:t>在针对残疾人全面护理的墨西哥官方标准</w:t>
      </w:r>
      <w:r>
        <w:t>NOM-015-SSA3-2007</w:t>
      </w:r>
      <w:r>
        <w:rPr>
          <w:rFonts w:hint="eastAsia"/>
        </w:rPr>
        <w:t>中，对残疾人的综合康复作了规定。</w:t>
      </w:r>
    </w:p>
    <w:p w:rsidR="00A2190D" w:rsidRDefault="00A2190D">
      <w:pPr>
        <w:pStyle w:val="SingleTxtGC"/>
      </w:pPr>
      <w:r>
        <w:t>177.</w:t>
      </w:r>
      <w:r>
        <w:rPr>
          <w:rFonts w:hint="eastAsia"/>
        </w:rPr>
        <w:t xml:space="preserve">  </w:t>
      </w:r>
      <w:r>
        <w:rPr>
          <w:rFonts w:hint="eastAsia"/>
        </w:rPr>
        <w:t>国家家庭全面发展体系是拥有较多康复服务基础设施和丰富康复经验的国内机构。通过《残疾人关怀方案》，产生了下列实质性方案和计划：《致残过程早期发现方案》；《多重早期刺激方案》；《针对有残疾子女家庭的教学计划》；《未成年残疾人教育融合计划》；《残疾人康复和就业融合计划》；《融入体育和适应运动计划》；《康复基础机构计划》；《移动康复机构计划》。</w:t>
      </w:r>
    </w:p>
    <w:p w:rsidR="00A2190D" w:rsidRDefault="00A2190D">
      <w:pPr>
        <w:pStyle w:val="SingleTxtGC"/>
      </w:pPr>
      <w:r>
        <w:t>178.</w:t>
      </w:r>
      <w:r>
        <w:rPr>
          <w:rFonts w:hint="eastAsia"/>
        </w:rPr>
        <w:t xml:space="preserve">  </w:t>
      </w:r>
      <w:r>
        <w:rPr>
          <w:rFonts w:hint="eastAsia"/>
        </w:rPr>
        <w:t>第</w:t>
      </w:r>
      <w:r>
        <w:t>33</w:t>
      </w:r>
      <w:r>
        <w:rPr>
          <w:rFonts w:hint="eastAsia"/>
        </w:rPr>
        <w:t>号附件中提交了国家家庭全面发展体系在</w:t>
      </w:r>
      <w:r>
        <w:t>2007</w:t>
      </w:r>
      <w:r>
        <w:rPr>
          <w:rFonts w:hint="eastAsia"/>
        </w:rPr>
        <w:t>年至</w:t>
      </w:r>
      <w:r>
        <w:t>2010</w:t>
      </w:r>
      <w:r>
        <w:rPr>
          <w:rFonts w:hint="eastAsia"/>
        </w:rPr>
        <w:t>年间提供的残疾人护理服务的各种信息。</w:t>
      </w:r>
    </w:p>
    <w:p w:rsidR="00A2190D" w:rsidRDefault="00A2190D">
      <w:pPr>
        <w:pStyle w:val="SingleTxtGC"/>
      </w:pPr>
      <w:r>
        <w:t>179.</w:t>
      </w:r>
      <w:r>
        <w:rPr>
          <w:rFonts w:hint="eastAsia"/>
        </w:rPr>
        <w:t xml:space="preserve">  </w:t>
      </w:r>
      <w:r>
        <w:rPr>
          <w:rFonts w:hint="eastAsia"/>
        </w:rPr>
        <w:t>此外，国家家庭全面发展体系有一个总体目标为通过实物</w:t>
      </w:r>
      <w:r>
        <w:rPr>
          <w:rFonts w:hint="eastAsia"/>
        </w:rPr>
        <w:t>(</w:t>
      </w:r>
      <w:r>
        <w:rPr>
          <w:rFonts w:hint="eastAsia"/>
        </w:rPr>
        <w:t>矫形器、价值和功能援助</w:t>
      </w:r>
      <w:r>
        <w:rPr>
          <w:rFonts w:hint="eastAsia"/>
        </w:rPr>
        <w:t>)</w:t>
      </w:r>
      <w:r>
        <w:rPr>
          <w:rFonts w:hint="eastAsia"/>
        </w:rPr>
        <w:t>或专业护理形式的短期经济援助，帮助遇到经济困难、健康问题和</w:t>
      </w:r>
      <w:r>
        <w:t>/</w:t>
      </w:r>
      <w:r>
        <w:rPr>
          <w:rFonts w:hint="eastAsia"/>
        </w:rPr>
        <w:t>或社会难题的弱势群体成员克服面临的困难的行动方针。</w:t>
      </w:r>
    </w:p>
    <w:p w:rsidR="00A2190D" w:rsidRDefault="00A2190D">
      <w:pPr>
        <w:pStyle w:val="SingleTxtGC"/>
      </w:pPr>
      <w:r>
        <w:t>180.</w:t>
      </w:r>
      <w:r>
        <w:rPr>
          <w:rFonts w:hint="eastAsia"/>
        </w:rPr>
        <w:t xml:space="preserve">  </w:t>
      </w:r>
      <w:r>
        <w:t>2008</w:t>
      </w:r>
      <w:r>
        <w:rPr>
          <w:rFonts w:hint="eastAsia"/>
        </w:rPr>
        <w:t>年至</w:t>
      </w:r>
      <w:r>
        <w:t>2010</w:t>
      </w:r>
      <w:r>
        <w:rPr>
          <w:rFonts w:hint="eastAsia"/>
        </w:rPr>
        <w:t>年，国家家庭全面发展体系在矫形器、假肢、设备和民防，及无障碍通行和设备方面分别向各州家庭全面发展体系的康复中心提供了设备援助</w:t>
      </w:r>
      <w:r>
        <w:rPr>
          <w:rFonts w:hint="eastAsia"/>
        </w:rPr>
        <w:t>(</w:t>
      </w:r>
      <w:r>
        <w:rPr>
          <w:rFonts w:hint="eastAsia"/>
        </w:rPr>
        <w:t>请参见第</w:t>
      </w:r>
      <w:r>
        <w:t>34</w:t>
      </w:r>
      <w:r>
        <w:rPr>
          <w:rFonts w:hint="eastAsia"/>
        </w:rPr>
        <w:t>号附件</w:t>
      </w:r>
      <w:r>
        <w:rPr>
          <w:rFonts w:hint="eastAsia"/>
        </w:rPr>
        <w:t>)</w:t>
      </w:r>
      <w:r>
        <w:rPr>
          <w:rFonts w:hint="eastAsia"/>
        </w:rPr>
        <w:t>。</w:t>
      </w:r>
    </w:p>
    <w:p w:rsidR="00A2190D" w:rsidRDefault="00A2190D">
      <w:pPr>
        <w:pStyle w:val="SingleTxtGC"/>
      </w:pPr>
      <w:r>
        <w:t>181.</w:t>
      </w:r>
      <w:r>
        <w:rPr>
          <w:rFonts w:hint="eastAsia"/>
        </w:rPr>
        <w:t xml:space="preserve">  </w:t>
      </w:r>
      <w:r>
        <w:t>2009</w:t>
      </w:r>
      <w:r>
        <w:rPr>
          <w:rFonts w:hint="eastAsia"/>
        </w:rPr>
        <w:t>年，用来提供假肢、矫正器和特别附件的假肢信托基金共花费</w:t>
      </w:r>
      <w:r>
        <w:t>15,709,812</w:t>
      </w:r>
      <w:r>
        <w:rPr>
          <w:rFonts w:hint="eastAsia"/>
        </w:rPr>
        <w:t>比索购买了目的为维持和获得残疾人最大程度独立性的装置和技术支持服务。</w:t>
      </w:r>
    </w:p>
    <w:p w:rsidR="00A2190D" w:rsidRDefault="00A2190D">
      <w:pPr>
        <w:pStyle w:val="SingleTxtGC"/>
      </w:pPr>
      <w:r>
        <w:t>182.</w:t>
      </w:r>
      <w:r>
        <w:rPr>
          <w:rFonts w:hint="eastAsia"/>
        </w:rPr>
        <w:t xml:space="preserve">  </w:t>
      </w:r>
      <w:r>
        <w:rPr>
          <w:rFonts w:hint="eastAsia"/>
        </w:rPr>
        <w:t>国家康复研究所向各年龄段的残疾人提供服务。研究所制定了康复工作人员的培训和学习计划，包括医疗专业知识，高专业性的本科、硕士和博士课程，并与康复高等学校共同开展理疗师、职业治疗师、言语治疗师、假肢矫正器技师的培训。研究所拥有康复工程研究和行动分析实验室，并通过这些实验室推出了针对残疾人的各种装置和援助技术。在研究方面，研究所开展了生物组织、针对关节炎问题的软骨细胞移植、假肢设计和技术援助这四个方面的项目。</w:t>
      </w:r>
    </w:p>
    <w:p w:rsidR="00A2190D" w:rsidRDefault="00A2190D">
      <w:pPr>
        <w:pStyle w:val="SingleTxtGC"/>
      </w:pPr>
      <w:r>
        <w:t>183.</w:t>
      </w:r>
      <w:r>
        <w:rPr>
          <w:rFonts w:hint="eastAsia"/>
        </w:rPr>
        <w:t xml:space="preserve">  </w:t>
      </w:r>
      <w:r>
        <w:rPr>
          <w:rFonts w:hint="eastAsia"/>
        </w:rPr>
        <w:t>墨西哥社会保障局制定了</w:t>
      </w:r>
      <w:r>
        <w:t>146</w:t>
      </w:r>
      <w:r>
        <w:rPr>
          <w:rFonts w:hint="eastAsia"/>
        </w:rPr>
        <w:t>种针对残疾所有权继承人的理疗和康复服务，并倡导在扩展机构和</w:t>
      </w:r>
      <w:r>
        <w:t>3</w:t>
      </w:r>
      <w:r>
        <w:rPr>
          <w:rFonts w:hint="eastAsia"/>
        </w:rPr>
        <w:t>个级别的社会保障护理机构中的所有服务均免费。</w:t>
      </w:r>
    </w:p>
    <w:p w:rsidR="00A2190D" w:rsidRDefault="00A2190D">
      <w:pPr>
        <w:pStyle w:val="SingleTxtGC"/>
      </w:pPr>
      <w:r>
        <w:t>184.</w:t>
      </w:r>
      <w:r>
        <w:rPr>
          <w:rFonts w:hint="eastAsia"/>
        </w:rPr>
        <w:t xml:space="preserve">  </w:t>
      </w:r>
      <w:r>
        <w:rPr>
          <w:rFonts w:hint="eastAsia"/>
        </w:rPr>
        <w:t>国家儿科研究所有语音矫正、康复、神经发育和神经内科服务，并向</w:t>
      </w:r>
      <w:r>
        <w:t>18</w:t>
      </w:r>
      <w:r>
        <w:rPr>
          <w:rFonts w:hint="eastAsia"/>
        </w:rPr>
        <w:t>岁以下残疾未成年人和有需要的劳动者提供援助。研究所的工作范围很宽，涵盖了所有残疾领域，并具备科学和法律框架。为了复制护理模式，国家儿童研究所会对从业人员进行了医学、医疗、心理健康、语音矫正等方面的培训。</w:t>
      </w:r>
    </w:p>
    <w:p w:rsidR="00A2190D" w:rsidRDefault="00A2190D">
      <w:pPr>
        <w:pStyle w:val="SingleTxtGC"/>
      </w:pPr>
      <w:r>
        <w:t>185.</w:t>
      </w:r>
      <w:r>
        <w:rPr>
          <w:rFonts w:hint="eastAsia"/>
        </w:rPr>
        <w:t xml:space="preserve">  </w:t>
      </w:r>
      <w:r>
        <w:rPr>
          <w:rFonts w:hint="eastAsia"/>
        </w:rPr>
        <w:t>国家家庭全面发展体系全年持续对护理康复中心患者的工作人员进行培训。</w:t>
      </w:r>
      <w:r>
        <w:t>2008</w:t>
      </w:r>
      <w:r>
        <w:rPr>
          <w:rFonts w:hint="eastAsia"/>
        </w:rPr>
        <w:t>、</w:t>
      </w:r>
      <w:r>
        <w:t>2009</w:t>
      </w:r>
      <w:r>
        <w:rPr>
          <w:rFonts w:hint="eastAsia"/>
        </w:rPr>
        <w:t>和</w:t>
      </w:r>
      <w:r>
        <w:t>2010</w:t>
      </w:r>
      <w:r>
        <w:rPr>
          <w:rFonts w:hint="eastAsia"/>
        </w:rPr>
        <w:t>年，分别开课</w:t>
      </w:r>
      <w:r>
        <w:t>3,617</w:t>
      </w:r>
      <w:r>
        <w:rPr>
          <w:rFonts w:hint="eastAsia"/>
        </w:rPr>
        <w:t>、</w:t>
      </w:r>
      <w:r>
        <w:t>3,346</w:t>
      </w:r>
      <w:r>
        <w:rPr>
          <w:rFonts w:hint="eastAsia"/>
        </w:rPr>
        <w:t>和</w:t>
      </w:r>
      <w:r>
        <w:t>3,573</w:t>
      </w:r>
      <w:r>
        <w:rPr>
          <w:rFonts w:hint="eastAsia"/>
        </w:rPr>
        <w:t>次，受训人数分别为</w:t>
      </w:r>
      <w:r>
        <w:t>49,151</w:t>
      </w:r>
      <w:r>
        <w:rPr>
          <w:rFonts w:hint="eastAsia"/>
        </w:rPr>
        <w:t>、</w:t>
      </w:r>
      <w:r>
        <w:t>55,242</w:t>
      </w:r>
      <w:r>
        <w:rPr>
          <w:rFonts w:hint="eastAsia"/>
        </w:rPr>
        <w:t>和</w:t>
      </w:r>
      <w:r>
        <w:t>66,923</w:t>
      </w:r>
      <w:r>
        <w:rPr>
          <w:rFonts w:hint="eastAsia"/>
        </w:rPr>
        <w:t>人。</w:t>
      </w:r>
    </w:p>
    <w:p w:rsidR="00A2190D" w:rsidRDefault="00A2190D">
      <w:pPr>
        <w:pStyle w:val="SingleTxtGC"/>
      </w:pPr>
      <w:r>
        <w:t>186.</w:t>
      </w:r>
      <w:r>
        <w:rPr>
          <w:rFonts w:hint="eastAsia"/>
        </w:rPr>
        <w:t xml:space="preserve">  </w:t>
      </w:r>
      <w:r>
        <w:t>2009</w:t>
      </w:r>
      <w:r>
        <w:rPr>
          <w:rFonts w:hint="eastAsia"/>
        </w:rPr>
        <w:t>年起，公共教育部组织设立了家庭和健康援助专业；</w:t>
      </w:r>
      <w:r>
        <w:t>2010</w:t>
      </w:r>
      <w:r>
        <w:rPr>
          <w:rFonts w:hint="eastAsia"/>
        </w:rPr>
        <w:t>年底，墨西哥共和国已有</w:t>
      </w:r>
      <w:r>
        <w:t>45</w:t>
      </w:r>
      <w:r>
        <w:rPr>
          <w:rFonts w:hint="eastAsia"/>
        </w:rPr>
        <w:t>家机构提供该专业的课程。通过《持续医学教育计划》，海军部在海军医疗机构的医务专业人员中推广使用理疗和康复方面的各种新技术和知识。</w:t>
      </w:r>
    </w:p>
    <w:p w:rsidR="00A2190D" w:rsidRDefault="00A2190D">
      <w:pPr>
        <w:pStyle w:val="H23GC"/>
      </w:pPr>
      <w:r>
        <w:tab/>
      </w:r>
      <w:r>
        <w:tab/>
      </w:r>
      <w:r>
        <w:rPr>
          <w:rFonts w:hint="eastAsia"/>
        </w:rPr>
        <w:t>恢复训练</w:t>
      </w:r>
    </w:p>
    <w:p w:rsidR="00A2190D" w:rsidRDefault="00A2190D">
      <w:pPr>
        <w:pStyle w:val="SingleTxtGC"/>
      </w:pPr>
      <w:r>
        <w:t>187.</w:t>
      </w:r>
      <w:r>
        <w:rPr>
          <w:rFonts w:hint="eastAsia"/>
        </w:rPr>
        <w:t xml:space="preserve">  </w:t>
      </w:r>
      <w:r>
        <w:rPr>
          <w:rFonts w:hint="eastAsia"/>
        </w:rPr>
        <w:t>墨西哥通过劳动培训和康复中心制定了主张加入墨西哥社会保险的残疾劳动者重新融入社会和就业市场的《劳动康复和重新就业计划》。</w:t>
      </w:r>
      <w:r>
        <w:t>2009</w:t>
      </w:r>
      <w:r>
        <w:rPr>
          <w:rFonts w:hint="eastAsia"/>
        </w:rPr>
        <w:t>年，各社会保障中心和扩展知识中心针对</w:t>
      </w:r>
      <w:r>
        <w:t>59,633</w:t>
      </w:r>
      <w:r>
        <w:rPr>
          <w:rFonts w:hint="eastAsia"/>
        </w:rPr>
        <w:t>名残疾使用者举办了各种课程、讲堂和技能培训活动。</w:t>
      </w:r>
    </w:p>
    <w:p w:rsidR="00A2190D" w:rsidRDefault="00A2190D">
      <w:pPr>
        <w:pStyle w:val="SingleTxtGC"/>
      </w:pPr>
      <w:r>
        <w:t>188.</w:t>
      </w:r>
      <w:r>
        <w:rPr>
          <w:rFonts w:hint="eastAsia"/>
        </w:rPr>
        <w:t xml:space="preserve">  </w:t>
      </w:r>
      <w:r>
        <w:rPr>
          <w:rFonts w:hint="eastAsia"/>
        </w:rPr>
        <w:t>为实现残疾人最大程度的独立性，墨西哥已投入超过</w:t>
      </w:r>
      <w:r>
        <w:t>1700</w:t>
      </w:r>
      <w:r>
        <w:rPr>
          <w:rFonts w:hint="eastAsia"/>
        </w:rPr>
        <w:t>万比索，在理疗和劳动康复机构的就业评价和模拟部门开展各种行动。实际情况显示，每</w:t>
      </w:r>
      <w:r>
        <w:t>10</w:t>
      </w:r>
      <w:r>
        <w:rPr>
          <w:rFonts w:hint="eastAsia"/>
        </w:rPr>
        <w:t>个通过专门和专业方式进行恢复训练的人中，有</w:t>
      </w:r>
      <w:r>
        <w:t>6</w:t>
      </w:r>
      <w:r>
        <w:rPr>
          <w:rFonts w:hint="eastAsia"/>
        </w:rPr>
        <w:t>人成功实现重新就业。</w:t>
      </w:r>
    </w:p>
    <w:p w:rsidR="00A2190D" w:rsidRDefault="00A2190D">
      <w:pPr>
        <w:pStyle w:val="H1GC"/>
      </w:pPr>
      <w:r>
        <w:tab/>
      </w:r>
      <w:r>
        <w:tab/>
      </w:r>
      <w:r>
        <w:rPr>
          <w:rFonts w:hint="eastAsia"/>
        </w:rPr>
        <w:t>第二十七条</w:t>
      </w:r>
      <w:r>
        <w:br/>
      </w:r>
      <w:r>
        <w:rPr>
          <w:rFonts w:hint="eastAsia"/>
        </w:rPr>
        <w:t>工作和就业</w:t>
      </w:r>
    </w:p>
    <w:p w:rsidR="00A2190D" w:rsidRDefault="00A2190D">
      <w:pPr>
        <w:pStyle w:val="SingleTxtGC"/>
      </w:pPr>
      <w:r>
        <w:t>189.</w:t>
      </w:r>
      <w:r>
        <w:rPr>
          <w:rFonts w:hint="eastAsia"/>
        </w:rPr>
        <w:t xml:space="preserve">  </w:t>
      </w:r>
      <w:r>
        <w:rPr>
          <w:rFonts w:hint="eastAsia"/>
        </w:rPr>
        <w:t>“打开空间”战略希望在每个联邦单位建立和运行专业的职业介绍所，设立欲进入生产部门的残疾人工作技能和能力认定评估中心，并在公共和私人机构之间建立合作途径，从而建立服务网络。</w:t>
      </w:r>
      <w:r>
        <w:t>2008</w:t>
      </w:r>
      <w:r>
        <w:rPr>
          <w:rFonts w:hint="eastAsia"/>
        </w:rPr>
        <w:t>至</w:t>
      </w:r>
      <w:r>
        <w:t>2010</w:t>
      </w:r>
      <w:r>
        <w:rPr>
          <w:rFonts w:hint="eastAsia"/>
        </w:rPr>
        <w:t>年，该战略共关注了</w:t>
      </w:r>
      <w:r>
        <w:t>74,508</w:t>
      </w:r>
      <w:r>
        <w:rPr>
          <w:rFonts w:hint="eastAsia"/>
        </w:rPr>
        <w:t>名残疾人，其中的</w:t>
      </w:r>
      <w:r>
        <w:t>21,051</w:t>
      </w:r>
      <w:r>
        <w:rPr>
          <w:rFonts w:hint="eastAsia"/>
        </w:rPr>
        <w:t>人完成就业。</w:t>
      </w:r>
    </w:p>
    <w:p w:rsidR="00A2190D" w:rsidRDefault="00A2190D">
      <w:pPr>
        <w:pStyle w:val="SingleTxtGC"/>
      </w:pPr>
      <w:r>
        <w:t>190.</w:t>
      </w:r>
      <w:r>
        <w:rPr>
          <w:rFonts w:hint="eastAsia"/>
        </w:rPr>
        <w:t xml:space="preserve">  </w:t>
      </w:r>
      <w:r>
        <w:rPr>
          <w:rFonts w:hint="eastAsia"/>
        </w:rPr>
        <w:t>国家劳动关系网是劳动和社会福利部制定的、协同各公共、私人和社会机构共同努力，旨在倡导、宣传和促进各州和市残疾人的就业融合，并通过就业岗位供需双方的联动和有利于实现联动的各种合作行动来维持一定的就业时间的策略。</w:t>
      </w:r>
      <w:r>
        <w:t>2009</w:t>
      </w:r>
      <w:r>
        <w:rPr>
          <w:rFonts w:hint="eastAsia"/>
        </w:rPr>
        <w:t>年全年和</w:t>
      </w:r>
      <w:r>
        <w:t>2010</w:t>
      </w:r>
      <w:r>
        <w:rPr>
          <w:rFonts w:hint="eastAsia"/>
        </w:rPr>
        <w:t>年第一季度，国家劳动关系网共为</w:t>
      </w:r>
      <w:r>
        <w:t>15,723</w:t>
      </w:r>
      <w:r>
        <w:rPr>
          <w:rFonts w:hint="eastAsia"/>
        </w:rPr>
        <w:t>名残疾人提供了关爱。</w:t>
      </w:r>
    </w:p>
    <w:p w:rsidR="00A2190D" w:rsidRDefault="00A2190D">
      <w:pPr>
        <w:pStyle w:val="SingleTxtGC"/>
      </w:pPr>
      <w:r>
        <w:t>191.</w:t>
      </w:r>
      <w:r>
        <w:rPr>
          <w:rFonts w:hint="eastAsia"/>
        </w:rPr>
        <w:t xml:space="preserve">  </w:t>
      </w:r>
      <w:r>
        <w:rPr>
          <w:rFonts w:hint="eastAsia"/>
        </w:rPr>
        <w:t>国家劳动关系网还通过能对就业岗位与残疾人之间的人体工程学适应关系和改造需求进行分析的“残疾人人体工程学软件”提出必要的改造建议，从而成功地实现残疾人的就业融合。目前，已总计向国家劳动关系网成员提供了</w:t>
      </w:r>
      <w:r>
        <w:t>96</w:t>
      </w:r>
      <w:r>
        <w:rPr>
          <w:rFonts w:hint="eastAsia"/>
        </w:rPr>
        <w:t>套这样的软件。</w:t>
      </w:r>
    </w:p>
    <w:p w:rsidR="00A2190D" w:rsidRDefault="00A2190D">
      <w:pPr>
        <w:pStyle w:val="SingleTxtGC"/>
      </w:pPr>
      <w:r>
        <w:t>192.</w:t>
      </w:r>
      <w:r>
        <w:rPr>
          <w:rFonts w:hint="eastAsia"/>
        </w:rPr>
        <w:t xml:space="preserve">  </w:t>
      </w:r>
      <w:r>
        <w:rPr>
          <w:rFonts w:hint="eastAsia"/>
        </w:rPr>
        <w:t>国家家庭全面发展体系制定的《残疾人劳动整合计划》以残疾人权利为基础，认可残疾人是具有权利的主体，认同他们的才能、本领、资格和利益，能够向企业推荐符合应聘条件的残疾人就业，从而使残疾人在与其他劳动年龄人口平等的情况下实现融合。</w:t>
      </w:r>
    </w:p>
    <w:p w:rsidR="00A2190D" w:rsidRDefault="00A2190D">
      <w:pPr>
        <w:pStyle w:val="SingleTxtGC"/>
      </w:pPr>
      <w:r>
        <w:t>193.</w:t>
      </w:r>
      <w:r>
        <w:rPr>
          <w:rFonts w:hint="eastAsia"/>
        </w:rPr>
        <w:t xml:space="preserve">  </w:t>
      </w:r>
      <w:r>
        <w:rPr>
          <w:rFonts w:hint="eastAsia"/>
        </w:rPr>
        <w:t>国家劳动关系网的其他成员还针对残疾人制定了下列计划：墨西哥青年研究所的《强化青年就业计划》，社会发展部的《支持就业母亲的托儿所计划》和农业、牧业、农村发展、渔业和粮食部的《援助农村妇女和农村环境下的土著人计划》。国家妇女委员会推动强化各种相关机制，以确保在工作场所中实现男女平等就业。</w:t>
      </w:r>
    </w:p>
    <w:p w:rsidR="00A2190D" w:rsidRDefault="00A2190D">
      <w:pPr>
        <w:pStyle w:val="SingleTxtGC"/>
      </w:pPr>
      <w:r>
        <w:t>194.</w:t>
      </w:r>
      <w:r>
        <w:rPr>
          <w:rFonts w:hint="eastAsia"/>
        </w:rPr>
        <w:t xml:space="preserve">  </w:t>
      </w:r>
      <w:r>
        <w:rPr>
          <w:rFonts w:hint="eastAsia"/>
        </w:rPr>
        <w:t>经济部下属的中小企业助理秘书处对企业中就业的残疾人数量进行的调查显示，有</w:t>
      </w:r>
      <w:r>
        <w:t>544</w:t>
      </w:r>
      <w:r>
        <w:rPr>
          <w:rFonts w:hint="eastAsia"/>
        </w:rPr>
        <w:t>名残疾人参与了</w:t>
      </w:r>
      <w:r>
        <w:t>89</w:t>
      </w:r>
      <w:r>
        <w:rPr>
          <w:rFonts w:hint="eastAsia"/>
        </w:rPr>
        <w:t>个项目的工作。经济部在这方面的投入从</w:t>
      </w:r>
      <w:r>
        <w:t>2008</w:t>
      </w:r>
      <w:r>
        <w:rPr>
          <w:rFonts w:hint="eastAsia"/>
        </w:rPr>
        <w:t>年的</w:t>
      </w:r>
      <w:r>
        <w:t>510</w:t>
      </w:r>
      <w:r>
        <w:rPr>
          <w:rFonts w:hint="eastAsia"/>
        </w:rPr>
        <w:t>万比索上升到了</w:t>
      </w:r>
      <w:r>
        <w:t>2009</w:t>
      </w:r>
      <w:r>
        <w:rPr>
          <w:rFonts w:hint="eastAsia"/>
        </w:rPr>
        <w:t>年的</w:t>
      </w:r>
      <w:r>
        <w:t>2</w:t>
      </w:r>
      <w:r>
        <w:rPr>
          <w:rFonts w:hint="eastAsia"/>
        </w:rPr>
        <w:t>,</w:t>
      </w:r>
      <w:r>
        <w:t>120</w:t>
      </w:r>
      <w:r>
        <w:rPr>
          <w:rFonts w:hint="eastAsia"/>
        </w:rPr>
        <w:t>万墨西哥比索，涨幅超过</w:t>
      </w:r>
      <w:r>
        <w:t>300%</w:t>
      </w:r>
      <w:r>
        <w:rPr>
          <w:rFonts w:hint="eastAsia"/>
        </w:rPr>
        <w:t>。</w:t>
      </w:r>
    </w:p>
    <w:p w:rsidR="00A2190D" w:rsidRDefault="00A2190D">
      <w:pPr>
        <w:pStyle w:val="SingleTxtGC"/>
      </w:pPr>
      <w:r>
        <w:t>195.</w:t>
      </w:r>
      <w:r>
        <w:rPr>
          <w:rFonts w:hint="eastAsia"/>
        </w:rPr>
        <w:t xml:space="preserve">  </w:t>
      </w:r>
      <w:r>
        <w:rPr>
          <w:rFonts w:hint="eastAsia"/>
        </w:rPr>
        <w:t>各联邦实体也有自己的专项行动。例如：科利马州有一个职业介绍所；索诺拉州支持各种生产项目，颁发就业补贴，并制定了一个同该州</w:t>
      </w:r>
      <w:r>
        <w:t>41</w:t>
      </w:r>
      <w:r>
        <w:rPr>
          <w:rFonts w:hint="eastAsia"/>
        </w:rPr>
        <w:t>家大型企业结盟、并与残疾人签订劳动合同的就业融合计划。</w:t>
      </w:r>
    </w:p>
    <w:p w:rsidR="00A2190D" w:rsidRDefault="00A2190D">
      <w:pPr>
        <w:pStyle w:val="SingleTxtGC"/>
      </w:pPr>
      <w:r>
        <w:t>196.</w:t>
      </w:r>
      <w:r>
        <w:rPr>
          <w:rFonts w:hint="eastAsia"/>
        </w:rPr>
        <w:t xml:space="preserve">  </w:t>
      </w:r>
      <w:r>
        <w:rPr>
          <w:rFonts w:hint="eastAsia"/>
        </w:rPr>
        <w:t>最后，联邦劳动保护问题检察长办公室于</w:t>
      </w:r>
      <w:r>
        <w:t>2009</w:t>
      </w:r>
      <w:r>
        <w:rPr>
          <w:rFonts w:hint="eastAsia"/>
        </w:rPr>
        <w:t>年设立了一条全国性的免费电话线路，向残疾人提供就业方面的法律指导和咨询，并对通话内容予以保密。</w:t>
      </w:r>
    </w:p>
    <w:p w:rsidR="00A2190D" w:rsidRDefault="00A2190D">
      <w:pPr>
        <w:pStyle w:val="SingleTxtGC"/>
      </w:pPr>
      <w:r>
        <w:t>197.</w:t>
      </w:r>
      <w:r>
        <w:rPr>
          <w:rFonts w:hint="eastAsia"/>
        </w:rPr>
        <w:t xml:space="preserve">  </w:t>
      </w:r>
      <w:r>
        <w:t>2005</w:t>
      </w:r>
      <w:r>
        <w:rPr>
          <w:rFonts w:hint="eastAsia"/>
        </w:rPr>
        <w:t>年以来，劳动和社会福利部推进“希尔伯托·林孔·加利亚尔多特别包容企业”</w:t>
      </w:r>
      <w:r>
        <w:rPr>
          <w:rFonts w:hint="eastAsia"/>
        </w:rPr>
        <w:t>(</w:t>
      </w:r>
      <w:r>
        <w:rPr>
          <w:rFonts w:hint="eastAsia"/>
        </w:rPr>
        <w:t>请参见第</w:t>
      </w:r>
      <w:r>
        <w:t>35</w:t>
      </w:r>
      <w:r>
        <w:rPr>
          <w:rFonts w:hint="eastAsia"/>
        </w:rPr>
        <w:t>号附件</w:t>
      </w:r>
      <w:r>
        <w:rPr>
          <w:rFonts w:hint="eastAsia"/>
        </w:rPr>
        <w:t>)</w:t>
      </w:r>
      <w:r>
        <w:rPr>
          <w:rFonts w:hint="eastAsia"/>
        </w:rPr>
        <w:t>，其目的是认可那些开展各种倡导残疾人机会平等和不歧视、认可残疾人独立性和改善就业条件、预期和职业规划的行动的工作单位。</w:t>
      </w:r>
    </w:p>
    <w:p w:rsidR="00A2190D" w:rsidRDefault="00A2190D">
      <w:pPr>
        <w:pStyle w:val="SingleTxtGC"/>
      </w:pPr>
      <w:r>
        <w:t>198.</w:t>
      </w:r>
      <w:r>
        <w:rPr>
          <w:rFonts w:hint="eastAsia"/>
        </w:rPr>
        <w:t xml:space="preserve">  </w:t>
      </w:r>
      <w:r>
        <w:rPr>
          <w:rFonts w:hint="eastAsia"/>
        </w:rPr>
        <w:t>包容性工作场所应雇佣残疾人，采取行动实现同工同酬和就业福利、无障碍通行、安全、培训、有利于残疾人的工作环境和不歧视。</w:t>
      </w:r>
      <w:r>
        <w:t>2008</w:t>
      </w:r>
      <w:r>
        <w:rPr>
          <w:rFonts w:hint="eastAsia"/>
        </w:rPr>
        <w:t>年至</w:t>
      </w:r>
      <w:r>
        <w:t>2010</w:t>
      </w:r>
      <w:r>
        <w:rPr>
          <w:rFonts w:hint="eastAsia"/>
        </w:rPr>
        <w:t>年，共向</w:t>
      </w:r>
      <w:r>
        <w:t>105</w:t>
      </w:r>
      <w:r>
        <w:rPr>
          <w:rFonts w:hint="eastAsia"/>
        </w:rPr>
        <w:t>个工作场所授予特别包容企业称号：这些企业雇佣了</w:t>
      </w:r>
      <w:r>
        <w:t>1,644</w:t>
      </w:r>
      <w:r>
        <w:rPr>
          <w:rFonts w:hint="eastAsia"/>
        </w:rPr>
        <w:t>名残疾人，占这些企业员工总数的</w:t>
      </w:r>
      <w:r>
        <w:t>67.2%</w:t>
      </w:r>
      <w:r>
        <w:rPr>
          <w:rFonts w:hint="eastAsia"/>
        </w:rPr>
        <w:t>。</w:t>
      </w:r>
    </w:p>
    <w:p w:rsidR="00A2190D" w:rsidRDefault="00A2190D">
      <w:pPr>
        <w:pStyle w:val="SingleTxtGC"/>
      </w:pPr>
      <w:r>
        <w:t>199.</w:t>
      </w:r>
      <w:r>
        <w:rPr>
          <w:rFonts w:hint="eastAsia"/>
        </w:rPr>
        <w:t xml:space="preserve">  </w:t>
      </w:r>
      <w:r>
        <w:t>2007</w:t>
      </w:r>
      <w:r>
        <w:rPr>
          <w:rFonts w:hint="eastAsia"/>
        </w:rPr>
        <w:t>年，国家防止和消除歧视理事会对外发布了《不歧视文化的识别模式》，目的是实施平等和消除基于偏见、信仰或疏忽的歧视的原则。</w:t>
      </w:r>
      <w:r>
        <w:t>2007</w:t>
      </w:r>
      <w:r>
        <w:rPr>
          <w:rFonts w:hint="eastAsia"/>
        </w:rPr>
        <w:t>年至</w:t>
      </w:r>
      <w:r>
        <w:t>2010</w:t>
      </w:r>
      <w:r>
        <w:rPr>
          <w:rFonts w:hint="eastAsia"/>
        </w:rPr>
        <w:t>年期间，国家防止和消除歧视理事会通过该模式辨识了</w:t>
      </w:r>
      <w:r>
        <w:t>49</w:t>
      </w:r>
      <w:r>
        <w:rPr>
          <w:rFonts w:hint="eastAsia"/>
        </w:rPr>
        <w:t>家公共、私人和社会企业的</w:t>
      </w:r>
      <w:r>
        <w:t>21,563</w:t>
      </w:r>
      <w:r>
        <w:rPr>
          <w:rFonts w:hint="eastAsia"/>
        </w:rPr>
        <w:t>名在各自工作场所工作的雇员。</w:t>
      </w:r>
      <w:r>
        <w:t>2010</w:t>
      </w:r>
      <w:r>
        <w:rPr>
          <w:rFonts w:hint="eastAsia"/>
        </w:rPr>
        <w:t>年起，国家防止和消除歧视理事会用“公共、私人和社会部门中不歧视策略”来代替《模式》的实施。</w:t>
      </w:r>
    </w:p>
    <w:p w:rsidR="00A2190D" w:rsidRDefault="00A2190D">
      <w:pPr>
        <w:pStyle w:val="SingleTxtGC"/>
      </w:pPr>
      <w:r>
        <w:t>200.</w:t>
      </w:r>
      <w:r>
        <w:rPr>
          <w:rFonts w:hint="eastAsia"/>
        </w:rPr>
        <w:t xml:space="preserve">  </w:t>
      </w:r>
      <w:r>
        <w:rPr>
          <w:rFonts w:hint="eastAsia"/>
        </w:rPr>
        <w:t>根据旨在使私有企业、公共单位和社会机构承担起审查和修改各自政策、流程和做法，以便纳入性别观点和采取扶持行动的国家妇女委员会的性别平等模型，墨西哥验证了一批采取行动、支持残疾人融入的企业。</w:t>
      </w:r>
    </w:p>
    <w:p w:rsidR="00A2190D" w:rsidRDefault="00A2190D">
      <w:pPr>
        <w:pStyle w:val="SingleTxtGC"/>
      </w:pPr>
      <w:r>
        <w:t>201.</w:t>
      </w:r>
      <w:r>
        <w:rPr>
          <w:rFonts w:hint="eastAsia"/>
        </w:rPr>
        <w:t xml:space="preserve">  </w:t>
      </w:r>
      <w:r>
        <w:rPr>
          <w:rFonts w:hint="eastAsia"/>
        </w:rPr>
        <w:t>墨西哥社会保障局制定了《在企业中宣传雇佣残疾人计划》，并在</w:t>
      </w:r>
      <w:r>
        <w:t>2008</w:t>
      </w:r>
      <w:r>
        <w:rPr>
          <w:rFonts w:hint="eastAsia"/>
        </w:rPr>
        <w:t>至</w:t>
      </w:r>
      <w:r>
        <w:t>2010</w:t>
      </w:r>
      <w:r>
        <w:rPr>
          <w:rFonts w:hint="eastAsia"/>
        </w:rPr>
        <w:t>年间通过该计划使全国共</w:t>
      </w:r>
      <w:r>
        <w:t>123</w:t>
      </w:r>
      <w:r>
        <w:rPr>
          <w:rFonts w:hint="eastAsia"/>
        </w:rPr>
        <w:t>家企业平均每家实现</w:t>
      </w:r>
      <w:r>
        <w:t>92</w:t>
      </w:r>
      <w:r>
        <w:rPr>
          <w:rFonts w:hint="eastAsia"/>
        </w:rPr>
        <w:t>位残疾人的再就业。该计划是与劳动和社会福利部一起实施的。</w:t>
      </w:r>
    </w:p>
    <w:p w:rsidR="00A2190D" w:rsidRDefault="00A2190D">
      <w:pPr>
        <w:pStyle w:val="SingleTxtGC"/>
      </w:pPr>
      <w:r>
        <w:t>202.</w:t>
      </w:r>
      <w:r>
        <w:rPr>
          <w:rFonts w:hint="eastAsia"/>
        </w:rPr>
        <w:t xml:space="preserve">  </w:t>
      </w:r>
      <w:r>
        <w:t>2010</w:t>
      </w:r>
      <w:r>
        <w:rPr>
          <w:rFonts w:hint="eastAsia"/>
        </w:rPr>
        <w:t>年，墨西哥批准通过了《残疾人工作与培训国家计划》，其总体目标是确保制定和实施针对残疾人的就业融合与自我就业政策，制定、组织和支持各种考虑到残疾人需求和特点、及劳动力市场需求的培训行动。同时，墨西哥于</w:t>
      </w:r>
      <w:r>
        <w:t>2008</w:t>
      </w:r>
      <w:r>
        <w:rPr>
          <w:rFonts w:hint="eastAsia"/>
        </w:rPr>
        <w:t>年通过签署协议的方式成立了目前有</w:t>
      </w:r>
      <w:r>
        <w:t>13</w:t>
      </w:r>
      <w:r>
        <w:rPr>
          <w:rFonts w:hint="eastAsia"/>
        </w:rPr>
        <w:t>个联邦政府机构和部门及民间社会参与的、有权协调制定《残疾人工作与培训国家计划》和推进采取这方面公共政策的、隶属于全国残疾人融合理事会的工作与培训委员会。</w:t>
      </w:r>
    </w:p>
    <w:p w:rsidR="00A2190D" w:rsidRDefault="00A2190D">
      <w:pPr>
        <w:pStyle w:val="SingleTxtGC"/>
      </w:pPr>
      <w:r>
        <w:t>203.</w:t>
      </w:r>
      <w:r>
        <w:rPr>
          <w:rFonts w:hint="eastAsia"/>
        </w:rPr>
        <w:t xml:space="preserve">  </w:t>
      </w:r>
      <w:r>
        <w:rPr>
          <w:rFonts w:hint="eastAsia"/>
        </w:rPr>
        <w:t>劳动和社会福利部倡导各种在生产机构中鼓励培训的政策和做法，如强化人力资本和就业融合的措施，尤其是残疾人工作和权利、有尊严工作及发展生产能力方面的教育。通过虚拟课堂中的多重代理教育和远程培训模式，墨西哥在</w:t>
      </w:r>
      <w:r>
        <w:t>2009</w:t>
      </w:r>
      <w:r>
        <w:rPr>
          <w:rFonts w:hint="eastAsia"/>
        </w:rPr>
        <w:t>和</w:t>
      </w:r>
      <w:r>
        <w:t>2010</w:t>
      </w:r>
      <w:r>
        <w:rPr>
          <w:rFonts w:hint="eastAsia"/>
        </w:rPr>
        <w:t>年共向</w:t>
      </w:r>
      <w:r>
        <w:t>454</w:t>
      </w:r>
      <w:r>
        <w:rPr>
          <w:rFonts w:hint="eastAsia"/>
        </w:rPr>
        <w:t>名残疾人提供了现场和远程培训，并帮助他们提升自身的竞争力和可被雇用性。虽然目前该模式的效果有限，但预计该模式会在将来会有更广泛的成果。</w:t>
      </w:r>
    </w:p>
    <w:p w:rsidR="00A2190D" w:rsidRDefault="00A2190D">
      <w:pPr>
        <w:pStyle w:val="SingleTxtGC"/>
      </w:pPr>
      <w:r>
        <w:t>204.</w:t>
      </w:r>
      <w:r>
        <w:rPr>
          <w:rFonts w:hint="eastAsia"/>
        </w:rPr>
        <w:t xml:space="preserve">  </w:t>
      </w:r>
      <w:r>
        <w:rPr>
          <w:rFonts w:hint="eastAsia"/>
        </w:rPr>
        <w:t>特别需要指出的是，《劳动者远程培训计划》有一个虚拟课堂开发了一些应用程序、并推出了一些改善残疾人无障碍通行能力的技术工具和手段</w:t>
      </w:r>
      <w:r>
        <w:rPr>
          <w:rFonts w:hint="eastAsia"/>
        </w:rPr>
        <w:t>(</w:t>
      </w:r>
      <w:r>
        <w:rPr>
          <w:rFonts w:hint="eastAsia"/>
        </w:rPr>
        <w:t>请参见第</w:t>
      </w:r>
      <w:r>
        <w:t>36</w:t>
      </w:r>
      <w:r>
        <w:rPr>
          <w:rFonts w:hint="eastAsia"/>
        </w:rPr>
        <w:t>号附件</w:t>
      </w:r>
      <w:r>
        <w:rPr>
          <w:rFonts w:hint="eastAsia"/>
        </w:rPr>
        <w:t>)</w:t>
      </w:r>
      <w:r>
        <w:rPr>
          <w:rFonts w:hint="eastAsia"/>
        </w:rPr>
        <w:t>。</w:t>
      </w:r>
    </w:p>
    <w:p w:rsidR="00A2190D" w:rsidRDefault="00A2190D">
      <w:pPr>
        <w:pStyle w:val="SingleTxtGC"/>
      </w:pPr>
      <w:r>
        <w:t>205.</w:t>
      </w:r>
      <w:r>
        <w:rPr>
          <w:rFonts w:hint="eastAsia"/>
        </w:rPr>
        <w:t xml:space="preserve">  </w:t>
      </w:r>
      <w:r>
        <w:rPr>
          <w:rFonts w:hint="eastAsia"/>
        </w:rPr>
        <w:t>公共教育部通过与为了美洲的信任组织的协调，在</w:t>
      </w:r>
      <w:r>
        <w:t>POETA</w:t>
      </w:r>
      <w:r>
        <w:rPr>
          <w:rFonts w:hint="eastAsia"/>
        </w:rPr>
        <w:t>(</w:t>
      </w:r>
      <w:r>
        <w:rPr>
          <w:rFonts w:hint="eastAsia"/>
        </w:rPr>
        <w:t>《通过科技提升美洲就业机会计划》</w:t>
      </w:r>
      <w:r>
        <w:rPr>
          <w:rFonts w:hint="eastAsia"/>
        </w:rPr>
        <w:t>)</w:t>
      </w:r>
      <w:r>
        <w:rPr>
          <w:rFonts w:hint="eastAsia"/>
        </w:rPr>
        <w:t>讲堂提供工作培训课程。该课堂采用了先进技术，会对残疾人提供信息技术方面的多门课程，目的就是使残疾人具备办公自动化方面的能力，以便他们获得就业机会。至</w:t>
      </w:r>
      <w:r>
        <w:t>2010</w:t>
      </w:r>
      <w:r>
        <w:rPr>
          <w:rFonts w:hint="eastAsia"/>
        </w:rPr>
        <w:t>年一季度末，墨西哥处于运作状态的《通过科技提升美洲就业机会计划》讲堂已上升至</w:t>
      </w:r>
      <w:r>
        <w:t>45</w:t>
      </w:r>
      <w:r>
        <w:rPr>
          <w:rFonts w:hint="eastAsia"/>
        </w:rPr>
        <w:t>个，登记参加工作培训课程的残疾学生增加到</w:t>
      </w:r>
      <w:r>
        <w:t>2,184</w:t>
      </w:r>
      <w:r>
        <w:rPr>
          <w:rFonts w:hint="eastAsia"/>
        </w:rPr>
        <w:t>人。</w:t>
      </w:r>
    </w:p>
    <w:p w:rsidR="00A2190D" w:rsidRDefault="00A2190D">
      <w:pPr>
        <w:pStyle w:val="SingleTxtGC"/>
      </w:pPr>
      <w:r>
        <w:t>206.</w:t>
      </w:r>
      <w:r>
        <w:rPr>
          <w:rFonts w:hint="eastAsia"/>
        </w:rPr>
        <w:t xml:space="preserve">  </w:t>
      </w:r>
      <w:r>
        <w:rPr>
          <w:rFonts w:hint="eastAsia"/>
        </w:rPr>
        <w:t>通过“帮助开展或拓宽残疾人事务”的方式，国家企业互助基金向残疾人比例不低于</w:t>
      </w:r>
      <w:r>
        <w:t>50%</w:t>
      </w:r>
      <w:r>
        <w:rPr>
          <w:rFonts w:hint="eastAsia"/>
        </w:rPr>
        <w:t>的成员社会组织或企业中的残疾人提供现金支持，帮助他们开展或拓宽残疾人事务。智力残疾人的父母或监护人可成为残疾人事务的成员或伙伴，这样智力残疾人就可以成为这类援助的间接受益人</w:t>
      </w:r>
      <w:r>
        <w:rPr>
          <w:rFonts w:hint="eastAsia"/>
        </w:rPr>
        <w:t>(</w:t>
      </w:r>
      <w:r>
        <w:rPr>
          <w:rFonts w:hint="eastAsia"/>
        </w:rPr>
        <w:t>请参见第</w:t>
      </w:r>
      <w:r>
        <w:t>37</w:t>
      </w:r>
      <w:r>
        <w:rPr>
          <w:rFonts w:hint="eastAsia"/>
        </w:rPr>
        <w:t>号附件</w:t>
      </w:r>
      <w:r>
        <w:rPr>
          <w:rFonts w:hint="eastAsia"/>
        </w:rPr>
        <w:t>)</w:t>
      </w:r>
      <w:r>
        <w:rPr>
          <w:rFonts w:hint="eastAsia"/>
        </w:rPr>
        <w:t>。</w:t>
      </w:r>
    </w:p>
    <w:p w:rsidR="00A2190D" w:rsidRDefault="00A2190D">
      <w:pPr>
        <w:pStyle w:val="SingleTxtGC"/>
        <w:rPr>
          <w:rStyle w:val="FootnoteReference"/>
        </w:rPr>
      </w:pPr>
      <w:r>
        <w:t>207.</w:t>
      </w:r>
      <w:r>
        <w:rPr>
          <w:rFonts w:hint="eastAsia"/>
        </w:rPr>
        <w:t xml:space="preserve">  </w:t>
      </w:r>
      <w:r>
        <w:rPr>
          <w:rFonts w:hint="eastAsia"/>
        </w:rPr>
        <w:t>《所得税法》第</w:t>
      </w:r>
      <w:r>
        <w:t>222</w:t>
      </w:r>
      <w:r>
        <w:rPr>
          <w:rFonts w:hint="eastAsia"/>
        </w:rPr>
        <w:t>条允许对根据上述规定雇佣残疾人的企业主减免税收。墨西哥还有其他财政刺激手段和鼓励就业融合的措施。</w:t>
      </w:r>
      <w:r>
        <w:rPr>
          <w:rStyle w:val="FootnoteReference"/>
        </w:rPr>
        <w:footnoteReference w:id="37"/>
      </w:r>
    </w:p>
    <w:p w:rsidR="00A2190D" w:rsidRDefault="00A2190D">
      <w:pPr>
        <w:pStyle w:val="SingleTxtGC"/>
      </w:pPr>
      <w:r>
        <w:t>208.</w:t>
      </w:r>
      <w:r>
        <w:rPr>
          <w:rFonts w:hint="eastAsia"/>
        </w:rPr>
        <w:t xml:space="preserve">  </w:t>
      </w:r>
      <w:r>
        <w:rPr>
          <w:rFonts w:hint="eastAsia"/>
        </w:rPr>
        <w:t>作为旨在履行《公约》一般原则的行动，墨西哥社会保障局正在进行一项分析，目的是检查保证享受残疾抚恤金的残疾人在进入劳动力市场时不放弃之前已获得认可的抚恤金权利、并可在停止工作时重新领取抚恤金的可行性。另一方面，墨西哥社会保障局对用来确认申请人医疗和劳动状况的指南进行了修改，目的是删除出于残疾原因的歧视性条款，并提出一个就业融合的框架。</w:t>
      </w:r>
    </w:p>
    <w:p w:rsidR="00A2190D" w:rsidRDefault="00A2190D">
      <w:pPr>
        <w:pStyle w:val="SingleTxtGC"/>
      </w:pPr>
      <w:r>
        <w:t>209.</w:t>
      </w:r>
      <w:r>
        <w:rPr>
          <w:rFonts w:hint="eastAsia"/>
        </w:rPr>
        <w:t xml:space="preserve">  </w:t>
      </w:r>
      <w:r>
        <w:rPr>
          <w:rFonts w:hint="eastAsia"/>
        </w:rPr>
        <w:t>劳动者社会保障与服务国家委员会已向所有劳动者通报了行使《新劳动者社会保障和服务国家委员会法》支持的、行使劳动保护权利的相关流程，并通过该流程在公正和有利的条件下为残疾人分配新工作。</w:t>
      </w:r>
    </w:p>
    <w:p w:rsidR="00A2190D" w:rsidRDefault="00A2190D">
      <w:pPr>
        <w:pStyle w:val="SingleTxtGC"/>
      </w:pPr>
      <w:r>
        <w:t>210.</w:t>
      </w:r>
      <w:r>
        <w:rPr>
          <w:rFonts w:hint="eastAsia"/>
        </w:rPr>
        <w:t xml:space="preserve">  </w:t>
      </w:r>
      <w:r>
        <w:rPr>
          <w:rFonts w:hint="eastAsia"/>
        </w:rPr>
        <w:t>目前仍在构建过程中的公务员统一登记及联邦公共行政管理机构残疾人就业融合登记将会拥有在联邦政府中工作的残疾人数量的确切信息。</w:t>
      </w:r>
    </w:p>
    <w:p w:rsidR="00A2190D" w:rsidRDefault="00A2190D">
      <w:pPr>
        <w:pStyle w:val="SingleTxtGC"/>
      </w:pPr>
      <w:r>
        <w:t>211.</w:t>
      </w:r>
      <w:r>
        <w:rPr>
          <w:rFonts w:hint="eastAsia"/>
        </w:rPr>
        <w:t xml:space="preserve">  </w:t>
      </w:r>
      <w:r>
        <w:rPr>
          <w:rFonts w:hint="eastAsia"/>
        </w:rPr>
        <w:t>劳动和社会福利部的某些机构已对公务员进行普查，以确认在这些机构中工作的残疾人的数量；普查数据以残疾类型、性别及占总雇员数的百分比进行分列。</w:t>
      </w:r>
    </w:p>
    <w:p w:rsidR="00A2190D" w:rsidRDefault="00A2190D">
      <w:pPr>
        <w:pStyle w:val="SingleTxtGC"/>
      </w:pPr>
      <w:r>
        <w:t>212.</w:t>
      </w:r>
      <w:r>
        <w:rPr>
          <w:rFonts w:hint="eastAsia"/>
        </w:rPr>
        <w:t xml:space="preserve">  </w:t>
      </w:r>
      <w:r>
        <w:rPr>
          <w:rFonts w:hint="eastAsia"/>
        </w:rPr>
        <w:t>同样，一些机构</w:t>
      </w:r>
      <w:r>
        <w:rPr>
          <w:rFonts w:hint="eastAsia"/>
        </w:rPr>
        <w:t>(</w:t>
      </w:r>
      <w:r>
        <w:rPr>
          <w:rFonts w:hint="eastAsia"/>
        </w:rPr>
        <w:t>如：国家儿科研究所</w:t>
      </w:r>
      <w:r>
        <w:rPr>
          <w:rFonts w:hint="eastAsia"/>
        </w:rPr>
        <w:t>)</w:t>
      </w:r>
      <w:r>
        <w:rPr>
          <w:rFonts w:hint="eastAsia"/>
        </w:rPr>
        <w:t>规定员工中残疾人的比例不得低于</w:t>
      </w:r>
      <w:r>
        <w:t>10%</w:t>
      </w:r>
      <w:r>
        <w:rPr>
          <w:rFonts w:hint="eastAsia"/>
        </w:rPr>
        <w:t>。</w:t>
      </w:r>
    </w:p>
    <w:p w:rsidR="00A2190D" w:rsidRDefault="00A2190D">
      <w:pPr>
        <w:pStyle w:val="H1GC"/>
      </w:pPr>
      <w:r>
        <w:tab/>
      </w:r>
      <w:r>
        <w:tab/>
      </w:r>
      <w:r>
        <w:rPr>
          <w:rFonts w:hint="eastAsia"/>
        </w:rPr>
        <w:t>第二十八条</w:t>
      </w:r>
      <w:r>
        <w:br/>
      </w:r>
      <w:r>
        <w:rPr>
          <w:rFonts w:hint="eastAsia"/>
        </w:rPr>
        <w:t>适足的生活水平和社会保护</w:t>
      </w:r>
    </w:p>
    <w:p w:rsidR="00A2190D" w:rsidRDefault="00A2190D">
      <w:pPr>
        <w:pStyle w:val="SingleTxtGC"/>
      </w:pPr>
      <w:r>
        <w:t>213.</w:t>
      </w:r>
      <w:r>
        <w:rPr>
          <w:rFonts w:hint="eastAsia"/>
        </w:rPr>
        <w:t xml:space="preserve">  </w:t>
      </w:r>
      <w:r>
        <w:t>2008</w:t>
      </w:r>
      <w:r>
        <w:rPr>
          <w:rFonts w:hint="eastAsia"/>
        </w:rPr>
        <w:t>年以来，墨西哥对社会发展部的项目的《工作规则》进行了修订，目的是加入考虑了缺乏资源的残疾人的实际情况的各种标准。</w:t>
      </w:r>
      <w:r>
        <w:t>2009</w:t>
      </w:r>
      <w:r>
        <w:rPr>
          <w:rFonts w:hint="eastAsia"/>
        </w:rPr>
        <w:t>年和</w:t>
      </w:r>
      <w:r>
        <w:t>2010</w:t>
      </w:r>
      <w:r>
        <w:rPr>
          <w:rFonts w:hint="eastAsia"/>
        </w:rPr>
        <w:t>年，《支持就业母亲的托儿所计划》、《</w:t>
      </w:r>
      <w:r>
        <w:t>70</w:t>
      </w:r>
      <w:r>
        <w:rPr>
          <w:rFonts w:hint="eastAsia"/>
        </w:rPr>
        <w:t>岁以上计划》、《居住环境计划》、《恢复公共空间计划》、《机会计划》、《牛奶的社会供给计划》、《社会共同投入计划》、《“你的家”住房储蓄和津贴计划》和《农村住房计划》均在各自的工作规则中加入了这类标准。</w:t>
      </w:r>
    </w:p>
    <w:p w:rsidR="00A2190D" w:rsidRDefault="00A2190D">
      <w:pPr>
        <w:pStyle w:val="SingleTxtGC"/>
      </w:pPr>
      <w:r>
        <w:t>214.</w:t>
      </w:r>
      <w:r>
        <w:rPr>
          <w:rFonts w:hint="eastAsia"/>
        </w:rPr>
        <w:t xml:space="preserve">  </w:t>
      </w:r>
      <w:r>
        <w:t>2010</w:t>
      </w:r>
      <w:r>
        <w:rPr>
          <w:rFonts w:hint="eastAsia"/>
        </w:rPr>
        <w:t>年，全国残疾人理事会和国家社会发展研究所首次对外公布了一项金额为</w:t>
      </w:r>
      <w:r>
        <w:t>1300</w:t>
      </w:r>
      <w:r>
        <w:rPr>
          <w:rFonts w:hint="eastAsia"/>
        </w:rPr>
        <w:t>万墨西哥比索的通知，其目的是“鼓励在教育、无障碍通行方面的行动，以及有利于实现残疾人权利和机会平等，并推进残疾人及其家庭在通讯、移动性、生活自理、辨别方向、安全、健康、实用学科、闲暇时间和工作方面得到发展的措施”。</w:t>
      </w:r>
    </w:p>
    <w:p w:rsidR="00A2190D" w:rsidRDefault="00A2190D">
      <w:pPr>
        <w:pStyle w:val="SingleTxtGC"/>
        <w:rPr>
          <w:rFonts w:hint="eastAsia"/>
        </w:rPr>
      </w:pPr>
      <w:r>
        <w:t>215.</w:t>
      </w:r>
      <w:r>
        <w:rPr>
          <w:rFonts w:hint="eastAsia"/>
        </w:rPr>
        <w:t xml:space="preserve">  </w:t>
      </w:r>
      <w:r>
        <w:rPr>
          <w:rFonts w:hint="eastAsia"/>
        </w:rPr>
        <w:t>国家家庭全面发展体系会关注需要特别照顾者，并引导他们向提供这类服务的民间社会组织和部门寻求帮助。</w:t>
      </w:r>
    </w:p>
    <w:tbl>
      <w:tblPr>
        <w:tblW w:w="7370" w:type="dxa"/>
        <w:tblInd w:w="1134" w:type="dxa"/>
        <w:tblLayout w:type="fixed"/>
        <w:tblCellMar>
          <w:left w:w="0" w:type="dxa"/>
          <w:right w:w="0" w:type="dxa"/>
        </w:tblCellMar>
        <w:tblLook w:val="00A0"/>
      </w:tblPr>
      <w:tblGrid>
        <w:gridCol w:w="1896"/>
        <w:gridCol w:w="5474"/>
      </w:tblGrid>
      <w:tr w:rsidR="00A2190D">
        <w:trPr>
          <w:tblHeader/>
        </w:trPr>
        <w:tc>
          <w:tcPr>
            <w:tcW w:w="1896" w:type="dxa"/>
            <w:tcBorders>
              <w:top w:val="single" w:sz="4" w:space="0" w:color="auto"/>
              <w:bottom w:val="single" w:sz="12" w:space="0" w:color="auto"/>
            </w:tcBorders>
            <w:shd w:val="clear" w:color="auto" w:fill="auto"/>
            <w:vAlign w:val="bottom"/>
          </w:tcPr>
          <w:p w:rsidR="00A2190D" w:rsidRDefault="00A2190D">
            <w:pPr>
              <w:pStyle w:val="a2"/>
              <w:ind w:right="0"/>
              <w:rPr>
                <w:rFonts w:hint="eastAsia"/>
              </w:rPr>
            </w:pPr>
            <w:r>
              <w:rPr>
                <w:rFonts w:hint="eastAsia"/>
                <w:lang w:val="zh-CN"/>
              </w:rPr>
              <w:t>年份</w:t>
            </w:r>
          </w:p>
        </w:tc>
        <w:tc>
          <w:tcPr>
            <w:tcW w:w="5474" w:type="dxa"/>
            <w:tcBorders>
              <w:top w:val="single" w:sz="4" w:space="0" w:color="auto"/>
              <w:bottom w:val="single" w:sz="12" w:space="0" w:color="auto"/>
            </w:tcBorders>
            <w:shd w:val="clear" w:color="auto" w:fill="auto"/>
            <w:vAlign w:val="bottom"/>
          </w:tcPr>
          <w:p w:rsidR="00A2190D" w:rsidRDefault="00A2190D">
            <w:pPr>
              <w:pStyle w:val="a2"/>
              <w:ind w:right="0"/>
              <w:jc w:val="right"/>
              <w:rPr>
                <w:rFonts w:hint="eastAsia"/>
              </w:rPr>
            </w:pPr>
            <w:r>
              <w:rPr>
                <w:rFonts w:hint="eastAsia"/>
                <w:lang w:val="zh-CN"/>
              </w:rPr>
              <w:t>专业关怀服务数量</w:t>
            </w:r>
          </w:p>
        </w:tc>
      </w:tr>
      <w:tr w:rsidR="00A2190D">
        <w:tc>
          <w:tcPr>
            <w:tcW w:w="1896" w:type="dxa"/>
            <w:tcBorders>
              <w:top w:val="single" w:sz="12" w:space="0" w:color="auto"/>
            </w:tcBorders>
            <w:shd w:val="clear" w:color="auto" w:fill="auto"/>
          </w:tcPr>
          <w:p w:rsidR="00A2190D" w:rsidRDefault="00A2190D">
            <w:pPr>
              <w:pStyle w:val="a7"/>
              <w:rPr>
                <w:szCs w:val="18"/>
                <w:lang w:val="es-MX"/>
              </w:rPr>
            </w:pPr>
            <w:r>
              <w:rPr>
                <w:szCs w:val="18"/>
                <w:lang w:val="es-MX"/>
              </w:rPr>
              <w:t>2007</w:t>
            </w:r>
          </w:p>
        </w:tc>
        <w:tc>
          <w:tcPr>
            <w:tcW w:w="5474" w:type="dxa"/>
            <w:tcBorders>
              <w:top w:val="single" w:sz="12" w:space="0" w:color="auto"/>
            </w:tcBorders>
            <w:shd w:val="clear" w:color="auto" w:fill="auto"/>
          </w:tcPr>
          <w:p w:rsidR="00A2190D" w:rsidRDefault="00A2190D">
            <w:pPr>
              <w:pStyle w:val="a7"/>
              <w:ind w:right="0"/>
              <w:jc w:val="right"/>
              <w:rPr>
                <w:szCs w:val="18"/>
                <w:lang w:val="es-MX"/>
              </w:rPr>
            </w:pPr>
            <w:r>
              <w:rPr>
                <w:szCs w:val="18"/>
                <w:lang w:val="es-MX"/>
              </w:rPr>
              <w:t>2 164</w:t>
            </w:r>
          </w:p>
        </w:tc>
      </w:tr>
      <w:tr w:rsidR="00A2190D">
        <w:tc>
          <w:tcPr>
            <w:tcW w:w="1896" w:type="dxa"/>
            <w:shd w:val="clear" w:color="auto" w:fill="auto"/>
          </w:tcPr>
          <w:p w:rsidR="00A2190D" w:rsidRDefault="00A2190D">
            <w:pPr>
              <w:pStyle w:val="a7"/>
              <w:rPr>
                <w:szCs w:val="18"/>
                <w:lang w:val="es-MX"/>
              </w:rPr>
            </w:pPr>
            <w:r>
              <w:rPr>
                <w:szCs w:val="18"/>
                <w:lang w:val="es-MX"/>
              </w:rPr>
              <w:t>2008</w:t>
            </w:r>
          </w:p>
        </w:tc>
        <w:tc>
          <w:tcPr>
            <w:tcW w:w="5474" w:type="dxa"/>
            <w:shd w:val="clear" w:color="auto" w:fill="auto"/>
          </w:tcPr>
          <w:p w:rsidR="00A2190D" w:rsidRDefault="00A2190D">
            <w:pPr>
              <w:pStyle w:val="a7"/>
              <w:ind w:right="0"/>
              <w:jc w:val="right"/>
              <w:rPr>
                <w:szCs w:val="18"/>
                <w:lang w:val="es-MX"/>
              </w:rPr>
            </w:pPr>
            <w:r>
              <w:rPr>
                <w:szCs w:val="18"/>
                <w:lang w:val="es-MX"/>
              </w:rPr>
              <w:t>3 971</w:t>
            </w:r>
          </w:p>
        </w:tc>
      </w:tr>
      <w:tr w:rsidR="00A2190D">
        <w:tc>
          <w:tcPr>
            <w:tcW w:w="1896" w:type="dxa"/>
            <w:shd w:val="clear" w:color="auto" w:fill="auto"/>
          </w:tcPr>
          <w:p w:rsidR="00A2190D" w:rsidRDefault="00A2190D">
            <w:pPr>
              <w:pStyle w:val="a7"/>
              <w:rPr>
                <w:szCs w:val="18"/>
                <w:lang w:val="es-MX"/>
              </w:rPr>
            </w:pPr>
            <w:r>
              <w:rPr>
                <w:szCs w:val="18"/>
                <w:lang w:val="es-MX"/>
              </w:rPr>
              <w:t>2009</w:t>
            </w:r>
          </w:p>
        </w:tc>
        <w:tc>
          <w:tcPr>
            <w:tcW w:w="5474" w:type="dxa"/>
            <w:shd w:val="clear" w:color="auto" w:fill="auto"/>
          </w:tcPr>
          <w:p w:rsidR="00A2190D" w:rsidRDefault="00A2190D">
            <w:pPr>
              <w:pStyle w:val="a7"/>
              <w:ind w:right="0"/>
              <w:jc w:val="right"/>
              <w:rPr>
                <w:szCs w:val="18"/>
                <w:lang w:val="es-MX"/>
              </w:rPr>
            </w:pPr>
            <w:r>
              <w:rPr>
                <w:szCs w:val="18"/>
                <w:lang w:val="es-MX"/>
              </w:rPr>
              <w:t>4 682</w:t>
            </w:r>
          </w:p>
        </w:tc>
      </w:tr>
      <w:tr w:rsidR="00A2190D">
        <w:tc>
          <w:tcPr>
            <w:tcW w:w="1896" w:type="dxa"/>
            <w:tcBorders>
              <w:bottom w:val="single" w:sz="12" w:space="0" w:color="auto"/>
            </w:tcBorders>
            <w:shd w:val="clear" w:color="auto" w:fill="auto"/>
          </w:tcPr>
          <w:p w:rsidR="00A2190D" w:rsidRDefault="00A2190D">
            <w:pPr>
              <w:pStyle w:val="a7"/>
              <w:rPr>
                <w:szCs w:val="18"/>
                <w:lang w:val="es-MX"/>
              </w:rPr>
            </w:pPr>
            <w:r>
              <w:rPr>
                <w:szCs w:val="18"/>
                <w:lang w:val="es-MX"/>
              </w:rPr>
              <w:t>2010</w:t>
            </w:r>
          </w:p>
        </w:tc>
        <w:tc>
          <w:tcPr>
            <w:tcW w:w="5474" w:type="dxa"/>
            <w:tcBorders>
              <w:bottom w:val="single" w:sz="12" w:space="0" w:color="auto"/>
            </w:tcBorders>
            <w:shd w:val="clear" w:color="auto" w:fill="auto"/>
          </w:tcPr>
          <w:p w:rsidR="00A2190D" w:rsidRDefault="00A2190D">
            <w:pPr>
              <w:pStyle w:val="a7"/>
              <w:ind w:right="0"/>
              <w:jc w:val="right"/>
              <w:rPr>
                <w:szCs w:val="18"/>
                <w:lang w:val="es-MX"/>
              </w:rPr>
            </w:pPr>
            <w:r>
              <w:rPr>
                <w:szCs w:val="18"/>
                <w:lang w:val="es-MX"/>
              </w:rPr>
              <w:t>3 776</w:t>
            </w:r>
          </w:p>
        </w:tc>
      </w:tr>
    </w:tbl>
    <w:p w:rsidR="00A2190D" w:rsidRDefault="00A2190D">
      <w:pPr>
        <w:pStyle w:val="SingleTxtGC"/>
        <w:spacing w:after="0" w:line="200" w:lineRule="exact"/>
        <w:rPr>
          <w:sz w:val="19"/>
        </w:rPr>
      </w:pPr>
    </w:p>
    <w:p w:rsidR="00A2190D" w:rsidRDefault="00A2190D">
      <w:pPr>
        <w:pStyle w:val="SingleTxtGC"/>
        <w:rPr>
          <w:sz w:val="19"/>
        </w:rPr>
      </w:pPr>
      <w:r>
        <w:rPr>
          <w:rFonts w:eastAsia="KaiTi_GB2312" w:hint="eastAsia"/>
          <w:sz w:val="19"/>
        </w:rPr>
        <w:t>数据</w:t>
      </w:r>
      <w:r>
        <w:rPr>
          <w:rFonts w:eastAsia="KaiTi_GB2312" w:hint="eastAsia"/>
          <w:sz w:val="19"/>
          <w:szCs w:val="24"/>
          <w:lang w:val="zh-CN"/>
        </w:rPr>
        <w:t>来源</w:t>
      </w:r>
      <w:r>
        <w:rPr>
          <w:rFonts w:hint="eastAsia"/>
          <w:sz w:val="19"/>
          <w:szCs w:val="24"/>
          <w:lang w:val="zh-CN"/>
        </w:rPr>
        <w:t>：</w:t>
      </w:r>
      <w:r>
        <w:rPr>
          <w:rFonts w:hint="eastAsia"/>
          <w:sz w:val="19"/>
          <w:lang w:val="zh-CN"/>
        </w:rPr>
        <w:t>国家家庭全面发展体系。</w:t>
      </w:r>
    </w:p>
    <w:p w:rsidR="00A2190D" w:rsidRDefault="00A2190D">
      <w:pPr>
        <w:pStyle w:val="SingleTxtGC"/>
      </w:pPr>
      <w:r>
        <w:t>216.</w:t>
      </w:r>
      <w:r>
        <w:rPr>
          <w:rFonts w:hint="eastAsia"/>
        </w:rPr>
        <w:t xml:space="preserve">  </w:t>
      </w:r>
      <w:r>
        <w:rPr>
          <w:rFonts w:hint="eastAsia"/>
        </w:rPr>
        <w:t>《国家住房计划</w:t>
      </w:r>
      <w:r>
        <w:rPr>
          <w:rFonts w:hint="eastAsia"/>
        </w:rPr>
        <w:t>(</w:t>
      </w:r>
      <w:r>
        <w:t>2008-2012</w:t>
      </w:r>
      <w:r>
        <w:rPr>
          <w:rFonts w:hint="eastAsia"/>
        </w:rPr>
        <w:t>年</w:t>
      </w:r>
      <w:r>
        <w:rPr>
          <w:rFonts w:hint="eastAsia"/>
        </w:rPr>
        <w:t>)</w:t>
      </w:r>
      <w:r>
        <w:rPr>
          <w:rFonts w:hint="eastAsia"/>
        </w:rPr>
        <w:t>》会推动针对包括残疾人在内的特定群体的优先标准，以使这些人在早年就能积累财富。</w:t>
      </w:r>
    </w:p>
    <w:p w:rsidR="00A2190D" w:rsidRDefault="00A2190D">
      <w:pPr>
        <w:pStyle w:val="SingleTxtGC"/>
      </w:pPr>
      <w:r>
        <w:t>217.</w:t>
      </w:r>
      <w:r>
        <w:rPr>
          <w:rFonts w:hint="eastAsia"/>
        </w:rPr>
        <w:t xml:space="preserve">  </w:t>
      </w:r>
      <w:r>
        <w:rPr>
          <w:rFonts w:hint="eastAsia"/>
        </w:rPr>
        <w:t>国家劳动者住房基金委员会有一个名为《定制住宅》的计划，目的是使残疾人有能力购买无障碍住宅。委员会通过该计划倡导：</w:t>
      </w:r>
      <w:r>
        <w:t>(a</w:t>
      </w:r>
      <w:r>
        <w:rPr>
          <w:rFonts w:hint="eastAsia"/>
        </w:rPr>
        <w:t>)</w:t>
      </w:r>
      <w:r>
        <w:t xml:space="preserve"> </w:t>
      </w:r>
      <w:r>
        <w:rPr>
          <w:rFonts w:hint="eastAsia"/>
        </w:rPr>
        <w:t>使残疾人在平等条件下获得按揭贷款；</w:t>
      </w:r>
      <w:r>
        <w:t>(b</w:t>
      </w:r>
      <w:r>
        <w:rPr>
          <w:rFonts w:hint="eastAsia"/>
        </w:rPr>
        <w:t>)</w:t>
      </w:r>
      <w:r>
        <w:t xml:space="preserve"> </w:t>
      </w:r>
      <w:r>
        <w:rPr>
          <w:rFonts w:hint="eastAsia"/>
        </w:rPr>
        <w:t>使残疾人购得可改建、且能满足残疾人无障碍通行需求的房屋；</w:t>
      </w:r>
      <w:r>
        <w:t>(c</w:t>
      </w:r>
      <w:r>
        <w:rPr>
          <w:rFonts w:hint="eastAsia"/>
        </w:rPr>
        <w:t>)</w:t>
      </w:r>
      <w:r>
        <w:t xml:space="preserve"> </w:t>
      </w:r>
      <w:r>
        <w:rPr>
          <w:rFonts w:hint="eastAsia"/>
        </w:rPr>
        <w:t>在实施委员会贷款的住房单位中落实无障碍通行。</w:t>
      </w:r>
    </w:p>
    <w:p w:rsidR="00A2190D" w:rsidRDefault="00A2190D">
      <w:pPr>
        <w:pStyle w:val="SingleTxtGC"/>
        <w:rPr>
          <w:rFonts w:hint="eastAsia"/>
        </w:rPr>
      </w:pPr>
      <w:r>
        <w:t>218.</w:t>
      </w:r>
      <w:r>
        <w:rPr>
          <w:rFonts w:hint="eastAsia"/>
        </w:rPr>
        <w:t xml:space="preserve">  </w:t>
      </w:r>
      <w:r>
        <w:rPr>
          <w:rFonts w:hint="eastAsia"/>
        </w:rPr>
        <w:t>国家人民住房基金的各项住房计划希望能改善贫困者的生活质量；作为扶持性措施，这些计划优先关注和照顾残疾人</w:t>
      </w:r>
      <w:r>
        <w:rPr>
          <w:rFonts w:hint="eastAsia"/>
        </w:rPr>
        <w:t>(</w:t>
      </w:r>
      <w:r>
        <w:rPr>
          <w:rFonts w:hint="eastAsia"/>
        </w:rPr>
        <w:t>请参见第</w:t>
      </w:r>
      <w:r>
        <w:t>38</w:t>
      </w:r>
      <w:r>
        <w:rPr>
          <w:rFonts w:hint="eastAsia"/>
        </w:rPr>
        <w:t>号附件</w:t>
      </w:r>
      <w:r>
        <w:rPr>
          <w:rFonts w:hint="eastAsia"/>
        </w:rPr>
        <w:t>)</w:t>
      </w:r>
      <w:r>
        <w:rPr>
          <w:rFonts w:hint="eastAsia"/>
        </w:rPr>
        <w:t>。</w:t>
      </w:r>
    </w:p>
    <w:tbl>
      <w:tblPr>
        <w:tblW w:w="7370" w:type="dxa"/>
        <w:tblInd w:w="1134" w:type="dxa"/>
        <w:tblLayout w:type="fixed"/>
        <w:tblCellMar>
          <w:left w:w="0" w:type="dxa"/>
          <w:right w:w="0" w:type="dxa"/>
        </w:tblCellMar>
        <w:tblLook w:val="00A0"/>
      </w:tblPr>
      <w:tblGrid>
        <w:gridCol w:w="1054"/>
        <w:gridCol w:w="650"/>
        <w:gridCol w:w="1430"/>
        <w:gridCol w:w="650"/>
        <w:gridCol w:w="1430"/>
        <w:gridCol w:w="717"/>
        <w:gridCol w:w="1439"/>
      </w:tblGrid>
      <w:tr w:rsidR="00A2190D">
        <w:tc>
          <w:tcPr>
            <w:tcW w:w="1054" w:type="dxa"/>
            <w:vMerge w:val="restart"/>
            <w:tcBorders>
              <w:top w:val="single" w:sz="4" w:space="0" w:color="auto"/>
              <w:bottom w:val="single" w:sz="12" w:space="0" w:color="auto"/>
            </w:tcBorders>
            <w:shd w:val="clear" w:color="auto" w:fill="auto"/>
            <w:tcMar>
              <w:top w:w="0" w:type="dxa"/>
              <w:left w:w="108" w:type="dxa"/>
              <w:bottom w:w="0" w:type="dxa"/>
              <w:right w:w="108" w:type="dxa"/>
            </w:tcMar>
            <w:vAlign w:val="bottom"/>
          </w:tcPr>
          <w:p w:rsidR="00A2190D" w:rsidRDefault="00A2190D">
            <w:pPr>
              <w:pStyle w:val="a2"/>
              <w:ind w:right="0"/>
            </w:pPr>
            <w:r>
              <w:rPr>
                <w:rFonts w:hint="eastAsia"/>
                <w:lang w:val="zh-CN"/>
              </w:rPr>
              <w:t>周期</w:t>
            </w:r>
            <w:r>
              <w:rPr>
                <w:rStyle w:val="FootnoteReference"/>
                <w:rFonts w:eastAsia="SimSun"/>
                <w:position w:val="6"/>
                <w:sz w:val="18"/>
                <w:vertAlign w:val="baseline"/>
              </w:rPr>
              <w:t>*</w:t>
            </w:r>
            <w:r>
              <w:rPr>
                <w:lang w:val="zh-CN"/>
              </w:rPr>
              <w:t>/</w:t>
            </w:r>
          </w:p>
          <w:p w:rsidR="00A2190D" w:rsidRDefault="00A2190D">
            <w:pPr>
              <w:pStyle w:val="a2"/>
              <w:ind w:right="0"/>
              <w:jc w:val="left"/>
              <w:rPr>
                <w:rFonts w:hint="eastAsia"/>
              </w:rPr>
            </w:pPr>
            <w:r>
              <w:rPr>
                <w:lang w:val="zh-CN"/>
              </w:rPr>
              <w:t>/</w:t>
            </w:r>
            <w:r>
              <w:rPr>
                <w:rFonts w:hint="eastAsia"/>
                <w:lang w:val="zh-CN"/>
              </w:rPr>
              <w:t>计划</w:t>
            </w:r>
          </w:p>
        </w:tc>
        <w:tc>
          <w:tcPr>
            <w:tcW w:w="2080" w:type="dxa"/>
            <w:gridSpan w:val="2"/>
            <w:tcBorders>
              <w:top w:val="single" w:sz="4" w:space="0" w:color="auto"/>
              <w:bottom w:val="single" w:sz="6" w:space="0" w:color="auto"/>
              <w:right w:val="single" w:sz="24" w:space="0" w:color="FFFFFF"/>
            </w:tcBorders>
            <w:shd w:val="clear" w:color="auto" w:fill="auto"/>
            <w:tcMar>
              <w:top w:w="0" w:type="dxa"/>
              <w:left w:w="108" w:type="dxa"/>
              <w:bottom w:w="0" w:type="dxa"/>
              <w:right w:w="108" w:type="dxa"/>
            </w:tcMar>
            <w:vAlign w:val="bottom"/>
          </w:tcPr>
          <w:p w:rsidR="00A2190D" w:rsidRDefault="00A2190D">
            <w:pPr>
              <w:pStyle w:val="a2"/>
              <w:ind w:right="0"/>
              <w:jc w:val="center"/>
              <w:rPr>
                <w:rFonts w:hint="eastAsia"/>
                <w:lang w:val="zh-CN"/>
              </w:rPr>
            </w:pPr>
            <w:r>
              <w:rPr>
                <w:lang w:val="zh-CN"/>
              </w:rPr>
              <w:t>2008</w:t>
            </w:r>
            <w:r>
              <w:t>-</w:t>
            </w:r>
            <w:r>
              <w:rPr>
                <w:lang w:val="zh-CN"/>
              </w:rPr>
              <w:t>2009</w:t>
            </w:r>
            <w:r>
              <w:rPr>
                <w:rFonts w:hint="eastAsia"/>
                <w:lang w:val="zh-CN"/>
              </w:rPr>
              <w:t>年</w:t>
            </w:r>
          </w:p>
        </w:tc>
        <w:tc>
          <w:tcPr>
            <w:tcW w:w="2080" w:type="dxa"/>
            <w:gridSpan w:val="2"/>
            <w:tcBorders>
              <w:top w:val="single" w:sz="4" w:space="0" w:color="auto"/>
              <w:left w:val="single" w:sz="24" w:space="0" w:color="FFFFFF"/>
              <w:bottom w:val="single" w:sz="6" w:space="0" w:color="auto"/>
              <w:right w:val="single" w:sz="24" w:space="0" w:color="FFFFFF"/>
            </w:tcBorders>
            <w:shd w:val="clear" w:color="auto" w:fill="auto"/>
            <w:tcMar>
              <w:top w:w="0" w:type="dxa"/>
              <w:left w:w="108" w:type="dxa"/>
              <w:bottom w:w="0" w:type="dxa"/>
              <w:right w:w="108" w:type="dxa"/>
            </w:tcMar>
            <w:vAlign w:val="bottom"/>
          </w:tcPr>
          <w:p w:rsidR="00A2190D" w:rsidRDefault="00A2190D">
            <w:pPr>
              <w:pStyle w:val="a2"/>
              <w:ind w:right="0"/>
              <w:jc w:val="center"/>
              <w:rPr>
                <w:rFonts w:hint="eastAsia"/>
                <w:lang w:val="zh-CN"/>
              </w:rPr>
            </w:pPr>
            <w:r>
              <w:rPr>
                <w:lang w:val="zh-CN"/>
              </w:rPr>
              <w:t>2009</w:t>
            </w:r>
            <w:r>
              <w:t>-</w:t>
            </w:r>
            <w:r>
              <w:rPr>
                <w:lang w:val="zh-CN"/>
              </w:rPr>
              <w:t>2010</w:t>
            </w:r>
            <w:r>
              <w:rPr>
                <w:rFonts w:hint="eastAsia"/>
                <w:lang w:val="zh-CN"/>
              </w:rPr>
              <w:t>年</w:t>
            </w:r>
          </w:p>
        </w:tc>
        <w:tc>
          <w:tcPr>
            <w:tcW w:w="2156" w:type="dxa"/>
            <w:gridSpan w:val="2"/>
            <w:tcBorders>
              <w:top w:val="single" w:sz="4" w:space="0" w:color="auto"/>
              <w:left w:val="single" w:sz="24" w:space="0" w:color="FFFFFF"/>
              <w:bottom w:val="single" w:sz="6" w:space="0" w:color="auto"/>
            </w:tcBorders>
            <w:shd w:val="clear" w:color="auto" w:fill="auto"/>
            <w:tcMar>
              <w:top w:w="0" w:type="dxa"/>
              <w:left w:w="108" w:type="dxa"/>
              <w:bottom w:w="0" w:type="dxa"/>
              <w:right w:w="108" w:type="dxa"/>
            </w:tcMar>
            <w:vAlign w:val="bottom"/>
          </w:tcPr>
          <w:p w:rsidR="00A2190D" w:rsidRDefault="00A2190D">
            <w:pPr>
              <w:pStyle w:val="a2"/>
              <w:ind w:right="0"/>
              <w:jc w:val="right"/>
              <w:rPr>
                <w:rFonts w:hint="eastAsia"/>
                <w:b/>
                <w:lang w:val="zh-CN"/>
              </w:rPr>
            </w:pPr>
            <w:r>
              <w:rPr>
                <w:rFonts w:hint="eastAsia"/>
                <w:b/>
                <w:lang w:val="zh-CN"/>
              </w:rPr>
              <w:t>总计</w:t>
            </w:r>
          </w:p>
        </w:tc>
      </w:tr>
      <w:tr w:rsidR="00A2190D">
        <w:tc>
          <w:tcPr>
            <w:tcW w:w="1054" w:type="dxa"/>
            <w:vMerge/>
            <w:tcBorders>
              <w:top w:val="single" w:sz="12" w:space="0" w:color="auto"/>
              <w:bottom w:val="single" w:sz="12" w:space="0" w:color="auto"/>
            </w:tcBorders>
            <w:shd w:val="clear" w:color="auto" w:fill="auto"/>
          </w:tcPr>
          <w:p w:rsidR="00A2190D" w:rsidRDefault="00A2190D">
            <w:pPr>
              <w:pStyle w:val="a7"/>
            </w:pPr>
          </w:p>
        </w:tc>
        <w:tc>
          <w:tcPr>
            <w:tcW w:w="650" w:type="dxa"/>
            <w:tcBorders>
              <w:top w:val="single" w:sz="6" w:space="0" w:color="auto"/>
              <w:bottom w:val="single" w:sz="12" w:space="0" w:color="auto"/>
            </w:tcBorders>
            <w:shd w:val="clear" w:color="auto" w:fill="auto"/>
            <w:tcMar>
              <w:top w:w="0" w:type="dxa"/>
              <w:left w:w="108" w:type="dxa"/>
              <w:bottom w:w="0" w:type="dxa"/>
              <w:right w:w="108" w:type="dxa"/>
            </w:tcMar>
          </w:tcPr>
          <w:p w:rsidR="00A2190D" w:rsidRDefault="00A2190D">
            <w:pPr>
              <w:pStyle w:val="a2"/>
              <w:ind w:right="0"/>
              <w:jc w:val="right"/>
              <w:rPr>
                <w:rFonts w:hint="eastAsia"/>
                <w:lang w:val="zh-CN"/>
              </w:rPr>
            </w:pPr>
            <w:r>
              <w:rPr>
                <w:rFonts w:hint="eastAsia"/>
                <w:lang w:val="zh-CN"/>
              </w:rPr>
              <w:t>补助</w:t>
            </w:r>
          </w:p>
        </w:tc>
        <w:tc>
          <w:tcPr>
            <w:tcW w:w="1430" w:type="dxa"/>
            <w:tcBorders>
              <w:top w:val="single" w:sz="6" w:space="0" w:color="auto"/>
              <w:bottom w:val="single" w:sz="12" w:space="0" w:color="auto"/>
              <w:right w:val="single" w:sz="24" w:space="0" w:color="FFFFFF"/>
            </w:tcBorders>
            <w:shd w:val="clear" w:color="auto" w:fill="auto"/>
            <w:tcMar>
              <w:top w:w="0" w:type="dxa"/>
              <w:left w:w="108" w:type="dxa"/>
              <w:bottom w:w="0" w:type="dxa"/>
              <w:right w:w="108" w:type="dxa"/>
            </w:tcMar>
          </w:tcPr>
          <w:p w:rsidR="00A2190D" w:rsidRDefault="00A2190D">
            <w:pPr>
              <w:pStyle w:val="a2"/>
              <w:ind w:right="0"/>
              <w:jc w:val="right"/>
              <w:rPr>
                <w:rFonts w:hint="eastAsia"/>
                <w:lang w:val="zh-CN"/>
              </w:rPr>
            </w:pPr>
            <w:r>
              <w:rPr>
                <w:rFonts w:hint="eastAsia"/>
                <w:lang w:val="zh-CN"/>
              </w:rPr>
              <w:t>预算</w:t>
            </w:r>
          </w:p>
        </w:tc>
        <w:tc>
          <w:tcPr>
            <w:tcW w:w="650" w:type="dxa"/>
            <w:tcBorders>
              <w:top w:val="single" w:sz="6" w:space="0" w:color="auto"/>
              <w:left w:val="single" w:sz="24" w:space="0" w:color="FFFFFF"/>
              <w:bottom w:val="single" w:sz="12" w:space="0" w:color="auto"/>
            </w:tcBorders>
            <w:shd w:val="clear" w:color="auto" w:fill="auto"/>
            <w:tcMar>
              <w:top w:w="0" w:type="dxa"/>
              <w:left w:w="108" w:type="dxa"/>
              <w:bottom w:w="0" w:type="dxa"/>
              <w:right w:w="108" w:type="dxa"/>
            </w:tcMar>
          </w:tcPr>
          <w:p w:rsidR="00A2190D" w:rsidRDefault="00A2190D">
            <w:pPr>
              <w:pStyle w:val="a2"/>
              <w:ind w:right="0"/>
              <w:jc w:val="right"/>
              <w:rPr>
                <w:rFonts w:hint="eastAsia"/>
                <w:lang w:val="zh-CN"/>
              </w:rPr>
            </w:pPr>
            <w:r>
              <w:rPr>
                <w:rFonts w:hint="eastAsia"/>
                <w:lang w:val="zh-CN"/>
              </w:rPr>
              <w:t>补助</w:t>
            </w:r>
          </w:p>
        </w:tc>
        <w:tc>
          <w:tcPr>
            <w:tcW w:w="1430" w:type="dxa"/>
            <w:tcBorders>
              <w:top w:val="single" w:sz="6" w:space="0" w:color="auto"/>
              <w:bottom w:val="single" w:sz="12" w:space="0" w:color="auto"/>
              <w:right w:val="single" w:sz="24" w:space="0" w:color="FFFFFF"/>
            </w:tcBorders>
            <w:shd w:val="clear" w:color="auto" w:fill="auto"/>
            <w:tcMar>
              <w:top w:w="0" w:type="dxa"/>
              <w:left w:w="108" w:type="dxa"/>
              <w:bottom w:w="0" w:type="dxa"/>
              <w:right w:w="108" w:type="dxa"/>
            </w:tcMar>
          </w:tcPr>
          <w:p w:rsidR="00A2190D" w:rsidRDefault="00A2190D">
            <w:pPr>
              <w:pStyle w:val="a2"/>
              <w:ind w:right="0"/>
              <w:jc w:val="right"/>
              <w:rPr>
                <w:rFonts w:hint="eastAsia"/>
                <w:lang w:val="zh-CN"/>
              </w:rPr>
            </w:pPr>
            <w:r>
              <w:rPr>
                <w:rFonts w:hint="eastAsia"/>
                <w:lang w:val="zh-CN"/>
              </w:rPr>
              <w:t>预算</w:t>
            </w:r>
          </w:p>
        </w:tc>
        <w:tc>
          <w:tcPr>
            <w:tcW w:w="717" w:type="dxa"/>
            <w:tcBorders>
              <w:top w:val="single" w:sz="6" w:space="0" w:color="auto"/>
              <w:left w:val="single" w:sz="24" w:space="0" w:color="FFFFFF"/>
              <w:bottom w:val="single" w:sz="12" w:space="0" w:color="auto"/>
            </w:tcBorders>
            <w:shd w:val="clear" w:color="auto" w:fill="auto"/>
            <w:tcMar>
              <w:top w:w="0" w:type="dxa"/>
              <w:left w:w="108" w:type="dxa"/>
              <w:bottom w:w="0" w:type="dxa"/>
              <w:right w:w="108" w:type="dxa"/>
            </w:tcMar>
          </w:tcPr>
          <w:p w:rsidR="00A2190D" w:rsidRDefault="00A2190D">
            <w:pPr>
              <w:pStyle w:val="a2"/>
              <w:ind w:right="0"/>
              <w:jc w:val="right"/>
              <w:rPr>
                <w:rFonts w:hint="eastAsia"/>
                <w:lang w:val="zh-CN"/>
              </w:rPr>
            </w:pPr>
            <w:r>
              <w:rPr>
                <w:rFonts w:hint="eastAsia"/>
                <w:lang w:val="zh-CN"/>
              </w:rPr>
              <w:t>补助</w:t>
            </w:r>
          </w:p>
        </w:tc>
        <w:tc>
          <w:tcPr>
            <w:tcW w:w="1439" w:type="dxa"/>
            <w:tcBorders>
              <w:top w:val="single" w:sz="6" w:space="0" w:color="auto"/>
              <w:bottom w:val="single" w:sz="12" w:space="0" w:color="auto"/>
            </w:tcBorders>
            <w:shd w:val="clear" w:color="auto" w:fill="auto"/>
            <w:tcMar>
              <w:top w:w="0" w:type="dxa"/>
              <w:left w:w="108" w:type="dxa"/>
              <w:bottom w:w="0" w:type="dxa"/>
              <w:right w:w="108" w:type="dxa"/>
            </w:tcMar>
          </w:tcPr>
          <w:p w:rsidR="00A2190D" w:rsidRDefault="00A2190D">
            <w:pPr>
              <w:pStyle w:val="a2"/>
              <w:ind w:right="0"/>
              <w:jc w:val="right"/>
              <w:rPr>
                <w:rFonts w:hint="eastAsia"/>
                <w:b/>
                <w:lang w:val="zh-CN"/>
              </w:rPr>
            </w:pPr>
            <w:r>
              <w:rPr>
                <w:rFonts w:hint="eastAsia"/>
                <w:b/>
                <w:lang w:val="zh-CN"/>
              </w:rPr>
              <w:t>预算</w:t>
            </w:r>
          </w:p>
        </w:tc>
      </w:tr>
      <w:tr w:rsidR="00A2190D">
        <w:tc>
          <w:tcPr>
            <w:tcW w:w="1054" w:type="dxa"/>
            <w:tcBorders>
              <w:top w:val="single" w:sz="12" w:space="0" w:color="auto"/>
            </w:tcBorders>
            <w:shd w:val="clear" w:color="auto" w:fill="auto"/>
            <w:tcMar>
              <w:top w:w="0" w:type="dxa"/>
              <w:left w:w="108" w:type="dxa"/>
              <w:bottom w:w="0" w:type="dxa"/>
              <w:right w:w="108" w:type="dxa"/>
            </w:tcMar>
          </w:tcPr>
          <w:p w:rsidR="00A2190D" w:rsidRDefault="00A2190D">
            <w:pPr>
              <w:pStyle w:val="a7"/>
              <w:rPr>
                <w:rFonts w:hint="eastAsia"/>
              </w:rPr>
            </w:pPr>
            <w:r>
              <w:rPr>
                <w:rFonts w:hint="eastAsia"/>
                <w:lang w:val="zh-CN"/>
              </w:rPr>
              <w:t>你的家</w:t>
            </w:r>
          </w:p>
        </w:tc>
        <w:tc>
          <w:tcPr>
            <w:tcW w:w="650" w:type="dxa"/>
            <w:tcBorders>
              <w:top w:val="single" w:sz="12" w:space="0" w:color="auto"/>
            </w:tcBorders>
            <w:shd w:val="clear" w:color="auto" w:fill="auto"/>
            <w:tcMar>
              <w:top w:w="0" w:type="dxa"/>
              <w:left w:w="108" w:type="dxa"/>
              <w:bottom w:w="0" w:type="dxa"/>
              <w:right w:w="108" w:type="dxa"/>
            </w:tcMar>
          </w:tcPr>
          <w:p w:rsidR="00A2190D" w:rsidRDefault="00A2190D">
            <w:pPr>
              <w:pStyle w:val="a7"/>
              <w:ind w:right="0"/>
              <w:jc w:val="right"/>
            </w:pPr>
            <w:r>
              <w:t>5 168</w:t>
            </w:r>
          </w:p>
        </w:tc>
        <w:tc>
          <w:tcPr>
            <w:tcW w:w="1430" w:type="dxa"/>
            <w:tcBorders>
              <w:top w:val="single" w:sz="12" w:space="0" w:color="auto"/>
            </w:tcBorders>
            <w:shd w:val="clear" w:color="auto" w:fill="auto"/>
            <w:tcMar>
              <w:top w:w="0" w:type="dxa"/>
              <w:left w:w="108" w:type="dxa"/>
              <w:bottom w:w="0" w:type="dxa"/>
              <w:right w:w="108" w:type="dxa"/>
            </w:tcMar>
          </w:tcPr>
          <w:p w:rsidR="00A2190D" w:rsidRDefault="00A2190D">
            <w:pPr>
              <w:pStyle w:val="a7"/>
              <w:ind w:right="0"/>
              <w:jc w:val="right"/>
            </w:pPr>
            <w:r>
              <w:t>62 306 228.90</w:t>
            </w:r>
          </w:p>
        </w:tc>
        <w:tc>
          <w:tcPr>
            <w:tcW w:w="650" w:type="dxa"/>
            <w:tcBorders>
              <w:top w:val="single" w:sz="12" w:space="0" w:color="auto"/>
            </w:tcBorders>
            <w:shd w:val="clear" w:color="auto" w:fill="auto"/>
            <w:tcMar>
              <w:top w:w="0" w:type="dxa"/>
              <w:left w:w="108" w:type="dxa"/>
              <w:bottom w:w="0" w:type="dxa"/>
              <w:right w:w="108" w:type="dxa"/>
            </w:tcMar>
          </w:tcPr>
          <w:p w:rsidR="00A2190D" w:rsidRDefault="00A2190D">
            <w:pPr>
              <w:pStyle w:val="a7"/>
              <w:ind w:right="0"/>
              <w:jc w:val="right"/>
            </w:pPr>
            <w:r>
              <w:t>2 315</w:t>
            </w:r>
          </w:p>
        </w:tc>
        <w:tc>
          <w:tcPr>
            <w:tcW w:w="1430" w:type="dxa"/>
            <w:tcBorders>
              <w:top w:val="single" w:sz="12" w:space="0" w:color="auto"/>
            </w:tcBorders>
            <w:shd w:val="clear" w:color="auto" w:fill="auto"/>
            <w:tcMar>
              <w:top w:w="0" w:type="dxa"/>
              <w:left w:w="108" w:type="dxa"/>
              <w:bottom w:w="0" w:type="dxa"/>
              <w:right w:w="108" w:type="dxa"/>
            </w:tcMar>
          </w:tcPr>
          <w:p w:rsidR="00A2190D" w:rsidRDefault="00A2190D">
            <w:pPr>
              <w:pStyle w:val="a7"/>
              <w:ind w:right="0"/>
              <w:jc w:val="right"/>
            </w:pPr>
            <w:r>
              <w:t>31 440 716.13</w:t>
            </w:r>
          </w:p>
        </w:tc>
        <w:tc>
          <w:tcPr>
            <w:tcW w:w="717" w:type="dxa"/>
            <w:tcBorders>
              <w:top w:val="single" w:sz="12" w:space="0" w:color="auto"/>
            </w:tcBorders>
            <w:shd w:val="clear" w:color="auto" w:fill="auto"/>
            <w:tcMar>
              <w:top w:w="0" w:type="dxa"/>
              <w:left w:w="108" w:type="dxa"/>
              <w:bottom w:w="0" w:type="dxa"/>
              <w:right w:w="108" w:type="dxa"/>
            </w:tcMar>
          </w:tcPr>
          <w:p w:rsidR="00A2190D" w:rsidRDefault="00A2190D">
            <w:pPr>
              <w:pStyle w:val="a7"/>
              <w:ind w:right="0"/>
              <w:jc w:val="right"/>
            </w:pPr>
            <w:r>
              <w:t>7 483</w:t>
            </w:r>
          </w:p>
        </w:tc>
        <w:tc>
          <w:tcPr>
            <w:tcW w:w="1439" w:type="dxa"/>
            <w:tcBorders>
              <w:top w:val="single" w:sz="12" w:space="0" w:color="auto"/>
            </w:tcBorders>
            <w:shd w:val="clear" w:color="auto" w:fill="auto"/>
            <w:tcMar>
              <w:top w:w="0" w:type="dxa"/>
              <w:left w:w="108" w:type="dxa"/>
              <w:bottom w:w="0" w:type="dxa"/>
              <w:right w:w="108" w:type="dxa"/>
            </w:tcMar>
          </w:tcPr>
          <w:p w:rsidR="00A2190D" w:rsidRDefault="00A2190D">
            <w:pPr>
              <w:pStyle w:val="a7"/>
              <w:ind w:right="0"/>
              <w:jc w:val="right"/>
              <w:rPr>
                <w:b/>
              </w:rPr>
            </w:pPr>
            <w:r>
              <w:rPr>
                <w:b/>
              </w:rPr>
              <w:t>93 746 945.03</w:t>
            </w:r>
          </w:p>
        </w:tc>
      </w:tr>
      <w:tr w:rsidR="00A2190D">
        <w:tc>
          <w:tcPr>
            <w:tcW w:w="1054" w:type="dxa"/>
            <w:tcBorders>
              <w:bottom w:val="single" w:sz="4" w:space="0" w:color="auto"/>
            </w:tcBorders>
            <w:shd w:val="clear" w:color="auto" w:fill="auto"/>
            <w:tcMar>
              <w:top w:w="0" w:type="dxa"/>
              <w:left w:w="108" w:type="dxa"/>
              <w:bottom w:w="0" w:type="dxa"/>
              <w:right w:w="108" w:type="dxa"/>
            </w:tcMar>
          </w:tcPr>
          <w:p w:rsidR="00A2190D" w:rsidRDefault="00A2190D">
            <w:pPr>
              <w:pStyle w:val="a7"/>
              <w:rPr>
                <w:rFonts w:hint="eastAsia"/>
              </w:rPr>
            </w:pPr>
            <w:r>
              <w:rPr>
                <w:rFonts w:hint="eastAsia"/>
                <w:lang w:val="zh-CN"/>
              </w:rPr>
              <w:t>农村住房</w:t>
            </w:r>
          </w:p>
        </w:tc>
        <w:tc>
          <w:tcPr>
            <w:tcW w:w="650" w:type="dxa"/>
            <w:tcBorders>
              <w:bottom w:val="single" w:sz="4" w:space="0" w:color="auto"/>
            </w:tcBorders>
            <w:shd w:val="clear" w:color="auto" w:fill="auto"/>
            <w:tcMar>
              <w:top w:w="0" w:type="dxa"/>
              <w:left w:w="108" w:type="dxa"/>
              <w:bottom w:w="0" w:type="dxa"/>
              <w:right w:w="108" w:type="dxa"/>
            </w:tcMar>
          </w:tcPr>
          <w:p w:rsidR="00A2190D" w:rsidRDefault="00A2190D">
            <w:pPr>
              <w:pStyle w:val="a7"/>
              <w:ind w:right="0"/>
              <w:jc w:val="right"/>
            </w:pPr>
            <w:r>
              <w:t>1 293</w:t>
            </w:r>
          </w:p>
        </w:tc>
        <w:tc>
          <w:tcPr>
            <w:tcW w:w="1430" w:type="dxa"/>
            <w:tcBorders>
              <w:bottom w:val="single" w:sz="4" w:space="0" w:color="auto"/>
            </w:tcBorders>
            <w:shd w:val="clear" w:color="auto" w:fill="auto"/>
            <w:tcMar>
              <w:top w:w="0" w:type="dxa"/>
              <w:left w:w="108" w:type="dxa"/>
              <w:bottom w:w="0" w:type="dxa"/>
              <w:right w:w="108" w:type="dxa"/>
            </w:tcMar>
          </w:tcPr>
          <w:p w:rsidR="00A2190D" w:rsidRDefault="00A2190D">
            <w:pPr>
              <w:pStyle w:val="a7"/>
              <w:ind w:right="0"/>
              <w:jc w:val="right"/>
            </w:pPr>
            <w:r>
              <w:t>12 097 681.25</w:t>
            </w:r>
          </w:p>
        </w:tc>
        <w:tc>
          <w:tcPr>
            <w:tcW w:w="650" w:type="dxa"/>
            <w:tcBorders>
              <w:bottom w:val="single" w:sz="4" w:space="0" w:color="auto"/>
            </w:tcBorders>
            <w:shd w:val="clear" w:color="auto" w:fill="auto"/>
            <w:tcMar>
              <w:top w:w="0" w:type="dxa"/>
              <w:left w:w="108" w:type="dxa"/>
              <w:bottom w:w="0" w:type="dxa"/>
              <w:right w:w="108" w:type="dxa"/>
            </w:tcMar>
          </w:tcPr>
          <w:p w:rsidR="00A2190D" w:rsidRDefault="00A2190D">
            <w:pPr>
              <w:pStyle w:val="a7"/>
              <w:ind w:right="0"/>
              <w:jc w:val="right"/>
            </w:pPr>
            <w:r>
              <w:t>876</w:t>
            </w:r>
          </w:p>
        </w:tc>
        <w:tc>
          <w:tcPr>
            <w:tcW w:w="1430" w:type="dxa"/>
            <w:tcBorders>
              <w:bottom w:val="single" w:sz="4" w:space="0" w:color="auto"/>
            </w:tcBorders>
            <w:shd w:val="clear" w:color="auto" w:fill="auto"/>
            <w:tcMar>
              <w:top w:w="0" w:type="dxa"/>
              <w:left w:w="108" w:type="dxa"/>
              <w:bottom w:w="0" w:type="dxa"/>
              <w:right w:w="108" w:type="dxa"/>
            </w:tcMar>
          </w:tcPr>
          <w:p w:rsidR="00A2190D" w:rsidRDefault="00A2190D">
            <w:pPr>
              <w:pStyle w:val="a7"/>
              <w:ind w:right="0"/>
              <w:jc w:val="right"/>
            </w:pPr>
            <w:r>
              <w:t>8 705 598.06</w:t>
            </w:r>
          </w:p>
        </w:tc>
        <w:tc>
          <w:tcPr>
            <w:tcW w:w="717" w:type="dxa"/>
            <w:tcBorders>
              <w:bottom w:val="single" w:sz="4" w:space="0" w:color="auto"/>
            </w:tcBorders>
            <w:shd w:val="clear" w:color="auto" w:fill="auto"/>
            <w:tcMar>
              <w:top w:w="0" w:type="dxa"/>
              <w:left w:w="108" w:type="dxa"/>
              <w:bottom w:w="0" w:type="dxa"/>
              <w:right w:w="108" w:type="dxa"/>
            </w:tcMar>
          </w:tcPr>
          <w:p w:rsidR="00A2190D" w:rsidRDefault="00A2190D">
            <w:pPr>
              <w:pStyle w:val="a7"/>
              <w:ind w:right="0"/>
              <w:jc w:val="right"/>
            </w:pPr>
            <w:r>
              <w:t>2 169</w:t>
            </w:r>
          </w:p>
        </w:tc>
        <w:tc>
          <w:tcPr>
            <w:tcW w:w="1439" w:type="dxa"/>
            <w:tcBorders>
              <w:bottom w:val="single" w:sz="4" w:space="0" w:color="auto"/>
            </w:tcBorders>
            <w:shd w:val="clear" w:color="auto" w:fill="auto"/>
            <w:tcMar>
              <w:top w:w="0" w:type="dxa"/>
              <w:left w:w="108" w:type="dxa"/>
              <w:bottom w:w="0" w:type="dxa"/>
              <w:right w:w="108" w:type="dxa"/>
            </w:tcMar>
          </w:tcPr>
          <w:p w:rsidR="00A2190D" w:rsidRDefault="00A2190D">
            <w:pPr>
              <w:pStyle w:val="a7"/>
              <w:ind w:right="0"/>
              <w:jc w:val="right"/>
              <w:rPr>
                <w:b/>
              </w:rPr>
            </w:pPr>
            <w:r>
              <w:rPr>
                <w:b/>
              </w:rPr>
              <w:t>20 803 279.31</w:t>
            </w:r>
          </w:p>
        </w:tc>
      </w:tr>
      <w:tr w:rsidR="00A2190D">
        <w:tc>
          <w:tcPr>
            <w:tcW w:w="1054"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left="170"/>
              <w:rPr>
                <w:rFonts w:eastAsia="SimHei" w:hint="eastAsia"/>
              </w:rPr>
            </w:pPr>
            <w:r>
              <w:rPr>
                <w:rFonts w:eastAsia="SimHei" w:hint="eastAsia"/>
                <w:lang w:val="zh-CN"/>
              </w:rPr>
              <w:t>总计</w:t>
            </w:r>
          </w:p>
        </w:tc>
        <w:tc>
          <w:tcPr>
            <w:tcW w:w="650"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right="0"/>
              <w:jc w:val="right"/>
              <w:rPr>
                <w:rFonts w:eastAsia="SimHei"/>
                <w:bCs/>
              </w:rPr>
            </w:pPr>
            <w:r>
              <w:rPr>
                <w:rFonts w:eastAsia="KaiTi_GB2312"/>
                <w:b/>
                <w:bCs/>
              </w:rPr>
              <w:t>6</w:t>
            </w:r>
            <w:r>
              <w:rPr>
                <w:rFonts w:eastAsia="SimHei"/>
                <w:bCs/>
              </w:rPr>
              <w:t xml:space="preserve"> </w:t>
            </w:r>
            <w:r>
              <w:rPr>
                <w:rFonts w:eastAsia="KaiTi_GB2312"/>
                <w:b/>
                <w:bCs/>
              </w:rPr>
              <w:t>461</w:t>
            </w:r>
          </w:p>
        </w:tc>
        <w:tc>
          <w:tcPr>
            <w:tcW w:w="1430"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right="0"/>
              <w:jc w:val="right"/>
              <w:rPr>
                <w:rFonts w:eastAsia="SimHei"/>
                <w:bCs/>
              </w:rPr>
            </w:pPr>
            <w:r>
              <w:rPr>
                <w:rFonts w:eastAsia="KaiTi_GB2312"/>
                <w:b/>
                <w:bCs/>
              </w:rPr>
              <w:t>74</w:t>
            </w:r>
            <w:r>
              <w:rPr>
                <w:rFonts w:eastAsia="SimHei"/>
                <w:bCs/>
              </w:rPr>
              <w:t xml:space="preserve"> </w:t>
            </w:r>
            <w:r>
              <w:rPr>
                <w:rFonts w:eastAsia="KaiTi_GB2312"/>
                <w:b/>
                <w:bCs/>
              </w:rPr>
              <w:t>403</w:t>
            </w:r>
            <w:r>
              <w:rPr>
                <w:rFonts w:eastAsia="SimHei"/>
                <w:bCs/>
              </w:rPr>
              <w:t xml:space="preserve"> </w:t>
            </w:r>
            <w:r>
              <w:rPr>
                <w:rFonts w:eastAsia="KaiTi_GB2312"/>
                <w:b/>
                <w:bCs/>
              </w:rPr>
              <w:t>910.15</w:t>
            </w:r>
          </w:p>
        </w:tc>
        <w:tc>
          <w:tcPr>
            <w:tcW w:w="650"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right="0"/>
              <w:jc w:val="right"/>
              <w:rPr>
                <w:rFonts w:eastAsia="SimHei"/>
                <w:bCs/>
              </w:rPr>
            </w:pPr>
            <w:r>
              <w:rPr>
                <w:rFonts w:eastAsia="KaiTi_GB2312"/>
                <w:b/>
                <w:bCs/>
              </w:rPr>
              <w:t>3</w:t>
            </w:r>
            <w:r>
              <w:rPr>
                <w:rFonts w:eastAsia="SimHei"/>
                <w:bCs/>
              </w:rPr>
              <w:t xml:space="preserve"> </w:t>
            </w:r>
            <w:r>
              <w:rPr>
                <w:rFonts w:eastAsia="KaiTi_GB2312"/>
                <w:b/>
                <w:bCs/>
              </w:rPr>
              <w:t>191</w:t>
            </w:r>
          </w:p>
        </w:tc>
        <w:tc>
          <w:tcPr>
            <w:tcW w:w="1430"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right="0"/>
              <w:jc w:val="right"/>
              <w:rPr>
                <w:rFonts w:eastAsia="SimHei"/>
                <w:bCs/>
              </w:rPr>
            </w:pPr>
            <w:r>
              <w:rPr>
                <w:rFonts w:eastAsia="KaiTi_GB2312"/>
                <w:b/>
                <w:bCs/>
              </w:rPr>
              <w:t>40</w:t>
            </w:r>
            <w:r>
              <w:rPr>
                <w:rFonts w:eastAsia="SimHei"/>
                <w:bCs/>
              </w:rPr>
              <w:t xml:space="preserve"> </w:t>
            </w:r>
            <w:r>
              <w:rPr>
                <w:rFonts w:eastAsia="KaiTi_GB2312"/>
                <w:b/>
                <w:bCs/>
              </w:rPr>
              <w:t>146</w:t>
            </w:r>
            <w:r>
              <w:rPr>
                <w:rFonts w:eastAsia="SimHei"/>
                <w:bCs/>
              </w:rPr>
              <w:t xml:space="preserve"> </w:t>
            </w:r>
            <w:r>
              <w:rPr>
                <w:rFonts w:eastAsia="KaiTi_GB2312"/>
                <w:b/>
                <w:bCs/>
              </w:rPr>
              <w:t>314.19</w:t>
            </w:r>
          </w:p>
        </w:tc>
        <w:tc>
          <w:tcPr>
            <w:tcW w:w="717"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right="0"/>
              <w:jc w:val="right"/>
              <w:rPr>
                <w:rFonts w:eastAsia="SimHei"/>
                <w:bCs/>
              </w:rPr>
            </w:pPr>
            <w:r>
              <w:rPr>
                <w:rFonts w:eastAsia="KaiTi_GB2312"/>
                <w:b/>
                <w:bCs/>
              </w:rPr>
              <w:t>9</w:t>
            </w:r>
            <w:r>
              <w:rPr>
                <w:rFonts w:eastAsia="SimHei"/>
                <w:bCs/>
              </w:rPr>
              <w:t xml:space="preserve"> </w:t>
            </w:r>
            <w:r>
              <w:rPr>
                <w:rFonts w:eastAsia="KaiTi_GB2312"/>
                <w:b/>
                <w:bCs/>
              </w:rPr>
              <w:t>652</w:t>
            </w:r>
          </w:p>
        </w:tc>
        <w:tc>
          <w:tcPr>
            <w:tcW w:w="1439" w:type="dxa"/>
            <w:tcBorders>
              <w:top w:val="single" w:sz="4" w:space="0" w:color="auto"/>
              <w:bottom w:val="single" w:sz="12" w:space="0" w:color="auto"/>
            </w:tcBorders>
            <w:shd w:val="clear" w:color="auto" w:fill="auto"/>
            <w:tcMar>
              <w:top w:w="0" w:type="dxa"/>
              <w:left w:w="108" w:type="dxa"/>
              <w:bottom w:w="0" w:type="dxa"/>
              <w:right w:w="108" w:type="dxa"/>
            </w:tcMar>
          </w:tcPr>
          <w:p w:rsidR="00A2190D" w:rsidRDefault="00A2190D">
            <w:pPr>
              <w:pStyle w:val="a7"/>
              <w:spacing w:before="80" w:after="80" w:line="200" w:lineRule="exact"/>
              <w:ind w:right="0"/>
              <w:jc w:val="right"/>
              <w:rPr>
                <w:rFonts w:eastAsia="SimHei"/>
                <w:bCs/>
              </w:rPr>
            </w:pPr>
            <w:r>
              <w:rPr>
                <w:rFonts w:eastAsia="KaiTi_GB2312"/>
                <w:b/>
                <w:bCs/>
              </w:rPr>
              <w:t>114</w:t>
            </w:r>
            <w:r>
              <w:rPr>
                <w:rFonts w:eastAsia="SimHei"/>
                <w:bCs/>
              </w:rPr>
              <w:t xml:space="preserve"> </w:t>
            </w:r>
            <w:r>
              <w:rPr>
                <w:rFonts w:eastAsia="KaiTi_GB2312"/>
                <w:b/>
                <w:bCs/>
              </w:rPr>
              <w:t>550</w:t>
            </w:r>
            <w:r>
              <w:rPr>
                <w:rFonts w:eastAsia="SimHei"/>
                <w:bCs/>
              </w:rPr>
              <w:t xml:space="preserve"> </w:t>
            </w:r>
            <w:r>
              <w:rPr>
                <w:rFonts w:eastAsia="KaiTi_GB2312"/>
                <w:b/>
                <w:bCs/>
              </w:rPr>
              <w:t>224.34</w:t>
            </w:r>
          </w:p>
        </w:tc>
      </w:tr>
    </w:tbl>
    <w:p w:rsidR="00A2190D" w:rsidRDefault="00A2190D">
      <w:pPr>
        <w:pStyle w:val="SingleTxtGC"/>
        <w:spacing w:after="0" w:line="200" w:lineRule="exact"/>
      </w:pPr>
    </w:p>
    <w:p w:rsidR="00A2190D" w:rsidRDefault="00A2190D">
      <w:pPr>
        <w:pStyle w:val="SingleTxtGC"/>
      </w:pPr>
      <w:r>
        <w:t>219.</w:t>
      </w:r>
      <w:r>
        <w:rPr>
          <w:rFonts w:hint="eastAsia"/>
        </w:rPr>
        <w:t xml:space="preserve">  </w:t>
      </w:r>
      <w:r>
        <w:rPr>
          <w:rFonts w:hint="eastAsia"/>
        </w:rPr>
        <w:t>劳动者社会保障与服务国家委员会住房基金通过针对残疾人的抵押贷款，运作了一套帮助劳动者获得足够的低息贷款的融资系统。</w:t>
      </w:r>
    </w:p>
    <w:p w:rsidR="00A2190D" w:rsidRDefault="00A2190D">
      <w:pPr>
        <w:pStyle w:val="SingleTxtGC"/>
      </w:pPr>
      <w:r>
        <w:t xml:space="preserve">220.  </w:t>
      </w:r>
      <w:r>
        <w:rPr>
          <w:rFonts w:hint="eastAsia"/>
        </w:rPr>
        <w:t>国家老年人委员会通过会员卡对残疾老人提供经济援助，帮助他们在与委员会签约的超过</w:t>
      </w:r>
      <w:r>
        <w:t>15,000</w:t>
      </w:r>
      <w:r>
        <w:rPr>
          <w:rFonts w:hint="eastAsia"/>
        </w:rPr>
        <w:t>家遍布在全国各地的机构中以折扣价购买商品和获得服务。</w:t>
      </w:r>
    </w:p>
    <w:p w:rsidR="00A2190D" w:rsidRDefault="00A2190D">
      <w:pPr>
        <w:pStyle w:val="SingleTxtGC"/>
      </w:pPr>
      <w:r>
        <w:t xml:space="preserve">221.  </w:t>
      </w:r>
      <w:r>
        <w:rPr>
          <w:rFonts w:hint="eastAsia"/>
        </w:rPr>
        <w:t>区域合议法庭指出，为确定普通抚恤金的数量，当债权人为残疾未成年人时就应特别关注，因为这种情况下应通报满足其居住或康复需求的方式，而且该方式也是确定抚恤金金额时必须要考虑的因素。同样，应对债务人成为被抚养人的可能性进行分析，对残疾未成年人的各种需求给予特许，尤其是在赡养费是唯一可用来满足债权人各项要求的途径时。</w:t>
      </w:r>
    </w:p>
    <w:p w:rsidR="00A2190D" w:rsidRDefault="00A2190D">
      <w:pPr>
        <w:pStyle w:val="H1GC"/>
      </w:pPr>
      <w:r>
        <w:tab/>
      </w:r>
      <w:r>
        <w:tab/>
      </w:r>
      <w:r>
        <w:rPr>
          <w:rFonts w:hint="eastAsia"/>
        </w:rPr>
        <w:t>第二十九条</w:t>
      </w:r>
      <w:r>
        <w:br/>
      </w:r>
      <w:r>
        <w:rPr>
          <w:rFonts w:hint="eastAsia"/>
        </w:rPr>
        <w:t>参与政治和公共生活</w:t>
      </w:r>
    </w:p>
    <w:p w:rsidR="00A2190D" w:rsidRDefault="00A2190D">
      <w:pPr>
        <w:pStyle w:val="SingleTxtGC"/>
      </w:pPr>
      <w:r>
        <w:t xml:space="preserve">222.  </w:t>
      </w:r>
      <w:r>
        <w:rPr>
          <w:rFonts w:hint="eastAsia"/>
        </w:rPr>
        <w:t>墨西哥有相应的规范与法规，来确保残疾人维护自己的投票权。</w:t>
      </w:r>
    </w:p>
    <w:p w:rsidR="00A2190D" w:rsidRDefault="00A2190D">
      <w:pPr>
        <w:pStyle w:val="SingleTxtGC"/>
      </w:pPr>
      <w:r>
        <w:t xml:space="preserve">223.  </w:t>
      </w:r>
      <w:r>
        <w:rPr>
          <w:rFonts w:hint="eastAsia"/>
        </w:rPr>
        <w:t>联邦选举委员会制定了各种规定，以确保联邦选举过程中的机会平等和不歧视。</w:t>
      </w:r>
      <w:r>
        <w:t>2003</w:t>
      </w:r>
      <w:r>
        <w:rPr>
          <w:rFonts w:hint="eastAsia"/>
        </w:rPr>
        <w:t>年，联邦委员会总理事会通过一项协议规定，所有专业服务机构的工作人员和区县两级的委员均有义务消除各种可能产生歧视的条件</w:t>
      </w:r>
      <w:r>
        <w:rPr>
          <w:rFonts w:hint="eastAsia"/>
        </w:rPr>
        <w:t>(</w:t>
      </w:r>
      <w:r>
        <w:rPr>
          <w:rFonts w:hint="eastAsia"/>
        </w:rPr>
        <w:t>请参见第</w:t>
      </w:r>
      <w:r>
        <w:t>39</w:t>
      </w:r>
      <w:r>
        <w:rPr>
          <w:rFonts w:hint="eastAsia"/>
        </w:rPr>
        <w:t>号附件</w:t>
      </w:r>
      <w:r>
        <w:rPr>
          <w:rFonts w:hint="eastAsia"/>
        </w:rPr>
        <w:t>)</w:t>
      </w:r>
      <w:r>
        <w:rPr>
          <w:rFonts w:hint="eastAsia"/>
        </w:rPr>
        <w:t>。联邦选举委员会总理事会还做出决议，使残疾人最终可以方便地投票。为此，墨西哥在面具的使用说明中加入了盲文；</w:t>
      </w:r>
      <w:r>
        <w:t>2006</w:t>
      </w:r>
      <w:r>
        <w:rPr>
          <w:rFonts w:hint="eastAsia"/>
        </w:rPr>
        <w:t>年，墨西哥首次在选举中使用了专门为使用轮椅和身材矮小的公民投票设计的屏风。</w:t>
      </w:r>
    </w:p>
    <w:p w:rsidR="00A2190D" w:rsidRDefault="00A2190D">
      <w:pPr>
        <w:pStyle w:val="SingleTxtGC"/>
      </w:pPr>
      <w:r>
        <w:t xml:space="preserve">224.  </w:t>
      </w:r>
      <w:r>
        <w:rPr>
          <w:rFonts w:hint="eastAsia"/>
        </w:rPr>
        <w:t>联邦区从</w:t>
      </w:r>
      <w:r>
        <w:t>2000</w:t>
      </w:r>
      <w:r>
        <w:rPr>
          <w:rFonts w:hint="eastAsia"/>
        </w:rPr>
        <w:t>年的选举开始就制定了各种协议，通过各种调整措施和关联手段来确保残疾人的选举权。</w:t>
      </w:r>
    </w:p>
    <w:p w:rsidR="00A2190D" w:rsidRDefault="00A2190D">
      <w:pPr>
        <w:pStyle w:val="SingleTxtGC"/>
      </w:pPr>
      <w:r>
        <w:t xml:space="preserve">225.  </w:t>
      </w:r>
      <w:r>
        <w:rPr>
          <w:rFonts w:hint="eastAsia"/>
        </w:rPr>
        <w:t>但是，仍要增加和调整投票间工作人员的培训程序，所以就有必要提出对《联邦选举机构和程序法》及各联邦单位相应法律的修正案，并优化投票间的设计和功能，以确保残疾人能安全、舒适地进入投票间投票。此外，还有必要提高残疾人在公共事务和职责中的参与度。在这方面，《国家残疾人发展计划》建议在立法机关和选举机构推动诸如修改《联邦选举机构和程序法》及各联邦单位相应法律这样的行动，目的是使各政党对参加三级政府选举的残疾候选人比例做出一定的调整，倡导各政党的选举平台应包括残疾人的政治参与，并向所有人群宣传残疾人有在平等条件下被选举的权利。</w:t>
      </w:r>
    </w:p>
    <w:p w:rsidR="00A2190D" w:rsidRDefault="00A2190D">
      <w:pPr>
        <w:pStyle w:val="SingleTxtGC"/>
      </w:pPr>
      <w:r>
        <w:t xml:space="preserve">226.  </w:t>
      </w:r>
      <w:r>
        <w:rPr>
          <w:rFonts w:hint="eastAsia"/>
        </w:rPr>
        <w:t>一些政党已在党章中加入了倡导残疾人以国民代表的身份参与政治生活的内容。</w:t>
      </w:r>
    </w:p>
    <w:p w:rsidR="00A2190D" w:rsidRDefault="00A2190D">
      <w:pPr>
        <w:pStyle w:val="SingleTxtGC"/>
      </w:pPr>
      <w:r>
        <w:t xml:space="preserve">227.  </w:t>
      </w:r>
      <w:r>
        <w:rPr>
          <w:rFonts w:hint="eastAsia"/>
        </w:rPr>
        <w:t>根据</w:t>
      </w:r>
      <w:smartTag w:uri="urn:schemas-microsoft-com:office:smarttags" w:element="chsdate">
        <w:smartTagPr>
          <w:attr w:name="IsROCDate" w:val="False"/>
          <w:attr w:name="IsLunarDate" w:val="False"/>
          <w:attr w:name="Day" w:val="1"/>
          <w:attr w:name="Month" w:val="10"/>
          <w:attr w:name="Year" w:val="2010"/>
        </w:smartTagPr>
        <w:r>
          <w:t>2010</w:t>
        </w:r>
        <w:r>
          <w:rPr>
            <w:rFonts w:hint="eastAsia"/>
          </w:rPr>
          <w:t>年</w:t>
        </w:r>
        <w:r>
          <w:t>10</w:t>
        </w:r>
        <w:r>
          <w:rPr>
            <w:rFonts w:hint="eastAsia"/>
          </w:rPr>
          <w:t>月</w:t>
        </w:r>
        <w:r>
          <w:t>1</w:t>
        </w:r>
        <w:r>
          <w:rPr>
            <w:rFonts w:hint="eastAsia"/>
          </w:rPr>
          <w:t>日</w:t>
        </w:r>
      </w:smartTag>
      <w:r>
        <w:rPr>
          <w:rFonts w:hint="eastAsia"/>
        </w:rPr>
        <w:t>的《残疾人政治权利国家协议》，在联邦选举委员会注册登记的政党均承诺采取有利于残疾人融入政治生活的措施</w:t>
      </w:r>
      <w:r>
        <w:rPr>
          <w:rFonts w:hint="eastAsia"/>
        </w:rPr>
        <w:t>(</w:t>
      </w:r>
      <w:r>
        <w:rPr>
          <w:rFonts w:hint="eastAsia"/>
        </w:rPr>
        <w:t>请参见第</w:t>
      </w:r>
      <w:r>
        <w:t>40</w:t>
      </w:r>
      <w:r>
        <w:rPr>
          <w:rFonts w:hint="eastAsia"/>
        </w:rPr>
        <w:t>号附件</w:t>
      </w:r>
      <w:r>
        <w:rPr>
          <w:rFonts w:hint="eastAsia"/>
        </w:rPr>
        <w:t>)</w:t>
      </w:r>
      <w:r>
        <w:rPr>
          <w:rFonts w:hint="eastAsia"/>
        </w:rPr>
        <w:t>。有关方面也对《联邦选举机构和程序法》提出一项修正案</w:t>
      </w:r>
      <w:r>
        <w:rPr>
          <w:rFonts w:hint="eastAsia"/>
        </w:rPr>
        <w:t>(</w:t>
      </w:r>
      <w:r>
        <w:rPr>
          <w:rFonts w:hint="eastAsia"/>
        </w:rPr>
        <w:t>请参见第</w:t>
      </w:r>
      <w:r>
        <w:t>41</w:t>
      </w:r>
      <w:r>
        <w:rPr>
          <w:rFonts w:hint="eastAsia"/>
        </w:rPr>
        <w:t>号附件</w:t>
      </w:r>
      <w:r>
        <w:rPr>
          <w:rFonts w:hint="eastAsia"/>
        </w:rPr>
        <w:t>)</w:t>
      </w:r>
      <w:r>
        <w:rPr>
          <w:rFonts w:hint="eastAsia"/>
        </w:rPr>
        <w:t>，建议各政党采取措施，使更多残疾人参与决策。</w:t>
      </w:r>
    </w:p>
    <w:p w:rsidR="00A2190D" w:rsidRDefault="00A2190D">
      <w:pPr>
        <w:pStyle w:val="SingleTxtGC"/>
      </w:pPr>
      <w:r>
        <w:t>228.  2011</w:t>
      </w:r>
      <w:r>
        <w:rPr>
          <w:rFonts w:hint="eastAsia"/>
        </w:rPr>
        <w:t>年，联邦司法机关选举法庭启动了《残疾人参与选举的机构性计划》，目的是在获得选举公正和行使政治与选举权利方面推动和保护残疾人的人权。</w:t>
      </w:r>
    </w:p>
    <w:p w:rsidR="00A2190D" w:rsidRDefault="00A2190D">
      <w:pPr>
        <w:pStyle w:val="SingleTxtGC"/>
      </w:pPr>
      <w:r>
        <w:t xml:space="preserve">229.  </w:t>
      </w:r>
      <w:r>
        <w:rPr>
          <w:rFonts w:hint="eastAsia"/>
        </w:rPr>
        <w:t>另一方面，联邦政府中从</w:t>
      </w:r>
      <w:r>
        <w:t>2001</w:t>
      </w:r>
      <w:r>
        <w:rPr>
          <w:rFonts w:hint="eastAsia"/>
        </w:rPr>
        <w:t>年起就有残疾人担任领导工作。总统府办公室中有残疾人担任最高级别官员的事实，使得墨西哥能在联合国体系下倡导《公约》。</w:t>
      </w:r>
    </w:p>
    <w:p w:rsidR="00A2190D" w:rsidRDefault="00A2190D">
      <w:pPr>
        <w:pStyle w:val="H1GC"/>
      </w:pPr>
      <w:r>
        <w:tab/>
      </w:r>
      <w:r>
        <w:tab/>
      </w:r>
      <w:r>
        <w:rPr>
          <w:rFonts w:hint="eastAsia"/>
        </w:rPr>
        <w:t>第三十条</w:t>
      </w:r>
      <w:r>
        <w:rPr>
          <w:rStyle w:val="H1GCChar"/>
        </w:rPr>
        <w:br/>
      </w:r>
      <w:r>
        <w:rPr>
          <w:rFonts w:hint="eastAsia"/>
        </w:rPr>
        <w:t>参与文化生活、娱乐、休闲和体育活动</w:t>
      </w:r>
    </w:p>
    <w:p w:rsidR="00A2190D" w:rsidRDefault="00A2190D">
      <w:pPr>
        <w:pStyle w:val="SingleTxtGC"/>
      </w:pPr>
      <w:r>
        <w:t xml:space="preserve">230.  </w:t>
      </w:r>
      <w:r>
        <w:rPr>
          <w:rFonts w:hint="eastAsia"/>
        </w:rPr>
        <w:t>在第</w:t>
      </w:r>
      <w:r>
        <w:t>42</w:t>
      </w:r>
      <w:r>
        <w:rPr>
          <w:rFonts w:hint="eastAsia"/>
        </w:rPr>
        <w:t>号附件中，将提交墨西哥为确保残疾人参与文化生活、娱乐、休闲和体育活动而开展的各种活动的信息。</w:t>
      </w:r>
    </w:p>
    <w:p w:rsidR="00A2190D" w:rsidRDefault="00A2190D">
      <w:pPr>
        <w:pStyle w:val="H1GC"/>
        <w:rPr>
          <w:szCs w:val="24"/>
          <w:lang w:val="es-MX"/>
        </w:rPr>
      </w:pPr>
      <w:r>
        <w:tab/>
      </w:r>
      <w:r>
        <w:tab/>
      </w:r>
      <w:r>
        <w:rPr>
          <w:rFonts w:hint="eastAsia"/>
        </w:rPr>
        <w:t>第三十一条</w:t>
      </w:r>
      <w:r>
        <w:br/>
      </w:r>
      <w:r>
        <w:rPr>
          <w:rFonts w:hint="eastAsia"/>
        </w:rPr>
        <w:t>统计和数据收集</w:t>
      </w:r>
    </w:p>
    <w:p w:rsidR="00A2190D" w:rsidRDefault="00A2190D">
      <w:pPr>
        <w:pStyle w:val="SingleTxtGC"/>
      </w:pPr>
      <w:r>
        <w:t>231.  2010</w:t>
      </w:r>
      <w:r>
        <w:rPr>
          <w:rFonts w:hint="eastAsia"/>
        </w:rPr>
        <w:t>年，全国残疾人理事会将残疾人基金的部分资金用来构建残疾人信息系统的概念模型，并将于</w:t>
      </w:r>
      <w:r>
        <w:t>2012</w:t>
      </w:r>
      <w:r>
        <w:rPr>
          <w:rFonts w:hint="eastAsia"/>
        </w:rPr>
        <w:t>年底全面运行该系统。</w:t>
      </w:r>
      <w:r>
        <w:rPr>
          <w:rStyle w:val="FootnoteReference"/>
        </w:rPr>
        <w:footnoteReference w:id="38"/>
      </w:r>
      <w:r>
        <w:rPr>
          <w:rStyle w:val="FootnoteReference"/>
        </w:rPr>
        <w:t xml:space="preserve"> </w:t>
      </w:r>
      <w:r>
        <w:rPr>
          <w:rFonts w:hint="eastAsia"/>
        </w:rPr>
        <w:t>该系统由国家残疾人登记处和信息地理参考系统组成。其中，信息地理参考系统能用来认定可向残疾人提供的各项服务，包括向不同年龄组和类型的残疾人提供的健康、康复、教育、工作、社会发展、文化、体育和司法服务与援助。</w:t>
      </w:r>
    </w:p>
    <w:p w:rsidR="00A2190D" w:rsidRDefault="00A2190D">
      <w:pPr>
        <w:pStyle w:val="SingleTxtGC"/>
        <w:rPr>
          <w:rStyle w:val="FootnoteReference"/>
        </w:rPr>
      </w:pPr>
      <w:r>
        <w:t>232.  2010</w:t>
      </w:r>
      <w:r>
        <w:rPr>
          <w:rFonts w:hint="eastAsia"/>
        </w:rPr>
        <w:t>年，全国残疾人理事会策划并实地开展了《全国人口残疾状况调查》。</w:t>
      </w:r>
      <w:r>
        <w:rPr>
          <w:rStyle w:val="FootnoteReference"/>
        </w:rPr>
        <w:footnoteReference w:id="39"/>
      </w:r>
      <w:r>
        <w:rPr>
          <w:rStyle w:val="FootnoteReference"/>
        </w:rPr>
        <w:t xml:space="preserve"> </w:t>
      </w:r>
      <w:r>
        <w:rPr>
          <w:rFonts w:hint="eastAsia"/>
        </w:rPr>
        <w:t>该调查在墨西哥历史上首次针对残疾人状况进行了专项研究。</w:t>
      </w:r>
      <w:r>
        <w:rPr>
          <w:rStyle w:val="FootnoteReference"/>
        </w:rPr>
        <w:footnoteReference w:id="40"/>
      </w:r>
    </w:p>
    <w:p w:rsidR="00A2190D" w:rsidRDefault="00A2190D">
      <w:pPr>
        <w:pStyle w:val="SingleTxtGC"/>
      </w:pPr>
      <w:r>
        <w:t xml:space="preserve">233.  </w:t>
      </w:r>
      <w:r>
        <w:rPr>
          <w:rFonts w:hint="eastAsia"/>
        </w:rPr>
        <w:t>国家统计和地理研究所努力采用世界卫生组织的国际功能、残疾和健康分类。这方面信息来源的建立与完善将使残疾人信息统一系统纳入残疾人信息系统；为此，墨西哥在开发残疾人身份证的国家统计和地理信息系统的框架内建立了残疾人信息专业技术委员会。</w:t>
      </w:r>
    </w:p>
    <w:p w:rsidR="00A2190D" w:rsidRDefault="00A2190D">
      <w:pPr>
        <w:pStyle w:val="SingleTxtGC"/>
      </w:pPr>
      <w:r>
        <w:t xml:space="preserve">234.  </w:t>
      </w:r>
      <w:r>
        <w:rPr>
          <w:rFonts w:hint="eastAsia"/>
        </w:rPr>
        <w:t>全国残疾人理事会的工作与培训委员会同劳动和社会福利部协调，根据国际功能、残疾和健康分类，共同对在联邦公共行政机构中工作的残疾人进行登记，目的是以连续的方式对残疾人口及其工作特点与条件进行认定。</w:t>
      </w:r>
    </w:p>
    <w:p w:rsidR="00A2190D" w:rsidRDefault="00A2190D">
      <w:pPr>
        <w:pStyle w:val="H1GC"/>
      </w:pPr>
      <w:r>
        <w:tab/>
      </w:r>
      <w:r>
        <w:tab/>
      </w:r>
      <w:r>
        <w:rPr>
          <w:rFonts w:hint="eastAsia"/>
        </w:rPr>
        <w:t>第三十二条</w:t>
      </w:r>
      <w:r>
        <w:br/>
      </w:r>
      <w:r>
        <w:rPr>
          <w:rFonts w:hint="eastAsia"/>
        </w:rPr>
        <w:t>国际合作</w:t>
      </w:r>
    </w:p>
    <w:p w:rsidR="00A2190D" w:rsidRDefault="00A2190D">
      <w:pPr>
        <w:pStyle w:val="SingleTxtGC"/>
      </w:pPr>
      <w:r>
        <w:t>235.  2008</w:t>
      </w:r>
      <w:r>
        <w:rPr>
          <w:rFonts w:hint="eastAsia"/>
        </w:rPr>
        <w:t>年和</w:t>
      </w:r>
      <w:r>
        <w:t>2009</w:t>
      </w:r>
      <w:r>
        <w:rPr>
          <w:rFonts w:hint="eastAsia"/>
        </w:rPr>
        <w:t>年，劳动和社会福利部与西班牙劳工移民部共同制定了《强化残疾人工作与培训国家计划》，并制定了联邦单位和各市的样本计划。</w:t>
      </w:r>
    </w:p>
    <w:p w:rsidR="00A2190D" w:rsidRDefault="00A2190D">
      <w:pPr>
        <w:pStyle w:val="SingleTxtGC"/>
        <w:rPr>
          <w:rStyle w:val="FootnoteReference"/>
        </w:rPr>
      </w:pPr>
      <w:r>
        <w:t xml:space="preserve">236.  </w:t>
      </w:r>
      <w:r>
        <w:rPr>
          <w:rFonts w:hint="eastAsia"/>
        </w:rPr>
        <w:t>在体育国家化的框架内，国家体育委员会努力鼓励实施各种有利于在国家间互惠互利的原则下开展体育文化和运动的合作协议与日程。</w:t>
      </w:r>
      <w:r>
        <w:rPr>
          <w:rStyle w:val="FootnoteReference"/>
        </w:rPr>
        <w:footnoteReference w:id="41"/>
      </w:r>
    </w:p>
    <w:p w:rsidR="00A2190D" w:rsidRDefault="00A2190D">
      <w:pPr>
        <w:pStyle w:val="SingleTxtGC"/>
      </w:pPr>
      <w:r>
        <w:t xml:space="preserve">237.  </w:t>
      </w:r>
      <w:r>
        <w:rPr>
          <w:rFonts w:hint="eastAsia"/>
        </w:rPr>
        <w:t>国家康复研究所已与泛美卫生组织的中美洲计划开展了十多年的合作，共同向洪都拉斯、萨尔瓦多、巴拿马、尼加拉瓜、玻利维亚等国的专业人员提供培训。</w:t>
      </w:r>
    </w:p>
    <w:p w:rsidR="00A2190D" w:rsidRDefault="00A2190D">
      <w:pPr>
        <w:pStyle w:val="SingleTxtGC"/>
      </w:pPr>
      <w:r>
        <w:t xml:space="preserve">238.  </w:t>
      </w:r>
      <w:r>
        <w:rPr>
          <w:rFonts w:hint="eastAsia"/>
        </w:rPr>
        <w:t>劳动者社会保障与服务国家委员会与古巴国际神经修复中心、匈牙利佩托·安德拉斯研究所和西班牙古特曼研究所签订了双边科技合作协议，目的是交流由于神经原因造成行动缺陷者的神经康复的各种知识和做法。</w:t>
      </w:r>
    </w:p>
    <w:p w:rsidR="00A2190D" w:rsidRDefault="00A2190D">
      <w:pPr>
        <w:pStyle w:val="SingleTxtGC"/>
      </w:pPr>
      <w:r>
        <w:t xml:space="preserve">239.  </w:t>
      </w:r>
      <w:r>
        <w:rPr>
          <w:rFonts w:hint="eastAsia"/>
        </w:rPr>
        <w:t>墨西哥通过外交部的科技合作总局与拉美国家一起制定了多个合作计划。第</w:t>
      </w:r>
      <w:r>
        <w:t>43</w:t>
      </w:r>
      <w:r>
        <w:rPr>
          <w:rFonts w:hint="eastAsia"/>
        </w:rPr>
        <w:t>号附件将介绍这些合作计划。</w:t>
      </w:r>
    </w:p>
    <w:p w:rsidR="00A2190D" w:rsidRDefault="00A2190D">
      <w:pPr>
        <w:pStyle w:val="H1GC"/>
      </w:pPr>
      <w:r>
        <w:tab/>
      </w:r>
      <w:r>
        <w:tab/>
      </w:r>
      <w:r>
        <w:rPr>
          <w:rFonts w:hint="eastAsia"/>
        </w:rPr>
        <w:t>第三十三条</w:t>
      </w:r>
      <w:r>
        <w:br/>
      </w:r>
      <w:r>
        <w:rPr>
          <w:rFonts w:hint="eastAsia"/>
        </w:rPr>
        <w:t>国内实施和监测</w:t>
      </w:r>
    </w:p>
    <w:p w:rsidR="00A2190D" w:rsidRDefault="00A2190D">
      <w:pPr>
        <w:pStyle w:val="SingleTxtGC"/>
        <w:rPr>
          <w:rStyle w:val="FootnoteReference"/>
        </w:rPr>
      </w:pPr>
      <w:r>
        <w:t>240.  2009</w:t>
      </w:r>
      <w:r>
        <w:rPr>
          <w:rFonts w:hint="eastAsia"/>
        </w:rPr>
        <w:t>年</w:t>
      </w:r>
      <w:r>
        <w:rPr>
          <w:rFonts w:hint="eastAsia"/>
        </w:rPr>
        <w:t>9</w:t>
      </w:r>
      <w:r>
        <w:rPr>
          <w:rFonts w:hint="eastAsia"/>
        </w:rPr>
        <w:t>月，墨西哥政府根据《公约》第三十三条第一款，指定全国残疾人理事会为政府协调机制。</w:t>
      </w:r>
      <w:r>
        <w:rPr>
          <w:rStyle w:val="FootnoteReference"/>
        </w:rPr>
        <w:footnoteReference w:id="42"/>
      </w:r>
    </w:p>
    <w:p w:rsidR="00A2190D" w:rsidRDefault="00A2190D">
      <w:pPr>
        <w:pStyle w:val="SingleTxtGC"/>
      </w:pPr>
      <w:r>
        <w:t xml:space="preserve">241.  </w:t>
      </w:r>
      <w:r>
        <w:rPr>
          <w:rFonts w:hint="eastAsia"/>
        </w:rPr>
        <w:t>为履行《公约》第三十三条第二款，墨西哥政府于</w:t>
      </w:r>
      <w:r>
        <w:t>2011</w:t>
      </w:r>
      <w:r>
        <w:rPr>
          <w:rFonts w:hint="eastAsia"/>
        </w:rPr>
        <w:t>年</w:t>
      </w:r>
      <w:r>
        <w:t>2</w:t>
      </w:r>
      <w:r>
        <w:rPr>
          <w:rFonts w:hint="eastAsia"/>
        </w:rPr>
        <w:t>月向联合国秘书长和人权事务高级专员提交了由全国人权委员会和来自各联邦实体的</w:t>
      </w:r>
      <w:r>
        <w:t>32</w:t>
      </w:r>
      <w:r>
        <w:rPr>
          <w:rFonts w:hint="eastAsia"/>
        </w:rPr>
        <w:t>个保护人权公共机构组成的《倡导、保护和监督</w:t>
      </w:r>
      <w:r>
        <w:t>&lt;</w:t>
      </w:r>
      <w:r>
        <w:rPr>
          <w:rFonts w:hint="eastAsia"/>
        </w:rPr>
        <w:t>残疾人权利公约</w:t>
      </w:r>
      <w:r>
        <w:t>&gt;</w:t>
      </w:r>
      <w:r>
        <w:rPr>
          <w:rFonts w:hint="eastAsia"/>
        </w:rPr>
        <w:t>实施情况框架》</w:t>
      </w:r>
      <w:r>
        <w:rPr>
          <w:rFonts w:hint="eastAsia"/>
        </w:rPr>
        <w:t>(</w:t>
      </w:r>
      <w:r>
        <w:rPr>
          <w:rFonts w:hint="eastAsia"/>
        </w:rPr>
        <w:t>请参见第</w:t>
      </w:r>
      <w:r>
        <w:t>44</w:t>
      </w:r>
      <w:r>
        <w:rPr>
          <w:rFonts w:hint="eastAsia"/>
        </w:rPr>
        <w:t>号附件</w:t>
      </w:r>
      <w:r>
        <w:rPr>
          <w:rFonts w:hint="eastAsia"/>
        </w:rPr>
        <w:t>)</w:t>
      </w:r>
      <w:r>
        <w:rPr>
          <w:rFonts w:hint="eastAsia"/>
        </w:rPr>
        <w:t>。</w:t>
      </w:r>
    </w:p>
    <w:p w:rsidR="00A2190D" w:rsidRDefault="00A2190D">
      <w:pPr>
        <w:pStyle w:val="SingleTxtGC"/>
      </w:pPr>
      <w:r>
        <w:t xml:space="preserve">242.  </w:t>
      </w:r>
      <w:r>
        <w:rPr>
          <w:rFonts w:hint="eastAsia"/>
        </w:rPr>
        <w:t>墨西哥的这一决定不仅符合《公约》的各项理念，也符合联合国人权事务高级专员办事处关于实施和监测《残疾人权利公约》国家机制的结构和作用的专题研究</w:t>
      </w:r>
      <w:r>
        <w:rPr>
          <w:rFonts w:hint="eastAsia"/>
        </w:rPr>
        <w:t>(</w:t>
      </w:r>
      <w:r>
        <w:t>A/HRC/13/29</w:t>
      </w:r>
      <w:r>
        <w:rPr>
          <w:rFonts w:hint="eastAsia"/>
        </w:rPr>
        <w:t>)</w:t>
      </w:r>
      <w:r>
        <w:rPr>
          <w:rFonts w:hint="eastAsia"/>
        </w:rPr>
        <w:t>的规定。</w:t>
      </w:r>
    </w:p>
    <w:p w:rsidR="00A2190D" w:rsidRDefault="00A2190D">
      <w:pPr>
        <w:pStyle w:val="HChGC"/>
      </w:pPr>
      <w:r>
        <w:tab/>
      </w:r>
      <w:r>
        <w:rPr>
          <w:rFonts w:hint="eastAsia"/>
        </w:rPr>
        <w:t>四</w:t>
      </w:r>
      <w:r>
        <w:t>.</w:t>
      </w:r>
      <w:r>
        <w:tab/>
      </w:r>
      <w:r>
        <w:rPr>
          <w:rFonts w:hint="eastAsia"/>
        </w:rPr>
        <w:t>结论</w:t>
      </w:r>
    </w:p>
    <w:p w:rsidR="00A2190D" w:rsidRDefault="00A2190D">
      <w:pPr>
        <w:pStyle w:val="SingleTxtGC"/>
      </w:pPr>
      <w:r>
        <w:t xml:space="preserve">243.  </w:t>
      </w:r>
      <w:r>
        <w:rPr>
          <w:rFonts w:hint="eastAsia"/>
        </w:rPr>
        <w:t>墨西哥在这个初次报告中报告了墨西哥立法、机构和公共政策层面上在增进和保护残疾人人权方面的进展和进步。</w:t>
      </w:r>
    </w:p>
    <w:p w:rsidR="00A2190D" w:rsidRDefault="00A2190D">
      <w:pPr>
        <w:pStyle w:val="SingleTxtGC"/>
      </w:pPr>
      <w:r>
        <w:t xml:space="preserve">244.  </w:t>
      </w:r>
      <w:r>
        <w:rPr>
          <w:rFonts w:hint="eastAsia"/>
        </w:rPr>
        <w:t>墨西哥希望委员会在对报告分析后提出的各种建议能以具体的方式强化正在实施的各项政府计划。这里提出的各种结论考虑到了墨西哥的初次报告和第二周期报告之间政府行动的实际可能性。本报告的结论是实施《公约》的具体承诺，所以墨西哥希望委员会在拟定建议时考虑墨西哥的承诺。</w:t>
      </w:r>
    </w:p>
    <w:p w:rsidR="00A2190D" w:rsidRDefault="00A2190D">
      <w:pPr>
        <w:pStyle w:val="H1GC"/>
      </w:pPr>
      <w:r>
        <w:tab/>
      </w:r>
      <w:r>
        <w:tab/>
      </w:r>
      <w:r>
        <w:rPr>
          <w:rFonts w:hint="eastAsia"/>
        </w:rPr>
        <w:t>挑战与责任</w:t>
      </w:r>
    </w:p>
    <w:p w:rsidR="00A2190D" w:rsidRDefault="00A2190D">
      <w:pPr>
        <w:pStyle w:val="SingleTxtGC"/>
      </w:pPr>
      <w:r>
        <w:t xml:space="preserve">245.  </w:t>
      </w:r>
      <w:r>
        <w:rPr>
          <w:rFonts w:hint="eastAsia"/>
        </w:rPr>
        <w:t>墨西哥政府承认：为了真正实现国内残疾人的机会平等，就必须从人权观点出发，对模式进行转变，以便制定各种倡导和推动残疾人融入国家的经济、社会、政治、司法和文化生活的政策。从这个意义上来说，确保强化《国家残疾人发展计划》、并以此推进《残疾人权利公约》的执行就显得尤为重要。</w:t>
      </w:r>
    </w:p>
    <w:p w:rsidR="00A2190D" w:rsidRDefault="00A2190D">
      <w:pPr>
        <w:pStyle w:val="SingleTxtGC"/>
      </w:pPr>
      <w:r>
        <w:t xml:space="preserve">246.  </w:t>
      </w:r>
      <w:r>
        <w:rPr>
          <w:rFonts w:hint="eastAsia"/>
        </w:rPr>
        <w:t>在对本报告进行监测的过程中将会持续出现的挑战和责任是各种结构性问题：墨西哥需要在《公约》执行的初始阶段改进这些结构性问题。上述挑战和责任考虑了民间社会组织的观点，即强调应将重点放在第四条</w:t>
      </w:r>
      <w:r>
        <w:rPr>
          <w:rFonts w:hint="eastAsia"/>
        </w:rPr>
        <w:t>(</w:t>
      </w:r>
      <w:r>
        <w:rPr>
          <w:rFonts w:hint="eastAsia"/>
        </w:rPr>
        <w:t>统一立法</w:t>
      </w:r>
      <w:r>
        <w:rPr>
          <w:rFonts w:hint="eastAsia"/>
        </w:rPr>
        <w:t>)</w:t>
      </w:r>
      <w:r>
        <w:rPr>
          <w:rFonts w:hint="eastAsia"/>
        </w:rPr>
        <w:t>、第八条</w:t>
      </w:r>
      <w:r>
        <w:rPr>
          <w:rFonts w:hint="eastAsia"/>
        </w:rPr>
        <w:t>(</w:t>
      </w:r>
      <w:r>
        <w:rPr>
          <w:rFonts w:hint="eastAsia"/>
        </w:rPr>
        <w:t>提高认识</w:t>
      </w:r>
      <w:r>
        <w:rPr>
          <w:rFonts w:hint="eastAsia"/>
        </w:rPr>
        <w:t>)</w:t>
      </w:r>
      <w:r>
        <w:rPr>
          <w:rFonts w:hint="eastAsia"/>
        </w:rPr>
        <w:t>、第三十一条</w:t>
      </w:r>
      <w:r>
        <w:rPr>
          <w:rFonts w:hint="eastAsia"/>
        </w:rPr>
        <w:t>(</w:t>
      </w:r>
      <w:r>
        <w:rPr>
          <w:rFonts w:hint="eastAsia"/>
        </w:rPr>
        <w:t>国家信息系统</w:t>
      </w:r>
      <w:r>
        <w:rPr>
          <w:rFonts w:hint="eastAsia"/>
        </w:rPr>
        <w:t>)</w:t>
      </w:r>
      <w:r>
        <w:rPr>
          <w:rFonts w:hint="eastAsia"/>
        </w:rPr>
        <w:t>和第三十三条</w:t>
      </w:r>
      <w:r>
        <w:rPr>
          <w:rFonts w:hint="eastAsia"/>
        </w:rPr>
        <w:t>(</w:t>
      </w:r>
      <w:r>
        <w:rPr>
          <w:rFonts w:hint="eastAsia"/>
        </w:rPr>
        <w:t>民间社会的参与</w:t>
      </w:r>
      <w:r>
        <w:rPr>
          <w:rFonts w:hint="eastAsia"/>
        </w:rPr>
        <w:t>)</w:t>
      </w:r>
      <w:r>
        <w:rPr>
          <w:rFonts w:hint="eastAsia"/>
        </w:rPr>
        <w:t>上</w:t>
      </w:r>
      <w:r>
        <w:rPr>
          <w:rFonts w:hint="eastAsia"/>
        </w:rPr>
        <w:t>(</w:t>
      </w:r>
      <w:r>
        <w:rPr>
          <w:rFonts w:hint="eastAsia"/>
        </w:rPr>
        <w:t>请参见第</w:t>
      </w:r>
      <w:r>
        <w:t>45</w:t>
      </w:r>
      <w:r>
        <w:rPr>
          <w:rFonts w:hint="eastAsia"/>
        </w:rPr>
        <w:t>号附件</w:t>
      </w:r>
      <w:r>
        <w:rPr>
          <w:rFonts w:hint="eastAsia"/>
        </w:rPr>
        <w:t>)</w:t>
      </w:r>
      <w:r>
        <w:rPr>
          <w:rFonts w:hint="eastAsia"/>
        </w:rPr>
        <w:t>。</w:t>
      </w:r>
    </w:p>
    <w:p w:rsidR="00A2190D" w:rsidRDefault="00A2190D">
      <w:pPr>
        <w:pStyle w:val="H23GC"/>
      </w:pPr>
      <w:r>
        <w:tab/>
        <w:t>1.</w:t>
      </w:r>
      <w:r>
        <w:tab/>
      </w:r>
      <w:r>
        <w:rPr>
          <w:rFonts w:hint="eastAsia"/>
        </w:rPr>
        <w:t>提高认识</w:t>
      </w:r>
    </w:p>
    <w:p w:rsidR="00A2190D" w:rsidRDefault="00A2190D">
      <w:pPr>
        <w:pStyle w:val="SingleTxtGC"/>
      </w:pPr>
      <w:r>
        <w:t xml:space="preserve">247.  </w:t>
      </w:r>
      <w:r>
        <w:rPr>
          <w:rFonts w:hint="eastAsia"/>
        </w:rPr>
        <w:t>必须在全面理解《公约》提出的残疾观点的基础上采取各种措施，原因是仍然广泛存在一些观念，将残疾人不平等处境的根源视为制约、限制或缺陷而不是视为存在的障碍和与之相关的社会责任。这就要求从公共政策中的援助观念转向承认残疾人是拥有权利的个人。</w:t>
      </w:r>
    </w:p>
    <w:p w:rsidR="00A2190D" w:rsidRDefault="00A2190D">
      <w:pPr>
        <w:pStyle w:val="SingleTxtGC"/>
      </w:pPr>
      <w:r>
        <w:t xml:space="preserve">248.  </w:t>
      </w:r>
      <w:r>
        <w:rPr>
          <w:rFonts w:hint="eastAsia"/>
        </w:rPr>
        <w:t>为了提高在独立生活和融入社区权利方面的认识，预计会遇到下列挑战：</w:t>
      </w:r>
    </w:p>
    <w:p w:rsidR="00A2190D" w:rsidRDefault="00A2190D">
      <w:pPr>
        <w:pStyle w:val="SingleTxtGC"/>
        <w:numPr>
          <w:ilvl w:val="0"/>
          <w:numId w:val="28"/>
        </w:numPr>
        <w:ind w:left="1134"/>
      </w:pPr>
      <w:r>
        <w:rPr>
          <w:rFonts w:hint="eastAsia"/>
        </w:rPr>
        <w:t>按照《公约》精神，实现所有社会部门在所有层面的参与。</w:t>
      </w:r>
    </w:p>
    <w:p w:rsidR="00A2190D" w:rsidRDefault="00A2190D">
      <w:pPr>
        <w:pStyle w:val="SingleTxtGC"/>
        <w:numPr>
          <w:ilvl w:val="0"/>
          <w:numId w:val="28"/>
        </w:numPr>
        <w:ind w:left="1134"/>
      </w:pPr>
      <w:r>
        <w:rPr>
          <w:rFonts w:hint="eastAsia"/>
        </w:rPr>
        <w:t>对法律和公共政策进行调整，以实现上述进程。</w:t>
      </w:r>
    </w:p>
    <w:p w:rsidR="00A2190D" w:rsidRDefault="00A2190D">
      <w:pPr>
        <w:pStyle w:val="SingleTxtGC"/>
        <w:numPr>
          <w:ilvl w:val="0"/>
          <w:numId w:val="28"/>
        </w:numPr>
        <w:ind w:left="1134"/>
      </w:pPr>
      <w:r>
        <w:rPr>
          <w:rFonts w:hint="eastAsia"/>
        </w:rPr>
        <w:t>主张包容而不是任何形式歧视的社会文化。</w:t>
      </w:r>
    </w:p>
    <w:p w:rsidR="00A2190D" w:rsidRDefault="00A2190D">
      <w:pPr>
        <w:pStyle w:val="SingleTxtGC"/>
      </w:pPr>
      <w:r>
        <w:t xml:space="preserve">249.  </w:t>
      </w:r>
      <w:r>
        <w:rPr>
          <w:rFonts w:hint="eastAsia"/>
        </w:rPr>
        <w:t>因此，墨西哥将在《公约》的内容与范围方面强化对联邦公共行政机构工作人员的培训活动，以使他们有更多的方法和手段来为残疾人服务。</w:t>
      </w:r>
    </w:p>
    <w:p w:rsidR="00A2190D" w:rsidRDefault="00A2190D">
      <w:pPr>
        <w:pStyle w:val="SingleTxtGC"/>
      </w:pPr>
      <w:r>
        <w:t xml:space="preserve">250.  </w:t>
      </w:r>
      <w:r>
        <w:rPr>
          <w:rFonts w:hint="eastAsia"/>
        </w:rPr>
        <w:t>同时，将在联合国在墨西哥委派机构的帮助下，推动开展在全国范围内具有重大影响的公共活动，以倡导墨西哥人民在残疾问题上的文化观念的转变。</w:t>
      </w:r>
    </w:p>
    <w:p w:rsidR="00A2190D" w:rsidRDefault="00A2190D">
      <w:pPr>
        <w:pStyle w:val="H23GC"/>
      </w:pPr>
      <w:r>
        <w:tab/>
        <w:t>2.</w:t>
      </w:r>
      <w:r>
        <w:tab/>
      </w:r>
      <w:r>
        <w:rPr>
          <w:rFonts w:hint="eastAsia"/>
        </w:rPr>
        <w:t>在法律面前获得平等承认</w:t>
      </w:r>
      <w:bookmarkStart w:id="3" w:name="A1"/>
      <w:bookmarkEnd w:id="3"/>
    </w:p>
    <w:p w:rsidR="00A2190D" w:rsidRDefault="00A2190D">
      <w:pPr>
        <w:pStyle w:val="SingleTxtGC"/>
      </w:pPr>
      <w:r>
        <w:t xml:space="preserve">251.  </w:t>
      </w:r>
      <w:r>
        <w:rPr>
          <w:rFonts w:hint="eastAsia"/>
        </w:rPr>
        <w:t>这要求墨西哥进行一场讨论，目的是考虑现行的各种禁止情况的规则和做法在结构和社会文化层面的含义与特征。为此，要求对以下各方面进行讨论：</w:t>
      </w:r>
    </w:p>
    <w:p w:rsidR="00A2190D" w:rsidRDefault="00A2190D">
      <w:pPr>
        <w:pStyle w:val="SingleTxtGC"/>
        <w:numPr>
          <w:ilvl w:val="0"/>
          <w:numId w:val="30"/>
        </w:numPr>
        <w:ind w:left="1134"/>
      </w:pPr>
      <w:r>
        <w:rPr>
          <w:rFonts w:hint="eastAsia"/>
        </w:rPr>
        <w:t>构建融合的社会模式，以保证残疾人的权利行使和在社区内的充分参与。</w:t>
      </w:r>
    </w:p>
    <w:p w:rsidR="00A2190D" w:rsidRDefault="00A2190D">
      <w:pPr>
        <w:pStyle w:val="SingleTxtGC"/>
        <w:numPr>
          <w:ilvl w:val="0"/>
          <w:numId w:val="30"/>
        </w:numPr>
        <w:ind w:left="1134"/>
      </w:pPr>
      <w:r>
        <w:rPr>
          <w:rFonts w:hint="eastAsia"/>
        </w:rPr>
        <w:t>充分认可残疾人的法律行为能力，包括落实帮助表达残疾人意愿的模式。</w:t>
      </w:r>
    </w:p>
    <w:p w:rsidR="00A2190D" w:rsidRDefault="00A2190D">
      <w:pPr>
        <w:pStyle w:val="SingleTxtGC"/>
      </w:pPr>
      <w:r>
        <w:t xml:space="preserve">252.  </w:t>
      </w:r>
      <w:r>
        <w:rPr>
          <w:rFonts w:hint="eastAsia"/>
        </w:rPr>
        <w:t>作为表达创造条件、使法律及适用于《公约》总体人群的各项政策和计划的整体和谐的政治意愿的方式，为实现残疾人的融合，墨西哥政府：</w:t>
      </w:r>
    </w:p>
    <w:p w:rsidR="00A2190D" w:rsidRDefault="00A2190D">
      <w:pPr>
        <w:pStyle w:val="SingleTxtGC"/>
        <w:numPr>
          <w:ilvl w:val="0"/>
          <w:numId w:val="33"/>
        </w:numPr>
      </w:pPr>
      <w:r>
        <w:rPr>
          <w:rFonts w:hint="eastAsia"/>
        </w:rPr>
        <w:t>将在包括残疾人在内的跨学科组织的参与下，推动在全国范围内对现行有效的禁止情况的规则和做法，及可能与《公约》保持一致、并与墨西哥的特点保持一致的情况展开讨论；</w:t>
      </w:r>
    </w:p>
    <w:p w:rsidR="00A2190D" w:rsidRDefault="00A2190D">
      <w:pPr>
        <w:pStyle w:val="SingleTxtGC"/>
        <w:numPr>
          <w:ilvl w:val="0"/>
          <w:numId w:val="33"/>
        </w:numPr>
      </w:pPr>
      <w:r>
        <w:rPr>
          <w:rFonts w:hint="eastAsia"/>
        </w:rPr>
        <w:t>通过上述讨论，希望在</w:t>
      </w:r>
      <w:r>
        <w:t>2012</w:t>
      </w:r>
      <w:r>
        <w:rPr>
          <w:rFonts w:hint="eastAsia"/>
        </w:rPr>
        <w:t>年提出《民法典》修正案的提议范本，并希望该提议范本能在</w:t>
      </w:r>
      <w:r>
        <w:t>2013</w:t>
      </w:r>
      <w:r>
        <w:rPr>
          <w:rFonts w:hint="eastAsia"/>
        </w:rPr>
        <w:t>年和</w:t>
      </w:r>
      <w:r>
        <w:t>2014</w:t>
      </w:r>
      <w:r>
        <w:rPr>
          <w:rFonts w:hint="eastAsia"/>
        </w:rPr>
        <w:t>年按每年</w:t>
      </w:r>
      <w:r>
        <w:t>2</w:t>
      </w:r>
      <w:r>
        <w:rPr>
          <w:rFonts w:hint="eastAsia"/>
        </w:rPr>
        <w:t>个联邦实体的速度予以推广。根据所获得的经验，就可以进一步制定更高的目标。</w:t>
      </w:r>
    </w:p>
    <w:p w:rsidR="00A2190D" w:rsidRDefault="00A2190D">
      <w:pPr>
        <w:pStyle w:val="SingleTxtGC"/>
        <w:numPr>
          <w:ilvl w:val="0"/>
          <w:numId w:val="33"/>
        </w:numPr>
      </w:pPr>
      <w:r>
        <w:rPr>
          <w:rFonts w:hint="eastAsia"/>
        </w:rPr>
        <w:t>将对适用的特性提出一个模型，以使残疾人事务方面的法律适应这些特性。</w:t>
      </w:r>
    </w:p>
    <w:p w:rsidR="00A2190D" w:rsidRDefault="00A2190D">
      <w:pPr>
        <w:pStyle w:val="SingleTxtGC"/>
        <w:numPr>
          <w:ilvl w:val="0"/>
          <w:numId w:val="33"/>
        </w:numPr>
      </w:pPr>
      <w:r>
        <w:rPr>
          <w:rFonts w:hint="eastAsia"/>
        </w:rPr>
        <w:t>将根据《公约》，倡导联邦公共行政机构中使用的、残疾人方面的概念和语言的统一。</w:t>
      </w:r>
    </w:p>
    <w:p w:rsidR="00A2190D" w:rsidRDefault="00A2190D">
      <w:pPr>
        <w:pStyle w:val="SingleTxtGC"/>
        <w:numPr>
          <w:ilvl w:val="0"/>
          <w:numId w:val="33"/>
        </w:numPr>
      </w:pPr>
      <w:r>
        <w:rPr>
          <w:rFonts w:hint="eastAsia"/>
        </w:rPr>
        <w:t>将对墨西哥在通过《公约》时就其第十二条提交的解释性说明进行检查。</w:t>
      </w:r>
    </w:p>
    <w:p w:rsidR="00A2190D" w:rsidRDefault="00A2190D">
      <w:pPr>
        <w:pStyle w:val="H23GC"/>
      </w:pPr>
      <w:r>
        <w:tab/>
        <w:t>3.</w:t>
      </w:r>
      <w:r>
        <w:tab/>
      </w:r>
      <w:r>
        <w:rPr>
          <w:rFonts w:hint="eastAsia"/>
        </w:rPr>
        <w:t>统计和数据收集</w:t>
      </w:r>
    </w:p>
    <w:p w:rsidR="00A2190D" w:rsidRDefault="00A2190D">
      <w:pPr>
        <w:pStyle w:val="SingleTxtGC"/>
      </w:pPr>
      <w:r>
        <w:t xml:space="preserve">253.  </w:t>
      </w:r>
      <w:r>
        <w:rPr>
          <w:rFonts w:hint="eastAsia"/>
        </w:rPr>
        <w:t>在这方面，已确定了下列挑战与责任：</w:t>
      </w:r>
    </w:p>
    <w:p w:rsidR="00A2190D" w:rsidRDefault="00A2190D">
      <w:pPr>
        <w:pStyle w:val="SingleTxtGC"/>
        <w:numPr>
          <w:ilvl w:val="0"/>
          <w:numId w:val="35"/>
        </w:numPr>
      </w:pPr>
      <w:r>
        <w:rPr>
          <w:rFonts w:hint="eastAsia"/>
        </w:rPr>
        <w:t>在国家、州和地方三级的联邦公共行政机构的信息登记和统计数据产生过程中引入残疾观点，目的是获得各种信息和数据，以便对残疾人融入生活各个领域的过程中的进步和倒退情况进行严格的监测。</w:t>
      </w:r>
    </w:p>
    <w:p w:rsidR="00A2190D" w:rsidRDefault="00A2190D">
      <w:pPr>
        <w:pStyle w:val="SingleTxtGC"/>
        <w:numPr>
          <w:ilvl w:val="0"/>
          <w:numId w:val="35"/>
        </w:numPr>
      </w:pPr>
      <w:r>
        <w:rPr>
          <w:rFonts w:hint="eastAsia"/>
        </w:rPr>
        <w:t>强化数据收集工作，以便对残疾人的情况进行定量、定性和定位，并了解公共、私人和社会机构向残疾人提供的各种服务，倡导各机构的领导层统一开展与关怀三级政府和私人部门中的残疾人有关的各种活动。</w:t>
      </w:r>
    </w:p>
    <w:p w:rsidR="00A2190D" w:rsidRDefault="00A2190D">
      <w:pPr>
        <w:pStyle w:val="SingleTxtGC"/>
        <w:numPr>
          <w:ilvl w:val="0"/>
          <w:numId w:val="35"/>
        </w:numPr>
      </w:pPr>
      <w:r>
        <w:rPr>
          <w:rFonts w:hint="eastAsia"/>
        </w:rPr>
        <w:t>倡导制定可加强国家残疾人登记处工作能力的各种方法、技术手段和概念框架。</w:t>
      </w:r>
    </w:p>
    <w:p w:rsidR="00A2190D" w:rsidRDefault="00A2190D">
      <w:pPr>
        <w:pStyle w:val="SingleTxtGC"/>
        <w:numPr>
          <w:ilvl w:val="0"/>
          <w:numId w:val="35"/>
        </w:numPr>
      </w:pPr>
      <w:r>
        <w:rPr>
          <w:rFonts w:hint="eastAsia"/>
        </w:rPr>
        <w:t>在确定残疾人事务的兼容和补充数据来源时，建议将国际功能、残疾和健康分类作为必备条件和普遍概念框架。为此，需要针对各国家级和州级联邦公共行政机构中的工作人员和产生数据的负责人、残疾人工作计划的领导人等制定一个这方面的、广泛的推广、宣传和培训计划。</w:t>
      </w:r>
    </w:p>
    <w:p w:rsidR="00A2190D" w:rsidRDefault="00A2190D">
      <w:pPr>
        <w:pStyle w:val="SingleTxtGC"/>
        <w:numPr>
          <w:ilvl w:val="0"/>
          <w:numId w:val="35"/>
        </w:numPr>
      </w:pPr>
      <w:r>
        <w:rPr>
          <w:rFonts w:hint="eastAsia"/>
        </w:rPr>
        <w:t>同时，应在确定统计数据来源时采用普遍概念框架，以倡导残疾和残疾人方面的文化转变，并以此倡导更好地关注这一社会现象及残疾人的融入问题。</w:t>
      </w:r>
    </w:p>
    <w:p w:rsidR="00A2190D" w:rsidRDefault="00A2190D">
      <w:pPr>
        <w:pStyle w:val="SingleTxtGC"/>
        <w:numPr>
          <w:ilvl w:val="0"/>
          <w:numId w:val="35"/>
        </w:numPr>
      </w:pPr>
      <w:r>
        <w:rPr>
          <w:rFonts w:hint="eastAsia"/>
        </w:rPr>
        <w:t>鼓励具有下列特性的残疾人事务数据来源：能提供持续、系统化和高质量数据的数据来源，尤其是各种调查和行政管理记录数据；可使大家更好地了解残疾人事务的数据来源；有助于各种关怀残疾人行动的数据来源。</w:t>
      </w:r>
    </w:p>
    <w:p w:rsidR="00A2190D" w:rsidRDefault="00A2190D">
      <w:pPr>
        <w:pStyle w:val="SingleTxtGC"/>
        <w:numPr>
          <w:ilvl w:val="0"/>
          <w:numId w:val="35"/>
        </w:numPr>
      </w:pPr>
      <w:r>
        <w:rPr>
          <w:rFonts w:hint="eastAsia"/>
        </w:rPr>
        <w:t>确保在国家统计和地理信息系统的框架内开展和运行残疾人信息系统，目的是更好地了解残疾人的需求和要求、以及向残疾人提供的服务种类。为此，正式成立残疾人信息专业技术委员会并使委员会开始运作就十分重要了。</w:t>
      </w:r>
    </w:p>
    <w:p w:rsidR="00A2190D" w:rsidRDefault="00A2190D">
      <w:pPr>
        <w:pStyle w:val="SingleTxtGC"/>
        <w:numPr>
          <w:ilvl w:val="0"/>
          <w:numId w:val="35"/>
        </w:numPr>
      </w:pPr>
      <w:r>
        <w:rPr>
          <w:rFonts w:hint="eastAsia"/>
        </w:rPr>
        <w:t>制定结果和影响指标、及测量方法，来对《公约》规定的残疾人权利的行使情况进行评估和监测。</w:t>
      </w:r>
    </w:p>
    <w:p w:rsidR="00A2190D" w:rsidRDefault="00A2190D">
      <w:pPr>
        <w:pStyle w:val="SingleTxtGC"/>
        <w:rPr>
          <w:szCs w:val="24"/>
        </w:rPr>
      </w:pPr>
      <w:r>
        <w:rPr>
          <w:szCs w:val="24"/>
        </w:rPr>
        <w:t xml:space="preserve">254.  </w:t>
      </w:r>
      <w:r>
        <w:rPr>
          <w:rFonts w:hint="eastAsia"/>
          <w:szCs w:val="24"/>
          <w:lang w:val="zh-CN"/>
        </w:rPr>
        <w:t>制定与残疾人权利有关的重要活动的测量方法以及结果和</w:t>
      </w:r>
      <w:r>
        <w:rPr>
          <w:szCs w:val="24"/>
        </w:rPr>
        <w:t>/</w:t>
      </w:r>
      <w:r>
        <w:rPr>
          <w:rFonts w:hint="eastAsia"/>
          <w:szCs w:val="24"/>
          <w:lang w:val="zh-CN"/>
        </w:rPr>
        <w:t>或影响指标。</w:t>
      </w:r>
    </w:p>
    <w:p w:rsidR="00A2190D" w:rsidRDefault="00A2190D">
      <w:pPr>
        <w:pStyle w:val="H23GC"/>
      </w:pPr>
      <w:r>
        <w:tab/>
        <w:t>4.</w:t>
      </w:r>
      <w:r>
        <w:tab/>
      </w:r>
      <w:r>
        <w:rPr>
          <w:rFonts w:hint="eastAsia"/>
        </w:rPr>
        <w:t>无障碍</w:t>
      </w:r>
    </w:p>
    <w:p w:rsidR="00A2190D" w:rsidRDefault="00A2190D">
      <w:pPr>
        <w:pStyle w:val="SingleTxtGC"/>
      </w:pPr>
      <w:r>
        <w:t xml:space="preserve">255.  </w:t>
      </w:r>
      <w:r>
        <w:rPr>
          <w:rFonts w:hint="eastAsia"/>
        </w:rPr>
        <w:t>为改善三级政府的联邦公共行政机构建筑物的无障碍通行条件，要求完成联邦不动产的无障碍系统开发工作，并以此对政府部门不动产的无障碍通行条件进行监测和评估。同时，还要求各级政府考虑制定预算项目，目的是确保政府设施的无障碍通行。</w:t>
      </w:r>
    </w:p>
    <w:p w:rsidR="00A2190D" w:rsidRDefault="00A2190D">
      <w:pPr>
        <w:pStyle w:val="SingleTxtGC"/>
      </w:pPr>
      <w:r>
        <w:t xml:space="preserve">256.  </w:t>
      </w:r>
      <w:r>
        <w:rPr>
          <w:rFonts w:hint="eastAsia"/>
        </w:rPr>
        <w:t>同样重要的是制定和宣传有助于城市交通</w:t>
      </w:r>
      <w:r>
        <w:rPr>
          <w:rFonts w:hint="eastAsia"/>
        </w:rPr>
        <w:t>(</w:t>
      </w:r>
      <w:r>
        <w:rPr>
          <w:rFonts w:hint="eastAsia"/>
        </w:rPr>
        <w:t>包括车辆和基础设施</w:t>
      </w:r>
      <w:r>
        <w:rPr>
          <w:rFonts w:hint="eastAsia"/>
        </w:rPr>
        <w:t>)</w:t>
      </w:r>
      <w:r>
        <w:rPr>
          <w:rFonts w:hint="eastAsia"/>
        </w:rPr>
        <w:t>无障碍通行、无障碍获得和使用信息与通信技术的规范与标准，并强化联邦公共行政机构单位因特网网站的无障碍行动。</w:t>
      </w:r>
    </w:p>
    <w:p w:rsidR="00A2190D" w:rsidRDefault="00A2190D">
      <w:pPr>
        <w:pStyle w:val="SingleTxtGC"/>
      </w:pPr>
      <w:r>
        <w:t xml:space="preserve">257.  </w:t>
      </w:r>
      <w:r>
        <w:rPr>
          <w:rFonts w:hint="eastAsia"/>
        </w:rPr>
        <w:t>农村环境下的无障碍是应着手处理的、与采用空间、产品及考虑到不同种类和程度残疾人的服务的通用设计同等重要的其他挑战之一。</w:t>
      </w:r>
    </w:p>
    <w:p w:rsidR="00A2190D" w:rsidRDefault="00A2190D">
      <w:pPr>
        <w:pStyle w:val="H23GC"/>
      </w:pPr>
      <w:r>
        <w:tab/>
        <w:t>5.</w:t>
      </w:r>
      <w:r>
        <w:tab/>
      </w:r>
      <w:r>
        <w:rPr>
          <w:rFonts w:hint="eastAsia"/>
        </w:rPr>
        <w:t>具体的挑战</w:t>
      </w:r>
    </w:p>
    <w:p w:rsidR="00A2190D" w:rsidRDefault="00A2190D">
      <w:pPr>
        <w:pStyle w:val="SingleTxtGC"/>
      </w:pPr>
      <w:r>
        <w:t xml:space="preserve">258.  </w:t>
      </w:r>
      <w:r>
        <w:rPr>
          <w:rFonts w:hint="eastAsia"/>
        </w:rPr>
        <w:t>虽然墨西哥为消除对人口中特定人群的歧视做了很多努力并取得了进步，但仍应深化各种防止多重歧视的方法，以对残疾妇女等特定人群达到积极效果。</w:t>
      </w:r>
    </w:p>
    <w:p w:rsidR="00A2190D" w:rsidRDefault="00A2190D">
      <w:pPr>
        <w:pStyle w:val="SingleTxtGC"/>
      </w:pPr>
      <w:r>
        <w:t xml:space="preserve">259.  </w:t>
      </w:r>
      <w:r>
        <w:rPr>
          <w:rFonts w:hint="eastAsia"/>
        </w:rPr>
        <w:t>有必要扩展和加强可帮助精神残疾人实现就业融合，及为精神残疾人创造专门的、做出合理调整的工作岗位的替代性措施。</w:t>
      </w:r>
    </w:p>
    <w:p w:rsidR="00A2190D" w:rsidRDefault="00A2190D">
      <w:pPr>
        <w:pStyle w:val="SingleTxtGC"/>
      </w:pPr>
      <w:r>
        <w:t xml:space="preserve">260.  </w:t>
      </w:r>
      <w:r>
        <w:rPr>
          <w:rFonts w:hint="eastAsia"/>
        </w:rPr>
        <w:t>为此，墨西哥将加强《国家残疾人发展计划》的宣传和执行力度，并推动该计划根据实际情况不断更新。</w:t>
      </w:r>
    </w:p>
    <w:p w:rsidR="00A2190D" w:rsidRDefault="00A2190D">
      <w:pPr>
        <w:pStyle w:val="SingleTxtGC"/>
      </w:pPr>
      <w:r>
        <w:t xml:space="preserve">261.  </w:t>
      </w:r>
      <w:r>
        <w:rPr>
          <w:rFonts w:hint="eastAsia"/>
        </w:rPr>
        <w:t>同时，墨西哥将持续加强联邦政府制定的、旨在保障残疾人就业融合的各种战略，并将进一步拓展这些战略的社会覆盖面和深化其社会影响。面对这一挑战，首先就应缩小影响残疾人的不平等差距，并确保他们的职业发展和独立性。</w:t>
      </w:r>
    </w:p>
    <w:p w:rsidR="00A2190D" w:rsidRDefault="00A2190D">
      <w:pPr>
        <w:pStyle w:val="SingleTxtGC"/>
      </w:pPr>
      <w:r>
        <w:t xml:space="preserve">262.  </w:t>
      </w:r>
      <w:r>
        <w:rPr>
          <w:rFonts w:hint="eastAsia"/>
        </w:rPr>
        <w:t>公共教育部在整个国家教育体系中推行全纳教育，目的是建立尊重、接受和重视学生多样性的全纳政策和做法。</w:t>
      </w:r>
    </w:p>
    <w:p w:rsidR="00A2190D" w:rsidRDefault="00A2190D">
      <w:pPr>
        <w:pStyle w:val="SingleTxtGC"/>
      </w:pPr>
      <w:r>
        <w:t xml:space="preserve">263.  </w:t>
      </w:r>
      <w:r>
        <w:rPr>
          <w:rFonts w:hint="eastAsia"/>
        </w:rPr>
        <w:t>公共教育部一方面将持续推进聋哑学生的双语教育，以促进聋哑学生形成自己的语言和文化认同；另一方面，还将对基础教育教师进行使用墨西哥手语方面的培训。</w:t>
      </w:r>
    </w:p>
    <w:p w:rsidR="00A2190D" w:rsidRDefault="00A2190D">
      <w:pPr>
        <w:pStyle w:val="SingleTxtGC"/>
      </w:pPr>
      <w:r>
        <w:t xml:space="preserve">264.  </w:t>
      </w:r>
      <w:r>
        <w:rPr>
          <w:rFonts w:hint="eastAsia"/>
        </w:rPr>
        <w:t>精神障碍的高发病率及其对个人、家庭、社会、学习生活和就业造成的严重后果会带来以下各种挑战：</w:t>
      </w:r>
    </w:p>
    <w:p w:rsidR="00A2190D" w:rsidRDefault="00A2190D">
      <w:pPr>
        <w:pStyle w:val="SingleTxtGC"/>
        <w:numPr>
          <w:ilvl w:val="0"/>
          <w:numId w:val="37"/>
        </w:numPr>
      </w:pPr>
      <w:r>
        <w:rPr>
          <w:rFonts w:hint="eastAsia"/>
        </w:rPr>
        <w:t>对医务工作者和精神障碍患者的照顾者和家属进行使患者受到有尊严和公正待遇的培训，目的是同以精神和智力残疾人为目标的羞辱与歧视作斗争。</w:t>
      </w:r>
    </w:p>
    <w:p w:rsidR="00A2190D" w:rsidRDefault="00A2190D">
      <w:pPr>
        <w:pStyle w:val="SingleTxtGC"/>
        <w:numPr>
          <w:ilvl w:val="0"/>
          <w:numId w:val="37"/>
        </w:numPr>
      </w:pPr>
      <w:r>
        <w:rPr>
          <w:rFonts w:hint="eastAsia"/>
        </w:rPr>
        <w:t>更新精神健康方面的标准和规范。</w:t>
      </w:r>
    </w:p>
    <w:p w:rsidR="00A2190D" w:rsidRDefault="00A2190D">
      <w:pPr>
        <w:pStyle w:val="SingleTxtGC"/>
        <w:numPr>
          <w:ilvl w:val="0"/>
          <w:numId w:val="37"/>
        </w:numPr>
      </w:pPr>
      <w:r>
        <w:rPr>
          <w:rFonts w:hint="eastAsia"/>
        </w:rPr>
        <w:t>为精神和心理健康护理中心的运作和维护提供更多的预算资金。最重要的是为精神和心理健康护理中心必要的维护费用分配一定的预算。</w:t>
      </w:r>
    </w:p>
    <w:p w:rsidR="00A2190D" w:rsidRDefault="00A2190D">
      <w:pPr>
        <w:pStyle w:val="SingleTxtGC"/>
        <w:numPr>
          <w:ilvl w:val="0"/>
          <w:numId w:val="37"/>
        </w:numPr>
      </w:pPr>
      <w:r>
        <w:rPr>
          <w:rFonts w:hint="eastAsia"/>
        </w:rPr>
        <w:t>在社会中加强对精神障碍患者的保护措施。</w:t>
      </w:r>
    </w:p>
    <w:p w:rsidR="00A2190D" w:rsidRDefault="00A2190D">
      <w:pPr>
        <w:pStyle w:val="SingleTxtGC"/>
        <w:numPr>
          <w:ilvl w:val="0"/>
          <w:numId w:val="37"/>
        </w:numPr>
      </w:pPr>
      <w:r>
        <w:rPr>
          <w:rFonts w:hint="eastAsia"/>
        </w:rPr>
        <w:t>加强医疗卫生、教育、住房和劳动就业部门之间的协调，以帮助精神障碍患者融入社会并充分发展个人能力。</w:t>
      </w:r>
    </w:p>
    <w:p w:rsidR="00A2190D" w:rsidRDefault="00A2190D">
      <w:pPr>
        <w:pStyle w:val="SingleTxtGC"/>
        <w:numPr>
          <w:ilvl w:val="0"/>
          <w:numId w:val="37"/>
        </w:numPr>
      </w:pPr>
      <w:r>
        <w:rPr>
          <w:rFonts w:hint="eastAsia"/>
        </w:rPr>
        <w:t>通过有效、全面、持续和高质量的干预行动，扩大以尊重人权为基础的医疗流程的宣传和覆盖面。</w:t>
      </w:r>
    </w:p>
    <w:p w:rsidR="00A2190D" w:rsidRDefault="00A2190D">
      <w:pPr>
        <w:pStyle w:val="SingleTxtGC"/>
        <w:numPr>
          <w:ilvl w:val="0"/>
          <w:numId w:val="37"/>
        </w:numPr>
      </w:pPr>
      <w:r>
        <w:rPr>
          <w:rFonts w:hint="eastAsia"/>
        </w:rPr>
        <w:t>在处理这一公共卫生问题时，与民间社会进行协商并保持一致。</w:t>
      </w:r>
    </w:p>
    <w:p w:rsidR="00A2190D" w:rsidRDefault="00A2190D">
      <w:pPr>
        <w:pStyle w:val="SingleTxtGC"/>
      </w:pPr>
      <w:r>
        <w:t xml:space="preserve">265.  </w:t>
      </w:r>
      <w:r>
        <w:rPr>
          <w:rFonts w:hint="eastAsia"/>
        </w:rPr>
        <w:t>同样，也要求墨西哥进行一场讨论，目的是考虑精神卫生机构中残疾患者的非自愿拘留规则和标准在结构和社会文化层面的含义与特征。为此，要求对以下方面进行讨论：</w:t>
      </w:r>
    </w:p>
    <w:p w:rsidR="00A2190D" w:rsidRDefault="00A2190D">
      <w:pPr>
        <w:pStyle w:val="SingleTxtGC"/>
        <w:numPr>
          <w:ilvl w:val="0"/>
          <w:numId w:val="39"/>
        </w:numPr>
      </w:pPr>
      <w:r>
        <w:rPr>
          <w:rFonts w:hint="eastAsia"/>
        </w:rPr>
        <w:t>构建融合的社会模式，以保证残疾人的权利行使和在社区内的充分参与。</w:t>
      </w:r>
    </w:p>
    <w:p w:rsidR="00A2190D" w:rsidRDefault="00A2190D">
      <w:pPr>
        <w:pStyle w:val="SingleTxtGC"/>
        <w:numPr>
          <w:ilvl w:val="0"/>
          <w:numId w:val="39"/>
        </w:numPr>
      </w:pPr>
      <w:r>
        <w:rPr>
          <w:rFonts w:hint="eastAsia"/>
        </w:rPr>
        <w:t>废除或修改所有允许或主张对任何类型残疾人进行非自愿和强制拘留的规则或措施。</w:t>
      </w:r>
    </w:p>
    <w:p w:rsidR="00A2190D" w:rsidRDefault="00A2190D">
      <w:pPr>
        <w:pStyle w:val="SingleTxtGC"/>
        <w:rPr>
          <w:szCs w:val="24"/>
        </w:rPr>
      </w:pPr>
      <w:r>
        <w:rPr>
          <w:szCs w:val="24"/>
          <w:lang w:val="es-MX"/>
        </w:rPr>
        <w:t xml:space="preserve">266.  </w:t>
      </w:r>
      <w:r>
        <w:rPr>
          <w:rFonts w:hint="eastAsia"/>
          <w:szCs w:val="24"/>
          <w:lang w:val="zh-CN"/>
        </w:rPr>
        <w:t>在上述背景下</w:t>
      </w:r>
      <w:r>
        <w:rPr>
          <w:rFonts w:hint="eastAsia"/>
          <w:szCs w:val="24"/>
        </w:rPr>
        <w:t>，</w:t>
      </w:r>
      <w:r>
        <w:rPr>
          <w:rFonts w:hint="eastAsia"/>
          <w:szCs w:val="24"/>
          <w:lang w:val="zh-CN"/>
        </w:rPr>
        <w:t>作为表达创造条件、使法律及适用于《公约》总体人群的各项政策和计划的整体和谐的政治意愿的方式</w:t>
      </w:r>
      <w:r>
        <w:rPr>
          <w:rFonts w:hint="eastAsia"/>
          <w:szCs w:val="24"/>
        </w:rPr>
        <w:t>，</w:t>
      </w:r>
      <w:r>
        <w:rPr>
          <w:rFonts w:hint="eastAsia"/>
          <w:szCs w:val="24"/>
          <w:lang w:val="zh-CN"/>
        </w:rPr>
        <w:t>为实现残疾人的融合</w:t>
      </w:r>
      <w:r>
        <w:rPr>
          <w:rFonts w:hint="eastAsia"/>
          <w:szCs w:val="24"/>
        </w:rPr>
        <w:t>，</w:t>
      </w:r>
      <w:r>
        <w:rPr>
          <w:rFonts w:hint="eastAsia"/>
          <w:szCs w:val="24"/>
          <w:lang w:val="zh-CN"/>
        </w:rPr>
        <w:t>墨西哥政府</w:t>
      </w:r>
      <w:r>
        <w:rPr>
          <w:rFonts w:hint="eastAsia"/>
          <w:szCs w:val="24"/>
        </w:rPr>
        <w:t>：</w:t>
      </w:r>
    </w:p>
    <w:p w:rsidR="00A2190D" w:rsidRDefault="00A2190D">
      <w:pPr>
        <w:pStyle w:val="SingleTxtGC"/>
        <w:numPr>
          <w:ilvl w:val="0"/>
          <w:numId w:val="41"/>
        </w:numPr>
      </w:pPr>
      <w:r>
        <w:rPr>
          <w:rFonts w:hint="eastAsia"/>
        </w:rPr>
        <w:t>将在包括残疾人在内的多学科组织的参与下，在国内推动开展与精神卫生机构中残疾患者非自愿拘留有关规则和标准的讨论。</w:t>
      </w:r>
    </w:p>
    <w:p w:rsidR="00A2190D" w:rsidRDefault="00A2190D">
      <w:pPr>
        <w:pStyle w:val="SingleTxtGC"/>
        <w:numPr>
          <w:ilvl w:val="0"/>
          <w:numId w:val="41"/>
        </w:numPr>
      </w:pPr>
      <w:r>
        <w:rPr>
          <w:rFonts w:hint="eastAsia"/>
        </w:rPr>
        <w:t>具体落实精神卫生方面法律的全面改革。</w:t>
      </w:r>
    </w:p>
    <w:p w:rsidR="00A2190D" w:rsidRDefault="00A2190D">
      <w:pPr>
        <w:pStyle w:val="SingleTxtGC"/>
        <w:numPr>
          <w:ilvl w:val="0"/>
          <w:numId w:val="41"/>
        </w:numPr>
      </w:pPr>
      <w:r>
        <w:rPr>
          <w:rFonts w:hint="eastAsia"/>
        </w:rPr>
        <w:t>卫生部的精神病护理院下属的医疗单位将在本报告的监测过程中、在联邦政府其他部门的协助下承担下列责任：</w:t>
      </w:r>
    </w:p>
    <w:p w:rsidR="00A2190D" w:rsidRDefault="00A2190D">
      <w:pPr>
        <w:pStyle w:val="SingleTxtGC"/>
        <w:numPr>
          <w:ilvl w:val="0"/>
          <w:numId w:val="41"/>
        </w:numPr>
      </w:pPr>
      <w:r>
        <w:rPr>
          <w:rFonts w:hint="eastAsia"/>
        </w:rPr>
        <w:t>根据有关的国际标准、并在充分尊重人权的基础上，推动精神和心理健康护理方面的司法和机构文书的更新。</w:t>
      </w:r>
    </w:p>
    <w:p w:rsidR="00A2190D" w:rsidRDefault="00A2190D">
      <w:pPr>
        <w:pStyle w:val="SingleTxtGC"/>
        <w:numPr>
          <w:ilvl w:val="0"/>
          <w:numId w:val="41"/>
        </w:numPr>
      </w:pPr>
      <w:r>
        <w:rPr>
          <w:rFonts w:hint="eastAsia"/>
        </w:rPr>
        <w:t>在报告的次年，对该机构</w:t>
      </w:r>
      <w:r>
        <w:t>30%</w:t>
      </w:r>
      <w:r>
        <w:rPr>
          <w:rFonts w:hint="eastAsia"/>
        </w:rPr>
        <w:t>的工作人员进行人权及消除酷刑、残忍和不人道待遇方面的培训。</w:t>
      </w:r>
    </w:p>
    <w:p w:rsidR="00A2190D" w:rsidRDefault="00A2190D">
      <w:pPr>
        <w:pStyle w:val="SingleTxtGC"/>
        <w:numPr>
          <w:ilvl w:val="0"/>
          <w:numId w:val="41"/>
        </w:numPr>
      </w:pPr>
      <w:r>
        <w:rPr>
          <w:rFonts w:hint="eastAsia"/>
        </w:rPr>
        <w:t>在每个医疗单位开展</w:t>
      </w:r>
      <w:r>
        <w:t>2</w:t>
      </w:r>
      <w:r>
        <w:rPr>
          <w:rFonts w:hint="eastAsia"/>
        </w:rPr>
        <w:t>次有利于消除同精神和智力残疾人有关的羞耻感和歧视的活动。</w:t>
      </w:r>
    </w:p>
    <w:p w:rsidR="00A2190D" w:rsidRDefault="00A2190D">
      <w:pPr>
        <w:pStyle w:val="SingleTxtGC"/>
        <w:numPr>
          <w:ilvl w:val="0"/>
          <w:numId w:val="41"/>
        </w:numPr>
      </w:pPr>
      <w:r>
        <w:rPr>
          <w:rFonts w:hint="eastAsia"/>
        </w:rPr>
        <w:t>采用标准化的精神和心理卫生护理流程，以确保对精神和心理护理机构中患者人格完整性的保护，并避免产生相反的效果和医疗事故。制定机制，防止、禁止、控告和惩罚这些行为。实施医疗流程必须顺应尊重患者人权的方向。</w:t>
      </w:r>
    </w:p>
    <w:p w:rsidR="00A2190D" w:rsidRDefault="00A2190D">
      <w:pPr>
        <w:pStyle w:val="SingleTxtGC"/>
        <w:numPr>
          <w:ilvl w:val="0"/>
          <w:numId w:val="41"/>
        </w:numPr>
      </w:pPr>
      <w:r>
        <w:rPr>
          <w:rFonts w:hint="eastAsia"/>
        </w:rPr>
        <w:t>采用有利于患者的方式，对大众保险中与精神健康干预有关的财政资源和资金进行管理。</w:t>
      </w:r>
    </w:p>
    <w:p w:rsidR="00A2190D" w:rsidRDefault="00A2190D">
      <w:pPr>
        <w:pStyle w:val="SingleTxtGC"/>
        <w:numPr>
          <w:ilvl w:val="0"/>
          <w:numId w:val="41"/>
        </w:numPr>
      </w:pPr>
      <w:r>
        <w:rPr>
          <w:rFonts w:hint="eastAsia"/>
        </w:rPr>
        <w:t>改善下属医疗单位的安全和卫生条件。</w:t>
      </w:r>
    </w:p>
    <w:p w:rsidR="00A2190D" w:rsidRDefault="00A2190D">
      <w:pPr>
        <w:pStyle w:val="SingleTxtGC"/>
        <w:numPr>
          <w:ilvl w:val="0"/>
          <w:numId w:val="41"/>
        </w:numPr>
      </w:pPr>
      <w:r>
        <w:rPr>
          <w:rFonts w:hint="eastAsia"/>
        </w:rPr>
        <w:t>对违反规定的行为制定相应的监督和举报方案，并明确发生违规行为后的处罚措施及对受害者所受伤害的补偿。</w:t>
      </w:r>
    </w:p>
    <w:p w:rsidR="00A2190D" w:rsidRDefault="00A2190D">
      <w:pPr>
        <w:pStyle w:val="SingleTxtGC"/>
        <w:numPr>
          <w:ilvl w:val="0"/>
          <w:numId w:val="41"/>
        </w:numPr>
      </w:pPr>
      <w:r>
        <w:rPr>
          <w:rFonts w:hint="eastAsia"/>
        </w:rPr>
        <w:t>针对精神残疾人的实际问题，在医疗卫生、教育和住房部门之间进行协调。</w:t>
      </w:r>
    </w:p>
    <w:p w:rsidR="00A2190D" w:rsidRDefault="00A2190D">
      <w:pPr>
        <w:pStyle w:val="SingleTxtGC"/>
        <w:numPr>
          <w:ilvl w:val="0"/>
          <w:numId w:val="41"/>
        </w:numPr>
      </w:pPr>
      <w:r>
        <w:rPr>
          <w:rFonts w:hint="eastAsia"/>
        </w:rPr>
        <w:t>通过与民间社会联手强化各种推广和宣传行动、并实现精神和智力残疾人的康复，支持民间社会的参与。民间社会的参与对在这方面制定完整的医疗卫生体系是十分重要的。因此，应主张民间社会的参与。</w:t>
      </w:r>
    </w:p>
    <w:p w:rsidR="00A2190D" w:rsidRDefault="00A2190D">
      <w:pPr>
        <w:pStyle w:val="SingleTxtGC"/>
      </w:pPr>
      <w:r>
        <w:t xml:space="preserve">268.  </w:t>
      </w:r>
      <w:r>
        <w:rPr>
          <w:rFonts w:hint="eastAsia"/>
        </w:rPr>
        <w:t>残疾和慢性疾病对医疗卫生机构提出了重要挑战。慢性病患病率的上升趋势、慢性病的早期诊断和不同种类的肢体、精神、智力或感官缺陷的出现对医疗服务提出了更大、更复杂的需求。诸如劳动者社会保障与服务国家委员会这样的机构将在短期内面临两种需求：首先是医疗护理要避免对患者的早期健康带来风险，这就需要强调健康和医疗服务的积极方面，以改善患者的生活质量；另一方面，慢性病发病率的上升产生了高度专业化和高成本的医疗服务需求，这就要求有跨学科的预防措施和护理服务。</w:t>
      </w:r>
    </w:p>
    <w:p w:rsidR="00A2190D" w:rsidRDefault="00A2190D">
      <w:pPr>
        <w:pStyle w:val="SingleTxtGC"/>
      </w:pPr>
      <w:r>
        <w:t xml:space="preserve">269.  </w:t>
      </w:r>
      <w:r>
        <w:rPr>
          <w:rFonts w:hint="eastAsia"/>
        </w:rPr>
        <w:t>国家保护金融服务用户委员会将对保险机构给予公正和公平的待遇，避免在获得医疗保险和其他种类保险的过程中出现歧视行为。国家保护金融服务用户委员会还打算运用其职权向各金融机构建议，在金融产品或服务的签约过程中向残疾人提供平等的待遇。</w:t>
      </w:r>
    </w:p>
    <w:p w:rsidR="00A2190D" w:rsidRDefault="00A2190D">
      <w:pPr>
        <w:pStyle w:val="H23GC"/>
      </w:pPr>
      <w:r>
        <w:tab/>
        <w:t>6.</w:t>
      </w:r>
      <w:r>
        <w:tab/>
      </w:r>
      <w:r>
        <w:rPr>
          <w:rFonts w:hint="eastAsia"/>
        </w:rPr>
        <w:t>国内监测</w:t>
      </w:r>
    </w:p>
    <w:p w:rsidR="00A2190D" w:rsidRDefault="00A2190D">
      <w:pPr>
        <w:pStyle w:val="SingleTxtGC"/>
      </w:pPr>
      <w:r>
        <w:t xml:space="preserve">270.  </w:t>
      </w:r>
      <w:r>
        <w:rPr>
          <w:rFonts w:hint="eastAsia"/>
        </w:rPr>
        <w:t>本报告的撰写过程中采用了向残疾人组织和主张残疾人利益的组织征求意见的方法。同样，民间社会的参与者</w:t>
      </w:r>
      <w:r>
        <w:rPr>
          <w:rFonts w:hint="eastAsia"/>
        </w:rPr>
        <w:t>(</w:t>
      </w:r>
      <w:r>
        <w:rPr>
          <w:rFonts w:hint="eastAsia"/>
        </w:rPr>
        <w:t>各协会、学术团体、残疾人及其家庭</w:t>
      </w:r>
      <w:r>
        <w:rPr>
          <w:rFonts w:hint="eastAsia"/>
        </w:rPr>
        <w:t>)</w:t>
      </w:r>
      <w:r>
        <w:rPr>
          <w:rFonts w:hint="eastAsia"/>
        </w:rPr>
        <w:t>也须在提出有利于残疾人的建议方面发挥更积极和协调的作用。</w:t>
      </w:r>
    </w:p>
    <w:p w:rsidR="00A2190D" w:rsidRDefault="00A2190D">
      <w:pPr>
        <w:pStyle w:val="SingleTxtGC"/>
        <w:rPr>
          <w:rFonts w:hint="eastAsia"/>
        </w:rPr>
      </w:pPr>
    </w:p>
    <w:p w:rsidR="00A2190D" w:rsidRDefault="00A2190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2190D" w:rsidRDefault="00A2190D">
      <w:pPr>
        <w:spacing w:before="240"/>
        <w:jc w:val="center"/>
        <w:rPr>
          <w:rFonts w:hint="eastAsia"/>
          <w:u w:val="single"/>
        </w:rPr>
      </w:pPr>
    </w:p>
    <w:sectPr w:rsidR="00A2190D">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190D" w:rsidRDefault="00A2190D">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2190D" w:rsidRDefault="00A2190D">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ureka Sans">
    <w:altName w:val="Cambria"/>
    <w:panose1 w:val="00000000000000000000"/>
    <w:charset w:val="00"/>
    <w:family w:val="modern"/>
    <w:notTrueType/>
    <w:pitch w:val="variable"/>
    <w:sig w:usb0="00000003" w:usb1="00000000" w:usb2="00000000" w:usb3="00000000" w:csb0="00000001" w:csb1="00000000"/>
  </w:font>
  <w:font w:name="Myriad Pro">
    <w:altName w:val="Arial"/>
    <w:panose1 w:val="00000000000000000000"/>
    <w:charset w:val="00"/>
    <w:family w:val="swiss"/>
    <w:notTrueType/>
    <w:pitch w:val="variable"/>
    <w:sig w:usb0="A00002AF" w:usb1="5000204B" w:usb2="00000000" w:usb3="00000000" w:csb0="0000019F" w:csb1="00000000"/>
  </w:font>
  <w:font w:name="Optima">
    <w:altName w:val="Times New Roman"/>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35D" w:rsidRDefault="00FA535D">
    <w:pPr>
      <w:pStyle w:val="Footer"/>
      <w:tabs>
        <w:tab w:val="clear" w:pos="431"/>
        <w:tab w:val="right" w:pos="9639"/>
      </w:tabs>
      <w:rPr>
        <w:rStyle w:val="PageNumber"/>
        <w:rFonts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hint="eastAsia"/>
        <w:lang w:eastAsia="zh-CN"/>
      </w:rPr>
      <w:tab/>
    </w:r>
    <w:r>
      <w:rPr>
        <w:lang w:eastAsia="zh-CN"/>
      </w:rPr>
      <w:t>GE.13-40931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35D" w:rsidRDefault="00FA535D">
    <w:pPr>
      <w:pStyle w:val="Footer"/>
      <w:tabs>
        <w:tab w:val="right" w:pos="9639"/>
      </w:tabs>
    </w:pPr>
    <w:r>
      <w:rPr>
        <w:lang w:eastAsia="zh-CN"/>
      </w:rPr>
      <w:t>GE.13-40931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35D" w:rsidRDefault="00FA535D">
    <w:pPr>
      <w:pStyle w:val="Footer"/>
      <w:tabs>
        <w:tab w:val="left" w:pos="1701"/>
        <w:tab w:val="left" w:pos="2552"/>
        <w:tab w:val="left" w:pos="8618"/>
      </w:tabs>
      <w:rPr>
        <w:rFonts w:hint="eastAsia"/>
        <w:sz w:val="20"/>
        <w:lang w:eastAsia="zh-CN"/>
      </w:rPr>
    </w:pPr>
    <w:r>
      <w:rPr>
        <w:sz w:val="20"/>
        <w:lang w:eastAsia="zh-CN"/>
      </w:rPr>
      <w:t>GE.</w:t>
    </w:r>
    <w:r>
      <w:rPr>
        <w:rFonts w:hint="eastAsia"/>
        <w:sz w:val="20"/>
        <w:lang w:eastAsia="zh-CN"/>
      </w:rPr>
      <w:t>13</w:t>
    </w:r>
    <w:r>
      <w:rPr>
        <w:sz w:val="20"/>
        <w:lang w:eastAsia="zh-CN"/>
      </w:rPr>
      <w:t>-</w:t>
    </w:r>
    <w:r>
      <w:rPr>
        <w:rFonts w:hint="eastAsia"/>
        <w:sz w:val="20"/>
        <w:lang w:eastAsia="zh-CN"/>
      </w:rPr>
      <w:t>40931</w:t>
    </w:r>
    <w:r>
      <w:rPr>
        <w:sz w:val="20"/>
        <w:lang w:eastAsia="zh-CN"/>
      </w:rPr>
      <w:t xml:space="preserve"> (</w:t>
    </w:r>
    <w:r>
      <w:rPr>
        <w:rFonts w:hint="eastAsia"/>
        <w:sz w:val="20"/>
        <w:lang w:eastAsia="zh-CN"/>
      </w:rPr>
      <w:t>EXT</w:t>
    </w:r>
    <w:r>
      <w:rPr>
        <w:sz w:val="20"/>
        <w:lang w:eastAsia="zh-CN"/>
      </w:rPr>
      <w:t>)</w:t>
    </w:r>
    <w:r>
      <w:rPr>
        <w:sz w:val="20"/>
        <w:lang w:eastAsia="zh-CN"/>
      </w:rPr>
      <w:tab/>
    </w:r>
    <w:r>
      <w:rPr>
        <w:rFonts w:hint="eastAsia"/>
        <w:sz w:val="20"/>
        <w:lang w:eastAsia="zh-CN"/>
      </w:rPr>
      <w:tab/>
    </w:r>
    <w:r>
      <w:rPr>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190D" w:rsidRDefault="00A2190D">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type="continuationSeparator" w:id="0">
    <w:p w:rsidR="00A2190D" w:rsidRDefault="00A2190D">
      <w:pPr>
        <w:pStyle w:val="Footer"/>
        <w:tabs>
          <w:tab w:val="clear" w:pos="431"/>
          <w:tab w:val="right" w:pos="2155"/>
        </w:tabs>
        <w:spacing w:after="80" w:line="240" w:lineRule="atLeast"/>
        <w:ind w:left="680"/>
        <w:rPr>
          <w:rFonts w:hint="eastAsia"/>
          <w:u w:val="single"/>
          <w:lang w:eastAsia="zh-CN"/>
        </w:rPr>
      </w:pPr>
      <w:r>
        <w:rPr>
          <w:rFonts w:hint="eastAsia"/>
          <w:u w:val="single"/>
        </w:rPr>
        <w:tab/>
      </w:r>
    </w:p>
  </w:footnote>
  <w:footnote w:id="1">
    <w:p w:rsidR="00FA535D" w:rsidRDefault="00FA535D">
      <w:pPr>
        <w:pStyle w:val="FootnoteText"/>
      </w:pPr>
      <w:r>
        <w:tab/>
      </w:r>
      <w:r>
        <w:rPr>
          <w:rStyle w:val="FootnoteReference"/>
          <w:vertAlign w:val="baseline"/>
        </w:rPr>
        <w:t>*</w:t>
      </w:r>
      <w:r>
        <w:rPr>
          <w:rFonts w:hint="eastAsia"/>
        </w:rPr>
        <w:tab/>
      </w:r>
      <w:r>
        <w:t>按照已通知各缔约国的报告处理方法，本文件在送交联合国翻译部门前未经正式编辑。</w:t>
      </w:r>
    </w:p>
  </w:footnote>
  <w:footnote w:id="2">
    <w:p w:rsidR="00FA535D" w:rsidRDefault="00FA535D">
      <w:pPr>
        <w:pStyle w:val="FootnoteText"/>
        <w:rPr>
          <w:rFonts w:hint="eastAsia"/>
        </w:rPr>
      </w:pPr>
      <w:r>
        <w:rPr>
          <w:rFonts w:hint="eastAsia"/>
        </w:rPr>
        <w:tab/>
      </w:r>
      <w:r>
        <w:rPr>
          <w:rStyle w:val="FootnoteReference"/>
          <w:vertAlign w:val="baseline"/>
        </w:rPr>
        <w:t>**</w:t>
      </w:r>
      <w:r>
        <w:rPr>
          <w:rFonts w:hint="eastAsia"/>
        </w:rPr>
        <w:tab/>
      </w:r>
      <w:r>
        <w:rPr>
          <w:rFonts w:hint="eastAsia"/>
          <w:lang w:val="zh-CN"/>
        </w:rPr>
        <w:t>附件部分可参考秘书处的相关档案。</w:t>
      </w:r>
    </w:p>
  </w:footnote>
  <w:footnote w:id="3">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恰帕斯、科阿韦拉、杜兰戈、墨西哥州、瓜纳华托、伊达尔戈、米却肯、莫雷洛斯、新莱昂、圣路易斯波托西、塔巴斯科和尤卡坦州。</w:t>
      </w:r>
    </w:p>
  </w:footnote>
  <w:footnote w:id="4">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南下加利福尼亚、坎佩切、科阿韦拉、科利马、恰帕斯、奇瓦瓦、杜兰戈、格雷罗、伊达尔戈、墨西哥州、米却肯、纳亚里特、圣路易斯波托西、塔毛利帕斯、尤卡坦和萨卡特卡斯州</w:t>
      </w:r>
      <w:r>
        <w:rPr>
          <w:rFonts w:hint="eastAsia"/>
          <w:szCs w:val="24"/>
        </w:rPr>
        <w:t>，</w:t>
      </w:r>
      <w:r>
        <w:rPr>
          <w:rFonts w:hint="eastAsia"/>
          <w:szCs w:val="24"/>
          <w:lang w:val="zh-CN"/>
        </w:rPr>
        <w:t>以及联邦区。</w:t>
      </w:r>
    </w:p>
  </w:footnote>
  <w:footnote w:id="5">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科利马、墨西哥州、塔毛利帕斯和尤卡坦州。</w:t>
      </w:r>
    </w:p>
  </w:footnote>
  <w:footnote w:id="6">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上述数字未记录精神和心理残疾人提出的投诉和申诉数量。</w:t>
      </w:r>
    </w:p>
  </w:footnote>
  <w:footnote w:id="7">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因联邦当局或联邦公共机构涉嫌歧视行为而提出的举报或诉状。</w:t>
      </w:r>
    </w:p>
  </w:footnote>
  <w:footnote w:id="8">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墨西哥按时向消除对妇女歧视委员会提交了报告。</w:t>
      </w:r>
    </w:p>
  </w:footnote>
  <w:footnote w:id="9">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《防止和消除歧视联邦法》</w:t>
      </w:r>
      <w:r>
        <w:rPr>
          <w:rFonts w:hint="eastAsia"/>
          <w:szCs w:val="24"/>
        </w:rPr>
        <w:t>；</w:t>
      </w:r>
      <w:r>
        <w:rPr>
          <w:rFonts w:hint="eastAsia"/>
          <w:szCs w:val="24"/>
          <w:lang w:val="zh-CN"/>
        </w:rPr>
        <w:t>《男女平等一般法》</w:t>
      </w:r>
      <w:r>
        <w:rPr>
          <w:rFonts w:hint="eastAsia"/>
          <w:szCs w:val="24"/>
        </w:rPr>
        <w:t>；</w:t>
      </w:r>
      <w:r>
        <w:rPr>
          <w:rFonts w:hint="eastAsia"/>
          <w:szCs w:val="24"/>
          <w:lang w:val="zh-CN"/>
        </w:rPr>
        <w:t>《妇女生活免受暴力侵害一般法》及其实施细则</w:t>
      </w:r>
      <w:r>
        <w:rPr>
          <w:rFonts w:hint="eastAsia"/>
          <w:szCs w:val="24"/>
        </w:rPr>
        <w:t>；</w:t>
      </w:r>
      <w:r>
        <w:rPr>
          <w:rFonts w:hint="eastAsia"/>
          <w:szCs w:val="24"/>
          <w:lang w:val="zh-CN"/>
        </w:rPr>
        <w:t>《防止和处罚贩运人口法》及其实施细则等。</w:t>
      </w:r>
    </w:p>
  </w:footnote>
  <w:footnote w:id="10">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如《消除对妇女一切形式歧视公约》和《美洲防止、惩罚和根除暴力侵害妇女行为公约》</w:t>
      </w:r>
      <w:r>
        <w:rPr>
          <w:rFonts w:hint="eastAsia"/>
          <w:szCs w:val="24"/>
        </w:rPr>
        <w:t>(</w:t>
      </w:r>
      <w:r>
        <w:rPr>
          <w:rFonts w:hint="eastAsia"/>
          <w:szCs w:val="24"/>
          <w:lang w:val="zh-CN"/>
        </w:rPr>
        <w:t>贝伦杜帕拉公约</w:t>
      </w:r>
      <w:r>
        <w:rPr>
          <w:rFonts w:hint="eastAsia"/>
          <w:szCs w:val="24"/>
        </w:rPr>
        <w:t>)</w:t>
      </w:r>
      <w:r>
        <w:rPr>
          <w:rFonts w:hint="eastAsia"/>
          <w:szCs w:val="24"/>
          <w:lang w:val="zh-CN"/>
        </w:rPr>
        <w:t>。</w:t>
      </w:r>
    </w:p>
  </w:footnote>
  <w:footnote w:id="11">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国家妇女委员会广泛宣传了消除对妇女歧视委员会的一般性建议</w:t>
      </w:r>
      <w:r>
        <w:rPr>
          <w:rFonts w:hint="eastAsia"/>
          <w:szCs w:val="24"/>
        </w:rPr>
        <w:t>，</w:t>
      </w:r>
      <w:r>
        <w:rPr>
          <w:rFonts w:hint="eastAsia"/>
          <w:szCs w:val="24"/>
          <w:lang w:val="zh-CN"/>
        </w:rPr>
        <w:t>包括向联邦公共行政机构、联邦单位的妇女机构、司法机关、立法机关和民间社会组织提出的关于</w:t>
      </w:r>
      <w:r>
        <w:rPr>
          <w:rFonts w:hint="eastAsia"/>
          <w:szCs w:val="24"/>
        </w:rPr>
        <w:t>“</w:t>
      </w:r>
      <w:r>
        <w:rPr>
          <w:rFonts w:hint="eastAsia"/>
          <w:szCs w:val="24"/>
          <w:lang w:val="zh-CN"/>
        </w:rPr>
        <w:t>残疾妇女</w:t>
      </w:r>
      <w:r>
        <w:rPr>
          <w:rFonts w:hint="eastAsia"/>
          <w:szCs w:val="24"/>
        </w:rPr>
        <w:t>”</w:t>
      </w:r>
      <w:r>
        <w:rPr>
          <w:rFonts w:hint="eastAsia"/>
          <w:szCs w:val="24"/>
          <w:lang w:val="zh-CN"/>
        </w:rPr>
        <w:t>的第</w:t>
      </w:r>
      <w:r>
        <w:rPr>
          <w:szCs w:val="24"/>
        </w:rPr>
        <w:t>18</w:t>
      </w:r>
      <w:r>
        <w:rPr>
          <w:rFonts w:hint="eastAsia"/>
          <w:szCs w:val="24"/>
          <w:lang w:val="zh-CN"/>
        </w:rPr>
        <w:t>号一般性建议。</w:t>
      </w:r>
    </w:p>
  </w:footnote>
  <w:footnote w:id="12">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该方案第</w:t>
      </w:r>
      <w:r>
        <w:rPr>
          <w:szCs w:val="24"/>
        </w:rPr>
        <w:t>2</w:t>
      </w:r>
      <w:r>
        <w:rPr>
          <w:rFonts w:hint="eastAsia"/>
          <w:szCs w:val="24"/>
          <w:lang w:val="zh-CN"/>
        </w:rPr>
        <w:t>、</w:t>
      </w:r>
      <w:r>
        <w:rPr>
          <w:szCs w:val="24"/>
        </w:rPr>
        <w:t>3</w:t>
      </w:r>
      <w:r>
        <w:rPr>
          <w:rFonts w:hint="eastAsia"/>
          <w:szCs w:val="24"/>
          <w:lang w:val="zh-CN"/>
        </w:rPr>
        <w:t>、</w:t>
      </w:r>
      <w:r>
        <w:rPr>
          <w:szCs w:val="24"/>
        </w:rPr>
        <w:t>5</w:t>
      </w:r>
      <w:r>
        <w:rPr>
          <w:rFonts w:hint="eastAsia"/>
          <w:szCs w:val="24"/>
          <w:lang w:val="zh-CN"/>
        </w:rPr>
        <w:t>、</w:t>
      </w:r>
      <w:r>
        <w:rPr>
          <w:szCs w:val="24"/>
        </w:rPr>
        <w:t>6</w:t>
      </w:r>
      <w:r>
        <w:rPr>
          <w:rFonts w:hint="eastAsia"/>
          <w:szCs w:val="24"/>
          <w:lang w:val="zh-CN"/>
        </w:rPr>
        <w:t>号战略目标的目的</w:t>
      </w:r>
      <w:r>
        <w:rPr>
          <w:rFonts w:hint="eastAsia"/>
          <w:szCs w:val="24"/>
        </w:rPr>
        <w:t>，</w:t>
      </w:r>
      <w:r>
        <w:rPr>
          <w:rFonts w:hint="eastAsia"/>
          <w:szCs w:val="24"/>
          <w:lang w:val="zh-CN"/>
        </w:rPr>
        <w:t>是确保司法平等、获得司法援助、强化能力和提高包括残疾妇女在内的所有妇女的经济地位。</w:t>
      </w:r>
    </w:p>
  </w:footnote>
  <w:footnote w:id="13">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估计约有</w:t>
      </w:r>
      <w:r>
        <w:rPr>
          <w:szCs w:val="24"/>
          <w:lang w:val="zh-CN"/>
        </w:rPr>
        <w:t>25</w:t>
      </w:r>
      <w:r>
        <w:rPr>
          <w:rFonts w:hint="eastAsia"/>
          <w:szCs w:val="24"/>
          <w:lang w:val="zh-CN"/>
        </w:rPr>
        <w:t>,</w:t>
      </w:r>
      <w:r>
        <w:rPr>
          <w:szCs w:val="24"/>
          <w:lang w:val="zh-CN"/>
        </w:rPr>
        <w:t>900</w:t>
      </w:r>
      <w:r>
        <w:rPr>
          <w:rFonts w:hint="eastAsia"/>
          <w:szCs w:val="24"/>
          <w:lang w:val="zh-CN"/>
        </w:rPr>
        <w:t>座联邦公共行政机构建筑物。</w:t>
      </w:r>
    </w:p>
  </w:footnote>
  <w:footnote w:id="14">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全国人权委员会</w:t>
      </w:r>
      <w:r>
        <w:rPr>
          <w:rFonts w:hint="eastAsia"/>
          <w:szCs w:val="24"/>
        </w:rPr>
        <w:t>：</w:t>
      </w:r>
      <w:r>
        <w:rPr>
          <w:rFonts w:hint="eastAsia"/>
          <w:szCs w:val="24"/>
          <w:lang w:val="zh-CN"/>
        </w:rPr>
        <w:t>下加利福尼亚、恰帕斯、奇瓦瓦、科利马州、联邦区、杜兰戈、伊达尔戈、米却肯、莫雷洛斯、新莱昂、瓦哈卡、克雷塔罗、塔巴斯科、塔毛利帕斯、特拉斯卡拉、韦拉克鲁斯和萨卡特卡斯州。此外，索诺拉和格雷罗州也提出了这方面的改革举措。</w:t>
      </w:r>
    </w:p>
  </w:footnote>
  <w:footnote w:id="15">
    <w:p w:rsidR="00FA535D" w:rsidRDefault="00FA535D">
      <w:pPr>
        <w:pStyle w:val="FootnoteText"/>
        <w:rPr>
          <w:szCs w:val="24"/>
        </w:rPr>
      </w:pPr>
      <w:r>
        <w:rPr>
          <w:szCs w:val="24"/>
          <w:lang w:val="es-ES_tradnl"/>
        </w:rPr>
        <w:tab/>
      </w:r>
      <w:r>
        <w:rPr>
          <w:rStyle w:val="FootnoteReference"/>
        </w:rPr>
        <w:footnoteRef/>
      </w:r>
      <w:r>
        <w:rPr>
          <w:szCs w:val="24"/>
          <w:lang w:val="es-ES_tradnl"/>
        </w:rPr>
        <w:tab/>
        <w:t>2011</w:t>
      </w:r>
      <w:r>
        <w:rPr>
          <w:rFonts w:hint="eastAsia"/>
          <w:szCs w:val="24"/>
          <w:lang w:val="zh-CN"/>
        </w:rPr>
        <w:t>年</w:t>
      </w:r>
      <w:r>
        <w:rPr>
          <w:szCs w:val="24"/>
          <w:lang w:val="es-ES_tradnl"/>
        </w:rPr>
        <w:t>9</w:t>
      </w:r>
      <w:r>
        <w:rPr>
          <w:rFonts w:hint="eastAsia"/>
          <w:szCs w:val="24"/>
          <w:lang w:val="zh-CN"/>
        </w:rPr>
        <w:t>月</w:t>
      </w:r>
      <w:r>
        <w:rPr>
          <w:szCs w:val="24"/>
          <w:lang w:val="es-ES_tradnl"/>
        </w:rPr>
        <w:t>26</w:t>
      </w:r>
      <w:r>
        <w:rPr>
          <w:rFonts w:hint="eastAsia"/>
          <w:szCs w:val="24"/>
          <w:lang w:val="zh-CN"/>
        </w:rPr>
        <w:t>日起</w:t>
      </w:r>
      <w:r>
        <w:rPr>
          <w:rFonts w:hint="eastAsia"/>
          <w:szCs w:val="24"/>
          <w:lang w:val="es-ES_tradnl"/>
        </w:rPr>
        <w:t>，</w:t>
      </w:r>
      <w:r>
        <w:rPr>
          <w:rFonts w:hint="eastAsia"/>
          <w:szCs w:val="24"/>
          <w:lang w:val="zh-CN"/>
        </w:rPr>
        <w:t>可通过</w:t>
      </w:r>
      <w:r>
        <w:rPr>
          <w:szCs w:val="24"/>
          <w:lang w:val="es-ES_tradnl"/>
        </w:rPr>
        <w:t>www.cndh.org.mx/sites/all/fuentes/documentos/AulaCNDH/1.pdf</w:t>
      </w:r>
      <w:r>
        <w:rPr>
          <w:rFonts w:hint="eastAsia"/>
          <w:szCs w:val="24"/>
          <w:lang w:val="zh-CN"/>
        </w:rPr>
        <w:t>查询。</w:t>
      </w:r>
    </w:p>
  </w:footnote>
  <w:footnote w:id="16">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比照登记号为</w:t>
      </w:r>
      <w:r>
        <w:rPr>
          <w:szCs w:val="24"/>
          <w:lang w:val="zh-CN"/>
        </w:rPr>
        <w:t>186574</w:t>
      </w:r>
      <w:r>
        <w:rPr>
          <w:rFonts w:hint="eastAsia"/>
          <w:szCs w:val="24"/>
          <w:lang w:val="zh-CN"/>
        </w:rPr>
        <w:t>、</w:t>
      </w:r>
      <w:r>
        <w:rPr>
          <w:szCs w:val="24"/>
          <w:lang w:val="zh-CN"/>
        </w:rPr>
        <w:t>165233</w:t>
      </w:r>
      <w:r>
        <w:rPr>
          <w:rFonts w:hint="eastAsia"/>
          <w:szCs w:val="24"/>
          <w:lang w:val="zh-CN"/>
        </w:rPr>
        <w:t>、</w:t>
      </w:r>
      <w:r>
        <w:rPr>
          <w:szCs w:val="24"/>
          <w:lang w:val="zh-CN"/>
        </w:rPr>
        <w:t>192152</w:t>
      </w:r>
      <w:r>
        <w:rPr>
          <w:rFonts w:hint="eastAsia"/>
          <w:szCs w:val="24"/>
          <w:lang w:val="zh-CN"/>
        </w:rPr>
        <w:t>、</w:t>
      </w:r>
      <w:r>
        <w:rPr>
          <w:szCs w:val="24"/>
          <w:lang w:val="zh-CN"/>
        </w:rPr>
        <w:t>257680</w:t>
      </w:r>
      <w:r>
        <w:rPr>
          <w:rFonts w:hint="eastAsia"/>
          <w:szCs w:val="24"/>
          <w:lang w:val="zh-CN"/>
        </w:rPr>
        <w:t>、</w:t>
      </w:r>
      <w:r>
        <w:rPr>
          <w:szCs w:val="24"/>
          <w:lang w:val="zh-CN"/>
        </w:rPr>
        <w:t>205434</w:t>
      </w:r>
      <w:r>
        <w:rPr>
          <w:rFonts w:hint="eastAsia"/>
          <w:szCs w:val="24"/>
          <w:lang w:val="zh-CN"/>
        </w:rPr>
        <w:t>和</w:t>
      </w:r>
      <w:r>
        <w:rPr>
          <w:szCs w:val="24"/>
          <w:lang w:val="zh-CN"/>
        </w:rPr>
        <w:t>205426</w:t>
      </w:r>
      <w:r>
        <w:rPr>
          <w:rFonts w:hint="eastAsia"/>
          <w:szCs w:val="24"/>
          <w:lang w:val="zh-CN"/>
        </w:rPr>
        <w:t>的法理学论文。</w:t>
      </w:r>
    </w:p>
  </w:footnote>
  <w:footnote w:id="17">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在</w:t>
      </w:r>
      <w:smartTag w:uri="urn:schemas-microsoft-com:office:smarttags" w:element="chsdate">
        <w:smartTagPr>
          <w:attr w:name="IsROCDate" w:val="False"/>
          <w:attr w:name="IsLunarDate" w:val="False"/>
          <w:attr w:name="Day" w:val="5"/>
          <w:attr w:name="Month" w:val="8"/>
          <w:attr w:name="Year" w:val="2008"/>
        </w:smartTagPr>
        <w:r>
          <w:rPr>
            <w:szCs w:val="24"/>
          </w:rPr>
          <w:t>2008</w:t>
        </w:r>
        <w:r>
          <w:rPr>
            <w:rFonts w:hint="eastAsia"/>
            <w:szCs w:val="24"/>
            <w:lang w:val="zh-CN"/>
          </w:rPr>
          <w:t>年</w:t>
        </w:r>
        <w:r>
          <w:rPr>
            <w:szCs w:val="24"/>
          </w:rPr>
          <w:t>8</w:t>
        </w:r>
        <w:r>
          <w:rPr>
            <w:rFonts w:hint="eastAsia"/>
            <w:szCs w:val="24"/>
            <w:lang w:val="zh-CN"/>
          </w:rPr>
          <w:t>月</w:t>
        </w:r>
        <w:r>
          <w:rPr>
            <w:szCs w:val="24"/>
          </w:rPr>
          <w:t>5</w:t>
        </w:r>
        <w:r>
          <w:rPr>
            <w:rFonts w:hint="eastAsia"/>
            <w:szCs w:val="24"/>
            <w:lang w:val="zh-CN"/>
          </w:rPr>
          <w:t>日</w:t>
        </w:r>
      </w:smartTag>
      <w:r>
        <w:rPr>
          <w:rFonts w:hint="eastAsia"/>
          <w:szCs w:val="24"/>
          <w:lang w:val="zh-CN"/>
        </w:rPr>
        <w:t>的非公开会议上</w:t>
      </w:r>
      <w:r>
        <w:rPr>
          <w:rFonts w:hint="eastAsia"/>
          <w:szCs w:val="24"/>
        </w:rPr>
        <w:t>，</w:t>
      </w:r>
      <w:r>
        <w:rPr>
          <w:rFonts w:hint="eastAsia"/>
          <w:szCs w:val="24"/>
          <w:lang w:val="zh-CN"/>
        </w:rPr>
        <w:t>国家最高法院合议庭批准通过了于</w:t>
      </w:r>
      <w:smartTag w:uri="urn:schemas-microsoft-com:office:smarttags" w:element="chsdate">
        <w:smartTagPr>
          <w:attr w:name="IsROCDate" w:val="False"/>
          <w:attr w:name="IsLunarDate" w:val="False"/>
          <w:attr w:name="Day" w:val="4"/>
          <w:attr w:name="Month" w:val="3"/>
          <w:attr w:name="Year" w:val="2008"/>
        </w:smartTagPr>
        <w:r>
          <w:rPr>
            <w:szCs w:val="24"/>
          </w:rPr>
          <w:t>2008</w:t>
        </w:r>
        <w:r>
          <w:rPr>
            <w:rFonts w:hint="eastAsia"/>
            <w:szCs w:val="24"/>
            <w:lang w:val="zh-CN"/>
          </w:rPr>
          <w:t>年</w:t>
        </w:r>
        <w:r>
          <w:rPr>
            <w:szCs w:val="24"/>
          </w:rPr>
          <w:t>3</w:t>
        </w:r>
        <w:r>
          <w:rPr>
            <w:rFonts w:hint="eastAsia"/>
            <w:szCs w:val="24"/>
            <w:lang w:val="zh-CN"/>
          </w:rPr>
          <w:t>月</w:t>
        </w:r>
        <w:r>
          <w:rPr>
            <w:szCs w:val="24"/>
          </w:rPr>
          <w:t>4</w:t>
        </w:r>
        <w:r>
          <w:rPr>
            <w:rFonts w:hint="eastAsia"/>
            <w:szCs w:val="24"/>
            <w:lang w:val="zh-CN"/>
          </w:rPr>
          <w:t>日</w:t>
        </w:r>
      </w:smartTag>
      <w:r>
        <w:rPr>
          <w:rFonts w:hint="eastAsia"/>
          <w:szCs w:val="24"/>
          <w:lang w:val="zh-CN"/>
        </w:rPr>
        <w:t>至</w:t>
      </w:r>
      <w:r>
        <w:rPr>
          <w:szCs w:val="24"/>
        </w:rPr>
        <w:t>6</w:t>
      </w:r>
      <w:r>
        <w:rPr>
          <w:rFonts w:hint="eastAsia"/>
          <w:szCs w:val="24"/>
          <w:lang w:val="zh-CN"/>
        </w:rPr>
        <w:t>日期间在巴西的巴西利亚举行的第十四次美洲司法峰会全会上通过的、关于弱势群体获得司法保护的《巴西利亚规则》</w:t>
      </w:r>
      <w:r>
        <w:rPr>
          <w:rFonts w:hint="eastAsia"/>
          <w:szCs w:val="24"/>
        </w:rPr>
        <w:t>(</w:t>
      </w:r>
      <w:r>
        <w:rPr>
          <w:rFonts w:hint="eastAsia"/>
          <w:szCs w:val="24"/>
          <w:lang w:val="zh-CN"/>
        </w:rPr>
        <w:t>请参见第</w:t>
      </w:r>
      <w:r>
        <w:rPr>
          <w:szCs w:val="24"/>
        </w:rPr>
        <w:t>23</w:t>
      </w:r>
      <w:r>
        <w:rPr>
          <w:rFonts w:hint="eastAsia"/>
          <w:szCs w:val="24"/>
          <w:lang w:val="zh-CN"/>
        </w:rPr>
        <w:t>号附件</w:t>
      </w:r>
      <w:r>
        <w:rPr>
          <w:rFonts w:hint="eastAsia"/>
          <w:szCs w:val="24"/>
        </w:rPr>
        <w:t>)</w:t>
      </w:r>
      <w:r>
        <w:rPr>
          <w:rFonts w:hint="eastAsia"/>
          <w:szCs w:val="24"/>
          <w:lang w:val="zh-CN"/>
        </w:rPr>
        <w:t>。</w:t>
      </w:r>
    </w:p>
  </w:footnote>
  <w:footnote w:id="18">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自</w:t>
      </w:r>
      <w:smartTag w:uri="urn:schemas-microsoft-com:office:smarttags" w:element="chsdate">
        <w:smartTagPr>
          <w:attr w:name="IsROCDate" w:val="False"/>
          <w:attr w:name="IsLunarDate" w:val="False"/>
          <w:attr w:name="Day" w:val="26"/>
          <w:attr w:name="Month" w:val="9"/>
          <w:attr w:name="Year" w:val="2011"/>
        </w:smartTagPr>
        <w:r>
          <w:rPr>
            <w:szCs w:val="24"/>
          </w:rPr>
          <w:t>2011</w:t>
        </w:r>
        <w:r>
          <w:rPr>
            <w:rFonts w:hint="eastAsia"/>
            <w:szCs w:val="24"/>
            <w:lang w:val="zh-CN"/>
          </w:rPr>
          <w:t>年</w:t>
        </w:r>
        <w:r>
          <w:rPr>
            <w:szCs w:val="24"/>
          </w:rPr>
          <w:t>9</w:t>
        </w:r>
        <w:r>
          <w:rPr>
            <w:rFonts w:hint="eastAsia"/>
            <w:szCs w:val="24"/>
            <w:lang w:val="zh-CN"/>
          </w:rPr>
          <w:t>月</w:t>
        </w:r>
        <w:r>
          <w:rPr>
            <w:szCs w:val="24"/>
          </w:rPr>
          <w:t>26</w:t>
        </w:r>
        <w:r>
          <w:rPr>
            <w:rFonts w:hint="eastAsia"/>
            <w:szCs w:val="24"/>
            <w:lang w:val="zh-CN"/>
          </w:rPr>
          <w:t>日</w:t>
        </w:r>
      </w:smartTag>
      <w:r>
        <w:rPr>
          <w:rFonts w:hint="eastAsia"/>
          <w:szCs w:val="24"/>
          <w:lang w:val="zh-CN"/>
        </w:rPr>
        <w:t>起</w:t>
      </w:r>
      <w:r>
        <w:rPr>
          <w:rFonts w:hint="eastAsia"/>
          <w:szCs w:val="24"/>
        </w:rPr>
        <w:t>，</w:t>
      </w:r>
      <w:r>
        <w:rPr>
          <w:rFonts w:hint="eastAsia"/>
          <w:szCs w:val="24"/>
          <w:lang w:val="zh-CN"/>
        </w:rPr>
        <w:t>可在下列网址查询</w:t>
      </w:r>
      <w:r>
        <w:rPr>
          <w:rFonts w:hint="eastAsia"/>
          <w:szCs w:val="24"/>
        </w:rPr>
        <w:t>：</w:t>
      </w:r>
      <w:r>
        <w:rPr>
          <w:szCs w:val="24"/>
        </w:rPr>
        <w:t>www.amij.org.mx/M_asambleas/4/antecedentes</w:t>
      </w:r>
      <w:r>
        <w:rPr>
          <w:rFonts w:hint="eastAsia"/>
          <w:szCs w:val="24"/>
        </w:rPr>
        <w:br/>
      </w:r>
      <w:r>
        <w:rPr>
          <w:szCs w:val="24"/>
        </w:rPr>
        <w:t>/mesa%20acceso%</w:t>
      </w:r>
      <w:smartTag w:uri="urn:schemas-microsoft-com:office:smarttags" w:element="chmetcnv">
        <w:smartTagPr>
          <w:attr w:name="TCSC" w:val="0"/>
          <w:attr w:name="NumberType" w:val="1"/>
          <w:attr w:name="Negative" w:val="False"/>
          <w:attr w:name="HasSpace" w:val="False"/>
          <w:attr w:name="SourceValue" w:val="20"/>
          <w:attr w:name="UnitName" w:val="a"/>
        </w:smartTagPr>
        <w:r>
          <w:rPr>
            <w:szCs w:val="24"/>
          </w:rPr>
          <w:t>20a</w:t>
        </w:r>
      </w:smartTag>
      <w:r>
        <w:rPr>
          <w:szCs w:val="24"/>
        </w:rPr>
        <w:t>%20la%20justicia/Carta%20de%20derechos%20y%20obligaciones%20vers%20final.pdf</w:t>
      </w:r>
      <w:r>
        <w:rPr>
          <w:rFonts w:hint="eastAsia"/>
          <w:szCs w:val="24"/>
          <w:lang w:val="zh-CN"/>
        </w:rPr>
        <w:t>。</w:t>
      </w:r>
    </w:p>
  </w:footnote>
  <w:footnote w:id="19">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请参见《联邦区刑法典》第</w:t>
      </w:r>
      <w:r>
        <w:rPr>
          <w:szCs w:val="24"/>
          <w:lang w:val="zh-CN"/>
        </w:rPr>
        <w:t>223</w:t>
      </w:r>
      <w:r>
        <w:rPr>
          <w:rFonts w:hint="eastAsia"/>
          <w:szCs w:val="24"/>
          <w:lang w:val="zh-CN"/>
        </w:rPr>
        <w:t>条第九款、第</w:t>
      </w:r>
      <w:r>
        <w:rPr>
          <w:szCs w:val="24"/>
          <w:lang w:val="zh-CN"/>
        </w:rPr>
        <w:t>138</w:t>
      </w:r>
      <w:r>
        <w:rPr>
          <w:rFonts w:hint="eastAsia"/>
          <w:szCs w:val="24"/>
          <w:lang w:val="zh-CN"/>
        </w:rPr>
        <w:t>条第八款和第</w:t>
      </w:r>
      <w:r>
        <w:rPr>
          <w:szCs w:val="24"/>
          <w:lang w:val="zh-CN"/>
        </w:rPr>
        <w:t>254</w:t>
      </w:r>
      <w:r>
        <w:rPr>
          <w:rFonts w:hint="eastAsia"/>
          <w:szCs w:val="24"/>
          <w:lang w:val="zh-CN"/>
        </w:rPr>
        <w:t>条第十七款。</w:t>
      </w:r>
    </w:p>
  </w:footnote>
  <w:footnote w:id="20">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请参见</w:t>
      </w:r>
      <w:r>
        <w:rPr>
          <w:szCs w:val="24"/>
        </w:rPr>
        <w:t>NOM-025-SSA2-1994</w:t>
      </w:r>
      <w:r>
        <w:rPr>
          <w:rFonts w:hint="eastAsia"/>
          <w:szCs w:val="24"/>
          <w:lang w:val="zh-CN"/>
        </w:rPr>
        <w:t>标准第</w:t>
      </w:r>
      <w:r>
        <w:rPr>
          <w:szCs w:val="24"/>
        </w:rPr>
        <w:t>8.13</w:t>
      </w:r>
      <w:r>
        <w:rPr>
          <w:rFonts w:hint="eastAsia"/>
          <w:szCs w:val="24"/>
          <w:lang w:val="zh-CN"/>
        </w:rPr>
        <w:t>条。</w:t>
      </w:r>
    </w:p>
  </w:footnote>
  <w:footnote w:id="21">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在《禁止酷刑和其他残忍、不人道或有辱人格待遇或处罚公约任择议定书》的框架内进行查访后，撰写了提交给卫生部和墨西哥社会保障局的第</w:t>
      </w:r>
      <w:r>
        <w:rPr>
          <w:szCs w:val="24"/>
          <w:lang w:val="zh-CN"/>
        </w:rPr>
        <w:t>4/2008</w:t>
      </w:r>
      <w:r>
        <w:rPr>
          <w:rFonts w:hint="eastAsia"/>
          <w:szCs w:val="24"/>
          <w:lang w:val="zh-CN"/>
        </w:rPr>
        <w:t>号报告。</w:t>
      </w:r>
    </w:p>
  </w:footnote>
  <w:footnote w:id="22">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请参见《联邦刑法典》第</w:t>
      </w:r>
      <w:r>
        <w:rPr>
          <w:szCs w:val="24"/>
          <w:lang w:val="zh-CN"/>
        </w:rPr>
        <w:t>200</w:t>
      </w:r>
      <w:r>
        <w:rPr>
          <w:rFonts w:hint="eastAsia"/>
          <w:szCs w:val="24"/>
          <w:lang w:val="zh-CN"/>
        </w:rPr>
        <w:t>至第</w:t>
      </w:r>
      <w:smartTag w:uri="urn:schemas-microsoft-com:office:smarttags" w:element="chmetcnv">
        <w:smartTagPr>
          <w:attr w:name="TCSC" w:val="0"/>
          <w:attr w:name="NumberType" w:val="1"/>
          <w:attr w:name="Negative" w:val="False"/>
          <w:attr w:name="HasSpace" w:val="False"/>
          <w:attr w:name="SourceValue" w:val="205"/>
          <w:attr w:name="UnitName" w:val="a"/>
        </w:smartTagPr>
        <w:r>
          <w:rPr>
            <w:szCs w:val="24"/>
            <w:lang w:val="zh-CN"/>
          </w:rPr>
          <w:t>205A</w:t>
        </w:r>
      </w:smartTag>
      <w:r>
        <w:rPr>
          <w:rFonts w:hint="eastAsia"/>
          <w:szCs w:val="24"/>
          <w:lang w:val="zh-CN"/>
        </w:rPr>
        <w:t>条。</w:t>
      </w:r>
    </w:p>
  </w:footnote>
  <w:footnote w:id="23">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例如</w:t>
      </w:r>
      <w:r>
        <w:rPr>
          <w:rFonts w:hint="eastAsia"/>
          <w:szCs w:val="24"/>
        </w:rPr>
        <w:t>，</w:t>
      </w:r>
      <w:r>
        <w:rPr>
          <w:rFonts w:hint="eastAsia"/>
          <w:szCs w:val="24"/>
          <w:lang w:val="zh-CN"/>
        </w:rPr>
        <w:t>请参见《联邦区刑法典》第</w:t>
      </w:r>
      <w:smartTag w:uri="urn:schemas-microsoft-com:office:smarttags" w:element="chmetcnv">
        <w:smartTagPr>
          <w:attr w:name="TCSC" w:val="0"/>
          <w:attr w:name="NumberType" w:val="1"/>
          <w:attr w:name="Negative" w:val="False"/>
          <w:attr w:name="HasSpace" w:val="False"/>
          <w:attr w:name="SourceValue" w:val="190"/>
          <w:attr w:name="UnitName" w:val="a"/>
        </w:smartTagPr>
        <w:r>
          <w:rPr>
            <w:szCs w:val="24"/>
          </w:rPr>
          <w:t>190A</w:t>
        </w:r>
      </w:smartTag>
      <w:r>
        <w:rPr>
          <w:rFonts w:hint="eastAsia"/>
          <w:szCs w:val="24"/>
          <w:lang w:val="zh-CN"/>
        </w:rPr>
        <w:t>条。</w:t>
      </w:r>
    </w:p>
  </w:footnote>
  <w:footnote w:id="24">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请参见</w:t>
      </w:r>
      <w:r>
        <w:rPr>
          <w:szCs w:val="24"/>
          <w:lang w:val="zh-CN"/>
        </w:rPr>
        <w:t>NOM-025-SSA2-1994</w:t>
      </w:r>
      <w:r>
        <w:rPr>
          <w:rFonts w:hint="eastAsia"/>
          <w:szCs w:val="24"/>
          <w:lang w:val="zh-CN"/>
        </w:rPr>
        <w:t>标准第</w:t>
      </w:r>
      <w:r>
        <w:rPr>
          <w:szCs w:val="24"/>
          <w:lang w:val="zh-CN"/>
        </w:rPr>
        <w:t>8.1</w:t>
      </w:r>
      <w:r>
        <w:rPr>
          <w:rFonts w:hint="eastAsia"/>
          <w:szCs w:val="24"/>
          <w:lang w:val="zh-CN"/>
        </w:rPr>
        <w:t>条。</w:t>
      </w:r>
    </w:p>
  </w:footnote>
  <w:footnote w:id="25">
    <w:p w:rsidR="00FA535D" w:rsidRDefault="00FA535D">
      <w:pPr>
        <w:pStyle w:val="FootnoteText"/>
        <w:rPr>
          <w:szCs w:val="24"/>
        </w:rPr>
      </w:pPr>
      <w:r>
        <w:rPr>
          <w:rFonts w:ascii="KaiTi_GB2312" w:eastAsia="KaiTi_GB2312"/>
          <w:szCs w:val="24"/>
          <w:lang w:val="zh-CN"/>
        </w:rPr>
        <w:tab/>
      </w:r>
      <w:r>
        <w:rPr>
          <w:rStyle w:val="FootnoteReference"/>
        </w:rPr>
        <w:footnoteRef/>
      </w:r>
      <w:r>
        <w:rPr>
          <w:rFonts w:ascii="KaiTi_GB2312" w:eastAsia="KaiTi_GB2312"/>
          <w:szCs w:val="24"/>
          <w:lang w:val="zh-CN"/>
        </w:rPr>
        <w:tab/>
      </w:r>
      <w:r>
        <w:rPr>
          <w:rFonts w:ascii="KaiTi_GB2312" w:eastAsia="KaiTi_GB2312" w:hint="eastAsia"/>
          <w:szCs w:val="24"/>
          <w:lang w:val="zh-CN"/>
        </w:rPr>
        <w:t>同上</w:t>
      </w:r>
      <w:r>
        <w:rPr>
          <w:rFonts w:hint="eastAsia"/>
          <w:szCs w:val="24"/>
          <w:lang w:val="zh-CN"/>
        </w:rPr>
        <w:t>，第</w:t>
      </w:r>
      <w:r>
        <w:rPr>
          <w:szCs w:val="24"/>
          <w:lang w:val="zh-CN"/>
        </w:rPr>
        <w:t>8.10</w:t>
      </w:r>
      <w:r>
        <w:rPr>
          <w:rFonts w:hint="eastAsia"/>
          <w:szCs w:val="24"/>
          <w:lang w:val="zh-CN"/>
        </w:rPr>
        <w:t>条。</w:t>
      </w:r>
    </w:p>
  </w:footnote>
  <w:footnote w:id="26">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请参见《墨西哥合众国政治宪法》第</w:t>
      </w:r>
      <w:r>
        <w:rPr>
          <w:rFonts w:hint="eastAsia"/>
          <w:szCs w:val="24"/>
          <w:lang w:val="zh-CN"/>
        </w:rPr>
        <w:t>30</w:t>
      </w:r>
      <w:r>
        <w:rPr>
          <w:rFonts w:hint="eastAsia"/>
          <w:szCs w:val="24"/>
          <w:lang w:val="zh-CN"/>
        </w:rPr>
        <w:t>和</w:t>
      </w:r>
      <w:r>
        <w:rPr>
          <w:rFonts w:hint="eastAsia"/>
          <w:szCs w:val="24"/>
          <w:lang w:val="zh-CN"/>
        </w:rPr>
        <w:t>34</w:t>
      </w:r>
      <w:r>
        <w:rPr>
          <w:rFonts w:hint="eastAsia"/>
          <w:szCs w:val="24"/>
          <w:lang w:val="zh-CN"/>
        </w:rPr>
        <w:t>条。</w:t>
      </w:r>
    </w:p>
  </w:footnote>
  <w:footnote w:id="27">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例如</w:t>
      </w:r>
      <w:r>
        <w:rPr>
          <w:rFonts w:hint="eastAsia"/>
          <w:szCs w:val="24"/>
        </w:rPr>
        <w:t>，</w:t>
      </w:r>
      <w:r>
        <w:rPr>
          <w:rFonts w:hint="eastAsia"/>
          <w:szCs w:val="24"/>
          <w:lang w:val="zh-CN"/>
        </w:rPr>
        <w:t>请参见《联邦区刑法典》第</w:t>
      </w:r>
      <w:r>
        <w:rPr>
          <w:szCs w:val="24"/>
        </w:rPr>
        <w:t>156</w:t>
      </w:r>
      <w:r>
        <w:rPr>
          <w:rFonts w:hint="eastAsia"/>
          <w:szCs w:val="24"/>
          <w:lang w:val="zh-CN"/>
        </w:rPr>
        <w:t>条第十款。</w:t>
      </w:r>
    </w:p>
  </w:footnote>
  <w:footnote w:id="28">
    <w:p w:rsidR="00FA535D" w:rsidRDefault="00FA535D">
      <w:pPr>
        <w:pStyle w:val="FootnoteText"/>
        <w:rPr>
          <w:szCs w:val="24"/>
        </w:rPr>
      </w:pPr>
      <w:r>
        <w:rPr>
          <w:rFonts w:ascii="KaiTi_GB2312" w:eastAsia="KaiTi_GB2312"/>
          <w:szCs w:val="24"/>
          <w:lang w:val="zh-CN"/>
        </w:rPr>
        <w:tab/>
      </w:r>
      <w:r>
        <w:rPr>
          <w:rStyle w:val="FootnoteReference"/>
        </w:rPr>
        <w:footnoteRef/>
      </w:r>
      <w:r>
        <w:rPr>
          <w:rFonts w:ascii="KaiTi_GB2312" w:eastAsia="KaiTi_GB2312"/>
          <w:szCs w:val="24"/>
          <w:lang w:val="zh-CN"/>
        </w:rPr>
        <w:tab/>
      </w:r>
      <w:r>
        <w:rPr>
          <w:rFonts w:ascii="KaiTi_GB2312" w:eastAsia="KaiTi_GB2312" w:hint="eastAsia"/>
          <w:szCs w:val="24"/>
          <w:lang w:val="zh-CN"/>
        </w:rPr>
        <w:t>同上，</w:t>
      </w:r>
      <w:r>
        <w:rPr>
          <w:rFonts w:hint="eastAsia"/>
          <w:szCs w:val="24"/>
          <w:lang w:val="zh-CN"/>
        </w:rPr>
        <w:t>第</w:t>
      </w:r>
      <w:smartTag w:uri="urn:schemas-microsoft-com:office:smarttags" w:element="chmetcnv">
        <w:smartTagPr>
          <w:attr w:name="TCSC" w:val="0"/>
          <w:attr w:name="NumberType" w:val="1"/>
          <w:attr w:name="Negative" w:val="False"/>
          <w:attr w:name="HasSpace" w:val="False"/>
          <w:attr w:name="SourceValue" w:val="414"/>
          <w:attr w:name="UnitName" w:val="a"/>
        </w:smartTagPr>
        <w:r>
          <w:rPr>
            <w:szCs w:val="24"/>
          </w:rPr>
          <w:t>414A</w:t>
        </w:r>
      </w:smartTag>
      <w:r>
        <w:rPr>
          <w:rFonts w:hint="eastAsia"/>
          <w:szCs w:val="24"/>
          <w:lang w:val="zh-CN"/>
        </w:rPr>
        <w:t>条及以后各条。</w:t>
      </w:r>
    </w:p>
  </w:footnote>
  <w:footnote w:id="29">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根据该法案</w:t>
      </w:r>
      <w:r>
        <w:rPr>
          <w:rFonts w:hint="eastAsia"/>
          <w:szCs w:val="24"/>
        </w:rPr>
        <w:t>，</w:t>
      </w:r>
      <w:r>
        <w:rPr>
          <w:rFonts w:hint="eastAsia"/>
          <w:szCs w:val="24"/>
          <w:lang w:val="zh-CN"/>
        </w:rPr>
        <w:t>将在下列情况下</w:t>
      </w:r>
      <w:r>
        <w:rPr>
          <w:rFonts w:hint="eastAsia"/>
          <w:szCs w:val="24"/>
        </w:rPr>
        <w:t>，</w:t>
      </w:r>
      <w:r>
        <w:rPr>
          <w:rFonts w:hint="eastAsia"/>
          <w:szCs w:val="24"/>
          <w:lang w:val="zh-CN"/>
        </w:rPr>
        <w:t>对居住在联邦区和郊区的居民提供临时经济援助</w:t>
      </w:r>
      <w:r>
        <w:rPr>
          <w:rFonts w:hint="eastAsia"/>
          <w:szCs w:val="24"/>
        </w:rPr>
        <w:t>：</w:t>
      </w:r>
      <w:r>
        <w:rPr>
          <w:rFonts w:hint="eastAsia"/>
          <w:szCs w:val="24"/>
          <w:lang w:val="zh-CN"/>
        </w:rPr>
        <w:t>提供者为永久残疾人</w:t>
      </w:r>
      <w:r>
        <w:rPr>
          <w:rFonts w:hint="eastAsia"/>
          <w:szCs w:val="24"/>
        </w:rPr>
        <w:t>；</w:t>
      </w:r>
      <w:r>
        <w:rPr>
          <w:rFonts w:hint="eastAsia"/>
          <w:szCs w:val="24"/>
          <w:lang w:val="zh-CN"/>
        </w:rPr>
        <w:t>提供者之一患有慢性病、退化性疾病或绝症</w:t>
      </w:r>
      <w:r>
        <w:rPr>
          <w:rFonts w:hint="eastAsia"/>
          <w:szCs w:val="24"/>
        </w:rPr>
        <w:t>，</w:t>
      </w:r>
      <w:r>
        <w:rPr>
          <w:rFonts w:hint="eastAsia"/>
          <w:szCs w:val="24"/>
          <w:lang w:val="zh-CN"/>
        </w:rPr>
        <w:t>从而无法进入劳动力市场</w:t>
      </w:r>
      <w:r>
        <w:rPr>
          <w:rFonts w:hint="eastAsia"/>
          <w:szCs w:val="24"/>
        </w:rPr>
        <w:t>；</w:t>
      </w:r>
      <w:r>
        <w:rPr>
          <w:rFonts w:hint="eastAsia"/>
          <w:szCs w:val="24"/>
          <w:lang w:val="zh-CN"/>
        </w:rPr>
        <w:t>由无收入的老人或残疾人组成的家庭</w:t>
      </w:r>
      <w:r>
        <w:rPr>
          <w:rFonts w:hint="eastAsia"/>
          <w:szCs w:val="24"/>
        </w:rPr>
        <w:t>；</w:t>
      </w:r>
      <w:r>
        <w:rPr>
          <w:rFonts w:hint="eastAsia"/>
          <w:szCs w:val="24"/>
          <w:lang w:val="zh-CN"/>
        </w:rPr>
        <w:t>需要接受医疗护理、医学或心理治疗及由家属照料的儿童、未成年人、成年人、老人和残疾人</w:t>
      </w:r>
      <w:r>
        <w:rPr>
          <w:rFonts w:hint="eastAsia"/>
          <w:szCs w:val="24"/>
        </w:rPr>
        <w:t>；</w:t>
      </w:r>
      <w:r>
        <w:rPr>
          <w:rFonts w:hint="eastAsia"/>
          <w:szCs w:val="24"/>
          <w:lang w:val="zh-CN"/>
        </w:rPr>
        <w:t>无足够经济来源满足基本需求的独居慢性病患者或残疾人。</w:t>
      </w:r>
    </w:p>
  </w:footnote>
  <w:footnote w:id="30">
    <w:p w:rsidR="00FA535D" w:rsidRDefault="00FA535D">
      <w:pPr>
        <w:pStyle w:val="FootnoteText"/>
        <w:rPr>
          <w:szCs w:val="24"/>
        </w:rPr>
      </w:pPr>
      <w:r>
        <w:rPr>
          <w:szCs w:val="24"/>
          <w:lang w:val="zh-CN"/>
        </w:rPr>
        <w:tab/>
      </w:r>
      <w:r>
        <w:rPr>
          <w:rStyle w:val="FootnoteReference"/>
        </w:rPr>
        <w:footnoteRef/>
      </w:r>
      <w:r>
        <w:rPr>
          <w:szCs w:val="24"/>
          <w:lang w:val="zh-CN"/>
        </w:rPr>
        <w:tab/>
        <w:t>2010</w:t>
      </w:r>
      <w:r>
        <w:rPr>
          <w:rFonts w:hint="eastAsia"/>
          <w:szCs w:val="24"/>
          <w:lang w:val="zh-CN"/>
        </w:rPr>
        <w:t>年，全国共有</w:t>
      </w:r>
      <w:r>
        <w:rPr>
          <w:szCs w:val="24"/>
          <w:lang w:val="zh-CN"/>
        </w:rPr>
        <w:t>3</w:t>
      </w:r>
      <w:r>
        <w:rPr>
          <w:rFonts w:hint="eastAsia"/>
        </w:rPr>
        <w:t>,</w:t>
      </w:r>
      <w:r>
        <w:rPr>
          <w:szCs w:val="24"/>
          <w:lang w:val="zh-CN"/>
        </w:rPr>
        <w:t>577</w:t>
      </w:r>
      <w:r>
        <w:rPr>
          <w:rFonts w:hint="eastAsia"/>
          <w:szCs w:val="24"/>
          <w:lang w:val="zh-CN"/>
        </w:rPr>
        <w:t>个常规教育援助服务机构、</w:t>
      </w:r>
      <w:r>
        <w:rPr>
          <w:szCs w:val="24"/>
          <w:lang w:val="zh-CN"/>
        </w:rPr>
        <w:t>1</w:t>
      </w:r>
      <w:r>
        <w:rPr>
          <w:rFonts w:hint="eastAsia"/>
        </w:rPr>
        <w:t>,</w:t>
      </w:r>
      <w:r>
        <w:rPr>
          <w:szCs w:val="24"/>
          <w:lang w:val="zh-CN"/>
        </w:rPr>
        <w:t>482</w:t>
      </w:r>
      <w:r>
        <w:rPr>
          <w:rFonts w:hint="eastAsia"/>
          <w:szCs w:val="24"/>
          <w:lang w:val="zh-CN"/>
        </w:rPr>
        <w:t>个多重服务中心、</w:t>
      </w:r>
      <w:r>
        <w:rPr>
          <w:szCs w:val="24"/>
          <w:lang w:val="zh-CN"/>
        </w:rPr>
        <w:t>176</w:t>
      </w:r>
      <w:r>
        <w:rPr>
          <w:rFonts w:hint="eastAsia"/>
          <w:szCs w:val="24"/>
          <w:lang w:val="zh-CN"/>
        </w:rPr>
        <w:t>个教育整合资源与信息中心、</w:t>
      </w:r>
      <w:r>
        <w:rPr>
          <w:szCs w:val="24"/>
          <w:lang w:val="zh-CN"/>
        </w:rPr>
        <w:t>27</w:t>
      </w:r>
      <w:r>
        <w:rPr>
          <w:rFonts w:hint="eastAsia"/>
          <w:szCs w:val="24"/>
          <w:lang w:val="zh-CN"/>
        </w:rPr>
        <w:t>个公共指导机构和</w:t>
      </w:r>
      <w:r>
        <w:rPr>
          <w:szCs w:val="24"/>
          <w:lang w:val="zh-CN"/>
        </w:rPr>
        <w:t>235</w:t>
      </w:r>
      <w:r>
        <w:rPr>
          <w:rFonts w:hint="eastAsia"/>
          <w:szCs w:val="24"/>
          <w:lang w:val="zh-CN"/>
        </w:rPr>
        <w:t>个学前教育心理辅导中心。这些机构向因残疾、突出技能和其他情况或条件而需要特殊教育的学生提供教育服务。公共教育部报告称，</w:t>
      </w:r>
      <w:r>
        <w:rPr>
          <w:szCs w:val="24"/>
          <w:lang w:val="zh-CN"/>
        </w:rPr>
        <w:t>2009</w:t>
      </w:r>
      <w:r>
        <w:rPr>
          <w:rFonts w:hint="eastAsia"/>
          <w:szCs w:val="24"/>
          <w:lang w:val="zh-CN"/>
        </w:rPr>
        <w:t>年在基础教育阶段接受特殊教育的残疾学生有</w:t>
      </w:r>
      <w:r>
        <w:rPr>
          <w:szCs w:val="24"/>
          <w:lang w:val="zh-CN"/>
        </w:rPr>
        <w:t>128</w:t>
      </w:r>
      <w:r>
        <w:rPr>
          <w:rFonts w:hint="eastAsia"/>
        </w:rPr>
        <w:t>,</w:t>
      </w:r>
      <w:r>
        <w:rPr>
          <w:szCs w:val="24"/>
          <w:lang w:val="zh-CN"/>
        </w:rPr>
        <w:t>984</w:t>
      </w:r>
      <w:r>
        <w:rPr>
          <w:rFonts w:hint="eastAsia"/>
          <w:szCs w:val="24"/>
          <w:lang w:val="zh-CN"/>
        </w:rPr>
        <w:t>名。</w:t>
      </w:r>
    </w:p>
  </w:footnote>
  <w:footnote w:id="31">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该指南与公共教育部一起，集中在</w:t>
      </w:r>
      <w:r>
        <w:rPr>
          <w:szCs w:val="24"/>
          <w:lang w:val="zh-CN"/>
        </w:rPr>
        <w:t>32</w:t>
      </w:r>
      <w:r>
        <w:rPr>
          <w:rFonts w:hint="eastAsia"/>
          <w:szCs w:val="24"/>
          <w:lang w:val="zh-CN"/>
        </w:rPr>
        <w:t>个联邦实体中的</w:t>
      </w:r>
      <w:r>
        <w:rPr>
          <w:szCs w:val="24"/>
          <w:lang w:val="zh-CN"/>
        </w:rPr>
        <w:t>196</w:t>
      </w:r>
      <w:r>
        <w:rPr>
          <w:rFonts w:hint="eastAsia"/>
          <w:szCs w:val="24"/>
          <w:lang w:val="zh-CN"/>
        </w:rPr>
        <w:t>所可能成为各地残疾学生全纳教育参考基地的基础和中高级学校开展工作。指南对每个面向残疾学生的教育机构应具备的不同的教育成套设施、技术支持和教材进行了详细说明。</w:t>
      </w:r>
    </w:p>
  </w:footnote>
  <w:footnote w:id="32">
    <w:p w:rsidR="00FA535D" w:rsidRDefault="00FA535D">
      <w:pPr>
        <w:pStyle w:val="FootnoteText"/>
        <w:rPr>
          <w:szCs w:val="24"/>
        </w:rPr>
      </w:pPr>
      <w:r>
        <w:rPr>
          <w:szCs w:val="24"/>
        </w:rPr>
        <w:tab/>
      </w:r>
      <w:r>
        <w:rPr>
          <w:rStyle w:val="FootnoteReference"/>
        </w:rPr>
        <w:footnoteRef/>
      </w:r>
      <w:r>
        <w:rPr>
          <w:szCs w:val="24"/>
        </w:rPr>
        <w:tab/>
        <w:t>2011</w:t>
      </w:r>
      <w:r>
        <w:rPr>
          <w:rFonts w:hint="eastAsia"/>
          <w:szCs w:val="24"/>
          <w:lang w:val="zh-CN"/>
        </w:rPr>
        <w:t>年</w:t>
      </w:r>
      <w:r>
        <w:rPr>
          <w:szCs w:val="24"/>
        </w:rPr>
        <w:t>9</w:t>
      </w:r>
      <w:r>
        <w:rPr>
          <w:rFonts w:hint="eastAsia"/>
          <w:szCs w:val="24"/>
          <w:lang w:val="zh-CN"/>
        </w:rPr>
        <w:t>月</w:t>
      </w:r>
      <w:r>
        <w:rPr>
          <w:szCs w:val="24"/>
        </w:rPr>
        <w:t>26</w:t>
      </w:r>
      <w:r>
        <w:rPr>
          <w:rFonts w:hint="eastAsia"/>
          <w:szCs w:val="24"/>
          <w:lang w:val="zh-CN"/>
        </w:rPr>
        <w:t>日起可在下列网址查询</w:t>
      </w:r>
      <w:r>
        <w:rPr>
          <w:rFonts w:hint="eastAsia"/>
          <w:szCs w:val="24"/>
        </w:rPr>
        <w:t>：</w:t>
      </w:r>
      <w:r>
        <w:rPr>
          <w:szCs w:val="24"/>
        </w:rPr>
        <w:t>http://educacionespecial.sepdf.gob.mx/</w:t>
      </w:r>
      <w:r>
        <w:rPr>
          <w:rFonts w:hint="eastAsia"/>
          <w:szCs w:val="24"/>
          <w:lang w:val="zh-CN"/>
        </w:rPr>
        <w:t>。</w:t>
      </w:r>
    </w:p>
  </w:footnote>
  <w:footnote w:id="33">
    <w:p w:rsidR="00FA535D" w:rsidRDefault="00FA535D">
      <w:pPr>
        <w:pStyle w:val="FootnoteText"/>
        <w:rPr>
          <w:szCs w:val="24"/>
        </w:rPr>
      </w:pPr>
      <w:r>
        <w:rPr>
          <w:szCs w:val="24"/>
        </w:rPr>
        <w:tab/>
      </w:r>
      <w:r>
        <w:rPr>
          <w:rStyle w:val="FootnoteReference"/>
        </w:rPr>
        <w:footnoteRef/>
      </w:r>
      <w:r>
        <w:rPr>
          <w:szCs w:val="24"/>
          <w:lang w:val="zh-CN"/>
        </w:rPr>
        <w:tab/>
      </w:r>
      <w:r>
        <w:rPr>
          <w:rFonts w:hint="eastAsia"/>
          <w:szCs w:val="24"/>
          <w:lang w:val="zh-CN"/>
        </w:rPr>
        <w:t>自《公约》生效以来</w:t>
      </w:r>
      <w:r>
        <w:rPr>
          <w:rFonts w:hint="eastAsia"/>
          <w:szCs w:val="24"/>
        </w:rPr>
        <w:t>，</w:t>
      </w:r>
      <w:r>
        <w:rPr>
          <w:rFonts w:hint="eastAsia"/>
          <w:szCs w:val="24"/>
          <w:lang w:val="zh-CN"/>
        </w:rPr>
        <w:t>国家免费课本委员会共印制了相当于</w:t>
      </w:r>
      <w:r>
        <w:rPr>
          <w:szCs w:val="24"/>
        </w:rPr>
        <w:t>37,919</w:t>
      </w:r>
      <w:r>
        <w:rPr>
          <w:rFonts w:hint="eastAsia"/>
          <w:szCs w:val="24"/>
          <w:lang w:val="zh-CN"/>
        </w:rPr>
        <w:t>册的</w:t>
      </w:r>
      <w:r>
        <w:rPr>
          <w:szCs w:val="24"/>
        </w:rPr>
        <w:t>14 047</w:t>
      </w:r>
      <w:r>
        <w:rPr>
          <w:rFonts w:hint="eastAsia"/>
          <w:szCs w:val="24"/>
          <w:lang w:val="zh-CN"/>
        </w:rPr>
        <w:t>本盲文课本、及</w:t>
      </w:r>
      <w:r>
        <w:rPr>
          <w:szCs w:val="24"/>
        </w:rPr>
        <w:t>43,650</w:t>
      </w:r>
      <w:r>
        <w:rPr>
          <w:rFonts w:hint="eastAsia"/>
          <w:szCs w:val="24"/>
          <w:lang w:val="zh-CN"/>
        </w:rPr>
        <w:t>本小学一至六年级的大字书。此外</w:t>
      </w:r>
      <w:r>
        <w:rPr>
          <w:rFonts w:hint="eastAsia"/>
          <w:szCs w:val="24"/>
        </w:rPr>
        <w:t>，在</w:t>
      </w:r>
      <w:r>
        <w:rPr>
          <w:szCs w:val="24"/>
        </w:rPr>
        <w:t>2008</w:t>
      </w:r>
      <w:r>
        <w:rPr>
          <w:rFonts w:hint="eastAsia"/>
          <w:szCs w:val="24"/>
          <w:lang w:val="zh-CN"/>
        </w:rPr>
        <w:t>和</w:t>
      </w:r>
      <w:r>
        <w:rPr>
          <w:szCs w:val="24"/>
        </w:rPr>
        <w:t>2009</w:t>
      </w:r>
      <w:r>
        <w:rPr>
          <w:rFonts w:hint="eastAsia"/>
          <w:szCs w:val="24"/>
          <w:lang w:val="zh-CN"/>
        </w:rPr>
        <w:t>年期间</w:t>
      </w:r>
      <w:r>
        <w:rPr>
          <w:rFonts w:hint="eastAsia"/>
          <w:szCs w:val="24"/>
        </w:rPr>
        <w:t>，</w:t>
      </w:r>
      <w:r>
        <w:rPr>
          <w:rFonts w:hint="eastAsia"/>
          <w:szCs w:val="24"/>
          <w:lang w:val="zh-CN"/>
        </w:rPr>
        <w:t>共发放</w:t>
      </w:r>
      <w:r>
        <w:rPr>
          <w:szCs w:val="24"/>
        </w:rPr>
        <w:t>10,884</w:t>
      </w:r>
      <w:r>
        <w:rPr>
          <w:rFonts w:hint="eastAsia"/>
          <w:szCs w:val="24"/>
          <w:lang w:val="zh-CN"/>
        </w:rPr>
        <w:t>本大字书和</w:t>
      </w:r>
      <w:r>
        <w:rPr>
          <w:szCs w:val="24"/>
        </w:rPr>
        <w:t>10,522</w:t>
      </w:r>
      <w:r>
        <w:rPr>
          <w:rFonts w:hint="eastAsia"/>
          <w:szCs w:val="24"/>
        </w:rPr>
        <w:t>本</w:t>
      </w:r>
      <w:r>
        <w:rPr>
          <w:rFonts w:hint="eastAsia"/>
          <w:szCs w:val="24"/>
          <w:lang w:val="zh-CN"/>
        </w:rPr>
        <w:t>盲文书</w:t>
      </w:r>
      <w:r>
        <w:rPr>
          <w:rFonts w:hint="eastAsia"/>
          <w:szCs w:val="24"/>
        </w:rPr>
        <w:t>；</w:t>
      </w:r>
      <w:r>
        <w:rPr>
          <w:szCs w:val="24"/>
        </w:rPr>
        <w:t>2010</w:t>
      </w:r>
      <w:r>
        <w:rPr>
          <w:rFonts w:hint="eastAsia"/>
          <w:szCs w:val="24"/>
          <w:lang w:val="zh-CN"/>
        </w:rPr>
        <w:t>学年第一学期</w:t>
      </w:r>
      <w:r>
        <w:rPr>
          <w:rFonts w:hint="eastAsia"/>
          <w:szCs w:val="24"/>
        </w:rPr>
        <w:t>，</w:t>
      </w:r>
      <w:r>
        <w:rPr>
          <w:rFonts w:hint="eastAsia"/>
          <w:szCs w:val="24"/>
          <w:lang w:val="zh-CN"/>
        </w:rPr>
        <w:t>共发放</w:t>
      </w:r>
      <w:r>
        <w:rPr>
          <w:szCs w:val="24"/>
        </w:rPr>
        <w:t>143</w:t>
      </w:r>
      <w:r>
        <w:rPr>
          <w:rFonts w:hint="eastAsia"/>
          <w:szCs w:val="24"/>
          <w:lang w:val="zh-CN"/>
        </w:rPr>
        <w:t>本大字书和</w:t>
      </w:r>
      <w:r>
        <w:rPr>
          <w:szCs w:val="24"/>
        </w:rPr>
        <w:t>9,621</w:t>
      </w:r>
      <w:r>
        <w:rPr>
          <w:rFonts w:hint="eastAsia"/>
          <w:szCs w:val="24"/>
          <w:lang w:val="zh-CN"/>
        </w:rPr>
        <w:t>本盲文书。但是</w:t>
      </w:r>
      <w:r>
        <w:rPr>
          <w:rFonts w:hint="eastAsia"/>
          <w:szCs w:val="24"/>
        </w:rPr>
        <w:t>，</w:t>
      </w:r>
      <w:r>
        <w:rPr>
          <w:rFonts w:hint="eastAsia"/>
          <w:szCs w:val="24"/>
          <w:lang w:val="zh-CN"/>
        </w:rPr>
        <w:t>由于预算和版权费问题</w:t>
      </w:r>
      <w:r>
        <w:rPr>
          <w:rFonts w:hint="eastAsia"/>
          <w:szCs w:val="24"/>
        </w:rPr>
        <w:t>(</w:t>
      </w:r>
      <w:r>
        <w:rPr>
          <w:rFonts w:hint="eastAsia"/>
          <w:szCs w:val="24"/>
          <w:lang w:val="zh-CN"/>
        </w:rPr>
        <w:t>大字书需要获得特别的国际标准书号</w:t>
      </w:r>
      <w:r>
        <w:rPr>
          <w:rFonts w:hint="eastAsia"/>
          <w:szCs w:val="24"/>
        </w:rPr>
        <w:t>)</w:t>
      </w:r>
      <w:r>
        <w:rPr>
          <w:rFonts w:hint="eastAsia"/>
          <w:szCs w:val="24"/>
        </w:rPr>
        <w:t>，</w:t>
      </w:r>
      <w:r>
        <w:rPr>
          <w:rFonts w:hint="eastAsia"/>
          <w:szCs w:val="24"/>
          <w:lang w:val="zh-CN"/>
        </w:rPr>
        <w:t>大字书已经停印</w:t>
      </w:r>
      <w:r>
        <w:rPr>
          <w:rFonts w:hint="eastAsia"/>
          <w:szCs w:val="24"/>
        </w:rPr>
        <w:t>，</w:t>
      </w:r>
      <w:r>
        <w:rPr>
          <w:rFonts w:hint="eastAsia"/>
          <w:szCs w:val="24"/>
          <w:lang w:val="zh-CN"/>
        </w:rPr>
        <w:t>这反映出有必要在国际范围内达成协议</w:t>
      </w:r>
      <w:r>
        <w:rPr>
          <w:rFonts w:hint="eastAsia"/>
          <w:szCs w:val="24"/>
        </w:rPr>
        <w:t>，</w:t>
      </w:r>
      <w:r>
        <w:rPr>
          <w:rFonts w:hint="eastAsia"/>
          <w:szCs w:val="24"/>
          <w:lang w:val="zh-CN"/>
        </w:rPr>
        <w:t>以便降低这方面的成本。</w:t>
      </w:r>
    </w:p>
  </w:footnote>
  <w:footnote w:id="34">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这项教育服务的目标人群为已完成中学学习内容、希望获得中学毕业资格但在进入学校学习方面有困难的视觉、听觉、行动、语言和智力残疾人。</w:t>
      </w:r>
    </w:p>
  </w:footnote>
  <w:footnote w:id="35">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《残疾人一般法》、《防止和消除歧视联邦法》、《医疗卫生一般法》、《社会援助法》、《保护老年人权利法》及卫生部内部规定、以及墨西哥的多部官方标准同样对该权利做了规定</w:t>
      </w:r>
      <w:r>
        <w:rPr>
          <w:rFonts w:hint="eastAsia"/>
          <w:szCs w:val="24"/>
          <w:lang w:val="zh-CN"/>
        </w:rPr>
        <w:t>(</w:t>
      </w:r>
      <w:r>
        <w:rPr>
          <w:rFonts w:hint="eastAsia"/>
          <w:szCs w:val="24"/>
          <w:lang w:val="zh-CN"/>
        </w:rPr>
        <w:t>请参见第</w:t>
      </w:r>
      <w:r>
        <w:rPr>
          <w:szCs w:val="24"/>
          <w:lang w:val="zh-CN"/>
        </w:rPr>
        <w:t>32</w:t>
      </w:r>
      <w:r>
        <w:rPr>
          <w:rFonts w:hint="eastAsia"/>
          <w:szCs w:val="24"/>
          <w:lang w:val="zh-CN"/>
        </w:rPr>
        <w:t>号附件</w:t>
      </w:r>
      <w:r>
        <w:rPr>
          <w:rFonts w:hint="eastAsia"/>
          <w:szCs w:val="24"/>
          <w:lang w:val="zh-CN"/>
        </w:rPr>
        <w:t>)</w:t>
      </w:r>
      <w:r>
        <w:rPr>
          <w:rFonts w:hint="eastAsia"/>
          <w:szCs w:val="24"/>
          <w:lang w:val="zh-CN"/>
        </w:rPr>
        <w:t>。</w:t>
      </w:r>
    </w:p>
  </w:footnote>
  <w:footnote w:id="36">
    <w:p w:rsidR="00FA535D" w:rsidRDefault="00FA535D">
      <w:pPr>
        <w:pStyle w:val="FootnoteText"/>
        <w:rPr>
          <w:szCs w:val="24"/>
        </w:rPr>
      </w:pPr>
      <w:r>
        <w:rPr>
          <w:szCs w:val="24"/>
          <w:lang w:val="zh-CN"/>
        </w:rPr>
        <w:tab/>
      </w:r>
      <w:r>
        <w:rPr>
          <w:rStyle w:val="FootnoteReference"/>
        </w:rPr>
        <w:footnoteRef/>
      </w:r>
      <w:r>
        <w:rPr>
          <w:szCs w:val="24"/>
          <w:lang w:val="zh-CN"/>
        </w:rPr>
        <w:tab/>
        <w:t>2010</w:t>
      </w:r>
      <w:r>
        <w:rPr>
          <w:rFonts w:hint="eastAsia"/>
          <w:szCs w:val="24"/>
          <w:lang w:val="zh-CN"/>
        </w:rPr>
        <w:t>年，该计划开始在</w:t>
      </w:r>
      <w:r>
        <w:rPr>
          <w:szCs w:val="24"/>
          <w:lang w:val="zh-CN"/>
        </w:rPr>
        <w:t>32</w:t>
      </w:r>
      <w:r>
        <w:rPr>
          <w:rFonts w:hint="eastAsia"/>
          <w:szCs w:val="24"/>
          <w:lang w:val="zh-CN"/>
        </w:rPr>
        <w:t>个联邦实体开展。该计划进行了约</w:t>
      </w:r>
      <w:r>
        <w:rPr>
          <w:szCs w:val="24"/>
          <w:lang w:val="zh-CN"/>
        </w:rPr>
        <w:t>200</w:t>
      </w:r>
      <w:r>
        <w:rPr>
          <w:szCs w:val="24"/>
        </w:rPr>
        <w:t>,</w:t>
      </w:r>
      <w:r>
        <w:rPr>
          <w:szCs w:val="24"/>
          <w:lang w:val="zh-CN"/>
        </w:rPr>
        <w:t>000</w:t>
      </w:r>
      <w:r>
        <w:rPr>
          <w:rFonts w:hint="eastAsia"/>
          <w:szCs w:val="24"/>
          <w:lang w:val="zh-CN"/>
        </w:rPr>
        <w:t>例新生儿听力筛查研究，以求及时发现听力低下的情况。</w:t>
      </w:r>
      <w:r>
        <w:rPr>
          <w:rFonts w:hint="eastAsia"/>
          <w:szCs w:val="24"/>
        </w:rPr>
        <w:t>同</w:t>
      </w:r>
      <w:r>
        <w:rPr>
          <w:rFonts w:hint="eastAsia"/>
          <w:szCs w:val="24"/>
          <w:lang w:val="zh-CN"/>
        </w:rPr>
        <w:t>年</w:t>
      </w:r>
      <w:r>
        <w:rPr>
          <w:rFonts w:hint="eastAsia"/>
          <w:szCs w:val="24"/>
        </w:rPr>
        <w:t>，</w:t>
      </w:r>
      <w:r>
        <w:rPr>
          <w:rFonts w:hint="eastAsia"/>
          <w:szCs w:val="24"/>
          <w:lang w:val="zh-CN"/>
        </w:rPr>
        <w:t>该计划对</w:t>
      </w:r>
      <w:r>
        <w:rPr>
          <w:szCs w:val="24"/>
        </w:rPr>
        <w:t>100</w:t>
      </w:r>
      <w:r>
        <w:rPr>
          <w:rFonts w:hint="eastAsia"/>
          <w:szCs w:val="24"/>
          <w:lang w:val="zh-CN"/>
        </w:rPr>
        <w:t>名确诊为双耳听力严重低下的残疾儿童实施人工耳蜗植入手术</w:t>
      </w:r>
      <w:r>
        <w:rPr>
          <w:rFonts w:hint="eastAsia"/>
          <w:szCs w:val="24"/>
        </w:rPr>
        <w:t>，</w:t>
      </w:r>
      <w:r>
        <w:rPr>
          <w:rFonts w:hint="eastAsia"/>
          <w:szCs w:val="24"/>
          <w:lang w:val="zh-CN"/>
        </w:rPr>
        <w:t>并为墨西哥新一代保险的前</w:t>
      </w:r>
      <w:r>
        <w:rPr>
          <w:szCs w:val="24"/>
        </w:rPr>
        <w:t>30</w:t>
      </w:r>
      <w:r>
        <w:rPr>
          <w:rFonts w:hint="eastAsia"/>
          <w:szCs w:val="24"/>
          <w:lang w:val="zh-CN"/>
        </w:rPr>
        <w:t>名受益儿童实施了手术。此外</w:t>
      </w:r>
      <w:r>
        <w:rPr>
          <w:rFonts w:hint="eastAsia"/>
          <w:szCs w:val="24"/>
        </w:rPr>
        <w:t>，</w:t>
      </w:r>
      <w:r>
        <w:rPr>
          <w:rFonts w:hint="eastAsia"/>
          <w:szCs w:val="24"/>
          <w:lang w:val="zh-CN"/>
        </w:rPr>
        <w:t>该计划还设立了</w:t>
      </w:r>
      <w:r>
        <w:rPr>
          <w:szCs w:val="24"/>
        </w:rPr>
        <w:t>5</w:t>
      </w:r>
      <w:r>
        <w:rPr>
          <w:rFonts w:hint="eastAsia"/>
          <w:szCs w:val="24"/>
          <w:lang w:val="zh-CN"/>
        </w:rPr>
        <w:t>家可以进行人工耳蜗植入手术的联邦级中心</w:t>
      </w:r>
      <w:r>
        <w:rPr>
          <w:rFonts w:hint="eastAsia"/>
          <w:szCs w:val="24"/>
        </w:rPr>
        <w:t>，</w:t>
      </w:r>
      <w:r>
        <w:rPr>
          <w:rFonts w:hint="eastAsia"/>
          <w:szCs w:val="24"/>
          <w:lang w:val="zh-CN"/>
        </w:rPr>
        <w:t>以及韦拉克鲁斯地区医院中的州级人工耳蜗植入中心。该计划利用墨西哥新一代保险的资源为卫生部下属的、接生量超过出生总量</w:t>
      </w:r>
      <w:r>
        <w:rPr>
          <w:szCs w:val="24"/>
        </w:rPr>
        <w:t>90%</w:t>
      </w:r>
      <w:r>
        <w:rPr>
          <w:rFonts w:hint="eastAsia"/>
          <w:szCs w:val="24"/>
          <w:lang w:val="zh-CN"/>
        </w:rPr>
        <w:t>的</w:t>
      </w:r>
      <w:r>
        <w:rPr>
          <w:szCs w:val="24"/>
        </w:rPr>
        <w:t>335</w:t>
      </w:r>
      <w:r>
        <w:rPr>
          <w:rFonts w:hint="eastAsia"/>
          <w:szCs w:val="24"/>
          <w:lang w:val="zh-CN"/>
        </w:rPr>
        <w:t>家医院购买了</w:t>
      </w:r>
      <w:r>
        <w:rPr>
          <w:szCs w:val="24"/>
        </w:rPr>
        <w:t>450</w:t>
      </w:r>
      <w:r>
        <w:rPr>
          <w:rFonts w:hint="eastAsia"/>
          <w:szCs w:val="24"/>
          <w:lang w:val="zh-CN"/>
        </w:rPr>
        <w:t>套可早期发现听力低下的助听发射设备。同时</w:t>
      </w:r>
      <w:r>
        <w:rPr>
          <w:rFonts w:hint="eastAsia"/>
          <w:szCs w:val="24"/>
        </w:rPr>
        <w:t>，</w:t>
      </w:r>
      <w:r>
        <w:rPr>
          <w:rFonts w:hint="eastAsia"/>
          <w:szCs w:val="24"/>
          <w:lang w:val="zh-CN"/>
        </w:rPr>
        <w:t>该计划还购买了</w:t>
      </w:r>
      <w:r>
        <w:rPr>
          <w:szCs w:val="24"/>
        </w:rPr>
        <w:t>45</w:t>
      </w:r>
      <w:r>
        <w:rPr>
          <w:rFonts w:hint="eastAsia"/>
          <w:szCs w:val="24"/>
          <w:lang w:val="zh-CN"/>
        </w:rPr>
        <w:t>套脑干听觉诱发电位测试仪、</w:t>
      </w:r>
      <w:r>
        <w:rPr>
          <w:szCs w:val="24"/>
        </w:rPr>
        <w:t>36</w:t>
      </w:r>
      <w:r>
        <w:rPr>
          <w:rFonts w:hint="eastAsia"/>
          <w:szCs w:val="24"/>
          <w:lang w:val="zh-CN"/>
        </w:rPr>
        <w:t>套听力计和</w:t>
      </w:r>
      <w:r>
        <w:rPr>
          <w:szCs w:val="24"/>
        </w:rPr>
        <w:t>35</w:t>
      </w:r>
      <w:r>
        <w:rPr>
          <w:rFonts w:hint="eastAsia"/>
          <w:szCs w:val="24"/>
          <w:lang w:val="zh-CN"/>
        </w:rPr>
        <w:t>套阻抗测试仪</w:t>
      </w:r>
      <w:r>
        <w:rPr>
          <w:rFonts w:hint="eastAsia"/>
          <w:szCs w:val="24"/>
        </w:rPr>
        <w:t>，</w:t>
      </w:r>
      <w:r>
        <w:rPr>
          <w:rFonts w:hint="eastAsia"/>
          <w:szCs w:val="24"/>
          <w:lang w:val="zh-CN"/>
        </w:rPr>
        <w:t>从而使全国的</w:t>
      </w:r>
      <w:r>
        <w:rPr>
          <w:szCs w:val="24"/>
        </w:rPr>
        <w:t>32</w:t>
      </w:r>
      <w:r>
        <w:rPr>
          <w:rFonts w:hint="eastAsia"/>
          <w:szCs w:val="24"/>
          <w:lang w:val="zh-CN"/>
        </w:rPr>
        <w:t>个联邦实体在不到一年的时间内均具备了诊断听力低下的尖端技术。</w:t>
      </w:r>
      <w:r>
        <w:rPr>
          <w:szCs w:val="24"/>
        </w:rPr>
        <w:t>2010</w:t>
      </w:r>
      <w:r>
        <w:rPr>
          <w:rFonts w:hint="eastAsia"/>
          <w:szCs w:val="24"/>
          <w:lang w:val="zh-CN"/>
        </w:rPr>
        <w:t>年</w:t>
      </w:r>
      <w:r>
        <w:rPr>
          <w:rFonts w:hint="eastAsia"/>
          <w:szCs w:val="24"/>
        </w:rPr>
        <w:t>，</w:t>
      </w:r>
      <w:r>
        <w:rPr>
          <w:rFonts w:hint="eastAsia"/>
          <w:szCs w:val="24"/>
          <w:lang w:val="zh-CN"/>
        </w:rPr>
        <w:t>该计划开设课程</w:t>
      </w:r>
      <w:r>
        <w:rPr>
          <w:rFonts w:hint="eastAsia"/>
          <w:szCs w:val="24"/>
        </w:rPr>
        <w:t>，</w:t>
      </w:r>
      <w:r>
        <w:rPr>
          <w:rFonts w:hint="eastAsia"/>
          <w:szCs w:val="24"/>
          <w:lang w:val="zh-CN"/>
        </w:rPr>
        <w:t>对</w:t>
      </w:r>
      <w:r>
        <w:rPr>
          <w:szCs w:val="24"/>
        </w:rPr>
        <w:t>900</w:t>
      </w:r>
      <w:r>
        <w:rPr>
          <w:rFonts w:hint="eastAsia"/>
          <w:szCs w:val="24"/>
          <w:lang w:val="zh-CN"/>
        </w:rPr>
        <w:t>名医疗卫生专业人员进行了听力发射设备的使用培训。另一方面，该计划通过</w:t>
      </w:r>
      <w:r>
        <w:rPr>
          <w:szCs w:val="24"/>
          <w:lang w:val="zh-CN"/>
        </w:rPr>
        <w:t>3</w:t>
      </w:r>
      <w:r>
        <w:rPr>
          <w:rFonts w:hint="eastAsia"/>
          <w:szCs w:val="24"/>
          <w:lang w:val="zh-CN"/>
        </w:rPr>
        <w:t>次全国性课程分别对</w:t>
      </w:r>
      <w:r>
        <w:rPr>
          <w:szCs w:val="24"/>
          <w:lang w:val="zh-CN"/>
        </w:rPr>
        <w:t>25</w:t>
      </w:r>
      <w:r>
        <w:rPr>
          <w:rFonts w:hint="eastAsia"/>
          <w:szCs w:val="24"/>
          <w:lang w:val="zh-CN"/>
        </w:rPr>
        <w:t>个联邦实体的听觉病矫治医生和</w:t>
      </w:r>
      <w:r>
        <w:rPr>
          <w:szCs w:val="24"/>
          <w:lang w:val="zh-CN"/>
        </w:rPr>
        <w:t>21</w:t>
      </w:r>
      <w:r>
        <w:rPr>
          <w:rFonts w:hint="eastAsia"/>
          <w:szCs w:val="24"/>
          <w:lang w:val="zh-CN"/>
        </w:rPr>
        <w:t>个联邦实体的听觉言语治疗师进行了培训。</w:t>
      </w:r>
    </w:p>
  </w:footnote>
  <w:footnote w:id="37">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需要指出下列鼓励措施：</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a)</w:t>
      </w:r>
      <w:r>
        <w:rPr>
          <w:szCs w:val="24"/>
        </w:rPr>
        <w:tab/>
      </w:r>
      <w:r>
        <w:rPr>
          <w:rFonts w:hint="eastAsia"/>
          <w:szCs w:val="24"/>
          <w:lang w:val="zh-CN"/>
        </w:rPr>
        <w:t>根据</w:t>
      </w:r>
      <w:smartTag w:uri="urn:schemas-microsoft-com:office:smarttags" w:element="chsdate">
        <w:smartTagPr>
          <w:attr w:name="Year" w:val="2007"/>
          <w:attr w:name="Month" w:val="3"/>
          <w:attr w:name="Day" w:val="8"/>
          <w:attr w:name="IsLunarDate" w:val="False"/>
          <w:attr w:name="IsROCDate" w:val="False"/>
        </w:smartTagPr>
        <w:r>
          <w:rPr>
            <w:szCs w:val="24"/>
            <w:lang w:val="zh-CN"/>
          </w:rPr>
          <w:t>2007</w:t>
        </w:r>
        <w:r>
          <w:rPr>
            <w:rFonts w:hint="eastAsia"/>
            <w:szCs w:val="24"/>
            <w:lang w:val="zh-CN"/>
          </w:rPr>
          <w:t>年</w:t>
        </w:r>
        <w:r>
          <w:rPr>
            <w:szCs w:val="24"/>
            <w:lang w:val="zh-CN"/>
          </w:rPr>
          <w:t>3</w:t>
        </w:r>
        <w:r>
          <w:rPr>
            <w:rFonts w:hint="eastAsia"/>
            <w:szCs w:val="24"/>
            <w:lang w:val="zh-CN"/>
          </w:rPr>
          <w:t>月</w:t>
        </w:r>
        <w:r>
          <w:rPr>
            <w:szCs w:val="24"/>
            <w:lang w:val="zh-CN"/>
          </w:rPr>
          <w:t>8</w:t>
        </w:r>
        <w:r>
          <w:rPr>
            <w:rFonts w:hint="eastAsia"/>
            <w:szCs w:val="24"/>
            <w:lang w:val="zh-CN"/>
          </w:rPr>
          <w:t>日</w:t>
        </w:r>
      </w:smartTag>
      <w:r>
        <w:rPr>
          <w:rFonts w:hint="eastAsia"/>
          <w:szCs w:val="24"/>
          <w:lang w:val="zh-CN"/>
        </w:rPr>
        <w:t>通过联邦官方公报公布的法令的第</w:t>
      </w:r>
      <w:r>
        <w:rPr>
          <w:szCs w:val="24"/>
          <w:lang w:val="zh-CN"/>
        </w:rPr>
        <w:t>1</w:t>
      </w:r>
      <w:r>
        <w:rPr>
          <w:rFonts w:hint="eastAsia"/>
          <w:szCs w:val="24"/>
          <w:lang w:val="zh-CN"/>
        </w:rPr>
        <w:t>条，可对与残疾人签订劳动合同的纳税人在所得税方面采取财政刺激措施。</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b)</w:t>
      </w:r>
      <w:r>
        <w:rPr>
          <w:szCs w:val="24"/>
        </w:rPr>
        <w:tab/>
      </w:r>
      <w:r>
        <w:rPr>
          <w:rFonts w:hint="eastAsia"/>
          <w:szCs w:val="24"/>
          <w:lang w:val="zh-CN"/>
        </w:rPr>
        <w:t>《所得税法》第</w:t>
      </w:r>
      <w:r>
        <w:rPr>
          <w:szCs w:val="24"/>
          <w:lang w:val="zh-CN"/>
        </w:rPr>
        <w:t>40</w:t>
      </w:r>
      <w:r>
        <w:rPr>
          <w:rFonts w:hint="eastAsia"/>
          <w:szCs w:val="24"/>
          <w:lang w:val="zh-CN"/>
        </w:rPr>
        <w:t>条规定，出于增建或优化目的对设施的改建投资，只要投资有利于残疾人进入、到达和使用纳税人的设施，就可以</w:t>
      </w:r>
      <w:r>
        <w:rPr>
          <w:szCs w:val="24"/>
          <w:lang w:val="zh-CN"/>
        </w:rPr>
        <w:t>100%</w:t>
      </w:r>
      <w:r>
        <w:rPr>
          <w:rFonts w:hint="eastAsia"/>
          <w:szCs w:val="24"/>
          <w:lang w:val="zh-CN"/>
        </w:rPr>
        <w:t>免除与投资相关的税收。</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c)</w:t>
      </w:r>
      <w:r>
        <w:rPr>
          <w:szCs w:val="24"/>
        </w:rPr>
        <w:tab/>
      </w:r>
      <w:r>
        <w:rPr>
          <w:rFonts w:hint="eastAsia"/>
          <w:szCs w:val="24"/>
          <w:lang w:val="zh-CN"/>
        </w:rPr>
        <w:t>《海关法》第</w:t>
      </w:r>
      <w:r>
        <w:rPr>
          <w:szCs w:val="24"/>
          <w:lang w:val="zh-CN"/>
        </w:rPr>
        <w:t>61</w:t>
      </w:r>
      <w:r>
        <w:rPr>
          <w:rFonts w:hint="eastAsia"/>
          <w:szCs w:val="24"/>
          <w:lang w:val="zh-CN"/>
        </w:rPr>
        <w:t>条规定，以照顾和关怀残疾人为目的的企业可不缴纳外贸税，条件是应税货物本身可减轻残疾程度，并帮助残疾人在身体、教育、专业技能和社会功能方面有所改善和进步。</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d)</w:t>
      </w:r>
      <w:r>
        <w:rPr>
          <w:szCs w:val="24"/>
        </w:rPr>
        <w:tab/>
      </w:r>
      <w:r>
        <w:rPr>
          <w:rFonts w:hint="eastAsia"/>
          <w:szCs w:val="24"/>
          <w:lang w:val="zh-CN"/>
        </w:rPr>
        <w:t>《公共部门采购、租赁和服务法》第</w:t>
      </w:r>
      <w:r>
        <w:rPr>
          <w:szCs w:val="24"/>
          <w:lang w:val="zh-CN"/>
        </w:rPr>
        <w:t>14</w:t>
      </w:r>
      <w:r>
        <w:rPr>
          <w:rFonts w:hint="eastAsia"/>
          <w:szCs w:val="24"/>
          <w:lang w:val="zh-CN"/>
        </w:rPr>
        <w:t>条规定，在商品或服务采购的竞标过程中，残疾竞标人及残疾员工比例高于</w:t>
      </w:r>
      <w:r>
        <w:rPr>
          <w:szCs w:val="24"/>
          <w:lang w:val="zh-CN"/>
        </w:rPr>
        <w:t>5%</w:t>
      </w:r>
      <w:r>
        <w:rPr>
          <w:rFonts w:hint="eastAsia"/>
          <w:szCs w:val="24"/>
          <w:lang w:val="zh-CN"/>
        </w:rPr>
        <w:t>的竞标企业可优先中标。</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e)</w:t>
      </w:r>
      <w:r>
        <w:rPr>
          <w:szCs w:val="24"/>
        </w:rPr>
        <w:tab/>
      </w:r>
      <w:r>
        <w:rPr>
          <w:rFonts w:hint="eastAsia"/>
          <w:szCs w:val="24"/>
          <w:lang w:val="zh-CN"/>
        </w:rPr>
        <w:t>《公共工程与相关服务法》第</w:t>
      </w:r>
      <w:r>
        <w:rPr>
          <w:szCs w:val="24"/>
          <w:lang w:val="zh-CN"/>
        </w:rPr>
        <w:t>38</w:t>
      </w:r>
      <w:r>
        <w:rPr>
          <w:rFonts w:hint="eastAsia"/>
          <w:szCs w:val="24"/>
          <w:lang w:val="zh-CN"/>
        </w:rPr>
        <w:t>条及上述法律均规定，当多家竞标企业的技术条件相同时，应判定残疾员工比例高于</w:t>
      </w:r>
      <w:r>
        <w:rPr>
          <w:szCs w:val="24"/>
          <w:lang w:val="zh-CN"/>
        </w:rPr>
        <w:t>5%</w:t>
      </w:r>
      <w:r>
        <w:rPr>
          <w:rFonts w:hint="eastAsia"/>
          <w:szCs w:val="24"/>
          <w:lang w:val="zh-CN"/>
        </w:rPr>
        <w:t>的企业中标。</w:t>
      </w:r>
    </w:p>
  </w:footnote>
  <w:footnote w:id="38">
    <w:p w:rsidR="00FA535D" w:rsidRDefault="00FA535D">
      <w:pPr>
        <w:pStyle w:val="FootnoteText"/>
        <w:spacing w:after="60"/>
        <w:rPr>
          <w:szCs w:val="24"/>
        </w:rPr>
      </w:pPr>
      <w:r>
        <w:rPr>
          <w:szCs w:val="24"/>
          <w:lang w:val="zh-CN"/>
        </w:rPr>
        <w:tab/>
      </w:r>
      <w:r>
        <w:rPr>
          <w:rStyle w:val="FootnoteReference"/>
        </w:rPr>
        <w:footnoteRef/>
      </w:r>
      <w:r>
        <w:rPr>
          <w:szCs w:val="24"/>
          <w:lang w:val="zh-CN"/>
        </w:rPr>
        <w:tab/>
      </w:r>
      <w:r>
        <w:rPr>
          <w:rFonts w:hint="eastAsia"/>
          <w:szCs w:val="24"/>
          <w:lang w:val="zh-CN"/>
        </w:rPr>
        <w:t>该系统有下列</w:t>
      </w:r>
      <w:r>
        <w:rPr>
          <w:rFonts w:hint="eastAsia"/>
          <w:szCs w:val="24"/>
        </w:rPr>
        <w:t>(</w:t>
      </w:r>
      <w:r>
        <w:rPr>
          <w:rFonts w:hint="eastAsia"/>
          <w:szCs w:val="24"/>
          <w:lang w:val="zh-CN"/>
        </w:rPr>
        <w:t>但不限于这些</w:t>
      </w:r>
      <w:r>
        <w:rPr>
          <w:rFonts w:hint="eastAsia"/>
          <w:szCs w:val="24"/>
        </w:rPr>
        <w:t>)</w:t>
      </w:r>
      <w:r>
        <w:rPr>
          <w:rFonts w:hint="eastAsia"/>
          <w:szCs w:val="24"/>
          <w:lang w:val="zh-CN"/>
        </w:rPr>
        <w:t>目的</w:t>
      </w:r>
      <w:r>
        <w:rPr>
          <w:rFonts w:hint="eastAsia"/>
          <w:szCs w:val="24"/>
        </w:rPr>
        <w:t>：</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a)</w:t>
      </w:r>
      <w:r>
        <w:rPr>
          <w:szCs w:val="24"/>
        </w:rPr>
        <w:tab/>
      </w:r>
      <w:r>
        <w:rPr>
          <w:rFonts w:hint="eastAsia"/>
          <w:szCs w:val="24"/>
          <w:lang w:val="zh-CN"/>
        </w:rPr>
        <w:t>形成墨西哥残疾人的数据库，通过数据库确定残疾人的社会人口学特征，并获得可用来对残疾人的需求与潜能进行分类的某些补充数据。</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b)</w:t>
      </w:r>
      <w:r>
        <w:rPr>
          <w:szCs w:val="24"/>
        </w:rPr>
        <w:tab/>
      </w:r>
      <w:r>
        <w:rPr>
          <w:rFonts w:hint="eastAsia"/>
          <w:szCs w:val="24"/>
          <w:lang w:val="zh-CN"/>
        </w:rPr>
        <w:t>对残疾人的需求及接受的服务进行认定。</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c</w:t>
      </w:r>
      <w:r>
        <w:rPr>
          <w:szCs w:val="24"/>
          <w:lang w:val="zh-CN"/>
        </w:rPr>
        <w:t>)</w:t>
      </w:r>
      <w:r>
        <w:rPr>
          <w:szCs w:val="24"/>
          <w:lang w:val="zh-CN"/>
        </w:rPr>
        <w:tab/>
      </w:r>
      <w:r>
        <w:rPr>
          <w:rFonts w:hint="eastAsia"/>
          <w:szCs w:val="24"/>
          <w:lang w:val="zh-CN"/>
        </w:rPr>
        <w:t>对国内可向残疾人提供的各项服务进行认定与分类。</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d</w:t>
      </w:r>
      <w:r>
        <w:rPr>
          <w:szCs w:val="24"/>
          <w:lang w:val="zh-CN"/>
        </w:rPr>
        <w:t>)</w:t>
      </w:r>
      <w:r>
        <w:rPr>
          <w:szCs w:val="24"/>
          <w:lang w:val="zh-CN"/>
        </w:rPr>
        <w:tab/>
      </w:r>
      <w:r>
        <w:rPr>
          <w:rFonts w:hint="eastAsia"/>
          <w:szCs w:val="24"/>
          <w:lang w:val="zh-CN"/>
        </w:rPr>
        <w:t>评估和监测各种鼓励残疾人获益的政策和战略。</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e</w:t>
      </w:r>
      <w:r>
        <w:rPr>
          <w:szCs w:val="24"/>
          <w:lang w:val="zh-CN"/>
        </w:rPr>
        <w:t>)</w:t>
      </w:r>
      <w:r>
        <w:rPr>
          <w:szCs w:val="24"/>
          <w:lang w:val="zh-CN"/>
        </w:rPr>
        <w:tab/>
      </w:r>
      <w:r>
        <w:rPr>
          <w:rFonts w:hint="eastAsia"/>
          <w:szCs w:val="24"/>
          <w:lang w:val="zh-CN"/>
        </w:rPr>
        <w:t>对账户的估价和收益给予支持。</w:t>
      </w:r>
    </w:p>
  </w:footnote>
  <w:footnote w:id="39">
    <w:p w:rsidR="00FA535D" w:rsidRDefault="00FA535D">
      <w:pPr>
        <w:pStyle w:val="FootnoteText"/>
        <w:spacing w:after="60"/>
        <w:rPr>
          <w:szCs w:val="24"/>
        </w:rPr>
      </w:pPr>
      <w:r>
        <w:rPr>
          <w:szCs w:val="24"/>
          <w:lang w:val="zh-CN"/>
        </w:rPr>
        <w:tab/>
      </w:r>
      <w:r>
        <w:rPr>
          <w:rStyle w:val="FootnoteReference"/>
        </w:rPr>
        <w:footnoteRef/>
      </w:r>
      <w:r>
        <w:rPr>
          <w:szCs w:val="24"/>
          <w:lang w:val="zh-CN"/>
        </w:rPr>
        <w:tab/>
      </w:r>
      <w:r>
        <w:rPr>
          <w:rFonts w:hint="eastAsia"/>
          <w:szCs w:val="24"/>
          <w:lang w:val="zh-CN"/>
        </w:rPr>
        <w:t>共对</w:t>
      </w:r>
      <w:r>
        <w:rPr>
          <w:szCs w:val="24"/>
        </w:rPr>
        <w:t>30</w:t>
      </w:r>
      <w:r>
        <w:rPr>
          <w:rFonts w:hint="eastAsia"/>
          <w:szCs w:val="24"/>
          <w:lang w:val="zh-CN"/>
        </w:rPr>
        <w:t>个联邦实体的</w:t>
      </w:r>
      <w:r>
        <w:rPr>
          <w:szCs w:val="24"/>
        </w:rPr>
        <w:t>5,400</w:t>
      </w:r>
      <w:r>
        <w:rPr>
          <w:rFonts w:hint="eastAsia"/>
          <w:szCs w:val="24"/>
          <w:lang w:val="zh-CN"/>
        </w:rPr>
        <w:t>所住宅进行了抽样调查。现场调查于</w:t>
      </w:r>
      <w:r>
        <w:rPr>
          <w:szCs w:val="24"/>
        </w:rPr>
        <w:t>11</w:t>
      </w:r>
      <w:r>
        <w:rPr>
          <w:rFonts w:hint="eastAsia"/>
          <w:szCs w:val="24"/>
          <w:lang w:val="zh-CN"/>
        </w:rPr>
        <w:t>月至</w:t>
      </w:r>
      <w:r>
        <w:rPr>
          <w:szCs w:val="24"/>
        </w:rPr>
        <w:t>12</w:t>
      </w:r>
      <w:r>
        <w:rPr>
          <w:rFonts w:hint="eastAsia"/>
          <w:szCs w:val="24"/>
          <w:lang w:val="zh-CN"/>
        </w:rPr>
        <w:t>月展开</w:t>
      </w:r>
      <w:r>
        <w:rPr>
          <w:rFonts w:hint="eastAsia"/>
          <w:szCs w:val="24"/>
        </w:rPr>
        <w:t>；</w:t>
      </w:r>
      <w:r>
        <w:rPr>
          <w:rFonts w:hint="eastAsia"/>
          <w:szCs w:val="24"/>
          <w:lang w:val="zh-CN"/>
        </w:rPr>
        <w:t>预计将于</w:t>
      </w:r>
      <w:r>
        <w:rPr>
          <w:szCs w:val="24"/>
        </w:rPr>
        <w:t>2011</w:t>
      </w:r>
      <w:r>
        <w:rPr>
          <w:rFonts w:hint="eastAsia"/>
          <w:szCs w:val="24"/>
          <w:lang w:val="zh-CN"/>
        </w:rPr>
        <w:t>年一季度末获得首批结果。该调查将能获得国家范围内、及城市和农村地区的代表性信息。</w:t>
      </w:r>
    </w:p>
  </w:footnote>
  <w:footnote w:id="40">
    <w:p w:rsidR="00FA535D" w:rsidRDefault="00FA535D">
      <w:pPr>
        <w:pStyle w:val="FootnoteText"/>
        <w:spacing w:after="60"/>
      </w:pPr>
      <w:r>
        <w:rPr>
          <w:lang w:val="zh-CN"/>
        </w:rPr>
        <w:tab/>
      </w:r>
      <w:r>
        <w:rPr>
          <w:rStyle w:val="FootnoteReference"/>
        </w:rPr>
        <w:footnoteRef/>
      </w:r>
      <w:r>
        <w:rPr>
          <w:lang w:val="zh-CN"/>
        </w:rPr>
        <w:tab/>
      </w:r>
      <w:r>
        <w:rPr>
          <w:rFonts w:hint="eastAsia"/>
          <w:lang w:val="zh-CN"/>
        </w:rPr>
        <w:t>该调查有下列目标</w:t>
      </w:r>
      <w:r>
        <w:rPr>
          <w:rFonts w:hint="eastAsia"/>
        </w:rPr>
        <w:t>：</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a)</w:t>
      </w:r>
      <w:r>
        <w:rPr>
          <w:szCs w:val="24"/>
        </w:rPr>
        <w:tab/>
      </w:r>
      <w:r>
        <w:rPr>
          <w:rFonts w:hint="eastAsia"/>
          <w:szCs w:val="18"/>
          <w:lang w:val="zh-CN"/>
        </w:rPr>
        <w:t>了</w:t>
      </w:r>
      <w:r>
        <w:rPr>
          <w:rFonts w:hint="eastAsia"/>
          <w:szCs w:val="24"/>
          <w:lang w:val="zh-CN"/>
        </w:rPr>
        <w:t>解墨西哥人对残疾人的观念与态度。</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b)</w:t>
      </w:r>
      <w:r>
        <w:rPr>
          <w:szCs w:val="24"/>
        </w:rPr>
        <w:tab/>
      </w:r>
      <w:r>
        <w:rPr>
          <w:rFonts w:hint="eastAsia"/>
          <w:szCs w:val="24"/>
          <w:lang w:val="zh-CN"/>
        </w:rPr>
        <w:t>对家庭上报的、在日常生活和活动中有严重困难的个人的数量和百分比进行估算。</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c)</w:t>
      </w:r>
      <w:r>
        <w:rPr>
          <w:szCs w:val="24"/>
        </w:rPr>
        <w:tab/>
      </w:r>
      <w:r>
        <w:rPr>
          <w:rFonts w:hint="eastAsia"/>
          <w:szCs w:val="24"/>
          <w:lang w:val="zh-CN"/>
        </w:rPr>
        <w:t>对上报有严重机能问题的个人的百分比进行估算。</w:t>
      </w:r>
    </w:p>
    <w:p w:rsidR="00FA535D" w:rsidRDefault="00FA535D">
      <w:pPr>
        <w:pStyle w:val="FootnoteText"/>
        <w:tabs>
          <w:tab w:val="clear" w:pos="1021"/>
          <w:tab w:val="left" w:pos="1950"/>
        </w:tabs>
        <w:spacing w:after="60"/>
        <w:ind w:firstLine="397"/>
        <w:rPr>
          <w:szCs w:val="24"/>
          <w:lang w:val="zh-CN"/>
        </w:rPr>
      </w:pPr>
      <w:r>
        <w:rPr>
          <w:rFonts w:hint="eastAsia"/>
          <w:szCs w:val="24"/>
          <w:lang w:val="zh-CN"/>
        </w:rPr>
        <w:t>(</w:t>
      </w:r>
      <w:r>
        <w:rPr>
          <w:szCs w:val="24"/>
        </w:rPr>
        <w:t>d)</w:t>
      </w:r>
      <w:r>
        <w:rPr>
          <w:szCs w:val="24"/>
        </w:rPr>
        <w:tab/>
      </w:r>
      <w:r>
        <w:rPr>
          <w:rFonts w:hint="eastAsia"/>
          <w:szCs w:val="24"/>
          <w:lang w:val="zh-CN"/>
        </w:rPr>
        <w:t>用性别观点，对残疾人在医疗卫生、劳动就业、教育、文化、娱乐和社会领域的情况进行描述。</w:t>
      </w:r>
    </w:p>
    <w:p w:rsidR="00FA535D" w:rsidRDefault="00FA535D">
      <w:pPr>
        <w:pStyle w:val="FootnoteText"/>
        <w:tabs>
          <w:tab w:val="clear" w:pos="1021"/>
          <w:tab w:val="left" w:pos="1950"/>
        </w:tabs>
        <w:spacing w:after="60"/>
        <w:ind w:firstLine="397"/>
        <w:rPr>
          <w:szCs w:val="24"/>
        </w:rPr>
      </w:pPr>
      <w:r>
        <w:rPr>
          <w:rFonts w:hint="eastAsia"/>
          <w:szCs w:val="24"/>
          <w:lang w:val="zh-CN"/>
        </w:rPr>
        <w:t>(</w:t>
      </w:r>
      <w:r>
        <w:rPr>
          <w:szCs w:val="24"/>
        </w:rPr>
        <w:t>e)</w:t>
      </w:r>
      <w:r>
        <w:rPr>
          <w:szCs w:val="24"/>
        </w:rPr>
        <w:tab/>
      </w:r>
      <w:r>
        <w:rPr>
          <w:rFonts w:hint="eastAsia"/>
          <w:szCs w:val="24"/>
          <w:lang w:val="zh-CN"/>
        </w:rPr>
        <w:t>对</w:t>
      </w:r>
      <w:r>
        <w:rPr>
          <w:rFonts w:hint="eastAsia"/>
          <w:szCs w:val="18"/>
          <w:lang w:val="zh-CN"/>
        </w:rPr>
        <w:t>有利于或限制残疾人进入公共场所和部门的因素进行描述。</w:t>
      </w:r>
    </w:p>
  </w:footnote>
  <w:footnote w:id="41">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目前</w:t>
      </w:r>
      <w:r>
        <w:rPr>
          <w:rFonts w:hint="eastAsia"/>
          <w:szCs w:val="24"/>
        </w:rPr>
        <w:t>，</w:t>
      </w:r>
      <w:r>
        <w:rPr>
          <w:rFonts w:hint="eastAsia"/>
          <w:szCs w:val="24"/>
          <w:lang w:val="zh-CN"/>
        </w:rPr>
        <w:t>墨西哥与阿根廷、巴西、哥伦比亚、加拿大、哥斯达黎加、智利、西班牙、海地、萨尔瓦多、尼加拉瓜、秘鲁、波多黎各、委内瑞拉玻利瓦尔共和国、多米尼加共和国、罗马尼亚和乌拉圭之间有现行有效的合作协议</w:t>
      </w:r>
      <w:r>
        <w:rPr>
          <w:rFonts w:hint="eastAsia"/>
          <w:szCs w:val="24"/>
        </w:rPr>
        <w:t>，</w:t>
      </w:r>
      <w:r>
        <w:rPr>
          <w:rFonts w:hint="eastAsia"/>
          <w:szCs w:val="24"/>
          <w:lang w:val="zh-CN"/>
        </w:rPr>
        <w:t>与俄罗斯、中国和波兰之间的合作协议也进入了谈判的最后阶段。</w:t>
      </w:r>
    </w:p>
  </w:footnote>
  <w:footnote w:id="42">
    <w:p w:rsidR="00FA535D" w:rsidRDefault="00FA535D">
      <w:pPr>
        <w:pStyle w:val="FootnoteText"/>
        <w:rPr>
          <w:szCs w:val="24"/>
        </w:rPr>
      </w:pPr>
      <w:r>
        <w:rPr>
          <w:szCs w:val="24"/>
          <w:lang w:val="zh-CN"/>
        </w:rPr>
        <w:tab/>
      </w:r>
      <w:r>
        <w:rPr>
          <w:rStyle w:val="FootnoteReference"/>
        </w:rPr>
        <w:footnoteRef/>
      </w:r>
      <w:r>
        <w:rPr>
          <w:szCs w:val="24"/>
          <w:lang w:val="zh-CN"/>
        </w:rPr>
        <w:tab/>
      </w:r>
      <w:r>
        <w:rPr>
          <w:rFonts w:hint="eastAsia"/>
          <w:szCs w:val="24"/>
          <w:lang w:val="zh-CN"/>
        </w:rPr>
        <w:t>全国残疾人理事会是各部委和机构间的协调机关</w:t>
      </w:r>
      <w:r>
        <w:rPr>
          <w:rFonts w:hint="eastAsia"/>
          <w:szCs w:val="24"/>
        </w:rPr>
        <w:t>，</w:t>
      </w:r>
      <w:r>
        <w:rPr>
          <w:rFonts w:hint="eastAsia"/>
          <w:szCs w:val="24"/>
          <w:lang w:val="zh-CN"/>
        </w:rPr>
        <w:t>其目的是在实施《公约》方面制定国家政策</w:t>
      </w:r>
      <w:r>
        <w:rPr>
          <w:rFonts w:hint="eastAsia"/>
          <w:szCs w:val="24"/>
        </w:rPr>
        <w:t>，</w:t>
      </w:r>
      <w:r>
        <w:rPr>
          <w:rFonts w:hint="eastAsia"/>
          <w:szCs w:val="24"/>
          <w:lang w:val="zh-CN"/>
        </w:rPr>
        <w:t>并对相关行动、战略和计划进行推进、支持、鼓励、监督和评估。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35D" w:rsidRDefault="00FA535D">
    <w:pPr>
      <w:pStyle w:val="Header"/>
    </w:pPr>
    <w:r>
      <w:t>CRPD/C/MEX/1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35D" w:rsidRDefault="00FA535D">
    <w:pPr>
      <w:pStyle w:val="Header"/>
      <w:jc w:val="right"/>
      <w:rPr>
        <w:rFonts w:hint="eastAsia"/>
        <w:lang w:eastAsia="zh-CN"/>
      </w:rPr>
    </w:pPr>
    <w:r>
      <w:rPr>
        <w:lang w:eastAsia="zh-CN"/>
      </w:rPr>
      <w:t>CRPD/C/MEX/1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44666DCA"/>
    <w:lvl w:ilvl="0">
      <w:start w:val="1"/>
      <w:numFmt w:val="decimal"/>
      <w:lvlText w:val="%1."/>
      <w:lvlJc w:val="left"/>
      <w:pPr>
        <w:tabs>
          <w:tab w:val="num" w:pos="780"/>
        </w:tabs>
        <w:ind w:left="780" w:hanging="360"/>
      </w:pPr>
    </w:lvl>
  </w:abstractNum>
  <w:abstractNum w:abstractNumId="1">
    <w:nsid w:val="FFFFFF88"/>
    <w:multiLevelType w:val="singleLevel"/>
    <w:tmpl w:val="7B420A6C"/>
    <w:lvl w:ilvl="0">
      <w:start w:val="1"/>
      <w:numFmt w:val="decimal"/>
      <w:lvlText w:val="%1."/>
      <w:lvlJc w:val="left"/>
      <w:pPr>
        <w:tabs>
          <w:tab w:val="num" w:pos="360"/>
        </w:tabs>
        <w:ind w:left="360" w:hanging="360"/>
      </w:pPr>
    </w:lvl>
  </w:abstractNum>
  <w:abstractNum w:abstractNumId="2">
    <w:nsid w:val="010C49F8"/>
    <w:multiLevelType w:val="hybridMultilevel"/>
    <w:tmpl w:val="FFD08D26"/>
    <w:lvl w:ilvl="0" w:tplc="FFFFFFFF">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F01404D"/>
    <w:multiLevelType w:val="hybridMultilevel"/>
    <w:tmpl w:val="140C564A"/>
    <w:lvl w:ilvl="0" w:tplc="F21CE4EE">
      <w:start w:val="1"/>
      <w:numFmt w:val="lowerLetter"/>
      <w:lvlText w:val="%1)"/>
      <w:lvlJc w:val="left"/>
      <w:pPr>
        <w:tabs>
          <w:tab w:val="num" w:pos="1974"/>
        </w:tabs>
        <w:ind w:left="1974" w:hanging="360"/>
      </w:pPr>
      <w:rPr>
        <w:rFonts w:hint="default"/>
      </w:rPr>
    </w:lvl>
    <w:lvl w:ilvl="1" w:tplc="04090019" w:tentative="1">
      <w:start w:val="1"/>
      <w:numFmt w:val="lowerLetter"/>
      <w:lvlText w:val="%2)"/>
      <w:lvlJc w:val="left"/>
      <w:pPr>
        <w:tabs>
          <w:tab w:val="num" w:pos="2454"/>
        </w:tabs>
        <w:ind w:left="2454" w:hanging="420"/>
      </w:pPr>
    </w:lvl>
    <w:lvl w:ilvl="2" w:tplc="0409001B" w:tentative="1">
      <w:start w:val="1"/>
      <w:numFmt w:val="lowerRoman"/>
      <w:lvlText w:val="%3."/>
      <w:lvlJc w:val="right"/>
      <w:pPr>
        <w:tabs>
          <w:tab w:val="num" w:pos="2874"/>
        </w:tabs>
        <w:ind w:left="2874" w:hanging="420"/>
      </w:pPr>
    </w:lvl>
    <w:lvl w:ilvl="3" w:tplc="0409000F" w:tentative="1">
      <w:start w:val="1"/>
      <w:numFmt w:val="decimal"/>
      <w:lvlText w:val="%4."/>
      <w:lvlJc w:val="left"/>
      <w:pPr>
        <w:tabs>
          <w:tab w:val="num" w:pos="3294"/>
        </w:tabs>
        <w:ind w:left="3294" w:hanging="420"/>
      </w:pPr>
    </w:lvl>
    <w:lvl w:ilvl="4" w:tplc="04090019" w:tentative="1">
      <w:start w:val="1"/>
      <w:numFmt w:val="lowerLetter"/>
      <w:lvlText w:val="%5)"/>
      <w:lvlJc w:val="left"/>
      <w:pPr>
        <w:tabs>
          <w:tab w:val="num" w:pos="3714"/>
        </w:tabs>
        <w:ind w:left="3714" w:hanging="420"/>
      </w:pPr>
    </w:lvl>
    <w:lvl w:ilvl="5" w:tplc="0409001B" w:tentative="1">
      <w:start w:val="1"/>
      <w:numFmt w:val="lowerRoman"/>
      <w:lvlText w:val="%6."/>
      <w:lvlJc w:val="right"/>
      <w:pPr>
        <w:tabs>
          <w:tab w:val="num" w:pos="4134"/>
        </w:tabs>
        <w:ind w:left="4134" w:hanging="420"/>
      </w:pPr>
    </w:lvl>
    <w:lvl w:ilvl="6" w:tplc="0409000F" w:tentative="1">
      <w:start w:val="1"/>
      <w:numFmt w:val="decimal"/>
      <w:lvlText w:val="%7."/>
      <w:lvlJc w:val="left"/>
      <w:pPr>
        <w:tabs>
          <w:tab w:val="num" w:pos="4554"/>
        </w:tabs>
        <w:ind w:left="4554" w:hanging="420"/>
      </w:pPr>
    </w:lvl>
    <w:lvl w:ilvl="7" w:tplc="04090019" w:tentative="1">
      <w:start w:val="1"/>
      <w:numFmt w:val="lowerLetter"/>
      <w:lvlText w:val="%8)"/>
      <w:lvlJc w:val="left"/>
      <w:pPr>
        <w:tabs>
          <w:tab w:val="num" w:pos="4974"/>
        </w:tabs>
        <w:ind w:left="4974" w:hanging="420"/>
      </w:pPr>
    </w:lvl>
    <w:lvl w:ilvl="8" w:tplc="0409001B" w:tentative="1">
      <w:start w:val="1"/>
      <w:numFmt w:val="lowerRoman"/>
      <w:lvlText w:val="%9."/>
      <w:lvlJc w:val="right"/>
      <w:pPr>
        <w:tabs>
          <w:tab w:val="num" w:pos="5394"/>
        </w:tabs>
        <w:ind w:left="5394" w:hanging="420"/>
      </w:pPr>
    </w:lvl>
  </w:abstractNum>
  <w:abstractNum w:abstractNumId="5">
    <w:nsid w:val="115E7914"/>
    <w:multiLevelType w:val="hybridMultilevel"/>
    <w:tmpl w:val="72CA170A"/>
    <w:lvl w:ilvl="0" w:tplc="6C3EFE90">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28A72A3"/>
    <w:multiLevelType w:val="hybridMultilevel"/>
    <w:tmpl w:val="40C4F0E0"/>
    <w:lvl w:ilvl="0" w:tplc="0BFE8E1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7845149"/>
    <w:multiLevelType w:val="hybridMultilevel"/>
    <w:tmpl w:val="3FDA1718"/>
    <w:lvl w:ilvl="0" w:tplc="6C3EFE90">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1">
    <w:nsid w:val="1CB04134"/>
    <w:multiLevelType w:val="hybridMultilevel"/>
    <w:tmpl w:val="77FA0F8E"/>
    <w:lvl w:ilvl="0" w:tplc="FC6C88B4">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E253887"/>
    <w:multiLevelType w:val="hybridMultilevel"/>
    <w:tmpl w:val="497EC7CC"/>
    <w:lvl w:ilvl="0" w:tplc="FFFFFFFF">
      <w:start w:val="1"/>
      <w:numFmt w:val="bullet"/>
      <w:pStyle w:val="H56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E402816"/>
    <w:multiLevelType w:val="hybridMultilevel"/>
    <w:tmpl w:val="D3340508"/>
    <w:lvl w:ilvl="0" w:tplc="8E3879E6">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7983D28"/>
    <w:multiLevelType w:val="hybridMultilevel"/>
    <w:tmpl w:val="9B30F8F0"/>
    <w:lvl w:ilvl="0" w:tplc="CB6EC9D6">
      <w:start w:val="1"/>
      <w:numFmt w:val="lowerLetter"/>
      <w:lvlText w:val="%1)"/>
      <w:lvlJc w:val="left"/>
      <w:pPr>
        <w:tabs>
          <w:tab w:val="num" w:pos="1914"/>
        </w:tabs>
        <w:ind w:left="1914" w:hanging="360"/>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5">
    <w:nsid w:val="28E5057D"/>
    <w:multiLevelType w:val="hybridMultilevel"/>
    <w:tmpl w:val="8AEC08F8"/>
    <w:lvl w:ilvl="0" w:tplc="8E3879E6">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6">
    <w:nsid w:val="309F7C42"/>
    <w:multiLevelType w:val="hybridMultilevel"/>
    <w:tmpl w:val="7248C908"/>
    <w:lvl w:ilvl="0" w:tplc="6C3EFE90">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1791FDE"/>
    <w:multiLevelType w:val="hybridMultilevel"/>
    <w:tmpl w:val="37FADE16"/>
    <w:lvl w:ilvl="0" w:tplc="FDE02998">
      <w:start w:val="1"/>
      <w:numFmt w:val="lowerLetter"/>
      <w:lvlText w:val="%1)"/>
      <w:lvlJc w:val="left"/>
      <w:pPr>
        <w:tabs>
          <w:tab w:val="num" w:pos="1989"/>
        </w:tabs>
        <w:ind w:left="1989" w:hanging="435"/>
      </w:pPr>
      <w:rPr>
        <w:rFonts w:hint="default"/>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8">
    <w:nsid w:val="32C14ED1"/>
    <w:multiLevelType w:val="hybridMultilevel"/>
    <w:tmpl w:val="F7C4A84C"/>
    <w:lvl w:ilvl="0" w:tplc="6C3EFE90">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2394"/>
        </w:tabs>
        <w:ind w:left="2394" w:hanging="420"/>
      </w:pPr>
    </w:lvl>
    <w:lvl w:ilvl="2" w:tplc="0409001B">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19">
    <w:nsid w:val="37381A0C"/>
    <w:multiLevelType w:val="hybridMultilevel"/>
    <w:tmpl w:val="6EA2A06E"/>
    <w:lvl w:ilvl="0" w:tplc="6C3EFE90">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8927DD6"/>
    <w:multiLevelType w:val="hybridMultilevel"/>
    <w:tmpl w:val="ACD029E8"/>
    <w:lvl w:ilvl="0" w:tplc="CBEA4666">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90420B4"/>
    <w:multiLevelType w:val="hybridMultilevel"/>
    <w:tmpl w:val="A350ADF2"/>
    <w:lvl w:ilvl="0" w:tplc="1D7C6A00">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22">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3">
    <w:nsid w:val="3EF876E7"/>
    <w:multiLevelType w:val="hybridMultilevel"/>
    <w:tmpl w:val="7110E7D6"/>
    <w:lvl w:ilvl="0" w:tplc="827C4D20">
      <w:start w:val="1"/>
      <w:numFmt w:val="lowerLetter"/>
      <w:lvlText w:val="%1)"/>
      <w:lvlJc w:val="left"/>
      <w:pPr>
        <w:tabs>
          <w:tab w:val="num" w:pos="1914"/>
        </w:tabs>
        <w:ind w:left="1914" w:hanging="360"/>
      </w:pPr>
      <w:rPr>
        <w:rFonts w:hint="default"/>
        <w:color w:val="auto"/>
      </w:rPr>
    </w:lvl>
    <w:lvl w:ilvl="1" w:tplc="875A0E00">
      <w:start w:val="15"/>
      <w:numFmt w:val="bullet"/>
      <w:lvlText w:val="%2)"/>
      <w:lvlJc w:val="left"/>
      <w:pPr>
        <w:tabs>
          <w:tab w:val="num" w:pos="2334"/>
        </w:tabs>
        <w:ind w:left="2334" w:hanging="360"/>
      </w:pPr>
      <w:rPr>
        <w:rFonts w:ascii="Wingdings" w:eastAsia="SimSun" w:hAnsi="Wingdings" w:cs="Times New Roman" w:hint="default"/>
      </w:r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24">
    <w:nsid w:val="41C02D71"/>
    <w:multiLevelType w:val="hybridMultilevel"/>
    <w:tmpl w:val="88F477F0"/>
    <w:lvl w:ilvl="0" w:tplc="AEC668BE">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szCs w:val="20"/>
        <w:u w:val="none"/>
      </w:rPr>
    </w:lvl>
    <w:lvl w:ilvl="1" w:tplc="04090019">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25">
    <w:nsid w:val="42AD3819"/>
    <w:multiLevelType w:val="hybridMultilevel"/>
    <w:tmpl w:val="4FB8ABFA"/>
    <w:lvl w:ilvl="0" w:tplc="6C3EFE90">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D48FA54">
      <w:start w:val="1"/>
      <w:numFmt w:val="low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A032758"/>
    <w:multiLevelType w:val="hybridMultilevel"/>
    <w:tmpl w:val="37A075CE"/>
    <w:lvl w:ilvl="0" w:tplc="CBEA4666">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28">
    <w:nsid w:val="50B744E6"/>
    <w:multiLevelType w:val="hybridMultilevel"/>
    <w:tmpl w:val="1B32C5FC"/>
    <w:lvl w:ilvl="0" w:tplc="8E3879E6">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7114A352">
      <w:start w:val="1"/>
      <w:numFmt w:val="lowerLetter"/>
      <w:lvlText w:val="%2)"/>
      <w:lvlJc w:val="left"/>
      <w:pPr>
        <w:tabs>
          <w:tab w:val="num" w:pos="2334"/>
        </w:tabs>
        <w:ind w:left="2334" w:hanging="360"/>
      </w:pPr>
      <w:rPr>
        <w:rFonts w:hint="default"/>
      </w:rPr>
    </w:lvl>
    <w:lvl w:ilvl="2" w:tplc="CE845752">
      <w:start w:val="267"/>
      <w:numFmt w:val="decimal"/>
      <w:lvlText w:val="%3."/>
      <w:lvlJc w:val="left"/>
      <w:pPr>
        <w:tabs>
          <w:tab w:val="num" w:pos="2754"/>
        </w:tabs>
        <w:ind w:left="2754" w:hanging="360"/>
      </w:pPr>
      <w:rPr>
        <w:rFonts w:hint="default"/>
      </w:r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29">
    <w:nsid w:val="55526195"/>
    <w:multiLevelType w:val="hybridMultilevel"/>
    <w:tmpl w:val="B5866B8A"/>
    <w:lvl w:ilvl="0" w:tplc="CBEA4666">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ABC28C6"/>
    <w:multiLevelType w:val="hybridMultilevel"/>
    <w:tmpl w:val="063C9B26"/>
    <w:lvl w:ilvl="0" w:tplc="1D7C6A00">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BC90228"/>
    <w:multiLevelType w:val="hybridMultilevel"/>
    <w:tmpl w:val="E5464F8E"/>
    <w:lvl w:ilvl="0" w:tplc="FFFFFFFF">
      <w:start w:val="1"/>
      <w:numFmt w:val="decimal"/>
      <w:pStyle w:val="ParaNoGR"/>
      <w:lvlText w:val="%1."/>
      <w:lvlJc w:val="left"/>
      <w:pPr>
        <w:tabs>
          <w:tab w:val="num" w:pos="1491"/>
        </w:tabs>
        <w:ind w:left="1134"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A315A8"/>
    <w:multiLevelType w:val="hybridMultilevel"/>
    <w:tmpl w:val="F842B454"/>
    <w:lvl w:ilvl="0" w:tplc="6C3EFE90">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3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2DB3422"/>
    <w:multiLevelType w:val="hybridMultilevel"/>
    <w:tmpl w:val="66AC72A8"/>
    <w:lvl w:ilvl="0" w:tplc="CBEA4666">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3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6">
    <w:nsid w:val="6DF10134"/>
    <w:multiLevelType w:val="hybridMultilevel"/>
    <w:tmpl w:val="8A84956C"/>
    <w:lvl w:ilvl="0" w:tplc="8E3879E6">
      <w:start w:val="1"/>
      <w:numFmt w:val="lowerLetter"/>
      <w:lvlRestart w:val="0"/>
      <w:lvlText w:val="(%1)"/>
      <w:lvlJc w:val="left"/>
      <w:pPr>
        <w:tabs>
          <w:tab w:val="num" w:pos="3980"/>
        </w:tabs>
        <w:ind w:left="2688" w:firstLine="431"/>
      </w:pPr>
      <w:rPr>
        <w:rFonts w:ascii="Times New Roman" w:hAnsi="Times New Roman" w:cs="Times New Roman"/>
        <w:b w:val="0"/>
        <w:i w:val="0"/>
        <w:color w:val="auto"/>
        <w:sz w:val="20"/>
        <w:u w:val="none"/>
      </w:rPr>
    </w:lvl>
    <w:lvl w:ilvl="1" w:tplc="04090019">
      <w:start w:val="1"/>
      <w:numFmt w:val="lowerLetter"/>
      <w:lvlText w:val="%2)"/>
      <w:lvlJc w:val="left"/>
      <w:pPr>
        <w:tabs>
          <w:tab w:val="num" w:pos="2394"/>
        </w:tabs>
        <w:ind w:left="2394" w:hanging="420"/>
      </w:pPr>
    </w:lvl>
    <w:lvl w:ilvl="2" w:tplc="0409001B" w:tentative="1">
      <w:start w:val="1"/>
      <w:numFmt w:val="lowerRoman"/>
      <w:lvlText w:val="%3."/>
      <w:lvlJc w:val="right"/>
      <w:pPr>
        <w:tabs>
          <w:tab w:val="num" w:pos="2814"/>
        </w:tabs>
        <w:ind w:left="2814" w:hanging="420"/>
      </w:pPr>
    </w:lvl>
    <w:lvl w:ilvl="3" w:tplc="0409000F" w:tentative="1">
      <w:start w:val="1"/>
      <w:numFmt w:val="decimal"/>
      <w:lvlText w:val="%4."/>
      <w:lvlJc w:val="left"/>
      <w:pPr>
        <w:tabs>
          <w:tab w:val="num" w:pos="3234"/>
        </w:tabs>
        <w:ind w:left="3234" w:hanging="420"/>
      </w:pPr>
    </w:lvl>
    <w:lvl w:ilvl="4" w:tplc="04090019" w:tentative="1">
      <w:start w:val="1"/>
      <w:numFmt w:val="lowerLetter"/>
      <w:lvlText w:val="%5)"/>
      <w:lvlJc w:val="left"/>
      <w:pPr>
        <w:tabs>
          <w:tab w:val="num" w:pos="3654"/>
        </w:tabs>
        <w:ind w:left="3654" w:hanging="420"/>
      </w:pPr>
    </w:lvl>
    <w:lvl w:ilvl="5" w:tplc="0409001B" w:tentative="1">
      <w:start w:val="1"/>
      <w:numFmt w:val="lowerRoman"/>
      <w:lvlText w:val="%6."/>
      <w:lvlJc w:val="right"/>
      <w:pPr>
        <w:tabs>
          <w:tab w:val="num" w:pos="4074"/>
        </w:tabs>
        <w:ind w:left="4074" w:hanging="420"/>
      </w:pPr>
    </w:lvl>
    <w:lvl w:ilvl="6" w:tplc="0409000F" w:tentative="1">
      <w:start w:val="1"/>
      <w:numFmt w:val="decimal"/>
      <w:lvlText w:val="%7."/>
      <w:lvlJc w:val="left"/>
      <w:pPr>
        <w:tabs>
          <w:tab w:val="num" w:pos="4494"/>
        </w:tabs>
        <w:ind w:left="4494" w:hanging="420"/>
      </w:pPr>
    </w:lvl>
    <w:lvl w:ilvl="7" w:tplc="04090019" w:tentative="1">
      <w:start w:val="1"/>
      <w:numFmt w:val="lowerLetter"/>
      <w:lvlText w:val="%8)"/>
      <w:lvlJc w:val="left"/>
      <w:pPr>
        <w:tabs>
          <w:tab w:val="num" w:pos="4914"/>
        </w:tabs>
        <w:ind w:left="4914" w:hanging="420"/>
      </w:pPr>
    </w:lvl>
    <w:lvl w:ilvl="8" w:tplc="0409001B" w:tentative="1">
      <w:start w:val="1"/>
      <w:numFmt w:val="lowerRoman"/>
      <w:lvlText w:val="%9."/>
      <w:lvlJc w:val="right"/>
      <w:pPr>
        <w:tabs>
          <w:tab w:val="num" w:pos="5334"/>
        </w:tabs>
        <w:ind w:left="5334" w:hanging="420"/>
      </w:pPr>
    </w:lvl>
  </w:abstractNum>
  <w:abstractNum w:abstractNumId="37">
    <w:nsid w:val="6FF44389"/>
    <w:multiLevelType w:val="hybridMultilevel"/>
    <w:tmpl w:val="4E52065C"/>
    <w:lvl w:ilvl="0" w:tplc="FFFFFFFF">
      <w:start w:val="1"/>
      <w:numFmt w:val="bullet"/>
      <w:pStyle w:val="4"/>
      <w:lvlText w:val=""/>
      <w:lvlJc w:val="left"/>
      <w:pPr>
        <w:ind w:left="2121" w:hanging="420"/>
      </w:pPr>
      <w:rPr>
        <w:rFonts w:ascii="Wingdings" w:hAnsi="Wingdings" w:hint="default"/>
      </w:rPr>
    </w:lvl>
    <w:lvl w:ilvl="1" w:tplc="FFFFFFFF" w:tentative="1">
      <w:start w:val="1"/>
      <w:numFmt w:val="bullet"/>
      <w:lvlText w:val=""/>
      <w:lvlJc w:val="left"/>
      <w:pPr>
        <w:ind w:left="2541" w:hanging="420"/>
      </w:pPr>
      <w:rPr>
        <w:rFonts w:ascii="Wingdings" w:hAnsi="Wingdings" w:hint="default"/>
      </w:rPr>
    </w:lvl>
    <w:lvl w:ilvl="2" w:tplc="FFFFFFFF" w:tentative="1">
      <w:start w:val="1"/>
      <w:numFmt w:val="bullet"/>
      <w:lvlText w:val=""/>
      <w:lvlJc w:val="left"/>
      <w:pPr>
        <w:ind w:left="2961" w:hanging="420"/>
      </w:pPr>
      <w:rPr>
        <w:rFonts w:ascii="Wingdings" w:hAnsi="Wingdings" w:hint="default"/>
      </w:rPr>
    </w:lvl>
    <w:lvl w:ilvl="3" w:tplc="FFFFFFFF" w:tentative="1">
      <w:start w:val="1"/>
      <w:numFmt w:val="bullet"/>
      <w:lvlText w:val=""/>
      <w:lvlJc w:val="left"/>
      <w:pPr>
        <w:ind w:left="3381" w:hanging="420"/>
      </w:pPr>
      <w:rPr>
        <w:rFonts w:ascii="Wingdings" w:hAnsi="Wingdings" w:hint="default"/>
      </w:rPr>
    </w:lvl>
    <w:lvl w:ilvl="4" w:tplc="FFFFFFFF" w:tentative="1">
      <w:start w:val="1"/>
      <w:numFmt w:val="bullet"/>
      <w:lvlText w:val=""/>
      <w:lvlJc w:val="left"/>
      <w:pPr>
        <w:ind w:left="3801" w:hanging="420"/>
      </w:pPr>
      <w:rPr>
        <w:rFonts w:ascii="Wingdings" w:hAnsi="Wingdings" w:hint="default"/>
      </w:rPr>
    </w:lvl>
    <w:lvl w:ilvl="5" w:tplc="FFFFFFFF" w:tentative="1">
      <w:start w:val="1"/>
      <w:numFmt w:val="bullet"/>
      <w:lvlText w:val=""/>
      <w:lvlJc w:val="left"/>
      <w:pPr>
        <w:ind w:left="4221" w:hanging="420"/>
      </w:pPr>
      <w:rPr>
        <w:rFonts w:ascii="Wingdings" w:hAnsi="Wingdings" w:hint="default"/>
      </w:rPr>
    </w:lvl>
    <w:lvl w:ilvl="6" w:tplc="FFFFFFFF" w:tentative="1">
      <w:start w:val="1"/>
      <w:numFmt w:val="bullet"/>
      <w:lvlText w:val=""/>
      <w:lvlJc w:val="left"/>
      <w:pPr>
        <w:ind w:left="4641" w:hanging="420"/>
      </w:pPr>
      <w:rPr>
        <w:rFonts w:ascii="Wingdings" w:hAnsi="Wingdings" w:hint="default"/>
      </w:rPr>
    </w:lvl>
    <w:lvl w:ilvl="7" w:tplc="FFFFFFFF" w:tentative="1">
      <w:start w:val="1"/>
      <w:numFmt w:val="bullet"/>
      <w:lvlText w:val=""/>
      <w:lvlJc w:val="left"/>
      <w:pPr>
        <w:ind w:left="5061" w:hanging="420"/>
      </w:pPr>
      <w:rPr>
        <w:rFonts w:ascii="Wingdings" w:hAnsi="Wingdings" w:hint="default"/>
      </w:rPr>
    </w:lvl>
    <w:lvl w:ilvl="8" w:tplc="FFFFFFFF" w:tentative="1">
      <w:start w:val="1"/>
      <w:numFmt w:val="bullet"/>
      <w:lvlText w:val=""/>
      <w:lvlJc w:val="left"/>
      <w:pPr>
        <w:ind w:left="5481" w:hanging="420"/>
      </w:pPr>
      <w:rPr>
        <w:rFonts w:ascii="Wingdings" w:hAnsi="Wingdings" w:hint="default"/>
      </w:rPr>
    </w:lvl>
  </w:abstractNum>
  <w:abstractNum w:abstractNumId="38">
    <w:nsid w:val="714E094C"/>
    <w:multiLevelType w:val="hybridMultilevel"/>
    <w:tmpl w:val="1F6CDCCC"/>
    <w:lvl w:ilvl="0" w:tplc="CBEA4666">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2CF662EE">
      <w:start w:val="1"/>
      <w:numFmt w:val="lowerLetter"/>
      <w:lvlText w:val="%2)"/>
      <w:lvlJc w:val="left"/>
      <w:pPr>
        <w:tabs>
          <w:tab w:val="num" w:pos="780"/>
        </w:tabs>
        <w:ind w:left="780" w:hanging="36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6253AA1"/>
    <w:multiLevelType w:val="hybridMultilevel"/>
    <w:tmpl w:val="CD1C6146"/>
    <w:lvl w:ilvl="0" w:tplc="C9F2FE6C">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40">
    <w:nsid w:val="7FCA48C1"/>
    <w:multiLevelType w:val="hybridMultilevel"/>
    <w:tmpl w:val="D8B2C33A"/>
    <w:lvl w:ilvl="0" w:tplc="FC6C88B4">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 w:numId="3">
    <w:abstractNumId w:val="7"/>
  </w:num>
  <w:num w:numId="4">
    <w:abstractNumId w:val="35"/>
  </w:num>
  <w:num w:numId="5">
    <w:abstractNumId w:val="8"/>
  </w:num>
  <w:num w:numId="6">
    <w:abstractNumId w:val="12"/>
  </w:num>
  <w:num w:numId="7">
    <w:abstractNumId w:val="2"/>
  </w:num>
  <w:num w:numId="8">
    <w:abstractNumId w:val="33"/>
  </w:num>
  <w:num w:numId="9">
    <w:abstractNumId w:val="9"/>
  </w:num>
  <w:num w:numId="10">
    <w:abstractNumId w:val="3"/>
  </w:num>
  <w:num w:numId="11">
    <w:abstractNumId w:val="37"/>
  </w:num>
  <w:num w:numId="12">
    <w:abstractNumId w:val="27"/>
  </w:num>
  <w:num w:numId="13">
    <w:abstractNumId w:val="22"/>
  </w:num>
  <w:num w:numId="14">
    <w:abstractNumId w:val="31"/>
  </w:num>
  <w:num w:numId="15">
    <w:abstractNumId w:val="24"/>
  </w:num>
  <w:num w:numId="16">
    <w:abstractNumId w:val="23"/>
  </w:num>
  <w:num w:numId="17">
    <w:abstractNumId w:val="39"/>
  </w:num>
  <w:num w:numId="18">
    <w:abstractNumId w:val="26"/>
  </w:num>
  <w:num w:numId="19">
    <w:abstractNumId w:val="34"/>
  </w:num>
  <w:num w:numId="20">
    <w:abstractNumId w:val="4"/>
  </w:num>
  <w:num w:numId="21">
    <w:abstractNumId w:val="38"/>
  </w:num>
  <w:num w:numId="22">
    <w:abstractNumId w:val="6"/>
  </w:num>
  <w:num w:numId="23">
    <w:abstractNumId w:val="20"/>
  </w:num>
  <w:num w:numId="24">
    <w:abstractNumId w:val="29"/>
  </w:num>
  <w:num w:numId="25">
    <w:abstractNumId w:val="40"/>
  </w:num>
  <w:num w:numId="26">
    <w:abstractNumId w:val="11"/>
  </w:num>
  <w:num w:numId="27">
    <w:abstractNumId w:val="13"/>
  </w:num>
  <w:num w:numId="28">
    <w:abstractNumId w:val="15"/>
  </w:num>
  <w:num w:numId="29">
    <w:abstractNumId w:val="17"/>
  </w:num>
  <w:num w:numId="30">
    <w:abstractNumId w:val="28"/>
  </w:num>
  <w:num w:numId="31">
    <w:abstractNumId w:val="14"/>
  </w:num>
  <w:num w:numId="32">
    <w:abstractNumId w:val="36"/>
  </w:num>
  <w:num w:numId="33">
    <w:abstractNumId w:val="30"/>
  </w:num>
  <w:num w:numId="34">
    <w:abstractNumId w:val="21"/>
  </w:num>
  <w:num w:numId="35">
    <w:abstractNumId w:val="19"/>
  </w:num>
  <w:num w:numId="36">
    <w:abstractNumId w:val="10"/>
  </w:num>
  <w:num w:numId="37">
    <w:abstractNumId w:val="16"/>
  </w:num>
  <w:num w:numId="38">
    <w:abstractNumId w:val="32"/>
  </w:num>
  <w:num w:numId="39">
    <w:abstractNumId w:val="25"/>
  </w:num>
  <w:num w:numId="40">
    <w:abstractNumId w:val="18"/>
  </w:num>
  <w:num w:numId="41">
    <w:abstractNumId w:val="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s-MX" w:vendorID="64" w:dllVersion="131078" w:nlCheck="1" w:checkStyle="1"/>
  <w:activeWritingStyle w:appName="MSWord" w:lang="es-ES_tradnl"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00720"/>
    <w:rsid w:val="00300720"/>
    <w:rsid w:val="00A2190D"/>
    <w:rsid w:val="00EC0BF8"/>
    <w:rsid w:val="00FA53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5"/>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Pr>
      <w:rFonts w:ascii="Times New Roman" w:hAnsi="Times New Roman"/>
      <w:dstrike w:val="0"/>
      <w:color w:val="0000FF"/>
      <w:spacing w:val="0"/>
      <w:w w:val="100"/>
      <w:kern w:val="0"/>
      <w:position w:val="0"/>
      <w:sz w:val="21"/>
      <w:vertAlign w:val="superscript"/>
    </w:rPr>
  </w:style>
  <w:style w:type="paragraph" w:customStyle="1" w:styleId="a1">
    <w:name w:val="缩进正文"/>
    <w:basedOn w:val="SingleTxtGC"/>
    <w:pPr>
      <w:ind w:left="1565"/>
    </w:pPr>
  </w:style>
  <w:style w:type="paragraph" w:styleId="EndnoteText">
    <w:name w:val="endnote text"/>
    <w:basedOn w:val="FootnoteText"/>
    <w:link w:val="EndnoteTextChar"/>
    <w:pPr>
      <w:keepLines w:val="0"/>
      <w:tabs>
        <w:tab w:val="right" w:pos="1021"/>
      </w:tabs>
    </w:pPr>
  </w:style>
  <w:style w:type="character" w:styleId="EndnoteReference">
    <w:name w:val="endnote reference"/>
    <w:basedOn w:val="FootnoteReference"/>
  </w:style>
  <w:style w:type="paragraph" w:customStyle="1" w:styleId="a2">
    <w:name w:val="表中标题"/>
    <w:basedOn w:val="SingleTxtGC"/>
    <w:pPr>
      <w:spacing w:before="80" w:after="80" w:line="200" w:lineRule="exact"/>
      <w:ind w:left="0" w:right="113"/>
    </w:pPr>
    <w:rPr>
      <w:rFonts w:eastAsia="KaiTi_GB2312"/>
      <w:sz w:val="18"/>
    </w:rPr>
  </w:style>
  <w:style w:type="paragraph" w:customStyle="1" w:styleId="a3">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4">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pPr>
      <w:spacing w:line="240" w:lineRule="auto"/>
    </w:pPr>
    <w:rPr>
      <w:sz w:val="16"/>
      <w:lang w:val="en-GB" w:eastAsia="en-US"/>
    </w:rPr>
  </w:style>
  <w:style w:type="character" w:styleId="PageNumber">
    <w:name w:val="page number"/>
    <w:basedOn w:val="DefaultParagraphFont"/>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3"/>
      </w:numPr>
      <w:spacing w:after="120"/>
      <w:ind w:right="1134"/>
    </w:pPr>
  </w:style>
  <w:style w:type="paragraph" w:customStyle="1" w:styleId="Bullet2GC">
    <w:name w:val="_Bullet 2_GC"/>
    <w:basedOn w:val="Normal"/>
    <w:pPr>
      <w:numPr>
        <w:numId w:val="4"/>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link w:val="H1GCChar"/>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5">
    <w:name w:val="悬挂"/>
    <w:basedOn w:val="SingleTxtGC"/>
    <w:pPr>
      <w:ind w:left="1565" w:hanging="431"/>
    </w:pPr>
  </w:style>
  <w:style w:type="paragraph" w:customStyle="1" w:styleId="a6">
    <w:name w:val="表中文字"/>
    <w:basedOn w:val="SingleTxtGC"/>
    <w:pPr>
      <w:spacing w:before="40" w:line="240" w:lineRule="atLeast"/>
      <w:ind w:left="0" w:right="113"/>
    </w:pPr>
    <w:rPr>
      <w:sz w:val="18"/>
    </w:rPr>
  </w:style>
  <w:style w:type="paragraph" w:customStyle="1" w:styleId="a7">
    <w:name w:val="表数文字"/>
    <w:basedOn w:val="SingleTxtGC"/>
    <w:pPr>
      <w:spacing w:before="40" w:after="40" w:line="240" w:lineRule="atLeast"/>
      <w:ind w:left="0" w:right="113"/>
    </w:pPr>
    <w:rPr>
      <w:sz w:val="18"/>
    </w:rPr>
  </w:style>
  <w:style w:type="character" w:customStyle="1" w:styleId="FootnoteTextChar">
    <w:name w:val="Footnote Text Char"/>
    <w:link w:val="FootnoteText"/>
    <w:locked/>
    <w:rPr>
      <w:rFonts w:eastAsia="SimSun"/>
      <w:snapToGrid w:val="0"/>
      <w:sz w:val="18"/>
      <w:lang w:val="en-US" w:eastAsia="zh-CN" w:bidi="ar-SA"/>
    </w:rPr>
  </w:style>
  <w:style w:type="character" w:customStyle="1" w:styleId="SingleTxtGCChar">
    <w:name w:val="_ Single Txt_GC Char"/>
    <w:basedOn w:val="DefaultParagraphFont"/>
    <w:link w:val="SingleTxtGC"/>
    <w:locked/>
    <w:rPr>
      <w:rFonts w:eastAsia="SimSun"/>
      <w:snapToGrid w:val="0"/>
      <w:sz w:val="21"/>
      <w:lang w:val="en-US" w:eastAsia="zh-CN" w:bidi="ar-SA"/>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ParaNoG">
    <w:name w:val="_ParaNo._G"/>
    <w:basedOn w:val="SingleTxtG"/>
    <w:pPr>
      <w:numPr>
        <w:numId w:val="7"/>
      </w:numPr>
      <w:tabs>
        <w:tab w:val="clear" w:pos="0"/>
        <w:tab w:val="num" w:pos="780"/>
        <w:tab w:val="num" w:pos="1440"/>
      </w:tabs>
      <w:ind w:left="0" w:hanging="360"/>
    </w:pPr>
  </w:style>
  <w:style w:type="paragraph" w:customStyle="1" w:styleId="SingleTxtG">
    <w:name w:val="_ Single Txt_G"/>
    <w:basedOn w:val="Normal"/>
    <w:link w:val="SingleTxtGCar"/>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
    <w:name w:val="Body Text"/>
    <w:basedOn w:val="Normal"/>
    <w:next w:val="Normal"/>
    <w:link w:val="BodyTextChar"/>
    <w:semiHidden/>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link w:val="BodyTextIndentChar"/>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pPr>
      <w:numPr>
        <w:numId w:val="1"/>
      </w:numPr>
      <w:tabs>
        <w:tab w:val="clear" w:pos="431"/>
      </w:tabs>
      <w:suppressAutoHyphens/>
      <w:overflowPunct/>
      <w:adjustRightInd/>
      <w:snapToGrid/>
      <w:spacing w:after="120" w:line="240" w:lineRule="atLeast"/>
      <w:ind w:right="1134"/>
    </w:pPr>
    <w:rPr>
      <w:snapToGrid/>
      <w:sz w:val="20"/>
      <w:lang w:val="en-GB" w:eastAsia="en-US"/>
    </w:rPr>
  </w:style>
  <w:style w:type="character" w:styleId="CommentReference">
    <w:name w:val="annotation reference"/>
    <w:semiHidden/>
    <w:rPr>
      <w:sz w:val="6"/>
    </w:rPr>
  </w:style>
  <w:style w:type="paragraph" w:styleId="CommentText">
    <w:name w:val="annotation text"/>
    <w:basedOn w:val="Normal"/>
    <w:link w:val="CommentTextChar"/>
    <w:semiHidden/>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paragraph" w:customStyle="1" w:styleId="Bullet2G">
    <w:name w:val="_Bullet 2_G"/>
    <w:basedOn w:val="Normal"/>
    <w:pPr>
      <w:numPr>
        <w:numId w:val="2"/>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pPr>
      <w:keepNext/>
      <w:keepLines/>
      <w:numPr>
        <w:numId w:val="6"/>
      </w:numPr>
      <w:tabs>
        <w:tab w:val="clear" w:pos="431"/>
        <w:tab w:val="clear" w:pos="2268"/>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semiHidden/>
    <w:pPr>
      <w:numPr>
        <w:numId w:val="8"/>
      </w:numPr>
    </w:pPr>
  </w:style>
  <w:style w:type="numbering" w:styleId="1ai">
    <w:name w:val="Outline List 1"/>
    <w:basedOn w:val="NoList"/>
    <w:semiHidden/>
    <w:pPr>
      <w:numPr>
        <w:numId w:val="9"/>
      </w:numPr>
    </w:pPr>
  </w:style>
  <w:style w:type="numbering" w:styleId="ArticleSection">
    <w:name w:val="Outline List 3"/>
    <w:basedOn w:val="NoList"/>
    <w:semiHidden/>
    <w:pPr>
      <w:numPr>
        <w:numId w:val="10"/>
      </w:numPr>
    </w:pPr>
  </w:style>
  <w:style w:type="paragraph" w:styleId="BodyText2">
    <w:name w:val="Body Text 2"/>
    <w:basedOn w:val="Normal"/>
    <w:link w:val="BodyText2Char"/>
    <w:semiHidden/>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link w:val="BodyTextFirstIndentChar"/>
    <w:semiHidden/>
    <w:pPr>
      <w:spacing w:after="120"/>
      <w:ind w:firstLine="210"/>
    </w:pPr>
  </w:style>
  <w:style w:type="paragraph" w:styleId="BodyTextFirstIndent2">
    <w:name w:val="Body Text First Indent 2"/>
    <w:basedOn w:val="BodyTextIndent"/>
    <w:link w:val="BodyTextFirstIndent2Char"/>
    <w:semiHidden/>
    <w:pPr>
      <w:ind w:firstLine="210"/>
    </w:pPr>
  </w:style>
  <w:style w:type="paragraph" w:styleId="BodyTextIndent2">
    <w:name w:val="Body Text Indent 2"/>
    <w:basedOn w:val="Normal"/>
    <w:link w:val="BodyTextIndent2Char"/>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link w:val="ClosingChar"/>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link w:val="DateChar"/>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link w:val="E-mailSignatureChar"/>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link w:val="HTMLAddressChar"/>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semiHidden/>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paragraph" w:styleId="NormalWeb">
    <w:name w:val="Normal (Web)"/>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link w:val="SalutationChar"/>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link w:val="SignatureChar"/>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qFormat/>
    <w:rPr>
      <w:b/>
      <w:bCs/>
    </w:rPr>
  </w:style>
  <w:style w:type="paragraph" w:styleId="Subtitle">
    <w:name w:val="Subtitle"/>
    <w:basedOn w:val="Normal"/>
    <w:link w:val="SubtitleChar"/>
    <w:qFormat/>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styleId="TOC1">
    <w:name w:val="toc 1"/>
    <w:basedOn w:val="Normal"/>
    <w:next w:val="Normal"/>
    <w:autoRedefine/>
    <w:pPr>
      <w:tabs>
        <w:tab w:val="clear" w:pos="431"/>
      </w:tabs>
      <w:suppressAutoHyphens/>
      <w:overflowPunct/>
      <w:adjustRightInd/>
      <w:snapToGrid/>
      <w:spacing w:before="120" w:after="120" w:line="240" w:lineRule="atLeast"/>
      <w:jc w:val="left"/>
    </w:pPr>
    <w:rPr>
      <w:rFonts w:ascii="Calibri" w:hAnsi="Calibri"/>
      <w:b/>
      <w:bCs/>
      <w:caps/>
      <w:snapToGrid/>
      <w:sz w:val="20"/>
      <w:lang w:val="en-GB" w:eastAsia="en-US"/>
    </w:rPr>
  </w:style>
  <w:style w:type="paragraph" w:styleId="BalloonText">
    <w:name w:val="Balloon Text"/>
    <w:basedOn w:val="Normal"/>
    <w:link w:val="BalloonTextChar"/>
    <w:semiHidden/>
    <w:pPr>
      <w:tabs>
        <w:tab w:val="clear" w:pos="431"/>
      </w:tabs>
      <w:suppressAutoHyphens/>
      <w:overflowPunct/>
      <w:adjustRightInd/>
      <w:snapToGrid/>
      <w:spacing w:line="240" w:lineRule="atLeast"/>
      <w:jc w:val="left"/>
    </w:pPr>
    <w:rPr>
      <w:rFonts w:ascii="Tahoma" w:hAnsi="Tahoma"/>
      <w:snapToGrid/>
      <w:sz w:val="16"/>
      <w:szCs w:val="16"/>
      <w:lang w:val="en-GB" w:eastAsia="en-US"/>
    </w:rPr>
  </w:style>
  <w:style w:type="character" w:customStyle="1" w:styleId="trans">
    <w:name w:val="trans"/>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link w:val="Heading2"/>
    <w:rPr>
      <w:rFonts w:eastAsia="SimSun"/>
      <w:snapToGrid w:val="0"/>
      <w:kern w:val="28"/>
      <w:sz w:val="28"/>
      <w:lang w:val="en-US" w:eastAsia="zh-CN" w:bidi="ar-SA"/>
    </w:rPr>
  </w:style>
  <w:style w:type="character" w:customStyle="1" w:styleId="Heading3Char">
    <w:name w:val="Heading 3 Char"/>
    <w:link w:val="Heading3"/>
    <w:rPr>
      <w:rFonts w:eastAsia="SimSun"/>
      <w:snapToGrid w:val="0"/>
      <w:kern w:val="28"/>
      <w:sz w:val="21"/>
      <w:u w:val="single"/>
      <w:lang w:val="en-US" w:eastAsia="zh-CN" w:bidi="ar-SA"/>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PlainTextChar">
    <w:name w:val="Plain Text Char"/>
    <w:link w:val="PlainText"/>
    <w:semiHidden/>
    <w:rPr>
      <w:rFonts w:eastAsia="SimSun"/>
      <w:lang w:val="en-GB" w:eastAsia="en-US" w:bidi="ar-SA"/>
    </w:rPr>
  </w:style>
  <w:style w:type="character" w:customStyle="1" w:styleId="BodyTextChar">
    <w:name w:val="Body Text Char"/>
    <w:link w:val="BodyText"/>
    <w:semiHidden/>
    <w:rPr>
      <w:rFonts w:eastAsia="SimSun"/>
      <w:lang w:val="en-GB" w:eastAsia="en-US" w:bidi="ar-SA"/>
    </w:rPr>
  </w:style>
  <w:style w:type="character" w:customStyle="1" w:styleId="BodyTextIndentChar">
    <w:name w:val="Body Text Indent Char"/>
    <w:link w:val="BodyTextIndent"/>
    <w:semiHidden/>
    <w:rPr>
      <w:rFonts w:eastAsia="SimSun"/>
      <w:lang w:val="en-GB" w:eastAsia="en-US" w:bidi="ar-SA"/>
    </w:rPr>
  </w:style>
  <w:style w:type="character" w:customStyle="1" w:styleId="EndnoteTextChar">
    <w:name w:val="Endnote Text Char"/>
    <w:link w:val="EndnoteText"/>
    <w:rPr>
      <w:rFonts w:eastAsia="SimSun"/>
      <w:snapToGrid w:val="0"/>
      <w:sz w:val="18"/>
      <w:lang w:val="en-US" w:eastAsia="zh-CN" w:bidi="ar-SA"/>
    </w:rPr>
  </w:style>
  <w:style w:type="character" w:customStyle="1" w:styleId="CommentTextChar">
    <w:name w:val="Comment Text Char"/>
    <w:link w:val="CommentText"/>
    <w:semiHidden/>
    <w:rPr>
      <w:rFonts w:eastAsia="SimSun"/>
      <w:lang w:val="en-GB" w:eastAsia="en-US" w:bidi="ar-SA"/>
    </w:rPr>
  </w:style>
  <w:style w:type="character" w:customStyle="1" w:styleId="BodyText2Char">
    <w:name w:val="Body Text 2 Char"/>
    <w:link w:val="BodyText2"/>
    <w:semiHidden/>
    <w:rPr>
      <w:rFonts w:eastAsia="SimSun"/>
      <w:lang w:val="en-GB" w:eastAsia="en-US" w:bidi="ar-SA"/>
    </w:rPr>
  </w:style>
  <w:style w:type="character" w:customStyle="1" w:styleId="BodyText3Char">
    <w:name w:val="Body Text 3 Char"/>
    <w:link w:val="BodyText3"/>
    <w:semiHidden/>
    <w:rPr>
      <w:rFonts w:eastAsia="SimSun"/>
      <w:sz w:val="16"/>
      <w:szCs w:val="16"/>
      <w:lang w:val="en-GB" w:eastAsia="en-US" w:bidi="ar-SA"/>
    </w:rPr>
  </w:style>
  <w:style w:type="character" w:customStyle="1" w:styleId="BodyTextFirstIndentChar">
    <w:name w:val="Body Text First Indent Char"/>
    <w:link w:val="BodyTextFirstIndent"/>
    <w:semiHidden/>
    <w:rPr>
      <w:rFonts w:eastAsia="SimSun"/>
      <w:lang w:val="en-GB" w:eastAsia="en-US" w:bidi="ar-SA"/>
    </w:rPr>
  </w:style>
  <w:style w:type="character" w:customStyle="1" w:styleId="BodyTextFirstIndent2Char">
    <w:name w:val="Body Text First Indent 2 Char"/>
    <w:link w:val="BodyTextFirstIndent2"/>
    <w:semiHidden/>
    <w:rPr>
      <w:rFonts w:eastAsia="SimSun"/>
      <w:lang w:val="en-GB" w:eastAsia="en-US" w:bidi="ar-SA"/>
    </w:rPr>
  </w:style>
  <w:style w:type="character" w:customStyle="1" w:styleId="BodyTextIndent2Char">
    <w:name w:val="Body Text Indent 2 Char"/>
    <w:link w:val="BodyTextIndent2"/>
    <w:semiHidden/>
    <w:rPr>
      <w:rFonts w:eastAsia="SimSun"/>
      <w:lang w:val="en-GB" w:eastAsia="en-US" w:bidi="ar-SA"/>
    </w:rPr>
  </w:style>
  <w:style w:type="character" w:customStyle="1" w:styleId="BodyTextIndent3Char">
    <w:name w:val="Body Text Indent 3 Char"/>
    <w:link w:val="BodyTextIndent3"/>
    <w:semiHidden/>
    <w:rPr>
      <w:rFonts w:eastAsia="SimSun"/>
      <w:sz w:val="16"/>
      <w:szCs w:val="16"/>
      <w:lang w:val="en-GB" w:eastAsia="en-US" w:bidi="ar-SA"/>
    </w:rPr>
  </w:style>
  <w:style w:type="character" w:customStyle="1" w:styleId="ClosingChar">
    <w:name w:val="Closing Char"/>
    <w:link w:val="Closing"/>
    <w:semiHidden/>
    <w:rPr>
      <w:rFonts w:eastAsia="SimSun"/>
      <w:lang w:val="en-GB" w:eastAsia="en-US" w:bidi="ar-SA"/>
    </w:rPr>
  </w:style>
  <w:style w:type="character" w:customStyle="1" w:styleId="DateChar">
    <w:name w:val="Date Char"/>
    <w:link w:val="Date"/>
    <w:semiHidden/>
    <w:rPr>
      <w:rFonts w:eastAsia="SimSun"/>
      <w:lang w:val="en-GB" w:eastAsia="en-US" w:bidi="ar-SA"/>
    </w:rPr>
  </w:style>
  <w:style w:type="character" w:customStyle="1" w:styleId="E-mailSignatureChar">
    <w:name w:val="E-mail Signature Char"/>
    <w:link w:val="E-mailSignature"/>
    <w:semiHidden/>
    <w:rPr>
      <w:rFonts w:eastAsia="SimSun"/>
      <w:lang w:val="en-GB" w:eastAsia="en-US" w:bidi="ar-SA"/>
    </w:rPr>
  </w:style>
  <w:style w:type="character" w:customStyle="1" w:styleId="HTMLAddressChar">
    <w:name w:val="HTML Address Char"/>
    <w:link w:val="HTMLAddress"/>
    <w:semiHidden/>
    <w:rPr>
      <w:rFonts w:eastAsia="SimSun"/>
      <w:i/>
      <w:iCs/>
      <w:lang w:val="en-GB" w:eastAsia="en-US" w:bidi="ar-SA"/>
    </w:rPr>
  </w:style>
  <w:style w:type="character" w:customStyle="1" w:styleId="HTMLPreformattedChar">
    <w:name w:val="HTML Preformatted Char"/>
    <w:link w:val="HTMLPreformatted"/>
    <w:semiHidden/>
    <w:rPr>
      <w:rFonts w:ascii="Courier New" w:eastAsia="SimSun" w:hAnsi="Courier New"/>
      <w:lang w:val="en-GB" w:eastAsia="en-US" w:bidi="ar-SA"/>
    </w:rPr>
  </w:style>
  <w:style w:type="character" w:customStyle="1" w:styleId="MessageHeaderChar">
    <w:name w:val="Message Header Char"/>
    <w:link w:val="MessageHeader"/>
    <w:semiHidden/>
    <w:rPr>
      <w:rFonts w:ascii="Arial" w:eastAsia="SimSun" w:hAnsi="Arial"/>
      <w:sz w:val="24"/>
      <w:szCs w:val="24"/>
      <w:lang w:val="en-GB" w:eastAsia="en-US" w:bidi="ar-SA"/>
    </w:rPr>
  </w:style>
  <w:style w:type="character" w:customStyle="1" w:styleId="NoteHeadingChar">
    <w:name w:val="Note Heading Char"/>
    <w:link w:val="NoteHeading"/>
    <w:semiHidden/>
    <w:rPr>
      <w:rFonts w:eastAsia="SimSun"/>
      <w:lang w:val="en-GB" w:eastAsia="en-US" w:bidi="ar-SA"/>
    </w:rPr>
  </w:style>
  <w:style w:type="character" w:customStyle="1" w:styleId="SalutationChar">
    <w:name w:val="Salutation Char"/>
    <w:link w:val="Salutation"/>
    <w:semiHidden/>
    <w:rPr>
      <w:rFonts w:eastAsia="SimSun"/>
      <w:lang w:val="en-GB" w:eastAsia="en-US" w:bidi="ar-SA"/>
    </w:rPr>
  </w:style>
  <w:style w:type="character" w:customStyle="1" w:styleId="SignatureChar">
    <w:name w:val="Signature Char"/>
    <w:link w:val="Signature"/>
    <w:semiHidden/>
    <w:rPr>
      <w:rFonts w:eastAsia="SimSun"/>
      <w:lang w:val="en-GB" w:eastAsia="en-US" w:bidi="ar-SA"/>
    </w:rPr>
  </w:style>
  <w:style w:type="character" w:customStyle="1" w:styleId="SubtitleChar">
    <w:name w:val="Subtitle Char"/>
    <w:link w:val="Subtitle"/>
    <w:rPr>
      <w:rFonts w:ascii="Arial" w:eastAsia="SimSun" w:hAnsi="Arial"/>
      <w:sz w:val="24"/>
      <w:szCs w:val="24"/>
      <w:lang w:val="en-GB" w:eastAsia="en-US"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FooterChar">
    <w:name w:val="Footer Char"/>
    <w:link w:val="Footer"/>
    <w:rPr>
      <w:snapToGrid w:val="0"/>
      <w:sz w:val="16"/>
      <w:lang w:val="en-GB" w:eastAsia="en-US" w:bidi="ar-SA"/>
    </w:rPr>
  </w:style>
  <w:style w:type="character" w:customStyle="1" w:styleId="HeaderChar">
    <w:name w:val="Header Char"/>
    <w:link w:val="Header"/>
    <w:rPr>
      <w:rFonts w:eastAsia="SimSun"/>
      <w:b/>
      <w:snapToGrid w:val="0"/>
      <w:sz w:val="18"/>
      <w:lang w:val="en-GB" w:eastAsia="en-US" w:bidi="ar-SA"/>
    </w:rPr>
  </w:style>
  <w:style w:type="character" w:customStyle="1" w:styleId="BalloonTextChar">
    <w:name w:val="Balloon Text Char"/>
    <w:link w:val="BalloonText"/>
    <w:semiHidden/>
    <w:rPr>
      <w:rFonts w:ascii="Tahoma" w:eastAsia="SimSun" w:hAnsi="Tahoma"/>
      <w:sz w:val="16"/>
      <w:szCs w:val="16"/>
      <w:lang w:val="en-GB" w:eastAsia="en-US" w:bidi="ar-SA"/>
    </w:rPr>
  </w:style>
  <w:style w:type="paragraph" w:customStyle="1" w:styleId="SingleTxt">
    <w:name w:val="__Single Txt"/>
    <w:basedOn w:val="Normal"/>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character" w:customStyle="1" w:styleId="SingleTxtGCar">
    <w:name w:val="_ Single Txt_G Car"/>
    <w:link w:val="SingleTxtG"/>
    <w:rPr>
      <w:rFonts w:eastAsia="SimSun"/>
      <w:lang w:val="en-GB" w:eastAsia="en-US" w:bidi="ar-SA"/>
    </w:rPr>
  </w:style>
  <w:style w:type="character" w:customStyle="1" w:styleId="longtext">
    <w:name w:val="long_text"/>
  </w:style>
  <w:style w:type="character" w:customStyle="1" w:styleId="hps">
    <w:name w:val="hps"/>
  </w:style>
  <w:style w:type="character" w:customStyle="1" w:styleId="st">
    <w:name w:val="st"/>
  </w:style>
  <w:style w:type="character" w:customStyle="1" w:styleId="apple-style-span">
    <w:name w:val="apple-style-span"/>
  </w:style>
  <w:style w:type="paragraph" w:customStyle="1" w:styleId="1">
    <w:name w:val="1"/>
    <w:qFormat/>
    <w:pPr>
      <w:spacing w:before="360" w:after="240" w:line="300" w:lineRule="exact"/>
      <w:ind w:left="1134" w:right="1134" w:hanging="567"/>
    </w:pPr>
    <w:rPr>
      <w:rFonts w:eastAsia="SimHei"/>
      <w:sz w:val="28"/>
      <w:lang w:val="en-GB" w:eastAsia="zh-CN"/>
    </w:rPr>
  </w:style>
  <w:style w:type="paragraph" w:customStyle="1" w:styleId="2">
    <w:name w:val="2"/>
    <w:qFormat/>
    <w:pPr>
      <w:spacing w:before="360" w:after="240" w:line="270" w:lineRule="exact"/>
      <w:ind w:left="1134" w:right="1134" w:hanging="567"/>
    </w:pPr>
    <w:rPr>
      <w:rFonts w:eastAsia="SimHei"/>
      <w:sz w:val="24"/>
      <w:lang w:val="en-GB" w:eastAsia="zh-CN"/>
    </w:rPr>
  </w:style>
  <w:style w:type="paragraph" w:customStyle="1" w:styleId="3">
    <w:name w:val="3"/>
    <w:qFormat/>
    <w:pPr>
      <w:spacing w:before="240" w:after="120" w:line="240" w:lineRule="exact"/>
      <w:ind w:left="1134" w:right="1134" w:hanging="567"/>
    </w:pPr>
    <w:rPr>
      <w:rFonts w:eastAsia="SimHei"/>
      <w:sz w:val="21"/>
      <w:lang w:val="en-GB" w:eastAsia="zh-CN"/>
    </w:rPr>
  </w:style>
  <w:style w:type="paragraph" w:customStyle="1" w:styleId="4">
    <w:name w:val="4"/>
    <w:qFormat/>
    <w:pPr>
      <w:numPr>
        <w:numId w:val="11"/>
      </w:numPr>
      <w:spacing w:after="120" w:line="320" w:lineRule="atLeast"/>
      <w:ind w:right="1134"/>
    </w:pPr>
    <w:rPr>
      <w:sz w:val="21"/>
      <w:szCs w:val="21"/>
      <w:lang w:val="en-GB" w:eastAsia="zh-CN"/>
    </w:rPr>
  </w:style>
  <w:style w:type="paragraph" w:styleId="TOC2">
    <w:name w:val="toc 2"/>
    <w:basedOn w:val="Normal"/>
    <w:next w:val="Normal"/>
    <w:autoRedefine/>
    <w:pPr>
      <w:tabs>
        <w:tab w:val="clear" w:pos="431"/>
      </w:tabs>
      <w:suppressAutoHyphens/>
      <w:overflowPunct/>
      <w:adjustRightInd/>
      <w:snapToGrid/>
      <w:spacing w:line="240" w:lineRule="atLeast"/>
      <w:ind w:left="200"/>
      <w:jc w:val="left"/>
    </w:pPr>
    <w:rPr>
      <w:rFonts w:ascii="Calibri" w:hAnsi="Calibri"/>
      <w:smallCaps/>
      <w:snapToGrid/>
      <w:sz w:val="20"/>
      <w:lang w:val="en-GB" w:eastAsia="en-US"/>
    </w:rPr>
  </w:style>
  <w:style w:type="paragraph" w:styleId="TOC3">
    <w:name w:val="toc 3"/>
    <w:basedOn w:val="Normal"/>
    <w:next w:val="Normal"/>
    <w:autoRedefine/>
    <w:pPr>
      <w:tabs>
        <w:tab w:val="clear" w:pos="431"/>
      </w:tabs>
      <w:suppressAutoHyphens/>
      <w:overflowPunct/>
      <w:adjustRightInd/>
      <w:snapToGrid/>
      <w:spacing w:line="240" w:lineRule="atLeast"/>
      <w:ind w:left="400"/>
      <w:jc w:val="left"/>
    </w:pPr>
    <w:rPr>
      <w:rFonts w:ascii="Calibri" w:hAnsi="Calibri"/>
      <w:i/>
      <w:iCs/>
      <w:snapToGrid/>
      <w:sz w:val="20"/>
      <w:lang w:val="en-GB" w:eastAsia="en-US"/>
    </w:rPr>
  </w:style>
  <w:style w:type="paragraph" w:styleId="TOC4">
    <w:name w:val="toc 4"/>
    <w:basedOn w:val="Normal"/>
    <w:next w:val="Normal"/>
    <w:autoRedefine/>
    <w:pPr>
      <w:tabs>
        <w:tab w:val="clear" w:pos="431"/>
      </w:tabs>
      <w:suppressAutoHyphens/>
      <w:overflowPunct/>
      <w:adjustRightInd/>
      <w:snapToGrid/>
      <w:spacing w:line="240" w:lineRule="atLeast"/>
      <w:ind w:left="600"/>
      <w:jc w:val="left"/>
    </w:pPr>
    <w:rPr>
      <w:rFonts w:ascii="Calibri" w:hAnsi="Calibri"/>
      <w:snapToGrid/>
      <w:sz w:val="18"/>
      <w:szCs w:val="18"/>
      <w:lang w:val="en-GB" w:eastAsia="en-US"/>
    </w:rPr>
  </w:style>
  <w:style w:type="paragraph" w:styleId="TOC5">
    <w:name w:val="toc 5"/>
    <w:basedOn w:val="Normal"/>
    <w:next w:val="Normal"/>
    <w:autoRedefine/>
    <w:pPr>
      <w:tabs>
        <w:tab w:val="clear" w:pos="431"/>
      </w:tabs>
      <w:suppressAutoHyphens/>
      <w:overflowPunct/>
      <w:adjustRightInd/>
      <w:snapToGrid/>
      <w:spacing w:line="240" w:lineRule="atLeast"/>
      <w:ind w:left="800"/>
      <w:jc w:val="left"/>
    </w:pPr>
    <w:rPr>
      <w:rFonts w:ascii="Calibri" w:hAnsi="Calibri"/>
      <w:snapToGrid/>
      <w:sz w:val="18"/>
      <w:szCs w:val="18"/>
      <w:lang w:val="en-GB" w:eastAsia="en-US"/>
    </w:rPr>
  </w:style>
  <w:style w:type="paragraph" w:styleId="TOC6">
    <w:name w:val="toc 6"/>
    <w:basedOn w:val="Normal"/>
    <w:next w:val="Normal"/>
    <w:autoRedefine/>
    <w:pPr>
      <w:tabs>
        <w:tab w:val="clear" w:pos="431"/>
      </w:tabs>
      <w:suppressAutoHyphens/>
      <w:overflowPunct/>
      <w:adjustRightInd/>
      <w:snapToGrid/>
      <w:spacing w:line="240" w:lineRule="atLeast"/>
      <w:ind w:left="1000"/>
      <w:jc w:val="left"/>
    </w:pPr>
    <w:rPr>
      <w:rFonts w:ascii="Calibri" w:hAnsi="Calibri"/>
      <w:snapToGrid/>
      <w:sz w:val="18"/>
      <w:szCs w:val="18"/>
      <w:lang w:val="en-GB" w:eastAsia="en-US"/>
    </w:rPr>
  </w:style>
  <w:style w:type="paragraph" w:styleId="TOC7">
    <w:name w:val="toc 7"/>
    <w:basedOn w:val="Normal"/>
    <w:next w:val="Normal"/>
    <w:autoRedefine/>
    <w:pPr>
      <w:tabs>
        <w:tab w:val="clear" w:pos="431"/>
      </w:tabs>
      <w:suppressAutoHyphens/>
      <w:overflowPunct/>
      <w:adjustRightInd/>
      <w:snapToGrid/>
      <w:spacing w:line="240" w:lineRule="atLeast"/>
      <w:ind w:left="1200"/>
      <w:jc w:val="left"/>
    </w:pPr>
    <w:rPr>
      <w:rFonts w:ascii="Calibri" w:hAnsi="Calibri"/>
      <w:snapToGrid/>
      <w:sz w:val="18"/>
      <w:szCs w:val="18"/>
      <w:lang w:val="en-GB" w:eastAsia="en-US"/>
    </w:rPr>
  </w:style>
  <w:style w:type="paragraph" w:styleId="TOC8">
    <w:name w:val="toc 8"/>
    <w:basedOn w:val="Normal"/>
    <w:next w:val="Normal"/>
    <w:autoRedefine/>
    <w:pPr>
      <w:tabs>
        <w:tab w:val="clear" w:pos="431"/>
      </w:tabs>
      <w:suppressAutoHyphens/>
      <w:overflowPunct/>
      <w:adjustRightInd/>
      <w:snapToGrid/>
      <w:spacing w:line="240" w:lineRule="atLeast"/>
      <w:ind w:left="1400"/>
      <w:jc w:val="left"/>
    </w:pPr>
    <w:rPr>
      <w:rFonts w:ascii="Calibri" w:hAnsi="Calibri"/>
      <w:snapToGrid/>
      <w:sz w:val="18"/>
      <w:szCs w:val="18"/>
      <w:lang w:val="en-GB" w:eastAsia="en-US"/>
    </w:rPr>
  </w:style>
  <w:style w:type="paragraph" w:styleId="TOC9">
    <w:name w:val="toc 9"/>
    <w:basedOn w:val="Normal"/>
    <w:next w:val="Normal"/>
    <w:autoRedefine/>
    <w:pPr>
      <w:tabs>
        <w:tab w:val="clear" w:pos="431"/>
      </w:tabs>
      <w:suppressAutoHyphens/>
      <w:overflowPunct/>
      <w:adjustRightInd/>
      <w:snapToGrid/>
      <w:spacing w:line="240" w:lineRule="atLeast"/>
      <w:ind w:left="1600"/>
      <w:jc w:val="left"/>
    </w:pPr>
    <w:rPr>
      <w:rFonts w:ascii="Calibri" w:hAnsi="Calibri"/>
      <w:snapToGrid/>
      <w:sz w:val="18"/>
      <w:szCs w:val="18"/>
      <w:lang w:val="en-GB" w:eastAsia="en-US"/>
    </w:rPr>
  </w:style>
  <w:style w:type="paragraph" w:customStyle="1" w:styleId="a0">
    <w:name w:val="悬挂符号－"/>
    <w:basedOn w:val="Normal"/>
    <w:pPr>
      <w:numPr>
        <w:numId w:val="12"/>
      </w:numPr>
      <w:tabs>
        <w:tab w:val="clear" w:pos="431"/>
      </w:tabs>
      <w:spacing w:line="336" w:lineRule="auto"/>
    </w:pPr>
    <w:rPr>
      <w:spacing w:val="10"/>
      <w:sz w:val="24"/>
    </w:rPr>
  </w:style>
  <w:style w:type="paragraph" w:customStyle="1" w:styleId="a">
    <w:name w:val="悬挂符号●"/>
    <w:basedOn w:val="Normal"/>
    <w:pPr>
      <w:numPr>
        <w:numId w:val="13"/>
      </w:numPr>
      <w:tabs>
        <w:tab w:val="clear" w:pos="431"/>
      </w:tabs>
      <w:spacing w:line="336" w:lineRule="auto"/>
    </w:pPr>
    <w:rPr>
      <w:spacing w:val="10"/>
      <w:sz w:val="24"/>
    </w:rPr>
  </w:style>
  <w:style w:type="paragraph" w:customStyle="1" w:styleId="ParaNoGR">
    <w:name w:val="_ParaNo._GR"/>
    <w:basedOn w:val="Normal"/>
    <w:next w:val="Normal"/>
    <w:pPr>
      <w:numPr>
        <w:numId w:val="14"/>
      </w:numPr>
      <w:tabs>
        <w:tab w:val="clear" w:pos="431"/>
        <w:tab w:val="left" w:pos="567"/>
      </w:tabs>
      <w:overflowPunct/>
      <w:adjustRightInd/>
      <w:snapToGrid/>
      <w:spacing w:after="120" w:line="240" w:lineRule="atLeast"/>
      <w:ind w:right="1134"/>
      <w:outlineLvl w:val="0"/>
    </w:pPr>
    <w:rPr>
      <w:rFonts w:eastAsia="Times New Roman"/>
      <w:snapToGrid/>
      <w:spacing w:val="4"/>
      <w:w w:val="103"/>
      <w:kern w:val="14"/>
      <w:sz w:val="20"/>
      <w:lang w:val="ru-RU" w:eastAsia="ru-RU"/>
    </w:rPr>
  </w:style>
  <w:style w:type="character" w:customStyle="1" w:styleId="FootnoteTextChar1">
    <w:name w:val="Footnote Text Char1"/>
    <w:aliases w:val="5_G Char,nota Char1,pie Char1,independiente Char1,Letrero Char1,margen Char1"/>
    <w:locked/>
    <w:rPr>
      <w:rFonts w:cs="Times New Roman"/>
      <w:sz w:val="18"/>
      <w:lang w:val="es-ES" w:eastAsia="es-ES"/>
    </w:rPr>
  </w:style>
  <w:style w:type="character" w:customStyle="1" w:styleId="TextonotapieCar1">
    <w:name w:val="Texto nota pie Car1"/>
    <w:aliases w:val="5_G Car1,nota Car1,pie Car1,independiente Car1,Letrero Car1,margen Car1"/>
    <w:semiHidden/>
    <w:rPr>
      <w:rFonts w:ascii="Times New Roman" w:hAnsi="Times New Roman" w:cs="Times New Roman"/>
      <w:sz w:val="20"/>
      <w:szCs w:val="20"/>
      <w:lang w:val="es-ES" w:eastAsia="es-ES"/>
    </w:rPr>
  </w:style>
  <w:style w:type="character" w:customStyle="1" w:styleId="HeaderChar1">
    <w:name w:val="Header Char1"/>
    <w:semiHidden/>
    <w:rPr>
      <w:rFonts w:ascii="Times New Roman" w:hAnsi="Times New Roman" w:cs="Times New Roman"/>
      <w:sz w:val="20"/>
      <w:szCs w:val="20"/>
      <w:lang w:val="es-ES" w:eastAsia="es-ES"/>
    </w:rPr>
  </w:style>
  <w:style w:type="character" w:customStyle="1" w:styleId="EncabezadoCar1">
    <w:name w:val="Encabezado Car1"/>
    <w:aliases w:val="6_G Car1"/>
    <w:semiHidden/>
    <w:rPr>
      <w:rFonts w:ascii="Times New Roman" w:hAnsi="Times New Roman" w:cs="Times New Roman"/>
      <w:sz w:val="20"/>
      <w:szCs w:val="20"/>
      <w:lang w:val="es-ES" w:eastAsia="es-ES"/>
    </w:rPr>
  </w:style>
  <w:style w:type="character" w:customStyle="1" w:styleId="FooterChar1">
    <w:name w:val="Footer Char1"/>
    <w:semiHidden/>
    <w:rPr>
      <w:rFonts w:ascii="Times New Roman" w:hAnsi="Times New Roman" w:cs="Times New Roman"/>
      <w:sz w:val="20"/>
      <w:szCs w:val="20"/>
      <w:lang w:val="es-ES" w:eastAsia="es-ES"/>
    </w:rPr>
  </w:style>
  <w:style w:type="character" w:customStyle="1" w:styleId="PiedepginaCar1">
    <w:name w:val="Pie de página Car1"/>
    <w:aliases w:val="3_G Car"/>
    <w:semiHidden/>
    <w:rPr>
      <w:rFonts w:ascii="Times New Roman" w:hAnsi="Times New Roman" w:cs="Times New Roman"/>
      <w:sz w:val="20"/>
      <w:szCs w:val="20"/>
      <w:lang w:val="es-ES" w:eastAsia="es-ES"/>
    </w:rPr>
  </w:style>
  <w:style w:type="character" w:customStyle="1" w:styleId="EndnoteTextChar1">
    <w:name w:val="Endnote Text Char1"/>
    <w:semiHidden/>
    <w:rPr>
      <w:rFonts w:ascii="Times New Roman" w:hAnsi="Times New Roman" w:cs="Times New Roman"/>
      <w:sz w:val="20"/>
      <w:szCs w:val="20"/>
      <w:lang w:val="es-ES" w:eastAsia="es-ES"/>
    </w:rPr>
  </w:style>
  <w:style w:type="character" w:customStyle="1" w:styleId="TextonotaalfinalCar1">
    <w:name w:val="Texto nota al final Car1"/>
    <w:aliases w:val="2_G Car"/>
    <w:semiHidden/>
    <w:rPr>
      <w:rFonts w:ascii="Times New Roman" w:hAnsi="Times New Roman" w:cs="Times New Roman"/>
      <w:sz w:val="20"/>
      <w:szCs w:val="20"/>
      <w:lang w:val="es-ES" w:eastAsia="es-ES"/>
    </w:rPr>
  </w:style>
  <w:style w:type="paragraph" w:styleId="ListParagraph">
    <w:name w:val="List Paragraph"/>
    <w:basedOn w:val="Normal"/>
    <w:qFormat/>
    <w:pPr>
      <w:tabs>
        <w:tab w:val="clear" w:pos="431"/>
      </w:tabs>
      <w:overflowPunct/>
      <w:adjustRightInd/>
      <w:snapToGrid/>
      <w:spacing w:line="240" w:lineRule="atLeast"/>
      <w:ind w:left="708"/>
      <w:jc w:val="left"/>
    </w:pPr>
    <w:rPr>
      <w:rFonts w:eastAsia="Calibri"/>
      <w:snapToGrid/>
      <w:sz w:val="20"/>
      <w:lang w:val="es-ES" w:eastAsia="es-ES"/>
    </w:rPr>
  </w:style>
  <w:style w:type="paragraph" w:customStyle="1" w:styleId="TITULO1">
    <w:name w:val="TITULO 1"/>
    <w:basedOn w:val="Normal"/>
    <w:semiHidden/>
    <w:pPr>
      <w:tabs>
        <w:tab w:val="clear" w:pos="431"/>
      </w:tabs>
      <w:autoSpaceDE w:val="0"/>
      <w:autoSpaceDN w:val="0"/>
      <w:snapToGrid/>
      <w:spacing w:line="240" w:lineRule="auto"/>
      <w:jc w:val="center"/>
    </w:pPr>
    <w:rPr>
      <w:rFonts w:ascii="Arial" w:eastAsia="Calibri" w:hAnsi="Arial"/>
      <w:b/>
      <w:snapToGrid/>
      <w:sz w:val="28"/>
      <w:lang w:val="es-ES" w:eastAsia="es-ES"/>
    </w:rPr>
  </w:style>
  <w:style w:type="paragraph" w:customStyle="1" w:styleId="BodyText21">
    <w:name w:val="Body Text 21"/>
    <w:basedOn w:val="Normal"/>
    <w:semiHidden/>
    <w:pPr>
      <w:tabs>
        <w:tab w:val="clear" w:pos="431"/>
      </w:tabs>
      <w:autoSpaceDE w:val="0"/>
      <w:autoSpaceDN w:val="0"/>
      <w:snapToGrid/>
      <w:spacing w:after="120" w:line="480" w:lineRule="auto"/>
    </w:pPr>
    <w:rPr>
      <w:rFonts w:ascii="Arial" w:eastAsia="Calibri" w:hAnsi="Arial"/>
      <w:snapToGrid/>
      <w:sz w:val="24"/>
      <w:lang w:val="es-ES" w:eastAsia="es-ES"/>
    </w:rPr>
  </w:style>
  <w:style w:type="paragraph" w:customStyle="1" w:styleId="ecmsonormal">
    <w:name w:val="ec_msonormal"/>
    <w:basedOn w:val="Normal"/>
    <w:semiHidden/>
    <w:pPr>
      <w:tabs>
        <w:tab w:val="clear" w:pos="431"/>
      </w:tabs>
      <w:overflowPunct/>
      <w:adjustRightInd/>
      <w:snapToGrid/>
      <w:spacing w:after="324" w:line="240" w:lineRule="auto"/>
      <w:jc w:val="left"/>
    </w:pPr>
    <w:rPr>
      <w:snapToGrid/>
      <w:sz w:val="24"/>
      <w:szCs w:val="24"/>
      <w:lang w:val="es-ES" w:eastAsia="es-ES"/>
    </w:rPr>
  </w:style>
  <w:style w:type="paragraph" w:customStyle="1" w:styleId="Prrafodelista1">
    <w:name w:val="Párrafo de lista1"/>
    <w:basedOn w:val="Normal"/>
    <w:pPr>
      <w:tabs>
        <w:tab w:val="clear" w:pos="431"/>
      </w:tabs>
      <w:overflowPunct/>
      <w:adjustRightInd/>
      <w:snapToGrid/>
      <w:spacing w:line="360" w:lineRule="auto"/>
      <w:ind w:left="720"/>
    </w:pPr>
    <w:rPr>
      <w:rFonts w:ascii="Calibri" w:hAnsi="Calibri" w:cs="Calibri"/>
      <w:snapToGrid/>
      <w:sz w:val="22"/>
      <w:szCs w:val="22"/>
      <w:lang w:eastAsia="en-US"/>
    </w:rPr>
  </w:style>
  <w:style w:type="paragraph" w:customStyle="1" w:styleId="Pa6">
    <w:name w:val="Pa6"/>
    <w:basedOn w:val="Normal"/>
    <w:next w:val="Normal"/>
    <w:semiHidden/>
    <w:pPr>
      <w:tabs>
        <w:tab w:val="clear" w:pos="431"/>
      </w:tabs>
      <w:overflowPunct/>
      <w:autoSpaceDE w:val="0"/>
      <w:autoSpaceDN w:val="0"/>
      <w:snapToGrid/>
      <w:spacing w:line="781" w:lineRule="atLeast"/>
      <w:jc w:val="left"/>
    </w:pPr>
    <w:rPr>
      <w:rFonts w:ascii="Eureka Sans" w:hAnsi="Eureka Sans"/>
      <w:snapToGrid/>
      <w:sz w:val="24"/>
      <w:szCs w:val="24"/>
      <w:lang w:eastAsia="en-US"/>
    </w:rPr>
  </w:style>
  <w:style w:type="paragraph" w:customStyle="1" w:styleId="Pa4">
    <w:name w:val="Pa4"/>
    <w:basedOn w:val="Normal"/>
    <w:next w:val="Normal"/>
    <w:semiHidden/>
    <w:pPr>
      <w:tabs>
        <w:tab w:val="clear" w:pos="431"/>
      </w:tabs>
      <w:overflowPunct/>
      <w:autoSpaceDE w:val="0"/>
      <w:autoSpaceDN w:val="0"/>
      <w:snapToGrid/>
      <w:spacing w:line="221" w:lineRule="atLeast"/>
      <w:ind w:right="-34"/>
      <w:jc w:val="left"/>
    </w:pPr>
    <w:rPr>
      <w:rFonts w:ascii="Myriad Pro" w:eastAsia="Calibri" w:hAnsi="Myriad Pro"/>
      <w:snapToGrid/>
      <w:sz w:val="24"/>
      <w:szCs w:val="24"/>
      <w:lang w:val="es-ES" w:eastAsia="es-ES"/>
    </w:rPr>
  </w:style>
  <w:style w:type="paragraph" w:customStyle="1" w:styleId="Pa5">
    <w:name w:val="Pa5"/>
    <w:basedOn w:val="Normal"/>
    <w:next w:val="Normal"/>
    <w:semiHidden/>
    <w:pPr>
      <w:tabs>
        <w:tab w:val="clear" w:pos="431"/>
      </w:tabs>
      <w:overflowPunct/>
      <w:autoSpaceDE w:val="0"/>
      <w:autoSpaceDN w:val="0"/>
      <w:snapToGrid/>
      <w:spacing w:line="221" w:lineRule="atLeast"/>
      <w:jc w:val="left"/>
    </w:pPr>
    <w:rPr>
      <w:rFonts w:ascii="Myriad Pro" w:hAnsi="Myriad Pro" w:cs="Myriad Pro"/>
      <w:snapToGrid/>
      <w:sz w:val="24"/>
      <w:szCs w:val="24"/>
      <w:lang w:val="es-ES" w:eastAsia="es-ES"/>
    </w:rPr>
  </w:style>
  <w:style w:type="paragraph" w:customStyle="1" w:styleId="ListParagraph1">
    <w:name w:val="List Paragraph1"/>
    <w:basedOn w:val="Normal"/>
    <w:semiHidden/>
    <w:pPr>
      <w:tabs>
        <w:tab w:val="clear" w:pos="431"/>
      </w:tabs>
      <w:overflowPunct/>
      <w:adjustRightInd/>
      <w:snapToGrid/>
      <w:spacing w:line="240" w:lineRule="auto"/>
      <w:ind w:left="720"/>
      <w:jc w:val="left"/>
    </w:pPr>
    <w:rPr>
      <w:snapToGrid/>
      <w:sz w:val="24"/>
      <w:szCs w:val="24"/>
      <w:lang w:val="es-ES" w:eastAsia="es-ES"/>
    </w:rPr>
  </w:style>
  <w:style w:type="paragraph" w:customStyle="1" w:styleId="ZchnZchnChar">
    <w:name w:val="Zchn Zchn Char"/>
    <w:basedOn w:val="Normal"/>
    <w:next w:val="Normal"/>
    <w:semiHidden/>
    <w:pPr>
      <w:tabs>
        <w:tab w:val="clear" w:pos="431"/>
      </w:tabs>
      <w:overflowPunct/>
      <w:adjustRightInd/>
      <w:snapToGrid/>
      <w:spacing w:after="160" w:line="240" w:lineRule="exact"/>
      <w:jc w:val="left"/>
    </w:pPr>
    <w:rPr>
      <w:rFonts w:ascii="Tahoma" w:eastAsia="Calibri" w:hAnsi="Tahoma"/>
      <w:snapToGrid/>
      <w:sz w:val="24"/>
      <w:lang w:eastAsia="en-US"/>
    </w:rPr>
  </w:style>
  <w:style w:type="paragraph" w:customStyle="1" w:styleId="divmargen10">
    <w:name w:val="divmargen10"/>
    <w:basedOn w:val="Normal"/>
    <w:semiHidden/>
    <w:pPr>
      <w:tabs>
        <w:tab w:val="clear" w:pos="431"/>
      </w:tabs>
      <w:overflowPunct/>
      <w:adjustRightInd/>
      <w:snapToGrid/>
      <w:spacing w:line="240" w:lineRule="auto"/>
      <w:ind w:right="188"/>
      <w:jc w:val="left"/>
    </w:pPr>
    <w:rPr>
      <w:rFonts w:ascii="Arial" w:eastAsia="Calibri" w:hAnsi="Arial" w:cs="Arial"/>
      <w:snapToGrid/>
      <w:color w:val="003366"/>
      <w:sz w:val="15"/>
      <w:szCs w:val="15"/>
      <w:lang w:val="es-ES" w:eastAsia="es-ES"/>
    </w:rPr>
  </w:style>
  <w:style w:type="paragraph" w:customStyle="1" w:styleId="secretariadelafuncionpublica">
    <w:name w:val="secretariadelafuncionpublica"/>
    <w:basedOn w:val="Normal"/>
    <w:semiHidden/>
    <w:pPr>
      <w:tabs>
        <w:tab w:val="clear" w:pos="431"/>
      </w:tabs>
      <w:overflowPunct/>
      <w:adjustRightInd/>
      <w:snapToGrid/>
      <w:spacing w:line="240" w:lineRule="auto"/>
      <w:jc w:val="left"/>
    </w:pPr>
    <w:rPr>
      <w:rFonts w:ascii="Arial" w:eastAsia="Calibri" w:hAnsi="Arial" w:cs="Arial"/>
      <w:snapToGrid/>
      <w:sz w:val="18"/>
      <w:szCs w:val="18"/>
      <w:lang w:val="es-ES" w:eastAsia="es-ES"/>
    </w:rPr>
  </w:style>
  <w:style w:type="paragraph" w:customStyle="1" w:styleId="Default">
    <w:name w:val="Default"/>
    <w:pPr>
      <w:autoSpaceDE w:val="0"/>
      <w:autoSpaceDN w:val="0"/>
      <w:adjustRightInd w:val="0"/>
    </w:pPr>
    <w:rPr>
      <w:rFonts w:ascii="Arial" w:eastAsia="Calibri" w:hAnsi="Arial" w:cs="Arial"/>
      <w:color w:val="000000"/>
      <w:sz w:val="24"/>
      <w:szCs w:val="24"/>
      <w:lang w:val="es-ES" w:eastAsia="es-ES"/>
    </w:rPr>
  </w:style>
  <w:style w:type="paragraph" w:customStyle="1" w:styleId="Tahoma">
    <w:name w:val="Tahoma"/>
    <w:basedOn w:val="BodyText"/>
    <w:semiHidden/>
    <w:pPr>
      <w:suppressAutoHyphens w:val="0"/>
      <w:spacing w:line="240" w:lineRule="auto"/>
      <w:jc w:val="both"/>
    </w:pPr>
    <w:rPr>
      <w:rFonts w:ascii="Tahoma" w:hAnsi="Tahoma" w:cs="Tahoma"/>
      <w:sz w:val="22"/>
      <w:szCs w:val="22"/>
      <w:lang w:val="es-MX" w:eastAsia="es-MX"/>
    </w:rPr>
  </w:style>
  <w:style w:type="paragraph" w:customStyle="1" w:styleId="Prrafodelista2">
    <w:name w:val="Párrafo de lista2"/>
    <w:basedOn w:val="Normal"/>
    <w:semiHidden/>
    <w:pPr>
      <w:tabs>
        <w:tab w:val="clear" w:pos="431"/>
      </w:tabs>
      <w:overflowPunct/>
      <w:adjustRightInd/>
      <w:snapToGrid/>
      <w:spacing w:after="200" w:line="276" w:lineRule="auto"/>
      <w:ind w:left="720"/>
      <w:jc w:val="left"/>
    </w:pPr>
    <w:rPr>
      <w:rFonts w:ascii="Calibri" w:hAnsi="Calibri" w:cs="Calibri"/>
      <w:snapToGrid/>
      <w:sz w:val="22"/>
      <w:szCs w:val="22"/>
      <w:lang w:val="es-ES" w:eastAsia="en-US"/>
    </w:rPr>
  </w:style>
  <w:style w:type="paragraph" w:customStyle="1" w:styleId="ecxmsonormal">
    <w:name w:val="ecxmsonormal"/>
    <w:basedOn w:val="Normal"/>
    <w:semiHidden/>
    <w:pPr>
      <w:tabs>
        <w:tab w:val="clear" w:pos="431"/>
      </w:tabs>
      <w:overflowPunct/>
      <w:adjustRightInd/>
      <w:snapToGrid/>
      <w:spacing w:after="324" w:line="240" w:lineRule="auto"/>
      <w:jc w:val="left"/>
    </w:pPr>
    <w:rPr>
      <w:rFonts w:ascii="Calibri" w:eastAsia="Calibri" w:hAnsi="Calibri"/>
      <w:snapToGrid/>
      <w:sz w:val="24"/>
      <w:szCs w:val="24"/>
      <w:lang w:val="es-ES" w:eastAsia="es-ES"/>
    </w:rPr>
  </w:style>
  <w:style w:type="paragraph" w:customStyle="1" w:styleId="Sinespaciado1">
    <w:name w:val="Sin espaciado1"/>
    <w:semiHidden/>
    <w:rPr>
      <w:rFonts w:ascii="Calibri" w:eastAsia="Calibri" w:hAnsi="Calibri" w:cs="Calibri"/>
      <w:sz w:val="22"/>
      <w:szCs w:val="22"/>
      <w:lang w:val="es-MX"/>
    </w:rPr>
  </w:style>
  <w:style w:type="character" w:customStyle="1" w:styleId="A60">
    <w:name w:val="A6"/>
    <w:rPr>
      <w:color w:val="000000"/>
      <w:sz w:val="27"/>
    </w:rPr>
  </w:style>
  <w:style w:type="character" w:customStyle="1" w:styleId="A30">
    <w:name w:val="A3"/>
    <w:rPr>
      <w:rFonts w:ascii="Optima" w:hAnsi="Optima" w:cs="Optima"/>
      <w:color w:val="000000"/>
    </w:rPr>
  </w:style>
  <w:style w:type="character" w:customStyle="1" w:styleId="estilo21">
    <w:name w:val="estilo21"/>
    <w:rPr>
      <w:rFonts w:cs="Times New Roman"/>
      <w:color w:val="999999"/>
    </w:rPr>
  </w:style>
  <w:style w:type="character" w:customStyle="1" w:styleId="Ttulodellibro1">
    <w:name w:val="Título del libro1"/>
    <w:rPr>
      <w:rFonts w:cs="Times New Roman"/>
      <w:b/>
      <w:bCs/>
      <w:smallCaps/>
      <w:spacing w:val="5"/>
    </w:rPr>
  </w:style>
  <w:style w:type="paragraph" w:customStyle="1" w:styleId="Prrafodelista3">
    <w:name w:val="Párrafo de lista3"/>
    <w:basedOn w:val="Normal"/>
    <w:pPr>
      <w:tabs>
        <w:tab w:val="clear" w:pos="431"/>
      </w:tabs>
      <w:overflowPunct/>
      <w:adjustRightInd/>
      <w:snapToGrid/>
      <w:spacing w:line="360" w:lineRule="auto"/>
      <w:ind w:left="720"/>
    </w:pPr>
    <w:rPr>
      <w:rFonts w:ascii="Calibri" w:hAnsi="Calibri" w:cs="Calibri"/>
      <w:snapToGrid/>
      <w:sz w:val="22"/>
      <w:szCs w:val="22"/>
      <w:lang w:eastAsia="en-US"/>
    </w:rPr>
  </w:style>
  <w:style w:type="paragraph" w:customStyle="1" w:styleId="Prrafodelista4">
    <w:name w:val="Párrafo de lista4"/>
    <w:basedOn w:val="Normal"/>
    <w:pPr>
      <w:tabs>
        <w:tab w:val="clear" w:pos="431"/>
      </w:tabs>
      <w:overflowPunct/>
      <w:adjustRightInd/>
      <w:snapToGrid/>
      <w:spacing w:line="360" w:lineRule="auto"/>
      <w:ind w:left="720"/>
    </w:pPr>
    <w:rPr>
      <w:rFonts w:ascii="Calibri" w:hAnsi="Calibri" w:cs="Calibri"/>
      <w:snapToGrid/>
      <w:sz w:val="22"/>
      <w:szCs w:val="22"/>
      <w:lang w:eastAsia="en-US"/>
    </w:rPr>
  </w:style>
  <w:style w:type="paragraph" w:customStyle="1" w:styleId="Prrafodelista5">
    <w:name w:val="Párrafo de lista5"/>
    <w:basedOn w:val="Normal"/>
    <w:pPr>
      <w:tabs>
        <w:tab w:val="clear" w:pos="431"/>
      </w:tabs>
      <w:overflowPunct/>
      <w:adjustRightInd/>
      <w:snapToGrid/>
      <w:spacing w:line="240" w:lineRule="auto"/>
      <w:ind w:left="720"/>
      <w:jc w:val="left"/>
    </w:pPr>
    <w:rPr>
      <w:snapToGrid/>
      <w:sz w:val="24"/>
      <w:szCs w:val="24"/>
      <w:lang w:val="es-ES" w:eastAsia="es-ES"/>
    </w:rPr>
  </w:style>
  <w:style w:type="paragraph" w:styleId="NoSpacing">
    <w:name w:val="No Spacing"/>
    <w:qFormat/>
    <w:rPr>
      <w:rFonts w:ascii="Calibri" w:hAnsi="Calibri"/>
      <w:sz w:val="22"/>
      <w:szCs w:val="22"/>
      <w:lang w:val="es-MX"/>
    </w:rPr>
  </w:style>
  <w:style w:type="character" w:customStyle="1" w:styleId="destacado1">
    <w:name w:val="destacado1"/>
    <w:rPr>
      <w:rFonts w:ascii="Trebuchet MS" w:hAnsi="Trebuchet MS" w:cs="Times New Roman"/>
      <w:sz w:val="15"/>
      <w:szCs w:val="15"/>
    </w:rPr>
  </w:style>
  <w:style w:type="paragraph" w:customStyle="1" w:styleId="bullet1g0">
    <w:name w:val="bullet1g"/>
    <w:basedOn w:val="Normal"/>
    <w:pPr>
      <w:tabs>
        <w:tab w:val="clear" w:pos="431"/>
      </w:tabs>
      <w:overflowPunct/>
      <w:adjustRightInd/>
      <w:snapToGrid/>
      <w:spacing w:line="240" w:lineRule="auto"/>
      <w:jc w:val="left"/>
    </w:pPr>
    <w:rPr>
      <w:rFonts w:eastAsia="Calibri"/>
      <w:snapToGrid/>
      <w:sz w:val="24"/>
      <w:szCs w:val="24"/>
      <w:lang w:val="es-MX" w:eastAsia="es-MX"/>
    </w:rPr>
  </w:style>
  <w:style w:type="paragraph" w:customStyle="1" w:styleId="prrafodelista10">
    <w:name w:val="prrafodelista1"/>
    <w:basedOn w:val="Normal"/>
    <w:pPr>
      <w:tabs>
        <w:tab w:val="clear" w:pos="431"/>
      </w:tabs>
      <w:overflowPunct/>
      <w:adjustRightInd/>
      <w:snapToGrid/>
      <w:spacing w:line="240" w:lineRule="auto"/>
      <w:jc w:val="left"/>
    </w:pPr>
    <w:rPr>
      <w:rFonts w:eastAsia="Calibri"/>
      <w:snapToGrid/>
      <w:sz w:val="24"/>
      <w:szCs w:val="24"/>
      <w:lang w:val="es-MX" w:eastAsia="es-MX"/>
    </w:rPr>
  </w:style>
  <w:style w:type="character" w:customStyle="1" w:styleId="apple-converted-space">
    <w:name w:val="apple-converted-space"/>
    <w:rPr>
      <w:rFonts w:cs="Times New Roman"/>
    </w:rPr>
  </w:style>
  <w:style w:type="table" w:customStyle="1" w:styleId="TableGrid10">
    <w:name w:val="Table Grid1"/>
    <w:basedOn w:val="TableNormal"/>
    <w:next w:val="TableGrid"/>
    <w:locked/>
    <w:pPr>
      <w:spacing w:line="240" w:lineRule="atLeast"/>
    </w:pPr>
    <w:rPr>
      <w:rFonts w:eastAsia="Calibri"/>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w4winMark">
    <w:name w:val="tw4winMark"/>
    <w:rPr>
      <w:rFonts w:ascii="Courier New" w:hAnsi="Courier New"/>
      <w:vanish/>
      <w:color w:val="800080"/>
      <w:vertAlign w:val="subscript"/>
    </w:rPr>
  </w:style>
  <w:style w:type="character" w:customStyle="1" w:styleId="H1GCChar">
    <w:name w:val="_ H_1_GC Char"/>
    <w:basedOn w:val="DefaultParagraphFont"/>
    <w:link w:val="H1GC"/>
    <w:rPr>
      <w:rFonts w:eastAsia="SimHei"/>
      <w:snapToGrid w:val="0"/>
      <w:sz w:val="24"/>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4</TotalTime>
  <Pages>1</Pages>
  <Words>5253</Words>
  <Characters>29943</Characters>
  <Application>Microsoft Office Outlook</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35126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CSD</cp:lastModifiedBy>
  <cp:revision>4</cp:revision>
  <cp:lastPrinted>2013-05-30T12:00:00Z</cp:lastPrinted>
  <dcterms:created xsi:type="dcterms:W3CDTF">2013-05-30T11:58:00Z</dcterms:created>
  <dcterms:modified xsi:type="dcterms:W3CDTF">2013-05-30T12:01:00Z</dcterms:modified>
</cp:coreProperties>
</file>