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pPr>
                    <w:rPr>
                      <w:lang w:val="en-US"/>
                    </w:rPr>
                  </w:pPr>
                  <w:r>
                    <w:rPr>
                      <w:lang w:val="en-US"/>
                    </w:rPr>
                    <w:t>GE.03-</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45253</w:t>
                  </w:r>
                  <w:r>
                    <w:rPr>
                      <w:lang w:val="en-US"/>
                    </w:rPr>
                    <w:fldChar w:fldCharType="end"/>
                  </w:r>
                  <w:r>
                    <w:rPr>
                      <w:lang w:val="en-US"/>
                    </w:rPr>
                    <w:t xml:space="preserve">   (R)</w:t>
                  </w:r>
                  <w:r>
                    <w:t xml:space="preserve">    </w:t>
                  </w:r>
                  <w:r>
                    <w:rPr>
                      <w:lang w:val="en-US"/>
                    </w:rPr>
                    <w:t>031203     051203</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9667" w:type="dxa"/>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471597"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r>
              <w:rPr>
                <w:sz w:val="22"/>
                <w:lang w:val="en-US"/>
              </w:rPr>
              <w:t>Distr</w:t>
            </w:r>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t>CERD/C/383/Add.2</w:t>
            </w: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18 November 2003</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Original:  FRENCH</w:t>
            </w:r>
          </w:p>
          <w:p w:rsidR="00000000" w:rsidRDefault="00000000">
            <w:pPr>
              <w:rPr>
                <w:lang w:val="en-US"/>
              </w:rPr>
            </w:pPr>
          </w:p>
          <w:p w:rsidR="00000000" w:rsidRDefault="00000000">
            <w:pPr>
              <w:tabs>
                <w:tab w:val="left" w:pos="0"/>
                <w:tab w:val="left" w:pos="7086"/>
              </w:tabs>
              <w:suppressAutoHyphens/>
              <w:spacing w:line="216" w:lineRule="auto"/>
              <w:ind w:left="284"/>
              <w:rPr>
                <w:sz w:val="22"/>
                <w:lang w:val="en-US"/>
              </w:rPr>
            </w:pPr>
          </w:p>
        </w:tc>
      </w:tr>
    </w:tbl>
    <w:p w:rsidR="00000000" w:rsidRDefault="00000000">
      <w:pPr>
        <w:tabs>
          <w:tab w:val="left" w:pos="0"/>
          <w:tab w:val="left" w:pos="567"/>
          <w:tab w:val="left" w:pos="1134"/>
          <w:tab w:val="left" w:pos="1701"/>
          <w:tab w:val="left" w:pos="2268"/>
          <w:tab w:val="left" w:pos="6520"/>
        </w:tabs>
        <w:suppressAutoHyphens/>
        <w:spacing w:line="288" w:lineRule="atLeast"/>
        <w:rPr>
          <w:sz w:val="20"/>
          <w:lang w:val="en-US"/>
        </w:rPr>
      </w:pPr>
    </w:p>
    <w:p w:rsidR="00000000" w:rsidRDefault="00000000">
      <w:r>
        <w:t>КОМИТЕТ ПО ЛИКВИДАЦИИ</w:t>
      </w:r>
    </w:p>
    <w:p w:rsidR="00000000" w:rsidRDefault="00000000">
      <w:r>
        <w:t>РАСОВОЙ ДИСКРИМИНАЦИИ</w:t>
      </w:r>
    </w:p>
    <w:p w:rsidR="00000000" w:rsidRDefault="00000000"/>
    <w:p w:rsidR="00000000" w:rsidRDefault="00000000">
      <w:pPr>
        <w:jc w:val="center"/>
      </w:pPr>
      <w:r>
        <w:t>РАССМОТРЕНИЕ ДОКЛАДОВ, ПРЕДСТАВЛЕННЫХ ГОСУДАРСТВАМИ-</w:t>
      </w:r>
    </w:p>
    <w:p w:rsidR="00000000" w:rsidRDefault="00000000">
      <w:pPr>
        <w:jc w:val="center"/>
      </w:pPr>
      <w:r>
        <w:t>УЧАСТНИКАМИ В СООТВЕТСТВИИ СО СТАТЬЕЙ 9 КОНВЕНЦИИ</w:t>
      </w:r>
    </w:p>
    <w:p w:rsidR="00000000" w:rsidRDefault="00000000"/>
    <w:p w:rsidR="00000000" w:rsidRDefault="00000000">
      <w:pPr>
        <w:jc w:val="center"/>
      </w:pPr>
      <w:r>
        <w:rPr>
          <w:u w:val="single"/>
        </w:rPr>
        <w:t>Шестнадцатые периодические доклады государств-участников</w:t>
      </w:r>
      <w:r>
        <w:t>,</w:t>
      </w:r>
    </w:p>
    <w:p w:rsidR="00000000" w:rsidRDefault="00000000">
      <w:pPr>
        <w:jc w:val="center"/>
      </w:pPr>
      <w:r>
        <w:rPr>
          <w:u w:val="single"/>
        </w:rPr>
        <w:t>подлежавшие представлению в 2002 году</w:t>
      </w:r>
    </w:p>
    <w:p w:rsidR="00000000" w:rsidRDefault="00000000">
      <w:pPr>
        <w:jc w:val="center"/>
      </w:pPr>
    </w:p>
    <w:p w:rsidR="00000000" w:rsidRDefault="00000000">
      <w:pPr>
        <w:jc w:val="center"/>
      </w:pPr>
      <w:r>
        <w:rPr>
          <w:u w:val="single"/>
        </w:rPr>
        <w:t>Добавление</w:t>
      </w:r>
    </w:p>
    <w:p w:rsidR="00000000" w:rsidRDefault="00000000">
      <w:pPr>
        <w:jc w:val="center"/>
      </w:pPr>
    </w:p>
    <w:p w:rsidR="00000000" w:rsidRDefault="00000000">
      <w:pPr>
        <w:jc w:val="center"/>
      </w:pPr>
      <w:r>
        <w:rPr>
          <w:u w:val="single"/>
        </w:rPr>
        <w:t>Ливан</w:t>
      </w:r>
      <w:r>
        <w:t>*</w:t>
      </w:r>
    </w:p>
    <w:p w:rsidR="00000000" w:rsidRDefault="00000000"/>
    <w:p w:rsidR="00000000" w:rsidRDefault="00000000">
      <w:pPr>
        <w:jc w:val="right"/>
      </w:pPr>
      <w:r>
        <w:t>[18 января 2002 года]</w:t>
      </w:r>
    </w:p>
    <w:p w:rsidR="00000000" w:rsidRDefault="00000000">
      <w:pPr>
        <w:rPr>
          <w:u w:val="single"/>
        </w:rPr>
      </w:pPr>
    </w:p>
    <w:p w:rsidR="00000000" w:rsidRDefault="00000000">
      <w:pPr>
        <w:rPr>
          <w:u w:val="single"/>
        </w:rPr>
      </w:pPr>
    </w:p>
    <w:p w:rsidR="00000000" w:rsidRDefault="00000000"/>
    <w:p w:rsidR="00000000" w:rsidRDefault="00000000"/>
    <w:p w:rsidR="00000000" w:rsidRDefault="00000000">
      <w:r>
        <w:rPr>
          <w:noProof/>
          <w:sz w:val="20"/>
          <w:lang w:eastAsia="ru-RU"/>
        </w:rPr>
        <w:pict>
          <v:line id="_x0000_s1029" style="position:absolute;z-index:2" from="-.05pt,7.8pt" to="107.95pt,7.8pt"/>
        </w:pict>
      </w:r>
    </w:p>
    <w:p w:rsidR="00000000" w:rsidRDefault="00000000">
      <w:r>
        <w:t>*</w:t>
      </w:r>
      <w:r>
        <w:tab/>
        <w:t>Настоящий доклад объединяет в одном документе четырнадцатый, пятнадцатый и шестнадцатый периодические доклады Ливана, которые подлежали представлению соответственно 12 декабря 1998, 2000 и 2002 годов.</w:t>
      </w:r>
    </w:p>
    <w:p w:rsidR="00000000" w:rsidRDefault="00000000"/>
    <w:p w:rsidR="00000000" w:rsidRDefault="00000000">
      <w:r>
        <w:tab/>
        <w:t xml:space="preserve">Двенадцатый и тринадцатый периодические доклады Ливана, представленные в одном документе, и краткие отчеты о заседаниях Комитета, на которых они были рассмотрены, содержатся в документах CERD/C/298/Add.2 и CERD/C/SR.1258, 1259 и 1271.  Заключения Комитета по ликвидации расовой дискриминации относительно последнего периодического доклада Ливана содержатся в документе </w:t>
      </w:r>
      <w:r>
        <w:rPr>
          <w:lang w:val="en-US"/>
        </w:rPr>
        <w:t>CERD</w:t>
      </w:r>
      <w:r>
        <w:t>/</w:t>
      </w:r>
      <w:r>
        <w:rPr>
          <w:lang w:val="en-US"/>
        </w:rPr>
        <w:t>C</w:t>
      </w:r>
      <w:r>
        <w:t>/304/</w:t>
      </w:r>
      <w:r>
        <w:rPr>
          <w:lang w:val="en-US"/>
        </w:rPr>
        <w:t>Add</w:t>
      </w:r>
      <w:r>
        <w:t>.49 от 30 марта 1998 года.</w:t>
      </w:r>
    </w:p>
    <w:p w:rsidR="00000000" w:rsidRDefault="00000000"/>
    <w:p w:rsidR="00000000" w:rsidRDefault="00000000">
      <w:pPr>
        <w:jc w:val="center"/>
        <w:rPr>
          <w:b/>
          <w:bCs/>
        </w:rPr>
      </w:pPr>
      <w:r>
        <w:rPr>
          <w:b/>
          <w:bCs/>
        </w:rPr>
        <w:t>Введение</w:t>
      </w:r>
    </w:p>
    <w:p w:rsidR="00000000" w:rsidRDefault="00000000"/>
    <w:p w:rsidR="00000000" w:rsidRDefault="00000000">
      <w:r>
        <w:t>1.</w:t>
      </w:r>
      <w:r>
        <w:tab/>
        <w:t>Настоящий документ соответствует четырнадцатому и пятнадцатому периодическим докладам.  Он представлен в соответствии с пунктом 1 статьи 9 Международной конвенции о ликвидации всех форм расовой дискриминации.  Ниже в семи разделах излагаются различные законодательные, судебные, административные и прочие меры по осуществлению положений Конвенции.</w:t>
      </w:r>
    </w:p>
    <w:p w:rsidR="00000000" w:rsidRDefault="00000000"/>
    <w:p w:rsidR="00000000" w:rsidRDefault="00000000">
      <w:pPr>
        <w:jc w:val="center"/>
        <w:rPr>
          <w:b/>
          <w:bCs/>
        </w:rPr>
      </w:pPr>
      <w:r>
        <w:rPr>
          <w:b/>
          <w:bCs/>
        </w:rPr>
        <w:t>I.</w:t>
      </w:r>
      <w:r>
        <w:rPr>
          <w:b/>
          <w:bCs/>
        </w:rPr>
        <w:tab/>
        <w:t>МЕРЫ ПО ОСУЩЕСТВЛЕНИЮ СТАТЬИ 1</w:t>
      </w:r>
    </w:p>
    <w:p w:rsidR="00000000" w:rsidRDefault="00000000"/>
    <w:p w:rsidR="00000000" w:rsidRDefault="00000000">
      <w:r>
        <w:t>2.</w:t>
      </w:r>
      <w:r>
        <w:tab/>
        <w:t>В связи с этой статьей и в дополнение к информации, содержащейся в первой части основного документа, представляющего собой части докладов государств-участников (</w:t>
      </w:r>
      <w:r>
        <w:rPr>
          <w:lang w:val="en-US"/>
        </w:rPr>
        <w:t>HRI</w:t>
      </w:r>
      <w:r>
        <w:t>/</w:t>
      </w:r>
      <w:r>
        <w:rPr>
          <w:lang w:val="en-US"/>
        </w:rPr>
        <w:t>CORE</w:t>
      </w:r>
      <w:r>
        <w:t>/1/</w:t>
      </w:r>
      <w:r>
        <w:rPr>
          <w:lang w:val="en-US"/>
        </w:rPr>
        <w:t>Add</w:t>
      </w:r>
      <w:r>
        <w:t>.27/</w:t>
      </w:r>
      <w:r>
        <w:rPr>
          <w:lang w:val="en-US"/>
        </w:rPr>
        <w:t>Rev</w:t>
      </w:r>
      <w:r>
        <w:t>.1 от 3 октября 1996 года), последовательно излагаются следующие элементы:  a)  общинно-конфессиональная система;  b)  ее соответствие пункту 4 статьи 1 Конвенции;  и  c)  значение пересмотра Конституции 21 сентября 1990 года.</w:t>
      </w:r>
    </w:p>
    <w:p w:rsidR="00000000" w:rsidRDefault="00000000"/>
    <w:p w:rsidR="00000000" w:rsidRDefault="00000000">
      <w:pPr>
        <w:jc w:val="center"/>
        <w:rPr>
          <w:b/>
          <w:bCs/>
        </w:rPr>
      </w:pPr>
      <w:r>
        <w:rPr>
          <w:b/>
          <w:bCs/>
        </w:rPr>
        <w:t>A.</w:t>
      </w:r>
      <w:r>
        <w:rPr>
          <w:b/>
          <w:bCs/>
        </w:rPr>
        <w:tab/>
        <w:t>Общинно-конфессиональная система Ливана</w:t>
      </w:r>
    </w:p>
    <w:p w:rsidR="00000000" w:rsidRDefault="00000000"/>
    <w:p w:rsidR="00000000" w:rsidRDefault="00000000">
      <w:r>
        <w:t>3.</w:t>
      </w:r>
      <w:r>
        <w:tab/>
        <w:t>Как унитарное государство современный Ливан в его нынешних границах был образован в 1920 году после крушения Османской империи посредством объединения различных конфессиональных общин, которые составляют ливанский народ.</w:t>
      </w:r>
    </w:p>
    <w:p w:rsidR="00000000" w:rsidRDefault="00000000"/>
    <w:p w:rsidR="00000000" w:rsidRDefault="00000000">
      <w:r>
        <w:t>4.</w:t>
      </w:r>
      <w:r>
        <w:tab/>
        <w:t>В "Декларации о мандате", принятой Советом Лиги Наций 24 июля 1922 года на основании статьи 22 ее Статута, на Францию как на государство-мандатарий была возложена обязанность за три года разработать органический статут Ливана.  Государство-мандатарий должно было, в частности, выполнить следующие обязательства:</w:t>
      </w:r>
    </w:p>
    <w:p w:rsidR="00000000" w:rsidRDefault="00000000"/>
    <w:p w:rsidR="00000000" w:rsidRDefault="00000000">
      <w:r>
        <w:tab/>
        <w:t>а)</w:t>
      </w:r>
      <w:r>
        <w:tab/>
        <w:t>создать "судебную систему, обеспечивающую коренным жителям и иностранцам все гарантии соблюдения их прав", с учетом того, "что уважение личного статута и религиозных интересов будет в полной мере гарантировано различным группам населения..." (статья 6 Декларации о мандате);</w:t>
      </w:r>
    </w:p>
    <w:p w:rsidR="00000000" w:rsidRDefault="00000000"/>
    <w:p w:rsidR="00000000" w:rsidRDefault="00000000">
      <w:r>
        <w:tab/>
        <w:t>b)</w:t>
      </w:r>
      <w:r>
        <w:tab/>
        <w:t>воздерживаться от "всяких посягательств на права общин, (...) сохранить их школы в целях обучения и воспитания их членов (...) (пункт 3 статьи 8);</w:t>
      </w:r>
    </w:p>
    <w:p w:rsidR="00000000" w:rsidRDefault="00000000"/>
    <w:p w:rsidR="00000000" w:rsidRDefault="00000000">
      <w:r>
        <w:tab/>
        <w:t>с)</w:t>
      </w:r>
      <w:r>
        <w:tab/>
        <w:t>воздерживаться от "любого вмешательства (...) в управление религиозными общинами (...), иммунитет которых твердо гарантируется" (статья 9).</w:t>
      </w:r>
    </w:p>
    <w:p w:rsidR="00000000" w:rsidRDefault="00000000"/>
    <w:p w:rsidR="00000000" w:rsidRDefault="00000000">
      <w:r>
        <w:t>5.</w:t>
      </w:r>
      <w:r>
        <w:tab/>
        <w:t>Назначение членов "Законодательной комиссии", созданной государством-мандатарием в 1922 году на основании "Декларации о мандате", производилось с учетом их принадлежности к различным общинам и конфессиям.  Члены созданного в 1922 году "Представительного совета", который в 1926 году принял Конституцию, также избирались на основе принципа межобщинного распределения мест.</w:t>
      </w:r>
    </w:p>
    <w:p w:rsidR="00000000" w:rsidRDefault="00000000"/>
    <w:p w:rsidR="00000000" w:rsidRDefault="00000000">
      <w:r>
        <w:t>6.</w:t>
      </w:r>
      <w:r>
        <w:tab/>
        <w:t>В ливанской Конституции, промульгированной 23 мая 1926 года, подтверждаются гарантии, которыми пользуются общины.  Статья 9 гласит следующее:</w:t>
      </w:r>
    </w:p>
    <w:p w:rsidR="00000000" w:rsidRDefault="00000000"/>
    <w:p w:rsidR="00000000" w:rsidRDefault="00000000">
      <w:pPr>
        <w:ind w:left="567" w:hanging="567"/>
      </w:pPr>
      <w:r>
        <w:tab/>
      </w:r>
      <w:r>
        <w:tab/>
        <w:t>"Свобода совести является абсолютной.  Вознося хвалу Всевышнему, государство уважает все конфессии и гарантирует и защищает свободное отправление культа при условии недопущения нарушений общественного порядка.  Оно также гарантирует населению, независимо от его вероисповедания, уважение личного статуса и религиозных интересов".</w:t>
      </w:r>
    </w:p>
    <w:p w:rsidR="00000000" w:rsidRDefault="00000000"/>
    <w:p w:rsidR="00000000" w:rsidRDefault="00000000">
      <w:r>
        <w:t>7.</w:t>
      </w:r>
      <w:r>
        <w:tab/>
        <w:t>Статья 10 гласит:</w:t>
      </w:r>
    </w:p>
    <w:p w:rsidR="00000000" w:rsidRDefault="00000000"/>
    <w:p w:rsidR="00000000" w:rsidRDefault="00000000">
      <w:pPr>
        <w:ind w:left="567" w:hanging="567"/>
      </w:pPr>
      <w:r>
        <w:tab/>
      </w:r>
      <w:r>
        <w:tab/>
        <w:t>"Образование носит свободный характер в той мере, в какой оно не противоречит требованиям общественного порядка и нравственности и не затрагивает достоинства конфессий.  Право общин иметь свои школы не должно быть объектом посягательств при условии соблюдения общегосударственных предписаний в области народного образования".</w:t>
      </w:r>
    </w:p>
    <w:p w:rsidR="00000000" w:rsidRDefault="00000000"/>
    <w:p w:rsidR="00000000" w:rsidRDefault="00000000">
      <w:r>
        <w:t>8.</w:t>
      </w:r>
      <w:r>
        <w:tab/>
        <w:t>Статья 95 до ее изменения при пересмотре Конституции 21 сентября 1990 года гласила:</w:t>
      </w:r>
    </w:p>
    <w:p w:rsidR="00000000" w:rsidRDefault="00000000"/>
    <w:p w:rsidR="00000000" w:rsidRDefault="00000000">
      <w:pPr>
        <w:ind w:left="567" w:hanging="567"/>
      </w:pPr>
      <w:r>
        <w:tab/>
      </w:r>
      <w:r>
        <w:tab/>
        <w:t>"В интересах справедливости и согласия в переходный период общины представлены в государственных учреждениях и в составе правительства на равной основе при условии, что при этом не наносится ущерба благосостоянию государства".</w:t>
      </w:r>
    </w:p>
    <w:p w:rsidR="00000000" w:rsidRDefault="00000000"/>
    <w:p w:rsidR="00000000" w:rsidRDefault="00000000">
      <w:r>
        <w:t>9.</w:t>
      </w:r>
      <w:r>
        <w:tab/>
        <w:t>Таким образом, существует две формы конфессионализма:  конфессионализм, связанный с "личным статусом", и политический конфессионализм:</w:t>
      </w:r>
    </w:p>
    <w:p w:rsidR="00000000" w:rsidRDefault="00000000"/>
    <w:p w:rsidR="00000000" w:rsidRDefault="00000000">
      <w:r>
        <w:tab/>
        <w:t>а)</w:t>
      </w:r>
      <w:r>
        <w:tab/>
        <w:t>конфессионализм, связанный с личным статусом, означает, что все аспекты семейных отношений, а именно:  брак, родственные связи (в том числе при усыновлении, раздельном проживании, разводе) и в определенной мере вопросы наследования регулируются законами, устанавливаемыми различными общинами на основании полномочий, делегированных государством.  Урегулирование проблем, связанных с этими аспектами, также относится к компетенции религиозных судов;</w:t>
      </w:r>
    </w:p>
    <w:p w:rsidR="00000000" w:rsidRDefault="00000000"/>
    <w:p w:rsidR="00000000" w:rsidRDefault="00000000">
      <w:r>
        <w:tab/>
        <w:t>b)</w:t>
      </w:r>
      <w:r>
        <w:tab/>
        <w:t>политический конфессионализм предполагает распределение политических и административных постов между различными общинами.  Помимо вышеупомянутой статьи 95 Конституции существует конституционный обычай, в соответствии с которым Президент Республики, избираемый Палатой депутатов, должен быть христианином-маронитом, Председатель Палаты депутатов, избираемый депутатами, - мусульманином-шиитом, а премьер-министр - мусульманином</w:t>
      </w:r>
      <w:r>
        <w:noBreakHyphen/>
        <w:t>суннитом.  Министерские портфели также распределяются с учетом квот, выделенных каждой общине.</w:t>
      </w:r>
    </w:p>
    <w:p w:rsidR="00000000" w:rsidRDefault="00000000"/>
    <w:p w:rsidR="00000000" w:rsidRDefault="00000000">
      <w:r>
        <w:t>10.</w:t>
      </w:r>
      <w:r>
        <w:tab/>
        <w:t>В законе о выборах, в свою очередь, предусмотрено, что по каждому округу места в парламенте распределяются с учетом конкретных квот, выделенных различным общинам, на территории их избирательного округа, пропорционально их численности.  Удельному весу каждой общины внутри двух основных вероисповеданий - ислама и христианства - соответствует число мест в Палате депутатов, на которое имеет право каждая из них в соответствии с законом о выборах.  128 мест в парламенте распределяются следующим образом:</w:t>
      </w:r>
    </w:p>
    <w:p w:rsidR="00000000" w:rsidRDefault="00000000"/>
    <w:tbl>
      <w:tblPr>
        <w:tblW w:w="0" w:type="auto"/>
        <w:jc w:val="center"/>
        <w:tblLayout w:type="fixed"/>
        <w:tblCellMar>
          <w:left w:w="120" w:type="dxa"/>
          <w:right w:w="120" w:type="dxa"/>
        </w:tblCellMar>
        <w:tblLook w:val="0000" w:firstRow="0" w:lastRow="0" w:firstColumn="0" w:lastColumn="0" w:noHBand="0" w:noVBand="0"/>
      </w:tblPr>
      <w:tblGrid>
        <w:gridCol w:w="3717"/>
        <w:gridCol w:w="2128"/>
      </w:tblGrid>
      <w:tr w:rsidR="00000000">
        <w:tblPrEx>
          <w:tblCellMar>
            <w:top w:w="0" w:type="dxa"/>
            <w:bottom w:w="0" w:type="dxa"/>
          </w:tblCellMar>
        </w:tblPrEx>
        <w:trPr>
          <w:jc w:val="center"/>
        </w:trPr>
        <w:tc>
          <w:tcPr>
            <w:tcW w:w="3717" w:type="dxa"/>
            <w:tcBorders>
              <w:top w:val="nil"/>
              <w:left w:val="nil"/>
              <w:bottom w:val="nil"/>
              <w:right w:val="nil"/>
            </w:tcBorders>
          </w:tcPr>
          <w:p w:rsidR="00000000" w:rsidRDefault="00000000">
            <w:pPr>
              <w:rPr>
                <w:i/>
                <w:iCs/>
              </w:rPr>
            </w:pPr>
            <w:r>
              <w:rPr>
                <w:i/>
                <w:iCs/>
              </w:rPr>
              <w:t>Мусульмане</w:t>
            </w:r>
          </w:p>
        </w:tc>
        <w:tc>
          <w:tcPr>
            <w:tcW w:w="2128" w:type="dxa"/>
            <w:tcBorders>
              <w:top w:val="nil"/>
              <w:left w:val="nil"/>
              <w:bottom w:val="nil"/>
              <w:right w:val="nil"/>
            </w:tcBorders>
          </w:tcPr>
          <w:p w:rsidR="00000000" w:rsidRDefault="00000000">
            <w:pPr>
              <w:rPr>
                <w:i/>
                <w:iCs/>
              </w:rPr>
            </w:pPr>
            <w:r>
              <w:rPr>
                <w:i/>
                <w:iCs/>
              </w:rPr>
              <w:t>Количество мест</w:t>
            </w:r>
          </w:p>
        </w:tc>
      </w:tr>
      <w:tr w:rsidR="00000000">
        <w:tblPrEx>
          <w:tblCellMar>
            <w:top w:w="0" w:type="dxa"/>
            <w:bottom w:w="0" w:type="dxa"/>
          </w:tblCellMar>
        </w:tblPrEx>
        <w:trPr>
          <w:jc w:val="center"/>
        </w:trPr>
        <w:tc>
          <w:tcPr>
            <w:tcW w:w="3717" w:type="dxa"/>
            <w:tcBorders>
              <w:top w:val="nil"/>
              <w:left w:val="nil"/>
              <w:bottom w:val="nil"/>
              <w:right w:val="nil"/>
            </w:tcBorders>
          </w:tcPr>
          <w:p w:rsidR="00000000" w:rsidRDefault="00000000">
            <w:r>
              <w:t>Сунниты</w:t>
            </w:r>
          </w:p>
        </w:tc>
        <w:tc>
          <w:tcPr>
            <w:tcW w:w="2128" w:type="dxa"/>
            <w:tcBorders>
              <w:top w:val="nil"/>
              <w:left w:val="nil"/>
              <w:bottom w:val="nil"/>
              <w:right w:val="nil"/>
            </w:tcBorders>
          </w:tcPr>
          <w:p w:rsidR="00000000" w:rsidRDefault="00000000">
            <w:r>
              <w:t xml:space="preserve"> 27</w:t>
            </w:r>
          </w:p>
        </w:tc>
      </w:tr>
      <w:tr w:rsidR="00000000">
        <w:tblPrEx>
          <w:tblCellMar>
            <w:top w:w="0" w:type="dxa"/>
            <w:bottom w:w="0" w:type="dxa"/>
          </w:tblCellMar>
        </w:tblPrEx>
        <w:trPr>
          <w:jc w:val="center"/>
        </w:trPr>
        <w:tc>
          <w:tcPr>
            <w:tcW w:w="3717" w:type="dxa"/>
            <w:tcBorders>
              <w:top w:val="nil"/>
              <w:left w:val="nil"/>
              <w:bottom w:val="nil"/>
              <w:right w:val="nil"/>
            </w:tcBorders>
          </w:tcPr>
          <w:p w:rsidR="00000000" w:rsidRDefault="00000000">
            <w:r>
              <w:t>Шииты</w:t>
            </w:r>
          </w:p>
        </w:tc>
        <w:tc>
          <w:tcPr>
            <w:tcW w:w="2128" w:type="dxa"/>
            <w:tcBorders>
              <w:top w:val="nil"/>
              <w:left w:val="nil"/>
              <w:bottom w:val="nil"/>
              <w:right w:val="nil"/>
            </w:tcBorders>
          </w:tcPr>
          <w:p w:rsidR="00000000" w:rsidRDefault="00000000">
            <w:r>
              <w:t xml:space="preserve"> 27</w:t>
            </w:r>
          </w:p>
        </w:tc>
      </w:tr>
      <w:tr w:rsidR="00000000">
        <w:tblPrEx>
          <w:tblCellMar>
            <w:top w:w="0" w:type="dxa"/>
            <w:bottom w:w="0" w:type="dxa"/>
          </w:tblCellMar>
        </w:tblPrEx>
        <w:trPr>
          <w:jc w:val="center"/>
        </w:trPr>
        <w:tc>
          <w:tcPr>
            <w:tcW w:w="3717" w:type="dxa"/>
            <w:tcBorders>
              <w:top w:val="nil"/>
              <w:left w:val="nil"/>
              <w:bottom w:val="nil"/>
              <w:right w:val="nil"/>
            </w:tcBorders>
          </w:tcPr>
          <w:p w:rsidR="00000000" w:rsidRDefault="00000000">
            <w:r>
              <w:t>Друзы</w:t>
            </w:r>
          </w:p>
        </w:tc>
        <w:tc>
          <w:tcPr>
            <w:tcW w:w="2128" w:type="dxa"/>
            <w:tcBorders>
              <w:top w:val="nil"/>
              <w:left w:val="nil"/>
              <w:bottom w:val="nil"/>
              <w:right w:val="nil"/>
            </w:tcBorders>
          </w:tcPr>
          <w:p w:rsidR="00000000" w:rsidRDefault="00000000">
            <w:r>
              <w:t xml:space="preserve">  8</w:t>
            </w:r>
          </w:p>
        </w:tc>
      </w:tr>
      <w:tr w:rsidR="00000000">
        <w:tblPrEx>
          <w:tblCellMar>
            <w:top w:w="0" w:type="dxa"/>
            <w:bottom w:w="0" w:type="dxa"/>
          </w:tblCellMar>
        </w:tblPrEx>
        <w:trPr>
          <w:jc w:val="center"/>
        </w:trPr>
        <w:tc>
          <w:tcPr>
            <w:tcW w:w="3717" w:type="dxa"/>
            <w:tcBorders>
              <w:top w:val="nil"/>
              <w:left w:val="nil"/>
              <w:bottom w:val="nil"/>
              <w:right w:val="nil"/>
            </w:tcBorders>
          </w:tcPr>
          <w:p w:rsidR="00000000" w:rsidRDefault="00000000">
            <w:r>
              <w:t>Алауиты</w:t>
            </w:r>
          </w:p>
          <w:p w:rsidR="00000000" w:rsidRDefault="00000000"/>
        </w:tc>
        <w:tc>
          <w:tcPr>
            <w:tcW w:w="2128" w:type="dxa"/>
            <w:tcBorders>
              <w:top w:val="nil"/>
              <w:left w:val="nil"/>
              <w:bottom w:val="nil"/>
              <w:right w:val="nil"/>
            </w:tcBorders>
          </w:tcPr>
          <w:p w:rsidR="00000000" w:rsidRDefault="00000000">
            <w:r>
              <w:t xml:space="preserve">  2</w:t>
            </w:r>
          </w:p>
        </w:tc>
      </w:tr>
      <w:tr w:rsidR="00000000">
        <w:tblPrEx>
          <w:tblCellMar>
            <w:top w:w="0" w:type="dxa"/>
            <w:bottom w:w="0" w:type="dxa"/>
          </w:tblCellMar>
        </w:tblPrEx>
        <w:trPr>
          <w:jc w:val="center"/>
        </w:trPr>
        <w:tc>
          <w:tcPr>
            <w:tcW w:w="3717" w:type="dxa"/>
            <w:tcBorders>
              <w:top w:val="nil"/>
              <w:left w:val="nil"/>
              <w:bottom w:val="nil"/>
              <w:right w:val="nil"/>
            </w:tcBorders>
          </w:tcPr>
          <w:p w:rsidR="00000000" w:rsidRDefault="00000000">
            <w:pPr>
              <w:rPr>
                <w:i/>
                <w:iCs/>
              </w:rPr>
            </w:pPr>
            <w:r>
              <w:rPr>
                <w:i/>
                <w:iCs/>
              </w:rPr>
              <w:t>Христиане</w:t>
            </w:r>
          </w:p>
        </w:tc>
        <w:tc>
          <w:tcPr>
            <w:tcW w:w="2128" w:type="dxa"/>
            <w:tcBorders>
              <w:top w:val="nil"/>
              <w:left w:val="nil"/>
              <w:bottom w:val="nil"/>
              <w:right w:val="nil"/>
            </w:tcBorders>
          </w:tcPr>
          <w:p w:rsidR="00000000" w:rsidRDefault="00000000">
            <w:pPr>
              <w:rPr>
                <w:i/>
                <w:iCs/>
              </w:rPr>
            </w:pPr>
          </w:p>
        </w:tc>
      </w:tr>
      <w:tr w:rsidR="00000000">
        <w:tblPrEx>
          <w:tblCellMar>
            <w:top w:w="0" w:type="dxa"/>
            <w:bottom w:w="0" w:type="dxa"/>
          </w:tblCellMar>
        </w:tblPrEx>
        <w:trPr>
          <w:jc w:val="center"/>
        </w:trPr>
        <w:tc>
          <w:tcPr>
            <w:tcW w:w="3717" w:type="dxa"/>
            <w:tcBorders>
              <w:top w:val="nil"/>
              <w:left w:val="nil"/>
              <w:bottom w:val="nil"/>
              <w:right w:val="nil"/>
            </w:tcBorders>
          </w:tcPr>
          <w:p w:rsidR="00000000" w:rsidRDefault="00000000">
            <w:r>
              <w:t>Марониты</w:t>
            </w:r>
          </w:p>
        </w:tc>
        <w:tc>
          <w:tcPr>
            <w:tcW w:w="2128" w:type="dxa"/>
            <w:tcBorders>
              <w:top w:val="nil"/>
              <w:left w:val="nil"/>
              <w:bottom w:val="nil"/>
              <w:right w:val="nil"/>
            </w:tcBorders>
          </w:tcPr>
          <w:p w:rsidR="00000000" w:rsidRDefault="00000000">
            <w:r>
              <w:t xml:space="preserve"> 34</w:t>
            </w:r>
          </w:p>
        </w:tc>
      </w:tr>
      <w:tr w:rsidR="00000000">
        <w:tblPrEx>
          <w:tblCellMar>
            <w:top w:w="0" w:type="dxa"/>
            <w:bottom w:w="0" w:type="dxa"/>
          </w:tblCellMar>
        </w:tblPrEx>
        <w:trPr>
          <w:jc w:val="center"/>
        </w:trPr>
        <w:tc>
          <w:tcPr>
            <w:tcW w:w="3717" w:type="dxa"/>
            <w:tcBorders>
              <w:top w:val="nil"/>
              <w:left w:val="nil"/>
              <w:bottom w:val="nil"/>
              <w:right w:val="nil"/>
            </w:tcBorders>
          </w:tcPr>
          <w:p w:rsidR="00000000" w:rsidRDefault="00000000">
            <w:r>
              <w:t>Греки-католики (мелькиты)</w:t>
            </w:r>
          </w:p>
        </w:tc>
        <w:tc>
          <w:tcPr>
            <w:tcW w:w="2128" w:type="dxa"/>
            <w:tcBorders>
              <w:top w:val="nil"/>
              <w:left w:val="nil"/>
              <w:bottom w:val="nil"/>
              <w:right w:val="nil"/>
            </w:tcBorders>
          </w:tcPr>
          <w:p w:rsidR="00000000" w:rsidRDefault="00000000">
            <w:r>
              <w:t xml:space="preserve">  8</w:t>
            </w:r>
          </w:p>
        </w:tc>
      </w:tr>
      <w:tr w:rsidR="00000000">
        <w:tblPrEx>
          <w:tblCellMar>
            <w:top w:w="0" w:type="dxa"/>
            <w:bottom w:w="0" w:type="dxa"/>
          </w:tblCellMar>
        </w:tblPrEx>
        <w:trPr>
          <w:jc w:val="center"/>
        </w:trPr>
        <w:tc>
          <w:tcPr>
            <w:tcW w:w="3717" w:type="dxa"/>
            <w:tcBorders>
              <w:top w:val="nil"/>
              <w:left w:val="nil"/>
              <w:bottom w:val="nil"/>
              <w:right w:val="nil"/>
            </w:tcBorders>
          </w:tcPr>
          <w:p w:rsidR="00000000" w:rsidRDefault="00000000">
            <w:r>
              <w:t>Православные греки</w:t>
            </w:r>
          </w:p>
        </w:tc>
        <w:tc>
          <w:tcPr>
            <w:tcW w:w="2128" w:type="dxa"/>
            <w:tcBorders>
              <w:top w:val="nil"/>
              <w:left w:val="nil"/>
              <w:bottom w:val="nil"/>
              <w:right w:val="nil"/>
            </w:tcBorders>
          </w:tcPr>
          <w:p w:rsidR="00000000" w:rsidRDefault="00000000">
            <w:r>
              <w:t xml:space="preserve"> 14</w:t>
            </w:r>
          </w:p>
        </w:tc>
      </w:tr>
      <w:tr w:rsidR="00000000">
        <w:tblPrEx>
          <w:tblCellMar>
            <w:top w:w="0" w:type="dxa"/>
            <w:bottom w:w="0" w:type="dxa"/>
          </w:tblCellMar>
        </w:tblPrEx>
        <w:trPr>
          <w:jc w:val="center"/>
        </w:trPr>
        <w:tc>
          <w:tcPr>
            <w:tcW w:w="3717" w:type="dxa"/>
            <w:tcBorders>
              <w:top w:val="nil"/>
              <w:left w:val="nil"/>
              <w:bottom w:val="nil"/>
              <w:right w:val="nil"/>
            </w:tcBorders>
          </w:tcPr>
          <w:p w:rsidR="00000000" w:rsidRDefault="00000000">
            <w:r>
              <w:t>Евангелисты</w:t>
            </w:r>
          </w:p>
        </w:tc>
        <w:tc>
          <w:tcPr>
            <w:tcW w:w="2128" w:type="dxa"/>
            <w:tcBorders>
              <w:top w:val="nil"/>
              <w:left w:val="nil"/>
              <w:bottom w:val="nil"/>
              <w:right w:val="nil"/>
            </w:tcBorders>
          </w:tcPr>
          <w:p w:rsidR="00000000" w:rsidRDefault="00000000">
            <w:r>
              <w:t xml:space="preserve">  1</w:t>
            </w:r>
          </w:p>
        </w:tc>
      </w:tr>
      <w:tr w:rsidR="00000000">
        <w:tblPrEx>
          <w:tblCellMar>
            <w:top w:w="0" w:type="dxa"/>
            <w:bottom w:w="0" w:type="dxa"/>
          </w:tblCellMar>
        </w:tblPrEx>
        <w:trPr>
          <w:jc w:val="center"/>
        </w:trPr>
        <w:tc>
          <w:tcPr>
            <w:tcW w:w="3717" w:type="dxa"/>
            <w:tcBorders>
              <w:top w:val="nil"/>
              <w:left w:val="nil"/>
              <w:bottom w:val="nil"/>
              <w:right w:val="nil"/>
            </w:tcBorders>
          </w:tcPr>
          <w:p w:rsidR="00000000" w:rsidRDefault="00000000">
            <w:r>
              <w:t>Армяне</w:t>
            </w:r>
            <w:r>
              <w:noBreakHyphen/>
              <w:t>католики</w:t>
            </w:r>
          </w:p>
        </w:tc>
        <w:tc>
          <w:tcPr>
            <w:tcW w:w="2128" w:type="dxa"/>
            <w:tcBorders>
              <w:top w:val="nil"/>
              <w:left w:val="nil"/>
              <w:bottom w:val="nil"/>
              <w:right w:val="nil"/>
            </w:tcBorders>
          </w:tcPr>
          <w:p w:rsidR="00000000" w:rsidRDefault="00000000">
            <w:r>
              <w:t xml:space="preserve">  1</w:t>
            </w:r>
          </w:p>
        </w:tc>
      </w:tr>
      <w:tr w:rsidR="00000000">
        <w:tblPrEx>
          <w:tblCellMar>
            <w:top w:w="0" w:type="dxa"/>
            <w:bottom w:w="0" w:type="dxa"/>
          </w:tblCellMar>
        </w:tblPrEx>
        <w:trPr>
          <w:jc w:val="center"/>
        </w:trPr>
        <w:tc>
          <w:tcPr>
            <w:tcW w:w="3717" w:type="dxa"/>
            <w:tcBorders>
              <w:top w:val="nil"/>
              <w:left w:val="nil"/>
              <w:bottom w:val="nil"/>
              <w:right w:val="nil"/>
            </w:tcBorders>
          </w:tcPr>
          <w:p w:rsidR="00000000" w:rsidRDefault="00000000">
            <w:r>
              <w:t>Православные армяне</w:t>
            </w:r>
          </w:p>
        </w:tc>
        <w:tc>
          <w:tcPr>
            <w:tcW w:w="2128" w:type="dxa"/>
            <w:tcBorders>
              <w:top w:val="nil"/>
              <w:left w:val="nil"/>
              <w:bottom w:val="nil"/>
              <w:right w:val="nil"/>
            </w:tcBorders>
          </w:tcPr>
          <w:p w:rsidR="00000000" w:rsidRDefault="00000000">
            <w:r>
              <w:t xml:space="preserve">  5</w:t>
            </w:r>
          </w:p>
        </w:tc>
      </w:tr>
      <w:tr w:rsidR="00000000">
        <w:tblPrEx>
          <w:tblCellMar>
            <w:top w:w="0" w:type="dxa"/>
            <w:bottom w:w="0" w:type="dxa"/>
          </w:tblCellMar>
        </w:tblPrEx>
        <w:trPr>
          <w:jc w:val="center"/>
        </w:trPr>
        <w:tc>
          <w:tcPr>
            <w:tcW w:w="3717" w:type="dxa"/>
            <w:tcBorders>
              <w:top w:val="nil"/>
              <w:left w:val="nil"/>
              <w:bottom w:val="nil"/>
              <w:right w:val="nil"/>
            </w:tcBorders>
          </w:tcPr>
          <w:p w:rsidR="00000000" w:rsidRDefault="00000000">
            <w:r>
              <w:t>Меньшинства</w:t>
            </w:r>
          </w:p>
          <w:p w:rsidR="00000000" w:rsidRDefault="00000000"/>
        </w:tc>
        <w:tc>
          <w:tcPr>
            <w:tcW w:w="2128" w:type="dxa"/>
            <w:tcBorders>
              <w:top w:val="nil"/>
              <w:left w:val="nil"/>
              <w:bottom w:val="single" w:sz="7" w:space="0" w:color="auto"/>
              <w:right w:val="nil"/>
            </w:tcBorders>
          </w:tcPr>
          <w:p w:rsidR="00000000" w:rsidRDefault="00000000">
            <w:r>
              <w:t xml:space="preserve">  1</w:t>
            </w:r>
          </w:p>
        </w:tc>
      </w:tr>
      <w:tr w:rsidR="00000000">
        <w:tblPrEx>
          <w:tblCellMar>
            <w:top w:w="0" w:type="dxa"/>
            <w:bottom w:w="0" w:type="dxa"/>
          </w:tblCellMar>
        </w:tblPrEx>
        <w:trPr>
          <w:jc w:val="center"/>
        </w:trPr>
        <w:tc>
          <w:tcPr>
            <w:tcW w:w="3717" w:type="dxa"/>
            <w:tcBorders>
              <w:top w:val="nil"/>
              <w:left w:val="nil"/>
              <w:bottom w:val="nil"/>
              <w:right w:val="nil"/>
            </w:tcBorders>
          </w:tcPr>
          <w:p w:rsidR="00000000" w:rsidRDefault="00000000">
            <w:r>
              <w:rPr>
                <w:b/>
                <w:bCs/>
              </w:rPr>
              <w:t>Итого</w:t>
            </w:r>
          </w:p>
        </w:tc>
        <w:tc>
          <w:tcPr>
            <w:tcW w:w="2128" w:type="dxa"/>
            <w:tcBorders>
              <w:top w:val="nil"/>
              <w:left w:val="nil"/>
              <w:bottom w:val="nil"/>
              <w:right w:val="nil"/>
            </w:tcBorders>
          </w:tcPr>
          <w:p w:rsidR="00000000" w:rsidRDefault="00000000">
            <w:r>
              <w:t>128</w:t>
            </w:r>
          </w:p>
        </w:tc>
      </w:tr>
    </w:tbl>
    <w:p w:rsidR="00000000" w:rsidRDefault="00000000"/>
    <w:p w:rsidR="00000000" w:rsidRDefault="00000000">
      <w:r>
        <w:t>Под "меньшинствами" понимаются представители романских народов, лица, говорящие на древнесирийском языке (католики и православные), халдеи, ассирийцы (ранее назывались несторианцами), копты, евреи.</w:t>
      </w:r>
    </w:p>
    <w:p w:rsidR="00000000" w:rsidRDefault="00000000"/>
    <w:p w:rsidR="00000000" w:rsidRDefault="00000000">
      <w:r>
        <w:t>11.</w:t>
      </w:r>
      <w:r>
        <w:tab/>
        <w:t>В этой связи важно отметить, что в каждом избирательном округе избиратель, принадлежащий к конкретной конфессии, голосует не только за кандидата или кандидатов, принадлежащих к его вероисповеданию, а за весь список, в который включаются кандидаты от различных конфессий в зависимости от числа вакантных депутатских мест.  Такой принцип служит сохранению и укреплению национального единства.</w:t>
      </w:r>
    </w:p>
    <w:p w:rsidR="00000000" w:rsidRDefault="00000000"/>
    <w:p w:rsidR="00000000" w:rsidRDefault="00000000">
      <w:r>
        <w:t>12.</w:t>
      </w:r>
      <w:r>
        <w:tab/>
        <w:t>Наконец, те же пропорции должны соблюдаться при назначении на должности в органах управления.  Начиная с 1990 года это последнее правило распространяется лишь на высокие посты в государственном аппарате.</w:t>
      </w:r>
    </w:p>
    <w:p w:rsidR="00000000" w:rsidRDefault="00000000"/>
    <w:p w:rsidR="00000000" w:rsidRDefault="00000000">
      <w:pPr>
        <w:tabs>
          <w:tab w:val="left" w:pos="0"/>
          <w:tab w:val="left" w:pos="567"/>
          <w:tab w:val="left" w:pos="1134"/>
          <w:tab w:val="left" w:pos="1701"/>
          <w:tab w:val="left" w:pos="2268"/>
          <w:tab w:val="left" w:pos="6520"/>
        </w:tabs>
        <w:suppressAutoHyphens/>
        <w:spacing w:line="288" w:lineRule="atLeast"/>
      </w:pPr>
      <w:r>
        <w:t>13.</w:t>
      </w:r>
      <w:r>
        <w:tab/>
        <w:t>Некоторые авторы охарактеризовали общинно-конфессиональную систему Ливана как "персональный федерализм" в государстве, известном как унитарное.  Иными словами, ввиду отсутствия у такого федерализма территориальной основы каждый гражданин связан с государственным центром не через входящую в федерацию административную единицу (провинция или кантон), а через общины, независимо от места своего жительства.</w:t>
      </w:r>
    </w:p>
    <w:p w:rsidR="00000000" w:rsidRDefault="00000000">
      <w:pPr>
        <w:tabs>
          <w:tab w:val="left" w:pos="0"/>
          <w:tab w:val="left" w:pos="567"/>
          <w:tab w:val="left" w:pos="1134"/>
          <w:tab w:val="left" w:pos="1701"/>
          <w:tab w:val="left" w:pos="2268"/>
          <w:tab w:val="left" w:pos="6520"/>
        </w:tabs>
        <w:suppressAutoHyphens/>
        <w:spacing w:line="288" w:lineRule="atLeast"/>
      </w:pPr>
    </w:p>
    <w:p w:rsidR="00000000" w:rsidRDefault="00000000">
      <w:pPr>
        <w:tabs>
          <w:tab w:val="left" w:pos="0"/>
          <w:tab w:val="left" w:pos="567"/>
          <w:tab w:val="left" w:pos="1134"/>
          <w:tab w:val="left" w:pos="1701"/>
          <w:tab w:val="left" w:pos="2268"/>
          <w:tab w:val="left" w:pos="6520"/>
        </w:tabs>
        <w:suppressAutoHyphens/>
        <w:spacing w:line="288" w:lineRule="atLeast"/>
      </w:pPr>
      <w:r>
        <w:t>14.</w:t>
      </w:r>
      <w:r>
        <w:tab/>
        <w:t>Природу этих общин конкретизировать сложно</w:t>
      </w:r>
      <w:r>
        <w:rPr>
          <w:rStyle w:val="FootnoteReference"/>
        </w:rPr>
        <w:footnoteReference w:id="1"/>
      </w:r>
      <w:r>
        <w:t>.  Хотя в принципе каждый человек может стать последователем того вероисповедания, которое он считает отвечающим своим религиозным убеждениям, в подавляющем большинстве случаев принадлежность к той или иной общине определяется фактом рождения в семье, зарегистрированной в книге записи актов гражданского состояния в качестве принадлежащей к той или иной конфессии.  Бракосочетание по тому или иному религиозному обряду и вытекающее из этого подчинение режима имущественных отношений между супругами законом соответствующей религии не обязательно предполагает веру в данную религию, ежедневное отправление ее культа.  Это также касается участия в политической жизни и доступа к государственной службе.</w:t>
      </w:r>
    </w:p>
    <w:p w:rsidR="00000000" w:rsidRDefault="00000000">
      <w:pPr>
        <w:tabs>
          <w:tab w:val="left" w:pos="0"/>
          <w:tab w:val="left" w:pos="567"/>
          <w:tab w:val="left" w:pos="1134"/>
          <w:tab w:val="left" w:pos="1701"/>
          <w:tab w:val="left" w:pos="2268"/>
          <w:tab w:val="left" w:pos="6520"/>
        </w:tabs>
        <w:suppressAutoHyphens/>
        <w:spacing w:line="288" w:lineRule="atLeast"/>
      </w:pPr>
    </w:p>
    <w:p w:rsidR="00000000" w:rsidRDefault="00000000">
      <w:pPr>
        <w:tabs>
          <w:tab w:val="left" w:pos="0"/>
          <w:tab w:val="left" w:pos="567"/>
          <w:tab w:val="left" w:pos="1134"/>
          <w:tab w:val="left" w:pos="1701"/>
          <w:tab w:val="left" w:pos="2268"/>
          <w:tab w:val="left" w:pos="6520"/>
        </w:tabs>
        <w:suppressAutoHyphens/>
        <w:spacing w:line="288" w:lineRule="atLeast"/>
      </w:pPr>
      <w:r>
        <w:t>15.</w:t>
      </w:r>
      <w:r>
        <w:tab/>
        <w:t>Значит ли это, что религиозные общины в Ливане представляют собой этнические группы?  Классифицируются ли ливанцы по их происхождению?  Ясно, что армяне, лица, пользующиеся древнесирийским языком (относимые к категории меньшинств), и алауиты имеют свои специфические корни.  Слово "греки" (православные и католики) ассоциируется с византийскими обрядами.  Но в целом, несмотря на выявленные у каждой общины генетические особенности, которые обусловлены длительной эндогамией</w:t>
      </w:r>
      <w:r>
        <w:rPr>
          <w:rStyle w:val="FootnoteReference"/>
        </w:rPr>
        <w:footnoteReference w:id="2"/>
      </w:r>
      <w:r>
        <w:t>, их следует квалифицировать как семейные группы со своей религиозной и культурной спецификой</w:t>
      </w:r>
      <w:r>
        <w:rPr>
          <w:rStyle w:val="FootnoteReference"/>
        </w:rPr>
        <w:footnoteReference w:id="3"/>
      </w:r>
      <w:r>
        <w:t xml:space="preserve">.  </w:t>
      </w:r>
    </w:p>
    <w:p w:rsidR="00000000" w:rsidRDefault="00000000">
      <w:pPr>
        <w:tabs>
          <w:tab w:val="left" w:pos="0"/>
          <w:tab w:val="left" w:pos="567"/>
          <w:tab w:val="left" w:pos="1134"/>
          <w:tab w:val="left" w:pos="1701"/>
          <w:tab w:val="left" w:pos="2268"/>
          <w:tab w:val="left" w:pos="6520"/>
        </w:tabs>
        <w:suppressAutoHyphens/>
        <w:spacing w:line="288" w:lineRule="atLeast"/>
      </w:pPr>
    </w:p>
    <w:p w:rsidR="00000000" w:rsidRDefault="00000000">
      <w:pPr>
        <w:tabs>
          <w:tab w:val="center" w:pos="4678"/>
        </w:tabs>
        <w:suppressAutoHyphens/>
        <w:spacing w:line="288" w:lineRule="atLeast"/>
        <w:jc w:val="center"/>
        <w:rPr>
          <w:b/>
          <w:bCs/>
        </w:rPr>
      </w:pPr>
      <w:r>
        <w:rPr>
          <w:b/>
          <w:bCs/>
          <w:lang w:val="en-US"/>
        </w:rPr>
        <w:t>B</w:t>
      </w:r>
      <w:r>
        <w:rPr>
          <w:b/>
          <w:bCs/>
        </w:rPr>
        <w:t>.</w:t>
      </w:r>
      <w:r>
        <w:rPr>
          <w:b/>
          <w:bCs/>
        </w:rPr>
        <w:tab/>
        <w:t>Соответствие системы пункту 4 статьи 1 Конвенции</w:t>
      </w:r>
    </w:p>
    <w:p w:rsidR="00000000" w:rsidRDefault="00000000">
      <w:pPr>
        <w:tabs>
          <w:tab w:val="left" w:pos="0"/>
          <w:tab w:val="left" w:pos="567"/>
          <w:tab w:val="left" w:pos="1134"/>
          <w:tab w:val="left" w:pos="1701"/>
          <w:tab w:val="left" w:pos="2268"/>
          <w:tab w:val="left" w:pos="6520"/>
        </w:tabs>
        <w:suppressAutoHyphens/>
        <w:spacing w:line="288" w:lineRule="atLeast"/>
      </w:pPr>
    </w:p>
    <w:p w:rsidR="00000000" w:rsidRDefault="00000000">
      <w:pPr>
        <w:tabs>
          <w:tab w:val="left" w:pos="0"/>
          <w:tab w:val="left" w:pos="567"/>
          <w:tab w:val="left" w:pos="1134"/>
          <w:tab w:val="left" w:pos="1701"/>
          <w:tab w:val="left" w:pos="2268"/>
          <w:tab w:val="left" w:pos="6520"/>
        </w:tabs>
        <w:suppressAutoHyphens/>
        <w:spacing w:line="288" w:lineRule="atLeast"/>
      </w:pPr>
      <w:r>
        <w:t>16.</w:t>
      </w:r>
      <w:r>
        <w:tab/>
        <w:t>Является ли описанная выше общинная система тем случаем проведения различия по признаку родового, национального или этнического происхождения, когда можно говорить, что она имеет целью или следствием "уничтожение или умаление признания, использования или осуществления на равных началах прав человека и основных свобод в политической, экономической, социальной, культурной или любых других областях общественной жизни", согласно формулировке пункта 1 статьи 1 Конвенции о ликвидации всех форм расовой дискриминации?</w:t>
      </w:r>
    </w:p>
    <w:p w:rsidR="00000000" w:rsidRDefault="00000000">
      <w:pPr>
        <w:tabs>
          <w:tab w:val="left" w:pos="0"/>
          <w:tab w:val="left" w:pos="567"/>
          <w:tab w:val="left" w:pos="1134"/>
          <w:tab w:val="left" w:pos="1701"/>
          <w:tab w:val="left" w:pos="2268"/>
          <w:tab w:val="left" w:pos="6520"/>
        </w:tabs>
        <w:suppressAutoHyphens/>
        <w:spacing w:line="288" w:lineRule="atLeast"/>
      </w:pPr>
    </w:p>
    <w:p w:rsidR="00000000" w:rsidRDefault="00000000">
      <w:pPr>
        <w:tabs>
          <w:tab w:val="left" w:pos="0"/>
          <w:tab w:val="left" w:pos="567"/>
          <w:tab w:val="left" w:pos="1134"/>
          <w:tab w:val="left" w:pos="1701"/>
          <w:tab w:val="left" w:pos="2268"/>
          <w:tab w:val="left" w:pos="6520"/>
        </w:tabs>
        <w:suppressAutoHyphens/>
        <w:spacing w:line="288" w:lineRule="atLeast"/>
      </w:pPr>
      <w:r>
        <w:t>17.</w:t>
      </w:r>
      <w:r>
        <w:tab/>
        <w:t>Не упуская из виду вышеупомянутых оговорок относительно отождествления ливанских конфессиональных общин с этническими группами, нужно признать, что различия, обусловленные конфессиональной системой, не должны были, по мнению основателей Ливанской Республики, вести к дискриминации по смыслу пункта 1 статьи 1 Конвенции, а, скорее, должны были отвечать духу пункта 4 названной статьи, в котором признается возможность принятия особых мер для обеспечения прогресса или защиты некоторых расовых или этнических групп, "чтобы обеспечить таким группам равное использование и осуществление прав человека и основных свобод".  Конфессиональная система была изначально призвана защищать одновременно все группы, образующие ливанский народ, и обеспечивать им одинаковые возможности развития и прогресса.</w:t>
      </w:r>
    </w:p>
    <w:p w:rsidR="00000000" w:rsidRDefault="00000000">
      <w:pPr>
        <w:tabs>
          <w:tab w:val="left" w:pos="0"/>
          <w:tab w:val="left" w:pos="567"/>
          <w:tab w:val="left" w:pos="1134"/>
          <w:tab w:val="left" w:pos="1701"/>
          <w:tab w:val="left" w:pos="2268"/>
          <w:tab w:val="left" w:pos="6520"/>
        </w:tabs>
        <w:suppressAutoHyphens/>
        <w:spacing w:line="288" w:lineRule="atLeast"/>
      </w:pPr>
    </w:p>
    <w:p w:rsidR="00000000" w:rsidRDefault="00000000">
      <w:pPr>
        <w:tabs>
          <w:tab w:val="left" w:pos="0"/>
          <w:tab w:val="left" w:pos="567"/>
          <w:tab w:val="left" w:pos="1134"/>
          <w:tab w:val="left" w:pos="1701"/>
          <w:tab w:val="left" w:pos="2268"/>
          <w:tab w:val="left" w:pos="6520"/>
        </w:tabs>
        <w:suppressAutoHyphens/>
        <w:spacing w:line="288" w:lineRule="atLeast"/>
      </w:pPr>
      <w:r>
        <w:t>18.</w:t>
      </w:r>
      <w:r>
        <w:tab/>
        <w:t>Недостатком системы с точки зрения положений Международной конвенции о ликвидации всех форм расовой дискриминации является то, что она не оставляет места лицам, не желающим связывать участие в политической жизни или создание семьи (в Ливане института гражданского брака не существует;  браки, заключаемые за границей, ливанскими властями признаются, но считаются подлежащими юрисдикции места бракосочетания) со своим родовым и этническим происхождением или вероисповеданием.  Поэтому то, что изначально признавалось гарантией основных свобод и прав для образующих ливанскую нацию групп, уже давно рассматривается подчас как препятствие к осуществлению личных свобод лиц, не желающих отождествлять себя с какой</w:t>
      </w:r>
      <w:r>
        <w:noBreakHyphen/>
        <w:t>либо группой.</w:t>
      </w:r>
    </w:p>
    <w:p w:rsidR="00000000" w:rsidRDefault="00000000">
      <w:pPr>
        <w:tabs>
          <w:tab w:val="left" w:pos="0"/>
          <w:tab w:val="left" w:pos="567"/>
          <w:tab w:val="left" w:pos="1134"/>
          <w:tab w:val="left" w:pos="1701"/>
          <w:tab w:val="left" w:pos="2268"/>
          <w:tab w:val="left" w:pos="6520"/>
        </w:tabs>
        <w:suppressAutoHyphens/>
        <w:spacing w:line="288" w:lineRule="atLeast"/>
      </w:pPr>
    </w:p>
    <w:p w:rsidR="00000000" w:rsidRDefault="00000000">
      <w:pPr>
        <w:tabs>
          <w:tab w:val="left" w:pos="0"/>
          <w:tab w:val="left" w:pos="567"/>
          <w:tab w:val="left" w:pos="1134"/>
          <w:tab w:val="left" w:pos="1701"/>
          <w:tab w:val="left" w:pos="2268"/>
          <w:tab w:val="left" w:pos="6520"/>
        </w:tabs>
        <w:suppressAutoHyphens/>
        <w:spacing w:line="288" w:lineRule="atLeast"/>
      </w:pPr>
      <w:r>
        <w:t>19.</w:t>
      </w:r>
      <w:r>
        <w:tab/>
        <w:t>Эта мысль созвучна пункту 4 статьи 1 Конвенции, в котором указывается на временный характер разрешенных в нем мер, и бывшей статье 95 Конституции Ливана, которая еще в 1926 году предусматривала временный характер равного представительства общин на государственных должностях и в составе правительства.</w:t>
      </w:r>
    </w:p>
    <w:p w:rsidR="00000000" w:rsidRDefault="00000000">
      <w:pPr>
        <w:tabs>
          <w:tab w:val="left" w:pos="0"/>
          <w:tab w:val="left" w:pos="567"/>
          <w:tab w:val="left" w:pos="1134"/>
          <w:tab w:val="left" w:pos="1701"/>
          <w:tab w:val="left" w:pos="2268"/>
          <w:tab w:val="left" w:pos="6520"/>
        </w:tabs>
        <w:suppressAutoHyphens/>
        <w:spacing w:line="288" w:lineRule="atLeast"/>
      </w:pPr>
    </w:p>
    <w:p w:rsidR="00000000" w:rsidRDefault="00000000">
      <w:pPr>
        <w:tabs>
          <w:tab w:val="center" w:pos="4678"/>
        </w:tabs>
        <w:suppressAutoHyphens/>
        <w:spacing w:line="288" w:lineRule="atLeast"/>
        <w:jc w:val="center"/>
        <w:rPr>
          <w:b/>
          <w:bCs/>
        </w:rPr>
      </w:pPr>
      <w:r>
        <w:rPr>
          <w:b/>
          <w:bCs/>
        </w:rPr>
        <w:br w:type="page"/>
        <w:t>С.</w:t>
      </w:r>
      <w:r>
        <w:rPr>
          <w:b/>
          <w:bCs/>
        </w:rPr>
        <w:tab/>
        <w:t>Значение пересмотра Конституции 21 сентября 1990 года</w:t>
      </w:r>
    </w:p>
    <w:p w:rsidR="00000000" w:rsidRDefault="00000000">
      <w:pPr>
        <w:tabs>
          <w:tab w:val="left" w:pos="0"/>
          <w:tab w:val="left" w:pos="567"/>
          <w:tab w:val="left" w:pos="1134"/>
          <w:tab w:val="left" w:pos="1701"/>
          <w:tab w:val="left" w:pos="2268"/>
          <w:tab w:val="left" w:pos="6520"/>
        </w:tabs>
        <w:suppressAutoHyphens/>
        <w:spacing w:line="288" w:lineRule="atLeast"/>
      </w:pPr>
    </w:p>
    <w:p w:rsidR="00000000" w:rsidRDefault="00000000">
      <w:pPr>
        <w:tabs>
          <w:tab w:val="left" w:pos="0"/>
          <w:tab w:val="left" w:pos="567"/>
          <w:tab w:val="left" w:pos="1134"/>
          <w:tab w:val="left" w:pos="1701"/>
          <w:tab w:val="left" w:pos="2268"/>
          <w:tab w:val="left" w:pos="6520"/>
        </w:tabs>
        <w:suppressAutoHyphens/>
        <w:spacing w:line="288" w:lineRule="atLeast"/>
      </w:pPr>
      <w:r>
        <w:t>20.</w:t>
      </w:r>
      <w:r>
        <w:tab/>
        <w:t>В Документе о национальном согласии от 22 октября 1989 года, называемом также Эт-Таифским соглашением (по названию города в Саудовской Аравии, где ливанские депутаты собрались с целью прекращения серии вооруженных конфликтов, длившихся 16 лет), было предусмотрено поэтапное упразднение политического конфессионализма.  Результатом принятия этого документа, в частности, стал пересмотр Конституции 21 сентября 1990 года.  В пункте 4 принятой тогда новой преамбулы предусматривается постепенное его упразднение.  Новая редакция статьи 95 гласит:</w:t>
      </w:r>
    </w:p>
    <w:p w:rsidR="00000000" w:rsidRDefault="00000000">
      <w:pPr>
        <w:tabs>
          <w:tab w:val="left" w:pos="0"/>
          <w:tab w:val="left" w:pos="567"/>
          <w:tab w:val="left" w:pos="1134"/>
          <w:tab w:val="left" w:pos="1701"/>
          <w:tab w:val="left" w:pos="2268"/>
          <w:tab w:val="left" w:pos="6520"/>
        </w:tabs>
        <w:suppressAutoHyphens/>
        <w:spacing w:line="288" w:lineRule="atLeast"/>
      </w:pPr>
    </w:p>
    <w:p w:rsidR="00000000" w:rsidRDefault="00000000">
      <w:pPr>
        <w:tabs>
          <w:tab w:val="left" w:pos="0"/>
          <w:tab w:val="left" w:pos="567"/>
          <w:tab w:val="left" w:pos="1134"/>
          <w:tab w:val="left" w:pos="1701"/>
          <w:tab w:val="left" w:pos="2268"/>
          <w:tab w:val="left" w:pos="6520"/>
        </w:tabs>
        <w:suppressAutoHyphens/>
        <w:spacing w:line="288" w:lineRule="atLeast"/>
        <w:ind w:left="566" w:hanging="566"/>
      </w:pPr>
      <w:r>
        <w:tab/>
      </w:r>
      <w:r>
        <w:tab/>
        <w:t>"Палата депутатов, избираемая на основе принципа равного представительства мусульман и христиан, должна принять надлежащие меры для обеспечения планомерного поэтапного упразднения политического конфессионализма.  Под председательством Президента Республики будет создан национальный комитет, в состав которого, помимо Председателя Палаты депутатов и Председателя Совета министров, войдут политические деятели, представители интеллигенции и общественности.</w:t>
      </w:r>
    </w:p>
    <w:p w:rsidR="00000000" w:rsidRDefault="00000000">
      <w:pPr>
        <w:tabs>
          <w:tab w:val="left" w:pos="0"/>
          <w:tab w:val="left" w:pos="567"/>
          <w:tab w:val="left" w:pos="1134"/>
          <w:tab w:val="left" w:pos="1701"/>
          <w:tab w:val="left" w:pos="2268"/>
          <w:tab w:val="left" w:pos="6520"/>
        </w:tabs>
        <w:suppressAutoHyphens/>
        <w:spacing w:line="288" w:lineRule="atLeast"/>
      </w:pPr>
    </w:p>
    <w:p w:rsidR="00000000" w:rsidRDefault="00000000">
      <w:pPr>
        <w:tabs>
          <w:tab w:val="left" w:pos="0"/>
          <w:tab w:val="left" w:pos="567"/>
          <w:tab w:val="left" w:pos="1134"/>
          <w:tab w:val="left" w:pos="1701"/>
          <w:tab w:val="left" w:pos="2268"/>
          <w:tab w:val="left" w:pos="6520"/>
        </w:tabs>
        <w:suppressAutoHyphens/>
        <w:spacing w:line="288" w:lineRule="atLeast"/>
        <w:ind w:left="566" w:hanging="566"/>
      </w:pPr>
      <w:r>
        <w:tab/>
      </w:r>
      <w:r>
        <w:tab/>
        <w:t>Функции этого Комитета заключаются в том, чтобы изучать и предлагать возможные средства упразднения конфессионализма и представлять их на рассмотрение Палаты депутатов и Совета министров, а также продолжать поэтапное осуществление намеченного плана.</w:t>
      </w:r>
    </w:p>
    <w:p w:rsidR="00000000" w:rsidRDefault="00000000">
      <w:pPr>
        <w:tabs>
          <w:tab w:val="left" w:pos="0"/>
          <w:tab w:val="left" w:pos="567"/>
          <w:tab w:val="left" w:pos="1134"/>
          <w:tab w:val="left" w:pos="1701"/>
          <w:tab w:val="left" w:pos="2268"/>
          <w:tab w:val="left" w:pos="6520"/>
        </w:tabs>
        <w:suppressAutoHyphens/>
        <w:spacing w:line="288" w:lineRule="atLeast"/>
      </w:pPr>
    </w:p>
    <w:p w:rsidR="00000000" w:rsidRDefault="00000000">
      <w:pPr>
        <w:tabs>
          <w:tab w:val="left" w:pos="0"/>
          <w:tab w:val="left" w:pos="567"/>
          <w:tab w:val="left" w:pos="1134"/>
          <w:tab w:val="left" w:pos="1701"/>
          <w:tab w:val="left" w:pos="2268"/>
          <w:tab w:val="left" w:pos="6520"/>
        </w:tabs>
        <w:suppressAutoHyphens/>
        <w:spacing w:line="288" w:lineRule="atLeast"/>
        <w:ind w:left="566" w:hanging="566"/>
      </w:pPr>
      <w:r>
        <w:tab/>
      </w:r>
      <w:r>
        <w:tab/>
      </w:r>
      <w:r>
        <w:tab/>
        <w:t>В переходный период:</w:t>
      </w:r>
    </w:p>
    <w:p w:rsidR="00000000" w:rsidRDefault="00000000">
      <w:pPr>
        <w:tabs>
          <w:tab w:val="left" w:pos="0"/>
          <w:tab w:val="left" w:pos="567"/>
          <w:tab w:val="left" w:pos="1134"/>
          <w:tab w:val="left" w:pos="1701"/>
          <w:tab w:val="left" w:pos="2268"/>
          <w:tab w:val="left" w:pos="6520"/>
        </w:tabs>
        <w:suppressAutoHyphens/>
        <w:spacing w:line="288" w:lineRule="atLeast"/>
      </w:pPr>
    </w:p>
    <w:p w:rsidR="00000000" w:rsidRDefault="00000000">
      <w:pPr>
        <w:tabs>
          <w:tab w:val="clear" w:pos="567"/>
          <w:tab w:val="left" w:pos="0"/>
          <w:tab w:val="left" w:pos="561"/>
          <w:tab w:val="left" w:pos="1134"/>
          <w:tab w:val="left" w:pos="1701"/>
          <w:tab w:val="left" w:pos="2268"/>
          <w:tab w:val="left" w:pos="6520"/>
        </w:tabs>
        <w:suppressAutoHyphens/>
        <w:spacing w:line="288" w:lineRule="atLeast"/>
      </w:pPr>
      <w:r>
        <w:tab/>
      </w:r>
      <w:r>
        <w:tab/>
        <w:t>а)</w:t>
      </w:r>
      <w:r>
        <w:tab/>
        <w:t xml:space="preserve">обеспечивается равное представительство общин в правительстве; </w:t>
      </w:r>
    </w:p>
    <w:p w:rsidR="00000000" w:rsidRDefault="00000000">
      <w:pPr>
        <w:tabs>
          <w:tab w:val="clear" w:pos="567"/>
          <w:tab w:val="left" w:pos="0"/>
          <w:tab w:val="left" w:pos="561"/>
          <w:tab w:val="left" w:pos="1134"/>
          <w:tab w:val="left" w:pos="1701"/>
          <w:tab w:val="left" w:pos="2268"/>
          <w:tab w:val="left" w:pos="6520"/>
        </w:tabs>
        <w:suppressAutoHyphens/>
        <w:spacing w:line="288" w:lineRule="atLeast"/>
      </w:pPr>
    </w:p>
    <w:p w:rsidR="00000000" w:rsidRDefault="00000000">
      <w:pPr>
        <w:tabs>
          <w:tab w:val="clear" w:pos="567"/>
          <w:tab w:val="left" w:pos="561"/>
          <w:tab w:val="left" w:pos="1134"/>
          <w:tab w:val="left" w:pos="1701"/>
          <w:tab w:val="left" w:pos="2268"/>
          <w:tab w:val="left" w:pos="6520"/>
        </w:tabs>
        <w:suppressAutoHyphens/>
        <w:spacing w:line="288" w:lineRule="atLeast"/>
        <w:ind w:left="561" w:hanging="561"/>
      </w:pPr>
      <w:r>
        <w:tab/>
      </w:r>
      <w:r>
        <w:tab/>
        <w:t>b)</w:t>
      </w:r>
      <w:r>
        <w:tab/>
        <w:t>упраздняется правило конфессионального представительства.  Вместо него применяются принципы специализации и компетентности кадров на государственной службе, в судебных органах, армии и силах безопасности, государственных предприятиях и предприятиях смешанного сектора экономики, исходя из необходимости национального согласия.  Исключение составляют высшие должности или аналогичные им.  Такие должности распределяются поровну между христианами и мусульманами, причем не допускается закрепления тех или иных должностей за конкретными общинами и соблюдаются принципы специализации и компетентности".</w:t>
      </w:r>
    </w:p>
    <w:p w:rsidR="00000000" w:rsidRDefault="00000000">
      <w:pPr>
        <w:tabs>
          <w:tab w:val="left" w:pos="0"/>
          <w:tab w:val="left" w:pos="567"/>
          <w:tab w:val="left" w:pos="1134"/>
          <w:tab w:val="left" w:pos="1701"/>
          <w:tab w:val="left" w:pos="2268"/>
          <w:tab w:val="left" w:pos="6520"/>
        </w:tabs>
        <w:suppressAutoHyphens/>
        <w:spacing w:line="288" w:lineRule="atLeast"/>
      </w:pPr>
    </w:p>
    <w:p w:rsidR="00000000" w:rsidRDefault="00000000">
      <w:pPr>
        <w:tabs>
          <w:tab w:val="left" w:pos="0"/>
          <w:tab w:val="left" w:pos="567"/>
          <w:tab w:val="left" w:pos="1134"/>
          <w:tab w:val="left" w:pos="1701"/>
          <w:tab w:val="left" w:pos="2268"/>
          <w:tab w:val="left" w:pos="6520"/>
        </w:tabs>
        <w:suppressAutoHyphens/>
        <w:spacing w:line="288" w:lineRule="atLeast"/>
      </w:pPr>
      <w:r>
        <w:t>21.</w:t>
      </w:r>
      <w:r>
        <w:tab/>
        <w:t>Меры по упразднению конфессионализма, путь даже в его политическом аспекте, по</w:t>
      </w:r>
      <w:r>
        <w:noBreakHyphen/>
        <w:t xml:space="preserve">прежнему наталкиваются на сопротивление, так как многие до сих пор воспринимают эту систему как средство обеспечения гражданского мира между ливанцами.  Такое упразднение должно происходить постепенно.  Не следует пренебрегать воспитательной функцией правительства, которое должно занимать гибкую позицию.  В интервью, опубликованном 26 мая 1997 года, премьер-министр Ливана г-н Рафик Харири так кратко охарактеризовал подход правительства:  </w:t>
      </w:r>
    </w:p>
    <w:p w:rsidR="00000000" w:rsidRDefault="00000000">
      <w:pPr>
        <w:tabs>
          <w:tab w:val="left" w:pos="0"/>
          <w:tab w:val="left" w:pos="567"/>
          <w:tab w:val="left" w:pos="1134"/>
          <w:tab w:val="left" w:pos="1701"/>
          <w:tab w:val="left" w:pos="2268"/>
          <w:tab w:val="left" w:pos="6520"/>
        </w:tabs>
        <w:suppressAutoHyphens/>
        <w:spacing w:line="288" w:lineRule="atLeast"/>
      </w:pPr>
    </w:p>
    <w:p w:rsidR="00000000" w:rsidRDefault="00000000">
      <w:pPr>
        <w:tabs>
          <w:tab w:val="left" w:pos="0"/>
          <w:tab w:val="left" w:pos="567"/>
          <w:tab w:val="left" w:pos="1134"/>
          <w:tab w:val="left" w:pos="1701"/>
          <w:tab w:val="left" w:pos="2268"/>
          <w:tab w:val="left" w:pos="6520"/>
        </w:tabs>
        <w:suppressAutoHyphens/>
        <w:spacing w:line="288" w:lineRule="atLeast"/>
        <w:ind w:left="567"/>
      </w:pPr>
      <w:r>
        <w:t>"Речь идет не об упразднении общин, а о необходимости создания национального, а не конфессионального политического класса, при сохранении паритета между христианами и мусульманами.  Надлежит сохранить равное представительство христиан и мусульман в депутатском корпусе, что необходимо для стабильности страны.  Кроме того, следует также оставить неизменным принцип, согласно которому главой государства должен быть маронит, главой правительства - суннит, а председателем парламента - шиит".</w:t>
      </w:r>
    </w:p>
    <w:p w:rsidR="00000000" w:rsidRDefault="00000000">
      <w:pPr>
        <w:tabs>
          <w:tab w:val="left" w:pos="0"/>
          <w:tab w:val="left" w:pos="567"/>
          <w:tab w:val="left" w:pos="1134"/>
          <w:tab w:val="left" w:pos="1701"/>
          <w:tab w:val="left" w:pos="2268"/>
          <w:tab w:val="left" w:pos="6520"/>
        </w:tabs>
        <w:suppressAutoHyphens/>
        <w:spacing w:line="288" w:lineRule="atLeast"/>
      </w:pPr>
    </w:p>
    <w:p w:rsidR="00000000" w:rsidRDefault="00000000">
      <w:pPr>
        <w:tabs>
          <w:tab w:val="center" w:pos="4678"/>
        </w:tabs>
        <w:suppressAutoHyphens/>
        <w:spacing w:line="288" w:lineRule="atLeast"/>
        <w:jc w:val="center"/>
        <w:rPr>
          <w:b/>
          <w:bCs/>
        </w:rPr>
      </w:pPr>
      <w:r>
        <w:rPr>
          <w:b/>
          <w:bCs/>
          <w:lang w:val="en-US"/>
        </w:rPr>
        <w:t>II</w:t>
      </w:r>
      <w:r>
        <w:rPr>
          <w:b/>
          <w:bCs/>
        </w:rPr>
        <w:t>.</w:t>
      </w:r>
      <w:r>
        <w:rPr>
          <w:b/>
          <w:bCs/>
        </w:rPr>
        <w:tab/>
        <w:t>МЕРЫ ПО ОСУЩЕСТВЛЕНИЮ СТАТЬИ 2</w:t>
      </w:r>
    </w:p>
    <w:p w:rsidR="00000000" w:rsidRDefault="00000000">
      <w:pPr>
        <w:tabs>
          <w:tab w:val="left" w:pos="0"/>
          <w:tab w:val="left" w:pos="567"/>
          <w:tab w:val="left" w:pos="1134"/>
          <w:tab w:val="left" w:pos="1701"/>
          <w:tab w:val="left" w:pos="2268"/>
          <w:tab w:val="left" w:pos="6520"/>
        </w:tabs>
        <w:suppressAutoHyphens/>
        <w:spacing w:line="288" w:lineRule="atLeast"/>
        <w:jc w:val="center"/>
        <w:rPr>
          <w:b/>
          <w:bCs/>
        </w:rPr>
      </w:pPr>
    </w:p>
    <w:p w:rsidR="00000000" w:rsidRDefault="00000000">
      <w:pPr>
        <w:tabs>
          <w:tab w:val="left" w:pos="0"/>
          <w:tab w:val="left" w:pos="567"/>
          <w:tab w:val="left" w:pos="1134"/>
          <w:tab w:val="left" w:pos="1701"/>
          <w:tab w:val="left" w:pos="2268"/>
          <w:tab w:val="left" w:pos="6520"/>
        </w:tabs>
        <w:suppressAutoHyphens/>
        <w:spacing w:line="288" w:lineRule="atLeast"/>
      </w:pPr>
      <w:r>
        <w:t>22.</w:t>
      </w:r>
      <w:r>
        <w:tab/>
        <w:t>Во первой части доклада, т.е. в основном документе (HRI/CORE/1/Add.27/</w:t>
      </w:r>
      <w:r>
        <w:rPr>
          <w:lang w:val="en-US"/>
        </w:rPr>
        <w:t>Rev</w:t>
      </w:r>
      <w:r>
        <w:t>.1 от 3 октября 1996 года), уточняется, что договоры, которые были ратифицированы Ливаном или к которым он присоединился, являются частью внутреннего права с момента обмена документами о ратификации или присоединении или с момента их сдачи на хранение.  Те из положений, которые являются достаточно конкретными и точными, подлежат безотлагательному применению (пункт 48).  Следовательно, обязательства, взятые на себя Ливаном в соответствии с подпунктами а) и b) пункта 1, являются частью ливанского позитивного права и выполняются в полной мере.  Ливан не допускает никаких актов или практики расовой дискриминации в отношении лиц, групп лиц или учреждений, находящихся на его территории или за границей.  Государственные власти и национальные и местные государственные органы на практике следуют этому обязательству.  Государство не поощряет, не защищает и не поддерживает связанные с расовой дискриминацией действия и поведение со стороны любых лиц и организаций.</w:t>
      </w:r>
    </w:p>
    <w:p w:rsidR="00000000" w:rsidRDefault="00000000">
      <w:pPr>
        <w:tabs>
          <w:tab w:val="left" w:pos="0"/>
          <w:tab w:val="left" w:pos="567"/>
          <w:tab w:val="left" w:pos="1134"/>
          <w:tab w:val="left" w:pos="1701"/>
          <w:tab w:val="left" w:pos="2268"/>
          <w:tab w:val="left" w:pos="6520"/>
        </w:tabs>
        <w:suppressAutoHyphens/>
        <w:spacing w:line="288" w:lineRule="atLeast"/>
      </w:pPr>
    </w:p>
    <w:p w:rsidR="00000000" w:rsidRDefault="00000000">
      <w:pPr>
        <w:tabs>
          <w:tab w:val="left" w:pos="0"/>
          <w:tab w:val="left" w:pos="567"/>
          <w:tab w:val="left" w:pos="1134"/>
          <w:tab w:val="left" w:pos="1701"/>
          <w:tab w:val="left" w:pos="2268"/>
          <w:tab w:val="left" w:pos="6520"/>
        </w:tabs>
        <w:suppressAutoHyphens/>
        <w:spacing w:line="288" w:lineRule="atLeast"/>
      </w:pPr>
      <w:r>
        <w:t>23.</w:t>
      </w:r>
      <w:r>
        <w:tab/>
        <w:t>В связи с подпунктом c) следует напомнить о поэтапном упразднении упоминавшегося в материалах по статье 1 политического конфессионализма как одного из возможных проявлений дискриминации по признаку родового или этнического происхождения или ее источника.</w:t>
      </w:r>
    </w:p>
    <w:p w:rsidR="00000000" w:rsidRDefault="00000000">
      <w:pPr>
        <w:tabs>
          <w:tab w:val="left" w:pos="0"/>
          <w:tab w:val="left" w:pos="567"/>
          <w:tab w:val="left" w:pos="1134"/>
          <w:tab w:val="left" w:pos="1701"/>
          <w:tab w:val="left" w:pos="2268"/>
          <w:tab w:val="left" w:pos="6520"/>
        </w:tabs>
        <w:suppressAutoHyphens/>
        <w:spacing w:line="288" w:lineRule="atLeast"/>
      </w:pPr>
    </w:p>
    <w:p w:rsidR="00000000" w:rsidRDefault="00000000">
      <w:pPr>
        <w:tabs>
          <w:tab w:val="left" w:pos="0"/>
          <w:tab w:val="left" w:pos="567"/>
          <w:tab w:val="left" w:pos="1134"/>
          <w:tab w:val="left" w:pos="1701"/>
          <w:tab w:val="left" w:pos="2268"/>
          <w:tab w:val="left" w:pos="6520"/>
        </w:tabs>
        <w:suppressAutoHyphens/>
        <w:spacing w:line="288" w:lineRule="atLeast"/>
      </w:pPr>
      <w:r>
        <w:t>24.</w:t>
      </w:r>
      <w:r>
        <w:tab/>
        <w:t>Необходимость в применении подпункта d) о запрещении расовой дискриминации со стороны лиц, групп или организаций не возникала.</w:t>
      </w:r>
    </w:p>
    <w:p w:rsidR="00000000" w:rsidRDefault="00000000">
      <w:pPr>
        <w:tabs>
          <w:tab w:val="left" w:pos="0"/>
          <w:tab w:val="left" w:pos="567"/>
          <w:tab w:val="left" w:pos="1134"/>
          <w:tab w:val="left" w:pos="1701"/>
          <w:tab w:val="left" w:pos="2268"/>
          <w:tab w:val="left" w:pos="6520"/>
        </w:tabs>
        <w:suppressAutoHyphens/>
        <w:spacing w:line="288" w:lineRule="atLeast"/>
      </w:pPr>
    </w:p>
    <w:p w:rsidR="00000000" w:rsidRDefault="00000000">
      <w:pPr>
        <w:tabs>
          <w:tab w:val="left" w:pos="0"/>
          <w:tab w:val="left" w:pos="567"/>
          <w:tab w:val="left" w:pos="1134"/>
          <w:tab w:val="left" w:pos="1701"/>
          <w:tab w:val="left" w:pos="2268"/>
          <w:tab w:val="left" w:pos="6520"/>
        </w:tabs>
        <w:suppressAutoHyphens/>
        <w:spacing w:line="288" w:lineRule="atLeast"/>
      </w:pPr>
      <w:r>
        <w:t>25.</w:t>
      </w:r>
      <w:r>
        <w:tab/>
        <w:t>Что касается пункта e), то с учетом высказанной выше оговорки об отождествлении религиозной общины с этнической группой следует обратить внимание на меру, принятую законодателем Ливана в отношении парламентских выборов.  Пока не упразднена система политического конфессионализма на основании вышеупомянутой статьи 95 Конституции, и в целях укрепления национального единства введен в действие принцип крупного избирательного округа.  Территория страны разделена на шесть мухафаз, в каждой из которых имеется достаточно широкий спектр конфессий.  Таким образом, гражданам Ливана теперь предлагается голосовать не только за кандидатов, принадлежащих к их вероисповеданию, но и за других кандидатов.</w:t>
      </w:r>
    </w:p>
    <w:p w:rsidR="00000000" w:rsidRDefault="00000000">
      <w:pPr>
        <w:tabs>
          <w:tab w:val="left" w:pos="0"/>
          <w:tab w:val="left" w:pos="567"/>
          <w:tab w:val="left" w:pos="1134"/>
          <w:tab w:val="left" w:pos="1701"/>
          <w:tab w:val="left" w:pos="2268"/>
          <w:tab w:val="left" w:pos="6520"/>
        </w:tabs>
        <w:suppressAutoHyphens/>
        <w:spacing w:line="288" w:lineRule="atLeast"/>
      </w:pPr>
    </w:p>
    <w:p w:rsidR="00000000" w:rsidRDefault="00000000">
      <w:pPr>
        <w:tabs>
          <w:tab w:val="left" w:pos="0"/>
          <w:tab w:val="left" w:pos="567"/>
          <w:tab w:val="left" w:pos="1134"/>
          <w:tab w:val="left" w:pos="1701"/>
          <w:tab w:val="left" w:pos="2268"/>
          <w:tab w:val="left" w:pos="6520"/>
        </w:tabs>
        <w:suppressAutoHyphens/>
        <w:spacing w:line="288" w:lineRule="atLeast"/>
      </w:pPr>
      <w:r>
        <w:t>26.</w:t>
      </w:r>
      <w:r>
        <w:tab/>
        <w:t>Необходимость в применении пункта 2 статьи 2, предусматривающего принятие специальных мер в социальной, экономической, культурной и иных областях в интересах некоторых расовых групп или отдельных лиц, принадлежащих к тем или иным группам, не возникала.</w:t>
      </w:r>
    </w:p>
    <w:p w:rsidR="00000000" w:rsidRDefault="00000000">
      <w:pPr>
        <w:tabs>
          <w:tab w:val="left" w:pos="0"/>
          <w:tab w:val="left" w:pos="567"/>
          <w:tab w:val="left" w:pos="1134"/>
          <w:tab w:val="left" w:pos="1701"/>
          <w:tab w:val="left" w:pos="2268"/>
          <w:tab w:val="left" w:pos="6520"/>
        </w:tabs>
        <w:suppressAutoHyphens/>
        <w:spacing w:line="288" w:lineRule="atLeast"/>
      </w:pPr>
    </w:p>
    <w:p w:rsidR="00000000" w:rsidRDefault="00000000">
      <w:pPr>
        <w:tabs>
          <w:tab w:val="center" w:pos="4678"/>
        </w:tabs>
        <w:suppressAutoHyphens/>
        <w:spacing w:line="288" w:lineRule="atLeast"/>
        <w:jc w:val="center"/>
        <w:rPr>
          <w:b/>
          <w:bCs/>
        </w:rPr>
      </w:pPr>
      <w:r>
        <w:rPr>
          <w:b/>
          <w:bCs/>
          <w:lang w:val="en-US"/>
        </w:rPr>
        <w:t>III</w:t>
      </w:r>
      <w:r>
        <w:rPr>
          <w:b/>
          <w:bCs/>
        </w:rPr>
        <w:t>.</w:t>
      </w:r>
      <w:r>
        <w:rPr>
          <w:b/>
          <w:bCs/>
        </w:rPr>
        <w:tab/>
        <w:t>МЕРЫ ПО ОСУЩЕСТВЛЕНИЮ СТАТЬИ 3</w:t>
      </w:r>
    </w:p>
    <w:p w:rsidR="00000000" w:rsidRDefault="00000000">
      <w:pPr>
        <w:tabs>
          <w:tab w:val="left" w:pos="0"/>
          <w:tab w:val="left" w:pos="567"/>
          <w:tab w:val="left" w:pos="1134"/>
          <w:tab w:val="left" w:pos="1701"/>
          <w:tab w:val="left" w:pos="2268"/>
          <w:tab w:val="left" w:pos="6520"/>
        </w:tabs>
        <w:suppressAutoHyphens/>
        <w:spacing w:line="288" w:lineRule="atLeast"/>
      </w:pPr>
    </w:p>
    <w:p w:rsidR="00000000" w:rsidRDefault="00000000">
      <w:pPr>
        <w:tabs>
          <w:tab w:val="left" w:pos="0"/>
          <w:tab w:val="left" w:pos="567"/>
          <w:tab w:val="left" w:pos="1134"/>
          <w:tab w:val="left" w:pos="1701"/>
          <w:tab w:val="left" w:pos="2268"/>
          <w:tab w:val="left" w:pos="6520"/>
        </w:tabs>
        <w:suppressAutoHyphens/>
        <w:spacing w:line="288" w:lineRule="atLeast"/>
      </w:pPr>
      <w:r>
        <w:t>27.</w:t>
      </w:r>
      <w:r>
        <w:tab/>
        <w:t>Ливан всегда осуждал расовую сегрегацию и апартеид.  В частности, он прервал свои дипломатические отношения с Южной Африкой, когда это государство практиковало апартеид, пожертвовав своими экономическими интересами в этой стране, где проживает большое число ливанцев.</w:t>
      </w:r>
    </w:p>
    <w:p w:rsidR="00000000" w:rsidRDefault="00000000">
      <w:pPr>
        <w:tabs>
          <w:tab w:val="left" w:pos="0"/>
          <w:tab w:val="left" w:pos="567"/>
          <w:tab w:val="left" w:pos="1134"/>
          <w:tab w:val="left" w:pos="1701"/>
          <w:tab w:val="left" w:pos="2268"/>
          <w:tab w:val="left" w:pos="6520"/>
        </w:tabs>
        <w:suppressAutoHyphens/>
        <w:spacing w:line="288" w:lineRule="atLeast"/>
      </w:pPr>
    </w:p>
    <w:p w:rsidR="00000000" w:rsidRDefault="00000000">
      <w:pPr>
        <w:tabs>
          <w:tab w:val="center" w:pos="4678"/>
        </w:tabs>
        <w:suppressAutoHyphens/>
        <w:spacing w:line="288" w:lineRule="atLeast"/>
        <w:jc w:val="center"/>
        <w:rPr>
          <w:b/>
          <w:bCs/>
        </w:rPr>
      </w:pPr>
      <w:r>
        <w:rPr>
          <w:b/>
          <w:bCs/>
          <w:lang w:val="en-US"/>
        </w:rPr>
        <w:t>IV</w:t>
      </w:r>
      <w:r>
        <w:rPr>
          <w:b/>
          <w:bCs/>
        </w:rPr>
        <w:t>.</w:t>
      </w:r>
      <w:r>
        <w:rPr>
          <w:b/>
          <w:bCs/>
        </w:rPr>
        <w:tab/>
        <w:t>МЕРЫ ПО ОСУЩЕСТВЛЕНИЮ СТАТЬИ 4</w:t>
      </w:r>
    </w:p>
    <w:p w:rsidR="00000000" w:rsidRDefault="00000000">
      <w:pPr>
        <w:tabs>
          <w:tab w:val="left" w:pos="0"/>
          <w:tab w:val="left" w:pos="567"/>
          <w:tab w:val="left" w:pos="1134"/>
          <w:tab w:val="left" w:pos="1701"/>
          <w:tab w:val="left" w:pos="2268"/>
          <w:tab w:val="left" w:pos="6520"/>
        </w:tabs>
        <w:suppressAutoHyphens/>
        <w:spacing w:line="288" w:lineRule="atLeast"/>
      </w:pPr>
    </w:p>
    <w:p w:rsidR="00000000" w:rsidRDefault="00000000">
      <w:pPr>
        <w:tabs>
          <w:tab w:val="left" w:pos="0"/>
          <w:tab w:val="left" w:pos="567"/>
          <w:tab w:val="left" w:pos="1134"/>
          <w:tab w:val="left" w:pos="1701"/>
          <w:tab w:val="left" w:pos="2268"/>
          <w:tab w:val="left" w:pos="6520"/>
        </w:tabs>
        <w:suppressAutoHyphens/>
        <w:spacing w:line="288" w:lineRule="atLeast"/>
      </w:pPr>
      <w:r>
        <w:t>28.</w:t>
      </w:r>
      <w:r>
        <w:tab/>
        <w:t>За всю свою историю Ливан никогда не практиковал и не допускал на своей территории пропаганды теорий превосходства одной расы или группы лиц определенного цвета кожи или этнического происхождения.  Во время второй мировой войны его политический выбор стал доказательством традиционной приверженности страны принципу неприятия расовой дискриминации.</w:t>
      </w:r>
    </w:p>
    <w:p w:rsidR="00000000" w:rsidRDefault="00000000">
      <w:pPr>
        <w:tabs>
          <w:tab w:val="left" w:pos="0"/>
          <w:tab w:val="left" w:pos="567"/>
          <w:tab w:val="left" w:pos="1134"/>
          <w:tab w:val="left" w:pos="1701"/>
          <w:tab w:val="left" w:pos="2268"/>
          <w:tab w:val="left" w:pos="6520"/>
        </w:tabs>
        <w:suppressAutoHyphens/>
        <w:spacing w:line="288" w:lineRule="atLeast"/>
      </w:pPr>
    </w:p>
    <w:p w:rsidR="00000000" w:rsidRDefault="00000000">
      <w:pPr>
        <w:tabs>
          <w:tab w:val="left" w:pos="0"/>
          <w:tab w:val="left" w:pos="567"/>
          <w:tab w:val="left" w:pos="1134"/>
          <w:tab w:val="left" w:pos="1701"/>
          <w:tab w:val="left" w:pos="2268"/>
          <w:tab w:val="left" w:pos="6520"/>
        </w:tabs>
        <w:suppressAutoHyphens/>
        <w:spacing w:line="288" w:lineRule="atLeast"/>
      </w:pPr>
      <w:r>
        <w:t>29.</w:t>
      </w:r>
      <w:r>
        <w:tab/>
        <w:t>В статье 317 Уголовного кодекса предусматривается, что "любое действие, письменное или устное заявление, целью или следствием которых является возбуждение конфессиональной или расовой ненависти либо разжигание конфликтов между общинами или различными группами населения страны, наказывается тюремным заключением на срок от одного до трех лет и уплатой штрафа в размере от ста тысяч до восьмисот тысяч ливанских фунтов (...)".  Помимо этого, суд может издать распоряжение об опубликовании приговора.</w:t>
      </w:r>
    </w:p>
    <w:p w:rsidR="00000000" w:rsidRDefault="00000000">
      <w:pPr>
        <w:tabs>
          <w:tab w:val="left" w:pos="0"/>
          <w:tab w:val="left" w:pos="567"/>
          <w:tab w:val="left" w:pos="1134"/>
          <w:tab w:val="left" w:pos="1701"/>
          <w:tab w:val="left" w:pos="2268"/>
          <w:tab w:val="left" w:pos="6520"/>
        </w:tabs>
        <w:suppressAutoHyphens/>
        <w:spacing w:line="288" w:lineRule="atLeast"/>
      </w:pPr>
    </w:p>
    <w:p w:rsidR="00000000" w:rsidRDefault="00000000">
      <w:pPr>
        <w:tabs>
          <w:tab w:val="left" w:pos="0"/>
          <w:tab w:val="left" w:pos="567"/>
          <w:tab w:val="left" w:pos="1134"/>
          <w:tab w:val="left" w:pos="1701"/>
          <w:tab w:val="left" w:pos="2268"/>
          <w:tab w:val="left" w:pos="6520"/>
        </w:tabs>
        <w:suppressAutoHyphens/>
        <w:spacing w:line="288" w:lineRule="atLeast"/>
      </w:pPr>
      <w:r>
        <w:t>30.</w:t>
      </w:r>
      <w:r>
        <w:tab/>
        <w:t>Статья 318 предусматривает такое же наказание для "любого участника ассоциации, которая была создана для достижения целей, перечисленных в предыдущей статье".  Срок тюремного заключения не может быть меньше одного года, а размер штрафа - меньше ста тысяч ливанских фунтов, если данное лицо выполняет какие-либо реальные функции в рамках такой ассоциации.  Кроме того, эта ассоциация подлежит роспуску, а ее имущество - конфискуется.</w:t>
      </w:r>
    </w:p>
    <w:p w:rsidR="00000000" w:rsidRDefault="00000000">
      <w:pPr>
        <w:tabs>
          <w:tab w:val="left" w:pos="0"/>
          <w:tab w:val="left" w:pos="567"/>
          <w:tab w:val="left" w:pos="1134"/>
          <w:tab w:val="left" w:pos="1701"/>
          <w:tab w:val="left" w:pos="2268"/>
          <w:tab w:val="left" w:pos="6520"/>
        </w:tabs>
        <w:suppressAutoHyphens/>
        <w:spacing w:line="288" w:lineRule="atLeast"/>
      </w:pPr>
    </w:p>
    <w:p w:rsidR="00000000" w:rsidRDefault="00000000">
      <w:pPr>
        <w:tabs>
          <w:tab w:val="left" w:pos="0"/>
          <w:tab w:val="left" w:pos="567"/>
          <w:tab w:val="left" w:pos="1134"/>
          <w:tab w:val="left" w:pos="1701"/>
          <w:tab w:val="left" w:pos="2268"/>
          <w:tab w:val="left" w:pos="6520"/>
        </w:tabs>
        <w:suppressAutoHyphens/>
        <w:spacing w:line="288" w:lineRule="atLeast"/>
      </w:pPr>
      <w:r>
        <w:t>31.</w:t>
      </w:r>
      <w:r>
        <w:tab/>
        <w:t>Положения законодательства о печати и аудиовизуальных средствах массовой информации, в свою очередь, запрещают публикацию или трансляцию любой информации, которая может способствовать разжиганию конфессиональных или расовых чувств.</w:t>
      </w:r>
    </w:p>
    <w:p w:rsidR="00000000" w:rsidRDefault="00000000">
      <w:pPr>
        <w:tabs>
          <w:tab w:val="left" w:pos="0"/>
          <w:tab w:val="left" w:pos="567"/>
          <w:tab w:val="left" w:pos="1134"/>
          <w:tab w:val="left" w:pos="1701"/>
          <w:tab w:val="left" w:pos="2268"/>
          <w:tab w:val="left" w:pos="6520"/>
        </w:tabs>
        <w:suppressAutoHyphens/>
        <w:spacing w:line="288" w:lineRule="atLeast"/>
      </w:pPr>
    </w:p>
    <w:p w:rsidR="00000000" w:rsidRDefault="00000000">
      <w:pPr>
        <w:tabs>
          <w:tab w:val="left" w:pos="0"/>
          <w:tab w:val="left" w:pos="567"/>
          <w:tab w:val="left" w:pos="1134"/>
          <w:tab w:val="left" w:pos="1701"/>
          <w:tab w:val="left" w:pos="2268"/>
          <w:tab w:val="left" w:pos="6520"/>
        </w:tabs>
        <w:suppressAutoHyphens/>
        <w:spacing w:line="288" w:lineRule="atLeast"/>
        <w:jc w:val="center"/>
        <w:rPr>
          <w:b/>
          <w:bCs/>
        </w:rPr>
      </w:pPr>
      <w:r>
        <w:rPr>
          <w:b/>
          <w:bCs/>
          <w:lang w:val="en-US"/>
        </w:rPr>
        <w:t>V</w:t>
      </w:r>
      <w:r>
        <w:rPr>
          <w:b/>
          <w:bCs/>
        </w:rPr>
        <w:t>.</w:t>
      </w:r>
      <w:r>
        <w:rPr>
          <w:b/>
          <w:bCs/>
        </w:rPr>
        <w:tab/>
        <w:t>МЕРЫ ПО ОСУЩЕСТВЛЕНИЮ СТАТЬИ 5</w:t>
      </w:r>
    </w:p>
    <w:p w:rsidR="00000000" w:rsidRDefault="00000000">
      <w:pPr>
        <w:tabs>
          <w:tab w:val="left" w:pos="0"/>
          <w:tab w:val="left" w:pos="567"/>
          <w:tab w:val="left" w:pos="1134"/>
          <w:tab w:val="left" w:pos="1701"/>
          <w:tab w:val="left" w:pos="2268"/>
          <w:tab w:val="left" w:pos="6520"/>
        </w:tabs>
        <w:suppressAutoHyphens/>
        <w:spacing w:line="288" w:lineRule="atLeast"/>
        <w:jc w:val="center"/>
        <w:rPr>
          <w:b/>
          <w:bCs/>
        </w:rPr>
      </w:pPr>
    </w:p>
    <w:p w:rsidR="00000000" w:rsidRDefault="00000000">
      <w:pPr>
        <w:tabs>
          <w:tab w:val="left" w:pos="0"/>
          <w:tab w:val="left" w:pos="567"/>
          <w:tab w:val="left" w:pos="1134"/>
          <w:tab w:val="left" w:pos="1701"/>
          <w:tab w:val="left" w:pos="2268"/>
          <w:tab w:val="left" w:pos="6520"/>
        </w:tabs>
        <w:suppressAutoHyphens/>
        <w:spacing w:line="288" w:lineRule="atLeast"/>
      </w:pPr>
    </w:p>
    <w:p w:rsidR="00000000" w:rsidRDefault="00000000">
      <w:pPr>
        <w:tabs>
          <w:tab w:val="left" w:pos="0"/>
          <w:tab w:val="left" w:pos="567"/>
          <w:tab w:val="left" w:pos="1134"/>
          <w:tab w:val="left" w:pos="1701"/>
          <w:tab w:val="left" w:pos="2268"/>
          <w:tab w:val="left" w:pos="6520"/>
        </w:tabs>
        <w:suppressAutoHyphens/>
        <w:spacing w:line="288" w:lineRule="atLeast"/>
      </w:pPr>
      <w:r>
        <w:t>32.</w:t>
      </w:r>
      <w:r>
        <w:tab/>
        <w:t xml:space="preserve">Пункт c) преамбулы, добавленной к Конституции Ливана 21 сентября 1990 года, гласит: </w:t>
      </w:r>
    </w:p>
    <w:p w:rsidR="00000000" w:rsidRDefault="00000000">
      <w:pPr>
        <w:tabs>
          <w:tab w:val="left" w:pos="0"/>
          <w:tab w:val="left" w:pos="567"/>
          <w:tab w:val="left" w:pos="1134"/>
          <w:tab w:val="left" w:pos="1701"/>
          <w:tab w:val="left" w:pos="2268"/>
          <w:tab w:val="left" w:pos="6520"/>
        </w:tabs>
        <w:suppressAutoHyphens/>
        <w:spacing w:line="288" w:lineRule="atLeast"/>
      </w:pPr>
    </w:p>
    <w:p w:rsidR="00000000" w:rsidRDefault="00000000">
      <w:pPr>
        <w:tabs>
          <w:tab w:val="left" w:pos="0"/>
          <w:tab w:val="left" w:pos="567"/>
          <w:tab w:val="left" w:pos="1134"/>
          <w:tab w:val="left" w:pos="1701"/>
          <w:tab w:val="left" w:pos="2268"/>
          <w:tab w:val="left" w:pos="6520"/>
        </w:tabs>
        <w:suppressAutoHyphens/>
        <w:spacing w:line="288" w:lineRule="atLeast"/>
        <w:ind w:left="567" w:hanging="567"/>
      </w:pPr>
      <w:r>
        <w:tab/>
        <w:t>"Ливан - демократическая Республика парламентского типа, основанная на принципах уважения публичных свобод, прежде всего свободы выражения убеждений и свободы верований, а также на принципах социальной справедливости и равенства прав и обязанностей всех граждан без каких</w:t>
      </w:r>
      <w:r>
        <w:noBreakHyphen/>
        <w:t>либо различий или предпочтений".</w:t>
      </w:r>
    </w:p>
    <w:p w:rsidR="00000000" w:rsidRDefault="00000000">
      <w:pPr>
        <w:tabs>
          <w:tab w:val="left" w:pos="0"/>
          <w:tab w:val="left" w:pos="567"/>
          <w:tab w:val="left" w:pos="1134"/>
          <w:tab w:val="left" w:pos="1701"/>
          <w:tab w:val="left" w:pos="2268"/>
          <w:tab w:val="left" w:pos="6520"/>
        </w:tabs>
        <w:suppressAutoHyphens/>
        <w:spacing w:line="288" w:lineRule="atLeast"/>
      </w:pPr>
    </w:p>
    <w:p w:rsidR="00000000" w:rsidRDefault="00000000">
      <w:pPr>
        <w:tabs>
          <w:tab w:val="left" w:pos="0"/>
          <w:tab w:val="left" w:pos="567"/>
          <w:tab w:val="left" w:pos="1134"/>
          <w:tab w:val="left" w:pos="1701"/>
          <w:tab w:val="left" w:pos="2268"/>
          <w:tab w:val="left" w:pos="6520"/>
        </w:tabs>
        <w:suppressAutoHyphens/>
        <w:spacing w:line="288" w:lineRule="atLeast"/>
      </w:pPr>
      <w:r>
        <w:t>33.</w:t>
      </w:r>
      <w:r>
        <w:tab/>
        <w:t>С другой стороны, статья 7 главы 2 Конституции, озаглавленной "Ливанцы, их права и обязанности", гласит:  "Все ливанцы равны перед законом.  Они в равной степени, без каких-либо различий, пользуются гражданскими и политическими правами и в равной степени разделяют бремя общественных требований и обязанностей".</w:t>
      </w:r>
    </w:p>
    <w:p w:rsidR="00000000" w:rsidRDefault="00000000">
      <w:pPr>
        <w:tabs>
          <w:tab w:val="left" w:pos="0"/>
          <w:tab w:val="left" w:pos="567"/>
          <w:tab w:val="left" w:pos="1134"/>
          <w:tab w:val="left" w:pos="1701"/>
          <w:tab w:val="left" w:pos="2268"/>
          <w:tab w:val="left" w:pos="6520"/>
        </w:tabs>
        <w:suppressAutoHyphens/>
        <w:spacing w:line="288" w:lineRule="atLeast"/>
      </w:pPr>
    </w:p>
    <w:p w:rsidR="00000000" w:rsidRDefault="00000000">
      <w:pPr>
        <w:tabs>
          <w:tab w:val="left" w:pos="0"/>
          <w:tab w:val="left" w:pos="567"/>
          <w:tab w:val="left" w:pos="1134"/>
          <w:tab w:val="left" w:pos="1701"/>
          <w:tab w:val="left" w:pos="2268"/>
          <w:tab w:val="left" w:pos="6520"/>
        </w:tabs>
        <w:suppressAutoHyphens/>
        <w:spacing w:line="288" w:lineRule="atLeast"/>
      </w:pPr>
      <w:r>
        <w:t>34.</w:t>
      </w:r>
      <w:r>
        <w:tab/>
        <w:t>Как и во многих других конституциях, в Конституции Ливана говорится о равенстве прав и обязанностей граждан, а не мужчин и женщин вообще.  Вместе с тем следует обратить внимание на то, что ни в одном из положений ливанского права не устанавливается межрасовых или каких-либо иных различий между людьми по признаку цвета кожи либо национального или этнического происхождения.  Кстати, как уже говорилось в основном документе, в преамбуле Конституции подтверждается приверженность Ливана Всеобщей декларации прав человека.</w:t>
      </w:r>
    </w:p>
    <w:p w:rsidR="00000000" w:rsidRDefault="00000000">
      <w:pPr>
        <w:tabs>
          <w:tab w:val="left" w:pos="0"/>
          <w:tab w:val="left" w:pos="567"/>
          <w:tab w:val="left" w:pos="1134"/>
          <w:tab w:val="left" w:pos="1701"/>
          <w:tab w:val="left" w:pos="2268"/>
          <w:tab w:val="left" w:pos="6520"/>
        </w:tabs>
        <w:suppressAutoHyphens/>
        <w:spacing w:line="288" w:lineRule="atLeast"/>
      </w:pPr>
    </w:p>
    <w:p w:rsidR="00000000" w:rsidRDefault="00000000">
      <w:pPr>
        <w:tabs>
          <w:tab w:val="left" w:pos="0"/>
          <w:tab w:val="left" w:pos="567"/>
          <w:tab w:val="left" w:pos="1134"/>
          <w:tab w:val="left" w:pos="1701"/>
          <w:tab w:val="left" w:pos="2268"/>
          <w:tab w:val="left" w:pos="6520"/>
        </w:tabs>
        <w:suppressAutoHyphens/>
        <w:spacing w:line="288" w:lineRule="atLeast"/>
      </w:pPr>
      <w:r>
        <w:t>35.</w:t>
      </w:r>
      <w:r>
        <w:tab/>
        <w:t>На ливанской земле находятся более 400 000 палестинских беженцев (около 20% жителей), рабочие из Сирии, Египта, Судана, Эфиопии, Шри-Ланки, Филиппин, Индии и т.д.  На стройках, заводах, заправочных станциях, в больницах и частных домах (в качестве прислуги) работают более 800 000 иностранцев.  Для них не существует никаких ограничений в том, что касается свободы совести, свободы ассоциации, пользования каждым из них своим национальным языком, отправления культа или празднования религиозных и светских праздников.  Ничто не ограничивает им доступ в суды.</w:t>
      </w:r>
    </w:p>
    <w:p w:rsidR="00000000" w:rsidRDefault="00000000">
      <w:pPr>
        <w:tabs>
          <w:tab w:val="left" w:pos="0"/>
          <w:tab w:val="left" w:pos="567"/>
          <w:tab w:val="left" w:pos="1134"/>
          <w:tab w:val="left" w:pos="1701"/>
          <w:tab w:val="left" w:pos="2268"/>
          <w:tab w:val="left" w:pos="6520"/>
        </w:tabs>
        <w:suppressAutoHyphens/>
        <w:spacing w:line="288" w:lineRule="atLeast"/>
      </w:pPr>
    </w:p>
    <w:p w:rsidR="00000000" w:rsidRDefault="00000000">
      <w:pPr>
        <w:tabs>
          <w:tab w:val="left" w:pos="0"/>
          <w:tab w:val="left" w:pos="567"/>
          <w:tab w:val="left" w:pos="1134"/>
          <w:tab w:val="left" w:pos="1701"/>
          <w:tab w:val="left" w:pos="2268"/>
          <w:tab w:val="left" w:pos="6520"/>
        </w:tabs>
        <w:suppressAutoHyphens/>
        <w:spacing w:line="288" w:lineRule="atLeast"/>
      </w:pPr>
      <w:r>
        <w:t>36.</w:t>
      </w:r>
      <w:r>
        <w:tab/>
        <w:t>Что касается равенства перед судом, то ни одно из положений Гражданского процессуального и Уголовно-процессуального кодексов, Закона об организации Государственного совета, являющегося органом административной юстиции, ни одно из положений, регламентирующих деятельность различных дисциплинарных судов по профессиям, не допускает никакой дискриминации по признаку расы, цвета кожи, родового, национального или этнического происхождения по отношению к участникам судебного процесса.  Это же можно сказать и о повседневной практике данных судебных органов.</w:t>
      </w:r>
    </w:p>
    <w:p w:rsidR="00000000" w:rsidRDefault="00000000">
      <w:pPr>
        <w:tabs>
          <w:tab w:val="left" w:pos="0"/>
          <w:tab w:val="left" w:pos="567"/>
          <w:tab w:val="left" w:pos="1134"/>
          <w:tab w:val="left" w:pos="1701"/>
          <w:tab w:val="left" w:pos="2268"/>
          <w:tab w:val="left" w:pos="6520"/>
        </w:tabs>
        <w:suppressAutoHyphens/>
        <w:spacing w:line="288" w:lineRule="atLeast"/>
      </w:pPr>
    </w:p>
    <w:p w:rsidR="00000000" w:rsidRDefault="00000000">
      <w:pPr>
        <w:tabs>
          <w:tab w:val="left" w:pos="0"/>
          <w:tab w:val="left" w:pos="567"/>
          <w:tab w:val="left" w:pos="1134"/>
          <w:tab w:val="left" w:pos="1701"/>
          <w:tab w:val="left" w:pos="2268"/>
          <w:tab w:val="left" w:pos="6520"/>
        </w:tabs>
        <w:suppressAutoHyphens/>
        <w:spacing w:line="288" w:lineRule="atLeast"/>
      </w:pPr>
      <w:r>
        <w:t>37.</w:t>
      </w:r>
      <w:r>
        <w:tab/>
        <w:t>Ни одно из положений Уголовного кодекса Ливана о защите права на личную безопасность и права на защиту от насилия или жестокого обращения со стороны должностных лиц, частных лиц, групп или учреждений не разрешает допускать какую бы то ни было расовую дискриминацию.  Это также относится к упоминавшимся выше процессуальным кодексам и Закону о пенитенциарной системе.  Никаких серьезных нарушений этих принципов не отмечалось.</w:t>
      </w:r>
    </w:p>
    <w:p w:rsidR="00000000" w:rsidRDefault="00000000">
      <w:pPr>
        <w:tabs>
          <w:tab w:val="left" w:pos="0"/>
          <w:tab w:val="left" w:pos="567"/>
          <w:tab w:val="left" w:pos="1134"/>
          <w:tab w:val="left" w:pos="1701"/>
          <w:tab w:val="left" w:pos="2268"/>
          <w:tab w:val="left" w:pos="6520"/>
        </w:tabs>
        <w:suppressAutoHyphens/>
        <w:spacing w:line="288" w:lineRule="atLeast"/>
      </w:pPr>
    </w:p>
    <w:p w:rsidR="00000000" w:rsidRDefault="00000000">
      <w:pPr>
        <w:tabs>
          <w:tab w:val="left" w:pos="0"/>
          <w:tab w:val="left" w:pos="567"/>
          <w:tab w:val="left" w:pos="1134"/>
          <w:tab w:val="left" w:pos="1701"/>
          <w:tab w:val="left" w:pos="2268"/>
          <w:tab w:val="left" w:pos="6520"/>
        </w:tabs>
        <w:suppressAutoHyphens/>
        <w:spacing w:line="288" w:lineRule="atLeast"/>
      </w:pPr>
      <w:r>
        <w:t>38.</w:t>
      </w:r>
      <w:r>
        <w:tab/>
        <w:t>Кроме того, следует напомнить, что в статье 14 Конституции говорится:  "Жилище неприкосновенно.  Никто не может проникнуть в него иначе, как в случаях и в порядке, предусмотренных законом".</w:t>
      </w:r>
    </w:p>
    <w:p w:rsidR="00000000" w:rsidRDefault="00000000">
      <w:pPr>
        <w:tabs>
          <w:tab w:val="left" w:pos="0"/>
          <w:tab w:val="left" w:pos="567"/>
          <w:tab w:val="left" w:pos="1134"/>
          <w:tab w:val="left" w:pos="1701"/>
          <w:tab w:val="left" w:pos="2268"/>
          <w:tab w:val="left" w:pos="6520"/>
        </w:tabs>
        <w:suppressAutoHyphens/>
        <w:spacing w:line="288" w:lineRule="atLeast"/>
      </w:pPr>
    </w:p>
    <w:p w:rsidR="00000000" w:rsidRDefault="00000000">
      <w:pPr>
        <w:tabs>
          <w:tab w:val="left" w:pos="0"/>
          <w:tab w:val="left" w:pos="567"/>
          <w:tab w:val="left" w:pos="1134"/>
          <w:tab w:val="left" w:pos="1701"/>
          <w:tab w:val="left" w:pos="2268"/>
          <w:tab w:val="left" w:pos="6520"/>
        </w:tabs>
        <w:suppressAutoHyphens/>
        <w:spacing w:line="288" w:lineRule="atLeast"/>
      </w:pPr>
      <w:r>
        <w:t>39.</w:t>
      </w:r>
      <w:r>
        <w:tab/>
        <w:t>Практика применения положений пункта e) статьи 5 о политических правах обстоятельно рассматривается в настоящем докладе в материалах к статье 1.  В этой связи следует напомнить, что в Ливане парламентские и муниципальные выборы проводятся на основе всеобщего избирательного права.  Следует также напомнить, что статья 7 Конституции гласит:  "Все ливанцы равны перед законом.  Они в равной степени, без каких-либо различий, пользуются гражданскими и политическими правами и в равной степени разделяют бремя общественных требований и обязанностей.</w:t>
      </w:r>
    </w:p>
    <w:p w:rsidR="00000000" w:rsidRDefault="00000000">
      <w:pPr>
        <w:tabs>
          <w:tab w:val="left" w:pos="0"/>
          <w:tab w:val="left" w:pos="567"/>
          <w:tab w:val="left" w:pos="1134"/>
          <w:tab w:val="left" w:pos="1701"/>
          <w:tab w:val="left" w:pos="2268"/>
          <w:tab w:val="left" w:pos="6520"/>
        </w:tabs>
        <w:suppressAutoHyphens/>
        <w:spacing w:line="288" w:lineRule="atLeast"/>
      </w:pPr>
    </w:p>
    <w:p w:rsidR="00000000" w:rsidRDefault="00000000">
      <w:pPr>
        <w:tabs>
          <w:tab w:val="left" w:pos="0"/>
          <w:tab w:val="left" w:pos="567"/>
          <w:tab w:val="left" w:pos="1134"/>
          <w:tab w:val="left" w:pos="1701"/>
          <w:tab w:val="left" w:pos="2268"/>
          <w:tab w:val="left" w:pos="6520"/>
        </w:tabs>
        <w:suppressAutoHyphens/>
        <w:spacing w:line="288" w:lineRule="atLeast"/>
      </w:pPr>
      <w:r>
        <w:t>40.</w:t>
      </w:r>
      <w:r>
        <w:tab/>
        <w:t>Что касается права на свободу передвижения и на выбор места жительства в пределах территории страны, право покидать страну и возвращаться в нее, то в этой связи следует обратить внимание на следующее.  В целях изменения вынужденно сложившегося географического распределения ливанского населения по признаку конфессиональной принадлежности, причиной которого стал вооруженный конфликт, разрушавший страну более 15 лет, в пункте I преамбулы, добавленной к Конституции Ливана 21 сентября 1990 года, предусмотрены следующие положения:</w:t>
      </w:r>
    </w:p>
    <w:p w:rsidR="00000000" w:rsidRDefault="00000000">
      <w:pPr>
        <w:tabs>
          <w:tab w:val="left" w:pos="0"/>
          <w:tab w:val="left" w:pos="567"/>
          <w:tab w:val="left" w:pos="1134"/>
          <w:tab w:val="left" w:pos="1701"/>
          <w:tab w:val="left" w:pos="2268"/>
          <w:tab w:val="left" w:pos="6520"/>
        </w:tabs>
        <w:suppressAutoHyphens/>
        <w:spacing w:line="288" w:lineRule="atLeast"/>
      </w:pPr>
    </w:p>
    <w:p w:rsidR="00000000" w:rsidRDefault="00000000">
      <w:pPr>
        <w:tabs>
          <w:tab w:val="left" w:pos="0"/>
          <w:tab w:val="left" w:pos="567"/>
          <w:tab w:val="left" w:pos="1134"/>
          <w:tab w:val="left" w:pos="1701"/>
          <w:tab w:val="left" w:pos="2268"/>
          <w:tab w:val="left" w:pos="6520"/>
        </w:tabs>
        <w:suppressAutoHyphens/>
        <w:spacing w:line="288" w:lineRule="atLeast"/>
        <w:ind w:left="566" w:hanging="566"/>
      </w:pPr>
      <w:r>
        <w:tab/>
        <w:t>"Национальная территория принадлежит всем ливанцам.  Каждый гражданин имеет право проживать на любой части этой территории и пользоваться ею, уважая суверенитет закона.  (Географическое) распределение населения по признаку той или иной принадлежности запрещается, как запрещается и дробление, раздел (территории) и заселение (палестинцами)".</w:t>
      </w:r>
    </w:p>
    <w:p w:rsidR="00000000" w:rsidRDefault="00000000">
      <w:pPr>
        <w:tabs>
          <w:tab w:val="left" w:pos="0"/>
          <w:tab w:val="left" w:pos="567"/>
          <w:tab w:val="left" w:pos="1134"/>
          <w:tab w:val="left" w:pos="1701"/>
          <w:tab w:val="left" w:pos="2268"/>
          <w:tab w:val="left" w:pos="6520"/>
        </w:tabs>
        <w:suppressAutoHyphens/>
        <w:spacing w:line="288" w:lineRule="atLeast"/>
      </w:pPr>
    </w:p>
    <w:p w:rsidR="00000000" w:rsidRDefault="00000000">
      <w:pPr>
        <w:tabs>
          <w:tab w:val="left" w:pos="0"/>
          <w:tab w:val="left" w:pos="567"/>
          <w:tab w:val="left" w:pos="1134"/>
          <w:tab w:val="left" w:pos="1701"/>
          <w:tab w:val="left" w:pos="2268"/>
          <w:tab w:val="left" w:pos="6520"/>
        </w:tabs>
        <w:suppressAutoHyphens/>
        <w:spacing w:line="288" w:lineRule="atLeast"/>
      </w:pPr>
      <w:r>
        <w:t>41.</w:t>
      </w:r>
      <w:r>
        <w:tab/>
        <w:t>Для реализации этого принципа в настоящее время осуществляется обширная программа, направленная на создание условий для возвращения перемещенных лиц в исконные места их проживания, откуда им пришлось уйти вследствие вооруженных конфликтов, в частности из-за кровавых событий в начале сентября 1983 года после сопровождавшегося зверствами вывода израильских войск с некоторых ливанских территорий.  Она предусматривает организацию примирительных собраний в деревнях, затронутых перемещением населения, с последующим предоставлением субсидий на восстановление или реконструкцию жилья.</w:t>
      </w:r>
    </w:p>
    <w:p w:rsidR="00000000" w:rsidRDefault="00000000">
      <w:pPr>
        <w:tabs>
          <w:tab w:val="left" w:pos="0"/>
          <w:tab w:val="left" w:pos="567"/>
          <w:tab w:val="left" w:pos="1134"/>
          <w:tab w:val="left" w:pos="1701"/>
          <w:tab w:val="left" w:pos="2268"/>
          <w:tab w:val="left" w:pos="6520"/>
        </w:tabs>
        <w:suppressAutoHyphens/>
        <w:spacing w:line="288" w:lineRule="atLeast"/>
      </w:pPr>
    </w:p>
    <w:p w:rsidR="00000000" w:rsidRDefault="00000000">
      <w:pPr>
        <w:tabs>
          <w:tab w:val="left" w:pos="0"/>
          <w:tab w:val="left" w:pos="567"/>
          <w:tab w:val="left" w:pos="1134"/>
          <w:tab w:val="left" w:pos="1701"/>
          <w:tab w:val="left" w:pos="2268"/>
          <w:tab w:val="left" w:pos="6520"/>
        </w:tabs>
        <w:suppressAutoHyphens/>
        <w:spacing w:line="288" w:lineRule="atLeast"/>
      </w:pPr>
      <w:r>
        <w:t>42.</w:t>
      </w:r>
      <w:r>
        <w:tab/>
        <w:t>Что касается права покидать страну, то здесь перед правительством стоит одна проблема - проблема свободного возвращения некоторых иностранных работников в их страну.  Некоторые ливанские работодатели "конфискуют" паспорта своих иностранных работников:  затратив определенную сумму, в частности на оплату расходов на приезд работника из страны его происхождения в Ливан, работодатель хочет быть уверенным, что последний будет выполнять трудовой договор какое-то минимальное время, необходимое для покрытия его расходов.  Обычно в этом случае работники обращаются в консульство своей страны в Ливане, следуя процедуре, действующей на случай утери паспорта.  Вместе с тем следует подчеркнуть, что эта достойная сожаления практика в отношении иностранных работников, которая, кстати, отражена в общей части Уголовного кодекса, никак не связана с мотивами расового характера.</w:t>
      </w:r>
    </w:p>
    <w:p w:rsidR="00000000" w:rsidRDefault="00000000">
      <w:pPr>
        <w:tabs>
          <w:tab w:val="left" w:pos="0"/>
          <w:tab w:val="left" w:pos="567"/>
          <w:tab w:val="left" w:pos="1134"/>
          <w:tab w:val="left" w:pos="1701"/>
          <w:tab w:val="left" w:pos="2268"/>
          <w:tab w:val="left" w:pos="6520"/>
        </w:tabs>
        <w:suppressAutoHyphens/>
        <w:spacing w:line="288" w:lineRule="atLeast"/>
      </w:pPr>
    </w:p>
    <w:p w:rsidR="00000000" w:rsidRDefault="00000000">
      <w:pPr>
        <w:tabs>
          <w:tab w:val="left" w:pos="0"/>
          <w:tab w:val="left" w:pos="567"/>
          <w:tab w:val="left" w:pos="1134"/>
          <w:tab w:val="left" w:pos="1701"/>
          <w:tab w:val="left" w:pos="2268"/>
          <w:tab w:val="left" w:pos="6520"/>
        </w:tabs>
        <w:suppressAutoHyphens/>
        <w:spacing w:line="288" w:lineRule="atLeast"/>
      </w:pPr>
      <w:r>
        <w:t>43.</w:t>
      </w:r>
      <w:r>
        <w:tab/>
        <w:t xml:space="preserve">Право на ливанское гражданство приобретается на основании принципа </w:t>
      </w:r>
      <w:r>
        <w:rPr>
          <w:i/>
          <w:iCs/>
        </w:rPr>
        <w:t>jus sanguinis</w:t>
      </w:r>
      <w:r>
        <w:t>.  Однако, чтобы положить конец весьма распространенному явлению безгражданства, которое затрагивает целые семьи, жившие на ливанской земле еще до 1920 года, был установлен принцип групповой натурализации.  При этом подписанный в 1994 году указ о натурализации распространялся на лиц, уже имевших гражданство других стран, в связи с чем общее число лиц, получивших гражданство по этой процедуре, составило 8% всего населения.</w:t>
      </w:r>
    </w:p>
    <w:p w:rsidR="00000000" w:rsidRDefault="00000000">
      <w:pPr>
        <w:tabs>
          <w:tab w:val="left" w:pos="0"/>
          <w:tab w:val="left" w:pos="567"/>
          <w:tab w:val="left" w:pos="1134"/>
          <w:tab w:val="left" w:pos="1701"/>
          <w:tab w:val="left" w:pos="2268"/>
          <w:tab w:val="left" w:pos="6520"/>
        </w:tabs>
        <w:suppressAutoHyphens/>
        <w:spacing w:line="288" w:lineRule="atLeast"/>
      </w:pPr>
    </w:p>
    <w:p w:rsidR="00000000" w:rsidRDefault="00000000">
      <w:pPr>
        <w:tabs>
          <w:tab w:val="left" w:pos="0"/>
          <w:tab w:val="left" w:pos="567"/>
          <w:tab w:val="left" w:pos="1134"/>
          <w:tab w:val="left" w:pos="1701"/>
          <w:tab w:val="left" w:pos="2268"/>
          <w:tab w:val="left" w:pos="6520"/>
        </w:tabs>
        <w:suppressAutoHyphens/>
        <w:spacing w:line="288" w:lineRule="atLeast"/>
      </w:pPr>
      <w:r>
        <w:t>44.</w:t>
      </w:r>
      <w:r>
        <w:tab/>
        <w:t>Право на вступление в брак упоминалось в материалах к статье 1 в связи с конфессионализмом.  Браки между последователями разных направлений в рамках одной и той же мировой религии, мусульманской или христианской, встречаются довольно часто.  Исключение составляет община друзов, где практикуется эндогамия.  Смешанные браки между мусульманами и христианами, хотя и возможны, как правило, не встречают поддержки в семейной среде и заключаются довольно редко.  С учетом этих оговорок в обычной ситуации нет никаких препятствий к тому, чтобы лицо могло свободно выбрать себе супруга.</w:t>
      </w:r>
    </w:p>
    <w:p w:rsidR="00000000" w:rsidRDefault="00000000">
      <w:pPr>
        <w:tabs>
          <w:tab w:val="left" w:pos="0"/>
          <w:tab w:val="left" w:pos="567"/>
          <w:tab w:val="left" w:pos="1134"/>
          <w:tab w:val="left" w:pos="1701"/>
          <w:tab w:val="left" w:pos="2268"/>
          <w:tab w:val="left" w:pos="6520"/>
        </w:tabs>
        <w:suppressAutoHyphens/>
        <w:spacing w:line="288" w:lineRule="atLeast"/>
      </w:pPr>
    </w:p>
    <w:p w:rsidR="00000000" w:rsidRDefault="00000000">
      <w:pPr>
        <w:tabs>
          <w:tab w:val="left" w:pos="0"/>
          <w:tab w:val="left" w:pos="567"/>
          <w:tab w:val="left" w:pos="1134"/>
          <w:tab w:val="left" w:pos="1701"/>
          <w:tab w:val="left" w:pos="2268"/>
          <w:tab w:val="left" w:pos="6520"/>
        </w:tabs>
        <w:suppressAutoHyphens/>
        <w:spacing w:line="288" w:lineRule="atLeast"/>
      </w:pPr>
      <w:r>
        <w:t>45.</w:t>
      </w:r>
      <w:r>
        <w:tab/>
        <w:t>Института гражданского брака в Ливане не существует, поэтому в стране нет и норм гражданского законодательства, регламентирующих такие браки.  Пожелавший жениться ливанец должен следовать тому религиозному обряду бракосочетания, который характерен для его общины.  Как отмечалось выше, гражданский брак, заключенный за границей, ливанскими властями признается.  В случае споров ливанские суды по гражданским делам применяют законодательство, действующее в месте бракосочетания.  Иностранцы могут заключить брак в консульстве своей страны, если это допускается их национальным законодательством.</w:t>
      </w:r>
    </w:p>
    <w:p w:rsidR="00000000" w:rsidRDefault="00000000">
      <w:pPr>
        <w:tabs>
          <w:tab w:val="left" w:pos="0"/>
          <w:tab w:val="left" w:pos="567"/>
          <w:tab w:val="left" w:pos="1134"/>
          <w:tab w:val="left" w:pos="1701"/>
          <w:tab w:val="left" w:pos="2268"/>
          <w:tab w:val="left" w:pos="6520"/>
        </w:tabs>
        <w:suppressAutoHyphens/>
        <w:spacing w:line="288" w:lineRule="atLeast"/>
      </w:pPr>
    </w:p>
    <w:p w:rsidR="00000000" w:rsidRDefault="00000000">
      <w:pPr>
        <w:tabs>
          <w:tab w:val="left" w:pos="0"/>
          <w:tab w:val="left" w:pos="567"/>
          <w:tab w:val="left" w:pos="1134"/>
          <w:tab w:val="left" w:pos="1701"/>
          <w:tab w:val="left" w:pos="2268"/>
          <w:tab w:val="left" w:pos="6520"/>
        </w:tabs>
        <w:suppressAutoHyphens/>
        <w:spacing w:line="288" w:lineRule="atLeast"/>
      </w:pPr>
      <w:r>
        <w:t>46.</w:t>
      </w:r>
      <w:r>
        <w:tab/>
        <w:t>Президент Республики недавно предложил разработать в дополнение к действующим конфессиональным законам гражданское законодательство о личном статусе, браке и семейном праве для иностранцев, живущих в Ливане, и тех ливанцев, которые этого пожелают.  Но это предложение не нашло позитивного отклика.</w:t>
      </w:r>
    </w:p>
    <w:p w:rsidR="00000000" w:rsidRDefault="00000000">
      <w:pPr>
        <w:tabs>
          <w:tab w:val="left" w:pos="0"/>
          <w:tab w:val="left" w:pos="567"/>
          <w:tab w:val="left" w:pos="1134"/>
          <w:tab w:val="left" w:pos="1701"/>
          <w:tab w:val="left" w:pos="2268"/>
          <w:tab w:val="left" w:pos="6520"/>
        </w:tabs>
        <w:suppressAutoHyphens/>
        <w:spacing w:line="288" w:lineRule="atLeast"/>
      </w:pPr>
    </w:p>
    <w:p w:rsidR="00000000" w:rsidRDefault="00000000">
      <w:pPr>
        <w:tabs>
          <w:tab w:val="left" w:pos="0"/>
          <w:tab w:val="left" w:pos="567"/>
          <w:tab w:val="left" w:pos="1134"/>
          <w:tab w:val="left" w:pos="1701"/>
          <w:tab w:val="left" w:pos="2268"/>
          <w:tab w:val="left" w:pos="6520"/>
        </w:tabs>
        <w:suppressAutoHyphens/>
        <w:spacing w:line="288" w:lineRule="atLeast"/>
      </w:pPr>
      <w:r>
        <w:t>47.</w:t>
      </w:r>
      <w:r>
        <w:tab/>
        <w:t>Что касается права на владение имуществом, то в статье 15 Конституции Ливана говорится, что "право собственности охраняется законом.  Никто не может быть лишен своей собственности, кроме как исходя из соображений общественной полезности, в случаях, предусмотренных законом, и на основе заблаговременной выплаты справедливой компенсации".  Практика применения этой статьи, ее толкование в законах и нормативных актах не дают оснований говорить о какой бы то ни было расовой дискриминации.  В законе о земельной собственности установлена предельная площадь участков, приобретаемых неливанцами, но без проведения каких-либо различий по признаку расы.</w:t>
      </w:r>
    </w:p>
    <w:p w:rsidR="00000000" w:rsidRDefault="00000000">
      <w:pPr>
        <w:tabs>
          <w:tab w:val="left" w:pos="0"/>
          <w:tab w:val="left" w:pos="567"/>
          <w:tab w:val="left" w:pos="1134"/>
          <w:tab w:val="left" w:pos="1701"/>
          <w:tab w:val="left" w:pos="2268"/>
          <w:tab w:val="left" w:pos="6520"/>
        </w:tabs>
        <w:suppressAutoHyphens/>
        <w:spacing w:line="288" w:lineRule="atLeast"/>
      </w:pPr>
    </w:p>
    <w:p w:rsidR="00000000" w:rsidRDefault="00000000">
      <w:pPr>
        <w:tabs>
          <w:tab w:val="left" w:pos="0"/>
          <w:tab w:val="left" w:pos="567"/>
          <w:tab w:val="left" w:pos="1134"/>
          <w:tab w:val="left" w:pos="1701"/>
          <w:tab w:val="left" w:pos="2268"/>
          <w:tab w:val="left" w:pos="6520"/>
        </w:tabs>
        <w:suppressAutoHyphens/>
        <w:spacing w:line="288" w:lineRule="atLeast"/>
      </w:pPr>
      <w:r>
        <w:t>48.</w:t>
      </w:r>
      <w:r>
        <w:tab/>
        <w:t>Все остальные права, предусмотренные в статье 5, закреплены в законах и нормативных актах без какой-либо расовой дискриминации с той лишь оговоркой, что домашняя прислуга, в качестве которой в подавляющем большинстве случаев работают иностранцы, недостаточно защищена с точки зрения продолжительности рабочего времени.  Речь, безусловно, идет не о расовой дискриминации, а о практической сложности организации рабочего дня для наемных работников, живущих и работающих постоянно в доме своего работодателя.</w:t>
      </w:r>
    </w:p>
    <w:p w:rsidR="00000000" w:rsidRDefault="00000000">
      <w:pPr>
        <w:tabs>
          <w:tab w:val="left" w:pos="0"/>
          <w:tab w:val="left" w:pos="567"/>
          <w:tab w:val="left" w:pos="1134"/>
          <w:tab w:val="left" w:pos="1701"/>
          <w:tab w:val="left" w:pos="2268"/>
          <w:tab w:val="left" w:pos="6520"/>
        </w:tabs>
        <w:suppressAutoHyphens/>
        <w:spacing w:line="288" w:lineRule="atLeast"/>
      </w:pPr>
    </w:p>
    <w:p w:rsidR="00000000" w:rsidRDefault="00000000">
      <w:pPr>
        <w:tabs>
          <w:tab w:val="left" w:pos="0"/>
          <w:tab w:val="left" w:pos="567"/>
          <w:tab w:val="left" w:pos="1134"/>
          <w:tab w:val="left" w:pos="1701"/>
          <w:tab w:val="left" w:pos="2268"/>
          <w:tab w:val="left" w:pos="6520"/>
        </w:tabs>
        <w:suppressAutoHyphens/>
        <w:spacing w:line="288" w:lineRule="atLeast"/>
        <w:jc w:val="center"/>
        <w:rPr>
          <w:b/>
          <w:bCs/>
        </w:rPr>
      </w:pPr>
      <w:r>
        <w:rPr>
          <w:b/>
          <w:bCs/>
          <w:lang w:val="en-US"/>
        </w:rPr>
        <w:t>VI</w:t>
      </w:r>
      <w:r>
        <w:rPr>
          <w:b/>
          <w:bCs/>
        </w:rPr>
        <w:t>.</w:t>
      </w:r>
      <w:r>
        <w:rPr>
          <w:b/>
          <w:bCs/>
        </w:rPr>
        <w:tab/>
        <w:t>МЕРЫ ПО ОСУЩЕСТВЛЕНИЮ СТАТЬИ 6</w:t>
      </w:r>
    </w:p>
    <w:p w:rsidR="00000000" w:rsidRDefault="00000000">
      <w:pPr>
        <w:tabs>
          <w:tab w:val="left" w:pos="0"/>
          <w:tab w:val="left" w:pos="567"/>
          <w:tab w:val="left" w:pos="1134"/>
          <w:tab w:val="left" w:pos="1701"/>
          <w:tab w:val="left" w:pos="2268"/>
          <w:tab w:val="left" w:pos="6520"/>
        </w:tabs>
        <w:suppressAutoHyphens/>
        <w:spacing w:line="288" w:lineRule="atLeast"/>
      </w:pPr>
    </w:p>
    <w:p w:rsidR="00000000" w:rsidRDefault="00000000">
      <w:pPr>
        <w:tabs>
          <w:tab w:val="left" w:pos="0"/>
          <w:tab w:val="left" w:pos="567"/>
          <w:tab w:val="left" w:pos="1134"/>
          <w:tab w:val="left" w:pos="1701"/>
          <w:tab w:val="left" w:pos="2268"/>
          <w:tab w:val="left" w:pos="6520"/>
        </w:tabs>
        <w:suppressAutoHyphens/>
        <w:spacing w:line="288" w:lineRule="atLeast"/>
      </w:pPr>
      <w:r>
        <w:t>49.</w:t>
      </w:r>
      <w:r>
        <w:tab/>
        <w:t>Права и свободы отдельных лиц и групп закреплены в ливанском праве без какой бы то ни было расовой дискриминации.  Доступ в суд открыт для всех лиц без различий.  Следовательно, любое лицо или любая группа может обратиться в суд, чтобы обеспечить уважение своих прав и, возможно, добиться возмещения ущерба.  Кроме того, Международная конвенция о ликвидации всех форм расовой дискриминации является частью ливанского позитивного права, поскольку она была автоматически инкорпорирована во внутригосударственное право.  Поэтому любой участник судебного процесса может ссылаться на нее, чтобы добиться уважения своих прав.  На практике серьезных случаев нарушения этих принципов не наблюдалось.</w:t>
      </w:r>
    </w:p>
    <w:p w:rsidR="00000000" w:rsidRDefault="00000000">
      <w:pPr>
        <w:tabs>
          <w:tab w:val="left" w:pos="0"/>
          <w:tab w:val="left" w:pos="567"/>
          <w:tab w:val="left" w:pos="1134"/>
          <w:tab w:val="left" w:pos="1701"/>
          <w:tab w:val="left" w:pos="2268"/>
          <w:tab w:val="left" w:pos="6520"/>
        </w:tabs>
        <w:suppressAutoHyphens/>
        <w:spacing w:line="288" w:lineRule="atLeast"/>
      </w:pPr>
    </w:p>
    <w:p w:rsidR="00000000" w:rsidRDefault="00000000">
      <w:pPr>
        <w:tabs>
          <w:tab w:val="left" w:pos="0"/>
          <w:tab w:val="left" w:pos="567"/>
          <w:tab w:val="left" w:pos="1134"/>
          <w:tab w:val="left" w:pos="1701"/>
          <w:tab w:val="left" w:pos="2268"/>
          <w:tab w:val="left" w:pos="6520"/>
        </w:tabs>
        <w:suppressAutoHyphens/>
        <w:spacing w:line="288" w:lineRule="atLeast"/>
        <w:jc w:val="center"/>
        <w:rPr>
          <w:b/>
          <w:bCs/>
        </w:rPr>
      </w:pPr>
      <w:r>
        <w:rPr>
          <w:b/>
          <w:bCs/>
          <w:lang w:val="en-US"/>
        </w:rPr>
        <w:t>VII</w:t>
      </w:r>
      <w:r>
        <w:rPr>
          <w:b/>
          <w:bCs/>
        </w:rPr>
        <w:t>.   МЕРЫ ПО ОСУЩЕСТВЛЕНИЮ СТАТЬИ 7</w:t>
      </w:r>
    </w:p>
    <w:p w:rsidR="00000000" w:rsidRDefault="00000000">
      <w:pPr>
        <w:tabs>
          <w:tab w:val="left" w:pos="0"/>
          <w:tab w:val="left" w:pos="567"/>
          <w:tab w:val="left" w:pos="1134"/>
          <w:tab w:val="left" w:pos="1701"/>
          <w:tab w:val="left" w:pos="2268"/>
          <w:tab w:val="left" w:pos="6520"/>
        </w:tabs>
        <w:suppressAutoHyphens/>
        <w:spacing w:line="288" w:lineRule="atLeast"/>
        <w:jc w:val="center"/>
        <w:rPr>
          <w:b/>
          <w:bCs/>
        </w:rPr>
      </w:pPr>
    </w:p>
    <w:p w:rsidR="00000000" w:rsidRDefault="00000000">
      <w:pPr>
        <w:tabs>
          <w:tab w:val="left" w:pos="0"/>
          <w:tab w:val="left" w:pos="567"/>
          <w:tab w:val="left" w:pos="1134"/>
          <w:tab w:val="left" w:pos="1701"/>
          <w:tab w:val="left" w:pos="2268"/>
          <w:tab w:val="left" w:pos="6520"/>
        </w:tabs>
        <w:suppressAutoHyphens/>
        <w:spacing w:line="288" w:lineRule="atLeast"/>
      </w:pPr>
    </w:p>
    <w:p w:rsidR="00000000" w:rsidRDefault="00000000">
      <w:pPr>
        <w:tabs>
          <w:tab w:val="left" w:pos="0"/>
          <w:tab w:val="left" w:pos="567"/>
          <w:tab w:val="left" w:pos="1134"/>
          <w:tab w:val="left" w:pos="1701"/>
          <w:tab w:val="left" w:pos="2268"/>
          <w:tab w:val="left" w:pos="6520"/>
        </w:tabs>
        <w:suppressAutoHyphens/>
        <w:spacing w:line="288" w:lineRule="atLeast"/>
      </w:pPr>
      <w:r>
        <w:t>50.</w:t>
      </w:r>
      <w:r>
        <w:tab/>
        <w:t>Ввиду того, что на нынешнем этапе правительство должно уделять первоочередное внимание проблемам восстановления страны и национального примирения, принятие широкой программы по распространению информации в целях борьбы с предрассудками, ведущими к расовой дискриминации, оказалось невозможным.  Однако следует добавить, что предрассудки такого рода - весьма редкое явление.</w:t>
      </w:r>
    </w:p>
    <w:p w:rsidR="00000000" w:rsidRDefault="00000000">
      <w:pPr>
        <w:tabs>
          <w:tab w:val="left" w:pos="0"/>
          <w:tab w:val="left" w:pos="567"/>
          <w:tab w:val="left" w:pos="1134"/>
          <w:tab w:val="left" w:pos="1701"/>
          <w:tab w:val="left" w:pos="2268"/>
          <w:tab w:val="left" w:pos="6520"/>
        </w:tabs>
        <w:suppressAutoHyphens/>
        <w:spacing w:line="288" w:lineRule="atLeast"/>
      </w:pPr>
    </w:p>
    <w:p w:rsidR="00000000" w:rsidRDefault="00000000">
      <w:pPr>
        <w:pStyle w:val="Heading1"/>
        <w:rPr>
          <w:bCs/>
        </w:rPr>
      </w:pPr>
      <w:r>
        <w:rPr>
          <w:bCs/>
        </w:rPr>
        <w:tab/>
        <w:t>VIII.</w:t>
      </w:r>
      <w:r>
        <w:rPr>
          <w:bCs/>
        </w:rPr>
        <w:tab/>
        <w:t xml:space="preserve"> ПОСЛЕДНИЕ ПОЛИТИЧЕСКИЕ И КУЛЬТУРНЫЕ СОБЫТИЯ,</w:t>
      </w:r>
    </w:p>
    <w:p w:rsidR="00000000" w:rsidRDefault="00000000">
      <w:pPr>
        <w:pStyle w:val="Heading1"/>
      </w:pPr>
      <w:r>
        <w:tab/>
      </w:r>
      <w:r>
        <w:tab/>
        <w:t xml:space="preserve"> ИМЕЮЩИЕ ОТНОШЕНИЕ К ПРИМЕНЕНИЮ ПОЛОЖЕНИЙ</w:t>
      </w:r>
    </w:p>
    <w:p w:rsidR="00000000" w:rsidRDefault="00000000">
      <w:pPr>
        <w:pStyle w:val="Heading1"/>
      </w:pPr>
      <w:r>
        <w:tab/>
      </w:r>
      <w:r>
        <w:tab/>
        <w:t xml:space="preserve"> МЕЖДУНАРОДНОЙ КОНВЕНЦИИ О ЛИКВИДАЦИИ ВСЕХ</w:t>
      </w:r>
    </w:p>
    <w:p w:rsidR="00000000" w:rsidRDefault="00000000">
      <w:pPr>
        <w:pStyle w:val="Heading1"/>
        <w:jc w:val="center"/>
      </w:pPr>
      <w:r>
        <w:t>ФОРМ РАСОВОЙ ДИСКРИМИНАЦИИ (2002-2003 ГОДЫ)</w:t>
      </w:r>
    </w:p>
    <w:p w:rsidR="00000000" w:rsidRDefault="00000000">
      <w:pPr>
        <w:jc w:val="center"/>
        <w:rPr>
          <w:b/>
          <w:bCs/>
        </w:rPr>
      </w:pPr>
    </w:p>
    <w:p w:rsidR="00000000" w:rsidRDefault="00000000">
      <w:pPr>
        <w:pStyle w:val="10"/>
        <w:rPr>
          <w:bCs/>
        </w:rPr>
      </w:pPr>
      <w:r>
        <w:rPr>
          <w:bCs/>
        </w:rPr>
        <w:t>А.</w:t>
      </w:r>
      <w:r>
        <w:rPr>
          <w:bCs/>
        </w:rPr>
        <w:tab/>
        <w:t>В политической области</w:t>
      </w:r>
    </w:p>
    <w:p w:rsidR="00000000" w:rsidRDefault="00000000"/>
    <w:p w:rsidR="00000000" w:rsidRDefault="00000000">
      <w:r>
        <w:tab/>
        <w:t>Ливан заключил соглашения о сотрудничестве со следующими государствами:</w:t>
      </w:r>
    </w:p>
    <w:p w:rsidR="00000000" w:rsidRDefault="00000000"/>
    <w:p w:rsidR="00000000" w:rsidRDefault="00000000">
      <w:pPr>
        <w:ind w:left="567" w:hanging="567"/>
      </w:pPr>
      <w:r>
        <w:tab/>
        <w:t>Египет (1996 год), Марокко (1997 год), Болгария (1998 год), Беларусь (1998 год), Украина (1999 год), Йемен (1999 год), Венгрия (1999 год), Уругвай (1999 год), Армения (2000 год), Бельгия (2000 год), Мексика (2000 год), Габон (2001 год), Греция (2001 год), Тунис (2001 год), Словацкая Республика (2001 год), Алжир (2002 год), Иордания (2002 год), Оман (2002 год), Бенин (2002 год), Пакистан (2002 год).</w:t>
      </w:r>
    </w:p>
    <w:p w:rsidR="00000000" w:rsidRDefault="00000000"/>
    <w:p w:rsidR="00000000" w:rsidRDefault="00000000">
      <w:pPr>
        <w:pStyle w:val="10"/>
        <w:rPr>
          <w:bCs/>
        </w:rPr>
      </w:pPr>
      <w:r>
        <w:rPr>
          <w:bCs/>
        </w:rPr>
        <w:t>В.</w:t>
      </w:r>
      <w:r>
        <w:rPr>
          <w:bCs/>
        </w:rPr>
        <w:tab/>
        <w:t>В области культуры</w:t>
      </w:r>
    </w:p>
    <w:p w:rsidR="00000000" w:rsidRDefault="00000000"/>
    <w:p w:rsidR="00000000" w:rsidRDefault="00000000">
      <w:pPr>
        <w:ind w:left="567" w:hanging="567"/>
      </w:pPr>
      <w:r>
        <w:tab/>
        <w:t>Египет (1995 год), Румыния (1995 год), Армения (1997 год), Индия (1997 год), Венесуэла (1997 год), Бахрейн (1998 год), Болгария (1998 год), Уругвай (1999 год), Греция (2001 год), Катар (2001 год), Аргентина (2001 год), Кувейт (2001 год), Марокко (2001 год), Куба (2001 год), Иран (2001 год), Российская Федерация (2001 год), Кипр (2002 год), Китай (2002 год), Йемен (2002 год).</w:t>
      </w:r>
    </w:p>
    <w:p w:rsidR="00000000" w:rsidRDefault="00000000"/>
    <w:p w:rsidR="00000000" w:rsidRDefault="00000000">
      <w:r>
        <w:t>1.</w:t>
      </w:r>
      <w:r>
        <w:tab/>
        <w:t>Девятая Встреча на высшем уровне франкоязычных стран, состоявшаяся в Бейруте в октябре 2002 года, дала возможность Ливану начать "диалог культур".  На многочисленных семинарах до и во время пленарных заседаний обсуждалась тема:</w:t>
      </w:r>
    </w:p>
    <w:p w:rsidR="00000000" w:rsidRDefault="00000000"/>
    <w:p w:rsidR="00000000" w:rsidRDefault="00000000">
      <w:r>
        <w:tab/>
      </w:r>
      <w:r>
        <w:tab/>
        <w:t xml:space="preserve">"Познать "ближнего своего", уважать его независимо от его расы, языка и </w:t>
      </w:r>
      <w:r>
        <w:tab/>
        <w:t>религии".</w:t>
      </w:r>
    </w:p>
    <w:p w:rsidR="00000000" w:rsidRDefault="00000000"/>
    <w:p w:rsidR="00000000" w:rsidRDefault="00000000">
      <w:pPr>
        <w:ind w:left="567" w:hanging="567"/>
      </w:pPr>
      <w:r>
        <w:tab/>
      </w:r>
      <w:r>
        <w:tab/>
        <w:t>Например, 19-21 сентября состоялся семинар на тему "Культуры, религии и конфликты".</w:t>
      </w:r>
    </w:p>
    <w:p w:rsidR="00000000" w:rsidRDefault="00000000"/>
    <w:p w:rsidR="00000000" w:rsidRDefault="00000000">
      <w:r>
        <w:tab/>
      </w:r>
      <w:r>
        <w:tab/>
        <w:t>Можно выделить три главных направления:</w:t>
      </w:r>
    </w:p>
    <w:p w:rsidR="00000000" w:rsidRDefault="00000000"/>
    <w:p w:rsidR="00000000" w:rsidRDefault="00000000">
      <w:pPr>
        <w:ind w:left="1701" w:hanging="1701"/>
      </w:pPr>
      <w:r>
        <w:tab/>
      </w:r>
      <w:r>
        <w:tab/>
        <w:t>а)</w:t>
      </w:r>
      <w:r>
        <w:tab/>
        <w:t>приверженность общины своей культуре представляет собой священную связь, которую она готова защищать;</w:t>
      </w:r>
    </w:p>
    <w:p w:rsidR="00000000" w:rsidRDefault="00000000"/>
    <w:p w:rsidR="00000000" w:rsidRDefault="00000000">
      <w:pPr>
        <w:ind w:left="1701" w:hanging="1701"/>
      </w:pPr>
      <w:r>
        <w:tab/>
      </w:r>
      <w:r>
        <w:tab/>
        <w:t>b)</w:t>
      </w:r>
      <w:r>
        <w:tab/>
        <w:t>анализ явления глобализации подтвердил единодушное осуждение господства какой-либо одной культуры;</w:t>
      </w:r>
    </w:p>
    <w:p w:rsidR="00000000" w:rsidRDefault="00000000"/>
    <w:p w:rsidR="00000000" w:rsidRDefault="00000000">
      <w:pPr>
        <w:ind w:left="1701" w:hanging="1701"/>
      </w:pPr>
      <w:r>
        <w:tab/>
      </w:r>
      <w:r>
        <w:tab/>
        <w:t>с)</w:t>
      </w:r>
      <w:r>
        <w:tab/>
        <w:t>ссылаясь на конфликты на Балканах и на Ближнем Востоке делегаты подчеркнули важность воспитания будущих поколений в духе сосуществования и диалога между культурами как источника прогресса и жизни.</w:t>
      </w:r>
    </w:p>
    <w:p w:rsidR="00000000" w:rsidRDefault="00000000"/>
    <w:p w:rsidR="00000000" w:rsidRDefault="00000000">
      <w:pPr>
        <w:ind w:left="1701" w:hanging="1701"/>
      </w:pPr>
      <w:r>
        <w:tab/>
      </w:r>
      <w:r>
        <w:tab/>
      </w:r>
      <w:r>
        <w:tab/>
        <w:t>В этой области Ливан внес свой вклад в работу комиссий, поделившись своим опытом в деле содействия терпимости, миру, совместной жизни и уважению личности человека.</w:t>
      </w:r>
    </w:p>
    <w:p w:rsidR="00000000" w:rsidRDefault="00000000"/>
    <w:p w:rsidR="00000000" w:rsidRDefault="00000000">
      <w:r>
        <w:t>2.</w:t>
      </w:r>
      <w:r>
        <w:tab/>
        <w:t>Евро-средиземноморский диалог</w:t>
      </w:r>
    </w:p>
    <w:p w:rsidR="00000000" w:rsidRDefault="00000000"/>
    <w:p w:rsidR="00000000" w:rsidRDefault="00000000">
      <w:pPr>
        <w:ind w:left="567" w:hanging="567"/>
      </w:pPr>
      <w:r>
        <w:tab/>
      </w:r>
      <w:r>
        <w:tab/>
        <w:t>В мае 2002 года в Бейруте состоялась первая встреча по подготовке лиц, отвечающих за планирование евро-средиземноморских мероприятий.</w:t>
      </w:r>
    </w:p>
    <w:p w:rsidR="00000000" w:rsidRDefault="00000000"/>
    <w:p w:rsidR="00000000" w:rsidRDefault="00000000">
      <w:pPr>
        <w:ind w:left="567" w:hanging="567"/>
      </w:pPr>
      <w:r>
        <w:tab/>
      </w:r>
      <w:r>
        <w:tab/>
        <w:t>Этот проект, известный под названием "Аристотель", содействует передаче технологий посредством создания учебных модулей по теоретическим и практическим аспектам письменной речи, а также пропаганде средиземноморских фильмов путем организации фестиваля в Европе.</w:t>
      </w:r>
    </w:p>
    <w:p w:rsidR="00000000" w:rsidRDefault="00000000"/>
    <w:p w:rsidR="00000000" w:rsidRDefault="00000000">
      <w:r>
        <w:t>3.</w:t>
      </w:r>
      <w:r>
        <w:tab/>
        <w:t>Ливанские школы в Африке</w:t>
      </w:r>
    </w:p>
    <w:p w:rsidR="00000000" w:rsidRDefault="00000000"/>
    <w:p w:rsidR="00000000" w:rsidRDefault="00000000">
      <w:pPr>
        <w:ind w:left="567" w:hanging="567"/>
      </w:pPr>
      <w:r>
        <w:tab/>
      </w:r>
      <w:r>
        <w:tab/>
        <w:t>Ливанские общины в Африке, а также ливанские религиозные ордены создали в Западной Африке сеть ливанских школ, обеспечивающих высококачественное начальное, неполное среднее и среднее образование.  Помимо ливанцев, в эти школы принимают африканских и азиатских учащихся, которые живут и работают в космополитической и многорасовой среде.</w:t>
      </w:r>
    </w:p>
    <w:p w:rsidR="00000000" w:rsidRDefault="00000000"/>
    <w:p w:rsidR="00000000" w:rsidRDefault="00000000">
      <w:pPr>
        <w:pStyle w:val="10"/>
        <w:rPr>
          <w:bCs/>
        </w:rPr>
      </w:pPr>
      <w:r>
        <w:rPr>
          <w:bCs/>
        </w:rPr>
        <w:t>С.</w:t>
      </w:r>
      <w:r>
        <w:rPr>
          <w:bCs/>
        </w:rPr>
        <w:tab/>
        <w:t>В торгово-экономической области.</w:t>
      </w:r>
    </w:p>
    <w:p w:rsidR="00000000" w:rsidRDefault="00000000"/>
    <w:p w:rsidR="00000000" w:rsidRDefault="00000000">
      <w:r>
        <w:tab/>
        <w:t>Ливан заключил соглашения со следующими государствами:</w:t>
      </w:r>
    </w:p>
    <w:p w:rsidR="00000000" w:rsidRDefault="00000000"/>
    <w:p w:rsidR="00000000" w:rsidRDefault="00000000">
      <w:pPr>
        <w:ind w:left="567" w:hanging="567"/>
      </w:pPr>
      <w:r>
        <w:tab/>
        <w:t>Малайзия (1995 год), Украина (1996 год), Чили (1997 год), Австралия (1997 год), Египет (1997 год), Российская Федерация (1997 год), Болгария (1998 год), Йемен (1999 год), Индонезия (1999 год), Объединенные Арабские Эмираты (2000 год), Беларусь (2001 год), Габон (2001 год), Пакистан (2001 год), Словацкая Республика (2001 год), Канада (2002 год), Ирак (2001 год), Иордания (2002 год).</w:t>
      </w:r>
    </w:p>
    <w:p w:rsidR="00000000" w:rsidRDefault="00000000"/>
    <w:p w:rsidR="00000000" w:rsidRDefault="00000000">
      <w:pPr>
        <w:pStyle w:val="10"/>
        <w:rPr>
          <w:bCs/>
        </w:rPr>
      </w:pPr>
      <w:r>
        <w:rPr>
          <w:bCs/>
        </w:rPr>
        <w:t>D.</w:t>
      </w:r>
      <w:r>
        <w:rPr>
          <w:bCs/>
        </w:rPr>
        <w:tab/>
        <w:t>О личном статусе</w:t>
      </w:r>
    </w:p>
    <w:p w:rsidR="00000000" w:rsidRDefault="00000000"/>
    <w:p w:rsidR="00000000" w:rsidRDefault="00000000">
      <w:r>
        <w:tab/>
        <w:t>Дети, родившиеся за границей в сожительстве (фактический брак) между ливанским и неливанским гражданами, регистрируются в ливанском бюро записей гражданского состояния после того, как они признаются отцом, и пользуются всеми правами ливанского гражданина без каких-либо ограничений.</w:t>
      </w:r>
    </w:p>
    <w:p w:rsidR="00000000" w:rsidRDefault="00000000"/>
    <w:p w:rsidR="00000000" w:rsidRDefault="00000000"/>
    <w:p w:rsidR="00000000" w:rsidRDefault="00000000">
      <w:pPr>
        <w:pStyle w:val="16"/>
        <w:rPr>
          <w:lang w:val="en-US"/>
        </w:rPr>
      </w:pPr>
      <w:r>
        <w:t>-----</w:t>
      </w:r>
    </w:p>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rPr>
          <w:lang w:val="en-US"/>
        </w:rPr>
      </w:pPr>
      <w:r>
        <w:rPr>
          <w:rStyle w:val="FootnoteReference"/>
        </w:rPr>
        <w:footnoteRef/>
      </w:r>
      <w:r>
        <w:rPr>
          <w:lang w:val="en-US"/>
        </w:rPr>
        <w:t xml:space="preserve"> </w:t>
      </w:r>
      <w:r>
        <w:rPr>
          <w:lang w:val="en-US"/>
        </w:rPr>
        <w:tab/>
      </w:r>
      <w:r>
        <w:t>См</w:t>
      </w:r>
      <w:r>
        <w:rPr>
          <w:lang w:val="en-US"/>
        </w:rPr>
        <w:t xml:space="preserve">. Kamal Hamdan, </w:t>
      </w:r>
      <w:r>
        <w:rPr>
          <w:i/>
          <w:iCs/>
          <w:lang w:val="en-US"/>
        </w:rPr>
        <w:t>Conflit libanais:  communautés religieuses, classes sociales et identité nationale</w:t>
      </w:r>
      <w:r>
        <w:rPr>
          <w:lang w:val="en-US"/>
        </w:rPr>
        <w:t>.  Paris, Ed. Garnier, 1977.</w:t>
      </w:r>
    </w:p>
    <w:p w:rsidR="00000000" w:rsidRDefault="00000000">
      <w:pPr>
        <w:pStyle w:val="FootnoteText"/>
        <w:rPr>
          <w:lang w:val="en-US"/>
        </w:rPr>
      </w:pPr>
    </w:p>
  </w:footnote>
  <w:footnote w:id="2">
    <w:p w:rsidR="00000000" w:rsidRDefault="00000000">
      <w:pPr>
        <w:pStyle w:val="FootnoteText"/>
        <w:rPr>
          <w:lang w:val="en-US"/>
        </w:rPr>
      </w:pPr>
      <w:r>
        <w:rPr>
          <w:rStyle w:val="FootnoteReference"/>
        </w:rPr>
        <w:footnoteRef/>
      </w:r>
      <w:r>
        <w:rPr>
          <w:lang w:val="en-US"/>
        </w:rPr>
        <w:tab/>
      </w:r>
      <w:r>
        <w:t>См</w:t>
      </w:r>
      <w:r>
        <w:rPr>
          <w:lang w:val="en-US"/>
        </w:rPr>
        <w:t>. </w:t>
      </w:r>
      <w:r>
        <w:t>исследование</w:t>
      </w:r>
      <w:r>
        <w:rPr>
          <w:lang w:val="en-US"/>
        </w:rPr>
        <w:t xml:space="preserve"> </w:t>
      </w:r>
      <w:r>
        <w:t>профессоров</w:t>
      </w:r>
      <w:r>
        <w:rPr>
          <w:lang w:val="en-US"/>
        </w:rPr>
        <w:t xml:space="preserve"> </w:t>
      </w:r>
      <w:r>
        <w:t>Жака</w:t>
      </w:r>
      <w:r>
        <w:rPr>
          <w:lang w:val="en-US"/>
        </w:rPr>
        <w:t xml:space="preserve"> </w:t>
      </w:r>
      <w:r>
        <w:t>Рюффи</w:t>
      </w:r>
      <w:r>
        <w:rPr>
          <w:lang w:val="en-US"/>
        </w:rPr>
        <w:t xml:space="preserve"> </w:t>
      </w:r>
      <w:r>
        <w:t>и</w:t>
      </w:r>
      <w:r>
        <w:rPr>
          <w:lang w:val="en-US"/>
        </w:rPr>
        <w:t xml:space="preserve"> </w:t>
      </w:r>
      <w:r>
        <w:t>Наджиба</w:t>
      </w:r>
      <w:r>
        <w:rPr>
          <w:lang w:val="en-US"/>
        </w:rPr>
        <w:t xml:space="preserve"> </w:t>
      </w:r>
      <w:r>
        <w:t>Талеба</w:t>
      </w:r>
      <w:r>
        <w:rPr>
          <w:lang w:val="en-US"/>
        </w:rPr>
        <w:t xml:space="preserve">, </w:t>
      </w:r>
      <w:r>
        <w:rPr>
          <w:i/>
          <w:iCs/>
          <w:lang w:val="en-US"/>
        </w:rPr>
        <w:t xml:space="preserve">Etudes hémotypologiques des ethnies libanaises, </w:t>
      </w:r>
      <w:r>
        <w:rPr>
          <w:lang w:val="en-US"/>
        </w:rPr>
        <w:t>Paris, 1965.</w:t>
      </w:r>
    </w:p>
    <w:p w:rsidR="00000000" w:rsidRDefault="00000000">
      <w:pPr>
        <w:pStyle w:val="FootnoteText"/>
        <w:rPr>
          <w:lang w:val="en-US"/>
        </w:rPr>
      </w:pPr>
    </w:p>
  </w:footnote>
  <w:footnote w:id="3">
    <w:p w:rsidR="00000000" w:rsidRDefault="00000000">
      <w:pPr>
        <w:pStyle w:val="FootnoteText"/>
        <w:rPr>
          <w:lang w:val="en-US"/>
        </w:rPr>
      </w:pPr>
      <w:r>
        <w:rPr>
          <w:rStyle w:val="FootnoteReference"/>
        </w:rPr>
        <w:footnoteRef/>
      </w:r>
      <w:r>
        <w:tab/>
        <w:t>О концепции "культурных групп" см. </w:t>
      </w:r>
      <w:r>
        <w:rPr>
          <w:lang w:val="en-US"/>
        </w:rPr>
        <w:t xml:space="preserve">Antoine Nasri Messarra, </w:t>
      </w:r>
      <w:r>
        <w:rPr>
          <w:i/>
          <w:iCs/>
          <w:lang w:val="en-US"/>
        </w:rPr>
        <w:t xml:space="preserve">Téhorie générale du système politique libanais, </w:t>
      </w:r>
      <w:r>
        <w:rPr>
          <w:lang w:val="en-US"/>
        </w:rPr>
        <w:t>Paris, Ed. Cariscript, 1994, p. 25).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sz w:val="22"/>
        <w:lang w:val="en-US"/>
      </w:rPr>
      <w:t>CERD/C/383/Add.2</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ab/>
    </w:r>
    <w:r>
      <w:rPr>
        <w:lang w:val="en-US"/>
      </w:rPr>
      <w:tab/>
    </w:r>
    <w:r>
      <w:rPr>
        <w:sz w:val="22"/>
        <w:lang w:val="en-US"/>
      </w:rPr>
      <w:t>CERD/C/383/Add.2</w:t>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4761</Words>
  <Characters>27143</Characters>
  <Application>Microsoft Office Word</Application>
  <DocSecurity>4</DocSecurity>
  <Lines>226</Lines>
  <Paragraphs>54</Paragraphs>
  <ScaleCrop>false</ScaleCrop>
  <HeadingPairs>
    <vt:vector size="2" baseType="variant">
      <vt:variant>
        <vt:lpstr>Название</vt:lpstr>
      </vt:variant>
      <vt:variant>
        <vt:i4>1</vt:i4>
      </vt:variant>
    </vt:vector>
  </HeadingPairs>
  <TitlesOfParts>
    <vt:vector size="1" baseType="lpstr">
      <vt:lpstr>Poguliaev</vt:lpstr>
    </vt:vector>
  </TitlesOfParts>
  <Company> </Company>
  <LinksUpToDate>false</LinksUpToDate>
  <CharactersWithSpaces>33333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Poguliaev</dc:title>
  <dc:subject>45253.01.doc</dc:subject>
  <dc:creator>Zanegina</dc:creator>
  <cp:keywords/>
  <dc:description/>
  <cp:lastModifiedBy>Kataeva</cp:lastModifiedBy>
  <cp:revision>3</cp:revision>
  <cp:lastPrinted>2003-12-05T13:18:00Z</cp:lastPrinted>
  <dcterms:created xsi:type="dcterms:W3CDTF">2003-12-05T13:18:00Z</dcterms:created>
  <dcterms:modified xsi:type="dcterms:W3CDTF">2003-12-05T13:18:00Z</dcterms:modified>
</cp:coreProperties>
</file>