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632279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E33385A" w14:textId="77777777" w:rsidR="002D5AAC" w:rsidRDefault="002D5AAC" w:rsidP="00E55C1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E05BAB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CDA1A5C" w14:textId="411721F1" w:rsidR="002D5AAC" w:rsidRDefault="00E55C1C" w:rsidP="00E55C1C">
            <w:pPr>
              <w:jc w:val="right"/>
            </w:pPr>
            <w:r w:rsidRPr="00E55C1C">
              <w:rPr>
                <w:sz w:val="40"/>
              </w:rPr>
              <w:t>CCPR</w:t>
            </w:r>
            <w:r>
              <w:t>/C/132/2/Add.1</w:t>
            </w:r>
          </w:p>
        </w:tc>
      </w:tr>
      <w:tr w:rsidR="002D5AAC" w:rsidRPr="00081921" w14:paraId="1F93BCCE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26BD5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A871A2" wp14:editId="631C171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3A0CB1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C520386" w14:textId="77777777" w:rsidR="002D5AAC" w:rsidRPr="00E55C1C" w:rsidRDefault="00E55C1C" w:rsidP="00BC3629">
            <w:pPr>
              <w:spacing w:before="240"/>
              <w:rPr>
                <w:lang w:val="en-US"/>
              </w:rPr>
            </w:pPr>
            <w:r w:rsidRPr="00E55C1C">
              <w:rPr>
                <w:lang w:val="en-US"/>
              </w:rPr>
              <w:t>Distr.: General</w:t>
            </w:r>
          </w:p>
          <w:p w14:paraId="2A3EC2F3" w14:textId="6F2466A0" w:rsidR="00E55C1C" w:rsidRPr="00E55C1C" w:rsidRDefault="00E55C1C" w:rsidP="00E55C1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September 2021</w:t>
            </w:r>
          </w:p>
          <w:p w14:paraId="6B1FB995" w14:textId="77777777" w:rsidR="00E55C1C" w:rsidRPr="00E55C1C" w:rsidRDefault="00E55C1C" w:rsidP="00E55C1C">
            <w:pPr>
              <w:spacing w:line="240" w:lineRule="exact"/>
              <w:rPr>
                <w:lang w:val="en-US"/>
              </w:rPr>
            </w:pPr>
            <w:r w:rsidRPr="00E55C1C">
              <w:rPr>
                <w:lang w:val="en-US"/>
              </w:rPr>
              <w:t>Russian</w:t>
            </w:r>
          </w:p>
          <w:p w14:paraId="4805BF96" w14:textId="439C76EF" w:rsidR="00E55C1C" w:rsidRPr="00E55C1C" w:rsidRDefault="00E55C1C" w:rsidP="00E55C1C">
            <w:pPr>
              <w:spacing w:line="240" w:lineRule="exact"/>
              <w:rPr>
                <w:lang w:val="en-US"/>
              </w:rPr>
            </w:pPr>
            <w:r w:rsidRPr="00E55C1C">
              <w:rPr>
                <w:lang w:val="en-US"/>
              </w:rPr>
              <w:t>Original: English</w:t>
            </w:r>
          </w:p>
        </w:tc>
      </w:tr>
    </w:tbl>
    <w:p w14:paraId="583FEBFA" w14:textId="77777777" w:rsidR="00E55C1C" w:rsidRPr="00E55C1C" w:rsidRDefault="00E55C1C" w:rsidP="00E55C1C">
      <w:pPr>
        <w:spacing w:before="120"/>
        <w:rPr>
          <w:rFonts w:eastAsiaTheme="minorEastAsia"/>
          <w:b/>
          <w:bCs/>
          <w:sz w:val="24"/>
          <w:szCs w:val="24"/>
        </w:rPr>
      </w:pPr>
      <w:r w:rsidRPr="00E55C1C">
        <w:rPr>
          <w:b/>
          <w:bCs/>
          <w:sz w:val="24"/>
          <w:szCs w:val="24"/>
        </w:rPr>
        <w:t>Комитет по правам человека</w:t>
      </w:r>
    </w:p>
    <w:p w14:paraId="274CB415" w14:textId="44DF1EB7" w:rsidR="00E55C1C" w:rsidRPr="00E55C1C" w:rsidRDefault="00E55C1C" w:rsidP="00E55C1C">
      <w:pPr>
        <w:pStyle w:val="HChG"/>
        <w:rPr>
          <w:rFonts w:eastAsiaTheme="minorEastAsia"/>
        </w:rPr>
      </w:pPr>
      <w:r w:rsidRPr="00E55C1C">
        <w:rPr>
          <w:sz w:val="24"/>
          <w:szCs w:val="24"/>
        </w:rPr>
        <w:tab/>
      </w:r>
      <w:r w:rsidRPr="00E55C1C">
        <w:rPr>
          <w:sz w:val="24"/>
          <w:szCs w:val="24"/>
        </w:rPr>
        <w:tab/>
      </w:r>
      <w:r w:rsidRPr="00E55C1C">
        <w:t>Доклад о последующей деятельности в связи с заключительными замечаниями Комитета по правам человека</w:t>
      </w:r>
      <w:bookmarkStart w:id="0" w:name="_Toc506807534"/>
      <w:bookmarkEnd w:id="0"/>
    </w:p>
    <w:p w14:paraId="44A55070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Добавление</w:t>
      </w:r>
    </w:p>
    <w:p w14:paraId="150BA51E" w14:textId="4A7E644F" w:rsidR="00E55C1C" w:rsidRDefault="00E55C1C" w:rsidP="00E55C1C">
      <w:pPr>
        <w:pStyle w:val="HChG"/>
        <w:rPr>
          <w:rFonts w:eastAsiaTheme="minorEastAsia"/>
          <w:b w:val="0"/>
          <w:bCs/>
          <w:sz w:val="20"/>
          <w:lang w:eastAsia="zh-CN"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 w:rsidR="009A055D">
        <w:rPr>
          <w:bCs/>
          <w:lang w:val="en-US"/>
        </w:rPr>
        <w:t> </w:t>
      </w:r>
      <w:r>
        <w:rPr>
          <w:bCs/>
        </w:rPr>
        <w:t>связи с заключительными замечаниями по Бангладеш</w:t>
      </w:r>
      <w:r w:rsidRPr="00E55C1C">
        <w:rPr>
          <w:rStyle w:val="aa"/>
          <w:rFonts w:eastAsiaTheme="minorEastAsia"/>
          <w:b w:val="0"/>
          <w:bCs/>
          <w:sz w:val="20"/>
          <w:vertAlign w:val="baseline"/>
          <w:lang w:eastAsia="zh-CN"/>
        </w:rPr>
        <w:footnoteReference w:customMarkFollows="1" w:id="1"/>
        <w:t>*</w:t>
      </w:r>
      <w:bookmarkStart w:id="1" w:name="_Toc491177796"/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9A055D" w:rsidRPr="0064331C" w14:paraId="7C564DA0" w14:textId="77777777" w:rsidTr="009A055D">
        <w:tc>
          <w:tcPr>
            <w:tcW w:w="2936" w:type="dxa"/>
            <w:hideMark/>
          </w:tcPr>
          <w:p w14:paraId="67910AEB" w14:textId="3151065B" w:rsidR="009A055D" w:rsidRPr="0064331C" w:rsidRDefault="009A055D" w:rsidP="005E0C3C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>Заключительные замечания</w:t>
            </w:r>
            <w:r>
              <w:rPr>
                <w:i/>
                <w:iCs/>
              </w:rPr>
              <w:br/>
              <w:t>(</w:t>
            </w:r>
            <w:r w:rsidR="00210C26">
              <w:rPr>
                <w:i/>
                <w:iCs/>
              </w:rPr>
              <w:t>сто девятнадцатая</w:t>
            </w:r>
            <w:r>
              <w:rPr>
                <w:i/>
                <w:iCs/>
              </w:rPr>
              <w:t xml:space="preserve"> сессия):</w:t>
            </w:r>
          </w:p>
        </w:tc>
        <w:tc>
          <w:tcPr>
            <w:tcW w:w="3874" w:type="dxa"/>
          </w:tcPr>
          <w:p w14:paraId="425CC74B" w14:textId="3027FB37" w:rsidR="009A055D" w:rsidRPr="0064331C" w:rsidRDefault="009A055D" w:rsidP="005E0C3C">
            <w:pPr>
              <w:spacing w:after="120"/>
            </w:pPr>
            <w:r>
              <w:t>CCPR/C/BGD/CO/1, 22 марта 2017 года</w:t>
            </w:r>
          </w:p>
        </w:tc>
      </w:tr>
      <w:tr w:rsidR="009A055D" w:rsidRPr="0064331C" w14:paraId="1C41AE8C" w14:textId="77777777" w:rsidTr="009A055D">
        <w:tc>
          <w:tcPr>
            <w:tcW w:w="2936" w:type="dxa"/>
            <w:hideMark/>
          </w:tcPr>
          <w:p w14:paraId="15ECFAF9" w14:textId="29C485F7" w:rsidR="009A055D" w:rsidRPr="0064331C" w:rsidRDefault="009A055D" w:rsidP="005E0C3C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3F64E212" w14:textId="1C794643" w:rsidR="009A055D" w:rsidRPr="0064331C" w:rsidRDefault="009A055D" w:rsidP="005E0C3C">
            <w:pPr>
              <w:spacing w:after="120"/>
            </w:pPr>
            <w:r>
              <w:t>14, 20 и 22</w:t>
            </w:r>
          </w:p>
        </w:tc>
      </w:tr>
      <w:tr w:rsidR="009A055D" w:rsidRPr="0064331C" w14:paraId="42E26999" w14:textId="77777777" w:rsidTr="009A055D">
        <w:tc>
          <w:tcPr>
            <w:tcW w:w="2936" w:type="dxa"/>
            <w:hideMark/>
          </w:tcPr>
          <w:p w14:paraId="1ED1FAD1" w14:textId="56A64CF3" w:rsidR="009A055D" w:rsidRPr="0064331C" w:rsidRDefault="009A055D" w:rsidP="005E0C3C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Ответы, касающиеся последующей деятельности:</w:t>
            </w:r>
          </w:p>
        </w:tc>
        <w:tc>
          <w:tcPr>
            <w:tcW w:w="3874" w:type="dxa"/>
          </w:tcPr>
          <w:p w14:paraId="788FE21D" w14:textId="653F56DD" w:rsidR="009A055D" w:rsidRPr="0064331C" w:rsidRDefault="009A055D" w:rsidP="005E0C3C">
            <w:pPr>
              <w:spacing w:after="120"/>
            </w:pPr>
            <w:r>
              <w:t xml:space="preserve">CCPR/C/BGD/CO/1/Add.1, 19 марта </w:t>
            </w:r>
            <w:r>
              <w:br/>
              <w:t>2020 года, и CCPR/C/BGD/CO/1/Add.2, 3</w:t>
            </w:r>
            <w:r w:rsidR="00210C26">
              <w:t> </w:t>
            </w:r>
            <w:r>
              <w:t>августа 2020 года</w:t>
            </w:r>
          </w:p>
        </w:tc>
      </w:tr>
      <w:tr w:rsidR="009A055D" w:rsidRPr="0064331C" w14:paraId="57EC5272" w14:textId="77777777" w:rsidTr="009A055D">
        <w:tc>
          <w:tcPr>
            <w:tcW w:w="2936" w:type="dxa"/>
            <w:hideMark/>
          </w:tcPr>
          <w:p w14:paraId="02F9DE30" w14:textId="73FFC331" w:rsidR="009A055D" w:rsidRPr="0064331C" w:rsidRDefault="009A055D" w:rsidP="005E0C3C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46CD957A" w14:textId="2BD14025" w:rsidR="009A055D" w:rsidRPr="0064331C" w:rsidRDefault="009A055D" w:rsidP="005E0C3C">
            <w:pPr>
              <w:spacing w:after="120"/>
            </w:pPr>
            <w:r>
              <w:t>Необходима дополнительная информация по пунктам 14[</w:t>
            </w:r>
            <w:r w:rsidRPr="000D066E">
              <w:rPr>
                <w:b/>
                <w:bCs/>
              </w:rPr>
              <w:t>B</w:t>
            </w:r>
            <w:r>
              <w:t>][</w:t>
            </w:r>
            <w:r w:rsidRPr="000D066E">
              <w:rPr>
                <w:b/>
                <w:bCs/>
              </w:rPr>
              <w:t>C</w:t>
            </w:r>
            <w:r>
              <w:t>], 20[</w:t>
            </w:r>
            <w:r w:rsidRPr="000D066E">
              <w:rPr>
                <w:b/>
                <w:bCs/>
              </w:rPr>
              <w:t>C</w:t>
            </w:r>
            <w:r>
              <w:t>] и 22[</w:t>
            </w:r>
            <w:r w:rsidRPr="000D066E">
              <w:rPr>
                <w:b/>
                <w:bCs/>
              </w:rPr>
              <w:t>C</w:t>
            </w:r>
            <w:r>
              <w:t>]</w:t>
            </w:r>
          </w:p>
        </w:tc>
      </w:tr>
    </w:tbl>
    <w:p w14:paraId="063E6C31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Пункт 14: Ранние браки и вредная традиционная практика</w:t>
      </w:r>
    </w:p>
    <w:p w14:paraId="23C940FC" w14:textId="77777777" w:rsidR="00E55C1C" w:rsidRPr="000D066E" w:rsidRDefault="00E55C1C" w:rsidP="00E55C1C">
      <w:pPr>
        <w:pStyle w:val="SingleTxtG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незамедлительные меры для резкого ограничения числа ранних браков и искоренения практики получения приданого, в том числе посредством осуществления законодательства, препятствующего практике ранних браков и требования приданого, проведения кампаний для популяризации законодательства, запрещающего такую практику, и информирования девочек, их родителей и общинных лидеров о вредных последствиях ранних браков.</w:t>
      </w:r>
      <w:r>
        <w:t xml:space="preserve"> </w:t>
      </w:r>
      <w:r>
        <w:rPr>
          <w:b/>
          <w:bCs/>
        </w:rPr>
        <w:t>Государству-участнику следует внести поправки в закон о противодействии детским бракам, с тем чтобы в соответствии с международными нормами минимально допустимый возраст вступления в брак для девочек составлял 18 лет без каких-либо исключений.</w:t>
      </w:r>
    </w:p>
    <w:p w14:paraId="7ACECB53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6A5B2FCD" w14:textId="3C930FD8" w:rsidR="00E55C1C" w:rsidRPr="000D066E" w:rsidRDefault="00E55C1C" w:rsidP="00E55C1C">
      <w:pPr>
        <w:pStyle w:val="SingleTxtG"/>
      </w:pPr>
      <w:r>
        <w:tab/>
        <w:t>В 2018 году государство-участник приступило к реализации национального плана действий по борьбе с ранними браками, направленного на искоренение практики вступления в брак девочек в возрасте до 15 лет, сокращение на треть к 2021 году числа девочек, вступивших в брак в возрасте до 18 лет, и ликвидацию ранних браков к 2041</w:t>
      </w:r>
      <w:r w:rsidR="00210C26">
        <w:t> </w:t>
      </w:r>
      <w:r>
        <w:t xml:space="preserve">году. План также включает задачи по внедрению средств правовой защиты для </w:t>
      </w:r>
      <w:r>
        <w:lastRenderedPageBreak/>
        <w:t>жертв, укреплению программ социальной защиты и повышению осведомленности о вредных последствиях ранних браков путем мобилизации общественности.</w:t>
      </w:r>
    </w:p>
    <w:p w14:paraId="4745C707" w14:textId="1C296133" w:rsidR="00E55C1C" w:rsidRPr="000D066E" w:rsidRDefault="00E55C1C" w:rsidP="00E55C1C">
      <w:pPr>
        <w:pStyle w:val="SingleTxtG"/>
      </w:pPr>
      <w:r>
        <w:tab/>
        <w:t>Кроме того, государство-участник приняло Закон о запрете приданого 2018</w:t>
      </w:r>
      <w:r w:rsidR="00210C26">
        <w:t> </w:t>
      </w:r>
      <w:r>
        <w:t xml:space="preserve">года, который ввел более строгие меры по предотвращению практики приданого. Закон предусматривает, что любой, кто требует, получает или дает приданое, подлежит наказанию в виде тюремного заключения на срок от одного до пяти лет, штрафа в размере до 50 000 бангладешских так или того и другого. Государство-участник также приняло Закон о </w:t>
      </w:r>
      <w:r w:rsidRPr="008E4D4C">
        <w:t xml:space="preserve">противодействии детским бракам </w:t>
      </w:r>
      <w:r>
        <w:t>2017 года, который ужесточил уголовное наказание для виновных и соучастников детских браков. Он</w:t>
      </w:r>
      <w:r w:rsidR="00210C26">
        <w:t> </w:t>
      </w:r>
      <w:r>
        <w:t>предусматривает, что любой взрослый, совершивший детский брак, подлежит наказанию в виде тюремного заключения на срок до двух лет, штрафа в размере до 100 000 бангладешских так или того и другого. Аналогичное наказание применяется к тем, кто пособничает или пренебрегает мерами по предотвращению детских браков. Для содействия осуществлению этого закона государство-участник приняло Правила по противодействию детским бракам 2018 года, которые предписывают состав, функции и полномочия комитетов по предотвращению детских браков на национальном, районном, субрайонном и местном административных уровнях.</w:t>
      </w:r>
    </w:p>
    <w:p w14:paraId="5AF14589" w14:textId="77777777" w:rsidR="00E55C1C" w:rsidRPr="000D066E" w:rsidRDefault="00E55C1C" w:rsidP="00E55C1C">
      <w:pPr>
        <w:pStyle w:val="SingleTxtG"/>
      </w:pPr>
      <w:r>
        <w:tab/>
        <w:t xml:space="preserve">Закон о </w:t>
      </w:r>
      <w:r w:rsidRPr="008E4D4C">
        <w:t xml:space="preserve">противодействии детским бракам </w:t>
      </w:r>
      <w:r>
        <w:t>2017 года содержит исключение, которое разрешает ранние браки, если установлено, что они отвечают наилучшим интересам несовершеннолетнего ребенка. Это решение принимается комиссией по оценке с согласия родителей несовершеннолетнего ребенка и под надзором суда. Это исключение, по мнению государства-участника, оправдано сложившейся социально-экономической реальностью и направлено на обеспечение наилучших интересов ребенка в исключительных случаях.</w:t>
      </w:r>
    </w:p>
    <w:p w14:paraId="75058B7B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70C4F168" w14:textId="6AB6E89C" w:rsidR="00E55C1C" w:rsidRPr="000D066E" w:rsidRDefault="00E55C1C" w:rsidP="00E55C1C">
      <w:pPr>
        <w:pStyle w:val="SingleTxtG"/>
      </w:pPr>
      <w:r>
        <w:t>[</w:t>
      </w:r>
      <w:r w:rsidRPr="0037134E">
        <w:rPr>
          <w:b/>
          <w:bCs/>
        </w:rPr>
        <w:t>B</w:t>
      </w:r>
      <w:r>
        <w:t>]: Комитет приветствует принятие государством-участником национального плана действий по сокращению и, в конечном итоге, искоренению ранних браков, в том числе путем проведения информационно-просветительских мероприятий. Он</w:t>
      </w:r>
      <w:r w:rsidR="00210C26">
        <w:t> </w:t>
      </w:r>
      <w:r>
        <w:t>просит представить информацию о прогрессе в достижении целей национального плана действий и о мерах, принятых государством-участником для обеспечения эффективного выполнения плана. Он также просит представить конкретную информацию об усилиях государства-участника по повышению осведомленности о вредных последствиях ранних браков, в том числе о содержании и масштабе всех мероприятий по повышению осведомленности, и подробные сведения о том, когда они проводились, какие способы или методы использовались, какая аудитория была охвачена и какое существенное воздействие они оказали.</w:t>
      </w:r>
    </w:p>
    <w:p w14:paraId="4E6E0935" w14:textId="3011227D" w:rsidR="00E55C1C" w:rsidRPr="000D066E" w:rsidRDefault="00E55C1C" w:rsidP="00E55C1C">
      <w:pPr>
        <w:pStyle w:val="SingleTxtG"/>
      </w:pPr>
      <w:r>
        <w:tab/>
        <w:t xml:space="preserve">Комитет отмечает принятие государством-участником Закона о запрете приданого 2018 года и Закона о </w:t>
      </w:r>
      <w:r w:rsidRPr="008E4D4C">
        <w:t xml:space="preserve">противодействии детским бракам </w:t>
      </w:r>
      <w:r>
        <w:t xml:space="preserve">2017 года, направленных на предотвращение практики приданого и ранних браков, соответственно. Он просит предоставить дополнительную информацию о применении этих законов, в том числе о количестве случаев их применения за отчетный период, а также подробную информацию о любых преследованиях, вынесенных приговорах и наложенных наказаниях. Комитет сожалеет об отсутствии конкретной информации о кампаниях по популяризации законодательства, объявляющего вне закона практику приданого и ранних браков. Он повторяет свою рекомендацию и просит предоставить дополнительную информацию о мерах по популяризации этого законодательства </w:t>
      </w:r>
      <w:r w:rsidR="00806DC9">
        <w:t>—</w:t>
      </w:r>
      <w:r>
        <w:t xml:space="preserve"> через национальный план действий или иным образом.</w:t>
      </w:r>
    </w:p>
    <w:p w14:paraId="6E641BC7" w14:textId="0606A8CE" w:rsidR="00E55C1C" w:rsidRPr="000D066E" w:rsidRDefault="00E55C1C" w:rsidP="00E55C1C">
      <w:pPr>
        <w:pStyle w:val="SingleTxtG"/>
      </w:pPr>
      <w:r>
        <w:t>[</w:t>
      </w:r>
      <w:r w:rsidRPr="00024471">
        <w:rPr>
          <w:b/>
          <w:bCs/>
        </w:rPr>
        <w:t>C</w:t>
      </w:r>
      <w:r>
        <w:t xml:space="preserve">]: Комитет сожалеет, что Закон о </w:t>
      </w:r>
      <w:r w:rsidRPr="008E4D4C">
        <w:t xml:space="preserve">противодействии детским бракам </w:t>
      </w:r>
      <w:r>
        <w:t>2017 года содержит исключение, позволяющее вступать в брак девочкам моложе 18 лет, и повторяет свою рекомендацию. Он просит представить информацию о минимальном возрасте ребенка для применения такого исключения, об использовании такого исключения, в том числе о количестве случаев, когда оно использовалось для разрешения брака девочек младше 18 лет.</w:t>
      </w:r>
    </w:p>
    <w:p w14:paraId="118AA638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Пункт 20: Внесудебные казни и насильственные исчезновения</w:t>
      </w:r>
    </w:p>
    <w:p w14:paraId="0F176ED0" w14:textId="77777777" w:rsidR="00E55C1C" w:rsidRPr="000D066E" w:rsidRDefault="00E55C1C" w:rsidP="00E55C1C">
      <w:pPr>
        <w:pStyle w:val="SingleTxtG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14:paraId="1102EB72" w14:textId="77777777" w:rsidR="00E55C1C" w:rsidRPr="000D066E" w:rsidRDefault="00E55C1C" w:rsidP="00E55C1C">
      <w:pPr>
        <w:pStyle w:val="SingleTxtG"/>
        <w:rPr>
          <w:b/>
          <w:bCs/>
        </w:rPr>
      </w:pPr>
      <w:r>
        <w:tab/>
      </w:r>
      <w:r w:rsidRPr="009A055D">
        <w:rPr>
          <w:b/>
          <w:bCs/>
        </w:rPr>
        <w:t>a)</w:t>
      </w:r>
      <w:r>
        <w:tab/>
      </w:r>
      <w:r>
        <w:rPr>
          <w:b/>
          <w:bCs/>
        </w:rPr>
        <w:t>безотлагательно принять меры для защиты права на жизнь всех людей;</w:t>
      </w:r>
    </w:p>
    <w:p w14:paraId="380F2BA3" w14:textId="77777777" w:rsidR="00E55C1C" w:rsidRPr="000D066E" w:rsidRDefault="00E55C1C" w:rsidP="00E55C1C">
      <w:pPr>
        <w:pStyle w:val="SingleTxtG"/>
        <w:rPr>
          <w:b/>
          <w:bCs/>
        </w:rPr>
      </w:pPr>
      <w:r>
        <w:tab/>
      </w:r>
      <w:r w:rsidRPr="009A055D">
        <w:rPr>
          <w:b/>
          <w:bCs/>
        </w:rPr>
        <w:t>b)</w:t>
      </w:r>
      <w:r>
        <w:tab/>
      </w:r>
      <w:r>
        <w:rPr>
          <w:b/>
          <w:bCs/>
        </w:rPr>
        <w:t>пересмотреть свое законодательство, с тем чтобы ограничить возможности для применения силы сотрудниками правоохранительных органов, военнослужащими и представителями сил специального назначения, инкорпорировать в него международные стандарты, включая Основные принципы применения силы и огнестрельного оружия должностными лицами по поддержанию правопорядка, и обеспечить привлечение к ответственности виновных в нарушениях;</w:t>
      </w:r>
    </w:p>
    <w:p w14:paraId="3909E109" w14:textId="77777777" w:rsidR="00E55C1C" w:rsidRPr="000D066E" w:rsidRDefault="00E55C1C" w:rsidP="00E55C1C">
      <w:pPr>
        <w:pStyle w:val="SingleTxtG"/>
        <w:rPr>
          <w:b/>
          <w:bCs/>
        </w:rPr>
      </w:pPr>
      <w:r>
        <w:tab/>
      </w:r>
      <w:r w:rsidRPr="009A055D">
        <w:rPr>
          <w:b/>
          <w:bCs/>
        </w:rPr>
        <w:t>c)</w:t>
      </w:r>
      <w:r>
        <w:tab/>
      </w:r>
      <w:r>
        <w:rPr>
          <w:b/>
          <w:bCs/>
        </w:rPr>
        <w:t>ввести реальную уголовную ответственность за насильственные исчезновения;</w:t>
      </w:r>
    </w:p>
    <w:p w14:paraId="4B0AE16C" w14:textId="77777777" w:rsidR="00E55C1C" w:rsidRPr="000D066E" w:rsidRDefault="00E55C1C" w:rsidP="00E55C1C">
      <w:pPr>
        <w:pStyle w:val="SingleTxtG"/>
      </w:pPr>
      <w:r>
        <w:tab/>
      </w:r>
      <w:r w:rsidRPr="009A055D">
        <w:rPr>
          <w:b/>
          <w:bCs/>
        </w:rPr>
        <w:t>d)</w:t>
      </w:r>
      <w:r>
        <w:tab/>
      </w:r>
      <w:r>
        <w:rPr>
          <w:b/>
          <w:bCs/>
        </w:rPr>
        <w:t>расследовать все случаи произвольных убийств, насильственных исчезновений и применения чрезмерной силы, привлечь к ответственности и должным образом наказать тех, кто был признан виновным, и полностью возместить ущерб, причиненный жертвам.</w:t>
      </w:r>
      <w:r>
        <w:t xml:space="preserve"> </w:t>
      </w:r>
      <w:r>
        <w:rPr>
          <w:b/>
          <w:bCs/>
        </w:rPr>
        <w:t>Что касается исчезновений, государству-участнику следует выяснить судьбу и местонахождение жертв и обеспечить, чтобы информация о результатах расследований была доведена до сведения жертв насильственных исчезновений и их родственников;</w:t>
      </w:r>
    </w:p>
    <w:p w14:paraId="7B76CD30" w14:textId="77777777" w:rsidR="00E55C1C" w:rsidRPr="000D066E" w:rsidRDefault="00E55C1C" w:rsidP="00E55C1C">
      <w:pPr>
        <w:pStyle w:val="SingleTxtG"/>
        <w:rPr>
          <w:b/>
          <w:bCs/>
        </w:rPr>
      </w:pPr>
      <w:r>
        <w:tab/>
      </w:r>
      <w:r w:rsidRPr="009A055D">
        <w:rPr>
          <w:b/>
          <w:bCs/>
        </w:rPr>
        <w:t>e)</w:t>
      </w:r>
      <w:r>
        <w:tab/>
      </w:r>
      <w:r>
        <w:rPr>
          <w:b/>
          <w:bCs/>
        </w:rPr>
        <w:t>представить в своем следующем периодическом докладе следующую информацию:</w:t>
      </w:r>
    </w:p>
    <w:p w14:paraId="17AAAC4B" w14:textId="77777777" w:rsidR="00E55C1C" w:rsidRPr="009A055D" w:rsidRDefault="00E55C1C" w:rsidP="00E55C1C">
      <w:pPr>
        <w:pStyle w:val="SingleTxtG"/>
        <w:rPr>
          <w:b/>
          <w:bCs/>
        </w:rPr>
      </w:pPr>
      <w:r>
        <w:tab/>
      </w:r>
      <w:r w:rsidRPr="009A055D">
        <w:rPr>
          <w:b/>
          <w:bCs/>
        </w:rPr>
        <w:t>i)</w:t>
      </w:r>
      <w:r w:rsidRPr="009A055D">
        <w:rPr>
          <w:b/>
          <w:bCs/>
        </w:rPr>
        <w:tab/>
        <w:t>сведения о количестве проведенных расследований;</w:t>
      </w:r>
    </w:p>
    <w:p w14:paraId="09A0647C" w14:textId="77777777" w:rsidR="00E55C1C" w:rsidRPr="009A055D" w:rsidRDefault="00E55C1C" w:rsidP="00E55C1C">
      <w:pPr>
        <w:pStyle w:val="SingleTxtG"/>
        <w:rPr>
          <w:b/>
          <w:bCs/>
        </w:rPr>
      </w:pPr>
      <w:r w:rsidRPr="009A055D">
        <w:rPr>
          <w:b/>
          <w:bCs/>
        </w:rPr>
        <w:tab/>
        <w:t>ii)</w:t>
      </w:r>
      <w:r w:rsidRPr="009A055D">
        <w:rPr>
          <w:b/>
          <w:bCs/>
        </w:rPr>
        <w:tab/>
        <w:t>информацию о числе вынесенных обвинительных приговоров;</w:t>
      </w:r>
    </w:p>
    <w:p w14:paraId="693B951A" w14:textId="77777777" w:rsidR="00E55C1C" w:rsidRPr="009A055D" w:rsidRDefault="00E55C1C" w:rsidP="00E55C1C">
      <w:pPr>
        <w:pStyle w:val="SingleTxtG"/>
        <w:ind w:left="1701" w:hanging="567"/>
        <w:rPr>
          <w:b/>
          <w:bCs/>
        </w:rPr>
      </w:pPr>
      <w:r w:rsidRPr="009A055D">
        <w:rPr>
          <w:b/>
          <w:bCs/>
        </w:rPr>
        <w:tab/>
        <w:t>iii)</w:t>
      </w:r>
      <w:r w:rsidRPr="009A055D">
        <w:rPr>
          <w:b/>
          <w:bCs/>
        </w:rPr>
        <w:tab/>
        <w:t>дезагрегированную информацию о наказаниях, которые были наложены на правонарушителей.</w:t>
      </w:r>
    </w:p>
    <w:p w14:paraId="2DD3FF28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38F06CE9" w14:textId="77777777" w:rsidR="00E55C1C" w:rsidRPr="000D066E" w:rsidRDefault="00E55C1C" w:rsidP="00E55C1C">
      <w:pPr>
        <w:pStyle w:val="SingleTxtG"/>
      </w:pPr>
      <w:r>
        <w:tab/>
        <w:t>a)</w:t>
      </w:r>
      <w:r>
        <w:tab/>
        <w:t>Государство-участник отмечает, что Конституция гарантирует право на жизнь всем людям и что в соответствии с Уголовно-процессуальным кодексом мировые судьи и сотрудники полиции уполномочены принимать меры для предотвращения гибели людей. Кроме того, в 2016–2019 годах государство-участник приняло несколько законов по конкретным секторам, включая Закон о береговой охране Бангладеш 2016 года; Закон о гражданской авиации 2017 года; Закон о контроле над наркотиками 2018 года; Закон о цифровой безопасности 2018 года; Закон об автомобильном транспорте 2018 года; и Закон об инфекционных заболеваниях (профилактика, контроль и искоренение) 2018 года. Эти законы предусматривают наказание за действия или бездействие, которые ставят под угрозу человеческую жизнь или влекут за собой человеческие жертвы. Некоторые из них также защищают людей в опасных или рискованных ситуациях.</w:t>
      </w:r>
    </w:p>
    <w:p w14:paraId="7A8EF624" w14:textId="77777777" w:rsidR="00E55C1C" w:rsidRPr="000D066E" w:rsidRDefault="00E55C1C" w:rsidP="00E55C1C">
      <w:pPr>
        <w:pStyle w:val="SingleTxtG"/>
      </w:pPr>
      <w:r>
        <w:tab/>
        <w:t>b)</w:t>
      </w:r>
      <w:r>
        <w:tab/>
        <w:t xml:space="preserve">Применение силы правоохранительными органами ограничено действующим законодательством. Сотрудники правоохранительных органов могут применять силу только в крайнем случае и для защиты жизни и общественного имущества, и они могут использовать огнестрельное оружие в ограниченном числе обстоятельств. Любой инцидент, связанный с применением или угрозой применения силы сотрудниками правоохранительных органов, должен быть расследован в установленном законом порядке. После любого такого инцидента мировые судьи проводят полное исполнительное расследование, в ходе которого судьи определяют, было ли применение силы оправданным и соответствовало ли оно соответствующим правилам. По завершении расследования сотрудник правоохранительных органов или мировой судья, проводивший расследование, представляет отчет правительству и направляет копию Генеральному инспектору. Существуют хорошо отлаженные административные процедуры для принятия ведомственных мер в отношении сотрудников правоохранительных органов, совершивших какой-либо проступок. </w:t>
      </w:r>
      <w:r>
        <w:lastRenderedPageBreak/>
        <w:t>Любое пострадавшее лицо может подать жалобу на пытки, связанные или не связанные с содержанием под стражей. Существующие законы устанавливают комплексные процедуры принятия мер наказания в отношении сотрудников полиции, которые могут включать увольнение, обязательный выход на пенсию, понижение в должности, снижение зарплаты или снижение в звании, порицание и предупреждение.</w:t>
      </w:r>
    </w:p>
    <w:p w14:paraId="5985B890" w14:textId="62D46E9E" w:rsidR="00E55C1C" w:rsidRPr="000D066E" w:rsidRDefault="00E55C1C" w:rsidP="00E55C1C">
      <w:pPr>
        <w:pStyle w:val="SingleTxtG"/>
      </w:pPr>
      <w:r>
        <w:tab/>
        <w:t>c)</w:t>
      </w:r>
      <w:r>
        <w:tab/>
        <w:t xml:space="preserve">Государство-участник указывает, что о случаях «возможных похищений» часто сообщают как о «насильственных исчезновениях» и что «насильственное исчезновение» не определено в его уголовном законодательстве. Уголовный кодекс 1860 года предусматривает уголовную ответственность за похищение человека, а более конкретно </w:t>
      </w:r>
      <w:r w:rsidR="00806DC9">
        <w:t>—</w:t>
      </w:r>
      <w:r>
        <w:t xml:space="preserve"> за похищение с целью убийства. Согласно Уголовно-процессуальному кодексу 1898 года, похищение человека является преступлением, подлежащим уголовному преследованию.</w:t>
      </w:r>
    </w:p>
    <w:p w14:paraId="7A066552" w14:textId="77777777" w:rsidR="00E55C1C" w:rsidRPr="000D066E" w:rsidRDefault="00E55C1C" w:rsidP="00E55C1C">
      <w:pPr>
        <w:pStyle w:val="SingleTxtG"/>
      </w:pPr>
      <w:r>
        <w:tab/>
        <w:t>d)</w:t>
      </w:r>
      <w:r>
        <w:tab/>
        <w:t>Существующая правовая база государства-участника требует расследования всех случаев применения силы с участием сотрудников правоохранительных органов. В знаковом деле об убийстве в Нараянгандже за насильственное исчезновение и убийство семи человек были привлечены к ответственности 27 военнослужащих батальона быстрого реагирования. Пятнадцать военнослужащих, включая трех высших должностных лиц, были осуждены и приговорены к смертной казни.</w:t>
      </w:r>
    </w:p>
    <w:p w14:paraId="6269E20A" w14:textId="77777777" w:rsidR="00E55C1C" w:rsidRPr="000D066E" w:rsidRDefault="00E55C1C" w:rsidP="00E55C1C">
      <w:pPr>
        <w:pStyle w:val="SingleTxtG"/>
      </w:pPr>
      <w:r>
        <w:tab/>
        <w:t>e)</w:t>
      </w:r>
      <w:r>
        <w:tab/>
        <w:t>Никакой информации представлено не было.</w:t>
      </w:r>
    </w:p>
    <w:p w14:paraId="13117F2A" w14:textId="77777777" w:rsidR="00E55C1C" w:rsidRPr="000D066E" w:rsidRDefault="00E55C1C" w:rsidP="00E55C1C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21482675" w14:textId="77777777" w:rsidR="00E55C1C" w:rsidRPr="000D066E" w:rsidRDefault="00E55C1C" w:rsidP="00E55C1C">
      <w:pPr>
        <w:pStyle w:val="SingleTxtG"/>
      </w:pPr>
      <w:r>
        <w:t>[</w:t>
      </w:r>
      <w:r w:rsidRPr="00210DA8">
        <w:rPr>
          <w:b/>
          <w:bCs/>
        </w:rPr>
        <w:t>C</w:t>
      </w:r>
      <w:r>
        <w:t>]: a), b), c) и d)</w:t>
      </w:r>
    </w:p>
    <w:p w14:paraId="67F812D2" w14:textId="77777777" w:rsidR="00E55C1C" w:rsidRPr="000D066E" w:rsidRDefault="00E55C1C" w:rsidP="00E55C1C">
      <w:pPr>
        <w:pStyle w:val="SingleTxtG"/>
      </w:pPr>
      <w:r>
        <w:tab/>
        <w:t>Комитет принимает к сведению информацию о защите права на жизнь, предусмотренную существующей правовой базой государства-участника, включая недавно принятые законы по конкретным секторам. Вместе с тем Комитет сожалеет, что государство-участник не представило никакой информации о мерах, принятых за отчетный период для защиты права на жизнь всех лиц в контексте внесудебных убийств и насильственных исчезновений. Поэтому Комитет повторяет свою рекомендацию.</w:t>
      </w:r>
    </w:p>
    <w:p w14:paraId="32F6E499" w14:textId="77777777" w:rsidR="00E55C1C" w:rsidRPr="000D066E" w:rsidRDefault="00E55C1C" w:rsidP="00E55C1C">
      <w:pPr>
        <w:pStyle w:val="SingleTxtG"/>
        <w:spacing w:line="220" w:lineRule="atLeast"/>
      </w:pPr>
      <w:r>
        <w:tab/>
        <w:t>Комитет также принимает к сведению информацию о действующем законодательстве государства-участника о применении силы, но сожалеет, что со времени принятия заключительных замечаний Комитета не было принято никаких мер по пересмотру законодательства с целью ограничения применения силы сотрудниками правоохранительных органов, военнослужащими и силами специального назначения в соответствии с Основными принципами применения силы и огнестрельного оружия должностными лицами по поддержанию правопорядка. Он также сожалеет об отсутствии принятых</w:t>
      </w:r>
      <w:r w:rsidRPr="008F2905">
        <w:t xml:space="preserve"> </w:t>
      </w:r>
      <w:r>
        <w:t>мер для обеспечения ответственности за нарушения. В этой связи Комитет обращает внимание государства-участника на свои замечания общего порядка № 36 (2018) о праве на жизнь, в частности на пункты 10–17 и 58, и № 37 (2020) о праве на мирные собрания, в частности на пункты 96 и 98. Он просит предоставить дополнительную информацию о случаях применения действующего законодательства о применении силы в течение отчетного периода и данные о количестве жалоб, расследований, судебных преследований и приговоров, вынесенных в случаях применения силы полицией в течение отчетного периода, а также подробную информацию о наложенных санкциях и предоставленном жертвам возмещении ущерба.</w:t>
      </w:r>
    </w:p>
    <w:p w14:paraId="44AC810C" w14:textId="77777777" w:rsidR="00E55C1C" w:rsidRPr="000D066E" w:rsidRDefault="00E55C1C" w:rsidP="00E55C1C">
      <w:pPr>
        <w:pStyle w:val="SingleTxtG"/>
        <w:spacing w:line="220" w:lineRule="atLeast"/>
      </w:pPr>
      <w:r>
        <w:tab/>
        <w:t>Комитет принимает к сведению информацию об установлении уголовной ответственности за преступления, связанные с похищением людей. Вместе с тем он сожалеет, что государство-участник не представило никакой информации о шагах, предпринятых для эффективной криминализации насильственных исчезновений.</w:t>
      </w:r>
    </w:p>
    <w:p w14:paraId="28DF7D6E" w14:textId="77777777" w:rsidR="00E55C1C" w:rsidRPr="000D066E" w:rsidRDefault="00E55C1C" w:rsidP="00E55C1C">
      <w:pPr>
        <w:pStyle w:val="SingleTxtG"/>
        <w:spacing w:line="220" w:lineRule="atLeast"/>
      </w:pPr>
      <w:r>
        <w:tab/>
        <w:t xml:space="preserve">Комитет принимает к сведению представленную информацию о результатах рассмотрения дела об убийстве в Нараянгандже, но обращает внимание государства-участника на то, что решение по этому делу было вынесено до опубликования заключительных замечаний. Он повторяет свою рекомендацию и просит предоставить </w:t>
      </w:r>
      <w:r>
        <w:lastRenderedPageBreak/>
        <w:t>информацию о мерах, принятых после принятия заключительных замечаний Комитета.</w:t>
      </w:r>
    </w:p>
    <w:p w14:paraId="20DBB729" w14:textId="77777777" w:rsidR="00E55C1C" w:rsidRPr="000D066E" w:rsidRDefault="00E55C1C" w:rsidP="00E55C1C">
      <w:pPr>
        <w:spacing w:after="120" w:line="220" w:lineRule="atLeast"/>
        <w:ind w:left="1138" w:right="1138"/>
        <w:jc w:val="both"/>
      </w:pPr>
      <w:r>
        <w:rPr>
          <w:b/>
          <w:bCs/>
        </w:rPr>
        <w:t xml:space="preserve">К подпункту </w:t>
      </w:r>
      <w:r w:rsidRPr="00F33AF1">
        <w:rPr>
          <w:b/>
          <w:bCs/>
        </w:rPr>
        <w:t>e)</w:t>
      </w:r>
      <w:r>
        <w:t xml:space="preserve"> </w:t>
      </w:r>
      <w:r>
        <w:rPr>
          <w:b/>
          <w:bCs/>
        </w:rPr>
        <w:t>о</w:t>
      </w:r>
      <w:r w:rsidRPr="00CE5C27">
        <w:rPr>
          <w:b/>
          <w:bCs/>
        </w:rPr>
        <w:t>ценка не применима</w:t>
      </w:r>
    </w:p>
    <w:p w14:paraId="280E5D56" w14:textId="77777777" w:rsidR="00E55C1C" w:rsidRPr="000D066E" w:rsidRDefault="00E55C1C" w:rsidP="00E55C1C">
      <w:pPr>
        <w:spacing w:after="120" w:line="220" w:lineRule="atLeast"/>
        <w:ind w:left="1138" w:right="1138" w:firstLine="563"/>
        <w:jc w:val="both"/>
      </w:pPr>
      <w:r>
        <w:t xml:space="preserve">Комитет отмечает, что эта информация должна быть представлена в следующем периодическом докладе государства-участника. </w:t>
      </w:r>
    </w:p>
    <w:p w14:paraId="4A1F83FC" w14:textId="77777777" w:rsidR="00E55C1C" w:rsidRPr="000D066E" w:rsidRDefault="00E55C1C" w:rsidP="00E55C1C">
      <w:pPr>
        <w:pStyle w:val="H23G"/>
        <w:spacing w:line="220" w:lineRule="atLeast"/>
      </w:pPr>
      <w:r>
        <w:tab/>
      </w:r>
      <w:r>
        <w:tab/>
      </w:r>
      <w:r>
        <w:rPr>
          <w:bCs/>
        </w:rPr>
        <w:t>Пункт 22: Пытки и жестокое обращение</w:t>
      </w:r>
    </w:p>
    <w:p w14:paraId="361728EC" w14:textId="77777777" w:rsidR="00E55C1C" w:rsidRPr="000D066E" w:rsidRDefault="00E55C1C" w:rsidP="00E55C1C">
      <w:pPr>
        <w:pStyle w:val="SingleTxtG"/>
        <w:spacing w:line="220" w:lineRule="atLeast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положить конец практике пыток и жестокого обращения.</w:t>
      </w:r>
      <w:r>
        <w:t xml:space="preserve"> </w:t>
      </w:r>
      <w:r>
        <w:rPr>
          <w:b/>
          <w:bCs/>
        </w:rPr>
        <w:t>Ему следует обеспечить применение Закона о предупреждении пыток и гибели людей в местах лишения свободы 2013 года и следить за тем, чтобы никакие положения других законов, предоставляющие тот или иной иммунитет, не имели верховенства над предусмотренными упомянутым законом гарантиями.</w:t>
      </w:r>
      <w:r>
        <w:t xml:space="preserve"> </w:t>
      </w:r>
      <w:r>
        <w:rPr>
          <w:b/>
          <w:bCs/>
        </w:rPr>
        <w:t>Государству-участнику следует учредить независимый механизм рассмотрения жалоб, уполномоченный расследовать все утверждения и жалобы, касающиеся применения пыток и жестокого обращения.</w:t>
      </w:r>
      <w:r>
        <w:t xml:space="preserve"> </w:t>
      </w:r>
      <w:r>
        <w:rPr>
          <w:b/>
          <w:bCs/>
        </w:rPr>
        <w:t>Ему следует также обеспечить преследование всех предполагаемых виновных в совершении подобных преступлений и полное возмещение ущерба жертвам.</w:t>
      </w:r>
    </w:p>
    <w:p w14:paraId="3189BF6D" w14:textId="77777777" w:rsidR="00E55C1C" w:rsidRPr="000D066E" w:rsidRDefault="00E55C1C" w:rsidP="00E55C1C">
      <w:pPr>
        <w:pStyle w:val="H23G"/>
        <w:spacing w:line="220" w:lineRule="atLeast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0C817C56" w14:textId="77777777" w:rsidR="00E55C1C" w:rsidRPr="000D066E" w:rsidRDefault="00E55C1C" w:rsidP="00E55C1C">
      <w:pPr>
        <w:pStyle w:val="SingleTxtG"/>
        <w:spacing w:line="220" w:lineRule="atLeast"/>
      </w:pPr>
      <w:r>
        <w:tab/>
        <w:t xml:space="preserve">Государство-участник указывает, что Закон </w:t>
      </w:r>
      <w:r w:rsidRPr="00067C41">
        <w:t>о предупреждении пыток и гибели людей в местах лишения свободы 2013 года</w:t>
      </w:r>
      <w:r>
        <w:t xml:space="preserve"> вступил в силу немедленно и что он превалирует над любыми противоречащими ему положениями других действующих законов, включая любые положения о возмещении ущерба. Созданная в 2009 году Национальная комиссия по правам человека является независимым статутным органом, уполномоченным принимать жалобы и проводить расследования в отношении сотрудников правоохранительных органов. На основании результатов своих расследований Комиссия может давать рекомендации правительству, в том числе о необходимости возбуждения судебного разбирательства. Комиссия также может запросить у правительства отчет о нарушениях прав человека, предположительно совершенных сотрудниками правоохранительных органов.</w:t>
      </w:r>
    </w:p>
    <w:p w14:paraId="5E8BAA82" w14:textId="77777777" w:rsidR="00E55C1C" w:rsidRPr="000D066E" w:rsidRDefault="00E55C1C" w:rsidP="00E55C1C">
      <w:pPr>
        <w:pStyle w:val="H23G"/>
        <w:spacing w:line="220" w:lineRule="atLeast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2F193111" w14:textId="48868B2D" w:rsidR="00E55C1C" w:rsidRPr="000D066E" w:rsidRDefault="00E55C1C" w:rsidP="00E55C1C">
      <w:pPr>
        <w:pStyle w:val="SingleTxtG"/>
        <w:spacing w:line="220" w:lineRule="atLeast"/>
      </w:pPr>
      <w:r>
        <w:t>[</w:t>
      </w:r>
      <w:r w:rsidRPr="00F06062">
        <w:rPr>
          <w:b/>
          <w:bCs/>
        </w:rPr>
        <w:t>C</w:t>
      </w:r>
      <w:r>
        <w:t xml:space="preserve">]: Комитет сожалеет, что государство-участник не представило информацию о каких-либо шагах, предпринятых за отчетный период для выполнения его рекомендаций и прекращения практики пыток и жестокого обращения. Принимая к сведению информацию, представленную государством-участником в отношении Закона </w:t>
      </w:r>
      <w:r w:rsidRPr="000F0C0C">
        <w:t>о предупреждении пыток и гибели людей в местах лишения свободы 2013 года</w:t>
      </w:r>
      <w:r>
        <w:t>, Комитет просит предоставить дополнительную информацию о применении этого закона, в том числе о количестве расследований, судебных преследований и приговоров, которые были вынесены в соответствии с ним за отчетный период, а также информацию о любом возмещении предоставленном жертвам. Кроме того, принимая к сведению информацию о функциях и полномочиях Национальной комиссии по правам человека, Комитет вместе с тем просит предоставить дополнительную информацию о ее роли в качестве независимого механизма рассмотрения жалоб, в том числе о том, уполномочена ли она непосредственно расследовать утверждения о нарушениях прав человека, совершенных сотрудниками правоохранительных органов. Комитет просит предоставить подробную информацию о количестве жалоб, полученных Комиссией за отчетный период, о количестве проведенных ею расследований и об их результатах , в том числе о любых случаях судебного преследования виновных и возмещения ущерба, предоставленного жертвам.</w:t>
      </w:r>
    </w:p>
    <w:p w14:paraId="747C2BF8" w14:textId="6C961ADB" w:rsidR="00E55C1C" w:rsidRPr="000D066E" w:rsidRDefault="00E55C1C" w:rsidP="00E55C1C">
      <w:pPr>
        <w:pStyle w:val="SingleTxtG"/>
        <w:spacing w:line="220" w:lineRule="atLeast"/>
      </w:pPr>
      <w:r w:rsidRPr="00D21310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5AAFBE48" w14:textId="559137C5" w:rsidR="00E55C1C" w:rsidRDefault="00E55C1C" w:rsidP="00E55C1C">
      <w:pPr>
        <w:pStyle w:val="SingleTxtG"/>
        <w:spacing w:line="220" w:lineRule="atLeast"/>
      </w:pPr>
      <w:r w:rsidRPr="001F0A4D">
        <w:rPr>
          <w:b/>
          <w:bCs/>
        </w:rPr>
        <w:t>Дата представления следующего периодического доклада</w:t>
      </w:r>
      <w:r>
        <w:t>: 29 марта 2021</w:t>
      </w:r>
      <w:r>
        <w:rPr>
          <w:lang w:val="en-US"/>
        </w:rPr>
        <w:t> </w:t>
      </w:r>
      <w:r>
        <w:t>года.</w:t>
      </w:r>
      <w:bookmarkEnd w:id="1"/>
    </w:p>
    <w:p w14:paraId="2606CB69" w14:textId="5410C56B" w:rsidR="00381C24" w:rsidRPr="00E55C1C" w:rsidRDefault="00E55C1C" w:rsidP="00E55C1C">
      <w:pPr>
        <w:pStyle w:val="SingleTxtG"/>
        <w:spacing w:before="240" w:after="0" w:line="220" w:lineRule="atLeast"/>
        <w:jc w:val="center"/>
      </w:pPr>
      <w:r w:rsidRPr="00E55C1C">
        <w:rPr>
          <w:rFonts w:eastAsiaTheme="minorHAnsi" w:cstheme="minorBidi"/>
          <w:szCs w:val="22"/>
          <w:u w:val="single"/>
        </w:rPr>
        <w:tab/>
      </w:r>
      <w:r w:rsidRPr="00E55C1C">
        <w:rPr>
          <w:rFonts w:eastAsiaTheme="minorHAnsi" w:cstheme="minorBidi"/>
          <w:szCs w:val="22"/>
          <w:u w:val="single"/>
        </w:rPr>
        <w:tab/>
      </w:r>
      <w:r w:rsidRPr="00E55C1C">
        <w:rPr>
          <w:rFonts w:eastAsiaTheme="minorHAnsi" w:cstheme="minorBidi"/>
          <w:szCs w:val="22"/>
          <w:u w:val="single"/>
        </w:rPr>
        <w:tab/>
      </w:r>
    </w:p>
    <w:sectPr w:rsidR="00381C24" w:rsidRPr="00E55C1C" w:rsidSect="00E55C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07646" w14:textId="77777777" w:rsidR="00D20922" w:rsidRPr="00A312BC" w:rsidRDefault="00D20922" w:rsidP="00A312BC"/>
  </w:endnote>
  <w:endnote w:type="continuationSeparator" w:id="0">
    <w:p w14:paraId="6F8A4CC4" w14:textId="77777777" w:rsidR="00D20922" w:rsidRPr="00A312BC" w:rsidRDefault="00D2092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D8E21" w14:textId="6188BFD4" w:rsidR="00E55C1C" w:rsidRPr="00E55C1C" w:rsidRDefault="00E55C1C">
    <w:pPr>
      <w:pStyle w:val="a8"/>
    </w:pPr>
    <w:r w:rsidRPr="00E55C1C">
      <w:rPr>
        <w:b/>
        <w:sz w:val="18"/>
      </w:rPr>
      <w:fldChar w:fldCharType="begin"/>
    </w:r>
    <w:r w:rsidRPr="00E55C1C">
      <w:rPr>
        <w:b/>
        <w:sz w:val="18"/>
      </w:rPr>
      <w:instrText xml:space="preserve"> PAGE  \* MERGEFORMAT </w:instrText>
    </w:r>
    <w:r w:rsidRPr="00E55C1C">
      <w:rPr>
        <w:b/>
        <w:sz w:val="18"/>
      </w:rPr>
      <w:fldChar w:fldCharType="separate"/>
    </w:r>
    <w:r w:rsidRPr="00E55C1C">
      <w:rPr>
        <w:b/>
        <w:noProof/>
        <w:sz w:val="18"/>
      </w:rPr>
      <w:t>2</w:t>
    </w:r>
    <w:r w:rsidRPr="00E55C1C">
      <w:rPr>
        <w:b/>
        <w:sz w:val="18"/>
      </w:rPr>
      <w:fldChar w:fldCharType="end"/>
    </w:r>
    <w:r>
      <w:rPr>
        <w:b/>
        <w:sz w:val="18"/>
      </w:rPr>
      <w:tab/>
    </w:r>
    <w:r>
      <w:t>GE.21-12367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01E7E" w14:textId="4FED13BC" w:rsidR="00E55C1C" w:rsidRPr="00E55C1C" w:rsidRDefault="00E55C1C" w:rsidP="00E55C1C">
    <w:pPr>
      <w:pStyle w:val="a8"/>
      <w:tabs>
        <w:tab w:val="clear" w:pos="9639"/>
        <w:tab w:val="right" w:pos="9638"/>
      </w:tabs>
      <w:rPr>
        <w:b/>
        <w:sz w:val="18"/>
      </w:rPr>
    </w:pPr>
    <w:r>
      <w:t>GE.21-12367</w:t>
    </w:r>
    <w:r>
      <w:tab/>
    </w:r>
    <w:r w:rsidRPr="00E55C1C">
      <w:rPr>
        <w:b/>
        <w:sz w:val="18"/>
      </w:rPr>
      <w:fldChar w:fldCharType="begin"/>
    </w:r>
    <w:r w:rsidRPr="00E55C1C">
      <w:rPr>
        <w:b/>
        <w:sz w:val="18"/>
      </w:rPr>
      <w:instrText xml:space="preserve"> PAGE  \* MERGEFORMAT </w:instrText>
    </w:r>
    <w:r w:rsidRPr="00E55C1C">
      <w:rPr>
        <w:b/>
        <w:sz w:val="18"/>
      </w:rPr>
      <w:fldChar w:fldCharType="separate"/>
    </w:r>
    <w:r w:rsidRPr="00E55C1C">
      <w:rPr>
        <w:b/>
        <w:noProof/>
        <w:sz w:val="18"/>
      </w:rPr>
      <w:t>3</w:t>
    </w:r>
    <w:r w:rsidRPr="00E55C1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F5B72" w14:textId="180DD9A8" w:rsidR="00042B72" w:rsidRPr="00E55C1C" w:rsidRDefault="00E55C1C" w:rsidP="00E55C1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93BEC9" wp14:editId="2A60BC2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21-12367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BD98EBF" wp14:editId="5A5A67E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251021  251021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DAF08" w14:textId="77777777" w:rsidR="00D20922" w:rsidRPr="001075E9" w:rsidRDefault="00D2092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B9C742" w14:textId="77777777" w:rsidR="00D20922" w:rsidRDefault="00D2092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ABBE79F" w14:textId="34AB7690" w:rsidR="00E55C1C" w:rsidRPr="000D066E" w:rsidRDefault="00E55C1C" w:rsidP="00E55C1C">
      <w:pPr>
        <w:pStyle w:val="ad"/>
      </w:pPr>
      <w:r>
        <w:tab/>
      </w:r>
      <w:r w:rsidRPr="009A055D">
        <w:rPr>
          <w:sz w:val="20"/>
        </w:rPr>
        <w:t>*</w:t>
      </w:r>
      <w:r>
        <w:tab/>
        <w:t>Принята Комитетом на его</w:t>
      </w:r>
      <w:r w:rsidR="002414FA">
        <w:t xml:space="preserve"> сто тридцать второ</w:t>
      </w:r>
      <w:r>
        <w:t xml:space="preserve">й сессии (28 июня </w:t>
      </w:r>
      <w:r w:rsidR="009A055D" w:rsidRPr="009A055D">
        <w:t>—</w:t>
      </w:r>
      <w:r>
        <w:t xml:space="preserve"> 23 июля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F8729" w14:textId="01CE4090" w:rsidR="00E55C1C" w:rsidRPr="00E55C1C" w:rsidRDefault="00406ED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CCPR/C/132/2/Add.1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CD87" w14:textId="7AA46139" w:rsidR="00E55C1C" w:rsidRPr="00E55C1C" w:rsidRDefault="00406ED4" w:rsidP="00E55C1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CCPR/C/132/2/Add.1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DCC2E" w14:textId="77777777" w:rsidR="00E55C1C" w:rsidRDefault="00E55C1C" w:rsidP="00E55C1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922"/>
    <w:rsid w:val="00033EE1"/>
    <w:rsid w:val="000358F2"/>
    <w:rsid w:val="00042B72"/>
    <w:rsid w:val="000558BD"/>
    <w:rsid w:val="00081921"/>
    <w:rsid w:val="000B57E7"/>
    <w:rsid w:val="000B6373"/>
    <w:rsid w:val="000F09DF"/>
    <w:rsid w:val="000F61B2"/>
    <w:rsid w:val="001075E9"/>
    <w:rsid w:val="00180183"/>
    <w:rsid w:val="0018024D"/>
    <w:rsid w:val="001825BA"/>
    <w:rsid w:val="0018649F"/>
    <w:rsid w:val="00196389"/>
    <w:rsid w:val="001B3EF6"/>
    <w:rsid w:val="001C7A89"/>
    <w:rsid w:val="00210C26"/>
    <w:rsid w:val="002414FA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6ED4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06DC9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055D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BF5D28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20922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55C1C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B5FA04"/>
  <w15:docId w15:val="{98B035C5-0DD3-4991-AD04-817493D0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55C1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5</Pages>
  <Words>2012</Words>
  <Characters>14273</Characters>
  <Application>Microsoft Office Word</Application>
  <DocSecurity>0</DocSecurity>
  <Lines>262</Lines>
  <Paragraphs>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CCPR/C/132/2/Add.1</vt:lpstr>
      <vt:lpstr>A/</vt:lpstr>
      <vt:lpstr>A/</vt:lpstr>
    </vt:vector>
  </TitlesOfParts>
  <Company>DCM</Company>
  <LinksUpToDate>false</LinksUpToDate>
  <CharactersWithSpaces>16280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CCPR/C/132/2/Add.1</dc:title>
  <dc:subject/>
  <dc:creator>Olga OVTCHINNIKOVA</dc:creator>
  <cp:keywords/>
  <cp:lastModifiedBy>Ioulia Goussarova</cp:lastModifiedBy>
  <cp:revision>3</cp:revision>
  <cp:lastPrinted>2021-10-25T10:03:00Z</cp:lastPrinted>
  <dcterms:created xsi:type="dcterms:W3CDTF">2021-10-25T10:03:00Z</dcterms:created>
  <dcterms:modified xsi:type="dcterms:W3CDTF">2021-10-25T10:04:00Z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