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8B02A8">
                <w:t>C/SR.2674</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r>
              <w:rPr>
                <w:lang w:val="en-US"/>
              </w:rPr>
              <w:fldChar w:fldCharType="begin"/>
            </w:r>
            <w:r>
              <w:rPr>
                <w:lang w:val="en-US"/>
              </w:rPr>
              <w:instrText xml:space="preserve"> FILLIN  "Введите дату документа" \* MERGEFORMAT </w:instrText>
            </w:r>
            <w:r w:rsidR="008B02A8">
              <w:rPr>
                <w:lang w:val="en-US"/>
              </w:rPr>
              <w:fldChar w:fldCharType="separate"/>
            </w:r>
            <w:r w:rsidR="008B02A8">
              <w:rPr>
                <w:lang w:val="en-US"/>
              </w:rPr>
              <w:t>12 April 2010</w:t>
            </w:r>
            <w:r>
              <w:rPr>
                <w:lang w:val="en-US"/>
              </w:rPr>
              <w:fldChar w:fldCharType="end"/>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8B02A8" w:rsidRPr="00114194" w:rsidRDefault="008B02A8" w:rsidP="008B02A8">
      <w:pPr>
        <w:spacing w:before="120"/>
        <w:rPr>
          <w:b/>
          <w:sz w:val="24"/>
          <w:szCs w:val="24"/>
        </w:rPr>
      </w:pPr>
      <w:r w:rsidRPr="00114194">
        <w:rPr>
          <w:b/>
          <w:sz w:val="24"/>
          <w:szCs w:val="24"/>
        </w:rPr>
        <w:t>Комитет по правам человека</w:t>
      </w:r>
    </w:p>
    <w:p w:rsidR="008B02A8" w:rsidRPr="00AA2110" w:rsidRDefault="008B02A8" w:rsidP="00114194">
      <w:pPr>
        <w:rPr>
          <w:b/>
        </w:rPr>
      </w:pPr>
      <w:r w:rsidRPr="00AA2110">
        <w:rPr>
          <w:b/>
        </w:rPr>
        <w:t>Девяносто седьмая сессия</w:t>
      </w:r>
    </w:p>
    <w:p w:rsidR="008B02A8" w:rsidRPr="008D74CF" w:rsidRDefault="008B02A8" w:rsidP="008B02A8">
      <w:pPr>
        <w:pStyle w:val="H23GR"/>
        <w:ind w:left="0" w:firstLine="0"/>
        <w:rPr>
          <w:b w:val="0"/>
        </w:rPr>
      </w:pPr>
      <w:r w:rsidRPr="00AA2110">
        <w:t>Краткий отчет о 2674-м заседании,</w:t>
      </w:r>
      <w:r w:rsidRPr="008D74CF">
        <w:br/>
      </w:r>
      <w:r w:rsidRPr="008D74CF">
        <w:rPr>
          <w:b w:val="0"/>
        </w:rPr>
        <w:t>состоявшемся во Дворце Вильсона в Женеве</w:t>
      </w:r>
      <w:r>
        <w:rPr>
          <w:b w:val="0"/>
        </w:rPr>
        <w:t xml:space="preserve"> </w:t>
      </w:r>
      <w:r w:rsidRPr="008B02A8">
        <w:rPr>
          <w:b w:val="0"/>
        </w:rPr>
        <w:br/>
      </w:r>
      <w:r>
        <w:rPr>
          <w:b w:val="0"/>
        </w:rPr>
        <w:t>в пятницу,</w:t>
      </w:r>
      <w:r w:rsidRPr="008D74CF">
        <w:rPr>
          <w:b w:val="0"/>
        </w:rPr>
        <w:t xml:space="preserve"> 23 октября 2009 года, в 10 ч. 00 м.</w:t>
      </w:r>
      <w:r>
        <w:rPr>
          <w:rStyle w:val="FootnoteReference"/>
          <w:b w:val="0"/>
        </w:rPr>
        <w:footnoteReference w:customMarkFollows="1" w:id="1"/>
        <w:t> </w:t>
      </w:r>
    </w:p>
    <w:p w:rsidR="008B02A8" w:rsidRPr="00AA2110" w:rsidRDefault="008B02A8" w:rsidP="008B02A8">
      <w:pPr>
        <w:spacing w:before="240"/>
      </w:pPr>
      <w:r w:rsidRPr="00AA2110">
        <w:rPr>
          <w:i/>
        </w:rPr>
        <w:t>Председатель</w:t>
      </w:r>
      <w:r w:rsidRPr="00AA2110">
        <w:t xml:space="preserve">: </w:t>
      </w:r>
      <w:r w:rsidR="00114194">
        <w:rPr>
          <w:lang w:val="en-US"/>
        </w:rPr>
        <w:tab/>
      </w:r>
      <w:r w:rsidRPr="00AA2110">
        <w:t>г-н Ивасава</w:t>
      </w:r>
    </w:p>
    <w:p w:rsidR="008B02A8" w:rsidRDefault="008B02A8" w:rsidP="008B02A8">
      <w:pPr>
        <w:pStyle w:val="SingleTxtGR"/>
        <w:suppressAutoHyphens/>
        <w:spacing w:before="240" w:after="240"/>
        <w:ind w:left="0" w:right="0"/>
        <w:jc w:val="left"/>
        <w:rPr>
          <w:sz w:val="28"/>
        </w:rPr>
      </w:pPr>
      <w:r>
        <w:rPr>
          <w:sz w:val="28"/>
        </w:rPr>
        <w:t>Содержание</w:t>
      </w:r>
    </w:p>
    <w:p w:rsidR="008B02A8" w:rsidRPr="00AA2110" w:rsidRDefault="008B02A8" w:rsidP="008B02A8">
      <w:pPr>
        <w:pStyle w:val="SingleTxtGR"/>
      </w:pPr>
      <w:r w:rsidRPr="00AA2110">
        <w:t>Замечания общего порядка Комитета (пункт 8 повестки дня)</w:t>
      </w:r>
    </w:p>
    <w:p w:rsidR="008B02A8" w:rsidRPr="00AA2110" w:rsidRDefault="008B02A8" w:rsidP="008B02A8">
      <w:pPr>
        <w:pStyle w:val="SingleTxtGR"/>
        <w:rPr>
          <w:i/>
        </w:rPr>
      </w:pPr>
      <w:r>
        <w:rPr>
          <w:i/>
        </w:rPr>
        <w:tab/>
      </w:r>
      <w:r w:rsidRPr="00AA2110">
        <w:rPr>
          <w:i/>
        </w:rPr>
        <w:t>Проект Замечания общего порядка № 34 по статье 19 Пакта</w:t>
      </w:r>
    </w:p>
    <w:p w:rsidR="008B02A8" w:rsidRPr="00AA2110" w:rsidRDefault="008B02A8" w:rsidP="008B02A8">
      <w:pPr>
        <w:pStyle w:val="SingleTxtGR"/>
        <w:ind w:right="-81"/>
        <w:rPr>
          <w:i/>
        </w:rPr>
      </w:pPr>
      <w:r w:rsidRPr="00AA2110">
        <w:br w:type="page"/>
      </w:r>
      <w:r w:rsidRPr="00AA2110">
        <w:rPr>
          <w:i/>
        </w:rPr>
        <w:t>Заседание открывается в 10 ч. 10 м.</w:t>
      </w:r>
    </w:p>
    <w:p w:rsidR="008B02A8" w:rsidRPr="00DB4431" w:rsidRDefault="008B02A8" w:rsidP="008B02A8">
      <w:pPr>
        <w:pStyle w:val="H23GR"/>
      </w:pPr>
      <w:r w:rsidRPr="00DB4431">
        <w:tab/>
      </w:r>
      <w:r w:rsidRPr="00DB4431">
        <w:tab/>
        <w:t xml:space="preserve">Замечания общего порядка Комитета (пункт 8 повестки дня) </w:t>
      </w:r>
    </w:p>
    <w:p w:rsidR="008B02A8" w:rsidRPr="00AA2110" w:rsidRDefault="008B02A8" w:rsidP="008B02A8">
      <w:pPr>
        <w:pStyle w:val="SingleTxtGR"/>
        <w:rPr>
          <w:i/>
        </w:rPr>
      </w:pPr>
      <w:r w:rsidRPr="00AA2110">
        <w:rPr>
          <w:i/>
        </w:rPr>
        <w:t>Проект Замечания общего порядка № 34 по статье 19 Пакта (</w:t>
      </w:r>
      <w:r w:rsidRPr="00AA2110">
        <w:rPr>
          <w:i/>
          <w:lang w:val="fr-CH"/>
        </w:rPr>
        <w:t>CCPR</w:t>
      </w:r>
      <w:r w:rsidRPr="00AA2110">
        <w:rPr>
          <w:i/>
        </w:rPr>
        <w:t>/</w:t>
      </w:r>
      <w:r w:rsidRPr="00AA2110">
        <w:rPr>
          <w:i/>
          <w:lang w:val="fr-CH"/>
        </w:rPr>
        <w:t>C</w:t>
      </w:r>
      <w:r w:rsidRPr="00AA2110">
        <w:rPr>
          <w:i/>
        </w:rPr>
        <w:t>/</w:t>
      </w:r>
      <w:r w:rsidRPr="00AA2110">
        <w:rPr>
          <w:i/>
          <w:lang w:val="fr-CH"/>
        </w:rPr>
        <w:t>GC</w:t>
      </w:r>
      <w:r w:rsidRPr="00AA2110">
        <w:rPr>
          <w:i/>
        </w:rPr>
        <w:t>/34/</w:t>
      </w:r>
      <w:r w:rsidRPr="00AA2110">
        <w:rPr>
          <w:i/>
          <w:lang w:val="fr-CH"/>
        </w:rPr>
        <w:t>CRP</w:t>
      </w:r>
      <w:r w:rsidRPr="00AA2110">
        <w:rPr>
          <w:i/>
        </w:rPr>
        <w:t>.1)</w:t>
      </w:r>
    </w:p>
    <w:p w:rsidR="008B02A8" w:rsidRPr="00AA2110" w:rsidRDefault="008B02A8" w:rsidP="008B02A8">
      <w:pPr>
        <w:pStyle w:val="SingleTxtGR"/>
      </w:pPr>
      <w:r w:rsidRPr="00AA2110">
        <w:t>1.</w:t>
      </w:r>
      <w:r w:rsidRPr="00AA2110">
        <w:tab/>
      </w:r>
      <w:r w:rsidRPr="00AA2110">
        <w:rPr>
          <w:b/>
        </w:rPr>
        <w:t xml:space="preserve">Председатель </w:t>
      </w:r>
      <w:r w:rsidRPr="00AA2110">
        <w:t>предлагает членам Комитета начать первое чтение проекта Замечания общего п</w:t>
      </w:r>
      <w:r w:rsidRPr="00AA2110">
        <w:t>о</w:t>
      </w:r>
      <w:r w:rsidRPr="00AA2110">
        <w:t xml:space="preserve">рядка № 34 по статье 19 Пакта. </w:t>
      </w:r>
    </w:p>
    <w:p w:rsidR="008B02A8" w:rsidRPr="00AA2110" w:rsidRDefault="008B02A8" w:rsidP="008B02A8">
      <w:pPr>
        <w:pStyle w:val="SingleTxtGR"/>
      </w:pPr>
      <w:r w:rsidRPr="00AA2110">
        <w:t>2.</w:t>
      </w:r>
      <w:r w:rsidRPr="00AA2110">
        <w:tab/>
      </w:r>
      <w:r w:rsidRPr="00AA2110">
        <w:rPr>
          <w:b/>
        </w:rPr>
        <w:t>Г-н О’Флаэрти</w:t>
      </w:r>
      <w:r w:rsidRPr="00AA2110">
        <w:t xml:space="preserve"> (докладчик по Замечанию общего порядка) объясняет, что он разработал этот проект имея в</w:t>
      </w:r>
      <w:r w:rsidR="008C2FE3" w:rsidRPr="008C2FE3">
        <w:t xml:space="preserve"> </w:t>
      </w:r>
      <w:r w:rsidRPr="00AA2110">
        <w:t xml:space="preserve">виду цель замечаний общего порядка, как она определена в документе </w:t>
      </w:r>
      <w:r w:rsidRPr="00AA2110">
        <w:rPr>
          <w:lang w:val="fr-CH"/>
        </w:rPr>
        <w:t>CCPR</w:t>
      </w:r>
      <w:r w:rsidRPr="00AA2110">
        <w:t>/</w:t>
      </w:r>
      <w:r w:rsidRPr="00AA2110">
        <w:rPr>
          <w:lang w:val="fr-CH"/>
        </w:rPr>
        <w:t>C</w:t>
      </w:r>
      <w:r w:rsidRPr="00AA2110">
        <w:t>/21/</w:t>
      </w:r>
      <w:r w:rsidRPr="00AA2110">
        <w:rPr>
          <w:lang w:val="fr-CH"/>
        </w:rPr>
        <w:t>Rev</w:t>
      </w:r>
      <w:r w:rsidRPr="00AA2110">
        <w:t>.1, а именно «помогать государс</w:t>
      </w:r>
      <w:r w:rsidRPr="00AA2110">
        <w:t>т</w:t>
      </w:r>
      <w:r w:rsidRPr="00AA2110">
        <w:t>вам-участникам в выполнении возложенного на них обязательства по предста</w:t>
      </w:r>
      <w:r w:rsidRPr="00AA2110">
        <w:t>в</w:t>
      </w:r>
      <w:r w:rsidRPr="00AA2110">
        <w:t>лению докладов» при извлечении уроков из рассмотрения этих докладов. В</w:t>
      </w:r>
      <w:r>
        <w:rPr>
          <w:lang w:val="en-US"/>
        </w:rPr>
        <w:t> </w:t>
      </w:r>
      <w:r w:rsidRPr="00AA2110">
        <w:t xml:space="preserve">числе использованных источников фигурируют в основном Замечание общего порядка </w:t>
      </w:r>
      <w:r w:rsidR="008C2FE3">
        <w:t>№ 10 −</w:t>
      </w:r>
      <w:r w:rsidRPr="00AA2110">
        <w:t xml:space="preserve"> первое Замечание, посвященное статье 19 Пакта</w:t>
      </w:r>
      <w:r w:rsidR="008C2FE3">
        <w:t>,</w:t>
      </w:r>
      <w:r w:rsidRPr="00AA2110">
        <w:t xml:space="preserve"> и другие з</w:t>
      </w:r>
      <w:r w:rsidRPr="00AA2110">
        <w:t>а</w:t>
      </w:r>
      <w:r w:rsidRPr="00AA2110">
        <w:t>мечания общего порядка, некоторые аспекты которых являются полезными, т</w:t>
      </w:r>
      <w:r w:rsidRPr="00AA2110">
        <w:t>а</w:t>
      </w:r>
      <w:r w:rsidRPr="00AA2110">
        <w:t>кие как Замечания общего порядка № 31 (общие правовые обязательства) и №</w:t>
      </w:r>
      <w:r w:rsidR="008C2FE3">
        <w:t> </w:t>
      </w:r>
      <w:r w:rsidRPr="00AA2110">
        <w:t>24 (оговорки), и практика вынесения решений Комитетом по статье 19, а также заключительные замечания. Действительно, в двух своих предыдущих замечаниях общего порядка Комитет не делает никаких ссылок на заключ</w:t>
      </w:r>
      <w:r w:rsidRPr="00AA2110">
        <w:t>и</w:t>
      </w:r>
      <w:r w:rsidRPr="00AA2110">
        <w:t>тельные замечания, однако если обратиться к более раннему времени, то можно констатировать, что это было обычной практикой. В данном случае отсылка к заключительным замечаниям необходима с учетом широкого круга вопросов, которые связаны со статьей 19. Проект содержит, с одной стороны, элементы, затрагивающие то</w:t>
      </w:r>
      <w:r w:rsidRPr="00AA2110">
        <w:t>л</w:t>
      </w:r>
      <w:r w:rsidRPr="00AA2110">
        <w:t>кование и применение правовых принципов, а с другой – скорее элементы рекомендации, нежели обязательства. Последняя часть посв</w:t>
      </w:r>
      <w:r w:rsidRPr="00AA2110">
        <w:t>я</w:t>
      </w:r>
      <w:r w:rsidRPr="00AA2110">
        <w:t>щена связи со статьей 20, однако следует напомнить, что в мандат докладчика не входила разработка Замечания общего порядка также и по этой статье, как этого хотели некот</w:t>
      </w:r>
      <w:r w:rsidRPr="00AA2110">
        <w:t>о</w:t>
      </w:r>
      <w:r w:rsidRPr="00AA2110">
        <w:t xml:space="preserve">рые. </w:t>
      </w:r>
    </w:p>
    <w:p w:rsidR="008B02A8" w:rsidRPr="00AA2110" w:rsidRDefault="008B02A8" w:rsidP="008B02A8">
      <w:pPr>
        <w:pStyle w:val="SingleTxtGR"/>
      </w:pPr>
      <w:r w:rsidRPr="00AA2110">
        <w:t>3.</w:t>
      </w:r>
      <w:r w:rsidRPr="00AA2110">
        <w:tab/>
      </w:r>
      <w:r w:rsidRPr="00AA2110">
        <w:rPr>
          <w:b/>
        </w:rPr>
        <w:t>Председатель</w:t>
      </w:r>
      <w:r w:rsidRPr="00AA2110">
        <w:t xml:space="preserve"> предлагает членам Комитета делать комментарии общего порядка о подходе к проекту и его методологии, принимая во внимание, что в</w:t>
      </w:r>
      <w:r w:rsidRPr="00AA2110">
        <w:t>о</w:t>
      </w:r>
      <w:r w:rsidRPr="00AA2110">
        <w:t>просы существа будут затронуты позже.</w:t>
      </w:r>
    </w:p>
    <w:p w:rsidR="008B02A8" w:rsidRPr="00AA2110" w:rsidRDefault="008B02A8" w:rsidP="008B02A8">
      <w:pPr>
        <w:pStyle w:val="SingleTxtGR"/>
      </w:pPr>
      <w:r w:rsidRPr="00AA2110">
        <w:t>4.</w:t>
      </w:r>
      <w:r w:rsidRPr="00AA2110">
        <w:tab/>
      </w:r>
      <w:r w:rsidRPr="00AA2110">
        <w:rPr>
          <w:b/>
        </w:rPr>
        <w:t xml:space="preserve">Г-н Телин </w:t>
      </w:r>
      <w:r w:rsidRPr="00AA2110">
        <w:t>хотел бы получить уточнения об использованных источниках. Как он понимает, их три вида различного нормативного значения: соображения, принятые по сообщениям, заключительные замечания и третья категория и</w:t>
      </w:r>
      <w:r w:rsidRPr="00AA2110">
        <w:t>с</w:t>
      </w:r>
      <w:r w:rsidRPr="00AA2110">
        <w:t>точников, которая не относится к двум первым. Нормативные последствия с</w:t>
      </w:r>
      <w:r w:rsidRPr="00AA2110">
        <w:t>о</w:t>
      </w:r>
      <w:r w:rsidRPr="00AA2110">
        <w:t>ображений ясны – Комитет высказался по этому поводу в своем Замечании о</w:t>
      </w:r>
      <w:r w:rsidRPr="00AA2110">
        <w:t>б</w:t>
      </w:r>
      <w:r w:rsidRPr="00AA2110">
        <w:t>щего порядка № 33,</w:t>
      </w:r>
      <w:r w:rsidR="008C2FE3">
        <w:t xml:space="preserve"> − </w:t>
      </w:r>
      <w:r w:rsidRPr="00AA2110">
        <w:t>однако нормативные последствия заключительных зам</w:t>
      </w:r>
      <w:r w:rsidRPr="00AA2110">
        <w:t>е</w:t>
      </w:r>
      <w:r w:rsidRPr="00AA2110">
        <w:t>чаний являются менее ясными, в частности по сравнению с соображениями, и было бы также полезно задаться вопросом о нормативном взаимодействии м</w:t>
      </w:r>
      <w:r w:rsidRPr="00AA2110">
        <w:t>е</w:t>
      </w:r>
      <w:r w:rsidRPr="00AA2110">
        <w:t>жду тремя данными категориями.</w:t>
      </w:r>
    </w:p>
    <w:p w:rsidR="008B02A8" w:rsidRPr="00AA2110" w:rsidRDefault="008B02A8" w:rsidP="008B02A8">
      <w:pPr>
        <w:pStyle w:val="SingleTxtGR"/>
      </w:pPr>
      <w:r w:rsidRPr="00AA2110">
        <w:t>5.</w:t>
      </w:r>
      <w:r w:rsidRPr="00AA2110">
        <w:tab/>
      </w:r>
      <w:r w:rsidRPr="00AA2110">
        <w:rPr>
          <w:b/>
        </w:rPr>
        <w:t>Г-жа Майодина</w:t>
      </w:r>
      <w:r w:rsidRPr="00AA2110">
        <w:t xml:space="preserve"> говорит, что проект Замечания общего порядка сущес</w:t>
      </w:r>
      <w:r w:rsidRPr="00AA2110">
        <w:t>т</w:t>
      </w:r>
      <w:r w:rsidRPr="00AA2110">
        <w:t xml:space="preserve">венно улучшает Замечание общего порядка № 10, которое обладает многими пробелами. Как подчеркнул докладчик, заключительные замечания Комитета должны помогать государствам-участникам в применении Пакта. В </w:t>
      </w:r>
      <w:r w:rsidR="00FB4341">
        <w:t xml:space="preserve">таких </w:t>
      </w:r>
      <w:r w:rsidRPr="00AA2110">
        <w:t>р</w:t>
      </w:r>
      <w:r w:rsidRPr="00AA2110">
        <w:t>е</w:t>
      </w:r>
      <w:r w:rsidRPr="00AA2110">
        <w:t>гионах мира, как Африка, эта помощь является в особенности необходимой. Речь не идет только о том, чтобы разъяснить значение положений Пакта, но также и позволить обычному должностному лицу понять обязательства гос</w:t>
      </w:r>
      <w:r w:rsidRPr="00AA2110">
        <w:t>у</w:t>
      </w:r>
      <w:r w:rsidRPr="00AA2110">
        <w:t>дарства-участника в отношении права на свободное выражение мнений.</w:t>
      </w:r>
    </w:p>
    <w:p w:rsidR="008B02A8" w:rsidRPr="00AA2110" w:rsidRDefault="00B70C0F" w:rsidP="008B02A8">
      <w:pPr>
        <w:pStyle w:val="SingleTxtGR"/>
      </w:pPr>
      <w:r>
        <w:t>6</w:t>
      </w:r>
      <w:r w:rsidR="008B02A8" w:rsidRPr="00AA2110">
        <w:t>.</w:t>
      </w:r>
      <w:r w:rsidR="008B02A8" w:rsidRPr="00AA2110">
        <w:tab/>
      </w:r>
      <w:r w:rsidR="008B02A8" w:rsidRPr="00AA2110">
        <w:rPr>
          <w:b/>
        </w:rPr>
        <w:t>Г-жа Шане</w:t>
      </w:r>
      <w:r w:rsidR="008B02A8" w:rsidRPr="00AA2110">
        <w:t xml:space="preserve"> приветствует оригинальный подход, занятый докладчиком, который предлагает тематический анализ, нежели сопоставление рассматр</w:t>
      </w:r>
      <w:r w:rsidR="008B02A8" w:rsidRPr="00AA2110">
        <w:t>и</w:t>
      </w:r>
      <w:r w:rsidR="008B02A8" w:rsidRPr="00AA2110">
        <w:t>ваемой статьи с другими статьями Пакта. Вопрос о допустимых ограничениях свободного выражения мнений является в особенности хорошо аргументир</w:t>
      </w:r>
      <w:r w:rsidR="008B02A8" w:rsidRPr="00AA2110">
        <w:t>о</w:t>
      </w:r>
      <w:r w:rsidR="008B02A8" w:rsidRPr="00AA2110">
        <w:t>ванным. Вопрос о связи между статьями 19 и 20 не нуждается в том, чтобы ст</w:t>
      </w:r>
      <w:r w:rsidR="008B02A8" w:rsidRPr="00AA2110">
        <w:t>а</w:t>
      </w:r>
      <w:r w:rsidR="008B02A8" w:rsidRPr="00AA2110">
        <w:t>новиться объектом отдельной главы. Зато вопрос о том, заменит ли проект З</w:t>
      </w:r>
      <w:r w:rsidR="008B02A8" w:rsidRPr="00AA2110">
        <w:t>а</w:t>
      </w:r>
      <w:r w:rsidR="008B02A8" w:rsidRPr="00AA2110">
        <w:t>мечание общего порядка № 10, не может рассматриваться в первом пункте, п</w:t>
      </w:r>
      <w:r w:rsidR="008B02A8" w:rsidRPr="00AA2110">
        <w:t>о</w:t>
      </w:r>
      <w:r w:rsidR="008B02A8" w:rsidRPr="00AA2110">
        <w:t>скольку на него можно ответить только в после</w:t>
      </w:r>
      <w:r w:rsidR="008B02A8" w:rsidRPr="00AA2110">
        <w:t>д</w:t>
      </w:r>
      <w:r w:rsidR="008B02A8" w:rsidRPr="00AA2110">
        <w:t xml:space="preserve">нюю очередь. </w:t>
      </w:r>
    </w:p>
    <w:p w:rsidR="008B02A8" w:rsidRPr="00AA2110" w:rsidRDefault="008B02A8" w:rsidP="008B02A8">
      <w:pPr>
        <w:pStyle w:val="SingleTxtGR"/>
      </w:pPr>
      <w:r w:rsidRPr="00AA2110">
        <w:t>7.</w:t>
      </w:r>
      <w:r w:rsidRPr="00AA2110">
        <w:tab/>
      </w:r>
      <w:r w:rsidRPr="00AA2110">
        <w:rPr>
          <w:b/>
        </w:rPr>
        <w:t>Г-н Сальвиоли</w:t>
      </w:r>
      <w:r w:rsidRPr="00AA2110">
        <w:t xml:space="preserve"> также одобряет строгий порядок рассмотрения вопроса о возможных ограничениях на свободное выражение мнений. Статья 19 ставит много вызовов, которые докладчик смог очень хорошо выявить. Ссылки на з</w:t>
      </w:r>
      <w:r w:rsidRPr="00AA2110">
        <w:t>а</w:t>
      </w:r>
      <w:r w:rsidRPr="00AA2110">
        <w:t>ключительные замечания являются очень полезными, также как и многочи</w:t>
      </w:r>
      <w:r w:rsidRPr="00AA2110">
        <w:t>с</w:t>
      </w:r>
      <w:r w:rsidRPr="00AA2110">
        <w:t>ленные примеры, даже если некоторые, вероятно, могли бы быть удалены. В</w:t>
      </w:r>
      <w:r w:rsidRPr="00AA2110">
        <w:t>о</w:t>
      </w:r>
      <w:r w:rsidRPr="00AA2110">
        <w:t>прос о доступе к и</w:t>
      </w:r>
      <w:r w:rsidRPr="00AA2110">
        <w:t>н</w:t>
      </w:r>
      <w:r w:rsidRPr="00AA2110">
        <w:t>формации также весьма хорошо рассмотрен.</w:t>
      </w:r>
    </w:p>
    <w:p w:rsidR="008B02A8" w:rsidRPr="00AA2110" w:rsidRDefault="008B02A8" w:rsidP="008B02A8">
      <w:pPr>
        <w:pStyle w:val="SingleTxtGR"/>
      </w:pPr>
      <w:r w:rsidRPr="00AA2110">
        <w:t>8.</w:t>
      </w:r>
      <w:r w:rsidRPr="00AA2110">
        <w:tab/>
      </w:r>
      <w:r w:rsidRPr="00AA2110">
        <w:rPr>
          <w:b/>
        </w:rPr>
        <w:t>Г-жа Келлер</w:t>
      </w:r>
      <w:r w:rsidRPr="00AA2110">
        <w:t xml:space="preserve"> говорит, что докладчик смог найти идеальный баланс ме</w:t>
      </w:r>
      <w:r w:rsidRPr="00AA2110">
        <w:t>ж</w:t>
      </w:r>
      <w:r w:rsidRPr="00AA2110">
        <w:t>ду двумя последствиями, к которым должно привести Замечание общего поря</w:t>
      </w:r>
      <w:r w:rsidRPr="00AA2110">
        <w:t>д</w:t>
      </w:r>
      <w:r w:rsidRPr="00AA2110">
        <w:t>ка Комитета: с одной стороны, последствия научного порядка, а с другой – п</w:t>
      </w:r>
      <w:r w:rsidRPr="00AA2110">
        <w:t>о</w:t>
      </w:r>
      <w:r w:rsidRPr="00AA2110">
        <w:t>следствия скорее политического и дипломатического характера.</w:t>
      </w:r>
    </w:p>
    <w:p w:rsidR="008B02A8" w:rsidRPr="00AA2110" w:rsidRDefault="008B02A8" w:rsidP="008B02A8">
      <w:pPr>
        <w:pStyle w:val="SingleTxtGR"/>
      </w:pPr>
      <w:r w:rsidRPr="00AA2110">
        <w:t>9.</w:t>
      </w:r>
      <w:r w:rsidRPr="00AA2110">
        <w:tab/>
      </w:r>
      <w:r w:rsidRPr="00AA2110">
        <w:rPr>
          <w:b/>
        </w:rPr>
        <w:t>Г-н Амор</w:t>
      </w:r>
      <w:r w:rsidRPr="00AA2110">
        <w:t xml:space="preserve"> полагает, что при следовании тематическому подходу имеется риск совершения прои</w:t>
      </w:r>
      <w:r w:rsidRPr="00AA2110">
        <w:t>з</w:t>
      </w:r>
      <w:r w:rsidRPr="00AA2110">
        <w:t>вольного выбора. Например, можно было бы посвятить какой-либо заголовок свободному выражению мнений, как это делается, нач</w:t>
      </w:r>
      <w:r w:rsidRPr="00AA2110">
        <w:t>и</w:t>
      </w:r>
      <w:r w:rsidRPr="00AA2110">
        <w:t>ная с пункта 38 текста, в его взаимосвязи с деньгами, свободному выражению мнений и академической свободе, свободному выражению мнений и предста</w:t>
      </w:r>
      <w:r w:rsidRPr="00AA2110">
        <w:t>в</w:t>
      </w:r>
      <w:r w:rsidRPr="00AA2110">
        <w:t>ленности женщин в средствах массовой информации. Темы для рассмотрения являются особенно многочисленными, и было бы, таким образом, целесообра</w:t>
      </w:r>
      <w:r w:rsidRPr="00AA2110">
        <w:t>з</w:t>
      </w:r>
      <w:r w:rsidRPr="00AA2110">
        <w:t>нее просто привести из них примеры для иллюстрации толкования п</w:t>
      </w:r>
      <w:r w:rsidRPr="00AA2110">
        <w:t>о</w:t>
      </w:r>
      <w:r w:rsidRPr="00AA2110">
        <w:t>ложений. Вопрос о связи между статьями 19 и 20 должен быть поставлен с самого нач</w:t>
      </w:r>
      <w:r w:rsidRPr="00AA2110">
        <w:t>а</w:t>
      </w:r>
      <w:r w:rsidRPr="00AA2110">
        <w:t>ла, поскольку первая применяется, прежде всего, в тех рамках, которые зафи</w:t>
      </w:r>
      <w:r w:rsidRPr="00AA2110">
        <w:t>к</w:t>
      </w:r>
      <w:r w:rsidRPr="00AA2110">
        <w:t>сированы второй. Наконец, различие между свободным выражением мнений и свободой убеждений заслуживает развития, поскольку даже если статья 19 к</w:t>
      </w:r>
      <w:r w:rsidRPr="00AA2110">
        <w:t>а</w:t>
      </w:r>
      <w:r w:rsidRPr="00AA2110">
        <w:t>сается главным образом свободного выражения мнений, то свобода убеждений не в меньшей степени является отправной точкой, а она несколько игнорируе</w:t>
      </w:r>
      <w:r w:rsidRPr="00AA2110">
        <w:t>т</w:t>
      </w:r>
      <w:r w:rsidRPr="00AA2110">
        <w:t>ся в проекте. И напротив, пр</w:t>
      </w:r>
      <w:r w:rsidRPr="00AA2110">
        <w:t>и</w:t>
      </w:r>
      <w:r w:rsidRPr="00AA2110">
        <w:t>стальное внимание уделяется средствам массовой информации и условиям работы журналистов, однако важно не рассматривать равноценным образом средства массовой информации, отражающие политич</w:t>
      </w:r>
      <w:r w:rsidRPr="00AA2110">
        <w:t>е</w:t>
      </w:r>
      <w:r w:rsidRPr="00AA2110">
        <w:t>ские взгляды, и желтую прессу, которая иногда совершает нарушения наиболее элементарных прав. Надо настаивать на необходимости укреплять защиту пре</w:t>
      </w:r>
      <w:r w:rsidRPr="00AA2110">
        <w:t>с</w:t>
      </w:r>
      <w:r w:rsidRPr="00AA2110">
        <w:t>сы, отражающей политические взгляды, но не соглашаться с посягательствами на закон, совершаемыми некоторыми средствами массовой информации. Ко</w:t>
      </w:r>
      <w:r w:rsidRPr="00AA2110">
        <w:t>н</w:t>
      </w:r>
      <w:r w:rsidRPr="00AA2110">
        <w:t>цепция закона, данная в проекте, заслуживала бы пересмотра. Невозможно н</w:t>
      </w:r>
      <w:r w:rsidRPr="00AA2110">
        <w:t>а</w:t>
      </w:r>
      <w:r w:rsidRPr="00AA2110">
        <w:t>делить статусом закона тексты, исходящие от исполнительной власти, такие как муниципальные распоряжения или постановления, которые как раз в наибол</w:t>
      </w:r>
      <w:r w:rsidRPr="00AA2110">
        <w:t>ь</w:t>
      </w:r>
      <w:r w:rsidRPr="00AA2110">
        <w:t>шей степени способны повредить свободному выражению мн</w:t>
      </w:r>
      <w:r w:rsidRPr="00AA2110">
        <w:t>е</w:t>
      </w:r>
      <w:r w:rsidRPr="00AA2110">
        <w:t>ний, если они не подвергаются ограничениям. Любое расширение понятия закона предоставит соответствующие полномочия органам власти, которые в незаконном порядке могут предписывать ограничения, что с юридической точки зрения неприемл</w:t>
      </w:r>
      <w:r w:rsidRPr="00AA2110">
        <w:t>е</w:t>
      </w:r>
      <w:r w:rsidRPr="00AA2110">
        <w:t>мо. Статья 19 содержит правовые нормы, которые должны толковаться Комит</w:t>
      </w:r>
      <w:r w:rsidRPr="00AA2110">
        <w:t>е</w:t>
      </w:r>
      <w:r w:rsidRPr="00AA2110">
        <w:t>том. Однако методы толкования различаются, и когда речь идет о телеологич</w:t>
      </w:r>
      <w:r w:rsidRPr="00AA2110">
        <w:t>е</w:t>
      </w:r>
      <w:r w:rsidRPr="00AA2110">
        <w:t>ских методах, доведенных до крайности, они несут риск искажения толкуемых положений. Следует проводить толкование научным способом, а не в свете чь</w:t>
      </w:r>
      <w:r w:rsidRPr="00AA2110">
        <w:t>е</w:t>
      </w:r>
      <w:r w:rsidRPr="00AA2110">
        <w:t>го-либо опыта. Отсылки к практике вынесения решений Комитетом являются, безусловно, полезными, однако решение само по себе не представляет практику вынесения решений, даже если совпадающие по смыслу решения многочисле</w:t>
      </w:r>
      <w:r w:rsidRPr="00AA2110">
        <w:t>н</w:t>
      </w:r>
      <w:r w:rsidRPr="00AA2110">
        <w:t>ны. Комитет, таким образом, должен при разработке своего замечания общего порядка учитывать множество ситу</w:t>
      </w:r>
      <w:r w:rsidRPr="00AA2110">
        <w:t>а</w:t>
      </w:r>
      <w:r w:rsidRPr="00AA2110">
        <w:t xml:space="preserve">ций, существующих в различных регионах мира. </w:t>
      </w:r>
    </w:p>
    <w:p w:rsidR="008B02A8" w:rsidRPr="00AA2110" w:rsidRDefault="008B02A8" w:rsidP="008B02A8">
      <w:pPr>
        <w:pStyle w:val="SingleTxtGR"/>
      </w:pPr>
      <w:r w:rsidRPr="00AA2110">
        <w:t>10.</w:t>
      </w:r>
      <w:r w:rsidRPr="00AA2110">
        <w:tab/>
      </w:r>
      <w:r w:rsidRPr="00AA2110">
        <w:rPr>
          <w:b/>
        </w:rPr>
        <w:t>Г-н Бузид</w:t>
      </w:r>
      <w:r w:rsidRPr="00AA2110">
        <w:t xml:space="preserve"> полностью поддерживает замечания г-на Амора.</w:t>
      </w:r>
    </w:p>
    <w:p w:rsidR="008B02A8" w:rsidRPr="00AA2110" w:rsidRDefault="008B02A8" w:rsidP="008B02A8">
      <w:pPr>
        <w:pStyle w:val="SingleTxtGR"/>
      </w:pPr>
      <w:r w:rsidRPr="00AA2110">
        <w:t>11.</w:t>
      </w:r>
      <w:r w:rsidRPr="00AA2110">
        <w:tab/>
      </w:r>
      <w:r w:rsidRPr="00AA2110">
        <w:rPr>
          <w:b/>
        </w:rPr>
        <w:t>Сэр Найджел Родли</w:t>
      </w:r>
      <w:r w:rsidRPr="00AA2110">
        <w:t xml:space="preserve"> напоминает, что он колебался относительно того, чтобы посвятить замечание общего порядка статье 19, поскольку Комитет был бы вынужден рассматривать вопросы, по которым у него не достает опыта. Т</w:t>
      </w:r>
      <w:r w:rsidRPr="00AA2110">
        <w:t>а</w:t>
      </w:r>
      <w:r w:rsidRPr="00AA2110">
        <w:t>ким образом, в этих областях будет сложно найти точные формулировки для отражения того, что подразумевает Пакт. Не следует упускать из внимания, что своей эволюцией мир во многом обязан тем, кто боролся, иногда даже ценой своей жизни, за право на свободу убеждений и выражение мнений, и, таким о</w:t>
      </w:r>
      <w:r w:rsidRPr="00AA2110">
        <w:t>б</w:t>
      </w:r>
      <w:r w:rsidRPr="00AA2110">
        <w:t>разом, существует обязательство по защите этой особой ценности. За эту це</w:t>
      </w:r>
      <w:r w:rsidRPr="00AA2110">
        <w:t>н</w:t>
      </w:r>
      <w:r w:rsidRPr="00AA2110">
        <w:t>ность иногда приходится очень дорого платить, поскольку ряд безответстве</w:t>
      </w:r>
      <w:r w:rsidRPr="00AA2110">
        <w:t>н</w:t>
      </w:r>
      <w:r w:rsidRPr="00AA2110">
        <w:t>ных деяний защищаются во имя свободного выражения мнений и могут прои</w:t>
      </w:r>
      <w:r w:rsidRPr="00AA2110">
        <w:t>с</w:t>
      </w:r>
      <w:r w:rsidRPr="00AA2110">
        <w:t>ходить и далее по причине сложностей, которые возникают в отношении уст</w:t>
      </w:r>
      <w:r w:rsidRPr="00AA2110">
        <w:t>а</w:t>
      </w:r>
      <w:r w:rsidRPr="00AA2110">
        <w:t>новления ограничений в этой области. Некоторые слова могут иметь ра</w:t>
      </w:r>
      <w:r w:rsidRPr="00AA2110">
        <w:t>з</w:t>
      </w:r>
      <w:r w:rsidRPr="00AA2110">
        <w:t>личный смысл в зависимости от ситуации, и, как это проиллюстрировал американский юрист Уэнделл Холмс, сказав, что никто не имеет права кричать без причины «горим!» в заполненном театре, имеется рубеж, когда в определенном контексте они из слов переходят в действие. Таким образом, необходимо ограничить в</w:t>
      </w:r>
      <w:r w:rsidRPr="00AA2110">
        <w:t>ы</w:t>
      </w:r>
      <w:r w:rsidRPr="00AA2110">
        <w:t>ражение мнений, и к тому же на этом конкретном рубеже оканчивается свобода выражения мнений. Наконец, в отличие от г-на Амора сэр Найджел Родли пол</w:t>
      </w:r>
      <w:r w:rsidRPr="00AA2110">
        <w:t>а</w:t>
      </w:r>
      <w:r w:rsidRPr="00AA2110">
        <w:t>гает, что статья 20 должна то</w:t>
      </w:r>
      <w:r w:rsidRPr="00AA2110">
        <w:t>л</w:t>
      </w:r>
      <w:r w:rsidRPr="00AA2110">
        <w:t>коваться в свете статьи 19, а не наоборот.</w:t>
      </w:r>
    </w:p>
    <w:p w:rsidR="008B02A8" w:rsidRPr="00AA2110" w:rsidRDefault="008B02A8" w:rsidP="008B02A8">
      <w:pPr>
        <w:pStyle w:val="SingleTxtGR"/>
      </w:pPr>
      <w:r w:rsidRPr="00AA2110">
        <w:t>12.</w:t>
      </w:r>
      <w:r w:rsidRPr="00AA2110">
        <w:tab/>
      </w:r>
      <w:r w:rsidRPr="00AA2110">
        <w:rPr>
          <w:b/>
        </w:rPr>
        <w:t>Председатель</w:t>
      </w:r>
      <w:r w:rsidRPr="00AA2110">
        <w:t>, беря слово в качестве члена Комитета, говорит, что Ком</w:t>
      </w:r>
      <w:r w:rsidRPr="00AA2110">
        <w:t>и</w:t>
      </w:r>
      <w:r w:rsidRPr="00AA2110">
        <w:t>тет должен, безусловно, основываться на своем опыте, то есть на своей практ</w:t>
      </w:r>
      <w:r w:rsidRPr="00AA2110">
        <w:t>и</w:t>
      </w:r>
      <w:r w:rsidRPr="00AA2110">
        <w:t>ке вынесения решений и на заключительных замечаниях, которые он формул</w:t>
      </w:r>
      <w:r w:rsidRPr="00AA2110">
        <w:t>и</w:t>
      </w:r>
      <w:r w:rsidRPr="00AA2110">
        <w:t>рует после рассмотрения докладов. Однако нужно учитывать различие между первыми и вторыми: соображения касаются индивидуальных случаев, в кот</w:t>
      </w:r>
      <w:r w:rsidRPr="00AA2110">
        <w:t>о</w:t>
      </w:r>
      <w:r w:rsidRPr="00AA2110">
        <w:t>рых могут быть совершены нарушения Пакта, тогда как заключительные зам</w:t>
      </w:r>
      <w:r w:rsidRPr="00AA2110">
        <w:t>е</w:t>
      </w:r>
      <w:r w:rsidRPr="00AA2110">
        <w:t>чания относятся к озабоченностям общего порядка и сопровождаются рекоме</w:t>
      </w:r>
      <w:r w:rsidRPr="00AA2110">
        <w:t>н</w:t>
      </w:r>
      <w:r w:rsidRPr="00AA2110">
        <w:t>дациями. Проект содержит большое число подстраничных примечаний, часто отсылающих к заключительным замечаниям. До настоящего времени замечания общего порядка содержали мало ссылок, в большинстве из которых привод</w:t>
      </w:r>
      <w:r w:rsidRPr="00AA2110">
        <w:t>и</w:t>
      </w:r>
      <w:r w:rsidRPr="00AA2110">
        <w:t>лись соображения. Г-н Ивасава спрашивает, хочет ли докладчик сохранить все ссылки на заключительные замечания, или он их включил только для того, чт</w:t>
      </w:r>
      <w:r w:rsidRPr="00AA2110">
        <w:t>о</w:t>
      </w:r>
      <w:r w:rsidRPr="00AA2110">
        <w:t>бы облегчить рассмотрение проекта.</w:t>
      </w:r>
    </w:p>
    <w:p w:rsidR="008B02A8" w:rsidRPr="00AA2110" w:rsidRDefault="008B02A8" w:rsidP="008B02A8">
      <w:pPr>
        <w:pStyle w:val="SingleTxtGR"/>
      </w:pPr>
      <w:r w:rsidRPr="00AA2110">
        <w:t>13.</w:t>
      </w:r>
      <w:r w:rsidRPr="00AA2110">
        <w:tab/>
      </w:r>
      <w:r w:rsidRPr="00AA2110">
        <w:rPr>
          <w:b/>
        </w:rPr>
        <w:t>Г-н Лаллах</w:t>
      </w:r>
      <w:r w:rsidRPr="00AA2110">
        <w:t xml:space="preserve"> говорит, что членам Комитета наилучшим образом удается выражать единое мнение, когда они разрабатывают соображения; таким обр</w:t>
      </w:r>
      <w:r w:rsidRPr="00AA2110">
        <w:t>а</w:t>
      </w:r>
      <w:r w:rsidRPr="00AA2110">
        <w:t xml:space="preserve">зом, предпочтительно основывать замечания общего порядка главным образом на этих соображениях. </w:t>
      </w:r>
    </w:p>
    <w:p w:rsidR="008B02A8" w:rsidRPr="00AA2110" w:rsidRDefault="008B02A8" w:rsidP="008B02A8">
      <w:pPr>
        <w:pStyle w:val="SingleTxtGR"/>
      </w:pPr>
      <w:r w:rsidRPr="00AA2110">
        <w:t>14.</w:t>
      </w:r>
      <w:r w:rsidRPr="00AA2110">
        <w:tab/>
      </w:r>
      <w:r w:rsidRPr="00AA2110">
        <w:rPr>
          <w:b/>
        </w:rPr>
        <w:t>Г-н О’Флаэрти</w:t>
      </w:r>
      <w:r w:rsidRPr="00AA2110">
        <w:t xml:space="preserve"> (докладчик по Замечанию общего порядка) говорит, что бесспорно, что высказ</w:t>
      </w:r>
      <w:r w:rsidRPr="00AA2110">
        <w:t>ы</w:t>
      </w:r>
      <w:r w:rsidRPr="00AA2110">
        <w:t>ваемые в сообщениях соображения по своему значению  превосходят заключительные замечания. Он поместил в проект большое число ссылок на заключительные замечания, поскольку они охватывают широкий опыт и позволяют проиллюстрировать применение принципов, однако он не предлагает юридического принципа, основанного на заключительных замеч</w:t>
      </w:r>
      <w:r w:rsidRPr="00AA2110">
        <w:t>а</w:t>
      </w:r>
      <w:r w:rsidRPr="00AA2110">
        <w:t>ниях. Каждое из этих замечаний могло бы быть проанализировано в последов</w:t>
      </w:r>
      <w:r w:rsidRPr="00AA2110">
        <w:t>а</w:t>
      </w:r>
      <w:r w:rsidRPr="00AA2110">
        <w:t>тельном порядке в ходе рассмотрения текста и в зависимости от своей полезн</w:t>
      </w:r>
      <w:r w:rsidRPr="00AA2110">
        <w:t>о</w:t>
      </w:r>
      <w:r w:rsidRPr="00AA2110">
        <w:t>сти сохранены или нет. В некоторых местах проекта не имеется почти никаких ссылок, поскольку Комитет никогда не высказывался по затрагиваемым вопр</w:t>
      </w:r>
      <w:r w:rsidRPr="00AA2110">
        <w:t>о</w:t>
      </w:r>
      <w:r w:rsidRPr="00AA2110">
        <w:t xml:space="preserve">сам; таким образом, г-н О’Флаэрти просто применил логику, которой обычно следует Комитет. </w:t>
      </w:r>
    </w:p>
    <w:p w:rsidR="008B02A8" w:rsidRPr="00AA2110" w:rsidRDefault="008B02A8" w:rsidP="008B02A8">
      <w:pPr>
        <w:pStyle w:val="SingleTxtGR"/>
      </w:pPr>
      <w:r w:rsidRPr="00AA2110">
        <w:t>15.</w:t>
      </w:r>
      <w:r w:rsidRPr="00AA2110">
        <w:tab/>
        <w:t>Что касается связи между статьями 19 и 20, г-н О’Флаэрти, как и сэр Найджел Родли, полагает, что статья 20 не устанавливает контекст статьи 19, но фиксирует другое законное ограничение на свободное выражение мнений. Он не видит неудобства в том, чтобы эта связь между двумя статьями не обязател</w:t>
      </w:r>
      <w:r w:rsidRPr="00AA2110">
        <w:t>ь</w:t>
      </w:r>
      <w:r w:rsidRPr="00AA2110">
        <w:t>но становилась предметом отдельного заголовка, а была бы интегрирована в текст.</w:t>
      </w:r>
    </w:p>
    <w:p w:rsidR="008B02A8" w:rsidRPr="00AA2110" w:rsidRDefault="008B02A8" w:rsidP="008B02A8">
      <w:pPr>
        <w:pStyle w:val="SingleTxtGR"/>
      </w:pPr>
      <w:r w:rsidRPr="00AA2110">
        <w:t>16.</w:t>
      </w:r>
      <w:r w:rsidRPr="00AA2110">
        <w:tab/>
        <w:t>Отвечая на вопросы г-на Амора, он объясняет, почему он установил т</w:t>
      </w:r>
      <w:r w:rsidRPr="00AA2110">
        <w:t>е</w:t>
      </w:r>
      <w:r w:rsidRPr="00AA2110">
        <w:t>матические категории огр</w:t>
      </w:r>
      <w:r w:rsidRPr="00AA2110">
        <w:t>а</w:t>
      </w:r>
      <w:r w:rsidRPr="00AA2110">
        <w:t>ничений на свободное выражение мнений, начиная с пункта 38. Как указывается в пункте 37, часто происходят попытки оправдать ограничения на свободное выражение мнений со ссылкой на некоторые прич</w:t>
      </w:r>
      <w:r w:rsidRPr="00AA2110">
        <w:t>и</w:t>
      </w:r>
      <w:r w:rsidRPr="00AA2110">
        <w:t>ны, изложенные в пункте 3. Государства-участники ссылаются на пункт 3 в о</w:t>
      </w:r>
      <w:r w:rsidRPr="00AA2110">
        <w:t>б</w:t>
      </w:r>
      <w:r w:rsidRPr="00AA2110">
        <w:t>щих выражениях; следовало бы, таким образом, привести в проекте практику вынесения решений Комитетом по всем основаниям, охваченным пунктом 3, что могло бы быть сделано в рамках особых ограничений, таких как охрана нравственности населения или национальной безопасности, как это делают с</w:t>
      </w:r>
      <w:r w:rsidRPr="00AA2110">
        <w:t>а</w:t>
      </w:r>
      <w:r w:rsidRPr="00AA2110">
        <w:t>ми государства-участники. Что касается выбора категорий, то они воспроизв</w:t>
      </w:r>
      <w:r w:rsidRPr="00AA2110">
        <w:t>о</w:t>
      </w:r>
      <w:r w:rsidRPr="00AA2110">
        <w:t>дят все случаи, о которых узнал Комитет. Ситуации, приведенные г-ном Ам</w:t>
      </w:r>
      <w:r w:rsidRPr="00AA2110">
        <w:t>о</w:t>
      </w:r>
      <w:r w:rsidRPr="00AA2110">
        <w:t>ром (свободное выражение мнений и деньги, академическая свобода или пре</w:t>
      </w:r>
      <w:r w:rsidRPr="00AA2110">
        <w:t>д</w:t>
      </w:r>
      <w:r w:rsidRPr="00AA2110">
        <w:t>ставительство женщин в средствах массовой информации) никогда не рассма</w:t>
      </w:r>
      <w:r w:rsidRPr="00AA2110">
        <w:t>т</w:t>
      </w:r>
      <w:r w:rsidRPr="00AA2110">
        <w:t>ривались Комитетом; следовало бы, вероятно, их упомянуть и сделать более общее заявление по вопросу о цензуре. Текст представляет собой только всего лишь проект и может быть надлежащим образом дополнен в зависимости от пожеланий Комитета.</w:t>
      </w:r>
    </w:p>
    <w:p w:rsidR="008B02A8" w:rsidRPr="00AA2110" w:rsidRDefault="008B02A8" w:rsidP="008B02A8">
      <w:pPr>
        <w:pStyle w:val="SingleTxtGR"/>
      </w:pPr>
      <w:r w:rsidRPr="00AA2110">
        <w:t>17.</w:t>
      </w:r>
      <w:r w:rsidRPr="00AA2110">
        <w:tab/>
        <w:t>Действительно, как это отметил г-н Амор, в проекте мало внимания уд</w:t>
      </w:r>
      <w:r w:rsidRPr="00AA2110">
        <w:t>е</w:t>
      </w:r>
      <w:r w:rsidRPr="00AA2110">
        <w:t>ляется вопросу о свободе убеждений; это так, поскольку Комитет почти не в</w:t>
      </w:r>
      <w:r w:rsidRPr="00AA2110">
        <w:t>ы</w:t>
      </w:r>
      <w:r w:rsidRPr="00AA2110">
        <w:t>сказывался исключительно по этому вопросу. Что касается свободного выраж</w:t>
      </w:r>
      <w:r w:rsidRPr="00AA2110">
        <w:t>е</w:t>
      </w:r>
      <w:r w:rsidRPr="00AA2110">
        <w:t>ния мнений применительно к средствам массовой информации, то Комитет тщательно изучил легитимность ограничений на их деятельность. Если, тем не менее, члены полагают, что этот раздел чересчур детализирован, то вполне во</w:t>
      </w:r>
      <w:r w:rsidRPr="00AA2110">
        <w:t>з</w:t>
      </w:r>
      <w:r w:rsidRPr="00AA2110">
        <w:t xml:space="preserve">можно его сократить. Наконец, он также согласен с г-ном Амором в том, что надо учитывать различное развитие свободы выражения мнений в различных культурах; в пункте 32 рассматривается этот вопрос. </w:t>
      </w:r>
    </w:p>
    <w:p w:rsidR="008B02A8" w:rsidRPr="00AA2110" w:rsidRDefault="008B02A8" w:rsidP="008B02A8">
      <w:pPr>
        <w:pStyle w:val="SingleTxtGR"/>
      </w:pPr>
      <w:r w:rsidRPr="00AA2110">
        <w:t>18.</w:t>
      </w:r>
      <w:r w:rsidRPr="00AA2110">
        <w:tab/>
        <w:t>Вопрос о соподчиненности законов является очень важным, как это по</w:t>
      </w:r>
      <w:r w:rsidRPr="00AA2110">
        <w:t>д</w:t>
      </w:r>
      <w:r w:rsidRPr="00AA2110">
        <w:t>черкнул г-н Амор. Если в этом плане текст представляет малейшую двусмы</w:t>
      </w:r>
      <w:r w:rsidRPr="00AA2110">
        <w:t>с</w:t>
      </w:r>
      <w:r w:rsidRPr="00AA2110">
        <w:t>ленность, то он будет переработан и уточнен. Он, тем не менее, содержит ос</w:t>
      </w:r>
      <w:r w:rsidRPr="00AA2110">
        <w:t>о</w:t>
      </w:r>
      <w:r w:rsidRPr="00AA2110">
        <w:t>бую ссылку на тот факт, что норма обычного права не равноценна норме, вп</w:t>
      </w:r>
      <w:r w:rsidRPr="00AA2110">
        <w:t>и</w:t>
      </w:r>
      <w:r w:rsidRPr="00AA2110">
        <w:t>санной в парламентский закон (пункты 26 и 52).</w:t>
      </w:r>
    </w:p>
    <w:p w:rsidR="008B02A8" w:rsidRPr="00AA2110" w:rsidRDefault="008B02A8" w:rsidP="008B02A8">
      <w:pPr>
        <w:pStyle w:val="SingleTxtGR"/>
      </w:pPr>
      <w:r w:rsidRPr="00AA2110">
        <w:t>19.</w:t>
      </w:r>
      <w:r w:rsidRPr="00AA2110">
        <w:tab/>
      </w:r>
      <w:r w:rsidRPr="00AA2110">
        <w:rPr>
          <w:b/>
        </w:rPr>
        <w:t>Г-н Амор</w:t>
      </w:r>
      <w:r w:rsidRPr="00AA2110">
        <w:t xml:space="preserve"> говорит, что докладчик справедливо подчеркнул, что к обы</w:t>
      </w:r>
      <w:r w:rsidRPr="00AA2110">
        <w:t>ч</w:t>
      </w:r>
      <w:r w:rsidRPr="00AA2110">
        <w:t>ному праву не относится понятие закона, как оно понимается в статье 19. Под законом следует понимать закон, принятый представителями народа, а подз</w:t>
      </w:r>
      <w:r w:rsidRPr="00AA2110">
        <w:t>а</w:t>
      </w:r>
      <w:r w:rsidRPr="00AA2110">
        <w:t xml:space="preserve">конный акт не может действовать в области ограничения свобод. </w:t>
      </w:r>
    </w:p>
    <w:p w:rsidR="008B02A8" w:rsidRPr="00AA2110" w:rsidRDefault="008B02A8" w:rsidP="008B02A8">
      <w:pPr>
        <w:pStyle w:val="SingleTxtGR"/>
      </w:pPr>
      <w:r w:rsidRPr="00AA2110">
        <w:t>20.</w:t>
      </w:r>
      <w:r w:rsidRPr="00AA2110">
        <w:tab/>
        <w:t>Пункт 3 статьи 19 определяет, что осуществление свобод, предусмотре</w:t>
      </w:r>
      <w:r w:rsidRPr="00AA2110">
        <w:t>н</w:t>
      </w:r>
      <w:r w:rsidRPr="00AA2110">
        <w:t>ных в пункте 2, налагает «особые обязанности и особую ответственность»: эти два понятия очень сложно проанализировать и определить, однако важно п</w:t>
      </w:r>
      <w:r w:rsidRPr="00AA2110">
        <w:t>о</w:t>
      </w:r>
      <w:r w:rsidRPr="00AA2110">
        <w:t>стичь их юридическое значение и важность и сообщить об этом в Замечании общего порядка. Речь должна идти не о моральной или этической обязанности, а именно о юрид</w:t>
      </w:r>
      <w:r w:rsidRPr="00AA2110">
        <w:t>и</w:t>
      </w:r>
      <w:r w:rsidRPr="00AA2110">
        <w:t xml:space="preserve">ческом понятии. </w:t>
      </w:r>
    </w:p>
    <w:p w:rsidR="008B02A8" w:rsidRPr="00AA2110" w:rsidRDefault="008B02A8" w:rsidP="008B02A8">
      <w:pPr>
        <w:pStyle w:val="SingleTxtGR"/>
      </w:pPr>
      <w:r w:rsidRPr="00AA2110">
        <w:t>21.</w:t>
      </w:r>
      <w:r w:rsidRPr="00AA2110">
        <w:tab/>
        <w:t>Возвращаясь к тематической структуре статьи 38 и последующих, он п</w:t>
      </w:r>
      <w:r w:rsidRPr="00AA2110">
        <w:t>о</w:t>
      </w:r>
      <w:r w:rsidRPr="00AA2110">
        <w:t>лагает, что они могли бы быть включены в рамки остальной части анализа. Е</w:t>
      </w:r>
      <w:r w:rsidRPr="00AA2110">
        <w:t>с</w:t>
      </w:r>
      <w:r w:rsidRPr="00AA2110">
        <w:t>ли Комитет решит сохранить нынешнюю структуру, то г-н Амор предложит д</w:t>
      </w:r>
      <w:r w:rsidRPr="00AA2110">
        <w:t>о</w:t>
      </w:r>
      <w:r w:rsidRPr="00AA2110">
        <w:t>бавить текст по трем затронутым им темам.</w:t>
      </w:r>
    </w:p>
    <w:p w:rsidR="008B02A8" w:rsidRPr="00AA2110" w:rsidRDefault="008B02A8" w:rsidP="008B02A8">
      <w:pPr>
        <w:pStyle w:val="SingleTxtGR"/>
      </w:pPr>
      <w:r w:rsidRPr="00AA2110">
        <w:t>22.</w:t>
      </w:r>
      <w:r w:rsidRPr="00AA2110">
        <w:tab/>
      </w:r>
      <w:r w:rsidRPr="00AA2110">
        <w:rPr>
          <w:b/>
        </w:rPr>
        <w:t>Г-жа Шане</w:t>
      </w:r>
      <w:r w:rsidRPr="00AA2110">
        <w:t xml:space="preserve"> напоминает, что замечание общего порядка ни в коем случае не является компиляцией заключительных замечаний или соображений, и что и те, и другие используются без какой-либо сопо</w:t>
      </w:r>
      <w:r w:rsidRPr="00AA2110">
        <w:t>д</w:t>
      </w:r>
      <w:r w:rsidRPr="00AA2110">
        <w:t>чиненности. Кроме того, статья 40 Пакта в пункте 4 определяет, что Комитет может представлять любые зам</w:t>
      </w:r>
      <w:r w:rsidRPr="00AA2110">
        <w:t>е</w:t>
      </w:r>
      <w:r w:rsidRPr="00AA2110">
        <w:t>чания общего порядка, которые он посчитает необходимыми. Первоначально цель замечаний общ</w:t>
      </w:r>
      <w:r w:rsidRPr="00AA2110">
        <w:t>е</w:t>
      </w:r>
      <w:r w:rsidRPr="00AA2110">
        <w:t>го порядка состояла в оказании содействия государствам в разработке докладов, которые они представляют в Комитет. Ссылки на все и</w:t>
      </w:r>
      <w:r w:rsidRPr="00AA2110">
        <w:t>с</w:t>
      </w:r>
      <w:r w:rsidRPr="00AA2110">
        <w:t>ходящие от Комитета тексты необходимы для рассмотрения проекта. Как сэр Найджел Родли и г-н О’Флаэрти, г-жа Шане полагает, что статья 20 касается ограничений, и что в отличие от статьи 19 на нее не может быть сделана ссылка в порядке сообщения как на и</w:t>
      </w:r>
      <w:r w:rsidRPr="00AA2110">
        <w:t>н</w:t>
      </w:r>
      <w:r w:rsidRPr="00AA2110">
        <w:t>дивидуальное право, поскольку она формулирует обязательство для государства ввести ее в законодательство. Что касается тем</w:t>
      </w:r>
      <w:r w:rsidRPr="00AA2110">
        <w:t>а</w:t>
      </w:r>
      <w:r w:rsidRPr="00AA2110">
        <w:t xml:space="preserve">тической части, то важна не форма, а содержание. Надо будет изучить все эти ограничения и определить, могут ли они быть обоснованными или нет. </w:t>
      </w:r>
    </w:p>
    <w:p w:rsidR="008B02A8" w:rsidRPr="00AA2110" w:rsidRDefault="008B02A8" w:rsidP="008B02A8">
      <w:pPr>
        <w:pStyle w:val="SingleTxtGR"/>
      </w:pPr>
      <w:r w:rsidRPr="00AA2110">
        <w:t>24.</w:t>
      </w:r>
      <w:r w:rsidRPr="00AA2110">
        <w:tab/>
      </w:r>
      <w:r w:rsidRPr="00AA2110">
        <w:rPr>
          <w:b/>
        </w:rPr>
        <w:t>Г-н Ривас Посада</w:t>
      </w:r>
      <w:r w:rsidRPr="00AA2110">
        <w:t xml:space="preserve"> говорит, что следует изучить связь между убеждением и выражением убеждения. Нельзя узнать убеждение кого-либо, если он его не выражает. Другими словами, свобода реализуется только тогда, когда она выр</w:t>
      </w:r>
      <w:r w:rsidRPr="00AA2110">
        <w:t>а</w:t>
      </w:r>
      <w:r w:rsidRPr="00AA2110">
        <w:t>жается. Надо будет, вероятно, придать большее значение свободе убеждений в Замечании общего порядка.</w:t>
      </w:r>
    </w:p>
    <w:p w:rsidR="008B02A8" w:rsidRPr="00AA2110" w:rsidRDefault="008B02A8" w:rsidP="008B02A8">
      <w:pPr>
        <w:pStyle w:val="SingleTxtGR"/>
      </w:pPr>
      <w:r w:rsidRPr="00AA2110">
        <w:t>25.</w:t>
      </w:r>
      <w:r w:rsidRPr="00AA2110">
        <w:tab/>
        <w:t>Что касается оговорок, которые были сделаны относительно возможности составления замечания общего порядка по статье 19 Пакта, то он полагает, что относительно скудный опыт, накопленный Комитетом по вопросам данной ст</w:t>
      </w:r>
      <w:r w:rsidRPr="00AA2110">
        <w:t>а</w:t>
      </w:r>
      <w:r w:rsidRPr="00AA2110">
        <w:t>тьи, в значительной степени компенсируется необходимостью срочно занять позицию в отношении феномена, который затрагивает все общества, и истолк</w:t>
      </w:r>
      <w:r w:rsidRPr="00AA2110">
        <w:t>о</w:t>
      </w:r>
      <w:r w:rsidRPr="00AA2110">
        <w:t>вать определенные Пактом обязательства в свете одного из самых серьезных современных бедствий – нарушения свободы выражения мнений. Таким обр</w:t>
      </w:r>
      <w:r w:rsidRPr="00AA2110">
        <w:t>а</w:t>
      </w:r>
      <w:r w:rsidRPr="00AA2110">
        <w:t xml:space="preserve">зом, Комитет правильно сделал, что принял решение истолковать статью 19, однако задача будет не из легких. </w:t>
      </w:r>
    </w:p>
    <w:p w:rsidR="008B02A8" w:rsidRPr="00AA2110" w:rsidRDefault="008B02A8" w:rsidP="008B02A8">
      <w:pPr>
        <w:pStyle w:val="SingleTxtGR"/>
      </w:pPr>
      <w:r w:rsidRPr="00AA2110">
        <w:t>26.</w:t>
      </w:r>
      <w:r w:rsidRPr="00AA2110">
        <w:tab/>
      </w:r>
      <w:r w:rsidRPr="00AA2110">
        <w:rPr>
          <w:b/>
        </w:rPr>
        <w:t>Г-н О’Флаэрти</w:t>
      </w:r>
      <w:r w:rsidRPr="00AA2110">
        <w:t xml:space="preserve"> (докладчик по Замечанию общего порядка) объясняет, почему он не проанализировал значение понятий особых обязанностей и ос</w:t>
      </w:r>
      <w:r w:rsidRPr="00AA2110">
        <w:t>о</w:t>
      </w:r>
      <w:r w:rsidRPr="00AA2110">
        <w:t>бой ответственности. Причина этого состоит в том, что Комитет практически ничего не говорил по этому поводу. В редких случаях практика Комитета дает указания на обязанности и ответственность государств со ссылкой, например, на их обязанность эне</w:t>
      </w:r>
      <w:r w:rsidRPr="00AA2110">
        <w:t>р</w:t>
      </w:r>
      <w:r w:rsidRPr="00AA2110">
        <w:t>гично защищать свободу выражения мнений.</w:t>
      </w:r>
    </w:p>
    <w:p w:rsidR="008B02A8" w:rsidRPr="00AA2110" w:rsidRDefault="008B02A8" w:rsidP="008B02A8">
      <w:pPr>
        <w:pStyle w:val="SingleTxtGR"/>
      </w:pPr>
      <w:r w:rsidRPr="00AA2110">
        <w:t>27.</w:t>
      </w:r>
      <w:r w:rsidRPr="00AA2110">
        <w:tab/>
        <w:t>Что касается рассматриваемых тем, то, само собой разумеется, что Ком</w:t>
      </w:r>
      <w:r w:rsidRPr="00AA2110">
        <w:t>и</w:t>
      </w:r>
      <w:r w:rsidRPr="00AA2110">
        <w:t>тет может добавить и другие темы, если он считает это обоснованным. Можно взять за основу и другое изложение проекта, которое отличается от нынешнего, однако не следует удалять содержание, отражающее существенную часть пра</w:t>
      </w:r>
      <w:r w:rsidRPr="00AA2110">
        <w:t>к</w:t>
      </w:r>
      <w:r w:rsidRPr="00AA2110">
        <w:t>тики Комитета.</w:t>
      </w:r>
    </w:p>
    <w:p w:rsidR="008B02A8" w:rsidRPr="00AA2110" w:rsidRDefault="008B02A8" w:rsidP="008B02A8">
      <w:pPr>
        <w:pStyle w:val="SingleTxtGR"/>
      </w:pPr>
      <w:r w:rsidRPr="00AA2110">
        <w:t>28.</w:t>
      </w:r>
      <w:r w:rsidRPr="00AA2110">
        <w:tab/>
        <w:t>Наконец, причина, по которой Комитет в своем Замечании общего поря</w:t>
      </w:r>
      <w:r w:rsidRPr="00AA2110">
        <w:t>д</w:t>
      </w:r>
      <w:r w:rsidRPr="00AA2110">
        <w:t>ка по статье 14 приводит исключительно соображения, а не заключительные замечания, состоит в том, что существует обширная практика вынесения реш</w:t>
      </w:r>
      <w:r w:rsidRPr="00AA2110">
        <w:t>е</w:t>
      </w:r>
      <w:r w:rsidRPr="00AA2110">
        <w:t>ний по статье 14, что не является случаем статьи 19.</w:t>
      </w:r>
    </w:p>
    <w:p w:rsidR="008B02A8" w:rsidRPr="00AA2110" w:rsidRDefault="008B02A8" w:rsidP="008B02A8">
      <w:pPr>
        <w:pStyle w:val="SingleTxtGR"/>
      </w:pPr>
      <w:r w:rsidRPr="00AA2110">
        <w:t>29.</w:t>
      </w:r>
      <w:r w:rsidRPr="00AA2110">
        <w:tab/>
      </w:r>
      <w:r w:rsidRPr="00AA2110">
        <w:rPr>
          <w:b/>
        </w:rPr>
        <w:t>Г-н Телин</w:t>
      </w:r>
      <w:r w:rsidRPr="00AA2110">
        <w:t xml:space="preserve"> обращает внимание, что г-жа Уэджвуд, которая отсутствует на заседании, направила четыре страницы комментариев по конкретным вопросам, и спрашивает, что следует с ними делать. Он предлагает, чтобы г-н О’Флаэрти затрагивал их по мере того, как будут обсуждаться данные вопросы.</w:t>
      </w:r>
    </w:p>
    <w:p w:rsidR="008B02A8" w:rsidRPr="00AA2110" w:rsidRDefault="008B02A8" w:rsidP="008B02A8">
      <w:pPr>
        <w:pStyle w:val="SingleTxtGR"/>
      </w:pPr>
      <w:r w:rsidRPr="00AA2110">
        <w:t>30.</w:t>
      </w:r>
      <w:r w:rsidRPr="00AA2110">
        <w:tab/>
      </w:r>
      <w:r w:rsidRPr="00AA2110">
        <w:rPr>
          <w:b/>
        </w:rPr>
        <w:t xml:space="preserve">Г-н О’Флаэрти </w:t>
      </w:r>
      <w:r w:rsidRPr="00AA2110">
        <w:t>(докладчик по Замечанию общего порядка) объясняет, что г-жа Уэджвуд направила ему свои комментарии в форме электронного письма, которое он решил распространить среди членов Комитета. Он уже пр</w:t>
      </w:r>
      <w:r w:rsidRPr="00AA2110">
        <w:t>и</w:t>
      </w:r>
      <w:r w:rsidRPr="00AA2110">
        <w:t>нял во внимание эти комментарии в ходе презентации проекта Замечания общ</w:t>
      </w:r>
      <w:r w:rsidRPr="00AA2110">
        <w:t>е</w:t>
      </w:r>
      <w:r w:rsidRPr="00AA2110">
        <w:t>го п</w:t>
      </w:r>
      <w:r w:rsidRPr="00AA2110">
        <w:t>о</w:t>
      </w:r>
      <w:r w:rsidRPr="00AA2110">
        <w:t xml:space="preserve">рядка и продолжит их учитывать в течение всех дебатов Комитета. </w:t>
      </w:r>
    </w:p>
    <w:p w:rsidR="008B02A8" w:rsidRPr="00AA2110" w:rsidRDefault="008B02A8" w:rsidP="008B02A8">
      <w:pPr>
        <w:pStyle w:val="SingleTxtGR"/>
      </w:pPr>
      <w:r w:rsidRPr="00AA2110">
        <w:t>31.</w:t>
      </w:r>
      <w:r w:rsidRPr="00AA2110">
        <w:tab/>
      </w:r>
      <w:r w:rsidRPr="00AA2110">
        <w:rPr>
          <w:b/>
        </w:rPr>
        <w:t xml:space="preserve">Председатель </w:t>
      </w:r>
      <w:r w:rsidRPr="00AA2110">
        <w:t>предлагает докладчику представить первый раздел под н</w:t>
      </w:r>
      <w:r w:rsidRPr="00AA2110">
        <w:t>а</w:t>
      </w:r>
      <w:r w:rsidRPr="00AA2110">
        <w:t xml:space="preserve">званием «замечания общего порядка», а затем перейти к его рассмотрению по каждому пункту в отдельности. </w:t>
      </w:r>
    </w:p>
    <w:p w:rsidR="008B02A8" w:rsidRPr="00AA2110" w:rsidRDefault="008B02A8" w:rsidP="008B02A8">
      <w:pPr>
        <w:pStyle w:val="SingleTxtGR"/>
      </w:pPr>
      <w:r w:rsidRPr="00AA2110">
        <w:rPr>
          <w:bCs/>
        </w:rPr>
        <w:t>32</w:t>
      </w:r>
      <w:r w:rsidRPr="00AA2110">
        <w:t>.</w:t>
      </w:r>
      <w:r w:rsidRPr="00AA2110">
        <w:tab/>
      </w:r>
      <w:r w:rsidRPr="00AA2110">
        <w:rPr>
          <w:b/>
        </w:rPr>
        <w:t xml:space="preserve">Г-н О’Флаэрти </w:t>
      </w:r>
      <w:r w:rsidRPr="00AA2110">
        <w:t>(докладчик по Замечанию общего порядка) говорит, что в соответствии с обычной практикой Комитета этот раздел содержит предвар</w:t>
      </w:r>
      <w:r w:rsidRPr="00AA2110">
        <w:t>и</w:t>
      </w:r>
      <w:r w:rsidRPr="00AA2110">
        <w:t>тельные замечания, которые не могут фигурировать в разделах о конкретных аспектах статьи, рассматриваемой в Замечании общего порядка. Эти замечания основаны на позиции, выраженной Комитетом в других замечаниях общего п</w:t>
      </w:r>
      <w:r w:rsidRPr="00AA2110">
        <w:t>о</w:t>
      </w:r>
      <w:r w:rsidRPr="00AA2110">
        <w:t>рядка, а также в его соо</w:t>
      </w:r>
      <w:r w:rsidRPr="00AA2110">
        <w:t>б</w:t>
      </w:r>
      <w:r w:rsidRPr="00AA2110">
        <w:t xml:space="preserve">ражениях по сообщениям. </w:t>
      </w:r>
    </w:p>
    <w:p w:rsidR="008B02A8" w:rsidRPr="00AA2110" w:rsidRDefault="008B02A8" w:rsidP="008B02A8">
      <w:pPr>
        <w:pStyle w:val="SingleTxtGR"/>
        <w:rPr>
          <w:bCs/>
          <w:i/>
        </w:rPr>
      </w:pPr>
      <w:r w:rsidRPr="00AA2110">
        <w:rPr>
          <w:bCs/>
          <w:i/>
        </w:rPr>
        <w:t>Пункт 1</w:t>
      </w:r>
    </w:p>
    <w:p w:rsidR="008B02A8" w:rsidRPr="00AA2110" w:rsidRDefault="008B02A8" w:rsidP="008B02A8">
      <w:pPr>
        <w:pStyle w:val="SingleTxtGR"/>
        <w:rPr>
          <w:bCs/>
        </w:rPr>
      </w:pPr>
      <w:r w:rsidRPr="00AA2110">
        <w:rPr>
          <w:bCs/>
        </w:rPr>
        <w:t>33.</w:t>
      </w:r>
      <w:r w:rsidRPr="00AA2110">
        <w:rPr>
          <w:bCs/>
        </w:rPr>
        <w:tab/>
      </w:r>
      <w:r w:rsidRPr="00AA2110">
        <w:rPr>
          <w:b/>
          <w:bCs/>
        </w:rPr>
        <w:t>Сэр Найджел Родли</w:t>
      </w:r>
      <w:r w:rsidRPr="00AA2110">
        <w:rPr>
          <w:bCs/>
        </w:rPr>
        <w:t xml:space="preserve"> напоминает, что каждый раз, когда Комитет прин</w:t>
      </w:r>
      <w:r w:rsidRPr="00AA2110">
        <w:rPr>
          <w:bCs/>
        </w:rPr>
        <w:t>и</w:t>
      </w:r>
      <w:r w:rsidRPr="00AA2110">
        <w:rPr>
          <w:bCs/>
        </w:rPr>
        <w:t>мал новое замечание о</w:t>
      </w:r>
      <w:r w:rsidRPr="00AA2110">
        <w:rPr>
          <w:bCs/>
        </w:rPr>
        <w:t>б</w:t>
      </w:r>
      <w:r w:rsidRPr="00AA2110">
        <w:rPr>
          <w:bCs/>
        </w:rPr>
        <w:t>щего порядка по уже рассматривавшейся статье, новый текст заменял старый. Он, таким образом, не видит никакого смысла в том, чт</w:t>
      </w:r>
      <w:r w:rsidRPr="00AA2110">
        <w:rPr>
          <w:bCs/>
        </w:rPr>
        <w:t>о</w:t>
      </w:r>
      <w:r w:rsidRPr="00AA2110">
        <w:rPr>
          <w:bCs/>
        </w:rPr>
        <w:t>бы не заменять Замечание общего порядка № 10 Замечанием общего порядка №</w:t>
      </w:r>
      <w:r>
        <w:rPr>
          <w:bCs/>
          <w:lang w:val="en-US"/>
        </w:rPr>
        <w:t> </w:t>
      </w:r>
      <w:r w:rsidRPr="00AA2110">
        <w:rPr>
          <w:bCs/>
        </w:rPr>
        <w:t>34, как это указывается в пункте 1.</w:t>
      </w:r>
    </w:p>
    <w:p w:rsidR="008B02A8" w:rsidRPr="00AA2110" w:rsidRDefault="008B02A8" w:rsidP="008B02A8">
      <w:pPr>
        <w:pStyle w:val="SingleTxtGR"/>
      </w:pPr>
      <w:r w:rsidRPr="00AA2110">
        <w:t>34.</w:t>
      </w:r>
      <w:r w:rsidRPr="00AA2110">
        <w:tab/>
      </w:r>
      <w:r w:rsidRPr="00AA2110">
        <w:rPr>
          <w:b/>
        </w:rPr>
        <w:t>Г-н Амор, г-н Телин</w:t>
      </w:r>
      <w:r w:rsidRPr="00AA2110">
        <w:t xml:space="preserve"> и </w:t>
      </w:r>
      <w:r w:rsidRPr="00AA2110">
        <w:rPr>
          <w:b/>
        </w:rPr>
        <w:t xml:space="preserve">г-н О’Флаэрти </w:t>
      </w:r>
      <w:r w:rsidRPr="00AA2110">
        <w:t>(докладчик по Замечанию общего порядка) разделяют эту точку зрения.</w:t>
      </w:r>
    </w:p>
    <w:p w:rsidR="008B02A8" w:rsidRPr="00AA2110" w:rsidRDefault="008B02A8" w:rsidP="008B02A8">
      <w:pPr>
        <w:pStyle w:val="SingleTxtGR"/>
      </w:pPr>
      <w:r w:rsidRPr="00AA2110">
        <w:rPr>
          <w:bCs/>
        </w:rPr>
        <w:t>35.</w:t>
      </w:r>
      <w:r w:rsidRPr="00AA2110">
        <w:rPr>
          <w:bCs/>
        </w:rPr>
        <w:tab/>
      </w:r>
      <w:r w:rsidRPr="00AA2110">
        <w:rPr>
          <w:b/>
          <w:bCs/>
        </w:rPr>
        <w:t>Г-жа Шане</w:t>
      </w:r>
      <w:r w:rsidRPr="00AA2110">
        <w:rPr>
          <w:bCs/>
        </w:rPr>
        <w:t xml:space="preserve"> уточняет, что она никогда не намеревалась удалить пункт 1, а просто хотела дождаться окончания рассмотрения проекта для определения т</w:t>
      </w:r>
      <w:r w:rsidRPr="00AA2110">
        <w:rPr>
          <w:bCs/>
        </w:rPr>
        <w:t>о</w:t>
      </w:r>
      <w:r w:rsidRPr="00AA2110">
        <w:rPr>
          <w:bCs/>
        </w:rPr>
        <w:t>го, заменит ли новое замечание общего порядка Замечание общего порядка №</w:t>
      </w:r>
      <w:r>
        <w:rPr>
          <w:bCs/>
          <w:lang w:val="en-US"/>
        </w:rPr>
        <w:t> </w:t>
      </w:r>
      <w:r w:rsidRPr="00AA2110">
        <w:rPr>
          <w:bCs/>
        </w:rPr>
        <w:t xml:space="preserve">10 или только его дополнит. </w:t>
      </w:r>
    </w:p>
    <w:p w:rsidR="008B02A8" w:rsidRPr="00AA2110" w:rsidRDefault="008B02A8" w:rsidP="008B02A8">
      <w:pPr>
        <w:pStyle w:val="SingleTxtGR"/>
      </w:pPr>
      <w:r w:rsidRPr="00AA2110">
        <w:rPr>
          <w:bCs/>
        </w:rPr>
        <w:t>36.</w:t>
      </w:r>
      <w:r w:rsidRPr="00AA2110">
        <w:rPr>
          <w:bCs/>
        </w:rPr>
        <w:tab/>
      </w:r>
      <w:r w:rsidRPr="00AA2110">
        <w:rPr>
          <w:b/>
          <w:bCs/>
        </w:rPr>
        <w:t xml:space="preserve">Председатель </w:t>
      </w:r>
      <w:r w:rsidRPr="00AA2110">
        <w:rPr>
          <w:bCs/>
        </w:rPr>
        <w:t>напоминает, что речь идет только о первом чтении, и,  сл</w:t>
      </w:r>
      <w:r w:rsidRPr="00AA2110">
        <w:rPr>
          <w:bCs/>
        </w:rPr>
        <w:t>е</w:t>
      </w:r>
      <w:r w:rsidRPr="00AA2110">
        <w:rPr>
          <w:bCs/>
        </w:rPr>
        <w:t>довательно, на данном этапе не будет принято никакого окончательного реш</w:t>
      </w:r>
      <w:r w:rsidRPr="00AA2110">
        <w:rPr>
          <w:bCs/>
        </w:rPr>
        <w:t>е</w:t>
      </w:r>
      <w:r w:rsidRPr="00AA2110">
        <w:rPr>
          <w:bCs/>
        </w:rPr>
        <w:t>ния. Он предлагает временно сохранить пункт 1 в его нынешнем виде и ве</w:t>
      </w:r>
      <w:r w:rsidRPr="00AA2110">
        <w:rPr>
          <w:bCs/>
        </w:rPr>
        <w:t>р</w:t>
      </w:r>
      <w:r w:rsidRPr="00AA2110">
        <w:rPr>
          <w:bCs/>
        </w:rPr>
        <w:t>нуться к нему после того, как Комитет рассмотрит проект целиком.</w:t>
      </w:r>
    </w:p>
    <w:p w:rsidR="008B02A8" w:rsidRPr="00AA2110" w:rsidRDefault="008B02A8" w:rsidP="008B02A8">
      <w:pPr>
        <w:pStyle w:val="SingleTxtGR"/>
        <w:rPr>
          <w:bCs/>
          <w:i/>
        </w:rPr>
      </w:pPr>
      <w:r w:rsidRPr="00AA2110">
        <w:rPr>
          <w:bCs/>
          <w:i/>
        </w:rPr>
        <w:t>Пункт 2</w:t>
      </w:r>
    </w:p>
    <w:p w:rsidR="008B02A8" w:rsidRPr="00AA2110" w:rsidRDefault="008B02A8" w:rsidP="008B02A8">
      <w:pPr>
        <w:pStyle w:val="SingleTxtGR"/>
      </w:pPr>
      <w:r w:rsidRPr="00AA2110">
        <w:rPr>
          <w:bCs/>
        </w:rPr>
        <w:t>37.</w:t>
      </w:r>
      <w:r w:rsidRPr="00AA2110">
        <w:rPr>
          <w:bCs/>
        </w:rPr>
        <w:tab/>
      </w:r>
      <w:r w:rsidRPr="00AA2110">
        <w:rPr>
          <w:b/>
          <w:bCs/>
        </w:rPr>
        <w:t>Сэр Найджел Родли</w:t>
      </w:r>
      <w:r w:rsidRPr="00AA2110">
        <w:rPr>
          <w:bCs/>
        </w:rPr>
        <w:t xml:space="preserve"> говорит, что выражение «свобода убеждений и в</w:t>
      </w:r>
      <w:r w:rsidRPr="00AA2110">
        <w:rPr>
          <w:bCs/>
        </w:rPr>
        <w:t>ы</w:t>
      </w:r>
      <w:r w:rsidRPr="00AA2110">
        <w:rPr>
          <w:bCs/>
        </w:rPr>
        <w:t>ражения мнений», испол</w:t>
      </w:r>
      <w:r w:rsidRPr="00AA2110">
        <w:rPr>
          <w:bCs/>
        </w:rPr>
        <w:t>ь</w:t>
      </w:r>
      <w:r w:rsidRPr="00AA2110">
        <w:rPr>
          <w:bCs/>
        </w:rPr>
        <w:t>зуемое в первом предложении, должно быть заменено выражением «свобода убеждений и свободное выражение мнений» с тем, чтобы ясно зафиксировать, что речь идет о двух различных видах свободы. Для изб</w:t>
      </w:r>
      <w:r w:rsidRPr="00AA2110">
        <w:rPr>
          <w:bCs/>
        </w:rPr>
        <w:t>е</w:t>
      </w:r>
      <w:r w:rsidRPr="00AA2110">
        <w:rPr>
          <w:bCs/>
        </w:rPr>
        <w:t>жания многословия было бы желательно заменить выражение «свободное ра</w:t>
      </w:r>
      <w:r w:rsidRPr="00AA2110">
        <w:rPr>
          <w:bCs/>
        </w:rPr>
        <w:t>з</w:t>
      </w:r>
      <w:r w:rsidRPr="00AA2110">
        <w:rPr>
          <w:bCs/>
        </w:rPr>
        <w:t>витие» выражен</w:t>
      </w:r>
      <w:r w:rsidRPr="00AA2110">
        <w:rPr>
          <w:bCs/>
        </w:rPr>
        <w:t>и</w:t>
      </w:r>
      <w:r w:rsidRPr="00AA2110">
        <w:rPr>
          <w:bCs/>
        </w:rPr>
        <w:t xml:space="preserve">ем «полноценное развитие» </w:t>
      </w:r>
      <w:r w:rsidRPr="00AA2110">
        <w:t>(</w:t>
      </w:r>
      <w:r w:rsidRPr="00AA2110">
        <w:rPr>
          <w:lang w:val="fr-CH"/>
        </w:rPr>
        <w:t>full</w:t>
      </w:r>
      <w:r w:rsidRPr="00AA2110">
        <w:t xml:space="preserve"> </w:t>
      </w:r>
      <w:r w:rsidRPr="00AA2110">
        <w:rPr>
          <w:lang w:val="fr-CH"/>
        </w:rPr>
        <w:t>development</w:t>
      </w:r>
      <w:r w:rsidRPr="00AA2110">
        <w:t>).</w:t>
      </w:r>
    </w:p>
    <w:p w:rsidR="008B02A8" w:rsidRPr="00AA2110" w:rsidRDefault="008B02A8" w:rsidP="008B02A8">
      <w:pPr>
        <w:pStyle w:val="SingleTxtGR"/>
        <w:rPr>
          <w:bCs/>
        </w:rPr>
      </w:pPr>
      <w:r w:rsidRPr="00AA2110">
        <w:rPr>
          <w:bCs/>
        </w:rPr>
        <w:t>38.</w:t>
      </w:r>
      <w:r w:rsidRPr="00AA2110">
        <w:rPr>
          <w:bCs/>
        </w:rPr>
        <w:tab/>
      </w:r>
      <w:r w:rsidRPr="00AA2110">
        <w:rPr>
          <w:bCs/>
          <w:i/>
        </w:rPr>
        <w:t>Предложения принимаются</w:t>
      </w:r>
      <w:r w:rsidRPr="00AA2110">
        <w:rPr>
          <w:bCs/>
        </w:rPr>
        <w:t>.</w:t>
      </w:r>
    </w:p>
    <w:p w:rsidR="008B02A8" w:rsidRPr="00AA2110" w:rsidRDefault="008B02A8" w:rsidP="008B02A8">
      <w:pPr>
        <w:pStyle w:val="SingleTxtGR"/>
        <w:rPr>
          <w:bCs/>
        </w:rPr>
      </w:pPr>
      <w:r w:rsidRPr="00AA2110">
        <w:rPr>
          <w:bCs/>
        </w:rPr>
        <w:t>39.</w:t>
      </w:r>
      <w:r w:rsidRPr="00AA2110">
        <w:rPr>
          <w:bCs/>
        </w:rPr>
        <w:tab/>
      </w:r>
      <w:r w:rsidRPr="00AA2110">
        <w:rPr>
          <w:b/>
          <w:bCs/>
        </w:rPr>
        <w:t>Г-н Лаллах</w:t>
      </w:r>
      <w:r w:rsidRPr="00AA2110">
        <w:rPr>
          <w:bCs/>
        </w:rPr>
        <w:t xml:space="preserve"> говорит, что Пакт рассматривается как универсальный дог</w:t>
      </w:r>
      <w:r w:rsidRPr="00AA2110">
        <w:rPr>
          <w:bCs/>
        </w:rPr>
        <w:t>о</w:t>
      </w:r>
      <w:r w:rsidRPr="00AA2110">
        <w:rPr>
          <w:bCs/>
        </w:rPr>
        <w:t>вор, а не как договор, ограниченный определенным типом общества. Свобода убеждений и свободное выражение мнений необходимы во всех видах общес</w:t>
      </w:r>
      <w:r w:rsidRPr="00AA2110">
        <w:rPr>
          <w:bCs/>
        </w:rPr>
        <w:t>т</w:t>
      </w:r>
      <w:r w:rsidRPr="00AA2110">
        <w:rPr>
          <w:bCs/>
        </w:rPr>
        <w:t>ва, а не только в обществе свободном и демократическом.</w:t>
      </w:r>
    </w:p>
    <w:p w:rsidR="008B02A8" w:rsidRPr="00AA2110" w:rsidRDefault="008B02A8" w:rsidP="008B02A8">
      <w:pPr>
        <w:pStyle w:val="SingleTxtGR"/>
      </w:pPr>
      <w:r w:rsidRPr="00AA2110">
        <w:rPr>
          <w:bCs/>
        </w:rPr>
        <w:t>40.</w:t>
      </w:r>
      <w:r w:rsidRPr="00AA2110">
        <w:rPr>
          <w:bCs/>
        </w:rPr>
        <w:tab/>
      </w:r>
      <w:r w:rsidRPr="00AA2110">
        <w:rPr>
          <w:b/>
          <w:bCs/>
        </w:rPr>
        <w:t>Г-н Амор</w:t>
      </w:r>
      <w:r w:rsidRPr="00AA2110">
        <w:rPr>
          <w:bCs/>
        </w:rPr>
        <w:t xml:space="preserve"> поддерживает высказывания г-на Лаллаха. Важно ясно по</w:t>
      </w:r>
      <w:r w:rsidRPr="00AA2110">
        <w:rPr>
          <w:bCs/>
        </w:rPr>
        <w:t>д</w:t>
      </w:r>
      <w:r w:rsidRPr="00AA2110">
        <w:rPr>
          <w:bCs/>
        </w:rPr>
        <w:t>черкнуть, что право на свободу убеждений и на свободное выражение мнений признается за каждым индивидом, каким бы ни было общество, в котором он живет, поскольку предположение о том, что это право действует только для д</w:t>
      </w:r>
      <w:r w:rsidRPr="00AA2110">
        <w:rPr>
          <w:bCs/>
        </w:rPr>
        <w:t>е</w:t>
      </w:r>
      <w:r w:rsidRPr="00AA2110">
        <w:rPr>
          <w:bCs/>
        </w:rPr>
        <w:t xml:space="preserve">мократического общества, открыло бы дорогу для весьма опасных толкований </w:t>
      </w:r>
      <w:r w:rsidRPr="00AA2110">
        <w:rPr>
          <w:i/>
          <w:lang w:val="fr-CH"/>
        </w:rPr>
        <w:t>a</w:t>
      </w:r>
      <w:r w:rsidRPr="00AA2110">
        <w:rPr>
          <w:i/>
        </w:rPr>
        <w:t xml:space="preserve"> </w:t>
      </w:r>
      <w:r w:rsidRPr="00AA2110">
        <w:rPr>
          <w:i/>
          <w:lang w:val="fr-CH"/>
        </w:rPr>
        <w:t>contrario</w:t>
      </w:r>
      <w:r w:rsidRPr="00AA2110">
        <w:t>.</w:t>
      </w:r>
    </w:p>
    <w:p w:rsidR="008B02A8" w:rsidRPr="00AA2110" w:rsidRDefault="008B02A8" w:rsidP="008B02A8">
      <w:pPr>
        <w:pStyle w:val="SingleTxtGR"/>
      </w:pPr>
      <w:r w:rsidRPr="00AA2110">
        <w:rPr>
          <w:bCs/>
        </w:rPr>
        <w:t>41.</w:t>
      </w:r>
      <w:r w:rsidRPr="00AA2110">
        <w:rPr>
          <w:bCs/>
        </w:rPr>
        <w:tab/>
      </w:r>
      <w:r w:rsidRPr="00AA2110">
        <w:rPr>
          <w:b/>
          <w:bCs/>
        </w:rPr>
        <w:t>Г-жа Шане</w:t>
      </w:r>
      <w:r w:rsidRPr="00AA2110">
        <w:rPr>
          <w:bCs/>
        </w:rPr>
        <w:t xml:space="preserve"> ссылается на то, что свобода убеждений и свободное выр</w:t>
      </w:r>
      <w:r w:rsidRPr="00AA2110">
        <w:rPr>
          <w:bCs/>
        </w:rPr>
        <w:t>а</w:t>
      </w:r>
      <w:r w:rsidRPr="00AA2110">
        <w:rPr>
          <w:bCs/>
        </w:rPr>
        <w:t>жение мнений никогда не применялись в недемократических обществах, и, сл</w:t>
      </w:r>
      <w:r w:rsidRPr="00AA2110">
        <w:rPr>
          <w:bCs/>
        </w:rPr>
        <w:t>е</w:t>
      </w:r>
      <w:r w:rsidRPr="00AA2110">
        <w:rPr>
          <w:bCs/>
        </w:rPr>
        <w:t>довательно, бессмысленно утверждать, что эти св</w:t>
      </w:r>
      <w:r w:rsidRPr="00AA2110">
        <w:rPr>
          <w:bCs/>
        </w:rPr>
        <w:t>о</w:t>
      </w:r>
      <w:r w:rsidRPr="00AA2110">
        <w:rPr>
          <w:bCs/>
        </w:rPr>
        <w:t xml:space="preserve">боды являются краеугольным камнем любого вида общества. Кроме того, выражение «краеугольный камень любого свободного и демократического общества» непосредственным образом взято из практики вынесения решений Комитетом и, таким образом, должно быть воспроизведено в том же самом виде. </w:t>
      </w:r>
    </w:p>
    <w:p w:rsidR="008B02A8" w:rsidRPr="00AA2110" w:rsidRDefault="008B02A8" w:rsidP="008B02A8">
      <w:pPr>
        <w:pStyle w:val="SingleTxtGR"/>
      </w:pPr>
      <w:r w:rsidRPr="00AA2110">
        <w:rPr>
          <w:bCs/>
        </w:rPr>
        <w:t>42.</w:t>
      </w:r>
      <w:r w:rsidRPr="00AA2110">
        <w:rPr>
          <w:bCs/>
        </w:rPr>
        <w:tab/>
      </w:r>
      <w:r w:rsidRPr="00AA2110">
        <w:rPr>
          <w:b/>
          <w:bCs/>
        </w:rPr>
        <w:t>Сэр Найджел Родли</w:t>
      </w:r>
      <w:r w:rsidRPr="00AA2110">
        <w:rPr>
          <w:bCs/>
        </w:rPr>
        <w:t xml:space="preserve"> говорит, что нельзя смешивать то, что должно было бы быть, и то, что есть на самом деле. Свобода убеждений и свободное выр</w:t>
      </w:r>
      <w:r w:rsidRPr="00AA2110">
        <w:rPr>
          <w:bCs/>
        </w:rPr>
        <w:t>а</w:t>
      </w:r>
      <w:r w:rsidRPr="00AA2110">
        <w:rPr>
          <w:bCs/>
        </w:rPr>
        <w:t>жение мнений должны были бы быть краеугольным камнем всех видов общес</w:t>
      </w:r>
      <w:r w:rsidRPr="00AA2110">
        <w:rPr>
          <w:bCs/>
        </w:rPr>
        <w:t>т</w:t>
      </w:r>
      <w:r w:rsidRPr="00AA2110">
        <w:rPr>
          <w:bCs/>
        </w:rPr>
        <w:t>ва, но, к сожалению, это не так, и нельзя утаивать такое положение в</w:t>
      </w:r>
      <w:r w:rsidRPr="00AA2110">
        <w:rPr>
          <w:bCs/>
        </w:rPr>
        <w:t>е</w:t>
      </w:r>
      <w:r w:rsidRPr="00AA2110">
        <w:rPr>
          <w:bCs/>
        </w:rPr>
        <w:t>щей. Тем не менее, для учета замечаний г-на Лаллаха и г-на Амора можно было бы по</w:t>
      </w:r>
      <w:r w:rsidRPr="00AA2110">
        <w:rPr>
          <w:bCs/>
        </w:rPr>
        <w:t>д</w:t>
      </w:r>
      <w:r w:rsidRPr="00AA2110">
        <w:rPr>
          <w:bCs/>
        </w:rPr>
        <w:t>черкнуть помимо значимости этих двух свобод для каждого индивида и любого свободного и демократического общества их важность для любого общества.</w:t>
      </w:r>
    </w:p>
    <w:p w:rsidR="008B02A8" w:rsidRPr="00AA2110" w:rsidRDefault="008B02A8" w:rsidP="008B02A8">
      <w:pPr>
        <w:pStyle w:val="SingleTxtGR"/>
      </w:pPr>
      <w:r w:rsidRPr="00AA2110">
        <w:rPr>
          <w:bCs/>
        </w:rPr>
        <w:t>43.</w:t>
      </w:r>
      <w:r w:rsidRPr="00AA2110">
        <w:rPr>
          <w:bCs/>
        </w:rPr>
        <w:tab/>
      </w:r>
      <w:r w:rsidRPr="00AA2110">
        <w:rPr>
          <w:b/>
          <w:bCs/>
        </w:rPr>
        <w:t>Г-н Амор</w:t>
      </w:r>
      <w:r w:rsidRPr="00AA2110">
        <w:rPr>
          <w:bCs/>
        </w:rPr>
        <w:t xml:space="preserve"> предлагает переформулировать пункт 2 с тем, чтобы он чита</w:t>
      </w:r>
      <w:r w:rsidRPr="00AA2110">
        <w:rPr>
          <w:bCs/>
        </w:rPr>
        <w:t>л</w:t>
      </w:r>
      <w:r w:rsidRPr="00AA2110">
        <w:rPr>
          <w:bCs/>
        </w:rPr>
        <w:t>ся следующим образом: «Свобода убеждений и свободное выражение мнений являются необходимым условием для полноценного развития личности. Они важны для любого общества. Они являются краеугольным камнем каждого св</w:t>
      </w:r>
      <w:r w:rsidRPr="00AA2110">
        <w:rPr>
          <w:bCs/>
        </w:rPr>
        <w:t>о</w:t>
      </w:r>
      <w:r w:rsidRPr="00AA2110">
        <w:rPr>
          <w:bCs/>
        </w:rPr>
        <w:t xml:space="preserve">бодного и демократического общества». </w:t>
      </w:r>
    </w:p>
    <w:p w:rsidR="008B02A8" w:rsidRPr="00AA2110" w:rsidRDefault="008B02A8" w:rsidP="008B02A8">
      <w:pPr>
        <w:pStyle w:val="SingleTxtGR"/>
        <w:rPr>
          <w:i/>
        </w:rPr>
      </w:pPr>
      <w:r w:rsidRPr="00AA2110">
        <w:rPr>
          <w:bCs/>
        </w:rPr>
        <w:t xml:space="preserve">44. </w:t>
      </w:r>
      <w:r w:rsidRPr="00AA2110">
        <w:rPr>
          <w:bCs/>
        </w:rPr>
        <w:tab/>
      </w:r>
      <w:r w:rsidRPr="00AA2110">
        <w:rPr>
          <w:bCs/>
          <w:i/>
        </w:rPr>
        <w:t>Предложение принимается.</w:t>
      </w:r>
    </w:p>
    <w:p w:rsidR="008B02A8" w:rsidRPr="00AA2110" w:rsidRDefault="008B02A8" w:rsidP="008B02A8">
      <w:pPr>
        <w:pStyle w:val="SingleTxtGR"/>
        <w:rPr>
          <w:i/>
          <w:iCs/>
        </w:rPr>
      </w:pPr>
      <w:r w:rsidRPr="00AA2110">
        <w:rPr>
          <w:i/>
          <w:iCs/>
        </w:rPr>
        <w:t>Пункт 3</w:t>
      </w:r>
    </w:p>
    <w:p w:rsidR="008B02A8" w:rsidRPr="00AA2110" w:rsidRDefault="008B02A8" w:rsidP="008B02A8">
      <w:pPr>
        <w:pStyle w:val="SingleTxtGR"/>
        <w:rPr>
          <w:iCs/>
        </w:rPr>
      </w:pPr>
      <w:r w:rsidRPr="00AA2110">
        <w:rPr>
          <w:iCs/>
        </w:rPr>
        <w:t>45.</w:t>
      </w:r>
      <w:r w:rsidRPr="00AA2110">
        <w:rPr>
          <w:iCs/>
        </w:rPr>
        <w:tab/>
      </w:r>
      <w:r w:rsidRPr="00AA2110">
        <w:rPr>
          <w:b/>
          <w:iCs/>
        </w:rPr>
        <w:t>Г-жа Шане</w:t>
      </w:r>
      <w:r w:rsidRPr="00AA2110">
        <w:rPr>
          <w:iCs/>
        </w:rPr>
        <w:t xml:space="preserve"> говорит, что установленная в первом предложении связь м</w:t>
      </w:r>
      <w:r w:rsidRPr="00AA2110">
        <w:rPr>
          <w:iCs/>
        </w:rPr>
        <w:t>е</w:t>
      </w:r>
      <w:r w:rsidRPr="00AA2110">
        <w:rPr>
          <w:iCs/>
        </w:rPr>
        <w:t>жду статьей 19 (свободное выражение мнений) и статьей 18 (свобода мысли, совести и религии) является дискуссионной, и было бы точнее сказать, что «Многие статьи Пакта содержат гарантии для свободы убеждений или свобо</w:t>
      </w:r>
      <w:r w:rsidRPr="00AA2110">
        <w:rPr>
          <w:iCs/>
        </w:rPr>
        <w:t>д</w:t>
      </w:r>
      <w:r w:rsidRPr="00AA2110">
        <w:rPr>
          <w:iCs/>
        </w:rPr>
        <w:t>ного выражения мнений». Во втором предложении ссылка на статью 14 Пакта (право на равенство перед судами и трибуналами и право на справедливое с</w:t>
      </w:r>
      <w:r w:rsidRPr="00AA2110">
        <w:rPr>
          <w:iCs/>
        </w:rPr>
        <w:t>у</w:t>
      </w:r>
      <w:r w:rsidRPr="00AA2110">
        <w:rPr>
          <w:iCs/>
        </w:rPr>
        <w:t>дебное разбирательство) неочевидна. Следует уточнить связь между этой стат</w:t>
      </w:r>
      <w:r w:rsidRPr="00AA2110">
        <w:rPr>
          <w:iCs/>
        </w:rPr>
        <w:t>ь</w:t>
      </w:r>
      <w:r w:rsidRPr="00AA2110">
        <w:rPr>
          <w:iCs/>
        </w:rPr>
        <w:t>ей и статьей 19 или удалить эту ссылку. В третьем предложении следует зам</w:t>
      </w:r>
      <w:r w:rsidRPr="00AA2110">
        <w:rPr>
          <w:iCs/>
        </w:rPr>
        <w:t>е</w:t>
      </w:r>
      <w:r w:rsidRPr="00AA2110">
        <w:rPr>
          <w:iCs/>
        </w:rPr>
        <w:t>нить выражение «служить основанием» более точным термином и удалить ссылку на экономические, социальные и культурные права, поскольку прив</w:t>
      </w:r>
      <w:r w:rsidRPr="00AA2110">
        <w:rPr>
          <w:iCs/>
        </w:rPr>
        <w:t>е</w:t>
      </w:r>
      <w:r w:rsidRPr="00AA2110">
        <w:rPr>
          <w:iCs/>
        </w:rPr>
        <w:t>денные примеры касаются только гражданских и пол</w:t>
      </w:r>
      <w:r w:rsidRPr="00AA2110">
        <w:rPr>
          <w:iCs/>
        </w:rPr>
        <w:t>и</w:t>
      </w:r>
      <w:r w:rsidRPr="00AA2110">
        <w:rPr>
          <w:iCs/>
        </w:rPr>
        <w:t>тических прав.</w:t>
      </w:r>
    </w:p>
    <w:p w:rsidR="008B02A8" w:rsidRPr="00AA2110" w:rsidRDefault="008B02A8" w:rsidP="008B02A8">
      <w:pPr>
        <w:pStyle w:val="SingleTxtGR"/>
      </w:pPr>
      <w:r w:rsidRPr="00AA2110">
        <w:t>46.</w:t>
      </w:r>
      <w:r w:rsidRPr="00AA2110">
        <w:tab/>
      </w:r>
      <w:r w:rsidRPr="00AA2110">
        <w:rPr>
          <w:b/>
        </w:rPr>
        <w:t>Сэр Найджел Родли</w:t>
      </w:r>
      <w:r w:rsidRPr="00AA2110">
        <w:t xml:space="preserve"> говорит, что в первом предложении данное в ско</w:t>
      </w:r>
      <w:r w:rsidRPr="00AA2110">
        <w:t>б</w:t>
      </w:r>
      <w:r w:rsidRPr="00AA2110">
        <w:t>ках название статье 18 (свобода мысли, совести и убеждений) не соответствует формулировке Пакта (свобода мысли, совести и религии). Надо, таким образом, изменить его таким образом, чтобы в нем фигурировал термин «религия». Кр</w:t>
      </w:r>
      <w:r w:rsidRPr="00AA2110">
        <w:t>о</w:t>
      </w:r>
      <w:r w:rsidRPr="00AA2110">
        <w:t>ме того, ссылка на свободу передвижения в последнем предложении могла бы быть удалена.</w:t>
      </w:r>
    </w:p>
    <w:p w:rsidR="008B02A8" w:rsidRPr="00AA2110" w:rsidRDefault="008B02A8" w:rsidP="008B02A8">
      <w:pPr>
        <w:pStyle w:val="SingleTxtGR"/>
      </w:pPr>
      <w:r w:rsidRPr="00AA2110">
        <w:t>47.</w:t>
      </w:r>
      <w:r w:rsidRPr="00AA2110">
        <w:tab/>
      </w:r>
      <w:r w:rsidRPr="00AA2110">
        <w:rPr>
          <w:b/>
        </w:rPr>
        <w:t>Г-н Сальвиоли</w:t>
      </w:r>
      <w:r w:rsidRPr="00AA2110">
        <w:t xml:space="preserve"> предлагает внести уточнение в третье предложение, д</w:t>
      </w:r>
      <w:r w:rsidRPr="00AA2110">
        <w:t>о</w:t>
      </w:r>
      <w:r w:rsidRPr="00AA2110">
        <w:t>бавив в него выражение «полноценное осуществление» с тем, чтобы часть фр</w:t>
      </w:r>
      <w:r w:rsidRPr="00AA2110">
        <w:t>а</w:t>
      </w:r>
      <w:r w:rsidRPr="00AA2110">
        <w:t>зы читалась следующим образом: «Право на св</w:t>
      </w:r>
      <w:r w:rsidRPr="00AA2110">
        <w:t>о</w:t>
      </w:r>
      <w:r w:rsidRPr="00AA2110">
        <w:t xml:space="preserve">боду убеждений и право на свободное выражение мнений служат основанием для </w:t>
      </w:r>
      <w:r w:rsidRPr="00AA2110">
        <w:rPr>
          <w:i/>
        </w:rPr>
        <w:t>полноценного осущест</w:t>
      </w:r>
      <w:r w:rsidRPr="00AA2110">
        <w:rPr>
          <w:i/>
        </w:rPr>
        <w:t>в</w:t>
      </w:r>
      <w:r w:rsidRPr="00AA2110">
        <w:rPr>
          <w:i/>
        </w:rPr>
        <w:t>ления</w:t>
      </w:r>
      <w:r w:rsidRPr="00AA2110">
        <w:t xml:space="preserve"> большого числа других прав (…)».</w:t>
      </w:r>
    </w:p>
    <w:p w:rsidR="008B02A8" w:rsidRPr="00AA2110" w:rsidRDefault="008B02A8" w:rsidP="008B02A8">
      <w:pPr>
        <w:pStyle w:val="SingleTxtGR"/>
      </w:pPr>
      <w:r w:rsidRPr="00AA2110">
        <w:t>48.</w:t>
      </w:r>
      <w:r w:rsidRPr="00AA2110">
        <w:tab/>
      </w:r>
      <w:r w:rsidRPr="00AA2110">
        <w:rPr>
          <w:b/>
        </w:rPr>
        <w:t>Г-жа Майодина</w:t>
      </w:r>
      <w:r w:rsidRPr="00AA2110">
        <w:t xml:space="preserve"> предлагает разъяснить причину, по которой отступления от статьи 18 невозмо</w:t>
      </w:r>
      <w:r w:rsidRPr="00AA2110">
        <w:t>ж</w:t>
      </w:r>
      <w:r w:rsidRPr="00AA2110">
        <w:t>ны, путем включения ссылки на пункт 2 статьи 4 Пакта с тем, чтобы Замечание общего порядка могло быть доступно для всеобщего п</w:t>
      </w:r>
      <w:r w:rsidRPr="00AA2110">
        <w:t>о</w:t>
      </w:r>
      <w:r w:rsidRPr="00AA2110">
        <w:t>нимания без  специальных юридических знаний. Кроме того, формул</w:t>
      </w:r>
      <w:r w:rsidRPr="00AA2110">
        <w:t>и</w:t>
      </w:r>
      <w:r w:rsidRPr="00AA2110">
        <w:t>ровка первого предложения наводит на мысль, что в отношении статьи 19 также не допускаются отсту</w:t>
      </w:r>
      <w:r w:rsidRPr="00AA2110">
        <w:t>п</w:t>
      </w:r>
      <w:r w:rsidRPr="00AA2110">
        <w:t>ления в широком смысле статьи 18, что не так.</w:t>
      </w:r>
    </w:p>
    <w:p w:rsidR="008B02A8" w:rsidRPr="00AA2110" w:rsidRDefault="008B02A8" w:rsidP="008B02A8">
      <w:pPr>
        <w:pStyle w:val="SingleTxtGR"/>
      </w:pPr>
      <w:r w:rsidRPr="00AA2110">
        <w:t>49.</w:t>
      </w:r>
      <w:r w:rsidRPr="00AA2110">
        <w:tab/>
      </w:r>
      <w:r w:rsidRPr="00AA2110">
        <w:rPr>
          <w:b/>
        </w:rPr>
        <w:t>Г-н Телин</w:t>
      </w:r>
      <w:r w:rsidRPr="00AA2110">
        <w:t xml:space="preserve"> говорит, что он не видит возражений против сохранения ссы</w:t>
      </w:r>
      <w:r w:rsidRPr="00AA2110">
        <w:t>л</w:t>
      </w:r>
      <w:r w:rsidRPr="00AA2110">
        <w:t>ки на статью 14, если ее цель состоит в напоминании о том, что право на спр</w:t>
      </w:r>
      <w:r w:rsidRPr="00AA2110">
        <w:t>а</w:t>
      </w:r>
      <w:r w:rsidRPr="00AA2110">
        <w:t>ведливое судебное разбирательство позволяет г</w:t>
      </w:r>
      <w:r w:rsidRPr="00AA2110">
        <w:t>а</w:t>
      </w:r>
      <w:r w:rsidRPr="00AA2110">
        <w:t>рантировать соблюдение статьи 19.</w:t>
      </w:r>
    </w:p>
    <w:p w:rsidR="008B02A8" w:rsidRPr="00AA2110" w:rsidRDefault="008B02A8" w:rsidP="008B02A8">
      <w:pPr>
        <w:pStyle w:val="SingleTxtGR"/>
      </w:pPr>
      <w:r w:rsidRPr="00AA2110">
        <w:t>50.</w:t>
      </w:r>
      <w:r w:rsidRPr="00AA2110">
        <w:tab/>
      </w:r>
      <w:r w:rsidRPr="00AA2110">
        <w:rPr>
          <w:b/>
        </w:rPr>
        <w:t>Г-н Ривас Посада</w:t>
      </w:r>
      <w:r w:rsidRPr="00AA2110">
        <w:t xml:space="preserve"> говорит, что связь между статьями 18 и 19 действ</w:t>
      </w:r>
      <w:r w:rsidRPr="00AA2110">
        <w:t>и</w:t>
      </w:r>
      <w:r w:rsidRPr="00AA2110">
        <w:t>тельно должна быть разъяснена, но в другой части текста. Он также полагает, что следует удалить ссылки на статью 14 и на свободу передвижения, которые не имеют прямой связи с пунктом 3. Что касается названия статьи 18, то, по его мнению, следовало бы говорить о свободе мысли, совести, религии и убежд</w:t>
      </w:r>
      <w:r w:rsidRPr="00AA2110">
        <w:t>е</w:t>
      </w:r>
      <w:r w:rsidRPr="00AA2110">
        <w:t>ний с тем, чтобы отр</w:t>
      </w:r>
      <w:r w:rsidRPr="00AA2110">
        <w:t>а</w:t>
      </w:r>
      <w:r w:rsidRPr="00AA2110">
        <w:t xml:space="preserve">зить все упомянутые в этой статье элементы в целях учета того факта, что может иметь место различие между религией и убеждениями. </w:t>
      </w:r>
    </w:p>
    <w:p w:rsidR="008B02A8" w:rsidRPr="00AA2110" w:rsidRDefault="008B02A8" w:rsidP="008B02A8">
      <w:pPr>
        <w:pStyle w:val="SingleTxtGR"/>
      </w:pPr>
      <w:r w:rsidRPr="00AA2110">
        <w:t>51.</w:t>
      </w:r>
      <w:r w:rsidRPr="00AA2110">
        <w:tab/>
      </w:r>
      <w:r w:rsidRPr="00AA2110">
        <w:rPr>
          <w:b/>
        </w:rPr>
        <w:t>Г-жа Шане</w:t>
      </w:r>
      <w:r w:rsidRPr="00AA2110">
        <w:t xml:space="preserve"> говорит, что нет необходимости упоминать статью 14, п</w:t>
      </w:r>
      <w:r w:rsidRPr="00AA2110">
        <w:t>о</w:t>
      </w:r>
      <w:r w:rsidRPr="00AA2110">
        <w:t>скольку она не предоставляет никаких прав, кроме процедурных; если важно сделать ссылку на статью Пакта, позволяющую гарантировать соблюдение и</w:t>
      </w:r>
      <w:r w:rsidRPr="00AA2110">
        <w:t>з</w:t>
      </w:r>
      <w:r w:rsidRPr="00AA2110">
        <w:t>ложенных в нем прав, то следовало бы скорее использовать статью 2, которая закрепляет право на надлежащие средства правовой защиты. Ссылка на статью 14 направлена, без сомнения, на то, чтобы напомнить, что свобода слова нео</w:t>
      </w:r>
      <w:r w:rsidRPr="00AA2110">
        <w:t>б</w:t>
      </w:r>
      <w:r w:rsidRPr="00AA2110">
        <w:t>ходима для гарантирования равенства всех перед судами. Эта ссылка не являе</w:t>
      </w:r>
      <w:r w:rsidRPr="00AA2110">
        <w:t>т</w:t>
      </w:r>
      <w:r w:rsidRPr="00AA2110">
        <w:t>ся обязательной, однако если будет принято решение сохранить ее, то она п</w:t>
      </w:r>
      <w:r w:rsidRPr="00AA2110">
        <w:t>о</w:t>
      </w:r>
      <w:r w:rsidRPr="00AA2110">
        <w:t xml:space="preserve">требует разъяснений.  </w:t>
      </w:r>
    </w:p>
    <w:p w:rsidR="008B02A8" w:rsidRPr="00AA2110" w:rsidRDefault="008B02A8" w:rsidP="008B02A8">
      <w:pPr>
        <w:pStyle w:val="SingleTxtGR"/>
      </w:pPr>
      <w:r w:rsidRPr="00AA2110">
        <w:t>52.</w:t>
      </w:r>
      <w:r w:rsidRPr="00AA2110">
        <w:tab/>
      </w:r>
      <w:r w:rsidRPr="00AA2110">
        <w:rPr>
          <w:b/>
        </w:rPr>
        <w:t>Г-н Лаллах</w:t>
      </w:r>
      <w:r w:rsidRPr="00AA2110">
        <w:t xml:space="preserve"> говорит, что ссылка на статью 14 подразумевает, вероятно, право на использование услуг переводчика для лиц, которые в этом нуждаются. Он также полагает, что надо удалить ссылки на экономические, социальные и культурные права и на свободу передвижения.</w:t>
      </w:r>
    </w:p>
    <w:p w:rsidR="008B02A8" w:rsidRPr="00AA2110" w:rsidRDefault="008B02A8" w:rsidP="008B02A8">
      <w:pPr>
        <w:pStyle w:val="SingleTxtGR"/>
      </w:pPr>
      <w:r w:rsidRPr="00AA2110">
        <w:t>53.</w:t>
      </w:r>
      <w:r w:rsidRPr="00AA2110">
        <w:tab/>
      </w:r>
      <w:r w:rsidRPr="00AA2110">
        <w:rPr>
          <w:b/>
        </w:rPr>
        <w:t>Г-н О’Флаэрти</w:t>
      </w:r>
      <w:r w:rsidRPr="00AA2110">
        <w:t xml:space="preserve"> (докладчик по Замечанию общего порядка) говорит, что упоминая в первом предложении о связи между статьями 18 и 19 Пакта он х</w:t>
      </w:r>
      <w:r w:rsidRPr="00AA2110">
        <w:t>о</w:t>
      </w:r>
      <w:r w:rsidRPr="00AA2110">
        <w:t>тел подготовить площадку для аргумента, развитого в следующем пункте по поводу незыблемости пункта 1 статьи 19, однако он может легко переформул</w:t>
      </w:r>
      <w:r w:rsidRPr="00AA2110">
        <w:t>и</w:t>
      </w:r>
      <w:r w:rsidRPr="00AA2110">
        <w:t>ровать это предложение. Что касается помещенного в скобки названия статьи 18, то использование термина «убеждения» вместо «религия» является оши</w:t>
      </w:r>
      <w:r w:rsidRPr="00AA2110">
        <w:t>б</w:t>
      </w:r>
      <w:r w:rsidRPr="00AA2110">
        <w:t>кой. Он предлагает говорить о «свободе мысли, совести и религии» в целях обеспечения единства с Замечанием общего порядка по этой статье. Ссылка на статью 14 имела целью, как это угадала г-жа Шане, напомнить о том, что для участия в судебном процессе необходимо наличие возможности самовыраж</w:t>
      </w:r>
      <w:r w:rsidRPr="00AA2110">
        <w:t>е</w:t>
      </w:r>
      <w:r w:rsidRPr="00AA2110">
        <w:t>ния, однако нет никакой опасности в ее удалении. В третьем предложении он предлагает заменить выражение «служить основанием» на «составлять основу» («</w:t>
      </w:r>
      <w:r w:rsidRPr="00AA2110">
        <w:rPr>
          <w:lang w:val="fr-CH"/>
        </w:rPr>
        <w:t>form</w:t>
      </w:r>
      <w:r w:rsidRPr="00AA2110">
        <w:t xml:space="preserve"> </w:t>
      </w:r>
      <w:r w:rsidRPr="00AA2110">
        <w:rPr>
          <w:lang w:val="fr-CH"/>
        </w:rPr>
        <w:t>a</w:t>
      </w:r>
      <w:r w:rsidRPr="00AA2110">
        <w:t xml:space="preserve"> </w:t>
      </w:r>
      <w:r w:rsidRPr="00AA2110">
        <w:rPr>
          <w:lang w:val="fr-CH"/>
        </w:rPr>
        <w:t>basis</w:t>
      </w:r>
      <w:r w:rsidRPr="00AA2110">
        <w:t>»). Ссылка на экономические, социальные и культурные права н</w:t>
      </w:r>
      <w:r w:rsidRPr="00AA2110">
        <w:t>а</w:t>
      </w:r>
      <w:r w:rsidRPr="00AA2110">
        <w:t>правлена только на утверждение факта: свободное выражение мнений необх</w:t>
      </w:r>
      <w:r w:rsidRPr="00AA2110">
        <w:t>о</w:t>
      </w:r>
      <w:r w:rsidRPr="00AA2110">
        <w:t>димо для осуществления этих прав. Если члены Комитета этого хотят, то она может быть удалена, также как и упоминание о свободе передвижения. С уч</w:t>
      </w:r>
      <w:r w:rsidRPr="00AA2110">
        <w:t>е</w:t>
      </w:r>
      <w:r w:rsidRPr="00AA2110">
        <w:t>том предложенных изменений пункт будет читаться следующим образом: «Др</w:t>
      </w:r>
      <w:r w:rsidRPr="00AA2110">
        <w:t>у</w:t>
      </w:r>
      <w:r w:rsidRPr="00AA2110">
        <w:t>гие статьи содержат гарантии для свободы убеждений или свободного выраж</w:t>
      </w:r>
      <w:r w:rsidRPr="00AA2110">
        <w:t>е</w:t>
      </w:r>
      <w:r w:rsidRPr="00AA2110">
        <w:t>ния мнений: статья 18 (свобода мысли, совести и религии), статья 17 (право на неприкосновенность частной жизни), статья 25 (политические права) и статья 27 (защита меньшинств). Право на свободу убеждений и право на свободное выражение мнений составляют основу для полноценного осуществления бол</w:t>
      </w:r>
      <w:r w:rsidRPr="00AA2110">
        <w:t>ь</w:t>
      </w:r>
      <w:r w:rsidRPr="00AA2110">
        <w:t>шого числа других гражданских и политических прав. Например, свободное выражение мнений является неотъемлемой частью осуществл</w:t>
      </w:r>
      <w:r w:rsidRPr="00AA2110">
        <w:t>е</w:t>
      </w:r>
      <w:r w:rsidRPr="00AA2110">
        <w:t>ния права на свободу собраний и ассоциации».</w:t>
      </w:r>
    </w:p>
    <w:p w:rsidR="008B02A8" w:rsidRPr="00AA2110" w:rsidRDefault="008B02A8" w:rsidP="008B02A8">
      <w:pPr>
        <w:pStyle w:val="SingleTxtGR"/>
      </w:pPr>
      <w:r w:rsidRPr="00AA2110">
        <w:t>54.</w:t>
      </w:r>
      <w:r w:rsidRPr="00AA2110">
        <w:tab/>
      </w:r>
      <w:r w:rsidRPr="00AA2110">
        <w:rPr>
          <w:b/>
        </w:rPr>
        <w:t>Г-н Бузид</w:t>
      </w:r>
      <w:r w:rsidRPr="00AA2110">
        <w:t xml:space="preserve"> говорит, что следовало бы также сделать ссылку на статью 24 Пакта (защита прав р</w:t>
      </w:r>
      <w:r w:rsidRPr="00AA2110">
        <w:t>е</w:t>
      </w:r>
      <w:r w:rsidRPr="00AA2110">
        <w:t>бенка).</w:t>
      </w:r>
    </w:p>
    <w:p w:rsidR="008B02A8" w:rsidRPr="00AA2110" w:rsidRDefault="008B02A8" w:rsidP="008B02A8">
      <w:pPr>
        <w:pStyle w:val="SingleTxtGR"/>
      </w:pPr>
      <w:r w:rsidRPr="00AA2110">
        <w:t>55.</w:t>
      </w:r>
      <w:r w:rsidRPr="00AA2110">
        <w:tab/>
      </w:r>
      <w:r w:rsidRPr="00AA2110">
        <w:rPr>
          <w:b/>
        </w:rPr>
        <w:t>Г-н Сальвиоли</w:t>
      </w:r>
      <w:r w:rsidRPr="00AA2110">
        <w:t xml:space="preserve"> говорит, что хотя компетенция Комитета ограничивается правами, изложенными в Международном пакте о гражданских и политических правах, имеются основания говорить о том, что какое-либо право составляет основу для осуществления других прав, включая экономические, социал</w:t>
      </w:r>
      <w:r w:rsidRPr="00AA2110">
        <w:t>ь</w:t>
      </w:r>
      <w:r w:rsidRPr="00AA2110">
        <w:t>ные и культурные права. Он, таким образом, предлагает говорить о полноценном осуществлении «др</w:t>
      </w:r>
      <w:r w:rsidRPr="00AA2110">
        <w:t>у</w:t>
      </w:r>
      <w:r w:rsidRPr="00AA2110">
        <w:t>гих прав человека».</w:t>
      </w:r>
    </w:p>
    <w:p w:rsidR="008B02A8" w:rsidRPr="00AA2110" w:rsidRDefault="008B02A8" w:rsidP="008B02A8">
      <w:pPr>
        <w:pStyle w:val="SingleTxtGR"/>
      </w:pPr>
      <w:r w:rsidRPr="00AA2110">
        <w:t>56.</w:t>
      </w:r>
      <w:r w:rsidRPr="00AA2110">
        <w:tab/>
      </w:r>
      <w:r w:rsidRPr="00AA2110">
        <w:rPr>
          <w:b/>
        </w:rPr>
        <w:t>Г-жа Майодина</w:t>
      </w:r>
      <w:r w:rsidRPr="00AA2110">
        <w:t xml:space="preserve"> говорит, что она поддерживает это предложение и вновь подтверждает свое предложение, направленное на то, чтобы была сделана ясная ссылка на пункт 2 статьи 4 для объяснения того, почему в отношении статьи 18 не допускаются отступления. </w:t>
      </w:r>
    </w:p>
    <w:p w:rsidR="008B02A8" w:rsidRPr="00AA2110" w:rsidRDefault="008B02A8" w:rsidP="008B02A8">
      <w:pPr>
        <w:pStyle w:val="SingleTxtGR"/>
      </w:pPr>
      <w:r w:rsidRPr="00AA2110">
        <w:t>57.</w:t>
      </w:r>
      <w:r w:rsidRPr="00AA2110">
        <w:tab/>
      </w:r>
      <w:r w:rsidRPr="00AA2110">
        <w:rPr>
          <w:b/>
        </w:rPr>
        <w:t>Г-н О’Флаэрти</w:t>
      </w:r>
      <w:r w:rsidRPr="00AA2110">
        <w:t xml:space="preserve"> (докладчик по Замечанию общего порядка) говорит, что он также одобряет предложение г-на Сальвиоли. Что касается статьи 24, то он не включил ее, поскольку в ней в явном порядке не делается ссылка на свобо</w:t>
      </w:r>
      <w:r w:rsidRPr="00AA2110">
        <w:t>д</w:t>
      </w:r>
      <w:r w:rsidRPr="00AA2110">
        <w:t>ное выражение мнений, и Комитет не имеет никакого опыта в отношении св</w:t>
      </w:r>
      <w:r w:rsidRPr="00AA2110">
        <w:t>о</w:t>
      </w:r>
      <w:r w:rsidRPr="00AA2110">
        <w:t>боды выражений мнений ребенка. Наконец, на предложение г-жи Майодины будет дан ответ в рамках рассмотрения следующего пункта.</w:t>
      </w:r>
    </w:p>
    <w:p w:rsidR="008B02A8" w:rsidRPr="00AA2110" w:rsidRDefault="008B02A8" w:rsidP="008B02A8">
      <w:pPr>
        <w:pStyle w:val="SingleTxtGR"/>
        <w:rPr>
          <w:i/>
        </w:rPr>
      </w:pPr>
      <w:r w:rsidRPr="00AA2110">
        <w:rPr>
          <w:i/>
        </w:rPr>
        <w:t>Пункт 4</w:t>
      </w:r>
    </w:p>
    <w:p w:rsidR="008B02A8" w:rsidRPr="00AA2110" w:rsidRDefault="008B02A8" w:rsidP="008B02A8">
      <w:pPr>
        <w:pStyle w:val="SingleTxtGR"/>
      </w:pPr>
      <w:r w:rsidRPr="00AA2110">
        <w:t>58.</w:t>
      </w:r>
      <w:r w:rsidRPr="00AA2110">
        <w:tab/>
      </w:r>
      <w:r w:rsidRPr="00AA2110">
        <w:rPr>
          <w:b/>
        </w:rPr>
        <w:t>Г-н О’Флаэрти</w:t>
      </w:r>
      <w:r w:rsidRPr="00AA2110">
        <w:t xml:space="preserve"> (докладчик по Замечанию общего порядка), отвечая на вопрос г-жи Майодины, говорит, что причина, по которой отступления от пун</w:t>
      </w:r>
      <w:r w:rsidRPr="00AA2110">
        <w:t>к</w:t>
      </w:r>
      <w:r w:rsidRPr="00AA2110">
        <w:t>та 1 статьи 19 не допускаются, объясняется в этом пункте. Установлено, что о</w:t>
      </w:r>
      <w:r w:rsidRPr="00AA2110">
        <w:t>т</w:t>
      </w:r>
      <w:r w:rsidRPr="00AA2110">
        <w:t>ступления не допускаются в отношении свободы мысли, совести, религии и убеждений, защищаемой в статье 18. Однако мнение неотделимо от убеждений, религии, мысли и совести; таким образом, если отступления не допускаются в отношении статьи 18, то также они не допуск</w:t>
      </w:r>
      <w:r w:rsidRPr="00AA2110">
        <w:t>а</w:t>
      </w:r>
      <w:r w:rsidRPr="00AA2110">
        <w:t>ются и в отношении пункта 1 статьи 19.</w:t>
      </w:r>
    </w:p>
    <w:p w:rsidR="008B02A8" w:rsidRPr="00AA2110" w:rsidRDefault="008B02A8" w:rsidP="008B02A8">
      <w:pPr>
        <w:pStyle w:val="SingleTxtGR"/>
      </w:pPr>
      <w:r w:rsidRPr="00AA2110">
        <w:t>59.</w:t>
      </w:r>
      <w:r w:rsidRPr="00AA2110">
        <w:tab/>
      </w:r>
      <w:r w:rsidRPr="00AA2110">
        <w:rPr>
          <w:b/>
        </w:rPr>
        <w:t>Сэр Найджел Родли</w:t>
      </w:r>
      <w:r w:rsidRPr="00AA2110">
        <w:t xml:space="preserve"> говорит, что, может быть, необязательно ссылаться в этом пункте на оговорки, которые могут быть сделаны к статье 19, принимая во внимание, что это предмет следующего пун</w:t>
      </w:r>
      <w:r w:rsidRPr="00AA2110">
        <w:t>к</w:t>
      </w:r>
      <w:r w:rsidRPr="00AA2110">
        <w:t>та. Он предлагает в первом предложении удалить слово «неотъемлемый» («</w:t>
      </w:r>
      <w:r w:rsidRPr="00AA2110">
        <w:rPr>
          <w:lang w:val="fr-CH"/>
        </w:rPr>
        <w:t>inexorable</w:t>
      </w:r>
      <w:r w:rsidRPr="00AA2110">
        <w:t>»). Последнее пре</w:t>
      </w:r>
      <w:r w:rsidRPr="00AA2110">
        <w:t>д</w:t>
      </w:r>
      <w:r w:rsidRPr="00AA2110">
        <w:t>ложение создает проблему, поскольку даже если обоснование невозможности приостановить ос</w:t>
      </w:r>
      <w:r w:rsidRPr="00AA2110">
        <w:t>у</w:t>
      </w:r>
      <w:r w:rsidRPr="00AA2110">
        <w:t>ществление статьи 18 подходит также и для статьи 19, то это не делает автоматически эту статью неподверженной отступлениям. Пункт 1 статьи 19 не подвержен отступлениям не потому, что он аналогичен пункту 1 статьи 18, а поскольку не существует никакой законной причины, на основании которой государство могло бы требовать от человека, чтобы он отчитывался в своих убеждениях.</w:t>
      </w:r>
    </w:p>
    <w:p w:rsidR="008B02A8" w:rsidRPr="00AA2110" w:rsidRDefault="008B02A8" w:rsidP="008B02A8">
      <w:pPr>
        <w:pStyle w:val="SingleTxtGR"/>
      </w:pPr>
      <w:r w:rsidRPr="00AA2110">
        <w:t>60.</w:t>
      </w:r>
      <w:r w:rsidRPr="00AA2110">
        <w:tab/>
      </w:r>
      <w:r w:rsidRPr="00AA2110">
        <w:rPr>
          <w:b/>
        </w:rPr>
        <w:t>Г-жа Майодина</w:t>
      </w:r>
      <w:r w:rsidRPr="00AA2110">
        <w:t xml:space="preserve"> благодарит г-на О’Флаэрти за его ответ. Однако он оз</w:t>
      </w:r>
      <w:r w:rsidRPr="00AA2110">
        <w:t>а</w:t>
      </w:r>
      <w:r w:rsidRPr="00AA2110">
        <w:t>ботился только объяснен</w:t>
      </w:r>
      <w:r w:rsidRPr="00AA2110">
        <w:t>и</w:t>
      </w:r>
      <w:r w:rsidRPr="00AA2110">
        <w:t>ем причин невозможности отступления от статьи 18. В этом же духе, в целях того, чтобы Замечание общего порядка пользовалось всеобщим пониманием, было бы полезно в первом предложении пункта 4 об</w:t>
      </w:r>
      <w:r w:rsidRPr="00AA2110">
        <w:t>ъ</w:t>
      </w:r>
      <w:r w:rsidRPr="00AA2110">
        <w:t xml:space="preserve">яснить, по каким причинам не допускается делать оговорки к пункту 1 статьи 19. </w:t>
      </w:r>
    </w:p>
    <w:p w:rsidR="008B02A8" w:rsidRPr="00AA2110" w:rsidRDefault="008B02A8" w:rsidP="008B02A8">
      <w:pPr>
        <w:pStyle w:val="SingleTxtGR"/>
      </w:pPr>
      <w:r w:rsidRPr="00AA2110">
        <w:rPr>
          <w:bCs/>
        </w:rPr>
        <w:t>61.</w:t>
      </w:r>
      <w:r w:rsidRPr="00AA2110">
        <w:rPr>
          <w:bCs/>
        </w:rPr>
        <w:tab/>
      </w:r>
      <w:r w:rsidRPr="00AA2110">
        <w:rPr>
          <w:b/>
        </w:rPr>
        <w:t>Г-н О’Флаэрти</w:t>
      </w:r>
      <w:r w:rsidRPr="00AA2110">
        <w:t xml:space="preserve"> (докладчик по Замечанию общего порядка) говорит, что слово «неотъемлемый» в первом предложении, а также ссылка на статью 18 в последней фразе будут удалены. Если вопросы отступлений и оговорок ра</w:t>
      </w:r>
      <w:r w:rsidRPr="00AA2110">
        <w:t>с</w:t>
      </w:r>
      <w:r w:rsidRPr="00AA2110">
        <w:t>сматриваются в пунктах 4 и 5, то это происходит потому, что все они касаются различных тем – соответственно свободы убеждений и свободного выражения мнений – и необходимо рассматривать эти вопросы по отдельности для избеж</w:t>
      </w:r>
      <w:r w:rsidRPr="00AA2110">
        <w:t>а</w:t>
      </w:r>
      <w:r w:rsidRPr="00AA2110">
        <w:t>ния любой неясности. Что касается предложения г-жи Майодины, то надо х</w:t>
      </w:r>
      <w:r w:rsidRPr="00AA2110">
        <w:t>о</w:t>
      </w:r>
      <w:r w:rsidRPr="00AA2110">
        <w:t>рошо понимать, что Замечание общего порядка является более техническим, нежели пояснительным документом, который должен оставаться лаконичным. Кроме того, эти вопросы уже были рассмотрены в других документах, в час</w:t>
      </w:r>
      <w:r w:rsidRPr="00AA2110">
        <w:t>т</w:t>
      </w:r>
      <w:r w:rsidRPr="00AA2110">
        <w:t xml:space="preserve">ности в замечаниях общего порядка, и Комитет, таким образом, будет только повторяться. </w:t>
      </w:r>
    </w:p>
    <w:p w:rsidR="008B02A8" w:rsidRPr="00AA2110" w:rsidRDefault="008B02A8" w:rsidP="008B02A8">
      <w:pPr>
        <w:pStyle w:val="SingleTxtGR"/>
      </w:pPr>
      <w:r w:rsidRPr="00AA2110">
        <w:t>62.</w:t>
      </w:r>
      <w:r w:rsidRPr="00AA2110">
        <w:tab/>
      </w:r>
      <w:r w:rsidRPr="00AA2110">
        <w:rPr>
          <w:b/>
        </w:rPr>
        <w:t>Председатель</w:t>
      </w:r>
      <w:r w:rsidRPr="00AA2110">
        <w:t xml:space="preserve"> говорит, что Комитет продолжит рассмотрение проекта Замечания общего порядка на последующем заседании. </w:t>
      </w:r>
    </w:p>
    <w:p w:rsidR="008B02A8" w:rsidRPr="00AA2110" w:rsidRDefault="008B02A8" w:rsidP="008B02A8">
      <w:pPr>
        <w:pStyle w:val="SingleTxtGR"/>
      </w:pPr>
      <w:r w:rsidRPr="00AA2110">
        <w:rPr>
          <w:i/>
        </w:rPr>
        <w:t>Заседание закрывается в 13 ч. 05 м.</w:t>
      </w:r>
    </w:p>
    <w:p w:rsidR="008B02A8" w:rsidRPr="008B02A8" w:rsidRDefault="008B02A8" w:rsidP="008B02A8">
      <w:pPr>
        <w:spacing w:before="240"/>
        <w:jc w:val="center"/>
        <w:rPr>
          <w:u w:val="single"/>
        </w:rPr>
      </w:pPr>
      <w:r>
        <w:rPr>
          <w:u w:val="single"/>
        </w:rPr>
        <w:tab/>
      </w:r>
      <w:r>
        <w:rPr>
          <w:u w:val="single"/>
        </w:rPr>
        <w:tab/>
      </w:r>
      <w:r>
        <w:rPr>
          <w:u w:val="single"/>
        </w:rPr>
        <w:tab/>
      </w:r>
    </w:p>
    <w:sectPr w:rsidR="008B02A8" w:rsidRPr="008B02A8"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F3C" w:rsidRDefault="00082F3C">
      <w:r>
        <w:rPr>
          <w:lang w:val="en-US"/>
        </w:rPr>
        <w:tab/>
      </w:r>
      <w:r>
        <w:separator/>
      </w:r>
    </w:p>
  </w:endnote>
  <w:endnote w:type="continuationSeparator" w:id="0">
    <w:p w:rsidR="00082F3C" w:rsidRDefault="00082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358" w:rsidRPr="005F0588" w:rsidRDefault="00D76358">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0C5EF7">
      <w:rPr>
        <w:rStyle w:val="PageNumber"/>
        <w:noProof/>
      </w:rPr>
      <w:t>10</w:t>
    </w:r>
    <w:r>
      <w:rPr>
        <w:rStyle w:val="PageNumber"/>
      </w:rPr>
      <w:fldChar w:fldCharType="end"/>
    </w:r>
    <w:r>
      <w:rPr>
        <w:lang w:val="en-US"/>
      </w:rPr>
      <w:tab/>
      <w:t>GE.09-</w:t>
    </w:r>
    <w:r w:rsidR="00960D8C">
      <w:rPr>
        <w:lang w:val="en-US"/>
      </w:rPr>
      <w:t>45809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358" w:rsidRPr="005F0588" w:rsidRDefault="00D76358">
    <w:pPr>
      <w:pStyle w:val="Footer"/>
      <w:rPr>
        <w:lang w:val="en-US"/>
      </w:rPr>
    </w:pPr>
    <w:r>
      <w:rPr>
        <w:lang w:val="en-US"/>
      </w:rPr>
      <w:t>GE.09-</w:t>
    </w:r>
    <w:r w:rsidR="00960D8C">
      <w:rPr>
        <w:lang w:val="en-US"/>
      </w:rPr>
      <w:t>45809</w:t>
    </w:r>
    <w:r>
      <w:rPr>
        <w:lang w:val="en-US"/>
      </w:rPr>
      <w:tab/>
    </w:r>
    <w:r>
      <w:rPr>
        <w:rStyle w:val="PageNumber"/>
      </w:rPr>
      <w:fldChar w:fldCharType="begin"/>
    </w:r>
    <w:r>
      <w:rPr>
        <w:rStyle w:val="PageNumber"/>
      </w:rPr>
      <w:instrText xml:space="preserve"> PAGE </w:instrText>
    </w:r>
    <w:r>
      <w:rPr>
        <w:rStyle w:val="PageNumber"/>
      </w:rPr>
      <w:fldChar w:fldCharType="separate"/>
    </w:r>
    <w:r w:rsidR="000C5EF7">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358" w:rsidRPr="007B2C3F" w:rsidRDefault="00D76358">
    <w:pPr>
      <w:pStyle w:val="Footer"/>
      <w:rPr>
        <w:sz w:val="20"/>
        <w:lang w:val="en-US"/>
      </w:rPr>
    </w:pPr>
    <w:r>
      <w:rPr>
        <w:sz w:val="20"/>
        <w:lang w:val="en-US"/>
      </w:rPr>
      <w:t>GE.0</w:t>
    </w:r>
    <w:r w:rsidR="00960D8C">
      <w:rPr>
        <w:sz w:val="20"/>
        <w:lang w:val="en-US"/>
      </w:rPr>
      <w:t>9</w:t>
    </w:r>
    <w:r>
      <w:rPr>
        <w:sz w:val="20"/>
        <w:lang w:val="en-US"/>
      </w:rPr>
      <w:t>-</w:t>
    </w:r>
    <w:r w:rsidR="00960D8C">
      <w:rPr>
        <w:sz w:val="20"/>
        <w:lang w:val="en-US"/>
      </w:rPr>
      <w:t>45809</w:t>
    </w:r>
    <w:r>
      <w:rPr>
        <w:sz w:val="20"/>
        <w:lang w:val="en-US"/>
      </w:rPr>
      <w:t xml:space="preserve">  (R)  </w:t>
    </w:r>
    <w:r w:rsidR="00960D8C">
      <w:rPr>
        <w:sz w:val="20"/>
        <w:lang w:val="en-US"/>
      </w:rPr>
      <w:t>120410  120410</w:t>
    </w:r>
    <w:r w:rsidR="001755A4">
      <w:rPr>
        <w:sz w:val="20"/>
        <w:lang w:val="en-US"/>
      </w:rPr>
      <w:tab/>
    </w:r>
    <w:r w:rsidR="001755A4"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F3C" w:rsidRPr="00F71F63" w:rsidRDefault="00082F3C" w:rsidP="00114194">
      <w:pPr>
        <w:pBdr>
          <w:bottom w:val="single" w:sz="4" w:space="1" w:color="auto"/>
        </w:pBdr>
        <w:tabs>
          <w:tab w:val="right" w:pos="2155"/>
        </w:tabs>
        <w:spacing w:after="80" w:line="240" w:lineRule="auto"/>
        <w:rPr>
          <w:u w:val="single"/>
          <w:lang w:val="en-US"/>
        </w:rPr>
      </w:pPr>
    </w:p>
  </w:footnote>
  <w:footnote w:type="continuationSeparator" w:id="0">
    <w:p w:rsidR="00082F3C" w:rsidRPr="00F71F63" w:rsidRDefault="00082F3C" w:rsidP="00635E86">
      <w:pPr>
        <w:tabs>
          <w:tab w:val="right" w:pos="2155"/>
        </w:tabs>
        <w:spacing w:after="80" w:line="240" w:lineRule="auto"/>
        <w:rPr>
          <w:u w:val="single"/>
          <w:lang w:val="en-US"/>
        </w:rPr>
      </w:pPr>
      <w:r w:rsidRPr="00F71F63">
        <w:rPr>
          <w:u w:val="single"/>
          <w:lang w:val="en-US"/>
        </w:rPr>
        <w:tab/>
      </w:r>
    </w:p>
    <w:p w:rsidR="00082F3C" w:rsidRPr="00635E86" w:rsidRDefault="00082F3C" w:rsidP="00635E86">
      <w:pPr>
        <w:pStyle w:val="Footer"/>
      </w:pPr>
    </w:p>
  </w:footnote>
  <w:footnote w:id="1">
    <w:p w:rsidR="008B02A8" w:rsidRPr="008B7395" w:rsidRDefault="008B02A8" w:rsidP="008B02A8">
      <w:pPr>
        <w:spacing w:after="120" w:line="200" w:lineRule="atLeast"/>
        <w:ind w:left="567" w:right="1179" w:firstLine="567"/>
        <w:rPr>
          <w:sz w:val="18"/>
          <w:szCs w:val="18"/>
        </w:rPr>
      </w:pPr>
      <w:r>
        <w:rPr>
          <w:sz w:val="18"/>
          <w:szCs w:val="18"/>
        </w:rPr>
        <w:tab/>
      </w:r>
      <w:r w:rsidRPr="008B7395">
        <w:rPr>
          <w:sz w:val="18"/>
          <w:szCs w:val="18"/>
        </w:rPr>
        <w:t>В настоящий отчет могут вноситься поправки.</w:t>
      </w:r>
    </w:p>
    <w:p w:rsidR="008B02A8" w:rsidRPr="008B7395" w:rsidRDefault="008B02A8" w:rsidP="008B02A8">
      <w:pPr>
        <w:spacing w:after="120" w:line="200" w:lineRule="atLeast"/>
        <w:ind w:left="1134" w:right="1179"/>
        <w:jc w:val="both"/>
        <w:rPr>
          <w:sz w:val="18"/>
          <w:szCs w:val="18"/>
        </w:rPr>
      </w:pPr>
      <w:r>
        <w:rPr>
          <w:sz w:val="18"/>
          <w:szCs w:val="18"/>
        </w:rPr>
        <w:tab/>
      </w:r>
      <w:r w:rsidRPr="008B7395">
        <w:rPr>
          <w:sz w:val="18"/>
          <w:szCs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w:t>
      </w:r>
      <w:r w:rsidRPr="008B7395">
        <w:rPr>
          <w:sz w:val="18"/>
          <w:szCs w:val="18"/>
        </w:rPr>
        <w:t>е</w:t>
      </w:r>
      <w:r w:rsidRPr="008B7395">
        <w:rPr>
          <w:sz w:val="18"/>
          <w:szCs w:val="18"/>
        </w:rPr>
        <w:t xml:space="preserve">та. Поправки следует направлять </w:t>
      </w:r>
      <w:r w:rsidRPr="008B7395">
        <w:rPr>
          <w:i/>
          <w:sz w:val="18"/>
          <w:szCs w:val="18"/>
        </w:rPr>
        <w:t>в течение одной недели с момента выпуска насто</w:t>
      </w:r>
      <w:r w:rsidRPr="008B7395">
        <w:rPr>
          <w:i/>
          <w:sz w:val="18"/>
          <w:szCs w:val="18"/>
        </w:rPr>
        <w:t>я</w:t>
      </w:r>
      <w:r w:rsidRPr="008B7395">
        <w:rPr>
          <w:i/>
          <w:sz w:val="18"/>
          <w:szCs w:val="18"/>
        </w:rPr>
        <w:t>щего документа</w:t>
      </w:r>
      <w:r w:rsidRPr="008B7395">
        <w:rPr>
          <w:sz w:val="18"/>
          <w:szCs w:val="18"/>
        </w:rPr>
        <w:t xml:space="preserve"> в Группу издания официальных документов, комната E.4108, Дворец Наций, Женева.</w:t>
      </w:r>
    </w:p>
    <w:p w:rsidR="008B02A8" w:rsidRPr="00423361" w:rsidRDefault="008B02A8" w:rsidP="008B02A8">
      <w:pPr>
        <w:spacing w:after="120" w:line="200" w:lineRule="atLeast"/>
        <w:ind w:left="1134" w:right="1179"/>
        <w:rPr>
          <w:sz w:val="18"/>
          <w:szCs w:val="18"/>
        </w:rPr>
      </w:pPr>
      <w:r>
        <w:rPr>
          <w:sz w:val="18"/>
          <w:szCs w:val="18"/>
        </w:rPr>
        <w:tab/>
      </w:r>
      <w:r w:rsidRPr="00423361">
        <w:rPr>
          <w:sz w:val="18"/>
          <w:szCs w:val="18"/>
        </w:rPr>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w:t>
      </w:r>
      <w:r w:rsidRPr="00423361">
        <w:rPr>
          <w:sz w:val="18"/>
          <w:szCs w:val="18"/>
        </w:rPr>
        <w:t>с</w:t>
      </w:r>
      <w:r w:rsidRPr="00423361">
        <w:rPr>
          <w:sz w:val="18"/>
          <w:szCs w:val="18"/>
        </w:rPr>
        <w:t xml:space="preserve">сии.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358" w:rsidRPr="005F0588" w:rsidRDefault="00D76358">
    <w:pPr>
      <w:pStyle w:val="Header"/>
      <w:rPr>
        <w:lang w:val="en-US"/>
      </w:rPr>
    </w:pPr>
    <w:r>
      <w:rPr>
        <w:lang w:val="en-US"/>
      </w:rPr>
      <w:t>CCPR/</w:t>
    </w:r>
    <w:r w:rsidR="00960D8C">
      <w:rPr>
        <w:lang w:val="en-US"/>
      </w:rPr>
      <w:t>C/SR.2674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358" w:rsidRPr="005F0588" w:rsidRDefault="00D76358">
    <w:pPr>
      <w:pStyle w:val="Header"/>
      <w:rPr>
        <w:lang w:val="en-US"/>
      </w:rPr>
    </w:pPr>
    <w:r>
      <w:rPr>
        <w:lang w:val="en-US"/>
      </w:rPr>
      <w:tab/>
      <w:t>CCPR/</w:t>
    </w:r>
    <w:r w:rsidR="00960D8C">
      <w:rPr>
        <w:lang w:val="en-US"/>
      </w:rPr>
      <w:t>C/SR.2674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02A8"/>
    <w:rsid w:val="000033D8"/>
    <w:rsid w:val="00005C1C"/>
    <w:rsid w:val="00016553"/>
    <w:rsid w:val="000233B3"/>
    <w:rsid w:val="00023E9E"/>
    <w:rsid w:val="00026B0C"/>
    <w:rsid w:val="0003638E"/>
    <w:rsid w:val="00036FF2"/>
    <w:rsid w:val="0004010A"/>
    <w:rsid w:val="00043D88"/>
    <w:rsid w:val="00046E4D"/>
    <w:rsid w:val="0006401A"/>
    <w:rsid w:val="00072C27"/>
    <w:rsid w:val="00082F3C"/>
    <w:rsid w:val="00086182"/>
    <w:rsid w:val="00090891"/>
    <w:rsid w:val="00092E62"/>
    <w:rsid w:val="00097975"/>
    <w:rsid w:val="000A3DDF"/>
    <w:rsid w:val="000A60A0"/>
    <w:rsid w:val="000C3688"/>
    <w:rsid w:val="000C5EF7"/>
    <w:rsid w:val="000D6863"/>
    <w:rsid w:val="00114194"/>
    <w:rsid w:val="00117AEE"/>
    <w:rsid w:val="001463F7"/>
    <w:rsid w:val="0015769C"/>
    <w:rsid w:val="00157BB8"/>
    <w:rsid w:val="001755A4"/>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46B02"/>
    <w:rsid w:val="002629A0"/>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146B"/>
    <w:rsid w:val="006B23D9"/>
    <w:rsid w:val="006C1814"/>
    <w:rsid w:val="006C2F45"/>
    <w:rsid w:val="006C361A"/>
    <w:rsid w:val="006C5657"/>
    <w:rsid w:val="006C76ED"/>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02A8"/>
    <w:rsid w:val="008B5F47"/>
    <w:rsid w:val="008C2FE3"/>
    <w:rsid w:val="008C7B87"/>
    <w:rsid w:val="008D6A7A"/>
    <w:rsid w:val="008E3E87"/>
    <w:rsid w:val="008E7F13"/>
    <w:rsid w:val="008F3185"/>
    <w:rsid w:val="00915B0A"/>
    <w:rsid w:val="00926904"/>
    <w:rsid w:val="009372F0"/>
    <w:rsid w:val="00955022"/>
    <w:rsid w:val="00957B4D"/>
    <w:rsid w:val="00960D8C"/>
    <w:rsid w:val="00964EEA"/>
    <w:rsid w:val="00974149"/>
    <w:rsid w:val="00980C86"/>
    <w:rsid w:val="009B1D9B"/>
    <w:rsid w:val="009B4074"/>
    <w:rsid w:val="009C2CB6"/>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70C0F"/>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5813"/>
    <w:rsid w:val="00D6236B"/>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93310"/>
    <w:rsid w:val="00FA5522"/>
    <w:rsid w:val="00FA6E4A"/>
    <w:rsid w:val="00FB2B35"/>
    <w:rsid w:val="00FB4341"/>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4677</Words>
  <Characters>26661</Characters>
  <Application>Microsoft Office Word</Application>
  <DocSecurity>4</DocSecurity>
  <Lines>222</Lines>
  <Paragraphs>62</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Лариса Майковская</dc:creator>
  <cp:keywords/>
  <dc:description/>
  <cp:lastModifiedBy>Tcherniaeva</cp:lastModifiedBy>
  <cp:revision>2</cp:revision>
  <cp:lastPrinted>2010-04-12T13:09:00Z</cp:lastPrinted>
  <dcterms:created xsi:type="dcterms:W3CDTF">2010-04-13T06:37:00Z</dcterms:created>
  <dcterms:modified xsi:type="dcterms:W3CDTF">2010-04-13T06:37:00Z</dcterms:modified>
</cp:coreProperties>
</file>